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2D620" w14:textId="54F72F3B" w:rsidR="002B0E66" w:rsidRPr="002B0E66" w:rsidRDefault="002B0E66" w:rsidP="00F60167">
      <w:pPr>
        <w:spacing w:after="0" w:line="240" w:lineRule="auto"/>
        <w:jc w:val="both"/>
        <w:rPr>
          <w:rFonts w:ascii="Verdana" w:eastAsia="Calibri" w:hAnsi="Verdana" w:cs="Arial"/>
          <w:b/>
          <w:bCs/>
          <w:lang w:val="es-ES" w:eastAsia="es-ES"/>
        </w:rPr>
      </w:pPr>
      <w:r w:rsidRPr="002B0E66">
        <w:rPr>
          <w:rFonts w:ascii="Verdana" w:eastAsia="Calibri" w:hAnsi="Verdana" w:cs="Arial"/>
          <w:b/>
          <w:bCs/>
          <w:lang w:val="es-ES" w:eastAsia="es-ES"/>
        </w:rPr>
        <w:t>SELECCIÓN ABREVIADA DE MENOR CUANTÍA – Características – Topes – Excepciones a los topes</w:t>
      </w:r>
    </w:p>
    <w:p w14:paraId="15F5805B" w14:textId="77777777" w:rsidR="002B0E66" w:rsidRDefault="002B0E66" w:rsidP="00F60167">
      <w:pPr>
        <w:spacing w:after="0" w:line="240" w:lineRule="auto"/>
        <w:jc w:val="both"/>
        <w:rPr>
          <w:rFonts w:ascii="Verdana" w:hAnsi="Verdana"/>
        </w:rPr>
      </w:pPr>
    </w:p>
    <w:p w14:paraId="348B761C" w14:textId="77777777" w:rsidR="002B0E66" w:rsidRPr="002B0E66" w:rsidRDefault="002B0E66" w:rsidP="002B0E66">
      <w:pPr>
        <w:spacing w:after="120" w:line="276" w:lineRule="auto"/>
        <w:jc w:val="both"/>
        <w:rPr>
          <w:rFonts w:ascii="Verdana" w:eastAsia="Times New Roman" w:hAnsi="Verdana" w:cs="Segoe UI"/>
          <w:sz w:val="20"/>
          <w:szCs w:val="20"/>
          <w:lang w:eastAsia="es-ES_tradnl"/>
        </w:rPr>
      </w:pPr>
      <w:r w:rsidRPr="002B0E66">
        <w:rPr>
          <w:rFonts w:ascii="Verdana" w:eastAsia="Times New Roman" w:hAnsi="Verdana" w:cs="Segoe UI"/>
          <w:sz w:val="20"/>
          <w:szCs w:val="20"/>
          <w:lang w:eastAsia="es-ES_tradnl"/>
        </w:rPr>
        <w:t>La Ley 1150 de 2007 establece de manera expresa los rangos de menor cuantía según el presupuesto anual de la entidad estatal, sin contemplar excepciones que autoricen a las entidades sujetas al Estatuto General de Contratación a superar discrecionalmente tales límites para adelantar procesos de selección abreviada por menor cuantía. Por el contrario, las modalidades de selección, sus presupuestos de procedencia y las cuantías que las delimitan responden a una reserva legal, por lo que no pueden ser modificadas por decisión unilateral de cada entidad.</w:t>
      </w:r>
    </w:p>
    <w:p w14:paraId="6EA35B51" w14:textId="6FE0E9BC" w:rsidR="00F453C9" w:rsidRDefault="002B0E66" w:rsidP="002B0E66">
      <w:pPr>
        <w:spacing w:after="120" w:line="276" w:lineRule="auto"/>
        <w:jc w:val="both"/>
        <w:rPr>
          <w:rFonts w:ascii="Verdana" w:eastAsia="Times New Roman" w:hAnsi="Verdana" w:cs="Segoe UI"/>
          <w:sz w:val="20"/>
          <w:szCs w:val="20"/>
          <w:lang w:eastAsia="es-ES_tradnl"/>
        </w:rPr>
      </w:pPr>
      <w:r w:rsidRPr="002B0E66">
        <w:rPr>
          <w:rFonts w:ascii="Verdana" w:eastAsia="Times New Roman" w:hAnsi="Verdana" w:cs="Segoe UI"/>
          <w:sz w:val="20"/>
          <w:szCs w:val="20"/>
          <w:lang w:eastAsia="es-ES_tradnl"/>
        </w:rPr>
        <w:t>Lo anterior no significa que todos los entes del Estado deban aplicar necesariamente la modalidad de selección abreviada de menor cuantía, con dichos topes, en la medida que, conforme se analizará en el siguiente numeral, existen entidades que, por disposición legal, cuentan con un régimen contractual especial o exceptuado del Estatuto General de Contratación, caso en el cual la determinación de los mecanismos de selección aplicables depende de las normas especiales que regulan su actividad. Sin embargo, cuando una entidad estatal se encuentra sometida al Estatuto General de Contratación y acude a la modalidad de selección abreviada de menor cuantía prevista en el numeral 2 del artículo 2 de la Ley 1150 de 2007, debe observar los topes fijados por el legislador y no puede sustituirlos por cuantías diferentes establecidas en reglamentos internos, manuales o estatutos de contratación.</w:t>
      </w:r>
    </w:p>
    <w:p w14:paraId="6E3365BB" w14:textId="3D597423" w:rsidR="00F453C9" w:rsidRPr="00F453C9" w:rsidRDefault="00F453C9" w:rsidP="002B0E66">
      <w:pPr>
        <w:spacing w:after="120" w:line="276" w:lineRule="auto"/>
        <w:jc w:val="both"/>
        <w:rPr>
          <w:rFonts w:ascii="Verdana" w:eastAsia="Times New Roman" w:hAnsi="Verdana" w:cs="Segoe UI"/>
          <w:b/>
          <w:bCs/>
          <w:sz w:val="20"/>
          <w:szCs w:val="20"/>
          <w:lang w:eastAsia="es-ES_tradnl"/>
        </w:rPr>
      </w:pPr>
      <w:r w:rsidRPr="00F453C9">
        <w:rPr>
          <w:rFonts w:ascii="Verdana" w:eastAsia="Geomanist Light" w:hAnsi="Verdana" w:cs="Arial"/>
          <w:b/>
          <w:bCs/>
          <w:color w:val="000000"/>
          <w:lang w:val="es-MX"/>
        </w:rPr>
        <w:t>EMPRESAS INDUSTRIALES Y COMERCIALES DEL ESTADO – Naturaleza jurídica – Régimen de contratación</w:t>
      </w:r>
      <w:r w:rsidRPr="00F453C9">
        <w:rPr>
          <w:rFonts w:ascii="Verdana" w:eastAsia="Geomanist Light" w:hAnsi="Verdana" w:cs="Arial"/>
          <w:b/>
          <w:bCs/>
          <w:color w:val="000000"/>
          <w:lang w:val="es-MX"/>
        </w:rPr>
        <w:t xml:space="preserve"> </w:t>
      </w:r>
    </w:p>
    <w:p w14:paraId="27E735D2" w14:textId="77777777" w:rsidR="00607CE2" w:rsidRPr="00607CE2" w:rsidRDefault="00607CE2" w:rsidP="00607CE2">
      <w:pPr>
        <w:spacing w:after="0" w:line="240" w:lineRule="auto"/>
        <w:jc w:val="both"/>
        <w:rPr>
          <w:rFonts w:ascii="Verdana" w:hAnsi="Verdana"/>
          <w:sz w:val="20"/>
          <w:szCs w:val="20"/>
        </w:rPr>
      </w:pPr>
      <w:r w:rsidRPr="00607CE2">
        <w:rPr>
          <w:rFonts w:ascii="Verdana" w:hAnsi="Verdana"/>
          <w:sz w:val="20"/>
          <w:szCs w:val="20"/>
        </w:rPr>
        <w:t>Dentro de la estructura de la Administración Pública se encuentran las entidades descentralizadas por servicios, y dentro de dicha categoría se ubican las Empresas Industriales y Comerciales del Estado – en adelante EICE, las cuales –sin perjuicio del control de tutela– tienen personería jurídica, autonomía administrativa y patrimonio propio. Estas entidades, como su nombre lo indica, se caracterizan por desarrollar actividades de carácter industrial o comercial. Así, por ejemplo, son EICE la Imprenta Nacional de Colombia, Coljuegos, Indumil, la Caja Promotora de Vivienda Militar y de Policía, Colpensiones, entre otras.</w:t>
      </w:r>
    </w:p>
    <w:p w14:paraId="4E452B6F" w14:textId="77777777" w:rsidR="00607CE2" w:rsidRDefault="00607CE2" w:rsidP="00607CE2">
      <w:pPr>
        <w:spacing w:after="0" w:line="240" w:lineRule="auto"/>
        <w:jc w:val="both"/>
        <w:rPr>
          <w:rFonts w:ascii="Verdana" w:hAnsi="Verdana"/>
          <w:sz w:val="20"/>
          <w:szCs w:val="20"/>
        </w:rPr>
      </w:pPr>
    </w:p>
    <w:p w14:paraId="6C088A6F" w14:textId="248CF2A3" w:rsidR="00607CE2" w:rsidRPr="00607CE2" w:rsidRDefault="00607CE2" w:rsidP="00607CE2">
      <w:pPr>
        <w:spacing w:after="0" w:line="240" w:lineRule="auto"/>
        <w:jc w:val="both"/>
        <w:rPr>
          <w:rFonts w:ascii="Verdana" w:hAnsi="Verdana"/>
          <w:sz w:val="20"/>
          <w:szCs w:val="20"/>
        </w:rPr>
      </w:pPr>
      <w:r w:rsidRPr="00607CE2">
        <w:rPr>
          <w:rFonts w:ascii="Verdana" w:hAnsi="Verdana"/>
          <w:sz w:val="20"/>
          <w:szCs w:val="20"/>
        </w:rPr>
        <w:t>[…]</w:t>
      </w:r>
    </w:p>
    <w:p w14:paraId="1EB3B9AA" w14:textId="77777777" w:rsidR="00607CE2" w:rsidRPr="00607CE2" w:rsidRDefault="00607CE2" w:rsidP="00607CE2">
      <w:pPr>
        <w:spacing w:after="0" w:line="240" w:lineRule="auto"/>
        <w:jc w:val="both"/>
        <w:rPr>
          <w:rFonts w:ascii="Verdana" w:hAnsi="Verdana"/>
          <w:sz w:val="20"/>
          <w:szCs w:val="20"/>
        </w:rPr>
      </w:pPr>
      <w:r w:rsidRPr="00607CE2">
        <w:rPr>
          <w:rFonts w:ascii="Verdana" w:hAnsi="Verdana"/>
          <w:sz w:val="20"/>
          <w:szCs w:val="20"/>
        </w:rPr>
        <w:t xml:space="preserve">Ahora bien, es importante destacar, que el artículo 14 de la Ley 1150 de 2007, modificado por el artículo 93 de la Ley 1474 de 2011, esclareció las dudas que producía el confuso artículo 93 de la Ley 489 de 1998 a propósito del régimen contractual de estas entidades. Por lo tanto, las EICE, las Sociedades de Economía Mixta, sus filiales y las sociedades entre Entidades Públicas en las que el Estado tenga participación superior al cincuenta por ciento (50%), están sometidas, por regla general, al EGCAP, excepto aquellas EICE que: i) desarrollen actividades comerciales en competencia con el sector privado y/o público, nacional o internacional o </w:t>
      </w:r>
      <w:proofErr w:type="spellStart"/>
      <w:r w:rsidRPr="00607CE2">
        <w:rPr>
          <w:rFonts w:ascii="Verdana" w:hAnsi="Verdana"/>
          <w:sz w:val="20"/>
          <w:szCs w:val="20"/>
        </w:rPr>
        <w:t>ii</w:t>
      </w:r>
      <w:proofErr w:type="spellEnd"/>
      <w:r w:rsidRPr="00607CE2">
        <w:rPr>
          <w:rFonts w:ascii="Verdana" w:hAnsi="Verdana"/>
          <w:sz w:val="20"/>
          <w:szCs w:val="20"/>
        </w:rPr>
        <w:t xml:space="preserve">) desarrollen actividades en mercados </w:t>
      </w:r>
      <w:r w:rsidRPr="00607CE2">
        <w:rPr>
          <w:rFonts w:ascii="Verdana" w:hAnsi="Verdana"/>
          <w:sz w:val="20"/>
          <w:szCs w:val="20"/>
        </w:rPr>
        <w:lastRenderedPageBreak/>
        <w:t xml:space="preserve">regulados, eventos en los cuales ellas se rigen por las disposiciones que regulen su actividad. Lo anterior, sin perjuicio de dar cumplimiento a lo dispuesto en el artículo 13 de la Ley 1150 de 2007, esto es, del deber que le incumbe a la EICE de aplicar, acorde con su régimen legal especial, los principios de la función administrativa y de la gestión fiscal consagrados en los artículos 209 y 267 de la Constitución Política, el régimen de inhabilidades e incompatibilidades previsto legalmente para la contratación estatal y el deber de publicidad en el </w:t>
      </w:r>
      <w:proofErr w:type="spellStart"/>
      <w:r w:rsidRPr="00607CE2">
        <w:rPr>
          <w:rFonts w:ascii="Verdana" w:hAnsi="Verdana"/>
          <w:sz w:val="20"/>
          <w:szCs w:val="20"/>
        </w:rPr>
        <w:t>Secop</w:t>
      </w:r>
      <w:proofErr w:type="spellEnd"/>
      <w:r w:rsidRPr="00607CE2">
        <w:rPr>
          <w:rFonts w:ascii="Verdana" w:hAnsi="Verdana"/>
          <w:sz w:val="20"/>
          <w:szCs w:val="20"/>
        </w:rPr>
        <w:t>.</w:t>
      </w:r>
    </w:p>
    <w:p w14:paraId="7925E23D" w14:textId="77777777" w:rsidR="002B0E66" w:rsidRPr="00607CE2" w:rsidRDefault="002B0E66" w:rsidP="00F60167">
      <w:pPr>
        <w:spacing w:after="0" w:line="240" w:lineRule="auto"/>
        <w:jc w:val="both"/>
        <w:rPr>
          <w:rFonts w:ascii="Verdana" w:hAnsi="Verdana"/>
          <w:b/>
          <w:bCs/>
        </w:rPr>
      </w:pPr>
    </w:p>
    <w:p w14:paraId="657CD5BE" w14:textId="77777777" w:rsidR="00607CE2" w:rsidRDefault="00607CE2" w:rsidP="00607CE2">
      <w:pPr>
        <w:jc w:val="both"/>
        <w:rPr>
          <w:rFonts w:ascii="Verdana" w:eastAsia="Geomanist Light" w:hAnsi="Verdana" w:cs="Arial"/>
          <w:b/>
          <w:bCs/>
          <w:color w:val="000000"/>
          <w:lang w:val="es-MX"/>
        </w:rPr>
      </w:pPr>
      <w:r w:rsidRPr="00607CE2">
        <w:rPr>
          <w:rFonts w:ascii="Verdana" w:eastAsia="Geomanist Light" w:hAnsi="Verdana" w:cs="Arial"/>
          <w:b/>
          <w:bCs/>
          <w:color w:val="000000"/>
          <w:lang w:val="es-MX"/>
        </w:rPr>
        <w:t xml:space="preserve">REGIMENES ESPECIALES – Autonomía – Modalidades de selección – Topes </w:t>
      </w:r>
    </w:p>
    <w:p w14:paraId="4C75CCE1" w14:textId="594D76CD" w:rsidR="00DD5D44" w:rsidRPr="008B7D41" w:rsidRDefault="008B7D41" w:rsidP="00DD5D44">
      <w:pPr>
        <w:spacing w:after="120" w:line="276" w:lineRule="auto"/>
        <w:jc w:val="both"/>
        <w:rPr>
          <w:rFonts w:ascii="Verdana" w:eastAsia="Times New Roman" w:hAnsi="Verdana" w:cs="Segoe UI"/>
          <w:sz w:val="20"/>
          <w:szCs w:val="20"/>
          <w:lang w:eastAsia="es-ES_tradnl"/>
        </w:rPr>
      </w:pPr>
      <w:r w:rsidRPr="008B7D41">
        <w:rPr>
          <w:rFonts w:ascii="Verdana" w:eastAsia="Times New Roman" w:hAnsi="Verdana" w:cs="Segoe UI"/>
          <w:sz w:val="20"/>
          <w:szCs w:val="20"/>
          <w:lang w:eastAsia="es-ES_tradnl"/>
        </w:rPr>
        <w:t>C</w:t>
      </w:r>
      <w:r w:rsidR="00DD5D44" w:rsidRPr="008B7D41">
        <w:rPr>
          <w:rFonts w:ascii="Verdana" w:eastAsia="Times New Roman" w:hAnsi="Verdana" w:cs="Segoe UI"/>
          <w:sz w:val="20"/>
          <w:szCs w:val="20"/>
          <w:lang w:eastAsia="es-ES_tradnl"/>
        </w:rPr>
        <w:t>uando una Empresa Industrial y Comercial del Estado se encuentra sometida a un régimen contractual exceptuado, puede diseñar y regular sus propios mecanismos o modalidades de selección de contratistas, definiendo las etapas, procedimientos, criterios de escogencia y causales de procedencia que estime adecuados para garantizar el cumplimiento de los principios que orientan la función administrativa y la gestión contractual. Dentro de esa facultad normativa, la entidad puede establecer modalidades de contratación con denominaciones similares a las previstas en el Estatuto General de Contratación, como una modalidad de selección abreviada o de contratación simplificada, así como determinar los topes económicos para su procedencia.</w:t>
      </w:r>
    </w:p>
    <w:p w14:paraId="5E41AD20" w14:textId="77777777" w:rsidR="00DD5D44" w:rsidRDefault="00DD5D44" w:rsidP="00DD5D44">
      <w:pPr>
        <w:spacing w:after="120" w:line="276" w:lineRule="auto"/>
        <w:jc w:val="both"/>
        <w:rPr>
          <w:rFonts w:ascii="Verdana" w:eastAsia="Times New Roman" w:hAnsi="Verdana" w:cs="Segoe UI"/>
          <w:sz w:val="20"/>
          <w:szCs w:val="20"/>
          <w:lang w:eastAsia="es-ES_tradnl"/>
        </w:rPr>
      </w:pPr>
      <w:r w:rsidRPr="008B7D41">
        <w:rPr>
          <w:rFonts w:ascii="Verdana" w:eastAsia="Times New Roman" w:hAnsi="Verdana" w:cs="Segoe UI"/>
          <w:sz w:val="20"/>
          <w:szCs w:val="20"/>
          <w:lang w:eastAsia="es-ES_tradnl"/>
        </w:rPr>
        <w:t>Por tanto, nada impide que una Empresa Industrial y Comercial del Estado con régimen exceptuado establezca en su manual de contratación una modalidad de selección cuya cuantía máxima exceda los límites de la menor cuantía previstos en el literal b) del numeral 2 del artículo 2 de la Ley 1150 de 2007, toda vez que dichos topes fueron definidos por el legislador para las entidades sometidas al Estatuto General de Contratación y no constituyen un parámetro obligatorio para aquellas entidades que cuentan con un régimen especial o exceptuado.</w:t>
      </w:r>
    </w:p>
    <w:p w14:paraId="2552ADDC" w14:textId="15B3744B" w:rsidR="00CE766F" w:rsidRPr="00CE766F" w:rsidRDefault="00CE766F" w:rsidP="00DD5D44">
      <w:pPr>
        <w:spacing w:after="120" w:line="276" w:lineRule="auto"/>
        <w:jc w:val="both"/>
        <w:rPr>
          <w:rFonts w:ascii="Verdana" w:eastAsia="Times New Roman" w:hAnsi="Verdana" w:cs="Segoe UI"/>
          <w:sz w:val="20"/>
          <w:szCs w:val="20"/>
          <w:lang w:eastAsia="es-ES_tradnl"/>
        </w:rPr>
      </w:pPr>
      <w:r w:rsidRPr="00CE766F">
        <w:rPr>
          <w:rFonts w:ascii="Verdana" w:eastAsia="Times New Roman" w:hAnsi="Verdana" w:cs="Segoe UI"/>
          <w:sz w:val="20"/>
          <w:szCs w:val="20"/>
          <w:lang w:eastAsia="es-ES_tradnl"/>
        </w:rPr>
        <w:t>Desde esta perspectiva, la autonomía reconocida a las entidades con régimen exceptuado les permite configurar su propio sistema de contratación y fijar los criterios de procedencia de las modalidades de selección que adopten. En consecuencia, si el manual de contratación contempla una modalidad de selección abreviada con un límite cuantitativo distinto al previsto en la Ley 1150 de 2007, ello no implica por sí mismo una infracción de las reglas de menor cuantía establecidas en dicha ley, puesto que estas regulan la actividad contractual de las entidades sometidas al Estatuto General de Contratación y no la de aquellas que, por disposición legal, se encuentran excluidas de su ámbito de aplicación</w:t>
      </w:r>
      <w:r w:rsidR="002C628A">
        <w:rPr>
          <w:rFonts w:ascii="Verdana" w:eastAsia="Times New Roman" w:hAnsi="Verdana" w:cs="Segoe UI"/>
          <w:sz w:val="20"/>
          <w:szCs w:val="20"/>
          <w:lang w:eastAsia="es-ES_tradnl"/>
        </w:rPr>
        <w:t>.</w:t>
      </w:r>
    </w:p>
    <w:p w14:paraId="62EA2AB8" w14:textId="77777777" w:rsidR="00DD5D44" w:rsidRPr="00DD5D44" w:rsidRDefault="00DD5D44" w:rsidP="00607CE2">
      <w:pPr>
        <w:jc w:val="both"/>
        <w:rPr>
          <w:rFonts w:ascii="Verdana" w:eastAsia="Calibri" w:hAnsi="Verdana" w:cs="Arial"/>
          <w:b/>
          <w:bCs/>
          <w:lang w:eastAsia="es-ES"/>
        </w:rPr>
      </w:pPr>
    </w:p>
    <w:p w14:paraId="5E03DADF" w14:textId="77777777" w:rsidR="002B0E66" w:rsidRPr="00607CE2" w:rsidRDefault="002B0E66" w:rsidP="00F60167">
      <w:pPr>
        <w:spacing w:after="0" w:line="240" w:lineRule="auto"/>
        <w:jc w:val="both"/>
        <w:rPr>
          <w:rFonts w:ascii="Verdana" w:hAnsi="Verdana"/>
          <w:lang w:val="es-ES"/>
        </w:rPr>
      </w:pPr>
    </w:p>
    <w:p w14:paraId="58D12499" w14:textId="77777777" w:rsidR="002C628A" w:rsidRDefault="002C628A" w:rsidP="00F60167">
      <w:pPr>
        <w:spacing w:after="0" w:line="240" w:lineRule="auto"/>
        <w:jc w:val="both"/>
        <w:rPr>
          <w:rFonts w:ascii="Verdana" w:hAnsi="Verdana"/>
        </w:rPr>
      </w:pPr>
    </w:p>
    <w:p w14:paraId="77D9504D" w14:textId="79569A7F" w:rsidR="00F60167" w:rsidRPr="00AC2CE1" w:rsidRDefault="00EE34E6" w:rsidP="00F60167">
      <w:pPr>
        <w:spacing w:after="0" w:line="240" w:lineRule="auto"/>
        <w:jc w:val="both"/>
        <w:rPr>
          <w:rFonts w:ascii="Verdana" w:hAnsi="Verdana"/>
        </w:rPr>
      </w:pPr>
      <w:r w:rsidRPr="00EE34E6">
        <w:rPr>
          <w:rFonts w:ascii="Verdana" w:hAnsi="Verdana"/>
        </w:rPr>
        <w:lastRenderedPageBreak/>
        <w:t xml:space="preserve">Bogotá D.C., 14 </w:t>
      </w:r>
      <w:r>
        <w:rPr>
          <w:rFonts w:ascii="Verdana" w:hAnsi="Verdana"/>
        </w:rPr>
        <w:t>o</w:t>
      </w:r>
      <w:r w:rsidRPr="00EE34E6">
        <w:rPr>
          <w:rFonts w:ascii="Verdana" w:hAnsi="Verdana"/>
        </w:rPr>
        <w:t>ctubre 2026</w:t>
      </w:r>
      <w:r>
        <w:rPr>
          <w:rFonts w:ascii="Verdana" w:hAnsi="Verdana"/>
        </w:rPr>
        <w:t xml:space="preserve"> </w:t>
      </w:r>
    </w:p>
    <w:p w14:paraId="66EA9CCC" w14:textId="53ECF4A2" w:rsidR="00F60167" w:rsidRPr="00FF710D" w:rsidRDefault="009C79CA" w:rsidP="00F60167">
      <w:pPr>
        <w:spacing w:after="0" w:line="240" w:lineRule="auto"/>
        <w:jc w:val="both"/>
        <w:rPr>
          <w:rFonts w:ascii="Verdana" w:eastAsia="Calibri" w:hAnsi="Verdana" w:cs="Arial"/>
          <w:lang w:eastAsia="es-ES"/>
        </w:rPr>
      </w:pPr>
      <w:bookmarkStart w:id="0" w:name="_Hlk197462763"/>
      <w:bookmarkStart w:id="1" w:name="_Hlk197529996"/>
      <w:r w:rsidRPr="009C79CA">
        <w:rPr>
          <w:rFonts w:ascii="Verdana" w:eastAsia="Calibri" w:hAnsi="Verdana" w:cs="Arial"/>
          <w:lang w:eastAsia="es-ES"/>
        </w:rPr>
        <w:drawing>
          <wp:anchor distT="0" distB="0" distL="114300" distR="114300" simplePos="0" relativeHeight="251660288" behindDoc="1" locked="0" layoutInCell="1" allowOverlap="1" wp14:anchorId="44F54A29" wp14:editId="10B5D322">
            <wp:simplePos x="0" y="0"/>
            <wp:positionH relativeFrom="column">
              <wp:posOffset>3386308</wp:posOffset>
            </wp:positionH>
            <wp:positionV relativeFrom="paragraph">
              <wp:posOffset>167640</wp:posOffset>
            </wp:positionV>
            <wp:extent cx="2505075" cy="742950"/>
            <wp:effectExtent l="0" t="0" r="9525" b="0"/>
            <wp:wrapTight wrapText="bothSides">
              <wp:wrapPolygon edited="0">
                <wp:start x="0" y="0"/>
                <wp:lineTo x="0" y="21046"/>
                <wp:lineTo x="21518" y="21046"/>
                <wp:lineTo x="21518" y="0"/>
                <wp:lineTo x="0" y="0"/>
              </wp:wrapPolygon>
            </wp:wrapTight>
            <wp:docPr id="6112532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253204" name=""/>
                    <pic:cNvPicPr/>
                  </pic:nvPicPr>
                  <pic:blipFill>
                    <a:blip r:embed="rId7">
                      <a:extLst>
                        <a:ext uri="{28A0092B-C50C-407E-A947-70E740481C1C}">
                          <a14:useLocalDpi xmlns:a14="http://schemas.microsoft.com/office/drawing/2010/main" val="0"/>
                        </a:ext>
                      </a:extLst>
                    </a:blip>
                    <a:stretch>
                      <a:fillRect/>
                    </a:stretch>
                  </pic:blipFill>
                  <pic:spPr>
                    <a:xfrm>
                      <a:off x="0" y="0"/>
                      <a:ext cx="2505075" cy="742950"/>
                    </a:xfrm>
                    <a:prstGeom prst="rect">
                      <a:avLst/>
                    </a:prstGeom>
                  </pic:spPr>
                </pic:pic>
              </a:graphicData>
            </a:graphic>
          </wp:anchor>
        </w:drawing>
      </w:r>
    </w:p>
    <w:p w14:paraId="518E1DA4" w14:textId="23A6E005" w:rsidR="00F60167" w:rsidRDefault="00F60167" w:rsidP="00F60167">
      <w:pPr>
        <w:spacing w:after="0" w:line="240" w:lineRule="auto"/>
        <w:jc w:val="both"/>
        <w:rPr>
          <w:rFonts w:ascii="Verdana" w:eastAsia="Calibri" w:hAnsi="Verdana" w:cs="Arial"/>
          <w:lang w:eastAsia="es-ES"/>
        </w:rPr>
      </w:pPr>
    </w:p>
    <w:p w14:paraId="54140D1F" w14:textId="77777777" w:rsidR="00F60167" w:rsidRPr="00FF710D" w:rsidRDefault="00F60167" w:rsidP="00F60167">
      <w:pPr>
        <w:spacing w:after="0" w:line="240" w:lineRule="auto"/>
        <w:jc w:val="both"/>
        <w:rPr>
          <w:rFonts w:ascii="Verdana" w:eastAsia="Calibri" w:hAnsi="Verdana" w:cs="Arial"/>
          <w:lang w:eastAsia="es-ES"/>
        </w:rPr>
      </w:pPr>
      <w:r w:rsidRPr="00FF710D">
        <w:rPr>
          <w:rFonts w:ascii="Verdana" w:eastAsia="Calibri" w:hAnsi="Verdana" w:cs="Arial"/>
          <w:lang w:eastAsia="es-ES"/>
        </w:rPr>
        <w:t>Señor</w:t>
      </w:r>
    </w:p>
    <w:p w14:paraId="2048315C" w14:textId="77777777" w:rsidR="00F60167" w:rsidRPr="00FF710D" w:rsidRDefault="00F60167" w:rsidP="00F60167">
      <w:pPr>
        <w:spacing w:after="0" w:line="240" w:lineRule="auto"/>
        <w:jc w:val="both"/>
        <w:rPr>
          <w:rFonts w:ascii="Verdana" w:eastAsia="Calibri" w:hAnsi="Verdana" w:cs="Arial"/>
          <w:b/>
          <w:bCs/>
          <w:lang w:eastAsia="es-ES"/>
        </w:rPr>
      </w:pPr>
      <w:r w:rsidRPr="00FF710D">
        <w:rPr>
          <w:rFonts w:ascii="Verdana" w:eastAsia="Calibri" w:hAnsi="Verdana" w:cs="Arial"/>
          <w:b/>
          <w:bCs/>
          <w:lang w:eastAsia="es-ES"/>
        </w:rPr>
        <w:t>Eduardo Enrique Zambrano Moreno</w:t>
      </w:r>
    </w:p>
    <w:p w14:paraId="0C9A5AC3" w14:textId="77777777" w:rsidR="00F60167" w:rsidRPr="00FF710D" w:rsidRDefault="00F60167" w:rsidP="00F60167">
      <w:pPr>
        <w:spacing w:after="0" w:line="240" w:lineRule="auto"/>
        <w:jc w:val="both"/>
        <w:rPr>
          <w:rFonts w:ascii="Verdana" w:eastAsia="Calibri" w:hAnsi="Verdana" w:cs="Arial"/>
          <w:b/>
          <w:bCs/>
          <w:lang w:eastAsia="es-ES"/>
        </w:rPr>
      </w:pPr>
      <w:hyperlink r:id="rId8" w:history="1">
        <w:r w:rsidRPr="004722F3">
          <w:rPr>
            <w:rStyle w:val="Hipervnculo"/>
            <w:rFonts w:ascii="Verdana" w:eastAsia="Calibri" w:hAnsi="Verdana" w:cs="Arial"/>
            <w:b/>
            <w:bCs/>
            <w:lang w:eastAsia="es-ES"/>
          </w:rPr>
          <w:t>comovamosapartado@gmail.com</w:t>
        </w:r>
      </w:hyperlink>
      <w:r w:rsidRPr="004722F3">
        <w:rPr>
          <w:rFonts w:ascii="Verdana" w:eastAsia="Calibri" w:hAnsi="Verdana" w:cs="Arial"/>
          <w:b/>
          <w:bCs/>
          <w:lang w:eastAsia="es-ES"/>
        </w:rPr>
        <w:t xml:space="preserve"> </w:t>
      </w:r>
    </w:p>
    <w:p w14:paraId="18989122" w14:textId="77777777" w:rsidR="00F60167" w:rsidRPr="00FF710D" w:rsidRDefault="00F60167" w:rsidP="00F60167">
      <w:pPr>
        <w:spacing w:after="0" w:line="240" w:lineRule="auto"/>
        <w:jc w:val="both"/>
        <w:rPr>
          <w:rFonts w:ascii="Verdana" w:eastAsia="Calibri" w:hAnsi="Verdana" w:cs="Arial"/>
          <w:bCs/>
          <w:lang w:eastAsia="es-ES_tradnl"/>
        </w:rPr>
      </w:pPr>
      <w:r w:rsidRPr="00FF710D">
        <w:rPr>
          <w:rFonts w:ascii="Verdana" w:eastAsia="Calibri" w:hAnsi="Verdana" w:cs="Arial"/>
          <w:bCs/>
          <w:lang w:eastAsia="es-ES_tradnl"/>
        </w:rPr>
        <w:t>Ciudad</w:t>
      </w:r>
    </w:p>
    <w:p w14:paraId="300471DC" w14:textId="77777777" w:rsidR="00F60167" w:rsidRPr="00AC2CE1" w:rsidRDefault="00F60167" w:rsidP="00F60167">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F60167" w:rsidRPr="00AC2CE1" w14:paraId="1CAA0276" w14:textId="77777777" w:rsidTr="00CE1FD4">
        <w:trPr>
          <w:trHeight w:val="162"/>
        </w:trPr>
        <w:tc>
          <w:tcPr>
            <w:tcW w:w="3119" w:type="dxa"/>
          </w:tcPr>
          <w:p w14:paraId="3590DAB7" w14:textId="77777777" w:rsidR="00F60167" w:rsidRPr="00AC2CE1" w:rsidRDefault="00F60167" w:rsidP="00CE1FD4">
            <w:pPr>
              <w:jc w:val="both"/>
              <w:rPr>
                <w:rFonts w:ascii="Verdana" w:eastAsia="Calibri" w:hAnsi="Verdana" w:cs="Arial"/>
                <w:b/>
                <w:bCs/>
                <w:color w:val="7030A0"/>
                <w:lang w:val="it-CH" w:eastAsia="es-ES_tradnl"/>
              </w:rPr>
            </w:pPr>
          </w:p>
        </w:tc>
        <w:tc>
          <w:tcPr>
            <w:tcW w:w="5670" w:type="dxa"/>
          </w:tcPr>
          <w:p w14:paraId="11237780" w14:textId="77777777" w:rsidR="00F60167" w:rsidRPr="00AC2CE1" w:rsidRDefault="00F60167" w:rsidP="00CE1FD4">
            <w:pPr>
              <w:jc w:val="both"/>
              <w:rPr>
                <w:rFonts w:ascii="Verdana" w:eastAsia="Calibri" w:hAnsi="Verdana" w:cs="Arial"/>
                <w:b/>
                <w:bCs/>
                <w:lang w:eastAsia="es-ES"/>
              </w:rPr>
            </w:pPr>
            <w:r w:rsidRPr="00AC2CE1">
              <w:rPr>
                <w:rFonts w:ascii="Verdana" w:eastAsia="Calibri" w:hAnsi="Verdana" w:cs="Arial"/>
                <w:b/>
                <w:bCs/>
                <w:lang w:eastAsia="es-ES"/>
              </w:rPr>
              <w:t>Concepto C- 1</w:t>
            </w:r>
            <w:r>
              <w:rPr>
                <w:rFonts w:ascii="Verdana" w:eastAsia="Calibri" w:hAnsi="Verdana" w:cs="Arial"/>
                <w:b/>
                <w:bCs/>
                <w:lang w:eastAsia="es-ES"/>
              </w:rPr>
              <w:t>399</w:t>
            </w:r>
            <w:r w:rsidRPr="00AC2CE1">
              <w:rPr>
                <w:rFonts w:ascii="Verdana" w:eastAsia="Calibri" w:hAnsi="Verdana" w:cs="Arial"/>
                <w:b/>
                <w:bCs/>
                <w:lang w:eastAsia="es-ES"/>
              </w:rPr>
              <w:t xml:space="preserve"> de 2026</w:t>
            </w:r>
          </w:p>
          <w:p w14:paraId="18AC14E3" w14:textId="77777777" w:rsidR="00F60167" w:rsidRPr="00AC2CE1" w:rsidRDefault="00F60167" w:rsidP="00CE1FD4">
            <w:pPr>
              <w:jc w:val="both"/>
              <w:rPr>
                <w:rFonts w:ascii="Verdana" w:eastAsia="Calibri" w:hAnsi="Verdana" w:cs="Arial"/>
                <w:b/>
                <w:bCs/>
                <w:color w:val="7030A0"/>
                <w:lang w:eastAsia="es-ES"/>
              </w:rPr>
            </w:pPr>
          </w:p>
        </w:tc>
      </w:tr>
      <w:tr w:rsidR="00F60167" w:rsidRPr="00AC2CE1" w14:paraId="3AC226A1" w14:textId="77777777" w:rsidTr="00CE1FD4">
        <w:trPr>
          <w:trHeight w:val="884"/>
        </w:trPr>
        <w:tc>
          <w:tcPr>
            <w:tcW w:w="3119" w:type="dxa"/>
          </w:tcPr>
          <w:p w14:paraId="412D32F9" w14:textId="77777777" w:rsidR="00F60167" w:rsidRPr="00AC2CE1" w:rsidRDefault="00F60167" w:rsidP="00CE1FD4">
            <w:pPr>
              <w:jc w:val="both"/>
              <w:rPr>
                <w:rFonts w:ascii="Verdana" w:eastAsia="Calibri" w:hAnsi="Verdana" w:cs="Arial"/>
                <w:color w:val="000000"/>
                <w:lang w:eastAsia="es-ES_tradnl"/>
              </w:rPr>
            </w:pPr>
            <w:r w:rsidRPr="00AC2CE1">
              <w:rPr>
                <w:rFonts w:ascii="Verdana" w:eastAsia="Calibri" w:hAnsi="Verdana" w:cs="Arial"/>
                <w:b/>
                <w:color w:val="000000"/>
                <w:lang w:eastAsia="es-ES_tradnl"/>
              </w:rPr>
              <w:t>Temas:</w:t>
            </w:r>
            <w:r w:rsidRPr="00AC2CE1">
              <w:rPr>
                <w:rFonts w:ascii="Verdana" w:eastAsia="Calibri" w:hAnsi="Verdana" w:cs="Arial"/>
                <w:color w:val="000000"/>
                <w:lang w:eastAsia="es-ES_tradnl"/>
              </w:rPr>
              <w:t xml:space="preserve">                   </w:t>
            </w:r>
          </w:p>
        </w:tc>
        <w:tc>
          <w:tcPr>
            <w:tcW w:w="5670" w:type="dxa"/>
          </w:tcPr>
          <w:p w14:paraId="7E094695" w14:textId="77777777" w:rsidR="00F60167" w:rsidRDefault="00F60167" w:rsidP="00CE1FD4">
            <w:pPr>
              <w:jc w:val="both"/>
              <w:rPr>
                <w:rFonts w:ascii="Verdana" w:eastAsia="Calibri" w:hAnsi="Verdana" w:cs="Arial"/>
                <w:lang w:val="es-ES" w:eastAsia="es-ES"/>
              </w:rPr>
            </w:pPr>
            <w:r w:rsidRPr="00AF085A">
              <w:rPr>
                <w:rFonts w:ascii="Verdana" w:eastAsia="Calibri" w:hAnsi="Verdana" w:cs="Arial"/>
                <w:lang w:val="es-ES" w:eastAsia="es-ES"/>
              </w:rPr>
              <w:t xml:space="preserve">SELECCIÓN ABREVIADA DE MENOR CUANTÍA – Características </w:t>
            </w:r>
            <w:r>
              <w:rPr>
                <w:rFonts w:ascii="Verdana" w:eastAsia="Calibri" w:hAnsi="Verdana" w:cs="Arial"/>
                <w:lang w:val="es-ES" w:eastAsia="es-ES"/>
              </w:rPr>
              <w:t xml:space="preserve">– Topes – Excepciones a los topes / </w:t>
            </w:r>
            <w:r w:rsidRPr="00515C0B">
              <w:rPr>
                <w:rFonts w:ascii="Verdana" w:eastAsia="Geomanist Light" w:hAnsi="Verdana" w:cs="Arial"/>
                <w:color w:val="000000"/>
                <w:lang w:val="es-MX"/>
              </w:rPr>
              <w:t>EMPRESAS INDUSTRIALES Y COMERCIALES DEL ESTADO – Naturaleza jurídica – Régimen de contratación /</w:t>
            </w:r>
            <w:r w:rsidRPr="00515C0B">
              <w:rPr>
                <w:rFonts w:ascii="Verdana" w:eastAsia="Calibri" w:hAnsi="Verdana" w:cs="Arial"/>
                <w:b/>
                <w:bCs/>
                <w:color w:val="4472C4"/>
                <w:lang w:val="es-ES" w:eastAsia="es-ES"/>
              </w:rPr>
              <w:t xml:space="preserve"> </w:t>
            </w:r>
            <w:r>
              <w:rPr>
                <w:rFonts w:ascii="Verdana" w:eastAsia="Geomanist Light" w:hAnsi="Verdana" w:cs="Arial"/>
                <w:color w:val="000000"/>
                <w:lang w:val="es-MX"/>
              </w:rPr>
              <w:t xml:space="preserve">REGIMENES ESPECIALES – Autonomía – Modalidades de selección – Topes </w:t>
            </w:r>
          </w:p>
          <w:p w14:paraId="44E5B0F3" w14:textId="77777777" w:rsidR="00F60167" w:rsidRPr="00A8379E" w:rsidRDefault="00F60167" w:rsidP="00CE1FD4">
            <w:pPr>
              <w:jc w:val="both"/>
              <w:rPr>
                <w:rFonts w:ascii="Verdana" w:eastAsia="Calibri" w:hAnsi="Verdana" w:cs="Arial"/>
                <w:lang w:val="es-ES" w:eastAsia="es-ES"/>
              </w:rPr>
            </w:pPr>
          </w:p>
        </w:tc>
      </w:tr>
      <w:tr w:rsidR="00F60167" w:rsidRPr="00AC2CE1" w14:paraId="3FC14BB0" w14:textId="77777777" w:rsidTr="00CE1FD4">
        <w:tc>
          <w:tcPr>
            <w:tcW w:w="3119" w:type="dxa"/>
          </w:tcPr>
          <w:p w14:paraId="4550CBD9" w14:textId="77777777" w:rsidR="00F60167" w:rsidRPr="004D0174" w:rsidRDefault="00F60167" w:rsidP="00CE1FD4">
            <w:pPr>
              <w:jc w:val="both"/>
              <w:rPr>
                <w:rFonts w:ascii="Verdana" w:eastAsia="Calibri" w:hAnsi="Verdana" w:cs="Arial"/>
                <w:b/>
                <w:lang w:eastAsia="es-ES_tradnl"/>
              </w:rPr>
            </w:pPr>
            <w:r w:rsidRPr="004D0174">
              <w:rPr>
                <w:rFonts w:ascii="Verdana" w:eastAsia="Calibri" w:hAnsi="Verdana" w:cs="Arial"/>
                <w:b/>
                <w:lang w:eastAsia="es-ES_tradnl"/>
              </w:rPr>
              <w:t>Radicación:</w:t>
            </w:r>
            <w:r w:rsidRPr="004D0174">
              <w:rPr>
                <w:rFonts w:ascii="Verdana" w:eastAsia="Calibri" w:hAnsi="Verdana" w:cs="Arial"/>
                <w:lang w:eastAsia="es-ES_tradnl"/>
              </w:rPr>
              <w:t xml:space="preserve">               </w:t>
            </w:r>
          </w:p>
        </w:tc>
        <w:tc>
          <w:tcPr>
            <w:tcW w:w="5670" w:type="dxa"/>
          </w:tcPr>
          <w:p w14:paraId="47A92A1C" w14:textId="77777777" w:rsidR="00F60167" w:rsidRPr="007D5A3D" w:rsidRDefault="00F60167" w:rsidP="00CE1FD4">
            <w:pPr>
              <w:jc w:val="both"/>
              <w:rPr>
                <w:rFonts w:ascii="Verdana" w:eastAsia="Calibri" w:hAnsi="Verdana" w:cs="Arial"/>
                <w:lang w:eastAsia="es-ES_tradnl"/>
              </w:rPr>
            </w:pPr>
            <w:r w:rsidRPr="004D0174">
              <w:rPr>
                <w:rFonts w:ascii="Verdana" w:eastAsia="Calibri" w:hAnsi="Verdana" w:cs="Arial"/>
                <w:lang w:eastAsia="es-ES_tradnl"/>
              </w:rPr>
              <w:t xml:space="preserve">Respuesta a consulta con radicado </w:t>
            </w:r>
            <w:r w:rsidRPr="003D6B0D">
              <w:rPr>
                <w:rFonts w:ascii="Verdana" w:hAnsi="Verdana"/>
                <w:color w:val="000000" w:themeColor="text1"/>
              </w:rPr>
              <w:t>1_2026_09_07_011838</w:t>
            </w:r>
          </w:p>
        </w:tc>
      </w:tr>
    </w:tbl>
    <w:p w14:paraId="75817EC5" w14:textId="77777777" w:rsidR="00F60167" w:rsidRDefault="00F60167" w:rsidP="00F60167">
      <w:pPr>
        <w:spacing w:after="0" w:line="240" w:lineRule="auto"/>
        <w:jc w:val="both"/>
        <w:rPr>
          <w:rFonts w:ascii="Verdana" w:eastAsia="Calibri" w:hAnsi="Verdana" w:cs="Arial"/>
          <w:lang w:eastAsia="es-ES_tradnl"/>
        </w:rPr>
      </w:pPr>
    </w:p>
    <w:p w14:paraId="03E9319F" w14:textId="77777777" w:rsidR="00F60167" w:rsidRPr="00AC2CE1" w:rsidRDefault="00F60167" w:rsidP="00F60167">
      <w:pPr>
        <w:spacing w:after="0" w:line="240" w:lineRule="auto"/>
        <w:jc w:val="both"/>
        <w:rPr>
          <w:rFonts w:ascii="Verdana" w:eastAsia="Calibri" w:hAnsi="Verdana" w:cs="Arial"/>
          <w:lang w:eastAsia="es-ES_tradnl"/>
        </w:rPr>
      </w:pPr>
    </w:p>
    <w:p w14:paraId="24216386" w14:textId="77777777" w:rsidR="00F60167" w:rsidRPr="008E4F36" w:rsidRDefault="00F60167" w:rsidP="00F60167">
      <w:pPr>
        <w:spacing w:after="0" w:line="276" w:lineRule="auto"/>
        <w:jc w:val="both"/>
        <w:rPr>
          <w:rFonts w:ascii="Verdana" w:eastAsia="Calibri" w:hAnsi="Verdana" w:cs="Arial"/>
          <w:lang w:eastAsia="es-ES"/>
        </w:rPr>
      </w:pPr>
      <w:r w:rsidRPr="00083AB6">
        <w:rPr>
          <w:rFonts w:ascii="Verdana" w:eastAsia="Calibri" w:hAnsi="Verdana" w:cs="Arial"/>
          <w:lang w:eastAsia="es-ES"/>
        </w:rPr>
        <w:t>Estimad</w:t>
      </w:r>
      <w:r>
        <w:rPr>
          <w:rFonts w:ascii="Verdana" w:eastAsia="Calibri" w:hAnsi="Verdana" w:cs="Arial"/>
          <w:lang w:eastAsia="es-ES"/>
        </w:rPr>
        <w:t>o señor Zambrano</w:t>
      </w:r>
      <w:r w:rsidRPr="00083AB6">
        <w:rPr>
          <w:rFonts w:ascii="Verdana" w:eastAsia="Calibri" w:hAnsi="Verdana" w:cs="Arial"/>
          <w:lang w:eastAsia="es-ES"/>
        </w:rPr>
        <w:t>:</w:t>
      </w:r>
      <w:r w:rsidRPr="008E4F36">
        <w:rPr>
          <w:rFonts w:ascii="Verdana" w:eastAsia="Calibri" w:hAnsi="Verdana" w:cs="Arial"/>
          <w:lang w:eastAsia="es-ES"/>
        </w:rPr>
        <w:t xml:space="preserve"> </w:t>
      </w:r>
    </w:p>
    <w:p w14:paraId="2FF3DF73" w14:textId="77777777" w:rsidR="00F60167" w:rsidRDefault="00F60167" w:rsidP="00F60167">
      <w:pPr>
        <w:tabs>
          <w:tab w:val="left" w:pos="3768"/>
        </w:tabs>
        <w:spacing w:after="0" w:line="276" w:lineRule="auto"/>
        <w:jc w:val="both"/>
        <w:rPr>
          <w:rFonts w:ascii="Verdana" w:eastAsia="Calibri" w:hAnsi="Verdana" w:cs="Arial"/>
          <w:lang w:eastAsia="es-ES"/>
        </w:rPr>
      </w:pPr>
    </w:p>
    <w:p w14:paraId="39D01B77" w14:textId="77777777" w:rsidR="00F60167" w:rsidRDefault="00F60167" w:rsidP="00F60167">
      <w:pPr>
        <w:tabs>
          <w:tab w:val="left" w:pos="3768"/>
        </w:tabs>
        <w:spacing w:after="0" w:line="276" w:lineRule="auto"/>
        <w:jc w:val="both"/>
        <w:rPr>
          <w:rFonts w:ascii="Verdana" w:eastAsia="Calibri" w:hAnsi="Verdana" w:cs="Arial"/>
          <w:lang w:eastAsia="es-ES"/>
        </w:rPr>
      </w:pPr>
      <w:r w:rsidRPr="000F2158">
        <w:rPr>
          <w:rFonts w:ascii="Verdana" w:eastAsia="Calibri" w:hAnsi="Verdana" w:cs="Arial"/>
          <w:lang w:eastAsia="es-ES"/>
        </w:rPr>
        <w:t xml:space="preserve">En ejercicio de la competencia otorgada por los artículos 3, numeral 5º, y 11, numeral 8º, del Decreto Ley 4170 de 2011, así como lo establecido en la Resolución </w:t>
      </w:r>
      <w:r>
        <w:rPr>
          <w:rFonts w:ascii="Verdana" w:eastAsia="Calibri" w:hAnsi="Verdana" w:cs="Arial"/>
          <w:lang w:eastAsia="es-ES"/>
        </w:rPr>
        <w:t>469 de 2025</w:t>
      </w:r>
      <w:r w:rsidRPr="000F2158">
        <w:rPr>
          <w:rFonts w:ascii="Verdana" w:eastAsia="Calibri" w:hAnsi="Verdana" w:cs="Arial"/>
          <w:lang w:eastAsia="es-ES"/>
        </w:rPr>
        <w:t xml:space="preserve"> expedida por esta Entidad, la Agencia Nacional de Contratación Pública – Colombia Compra Eficiente– responde su solicitud de consulta de fecha </w:t>
      </w:r>
      <w:r>
        <w:rPr>
          <w:rFonts w:ascii="Verdana" w:eastAsia="Calibri" w:hAnsi="Verdana" w:cs="Arial"/>
          <w:lang w:eastAsia="es-ES"/>
        </w:rPr>
        <w:t>21</w:t>
      </w:r>
      <w:r w:rsidRPr="00AF6D58">
        <w:rPr>
          <w:rFonts w:ascii="Verdana" w:eastAsia="Calibri" w:hAnsi="Verdana" w:cs="Arial"/>
          <w:lang w:eastAsia="es-ES"/>
        </w:rPr>
        <w:t xml:space="preserve"> de </w:t>
      </w:r>
      <w:r>
        <w:rPr>
          <w:rFonts w:ascii="Verdana" w:eastAsia="Calibri" w:hAnsi="Verdana" w:cs="Arial"/>
          <w:lang w:eastAsia="es-ES"/>
        </w:rPr>
        <w:t xml:space="preserve">septiembre </w:t>
      </w:r>
      <w:r w:rsidRPr="00AF6D58">
        <w:rPr>
          <w:rFonts w:ascii="Verdana" w:eastAsia="Calibri" w:hAnsi="Verdana" w:cs="Arial"/>
          <w:lang w:eastAsia="es-ES"/>
        </w:rPr>
        <w:t>de 202</w:t>
      </w:r>
      <w:r>
        <w:rPr>
          <w:rFonts w:ascii="Verdana" w:eastAsia="Calibri" w:hAnsi="Verdana" w:cs="Arial"/>
          <w:lang w:eastAsia="es-ES"/>
        </w:rPr>
        <w:t>6</w:t>
      </w:r>
      <w:r w:rsidRPr="00AF6D58">
        <w:rPr>
          <w:rFonts w:ascii="Verdana" w:eastAsia="Calibri" w:hAnsi="Verdana" w:cs="Arial"/>
          <w:lang w:eastAsia="es-ES"/>
        </w:rPr>
        <w:t>,</w:t>
      </w:r>
      <w:r w:rsidRPr="000F2158">
        <w:rPr>
          <w:rFonts w:ascii="Verdana" w:eastAsia="Calibri" w:hAnsi="Verdana" w:cs="Arial"/>
          <w:lang w:eastAsia="es-ES"/>
        </w:rPr>
        <w:t xml:space="preserve"> en la cual manifiesta lo siguiente:</w:t>
      </w:r>
    </w:p>
    <w:p w14:paraId="7FBA7227" w14:textId="77777777" w:rsidR="00F60167" w:rsidRPr="00962179" w:rsidRDefault="00F60167" w:rsidP="00F60167">
      <w:pPr>
        <w:tabs>
          <w:tab w:val="left" w:pos="3768"/>
        </w:tabs>
        <w:spacing w:after="0" w:line="276" w:lineRule="auto"/>
        <w:jc w:val="both"/>
        <w:rPr>
          <w:rFonts w:ascii="Verdana" w:eastAsia="Calibri" w:hAnsi="Verdana" w:cs="Arial"/>
          <w:lang w:eastAsia="es-ES"/>
        </w:rPr>
      </w:pPr>
    </w:p>
    <w:p w14:paraId="2EBA3EC6" w14:textId="77777777" w:rsidR="00F60167" w:rsidRPr="00CA38B4" w:rsidRDefault="00F60167" w:rsidP="00F60167">
      <w:pPr>
        <w:spacing w:after="0" w:line="240" w:lineRule="auto"/>
        <w:ind w:left="710" w:right="709" w:hanging="1"/>
        <w:jc w:val="both"/>
        <w:rPr>
          <w:rFonts w:ascii="Verdana" w:hAnsi="Verdana" w:cs="Arial"/>
          <w:sz w:val="20"/>
          <w:szCs w:val="20"/>
          <w:lang w:val="es-ES_tradnl"/>
        </w:rPr>
      </w:pPr>
      <w:r w:rsidRPr="00CA38B4">
        <w:rPr>
          <w:rFonts w:ascii="Verdana" w:hAnsi="Verdana" w:cs="Arial"/>
          <w:sz w:val="20"/>
          <w:szCs w:val="20"/>
          <w:lang w:val="es-ES_tradnl"/>
        </w:rPr>
        <w:t xml:space="preserve">“(…) b) La contratación de menor cuantía. Se entenderá por menor cuantía los valores que a continuación se relacionan, determinados en función de los presupuestos anuales de las entidades públicas expresados en salarios mínimos legales mensuales. </w:t>
      </w:r>
    </w:p>
    <w:p w14:paraId="3A070E78" w14:textId="77777777" w:rsidR="00F60167" w:rsidRPr="00CA38B4" w:rsidRDefault="00F60167" w:rsidP="00F60167">
      <w:pPr>
        <w:spacing w:after="0" w:line="240" w:lineRule="auto"/>
        <w:ind w:left="710" w:right="709" w:hanging="1"/>
        <w:jc w:val="both"/>
        <w:rPr>
          <w:rFonts w:ascii="Verdana" w:hAnsi="Verdana" w:cs="Arial"/>
          <w:sz w:val="20"/>
          <w:szCs w:val="20"/>
          <w:lang w:val="es-ES_tradnl"/>
        </w:rPr>
      </w:pPr>
    </w:p>
    <w:p w14:paraId="3BC2D195" w14:textId="77777777" w:rsidR="00F60167" w:rsidRPr="00CA38B4" w:rsidRDefault="00F60167" w:rsidP="00F60167">
      <w:pPr>
        <w:spacing w:after="0" w:line="240" w:lineRule="auto"/>
        <w:ind w:left="710" w:right="709" w:hanging="1"/>
        <w:jc w:val="both"/>
        <w:rPr>
          <w:rFonts w:ascii="Verdana" w:hAnsi="Verdana" w:cs="Arial"/>
          <w:sz w:val="20"/>
          <w:szCs w:val="20"/>
          <w:lang w:val="es-ES_tradnl"/>
        </w:rPr>
      </w:pPr>
      <w:r w:rsidRPr="00CA38B4">
        <w:rPr>
          <w:rFonts w:ascii="Verdana" w:hAnsi="Verdana" w:cs="Arial"/>
          <w:sz w:val="20"/>
          <w:szCs w:val="20"/>
          <w:lang w:val="es-ES_tradnl"/>
        </w:rPr>
        <w:t>Para las entidades que tengan un presupuesto anual superior o igual a 1.200.000 salarios mínimos legales mensuales, la menor cuantía será hasta 1.000 salarios mínimos legales mensuales.</w:t>
      </w:r>
    </w:p>
    <w:p w14:paraId="3BEF1F9D" w14:textId="77777777" w:rsidR="00F60167" w:rsidRPr="00CA38B4" w:rsidRDefault="00F60167" w:rsidP="00F60167">
      <w:pPr>
        <w:spacing w:after="0" w:line="240" w:lineRule="auto"/>
        <w:ind w:left="710" w:right="709" w:hanging="1"/>
        <w:jc w:val="both"/>
        <w:rPr>
          <w:rFonts w:ascii="Verdana" w:hAnsi="Verdana" w:cs="Arial"/>
          <w:sz w:val="20"/>
          <w:szCs w:val="20"/>
          <w:lang w:val="es-ES_tradnl"/>
        </w:rPr>
      </w:pPr>
    </w:p>
    <w:p w14:paraId="45964879" w14:textId="77777777" w:rsidR="00DD5D44" w:rsidRDefault="00F60167" w:rsidP="00F60167">
      <w:pPr>
        <w:spacing w:after="0" w:line="240" w:lineRule="auto"/>
        <w:ind w:left="710" w:right="709" w:hanging="1"/>
        <w:jc w:val="both"/>
        <w:rPr>
          <w:rFonts w:ascii="Verdana" w:hAnsi="Verdana" w:cs="Arial"/>
          <w:sz w:val="20"/>
          <w:szCs w:val="20"/>
          <w:lang w:val="es-ES_tradnl"/>
        </w:rPr>
      </w:pPr>
      <w:r w:rsidRPr="00CA38B4">
        <w:rPr>
          <w:rFonts w:ascii="Verdana" w:hAnsi="Verdana" w:cs="Arial"/>
          <w:sz w:val="20"/>
          <w:szCs w:val="20"/>
          <w:lang w:val="es-ES_tradnl"/>
        </w:rPr>
        <w:t>Las que tengan un presupuesto anual superior o igual a 400.000 salarios mínimos legales mensuales e inferior a 850.000 salarios mínimos legales mensuales, la menor cuantía s</w:t>
      </w:r>
    </w:p>
    <w:p w14:paraId="5D1737CE" w14:textId="77777777" w:rsidR="00DD5D44" w:rsidRDefault="00DD5D44" w:rsidP="00F60167">
      <w:pPr>
        <w:spacing w:after="0" w:line="240" w:lineRule="auto"/>
        <w:ind w:left="710" w:right="709" w:hanging="1"/>
        <w:jc w:val="both"/>
        <w:rPr>
          <w:rFonts w:ascii="Verdana" w:hAnsi="Verdana" w:cs="Arial"/>
          <w:sz w:val="20"/>
          <w:szCs w:val="20"/>
          <w:lang w:val="es-ES_tradnl"/>
        </w:rPr>
      </w:pPr>
    </w:p>
    <w:p w14:paraId="5F9CA5BF" w14:textId="31672585" w:rsidR="00F60167" w:rsidRPr="00CA38B4" w:rsidRDefault="00F60167" w:rsidP="00F60167">
      <w:pPr>
        <w:spacing w:after="0" w:line="240" w:lineRule="auto"/>
        <w:ind w:left="710" w:right="709" w:hanging="1"/>
        <w:jc w:val="both"/>
        <w:rPr>
          <w:rFonts w:ascii="Verdana" w:hAnsi="Verdana" w:cs="Arial"/>
          <w:sz w:val="20"/>
          <w:szCs w:val="20"/>
          <w:lang w:val="es-ES_tradnl"/>
        </w:rPr>
      </w:pPr>
      <w:proofErr w:type="spellStart"/>
      <w:r w:rsidRPr="00CA38B4">
        <w:rPr>
          <w:rFonts w:ascii="Verdana" w:hAnsi="Verdana" w:cs="Arial"/>
          <w:sz w:val="20"/>
          <w:szCs w:val="20"/>
          <w:lang w:val="es-ES_tradnl"/>
        </w:rPr>
        <w:lastRenderedPageBreak/>
        <w:t>erá</w:t>
      </w:r>
      <w:proofErr w:type="spellEnd"/>
      <w:r w:rsidRPr="00CA38B4">
        <w:rPr>
          <w:rFonts w:ascii="Verdana" w:hAnsi="Verdana" w:cs="Arial"/>
          <w:sz w:val="20"/>
          <w:szCs w:val="20"/>
          <w:lang w:val="es-ES_tradnl"/>
        </w:rPr>
        <w:t xml:space="preserve"> hasta 650 salarios mínimos legales mensuales. </w:t>
      </w:r>
    </w:p>
    <w:p w14:paraId="178F76D1" w14:textId="77777777" w:rsidR="00F60167" w:rsidRPr="00CA38B4" w:rsidRDefault="00F60167" w:rsidP="00F60167">
      <w:pPr>
        <w:spacing w:after="0" w:line="240" w:lineRule="auto"/>
        <w:ind w:left="710" w:right="709" w:hanging="1"/>
        <w:jc w:val="both"/>
        <w:rPr>
          <w:rFonts w:ascii="Verdana" w:hAnsi="Verdana" w:cs="Arial"/>
          <w:sz w:val="20"/>
          <w:szCs w:val="20"/>
          <w:lang w:val="es-ES_tradnl"/>
        </w:rPr>
      </w:pPr>
    </w:p>
    <w:p w14:paraId="75CDEF03" w14:textId="77777777" w:rsidR="00F60167" w:rsidRPr="00CA38B4" w:rsidRDefault="00F60167" w:rsidP="00F60167">
      <w:pPr>
        <w:spacing w:after="0" w:line="240" w:lineRule="auto"/>
        <w:ind w:left="710" w:right="709" w:hanging="1"/>
        <w:jc w:val="both"/>
        <w:rPr>
          <w:rFonts w:ascii="Verdana" w:hAnsi="Verdana" w:cs="Arial"/>
          <w:sz w:val="20"/>
          <w:szCs w:val="20"/>
          <w:lang w:val="es-ES_tradnl"/>
        </w:rPr>
      </w:pPr>
      <w:r w:rsidRPr="00CA38B4">
        <w:rPr>
          <w:rFonts w:ascii="Verdana" w:hAnsi="Verdana" w:cs="Arial"/>
          <w:sz w:val="20"/>
          <w:szCs w:val="20"/>
          <w:lang w:val="es-ES_tradnl"/>
        </w:rPr>
        <w:t xml:space="preserve">Las que tengan un presupuesto anual superior o igual a 120.000 salarios mínimos legales mensuales e inferior a 400.000 salarios mínimos legales mensuales, la menor cuantía será hasta 450 salarios mínimos legales mensuales. </w:t>
      </w:r>
    </w:p>
    <w:p w14:paraId="7857440B" w14:textId="77777777" w:rsidR="00F60167" w:rsidRPr="00CA38B4" w:rsidRDefault="00F60167" w:rsidP="00F60167">
      <w:pPr>
        <w:spacing w:after="0" w:line="240" w:lineRule="auto"/>
        <w:ind w:left="710" w:right="709" w:hanging="1"/>
        <w:jc w:val="both"/>
        <w:rPr>
          <w:rFonts w:ascii="Verdana" w:hAnsi="Verdana" w:cs="Arial"/>
          <w:sz w:val="20"/>
          <w:szCs w:val="20"/>
          <w:lang w:val="es-ES_tradnl"/>
        </w:rPr>
      </w:pPr>
    </w:p>
    <w:p w14:paraId="46DA40DF" w14:textId="77777777" w:rsidR="00F60167" w:rsidRPr="00CA38B4" w:rsidRDefault="00F60167" w:rsidP="00F60167">
      <w:pPr>
        <w:spacing w:after="0" w:line="240" w:lineRule="auto"/>
        <w:ind w:left="710" w:right="709" w:hanging="1"/>
        <w:jc w:val="both"/>
        <w:rPr>
          <w:rFonts w:ascii="Verdana" w:hAnsi="Verdana" w:cs="Arial"/>
          <w:sz w:val="20"/>
          <w:szCs w:val="20"/>
          <w:lang w:val="es-ES_tradnl"/>
        </w:rPr>
      </w:pPr>
      <w:r w:rsidRPr="00CA38B4">
        <w:rPr>
          <w:rFonts w:ascii="Verdana" w:hAnsi="Verdana" w:cs="Arial"/>
          <w:sz w:val="20"/>
          <w:szCs w:val="20"/>
          <w:lang w:val="es-ES_tradnl"/>
        </w:rPr>
        <w:t>Las que tengan un presupuesto anual inferior a 120.000 salarios mínimos legales mensuales, la menor cuantía será hasta 280 salarios mínimos legales mensuales;</w:t>
      </w:r>
    </w:p>
    <w:p w14:paraId="3DF793FD" w14:textId="77777777" w:rsidR="00F60167" w:rsidRPr="00CA38B4" w:rsidRDefault="00F60167" w:rsidP="00F60167">
      <w:pPr>
        <w:spacing w:after="0" w:line="240" w:lineRule="auto"/>
        <w:ind w:left="710" w:right="709" w:hanging="1"/>
        <w:jc w:val="both"/>
        <w:rPr>
          <w:rFonts w:ascii="Verdana" w:hAnsi="Verdana" w:cs="Arial"/>
          <w:sz w:val="20"/>
          <w:szCs w:val="20"/>
          <w:lang w:val="es-ES_tradnl"/>
        </w:rPr>
      </w:pPr>
    </w:p>
    <w:p w14:paraId="5DF516BE" w14:textId="77777777" w:rsidR="00F60167" w:rsidRPr="00CA38B4" w:rsidRDefault="00F60167" w:rsidP="00F60167">
      <w:pPr>
        <w:spacing w:after="0" w:line="240" w:lineRule="auto"/>
        <w:ind w:left="710" w:right="709" w:hanging="1"/>
        <w:jc w:val="both"/>
        <w:rPr>
          <w:rFonts w:ascii="Verdana" w:hAnsi="Verdana" w:cs="Arial"/>
          <w:sz w:val="20"/>
          <w:szCs w:val="20"/>
          <w:lang w:val="es-ES_tradnl"/>
        </w:rPr>
      </w:pPr>
      <w:r w:rsidRPr="00CA38B4">
        <w:rPr>
          <w:rFonts w:ascii="Verdana" w:hAnsi="Verdana" w:cs="Arial"/>
          <w:sz w:val="20"/>
          <w:szCs w:val="20"/>
          <w:lang w:val="es-ES_tradnl"/>
        </w:rPr>
        <w:t xml:space="preserve">Le ruego que me indique si estas cuantías antes mencionadas tienen alguna excepción y si pueden ser superadas por alguna entidad pública al momento de realizar un proceso de selección abreviada para seleccionar un contratista; de ser positiva la respuesta, por favor, le ruego que me indique cuáles son estas entidades donde apliquen estas excepciones. </w:t>
      </w:r>
    </w:p>
    <w:p w14:paraId="1E765BF4" w14:textId="77777777" w:rsidR="00F60167" w:rsidRPr="00CA38B4" w:rsidRDefault="00F60167" w:rsidP="00F60167">
      <w:pPr>
        <w:spacing w:after="0" w:line="240" w:lineRule="auto"/>
        <w:ind w:left="710" w:right="709" w:hanging="1"/>
        <w:jc w:val="both"/>
        <w:rPr>
          <w:rFonts w:ascii="Verdana" w:hAnsi="Verdana" w:cs="Arial"/>
          <w:sz w:val="20"/>
          <w:szCs w:val="20"/>
          <w:lang w:val="es-ES_tradnl"/>
        </w:rPr>
      </w:pPr>
    </w:p>
    <w:p w14:paraId="3DB26CD1" w14:textId="77777777" w:rsidR="00F60167" w:rsidRPr="00CA38B4" w:rsidRDefault="00F60167" w:rsidP="00F60167">
      <w:pPr>
        <w:spacing w:after="0" w:line="240" w:lineRule="auto"/>
        <w:ind w:left="710" w:right="709" w:hanging="1"/>
        <w:jc w:val="both"/>
        <w:rPr>
          <w:rFonts w:ascii="Verdana" w:hAnsi="Verdana" w:cs="Arial"/>
          <w:sz w:val="20"/>
          <w:szCs w:val="20"/>
          <w:lang w:val="es-ES_tradnl"/>
        </w:rPr>
      </w:pPr>
      <w:r w:rsidRPr="00CA38B4">
        <w:rPr>
          <w:rFonts w:ascii="Verdana" w:hAnsi="Verdana" w:cs="Arial"/>
          <w:sz w:val="20"/>
          <w:szCs w:val="20"/>
          <w:lang w:val="es-ES_tradnl"/>
        </w:rPr>
        <w:t>SEGUNDA. Le pido respetuosamente que me informe si una EMPRESA INDUSTRIAL Y COMERCIAL DEL ESTADO como una Empresa de Desarrollo Urbano municipal u otra, puede establecer en su régimen de contratación una menor cuantía superior a las establecidas en el literal b numeral 2 del artículo 2° de la ley 1150 de 2007 para escoger un contratista por selección abreviada.</w:t>
      </w:r>
    </w:p>
    <w:p w14:paraId="01056B37" w14:textId="77777777" w:rsidR="00F60167" w:rsidRPr="00CA38B4" w:rsidRDefault="00F60167" w:rsidP="00F60167">
      <w:pPr>
        <w:spacing w:after="0" w:line="240" w:lineRule="auto"/>
        <w:ind w:left="710" w:right="709" w:hanging="1"/>
        <w:jc w:val="both"/>
        <w:rPr>
          <w:rFonts w:ascii="Verdana" w:hAnsi="Verdana" w:cs="Arial"/>
          <w:sz w:val="20"/>
          <w:szCs w:val="20"/>
          <w:lang w:val="es-ES_tradnl"/>
        </w:rPr>
      </w:pPr>
    </w:p>
    <w:p w14:paraId="47EED5ED" w14:textId="77777777" w:rsidR="00F60167" w:rsidRPr="00CA38B4" w:rsidRDefault="00F60167" w:rsidP="00F60167">
      <w:pPr>
        <w:spacing w:after="0" w:line="240" w:lineRule="auto"/>
        <w:ind w:left="710" w:right="709" w:hanging="1"/>
        <w:jc w:val="both"/>
        <w:rPr>
          <w:rFonts w:ascii="Verdana" w:hAnsi="Verdana" w:cs="Arial"/>
          <w:sz w:val="20"/>
          <w:szCs w:val="20"/>
          <w:lang w:val="es-ES"/>
        </w:rPr>
      </w:pPr>
      <w:r w:rsidRPr="141D218A">
        <w:rPr>
          <w:rFonts w:ascii="Verdana" w:hAnsi="Verdana" w:cs="Arial"/>
          <w:sz w:val="20"/>
          <w:szCs w:val="20"/>
          <w:lang w:val="es-ES"/>
        </w:rPr>
        <w:t xml:space="preserve">TERCERA. La Empresa industrial y Comercial del Estado Empresa de Desarrollo Urbano y Hábitat del municipio de Apartadó, Antioquia estableció en su estatuto de contratación una menor cuantía de selección abreviada de hasta diez mil salarios mínimos legales mensuales -10.000 </w:t>
      </w:r>
      <w:proofErr w:type="spellStart"/>
      <w:r w:rsidRPr="141D218A">
        <w:rPr>
          <w:rFonts w:ascii="Verdana" w:hAnsi="Verdana" w:cs="Arial"/>
          <w:sz w:val="20"/>
          <w:szCs w:val="20"/>
          <w:lang w:val="es-ES"/>
        </w:rPr>
        <w:t>smlm</w:t>
      </w:r>
      <w:proofErr w:type="spellEnd"/>
      <w:r w:rsidRPr="141D218A">
        <w:rPr>
          <w:rFonts w:ascii="Verdana" w:hAnsi="Verdana" w:cs="Arial"/>
          <w:sz w:val="20"/>
          <w:szCs w:val="20"/>
          <w:lang w:val="es-ES"/>
        </w:rPr>
        <w:t>- a pesar de que su presupuesto anual no supera los 120,000 salarios mínimos legales mensuales, ¿esto está ajustado a la normatividad de la contratación en Colombia?”</w:t>
      </w:r>
    </w:p>
    <w:p w14:paraId="3091C0BD" w14:textId="77777777" w:rsidR="00F60167" w:rsidRPr="00D21119" w:rsidRDefault="00F60167" w:rsidP="00F60167">
      <w:pPr>
        <w:spacing w:after="0" w:line="276" w:lineRule="auto"/>
        <w:ind w:left="709" w:right="709" w:hanging="1"/>
        <w:jc w:val="both"/>
        <w:rPr>
          <w:rFonts w:ascii="Verdana" w:hAnsi="Verdana" w:cs="Arial"/>
          <w:lang w:val="es-ES_tradnl"/>
        </w:rPr>
      </w:pPr>
    </w:p>
    <w:p w14:paraId="629BD738" w14:textId="77777777" w:rsidR="00F60167" w:rsidRDefault="00F60167" w:rsidP="00F60167">
      <w:pPr>
        <w:spacing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w:t>
      </w:r>
      <w:r w:rsidRPr="008E4F36">
        <w:rPr>
          <w:rFonts w:ascii="Verdana" w:eastAsia="Calibri" w:hAnsi="Verdana" w:cs="Arial"/>
          <w:color w:val="000000"/>
          <w:lang w:eastAsia="es-ES"/>
        </w:rPr>
        <w:lastRenderedPageBreak/>
        <w:t xml:space="preserve">interpretación de normas generales, por definición, no puede extenderse a la resolución de controversias, ni a brindar asesorías sobre casos puntuales. </w:t>
      </w:r>
    </w:p>
    <w:p w14:paraId="0F9C60E7" w14:textId="77777777" w:rsidR="00F60167" w:rsidRPr="00054383" w:rsidRDefault="00F60167" w:rsidP="00F60167">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7D3E446C" w14:textId="77777777" w:rsidR="00F60167" w:rsidRPr="008E4F36" w:rsidRDefault="00F60167" w:rsidP="00F60167">
      <w:pPr>
        <w:spacing w:after="0" w:line="276" w:lineRule="auto"/>
        <w:ind w:firstLine="709"/>
        <w:jc w:val="both"/>
        <w:rPr>
          <w:rFonts w:ascii="Verdana" w:eastAsia="Calibri" w:hAnsi="Verdana" w:cs="Arial"/>
          <w:color w:val="000000"/>
          <w:lang w:eastAsia="es-ES"/>
        </w:rPr>
      </w:pPr>
    </w:p>
    <w:p w14:paraId="58D3E083" w14:textId="77777777" w:rsidR="00F60167" w:rsidRDefault="00F60167" w:rsidP="00F60167">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5358F667" w14:textId="77777777" w:rsidR="00F60167" w:rsidRDefault="00F60167" w:rsidP="00F60167">
      <w:pPr>
        <w:spacing w:after="0" w:line="276" w:lineRule="auto"/>
        <w:jc w:val="both"/>
        <w:rPr>
          <w:rFonts w:ascii="Verdana" w:eastAsia="Calibri" w:hAnsi="Verdana" w:cs="Arial"/>
          <w:color w:val="000000"/>
          <w:highlight w:val="yellow"/>
          <w:lang w:eastAsia="es-ES"/>
        </w:rPr>
      </w:pPr>
    </w:p>
    <w:p w14:paraId="16F1AE14" w14:textId="77777777" w:rsidR="00F60167" w:rsidRPr="00274350" w:rsidRDefault="00F60167" w:rsidP="00F60167">
      <w:pPr>
        <w:spacing w:after="0" w:line="276" w:lineRule="auto"/>
        <w:jc w:val="both"/>
        <w:rPr>
          <w:rFonts w:ascii="Verdana" w:hAnsi="Verdana" w:cs="Segoe UI"/>
        </w:rPr>
      </w:pPr>
      <w:r w:rsidRPr="00005FE3">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el siguiente</w:t>
      </w:r>
      <w:r w:rsidRPr="00005FE3">
        <w:rPr>
          <w:rFonts w:ascii="Verdana" w:eastAsia="Calibri" w:hAnsi="Verdana" w:cs="Arial"/>
          <w:color w:val="000000"/>
          <w:lang w:eastAsia="es-ES"/>
        </w:rPr>
        <w:t xml:space="preserve"> problema jurídico</w:t>
      </w:r>
      <w:r w:rsidRPr="00A8379E">
        <w:rPr>
          <w:rFonts w:ascii="Verdana" w:eastAsia="Calibri" w:hAnsi="Verdana" w:cs="Arial"/>
          <w:color w:val="000000"/>
          <w:lang w:eastAsia="es-ES"/>
        </w:rPr>
        <w:t xml:space="preserve">: </w:t>
      </w:r>
      <w:r>
        <w:rPr>
          <w:rFonts w:ascii="Verdana" w:eastAsia="Calibri" w:hAnsi="Verdana" w:cs="Arial"/>
          <w:color w:val="000000"/>
          <w:lang w:eastAsia="es-ES"/>
        </w:rPr>
        <w:t>i)</w:t>
      </w:r>
      <w:r w:rsidRPr="0038601B">
        <w:rPr>
          <w:rFonts w:ascii="Verdana" w:eastAsia="Times New Roman" w:hAnsi="Verdana" w:cs="Arial"/>
          <w:bCs/>
          <w:lang w:eastAsia="x-none"/>
        </w:rPr>
        <w:t xml:space="preserve"> </w:t>
      </w:r>
      <w:r w:rsidRPr="00274350">
        <w:rPr>
          <w:rFonts w:ascii="Verdana" w:hAnsi="Verdana" w:cs="Segoe UI"/>
        </w:rPr>
        <w:t xml:space="preserve">¿Las cuantías de la menor cuantía previstas en el literal b) del numeral 2 del artículo 2 de la Ley 1150 de 2007 son de aplicación obligatoria para todas las entidades sometidas al Estatuto General de Contratación de la Administración Pública, o existen excepciones legales que permitan fijar topes diferentes para efectos de la modalidad de selección abreviada de menor cuantía? </w:t>
      </w:r>
      <w:r w:rsidRPr="002F32D2">
        <w:rPr>
          <w:rFonts w:ascii="Verdana" w:eastAsia="Times New Roman" w:hAnsi="Verdana" w:cs="Arial"/>
          <w:bCs/>
          <w:lang w:eastAsia="x-none"/>
        </w:rPr>
        <w:t xml:space="preserve">y, </w:t>
      </w:r>
      <w:proofErr w:type="spellStart"/>
      <w:r w:rsidRPr="004722F3">
        <w:rPr>
          <w:rFonts w:ascii="Verdana" w:eastAsia="Times New Roman" w:hAnsi="Verdana" w:cs="Arial"/>
          <w:bCs/>
          <w:lang w:eastAsia="x-none"/>
        </w:rPr>
        <w:t>ii</w:t>
      </w:r>
      <w:proofErr w:type="spellEnd"/>
      <w:r w:rsidRPr="004722F3">
        <w:rPr>
          <w:rFonts w:ascii="Verdana" w:eastAsia="Times New Roman" w:hAnsi="Verdana" w:cs="Arial"/>
          <w:bCs/>
          <w:lang w:eastAsia="x-none"/>
        </w:rPr>
        <w:t>) ¿P</w:t>
      </w:r>
      <w:r w:rsidRPr="002F32D2">
        <w:rPr>
          <w:rFonts w:ascii="Verdana" w:eastAsia="Times New Roman" w:hAnsi="Verdana" w:cs="Arial"/>
          <w:bCs/>
          <w:lang w:eastAsia="x-none"/>
        </w:rPr>
        <w:t>ueden las Empresas Industriales y Comerciales del Estado</w:t>
      </w:r>
      <w:r w:rsidRPr="004722F3">
        <w:rPr>
          <w:rFonts w:ascii="Verdana" w:eastAsia="Times New Roman" w:hAnsi="Verdana" w:cs="Arial"/>
          <w:bCs/>
          <w:lang w:eastAsia="x-none"/>
        </w:rPr>
        <w:t>, con régimen exceptuado del Estatuto General de Contratación de la Administración Pública,</w:t>
      </w:r>
      <w:r w:rsidRPr="002F32D2">
        <w:rPr>
          <w:rFonts w:ascii="Verdana" w:eastAsia="Times New Roman" w:hAnsi="Verdana" w:cs="Arial"/>
          <w:bCs/>
          <w:lang w:eastAsia="x-none"/>
        </w:rPr>
        <w:t xml:space="preserve"> establecer en sus </w:t>
      </w:r>
      <w:r w:rsidRPr="004722F3">
        <w:rPr>
          <w:rFonts w:ascii="Verdana" w:eastAsia="Times New Roman" w:hAnsi="Verdana" w:cs="Arial"/>
          <w:bCs/>
          <w:lang w:eastAsia="x-none"/>
        </w:rPr>
        <w:t xml:space="preserve">manuales </w:t>
      </w:r>
      <w:r w:rsidRPr="002F32D2">
        <w:rPr>
          <w:rFonts w:ascii="Verdana" w:eastAsia="Times New Roman" w:hAnsi="Verdana" w:cs="Arial"/>
          <w:bCs/>
          <w:lang w:eastAsia="x-none"/>
        </w:rPr>
        <w:t>de contratación una menor cuantía superior a la prevista en el literal b) del numeral 2 del artículo 2 de la Ley 1150 de 2007</w:t>
      </w:r>
      <w:r>
        <w:rPr>
          <w:rFonts w:ascii="Verdana" w:eastAsia="Times New Roman" w:hAnsi="Verdana" w:cs="Arial"/>
          <w:bCs/>
          <w:lang w:eastAsia="x-none"/>
        </w:rPr>
        <w:t>?</w:t>
      </w:r>
    </w:p>
    <w:p w14:paraId="50AFF4E1" w14:textId="77777777" w:rsidR="00F60167" w:rsidRPr="002469E9" w:rsidRDefault="00F60167" w:rsidP="00F60167">
      <w:pPr>
        <w:spacing w:after="0" w:line="276" w:lineRule="auto"/>
        <w:jc w:val="both"/>
        <w:rPr>
          <w:rFonts w:ascii="Verdana" w:eastAsia="Calibri" w:hAnsi="Verdana" w:cs="Arial"/>
          <w:color w:val="000000"/>
          <w:lang w:eastAsia="es-ES"/>
        </w:rPr>
      </w:pPr>
    </w:p>
    <w:p w14:paraId="09523DC0" w14:textId="77777777" w:rsidR="00F60167" w:rsidRPr="008E4F36" w:rsidRDefault="00F60167" w:rsidP="00F60167">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33179258" w14:textId="77777777" w:rsidR="00F60167" w:rsidRPr="00DD2A08" w:rsidRDefault="00F60167" w:rsidP="00F60167">
      <w:pPr>
        <w:tabs>
          <w:tab w:val="left" w:pos="142"/>
          <w:tab w:val="left" w:pos="284"/>
        </w:tabs>
        <w:spacing w:after="0" w:line="276" w:lineRule="auto"/>
        <w:jc w:val="both"/>
        <w:rPr>
          <w:rFonts w:ascii="Verdana" w:eastAsia="Century Gothic" w:hAnsi="Verdana" w:cs="Century Gothic"/>
        </w:rPr>
      </w:pPr>
    </w:p>
    <w:tbl>
      <w:tblPr>
        <w:tblStyle w:val="Tablaconcuadrcula"/>
        <w:tblW w:w="0" w:type="auto"/>
        <w:tblLook w:val="04A0" w:firstRow="1" w:lastRow="0" w:firstColumn="1" w:lastColumn="0" w:noHBand="0" w:noVBand="1"/>
      </w:tblPr>
      <w:tblGrid>
        <w:gridCol w:w="8828"/>
      </w:tblGrid>
      <w:tr w:rsidR="00F60167" w:rsidRPr="00DD2A08" w14:paraId="023B985C" w14:textId="77777777" w:rsidTr="00CE1FD4">
        <w:tc>
          <w:tcPr>
            <w:tcW w:w="8828" w:type="dxa"/>
          </w:tcPr>
          <w:p w14:paraId="2A55F829" w14:textId="77777777" w:rsidR="00F60167" w:rsidRPr="001D2DF8" w:rsidRDefault="00F60167" w:rsidP="00CE1FD4">
            <w:pPr>
              <w:tabs>
                <w:tab w:val="left" w:pos="0"/>
              </w:tabs>
              <w:spacing w:after="120" w:line="276" w:lineRule="auto"/>
              <w:jc w:val="both"/>
              <w:rPr>
                <w:rFonts w:ascii="Verdana" w:hAnsi="Verdana"/>
              </w:rPr>
            </w:pPr>
            <w:r>
              <w:rPr>
                <w:rFonts w:ascii="Verdana" w:eastAsia="Times New Roman" w:hAnsi="Verdana" w:cs="Times New Roman"/>
                <w:lang w:eastAsia="es-CO"/>
              </w:rPr>
              <w:t>i.</w:t>
            </w:r>
            <w:r>
              <w:rPr>
                <w:rFonts w:ascii="Verdana" w:eastAsia="Calibri" w:hAnsi="Verdana" w:cs="Arial"/>
                <w:bCs/>
                <w:color w:val="000000" w:themeColor="text1"/>
              </w:rPr>
              <w:t xml:space="preserve"> Conforme a la interpretación general de las normas del sistema de compras públicas, </w:t>
            </w:r>
            <w:r>
              <w:rPr>
                <w:rFonts w:ascii="Verdana" w:eastAsia="Calibri" w:hAnsi="Verdana" w:cs="Arial"/>
                <w:color w:val="000000" w:themeColor="text1"/>
                <w:lang w:val="es-MX"/>
              </w:rPr>
              <w:t>de acuerdo</w:t>
            </w:r>
            <w:r w:rsidRPr="007D48B0">
              <w:rPr>
                <w:rFonts w:ascii="Verdana" w:eastAsia="Calibri" w:hAnsi="Verdana" w:cs="Arial"/>
                <w:color w:val="000000" w:themeColor="text1"/>
                <w:lang w:val="es-MX"/>
              </w:rPr>
              <w:t xml:space="preserve"> </w:t>
            </w:r>
            <w:r>
              <w:rPr>
                <w:rFonts w:ascii="Verdana" w:eastAsia="Calibri" w:hAnsi="Verdana" w:cs="Arial"/>
                <w:color w:val="000000" w:themeColor="text1"/>
                <w:lang w:val="es-MX"/>
              </w:rPr>
              <w:t>con el</w:t>
            </w:r>
            <w:r w:rsidRPr="007D48B0">
              <w:rPr>
                <w:rFonts w:ascii="Verdana" w:eastAsia="Calibri" w:hAnsi="Verdana" w:cs="Arial"/>
                <w:color w:val="000000" w:themeColor="text1"/>
                <w:lang w:val="es-MX"/>
              </w:rPr>
              <w:t xml:space="preserve"> literal b) del artículo 2.2 de la Ley 1150 de 2007, una de las causales de selección abreviada es la de menor cuantía. Esta se refiere a los procesos contractuales cuyo su valor es inferior a los topes que la norma señala respecto de su presupuesto anual, y se desarrolla en el Decreto único Reglamentario del Sector Planeación donde se establece su procedimiento</w:t>
            </w:r>
            <w:r>
              <w:rPr>
                <w:rFonts w:ascii="Verdana" w:eastAsia="Calibri" w:hAnsi="Verdana" w:cs="Arial"/>
                <w:color w:val="000000" w:themeColor="text1"/>
                <w:lang w:val="es-MX"/>
              </w:rPr>
              <w:t>.</w:t>
            </w:r>
            <w:r>
              <w:rPr>
                <w:rFonts w:ascii="Verdana" w:hAnsi="Verdana"/>
              </w:rPr>
              <w:t xml:space="preserve"> Para lo que no esté dentro del umbral correspondientes a esta modalidad de selección, o a la de la mínima cuantía, debe aplicarse la regla del inciso primero del artículo 2.1 de la Ley 1150 de 2007; razón por la cual, “</w:t>
            </w:r>
            <w:r w:rsidRPr="000933C7">
              <w:rPr>
                <w:rFonts w:ascii="Verdana" w:hAnsi="Verdana"/>
              </w:rPr>
              <w:t>La escogencia del contratista se efectuará por regla general a través de licitación pública, con las excepciones que se señalan en los numerales 2, 3 y 4 del presente artículo</w:t>
            </w:r>
            <w:r>
              <w:rPr>
                <w:rFonts w:ascii="Verdana" w:hAnsi="Verdana"/>
              </w:rPr>
              <w:t>”</w:t>
            </w:r>
            <w:r w:rsidRPr="000933C7">
              <w:rPr>
                <w:rFonts w:ascii="Verdana" w:hAnsi="Verdana"/>
              </w:rPr>
              <w:t>.</w:t>
            </w:r>
          </w:p>
          <w:p w14:paraId="3F1E0D98" w14:textId="77777777" w:rsidR="00F60167" w:rsidRDefault="00F60167" w:rsidP="00CE1FD4">
            <w:pPr>
              <w:spacing w:after="120" w:line="276" w:lineRule="auto"/>
              <w:ind w:firstLine="709"/>
              <w:jc w:val="both"/>
              <w:rPr>
                <w:rFonts w:ascii="Verdana" w:eastAsia="Times New Roman" w:hAnsi="Verdana" w:cs="Times New Roman"/>
                <w:lang w:eastAsia="es-CO"/>
              </w:rPr>
            </w:pPr>
            <w:r w:rsidRPr="002B7CD4">
              <w:rPr>
                <w:rFonts w:ascii="Verdana" w:eastAsia="Times New Roman" w:hAnsi="Verdana" w:cs="Times New Roman"/>
                <w:lang w:eastAsia="es-CO"/>
              </w:rPr>
              <w:lastRenderedPageBreak/>
              <w:t xml:space="preserve">Ahora bien, los límites de menor cuantía establecidos en el artículo 2 de la Ley 1150 de 2007 resultan aplicables a las entidades sometidas al Estatuto General de Contratación de la Administración Pública. Por ello, su aplicación debe diferenciarse respecto de las entidades estatales exceptuadas de dicho Estatuto, en la medida en que estas se encuentran sometidas al régimen contractual especial que les resulte aplicable. </w:t>
            </w:r>
          </w:p>
          <w:p w14:paraId="7EFC4BBE" w14:textId="77777777" w:rsidR="00F60167" w:rsidRDefault="00F60167" w:rsidP="00CE1FD4">
            <w:pPr>
              <w:spacing w:after="120" w:line="276" w:lineRule="auto"/>
              <w:ind w:firstLine="709"/>
              <w:jc w:val="both"/>
              <w:rPr>
                <w:rFonts w:ascii="Verdana" w:eastAsia="Times New Roman" w:hAnsi="Verdana" w:cs="Times New Roman"/>
                <w:lang w:eastAsia="es-CO"/>
              </w:rPr>
            </w:pPr>
            <w:r w:rsidRPr="002B7CD4">
              <w:rPr>
                <w:rFonts w:ascii="Verdana" w:eastAsia="Times New Roman" w:hAnsi="Verdana" w:cs="Times New Roman"/>
                <w:lang w:eastAsia="es-CO"/>
              </w:rPr>
              <w:t>En estos casos, para determinar las modalidades de contratación, las cuantías y las reglas para su aplicación, deberá acudirse a las disposiciones que regulen específicamente la actividad contractual de la respectiva entidad y a su correspondiente manual o estatuto de contratación.</w:t>
            </w:r>
            <w:r>
              <w:rPr>
                <w:rFonts w:ascii="Verdana" w:eastAsia="Times New Roman" w:hAnsi="Verdana" w:cs="Times New Roman"/>
                <w:lang w:eastAsia="es-CO"/>
              </w:rPr>
              <w:t xml:space="preserve"> </w:t>
            </w:r>
            <w:r w:rsidRPr="002B7CD4">
              <w:rPr>
                <w:rFonts w:ascii="Verdana" w:eastAsia="Times New Roman" w:hAnsi="Verdana" w:cs="Times New Roman"/>
                <w:lang w:eastAsia="es-CO"/>
              </w:rPr>
              <w:t xml:space="preserve">En particular, las entidades sometidas a un régimen contractual especial, en el marco de la autonomía reconocida por las disposiciones que regulan su actividad contractual, pueden adoptar su propio manual de contratación y establecer en este las modalidades o mecanismos de selección que emplearán, así como las reglas y condiciones para su aplicación, siempre que dichas disposiciones se encuentren dentro del marco establecido por la Constitución, la ley y las normas especiales que regulan a la entidad. </w:t>
            </w:r>
          </w:p>
          <w:p w14:paraId="2FF2BBD3" w14:textId="77777777" w:rsidR="00F60167" w:rsidRPr="002B7CD4" w:rsidRDefault="00F60167" w:rsidP="00CE1FD4">
            <w:pPr>
              <w:spacing w:after="120" w:line="276" w:lineRule="auto"/>
              <w:ind w:firstLine="709"/>
              <w:jc w:val="both"/>
              <w:rPr>
                <w:rFonts w:ascii="Verdana" w:eastAsia="Times New Roman" w:hAnsi="Verdana" w:cs="Times New Roman"/>
                <w:lang w:eastAsia="es-CO"/>
              </w:rPr>
            </w:pPr>
            <w:r w:rsidRPr="002B7CD4">
              <w:rPr>
                <w:rFonts w:ascii="Verdana" w:eastAsia="Times New Roman" w:hAnsi="Verdana" w:cs="Times New Roman"/>
                <w:lang w:eastAsia="es-CO"/>
              </w:rPr>
              <w:t xml:space="preserve">En consecuencia, respecto de una Empresa Industrial y Comercial del Estado, no resulta procedente determinar la validez de una cuantía establecida en su estatuto de contratación únicamente a partir de los límites previstos en el artículo 2 de la Ley 1150 de 2007; será necesario verificar previamente si se encuentra sometida al Estatuto General </w:t>
            </w:r>
            <w:r>
              <w:rPr>
                <w:rFonts w:ascii="Verdana" w:eastAsia="Times New Roman" w:hAnsi="Verdana" w:cs="Times New Roman"/>
                <w:lang w:eastAsia="es-CO"/>
              </w:rPr>
              <w:t>de Contratación de la Administración Pública</w:t>
            </w:r>
            <w:r w:rsidRPr="002B7CD4">
              <w:rPr>
                <w:rFonts w:ascii="Verdana" w:eastAsia="Times New Roman" w:hAnsi="Verdana" w:cs="Times New Roman"/>
                <w:lang w:eastAsia="es-CO"/>
              </w:rPr>
              <w:t xml:space="preserve"> o a un régimen contractual especial y, en este último caso, examinar las disposiciones que regulan su contratación y las reglas previstas en su respectivo manual.</w:t>
            </w:r>
          </w:p>
          <w:p w14:paraId="0E1C549D" w14:textId="77777777" w:rsidR="00F60167" w:rsidRDefault="00F60167" w:rsidP="00CE1FD4">
            <w:pPr>
              <w:spacing w:after="120" w:line="276" w:lineRule="auto"/>
              <w:ind w:firstLine="709"/>
              <w:jc w:val="both"/>
              <w:rPr>
                <w:rFonts w:ascii="Verdana" w:eastAsia="Times New Roman" w:hAnsi="Verdana" w:cs="Times New Roman"/>
                <w:lang w:eastAsia="es-CO"/>
              </w:rPr>
            </w:pPr>
            <w:r w:rsidRPr="002B7CD4">
              <w:rPr>
                <w:rFonts w:ascii="Verdana" w:eastAsia="Times New Roman" w:hAnsi="Verdana" w:cs="Times New Roman"/>
                <w:lang w:eastAsia="es-CO"/>
              </w:rPr>
              <w:t xml:space="preserve">Así las cosas, los límites previstos en el literal b) del numeral 2 del artículo 2 de la Ley 1150 de 2007 constituyen parámetros obligatorios para las entidades sometidas al Estatuto General, cuya aplicación depende del presupuesto anual de la entidad y de la cuantía del presupuesto oficial del proceso, sin que exista una excepción que permita simplemente superar dichos topes. La posibilidad de acudir a una modalidad diferente obedecerá, en su caso, a la configuración de alguna de las causales legalmente establecidas para ello. Por su parte, frente a las entidades exceptuadas, incluidas las Empresas Industriales y Comerciales del Estado cuando se encuentren cobijadas por un régimen especial, la determinación de las </w:t>
            </w:r>
            <w:r w:rsidRPr="002B7CD4">
              <w:rPr>
                <w:rFonts w:ascii="Verdana" w:eastAsia="Times New Roman" w:hAnsi="Verdana" w:cs="Times New Roman"/>
                <w:lang w:eastAsia="es-CO"/>
              </w:rPr>
              <w:lastRenderedPageBreak/>
              <w:t>modalidades, cuantías y reglas de selección deberá efectuarse de conformidad con dicho régimen y con su manual de contratación, en el marco de la autonomía que legalmente les haya sido reconocida.</w:t>
            </w:r>
          </w:p>
          <w:p w14:paraId="6FE6BF08" w14:textId="77777777" w:rsidR="00F60167" w:rsidRPr="009B0318" w:rsidRDefault="00F60167" w:rsidP="00CE1FD4">
            <w:pPr>
              <w:spacing w:after="120" w:line="276" w:lineRule="auto"/>
              <w:ind w:firstLine="709"/>
              <w:jc w:val="both"/>
              <w:rPr>
                <w:rFonts w:ascii="Verdana" w:eastAsia="Times New Roman" w:hAnsi="Verdana" w:cs="Times New Roman"/>
                <w:lang w:eastAsia="es-CO"/>
              </w:rPr>
            </w:pPr>
            <w:r w:rsidRPr="00AD5A94">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r w:rsidRPr="001941FD">
              <w:rPr>
                <w:rStyle w:val="s15"/>
                <w:rFonts w:ascii="Verdana" w:hAnsi="Verdana"/>
                <w:color w:val="000000"/>
              </w:rPr>
              <w:t>.</w:t>
            </w:r>
          </w:p>
        </w:tc>
      </w:tr>
    </w:tbl>
    <w:p w14:paraId="4350BE0A" w14:textId="77777777" w:rsidR="00F60167" w:rsidRDefault="00F60167" w:rsidP="00F60167">
      <w:pPr>
        <w:tabs>
          <w:tab w:val="left" w:pos="142"/>
          <w:tab w:val="left" w:pos="284"/>
        </w:tabs>
        <w:spacing w:after="0" w:line="276" w:lineRule="auto"/>
        <w:jc w:val="both"/>
        <w:rPr>
          <w:rFonts w:ascii="Verdana" w:eastAsia="Century Gothic" w:hAnsi="Verdana" w:cs="Century Gothic"/>
          <w:b/>
          <w:bCs/>
        </w:rPr>
      </w:pPr>
    </w:p>
    <w:p w14:paraId="0B975D74" w14:textId="77777777" w:rsidR="00F60167" w:rsidRPr="008E4F36" w:rsidRDefault="00F60167" w:rsidP="00F60167">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48E8F120" w14:textId="77777777" w:rsidR="00F60167" w:rsidRDefault="00F60167" w:rsidP="00F60167">
      <w:pPr>
        <w:pStyle w:val="Prrafodelista"/>
        <w:tabs>
          <w:tab w:val="left" w:pos="142"/>
          <w:tab w:val="left" w:pos="284"/>
        </w:tabs>
        <w:spacing w:after="0" w:line="276" w:lineRule="auto"/>
        <w:ind w:left="0"/>
        <w:contextualSpacing w:val="0"/>
        <w:jc w:val="both"/>
        <w:rPr>
          <w:rFonts w:ascii="Verdana" w:eastAsia="Calibri" w:hAnsi="Verdana" w:cs="Arial"/>
        </w:rPr>
      </w:pPr>
    </w:p>
    <w:p w14:paraId="2B772521" w14:textId="77777777" w:rsidR="00F60167" w:rsidRDefault="00F60167" w:rsidP="00F60167">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14D827ED" w14:textId="77777777" w:rsidR="00F60167" w:rsidRDefault="00F60167" w:rsidP="00F60167">
      <w:pPr>
        <w:pStyle w:val="Prrafodelista"/>
        <w:tabs>
          <w:tab w:val="left" w:pos="142"/>
          <w:tab w:val="left" w:pos="284"/>
        </w:tabs>
        <w:spacing w:after="0" w:line="276" w:lineRule="auto"/>
        <w:ind w:left="0"/>
        <w:contextualSpacing w:val="0"/>
        <w:jc w:val="both"/>
        <w:rPr>
          <w:rFonts w:ascii="Verdana" w:eastAsia="Calibri" w:hAnsi="Verdana" w:cs="Arial"/>
        </w:rPr>
      </w:pPr>
    </w:p>
    <w:p w14:paraId="438066C5" w14:textId="77777777" w:rsidR="00F60167" w:rsidRPr="006E6DCB" w:rsidRDefault="00F60167" w:rsidP="00F60167">
      <w:pPr>
        <w:spacing w:after="120" w:line="276" w:lineRule="auto"/>
        <w:jc w:val="both"/>
        <w:rPr>
          <w:rFonts w:ascii="Verdana" w:hAnsi="Verdana" w:cs="Arial"/>
          <w:bCs/>
          <w:lang w:val="es-ES_tradnl"/>
        </w:rPr>
      </w:pPr>
      <w:r w:rsidRPr="00274350">
        <w:rPr>
          <w:rFonts w:ascii="Verdana" w:hAnsi="Verdana" w:cs="Arial"/>
          <w:b/>
          <w:lang w:val="es-ES_tradnl"/>
        </w:rPr>
        <w:t>i.</w:t>
      </w:r>
      <w:r>
        <w:rPr>
          <w:rFonts w:ascii="Verdana" w:hAnsi="Verdana" w:cs="Arial"/>
          <w:bCs/>
          <w:lang w:val="es-ES_tradnl"/>
        </w:rPr>
        <w:t xml:space="preserve"> </w:t>
      </w:r>
      <w:r w:rsidRPr="006E6DCB">
        <w:rPr>
          <w:rFonts w:ascii="Verdana" w:hAnsi="Verdana" w:cs="Arial"/>
          <w:bCs/>
          <w:lang w:val="es-ES_tradnl"/>
        </w:rPr>
        <w:t>La contratación pública comprende, entre otros aspectos, la toma de decisiones del gasto que las entidades realizan como ejecución de los recursos públicos asignados para adquirir bienes, obras o servicios que satisfacen sus necesidades, y en esa medida cumplen el interés general, que es la finalidad que la ley les confía a través de las funciones que se les encomiendan. Para las adquisiciones, las entidades estructuran procedimientos de contratación previamente definidos por la ley, consultando las normas que los rigen para determinar la forma que el ordenamiento prevé para adelantarlos. En esta medida, conforme el artículo 29 de la Constitución Política, los procesos de selección son una manifestación de la legalidad de las formas de cada proceso en sede administrativa</w:t>
      </w:r>
      <w:r w:rsidRPr="00274350">
        <w:rPr>
          <w:rStyle w:val="Refdenotaalpie"/>
          <w:rFonts w:ascii="Verdana" w:hAnsi="Verdana" w:cs="Arial"/>
          <w:lang w:val="es-ES_tradnl"/>
        </w:rPr>
        <w:footnoteReference w:id="1"/>
      </w:r>
      <w:r w:rsidRPr="00274350">
        <w:rPr>
          <w:rFonts w:ascii="Verdana" w:hAnsi="Verdana" w:cs="Arial"/>
          <w:lang w:val="es-ES_tradnl"/>
        </w:rPr>
        <w:t>.</w:t>
      </w:r>
    </w:p>
    <w:p w14:paraId="2FF36BD5" w14:textId="77777777" w:rsidR="00F60167" w:rsidRPr="00A7573B" w:rsidRDefault="00F60167" w:rsidP="00F60167">
      <w:pPr>
        <w:spacing w:after="120" w:line="276" w:lineRule="auto"/>
        <w:jc w:val="both"/>
        <w:rPr>
          <w:rFonts w:ascii="Verdana" w:hAnsi="Verdana" w:cs="Arial"/>
          <w:lang w:val="es-ES"/>
        </w:rPr>
      </w:pPr>
      <w:r w:rsidRPr="007D48B0">
        <w:rPr>
          <w:rFonts w:ascii="Verdana" w:hAnsi="Verdana" w:cs="Arial"/>
          <w:bCs/>
          <w:lang w:val="es-ES_tradnl"/>
        </w:rPr>
        <w:lastRenderedPageBreak/>
        <w:tab/>
      </w:r>
      <w:r w:rsidRPr="3DE6E1DA">
        <w:rPr>
          <w:rFonts w:ascii="Verdana" w:hAnsi="Verdana" w:cs="Arial"/>
          <w:lang w:val="es-ES"/>
        </w:rPr>
        <w:t xml:space="preserve">Inicialmente, la Ley 80 de 1993 estableció tres (3) procedimientos de selección: i) licitación o concurso público, </w:t>
      </w:r>
      <w:proofErr w:type="spellStart"/>
      <w:r w:rsidRPr="3DE6E1DA">
        <w:rPr>
          <w:rFonts w:ascii="Verdana" w:hAnsi="Verdana" w:cs="Arial"/>
          <w:lang w:val="es-ES"/>
        </w:rPr>
        <w:t>ii</w:t>
      </w:r>
      <w:proofErr w:type="spellEnd"/>
      <w:r w:rsidRPr="3DE6E1DA">
        <w:rPr>
          <w:rFonts w:ascii="Verdana" w:hAnsi="Verdana" w:cs="Arial"/>
          <w:lang w:val="es-ES"/>
        </w:rPr>
        <w:t xml:space="preserve">) contratación sin formalidades plenas y </w:t>
      </w:r>
      <w:proofErr w:type="spellStart"/>
      <w:r w:rsidRPr="3DE6E1DA">
        <w:rPr>
          <w:rFonts w:ascii="Verdana" w:hAnsi="Verdana" w:cs="Arial"/>
          <w:lang w:val="es-ES"/>
        </w:rPr>
        <w:t>iii</w:t>
      </w:r>
      <w:proofErr w:type="spellEnd"/>
      <w:r w:rsidRPr="3DE6E1DA">
        <w:rPr>
          <w:rFonts w:ascii="Verdana" w:hAnsi="Verdana" w:cs="Arial"/>
          <w:lang w:val="es-ES"/>
        </w:rPr>
        <w:t>) contratación directa. Dentro de este esquema, el primero era y continúa siendo la regla general, pues sólo es posible acudir a los demás frente a la configuración de las causales previamente establecidas por el ordenamiento, razón por la cual la Administración carece de discrecionalidad para establecer procedimientos</w:t>
      </w:r>
      <w:r w:rsidRPr="3DE6E1DA">
        <w:rPr>
          <w:rStyle w:val="Refdenotaalpie"/>
          <w:rFonts w:ascii="Verdana" w:hAnsi="Verdana" w:cs="Arial"/>
          <w:lang w:val="es-ES"/>
        </w:rPr>
        <w:footnoteReference w:id="2"/>
      </w:r>
      <w:r w:rsidRPr="3DE6E1DA">
        <w:rPr>
          <w:rFonts w:ascii="Verdana" w:hAnsi="Verdana" w:cs="Arial"/>
          <w:lang w:val="es-ES"/>
        </w:rPr>
        <w:t xml:space="preserve">. </w:t>
      </w:r>
    </w:p>
    <w:p w14:paraId="287CA32C" w14:textId="77777777" w:rsidR="00F60167" w:rsidRPr="00FC0529" w:rsidRDefault="00F60167" w:rsidP="00F60167">
      <w:pPr>
        <w:spacing w:after="120" w:line="276" w:lineRule="auto"/>
        <w:jc w:val="both"/>
        <w:rPr>
          <w:rFonts w:ascii="Verdana" w:hAnsi="Verdana" w:cs="Arial"/>
          <w:bCs/>
          <w:lang w:val="es-ES_tradnl"/>
        </w:rPr>
      </w:pPr>
      <w:r w:rsidRPr="007D48B0">
        <w:rPr>
          <w:rFonts w:ascii="Verdana" w:hAnsi="Verdana" w:cs="Arial"/>
          <w:bCs/>
          <w:lang w:val="es-ES_tradnl"/>
        </w:rPr>
        <w:tab/>
        <w:t xml:space="preserve">No obstante, después del 2007, el ordenamiento reguló nuevos procesos de selección. En efecto, con el artículo 2 de la Ley 1150 la licitación pública no solo es un procedimiento independiente del concurso de méritos, sino que también se creó el procedimiento de selección de selección abreviada. Finalmente, teniendo en cuenta la reforma introducida con la Ley 1474 de 2011, los procedimientos actualmente regulados son los siguientes: i) licitación pública, </w:t>
      </w:r>
      <w:proofErr w:type="spellStart"/>
      <w:r w:rsidRPr="00274350">
        <w:rPr>
          <w:rFonts w:ascii="Verdana" w:hAnsi="Verdana" w:cs="Arial"/>
          <w:i/>
          <w:lang w:val="es-ES_tradnl"/>
        </w:rPr>
        <w:t>ii</w:t>
      </w:r>
      <w:proofErr w:type="spellEnd"/>
      <w:r w:rsidRPr="00274350">
        <w:rPr>
          <w:rFonts w:ascii="Verdana" w:hAnsi="Verdana" w:cs="Arial"/>
          <w:i/>
          <w:lang w:val="es-ES_tradnl"/>
        </w:rPr>
        <w:t>) selección abreviada</w:t>
      </w:r>
      <w:r w:rsidRPr="007D48B0">
        <w:rPr>
          <w:rFonts w:ascii="Verdana" w:hAnsi="Verdana" w:cs="Arial"/>
          <w:bCs/>
          <w:lang w:val="es-ES_tradnl"/>
        </w:rPr>
        <w:t xml:space="preserve">, </w:t>
      </w:r>
      <w:proofErr w:type="spellStart"/>
      <w:r w:rsidRPr="007D48B0">
        <w:rPr>
          <w:rFonts w:ascii="Verdana" w:hAnsi="Verdana" w:cs="Arial"/>
          <w:bCs/>
          <w:lang w:val="es-ES_tradnl"/>
        </w:rPr>
        <w:t>iii</w:t>
      </w:r>
      <w:proofErr w:type="spellEnd"/>
      <w:r w:rsidRPr="007D48B0">
        <w:rPr>
          <w:rFonts w:ascii="Verdana" w:hAnsi="Verdana" w:cs="Arial"/>
          <w:bCs/>
          <w:lang w:val="es-ES_tradnl"/>
        </w:rPr>
        <w:t xml:space="preserve">) concurso de méritos, </w:t>
      </w:r>
      <w:proofErr w:type="spellStart"/>
      <w:r w:rsidRPr="007D48B0">
        <w:rPr>
          <w:rFonts w:ascii="Verdana" w:hAnsi="Verdana" w:cs="Arial"/>
          <w:bCs/>
          <w:lang w:val="es-ES_tradnl"/>
        </w:rPr>
        <w:t>iv</w:t>
      </w:r>
      <w:proofErr w:type="spellEnd"/>
      <w:r w:rsidRPr="007D48B0">
        <w:rPr>
          <w:rFonts w:ascii="Verdana" w:hAnsi="Verdana" w:cs="Arial"/>
          <w:bCs/>
          <w:lang w:val="es-ES_tradnl"/>
        </w:rPr>
        <w:t>) mínima cuantía y v) contratación directa.</w:t>
      </w:r>
      <w:r>
        <w:rPr>
          <w:rFonts w:ascii="Verdana" w:hAnsi="Verdana" w:cs="Arial"/>
          <w:bCs/>
          <w:lang w:val="es-ES_tradnl"/>
        </w:rPr>
        <w:t xml:space="preserve"> </w:t>
      </w:r>
      <w:r w:rsidRPr="007D48B0">
        <w:rPr>
          <w:rFonts w:ascii="Verdana" w:hAnsi="Verdana" w:cs="Arial"/>
          <w:bCs/>
          <w:lang w:val="es-ES_tradnl"/>
        </w:rPr>
        <w:t xml:space="preserve">En dichos procedimientos constan </w:t>
      </w:r>
      <w:r w:rsidRPr="007D48B0">
        <w:rPr>
          <w:rFonts w:ascii="Verdana" w:eastAsia="Calibri" w:hAnsi="Verdana" w:cs="Arial"/>
        </w:rPr>
        <w:t>las etapas para la adquisición de obras, bienes y servicios, por lo que cada entidad es responsable de estructurar los procedimientos de contratación, siempre que respete el principio de legalidad.</w:t>
      </w:r>
      <w:bookmarkStart w:id="3" w:name="_Hlk39596760"/>
    </w:p>
    <w:p w14:paraId="508C8BD3" w14:textId="77777777" w:rsidR="00F60167" w:rsidRPr="00C11001" w:rsidRDefault="00F60167" w:rsidP="00F60167">
      <w:pPr>
        <w:spacing w:after="120" w:line="276" w:lineRule="auto"/>
        <w:ind w:firstLine="709"/>
        <w:jc w:val="both"/>
        <w:rPr>
          <w:rFonts w:ascii="Verdana" w:hAnsi="Verdana" w:cs="Arial"/>
          <w:bCs/>
          <w:lang w:val="es-MX"/>
        </w:rPr>
      </w:pPr>
      <w:r>
        <w:rPr>
          <w:rFonts w:ascii="Verdana" w:hAnsi="Verdana" w:cs="Arial"/>
          <w:lang w:val="es-ES"/>
        </w:rPr>
        <w:t>En este contexto, p</w:t>
      </w:r>
      <w:r w:rsidRPr="00B47324">
        <w:rPr>
          <w:rFonts w:ascii="Verdana" w:hAnsi="Verdana" w:cs="Arial"/>
          <w:lang w:val="es-ES"/>
        </w:rPr>
        <w:t xml:space="preserve">ara las entidades </w:t>
      </w:r>
      <w:r>
        <w:rPr>
          <w:rFonts w:ascii="Verdana" w:hAnsi="Verdana" w:cs="Arial"/>
          <w:lang w:val="es-ES"/>
        </w:rPr>
        <w:t>sometidas a la Ley 80 de 1993,</w:t>
      </w:r>
      <w:r w:rsidRPr="00B47324">
        <w:rPr>
          <w:rFonts w:ascii="Verdana" w:hAnsi="Verdana" w:cs="Arial"/>
          <w:lang w:val="es-ES"/>
        </w:rPr>
        <w:t xml:space="preserve"> los procesos de selección se rigen por el artículo 2 de la Ley 1150 de 2007. El </w:t>
      </w:r>
      <w:r w:rsidRPr="00B47324">
        <w:rPr>
          <w:rFonts w:ascii="Verdana" w:hAnsi="Verdana" w:cs="Arial"/>
          <w:bCs/>
          <w:lang w:val="es-MX"/>
        </w:rPr>
        <w:t>numeral</w:t>
      </w:r>
      <w:r w:rsidRPr="00666B6A">
        <w:rPr>
          <w:rFonts w:ascii="Verdana" w:hAnsi="Verdana" w:cs="Arial"/>
          <w:bCs/>
          <w:lang w:val="es-MX"/>
        </w:rPr>
        <w:t xml:space="preserve"> uno, inciso primero, dispone que “La escogencia del contratista se efectuará por </w:t>
      </w:r>
      <w:r w:rsidRPr="00666B6A">
        <w:rPr>
          <w:rFonts w:ascii="Verdana" w:hAnsi="Verdana" w:cs="Arial"/>
          <w:bCs/>
          <w:i/>
          <w:iCs/>
          <w:lang w:val="es-MX"/>
        </w:rPr>
        <w:t>regla general</w:t>
      </w:r>
      <w:r w:rsidRPr="00666B6A">
        <w:rPr>
          <w:rFonts w:ascii="Verdana" w:hAnsi="Verdana" w:cs="Arial"/>
          <w:bCs/>
          <w:lang w:val="es-MX"/>
        </w:rPr>
        <w:t xml:space="preserve"> a través de licitación pública, con las </w:t>
      </w:r>
      <w:r w:rsidRPr="00666B6A">
        <w:rPr>
          <w:rFonts w:ascii="Verdana" w:hAnsi="Verdana" w:cs="Arial"/>
          <w:bCs/>
          <w:i/>
          <w:iCs/>
          <w:lang w:val="es-MX"/>
        </w:rPr>
        <w:t>excepciones</w:t>
      </w:r>
      <w:r w:rsidRPr="00666B6A">
        <w:rPr>
          <w:rFonts w:ascii="Verdana" w:hAnsi="Verdana" w:cs="Arial"/>
          <w:bCs/>
          <w:lang w:val="es-MX"/>
        </w:rPr>
        <w:t xml:space="preserve"> que se señalan en los numerales 2, 3 y 4 del presente artículo” (Énfasis fuera de texto), norma que sustituye el derogado numeral 1 del artículo 24 de la Ley 80 de 1993 sobre el principio de transparencia</w:t>
      </w:r>
      <w:r w:rsidRPr="00666B6A">
        <w:rPr>
          <w:rFonts w:ascii="Verdana" w:hAnsi="Verdana" w:cs="Arial"/>
          <w:bCs/>
          <w:vertAlign w:val="superscript"/>
          <w:lang w:val="es-MX"/>
        </w:rPr>
        <w:footnoteReference w:id="3"/>
      </w:r>
      <w:r w:rsidRPr="00666B6A">
        <w:rPr>
          <w:rFonts w:ascii="Verdana" w:hAnsi="Verdana" w:cs="Arial"/>
          <w:bCs/>
          <w:lang w:val="es-MX"/>
        </w:rPr>
        <w:t xml:space="preserve">. </w:t>
      </w:r>
      <w:r>
        <w:rPr>
          <w:rFonts w:ascii="Verdana" w:hAnsi="Verdana" w:cs="Arial"/>
          <w:bCs/>
          <w:lang w:val="es-MX"/>
        </w:rPr>
        <w:t>Así</w:t>
      </w:r>
      <w:r w:rsidRPr="00666B6A">
        <w:rPr>
          <w:rFonts w:ascii="Verdana" w:hAnsi="Verdana" w:cs="Arial"/>
          <w:bCs/>
          <w:lang w:val="es-MX"/>
        </w:rPr>
        <w:t xml:space="preserve">, salvo norma especial que ordene la celebración del negocio jurídico por selección abreviada, concurso de </w:t>
      </w:r>
      <w:r w:rsidRPr="00666B6A">
        <w:rPr>
          <w:rFonts w:ascii="Verdana" w:hAnsi="Verdana" w:cs="Arial"/>
          <w:bCs/>
          <w:lang w:val="es-MX"/>
        </w:rPr>
        <w:lastRenderedPageBreak/>
        <w:t>méritos, mínima cuantía o contratación directa, debe aplicarse la regla general de licitación pública</w:t>
      </w:r>
      <w:r w:rsidRPr="00666B6A">
        <w:rPr>
          <w:rFonts w:ascii="Verdana" w:hAnsi="Verdana" w:cs="Arial"/>
          <w:bCs/>
          <w:vertAlign w:val="superscript"/>
          <w:lang w:val="es-MX"/>
        </w:rPr>
        <w:footnoteReference w:id="4"/>
      </w:r>
      <w:r w:rsidRPr="00666B6A">
        <w:rPr>
          <w:rFonts w:ascii="Verdana" w:hAnsi="Verdana" w:cs="Arial"/>
          <w:bCs/>
          <w:lang w:val="es-MX"/>
        </w:rPr>
        <w:t>.</w:t>
      </w:r>
    </w:p>
    <w:p w14:paraId="3ADD0A60" w14:textId="77777777" w:rsidR="00F60167" w:rsidRPr="004F0676" w:rsidRDefault="00F60167" w:rsidP="00F60167">
      <w:pPr>
        <w:spacing w:after="120" w:line="276" w:lineRule="auto"/>
        <w:ind w:firstLine="708"/>
        <w:jc w:val="both"/>
        <w:rPr>
          <w:rFonts w:ascii="Verdana" w:hAnsi="Verdana" w:cs="Arial"/>
          <w:bCs/>
          <w:lang w:val="es-ES_tradnl"/>
        </w:rPr>
      </w:pPr>
      <w:r w:rsidRPr="007D48B0">
        <w:rPr>
          <w:rFonts w:ascii="Verdana" w:eastAsia="Calibri" w:hAnsi="Verdana" w:cs="Arial"/>
        </w:rPr>
        <w:t xml:space="preserve">Respecto a la selección abreviada, </w:t>
      </w:r>
      <w:bookmarkStart w:id="4" w:name="_Hlk39070608"/>
      <w:r w:rsidRPr="007D48B0">
        <w:rPr>
          <w:rFonts w:ascii="Verdana" w:eastAsia="Calibri" w:hAnsi="Verdana" w:cs="Arial"/>
        </w:rPr>
        <w:t>el numeral 2 del artículo 2 de la Ley 1150 de 2007</w:t>
      </w:r>
      <w:bookmarkEnd w:id="4"/>
      <w:r w:rsidRPr="007D48B0">
        <w:rPr>
          <w:rFonts w:ascii="Verdana" w:eastAsia="Calibri" w:hAnsi="Verdana" w:cs="Arial"/>
        </w:rPr>
        <w:t xml:space="preserve"> dispone que </w:t>
      </w:r>
      <w:r>
        <w:rPr>
          <w:rFonts w:ascii="Verdana" w:eastAsia="Calibri" w:hAnsi="Verdana" w:cs="Arial"/>
        </w:rPr>
        <w:t>“</w:t>
      </w:r>
      <w:r w:rsidRPr="007D48B0">
        <w:rPr>
          <w:rFonts w:ascii="Verdana" w:eastAsia="Calibri" w:hAnsi="Verdana" w:cs="Arial"/>
        </w:rPr>
        <w:t xml:space="preserve">[…] corresponde a la modalidad de selección objetiva prevista para aquellos casos en que, por las características del objeto a contratar, las circunstancias de la contratación o la cuantía o destinación del bien, obra o </w:t>
      </w:r>
      <w:proofErr w:type="gramStart"/>
      <w:r w:rsidRPr="007D48B0">
        <w:rPr>
          <w:rFonts w:ascii="Verdana" w:eastAsia="Calibri" w:hAnsi="Verdana" w:cs="Arial"/>
        </w:rPr>
        <w:t>servicio,</w:t>
      </w:r>
      <w:proofErr w:type="gramEnd"/>
      <w:r w:rsidRPr="007D48B0">
        <w:rPr>
          <w:rFonts w:ascii="Verdana" w:eastAsia="Calibri" w:hAnsi="Verdana" w:cs="Arial"/>
        </w:rPr>
        <w:t xml:space="preserve"> puedan adelantarse procesos simplificados para garantizar la eficiencia de la gestión contractual</w:t>
      </w:r>
      <w:r>
        <w:rPr>
          <w:rFonts w:ascii="Verdana" w:eastAsia="Calibri" w:hAnsi="Verdana" w:cs="Arial"/>
        </w:rPr>
        <w:t>”</w:t>
      </w:r>
      <w:r w:rsidRPr="007D48B0">
        <w:rPr>
          <w:rFonts w:ascii="Verdana" w:eastAsia="Calibri" w:hAnsi="Verdana" w:cs="Arial"/>
        </w:rPr>
        <w:t>, regulando cada una de las causales</w:t>
      </w:r>
      <w:r w:rsidRPr="007D48B0">
        <w:rPr>
          <w:rStyle w:val="Refdenotaalpie"/>
          <w:rFonts w:ascii="Verdana" w:eastAsia="Calibri" w:hAnsi="Verdana" w:cs="Arial"/>
        </w:rPr>
        <w:footnoteReference w:id="5"/>
      </w:r>
      <w:r w:rsidRPr="007D48B0">
        <w:rPr>
          <w:rFonts w:ascii="Verdana" w:eastAsia="Calibri" w:hAnsi="Verdana" w:cs="Arial"/>
        </w:rPr>
        <w:t xml:space="preserve">. </w:t>
      </w:r>
    </w:p>
    <w:p w14:paraId="4CE3CDDB" w14:textId="77777777" w:rsidR="00F60167" w:rsidRPr="007D48B0" w:rsidRDefault="00F60167" w:rsidP="00F60167">
      <w:pPr>
        <w:spacing w:after="0" w:line="276" w:lineRule="auto"/>
        <w:ind w:firstLine="708"/>
        <w:jc w:val="both"/>
        <w:rPr>
          <w:rFonts w:ascii="Verdana" w:eastAsia="Calibri" w:hAnsi="Verdana" w:cs="Arial"/>
        </w:rPr>
      </w:pPr>
      <w:bookmarkStart w:id="5" w:name="_Hlk39174727"/>
      <w:r w:rsidRPr="007D48B0">
        <w:rPr>
          <w:rFonts w:ascii="Verdana" w:eastAsia="Calibri" w:hAnsi="Verdana" w:cs="Arial"/>
        </w:rPr>
        <w:lastRenderedPageBreak/>
        <w:t>Se trata de un procedimiento que, conforme a la reglamentación que expida el Gobierno Nacional, agiliza la contratación estatal en los eventos en que no se justifica adelantar una licitación pública, pero tampoco limitar la participación de los proponentes como en la contratación directa, de forma tal que es un mecanismo de selección objetiva que asegura una mayor concurrencia de participantes sin sacrificar los principios de eficacia y eficiencia en el proceso de selección</w:t>
      </w:r>
      <w:bookmarkEnd w:id="3"/>
      <w:bookmarkEnd w:id="5"/>
      <w:r w:rsidRPr="007D48B0">
        <w:rPr>
          <w:rFonts w:ascii="Verdana" w:eastAsia="Calibri" w:hAnsi="Verdana" w:cs="Arial"/>
        </w:rPr>
        <w:t>. En la exposición de motivos se explica lo siguiente:</w:t>
      </w:r>
    </w:p>
    <w:p w14:paraId="5A5D2140" w14:textId="77777777" w:rsidR="00F60167" w:rsidRPr="007D48B0" w:rsidRDefault="00F60167" w:rsidP="00F60167">
      <w:pPr>
        <w:spacing w:after="0" w:line="276" w:lineRule="auto"/>
        <w:jc w:val="both"/>
        <w:rPr>
          <w:rFonts w:ascii="Verdana" w:eastAsia="Calibri" w:hAnsi="Verdana" w:cs="Arial"/>
        </w:rPr>
      </w:pPr>
    </w:p>
    <w:p w14:paraId="41D17429" w14:textId="77777777" w:rsidR="00F60167" w:rsidRPr="00C11001" w:rsidRDefault="00F60167" w:rsidP="00F60167">
      <w:pPr>
        <w:spacing w:after="0" w:line="240" w:lineRule="auto"/>
        <w:ind w:left="709" w:right="709"/>
        <w:jc w:val="both"/>
        <w:rPr>
          <w:rFonts w:ascii="Verdana" w:eastAsia="Calibri" w:hAnsi="Verdana" w:cs="Arial"/>
          <w:sz w:val="20"/>
          <w:szCs w:val="20"/>
        </w:rPr>
      </w:pPr>
      <w:r w:rsidRPr="00C11001">
        <w:rPr>
          <w:rFonts w:ascii="Verdana" w:eastAsia="Calibri" w:hAnsi="Verdana" w:cs="Arial"/>
          <w:sz w:val="20"/>
          <w:szCs w:val="20"/>
        </w:rPr>
        <w:t>“– Si bien la Licitación Pública sigue siendo la regla general, la misma pasa a reservarse para los procesos en los que la complejidad del objeto a contratar amerita la larga y cuidadosa ponderación de factores técnicos y económicos de las propuestas […].</w:t>
      </w:r>
    </w:p>
    <w:p w14:paraId="1B620F8E" w14:textId="77777777" w:rsidR="00F60167" w:rsidRPr="00C11001" w:rsidRDefault="00F60167" w:rsidP="00F60167">
      <w:pPr>
        <w:spacing w:after="0" w:line="240" w:lineRule="auto"/>
        <w:ind w:left="709" w:right="709"/>
        <w:jc w:val="both"/>
        <w:rPr>
          <w:rFonts w:ascii="Verdana" w:eastAsia="Calibri" w:hAnsi="Verdana" w:cs="Arial"/>
          <w:sz w:val="20"/>
          <w:szCs w:val="20"/>
        </w:rPr>
      </w:pPr>
    </w:p>
    <w:p w14:paraId="1BFB7914" w14:textId="77777777" w:rsidR="00F60167" w:rsidRPr="00C11001" w:rsidRDefault="00F60167" w:rsidP="00F60167">
      <w:pPr>
        <w:spacing w:after="0" w:line="240" w:lineRule="auto"/>
        <w:ind w:left="709" w:right="709"/>
        <w:jc w:val="both"/>
        <w:rPr>
          <w:rFonts w:ascii="Verdana" w:eastAsia="Calibri" w:hAnsi="Verdana" w:cs="Arial"/>
          <w:sz w:val="20"/>
          <w:szCs w:val="20"/>
        </w:rPr>
      </w:pPr>
      <w:r w:rsidRPr="00C11001">
        <w:rPr>
          <w:rFonts w:ascii="Verdana" w:eastAsia="Calibri" w:hAnsi="Verdana" w:cs="Arial"/>
          <w:sz w:val="20"/>
          <w:szCs w:val="20"/>
        </w:rPr>
        <w:t xml:space="preserve">– Se crea la llamada </w:t>
      </w:r>
      <w:r>
        <w:rPr>
          <w:rFonts w:ascii="Verdana" w:eastAsia="Calibri" w:hAnsi="Verdana" w:cs="Arial"/>
          <w:sz w:val="20"/>
          <w:szCs w:val="20"/>
        </w:rPr>
        <w:t>‘</w:t>
      </w:r>
      <w:r w:rsidRPr="00C11001">
        <w:rPr>
          <w:rFonts w:ascii="Verdana" w:eastAsia="Calibri" w:hAnsi="Verdana" w:cs="Arial"/>
          <w:sz w:val="20"/>
          <w:szCs w:val="20"/>
        </w:rPr>
        <w:t>selección abreviada</w:t>
      </w:r>
      <w:r>
        <w:rPr>
          <w:rFonts w:ascii="Verdana" w:eastAsia="Calibri" w:hAnsi="Verdana" w:cs="Arial"/>
          <w:sz w:val="20"/>
          <w:szCs w:val="20"/>
        </w:rPr>
        <w:t>’</w:t>
      </w:r>
      <w:r w:rsidRPr="00C11001">
        <w:rPr>
          <w:rFonts w:ascii="Verdana" w:eastAsia="Calibri" w:hAnsi="Verdana" w:cs="Arial"/>
          <w:sz w:val="20"/>
          <w:szCs w:val="20"/>
        </w:rPr>
        <w:t>, para permitir la existencia de procedimientos de selección que, basados estrictamente en los principios cardinales de la contratación pública, permitan de manera ágil la adopción de decisiones de selección. En el sentido antedicho, las innovaciones del proceso de selección abreviada empiezan por una medida trascendental, para llevar a sólo horas los contratos referidos a la adquisición bienes de “características técnicas uniformes y de común utilización” […].</w:t>
      </w:r>
    </w:p>
    <w:p w14:paraId="1960BA7A" w14:textId="77777777" w:rsidR="00F60167" w:rsidRDefault="00F60167" w:rsidP="00F60167">
      <w:pPr>
        <w:spacing w:after="0" w:line="240" w:lineRule="auto"/>
        <w:ind w:left="709" w:right="709"/>
        <w:jc w:val="both"/>
        <w:rPr>
          <w:rFonts w:ascii="Verdana" w:eastAsia="Calibri" w:hAnsi="Verdana" w:cs="Arial"/>
          <w:sz w:val="20"/>
          <w:szCs w:val="20"/>
        </w:rPr>
      </w:pPr>
    </w:p>
    <w:p w14:paraId="2EDE955D" w14:textId="77777777" w:rsidR="00F60167" w:rsidRPr="007D48B0" w:rsidRDefault="00F60167" w:rsidP="00F60167">
      <w:pPr>
        <w:spacing w:after="0" w:line="240" w:lineRule="auto"/>
        <w:ind w:left="709" w:right="709"/>
        <w:jc w:val="both"/>
        <w:rPr>
          <w:rFonts w:ascii="Verdana" w:eastAsia="Calibri" w:hAnsi="Verdana" w:cs="Arial"/>
          <w:sz w:val="21"/>
          <w:szCs w:val="21"/>
        </w:rPr>
      </w:pPr>
      <w:r w:rsidRPr="00C11001">
        <w:rPr>
          <w:rFonts w:ascii="Verdana" w:eastAsia="Calibri" w:hAnsi="Verdana" w:cs="Arial"/>
          <w:sz w:val="20"/>
          <w:szCs w:val="20"/>
        </w:rPr>
        <w:t xml:space="preserve">– Adicionalmente en esta categoría se recoge la llamada </w:t>
      </w:r>
      <w:r>
        <w:rPr>
          <w:rFonts w:ascii="Verdana" w:eastAsia="Calibri" w:hAnsi="Verdana" w:cs="Arial"/>
          <w:sz w:val="20"/>
          <w:szCs w:val="20"/>
        </w:rPr>
        <w:t>‘</w:t>
      </w:r>
      <w:r w:rsidRPr="00C11001">
        <w:rPr>
          <w:rFonts w:ascii="Verdana" w:eastAsia="Calibri" w:hAnsi="Verdana" w:cs="Arial"/>
          <w:sz w:val="20"/>
          <w:szCs w:val="20"/>
        </w:rPr>
        <w:t>menor cuantía</w:t>
      </w:r>
      <w:r>
        <w:rPr>
          <w:rFonts w:ascii="Verdana" w:eastAsia="Calibri" w:hAnsi="Verdana" w:cs="Arial"/>
          <w:sz w:val="20"/>
          <w:szCs w:val="20"/>
        </w:rPr>
        <w:t>’</w:t>
      </w:r>
      <w:r w:rsidRPr="00C11001">
        <w:rPr>
          <w:rFonts w:ascii="Verdana" w:eastAsia="Calibri" w:hAnsi="Verdana" w:cs="Arial"/>
          <w:sz w:val="20"/>
          <w:szCs w:val="20"/>
        </w:rPr>
        <w:t xml:space="preserve"> (sólo aplicable en lo sucesivo a bienes o servicios diferentes de los anteriores), así como otros procesos que por su naturaleza o circunstancias deben ser objeto de tratamiento expedido, tales como la defensa y seguridad nacional, entre otras”</w:t>
      </w:r>
      <w:r w:rsidRPr="00C11001">
        <w:rPr>
          <w:rStyle w:val="Refdenotaalpie"/>
          <w:rFonts w:ascii="Verdana" w:eastAsia="Calibri" w:hAnsi="Verdana" w:cs="Arial"/>
          <w:sz w:val="20"/>
          <w:szCs w:val="20"/>
        </w:rPr>
        <w:footnoteReference w:id="6"/>
      </w:r>
      <w:r w:rsidRPr="00C11001">
        <w:rPr>
          <w:rFonts w:ascii="Verdana" w:eastAsia="Calibri" w:hAnsi="Verdana" w:cs="Arial"/>
          <w:sz w:val="20"/>
          <w:szCs w:val="20"/>
        </w:rPr>
        <w:t>.</w:t>
      </w:r>
    </w:p>
    <w:p w14:paraId="2C14EFB9" w14:textId="77777777" w:rsidR="00F60167" w:rsidRPr="007D48B0" w:rsidRDefault="00F60167" w:rsidP="00F60167">
      <w:pPr>
        <w:spacing w:after="0" w:line="276" w:lineRule="auto"/>
        <w:jc w:val="both"/>
        <w:rPr>
          <w:rFonts w:ascii="Verdana" w:eastAsia="Calibri" w:hAnsi="Verdana" w:cs="Arial"/>
        </w:rPr>
      </w:pPr>
    </w:p>
    <w:p w14:paraId="3A3D4501" w14:textId="77777777" w:rsidR="00F60167" w:rsidRDefault="00F60167" w:rsidP="00F60167">
      <w:pPr>
        <w:spacing w:after="120" w:line="276" w:lineRule="auto"/>
        <w:ind w:firstLine="709"/>
        <w:jc w:val="both"/>
        <w:rPr>
          <w:rFonts w:ascii="Verdana" w:eastAsia="Calibri" w:hAnsi="Verdana" w:cs="Arial"/>
        </w:rPr>
      </w:pPr>
      <w:r w:rsidRPr="007D48B0">
        <w:rPr>
          <w:rFonts w:ascii="Verdana" w:eastAsia="Calibri" w:hAnsi="Verdana" w:cs="Arial"/>
        </w:rPr>
        <w:lastRenderedPageBreak/>
        <w:t xml:space="preserve">De esta manera, la selección abreviada se caracteriza por tener etapas un poco sencillas y términos relativamente más cortos que los de la licitación pública, lo cual se justifica por las circunstancias, la naturaleza y los objetos que se contratan a través de esta modalidad, los cuales requieren de procedimientos un poco más agiles, sencillos y eficientes. A continuación, el Decreto 1082 de 2015 desarrolla las causales, regulando el pliego de condiciones, el procedimiento, las etapas, entre otros. Según el Consejo de Estado, el propósito del legislador es </w:t>
      </w:r>
      <w:r>
        <w:rPr>
          <w:rFonts w:ascii="Verdana" w:eastAsia="Calibri" w:hAnsi="Verdana" w:cs="Arial"/>
        </w:rPr>
        <w:t>“</w:t>
      </w:r>
      <w:r w:rsidRPr="007D48B0">
        <w:rPr>
          <w:rFonts w:ascii="Verdana" w:eastAsia="Calibri" w:hAnsi="Verdana" w:cs="Arial"/>
        </w:rPr>
        <w:t>[…] proveer de mayor agilidad y eficiencia la contratación de algunos bienes o servicios, en los que es deseable la concurrencia de oferentes, pero no en los términos y condiciones de una licitación pública, sino de manera abreviada o, en términos de la ley, simplificada</w:t>
      </w:r>
      <w:r>
        <w:rPr>
          <w:rFonts w:ascii="Verdana" w:eastAsia="Calibri" w:hAnsi="Verdana" w:cs="Arial"/>
        </w:rPr>
        <w:t>”</w:t>
      </w:r>
      <w:r w:rsidRPr="007D48B0">
        <w:rPr>
          <w:rStyle w:val="Refdenotaalpie"/>
          <w:rFonts w:ascii="Verdana" w:eastAsia="Calibri" w:hAnsi="Verdana" w:cs="Arial"/>
        </w:rPr>
        <w:footnoteReference w:id="7"/>
      </w:r>
      <w:r w:rsidRPr="007D48B0">
        <w:rPr>
          <w:rFonts w:ascii="Verdana" w:eastAsia="Calibri" w:hAnsi="Verdana" w:cs="Arial"/>
        </w:rPr>
        <w:t xml:space="preserve">. </w:t>
      </w:r>
    </w:p>
    <w:p w14:paraId="5B8D0510" w14:textId="77777777" w:rsidR="00F60167" w:rsidRDefault="00F60167" w:rsidP="00F60167">
      <w:pPr>
        <w:spacing w:after="0" w:line="276" w:lineRule="auto"/>
        <w:ind w:firstLine="708"/>
        <w:jc w:val="both"/>
        <w:rPr>
          <w:rFonts w:ascii="Verdana" w:eastAsia="Calibri" w:hAnsi="Verdana" w:cs="Arial"/>
          <w:color w:val="000000" w:themeColor="text1"/>
          <w:lang w:val="es-MX"/>
        </w:rPr>
      </w:pPr>
      <w:r w:rsidRPr="007D48B0">
        <w:rPr>
          <w:rFonts w:ascii="Verdana" w:eastAsia="Calibri" w:hAnsi="Verdana" w:cs="Arial"/>
          <w:color w:val="000000" w:themeColor="text1"/>
          <w:lang w:val="es-MX"/>
        </w:rPr>
        <w:t>Conforme al literal b) del artículo 2.2 de la Ley 1150 de 2007, una de las causales de selección abreviada es la de menor cuantía</w:t>
      </w:r>
      <w:r>
        <w:rPr>
          <w:rFonts w:ascii="Verdana" w:eastAsia="Calibri" w:hAnsi="Verdana" w:cs="Arial"/>
          <w:color w:val="000000" w:themeColor="text1"/>
          <w:lang w:val="es-MX"/>
        </w:rPr>
        <w:t>, por la cual consulta</w:t>
      </w:r>
      <w:r w:rsidRPr="007D48B0">
        <w:rPr>
          <w:rFonts w:ascii="Verdana" w:eastAsia="Calibri" w:hAnsi="Verdana" w:cs="Arial"/>
          <w:color w:val="000000" w:themeColor="text1"/>
          <w:lang w:val="es-MX"/>
        </w:rPr>
        <w:t>. Esta se refiere a los procesos contractuales cuyo su valor es inferior a los topes que la norma señala respecto de su presupuesto anual, y se desarrolla en el Decreto único Reglamentario del Sector Planeación donde se establece su procedimiento</w:t>
      </w:r>
      <w:r>
        <w:rPr>
          <w:rFonts w:ascii="Verdana" w:eastAsia="Calibri" w:hAnsi="Verdana" w:cs="Arial"/>
          <w:color w:val="000000" w:themeColor="text1"/>
          <w:lang w:val="es-MX"/>
        </w:rPr>
        <w:t>. Conforme a la norma precitada, los rangos de la menor cuantía son los siguientes:</w:t>
      </w:r>
    </w:p>
    <w:p w14:paraId="4C081E83" w14:textId="77777777" w:rsidR="00F60167" w:rsidRDefault="00F60167" w:rsidP="00F60167">
      <w:pPr>
        <w:spacing w:after="0" w:line="276" w:lineRule="auto"/>
        <w:ind w:firstLine="708"/>
        <w:jc w:val="both"/>
        <w:rPr>
          <w:rFonts w:ascii="Verdana" w:eastAsia="Calibri" w:hAnsi="Verdana" w:cs="Arial"/>
          <w:color w:val="000000" w:themeColor="text1"/>
          <w:lang w:val="es-MX"/>
        </w:rPr>
      </w:pPr>
    </w:p>
    <w:p w14:paraId="6E877069" w14:textId="77777777" w:rsidR="00F60167" w:rsidRPr="00A14076" w:rsidRDefault="00F60167" w:rsidP="00F60167">
      <w:pPr>
        <w:spacing w:after="0" w:line="240" w:lineRule="auto"/>
        <w:ind w:left="709" w:right="709"/>
        <w:jc w:val="both"/>
        <w:rPr>
          <w:rFonts w:ascii="Verdana" w:hAnsi="Verdana" w:cs="Arial"/>
          <w:color w:val="000000" w:themeColor="text1"/>
          <w:sz w:val="20"/>
          <w:szCs w:val="20"/>
        </w:rPr>
      </w:pPr>
      <w:r w:rsidRPr="00A14076">
        <w:rPr>
          <w:rFonts w:ascii="Verdana" w:hAnsi="Verdana" w:cs="Arial"/>
          <w:color w:val="000000" w:themeColor="text1"/>
          <w:sz w:val="20"/>
          <w:szCs w:val="20"/>
        </w:rPr>
        <w:t>“[…]</w:t>
      </w:r>
    </w:p>
    <w:p w14:paraId="5CF070C4" w14:textId="77777777" w:rsidR="00F60167" w:rsidRPr="00A14076" w:rsidRDefault="00F60167" w:rsidP="00F60167">
      <w:pPr>
        <w:spacing w:after="0" w:line="240" w:lineRule="auto"/>
        <w:ind w:left="709" w:right="709"/>
        <w:jc w:val="both"/>
        <w:rPr>
          <w:rFonts w:ascii="Verdana" w:hAnsi="Verdana" w:cs="Arial"/>
          <w:color w:val="000000" w:themeColor="text1"/>
          <w:sz w:val="20"/>
          <w:szCs w:val="20"/>
        </w:rPr>
      </w:pPr>
      <w:r w:rsidRPr="00A14076">
        <w:rPr>
          <w:rFonts w:ascii="Verdana" w:hAnsi="Verdana" w:cs="Arial"/>
          <w:color w:val="000000" w:themeColor="text1"/>
          <w:sz w:val="20"/>
          <w:szCs w:val="20"/>
        </w:rPr>
        <w:t>Para las entidades que tengan un presupuesto anual superior o igual a 1.200.000 salarios mínimos legales mensuales, la menor cuantía será hasta 1.000 salarios mínimos legales mensuales.</w:t>
      </w:r>
    </w:p>
    <w:p w14:paraId="0F22FC87" w14:textId="77777777" w:rsidR="00F60167" w:rsidRPr="00A14076" w:rsidRDefault="00F60167" w:rsidP="00F60167">
      <w:pPr>
        <w:spacing w:after="0" w:line="240" w:lineRule="auto"/>
        <w:ind w:left="709" w:right="709"/>
        <w:jc w:val="both"/>
        <w:rPr>
          <w:rFonts w:ascii="Verdana" w:hAnsi="Verdana" w:cs="Arial"/>
          <w:color w:val="000000" w:themeColor="text1"/>
          <w:sz w:val="20"/>
          <w:szCs w:val="20"/>
        </w:rPr>
      </w:pPr>
    </w:p>
    <w:p w14:paraId="4C3E7B0B" w14:textId="77777777" w:rsidR="00F60167" w:rsidRPr="00A14076" w:rsidRDefault="00F60167" w:rsidP="00F60167">
      <w:pPr>
        <w:spacing w:after="0" w:line="240" w:lineRule="auto"/>
        <w:ind w:left="709" w:right="709"/>
        <w:jc w:val="both"/>
        <w:rPr>
          <w:rFonts w:ascii="Verdana" w:hAnsi="Verdana" w:cs="Arial"/>
          <w:color w:val="000000" w:themeColor="text1"/>
          <w:sz w:val="20"/>
          <w:szCs w:val="20"/>
        </w:rPr>
      </w:pPr>
      <w:r w:rsidRPr="00A14076">
        <w:rPr>
          <w:rFonts w:ascii="Verdana" w:hAnsi="Verdana" w:cs="Arial"/>
          <w:color w:val="000000" w:themeColor="text1"/>
          <w:sz w:val="20"/>
          <w:szCs w:val="20"/>
        </w:rPr>
        <w:t>Las que tengan un presupuesto anual superior o igual a 850.000 salarios mínimos legales mensuales e inferiores a 1.200.000 salarios mínimos legales mensuales, la menor cuantía será hasta 850 salarios mínimos legales mensuales.</w:t>
      </w:r>
    </w:p>
    <w:p w14:paraId="14033116" w14:textId="77777777" w:rsidR="00F60167" w:rsidRDefault="00F60167" w:rsidP="00F60167">
      <w:pPr>
        <w:spacing w:after="0" w:line="240" w:lineRule="auto"/>
        <w:ind w:left="709" w:right="709"/>
        <w:jc w:val="both"/>
        <w:rPr>
          <w:rFonts w:ascii="Verdana" w:hAnsi="Verdana" w:cs="Arial"/>
          <w:color w:val="000000" w:themeColor="text1"/>
          <w:sz w:val="20"/>
          <w:szCs w:val="20"/>
        </w:rPr>
      </w:pPr>
    </w:p>
    <w:p w14:paraId="597ED588" w14:textId="77777777" w:rsidR="00F60167" w:rsidRPr="00A14076" w:rsidRDefault="00F60167" w:rsidP="00F60167">
      <w:pPr>
        <w:spacing w:after="0" w:line="240" w:lineRule="auto"/>
        <w:ind w:left="709" w:right="709"/>
        <w:jc w:val="both"/>
        <w:rPr>
          <w:rFonts w:ascii="Verdana" w:hAnsi="Verdana" w:cs="Arial"/>
          <w:color w:val="000000" w:themeColor="text1"/>
          <w:sz w:val="20"/>
          <w:szCs w:val="20"/>
        </w:rPr>
      </w:pPr>
      <w:r w:rsidRPr="00A14076">
        <w:rPr>
          <w:rFonts w:ascii="Verdana" w:hAnsi="Verdana" w:cs="Arial"/>
          <w:color w:val="000000" w:themeColor="text1"/>
          <w:sz w:val="20"/>
          <w:szCs w:val="20"/>
        </w:rPr>
        <w:t>Las que tengan un presupuesto anual superior o igual a 400.000 salarios mínimos legales mensuales e inferior a 850.000 salarios mínimos legales mensuales, la menor cuantía será hasta 650 salarios mínimos legales mensuales.</w:t>
      </w:r>
    </w:p>
    <w:p w14:paraId="71D2B99D" w14:textId="77777777" w:rsidR="00F60167" w:rsidRDefault="00F60167" w:rsidP="00F60167">
      <w:pPr>
        <w:spacing w:after="0" w:line="240" w:lineRule="auto"/>
        <w:ind w:left="709" w:right="709"/>
        <w:jc w:val="both"/>
        <w:rPr>
          <w:rFonts w:ascii="Verdana" w:hAnsi="Verdana" w:cs="Arial"/>
          <w:color w:val="000000" w:themeColor="text1"/>
          <w:sz w:val="20"/>
          <w:szCs w:val="20"/>
        </w:rPr>
      </w:pPr>
    </w:p>
    <w:p w14:paraId="3C27BBDD" w14:textId="77777777" w:rsidR="00F60167" w:rsidRPr="00A14076" w:rsidRDefault="00F60167" w:rsidP="00F60167">
      <w:pPr>
        <w:spacing w:after="0" w:line="240" w:lineRule="auto"/>
        <w:ind w:left="709" w:right="709"/>
        <w:jc w:val="both"/>
        <w:rPr>
          <w:rFonts w:ascii="Verdana" w:hAnsi="Verdana" w:cs="Arial"/>
          <w:color w:val="000000" w:themeColor="text1"/>
          <w:sz w:val="20"/>
          <w:szCs w:val="20"/>
        </w:rPr>
      </w:pPr>
      <w:r w:rsidRPr="00A14076">
        <w:rPr>
          <w:rFonts w:ascii="Verdana" w:hAnsi="Verdana" w:cs="Arial"/>
          <w:color w:val="000000" w:themeColor="text1"/>
          <w:sz w:val="20"/>
          <w:szCs w:val="20"/>
        </w:rPr>
        <w:t>Las que tengan un presupuesto anual superior o igual a 120.000 salarios mínimos legales mensuales e inferior a 400.000 salarios mínimos legales mensuales, la menor cuantía será hasta 450 salarios mínimos legales mensuales.</w:t>
      </w:r>
    </w:p>
    <w:p w14:paraId="5B5EE2A1" w14:textId="77777777" w:rsidR="00F60167" w:rsidRPr="00A14076" w:rsidRDefault="00F60167" w:rsidP="00F60167">
      <w:pPr>
        <w:spacing w:after="0" w:line="240" w:lineRule="auto"/>
        <w:ind w:left="709" w:right="709"/>
        <w:jc w:val="both"/>
        <w:rPr>
          <w:rFonts w:ascii="Verdana" w:hAnsi="Verdana" w:cs="Arial"/>
          <w:color w:val="000000" w:themeColor="text1"/>
          <w:sz w:val="20"/>
          <w:szCs w:val="20"/>
        </w:rPr>
      </w:pPr>
    </w:p>
    <w:p w14:paraId="6229100E" w14:textId="77777777" w:rsidR="00F60167" w:rsidRPr="00A14076" w:rsidRDefault="00F60167" w:rsidP="00F60167">
      <w:pPr>
        <w:spacing w:after="0" w:line="240" w:lineRule="auto"/>
        <w:ind w:left="709" w:right="709"/>
        <w:jc w:val="both"/>
        <w:rPr>
          <w:rFonts w:ascii="Verdana" w:hAnsi="Verdana" w:cs="Arial"/>
          <w:color w:val="000000" w:themeColor="text1"/>
          <w:sz w:val="20"/>
          <w:szCs w:val="20"/>
        </w:rPr>
      </w:pPr>
      <w:r w:rsidRPr="00A14076">
        <w:rPr>
          <w:rFonts w:ascii="Verdana" w:hAnsi="Verdana" w:cs="Arial"/>
          <w:color w:val="000000" w:themeColor="text1"/>
          <w:sz w:val="20"/>
          <w:szCs w:val="20"/>
        </w:rPr>
        <w:t>Las que tengan un presupuesto anual inferior a 120.000 salarios mínimos legales mensuales, la menor cuantía será hasta 280 salarios mínimos legales mensuales;</w:t>
      </w:r>
    </w:p>
    <w:p w14:paraId="5C59D38F" w14:textId="77777777" w:rsidR="00F60167" w:rsidRDefault="00F60167" w:rsidP="00F60167">
      <w:pPr>
        <w:spacing w:after="0" w:line="240" w:lineRule="auto"/>
        <w:ind w:left="709" w:right="709"/>
        <w:jc w:val="both"/>
        <w:rPr>
          <w:rFonts w:ascii="Verdana" w:hAnsi="Verdana" w:cs="Arial"/>
          <w:color w:val="000000" w:themeColor="text1"/>
        </w:rPr>
      </w:pPr>
      <w:r w:rsidRPr="00A14076">
        <w:rPr>
          <w:rFonts w:ascii="Verdana" w:hAnsi="Verdana" w:cs="Arial"/>
          <w:color w:val="000000" w:themeColor="text1"/>
          <w:sz w:val="20"/>
          <w:szCs w:val="20"/>
        </w:rPr>
        <w:t>[…]”.</w:t>
      </w:r>
    </w:p>
    <w:p w14:paraId="7D15F30E" w14:textId="77777777" w:rsidR="00F60167" w:rsidRDefault="00F60167" w:rsidP="00F60167">
      <w:pPr>
        <w:spacing w:after="0" w:line="276" w:lineRule="auto"/>
        <w:jc w:val="both"/>
        <w:rPr>
          <w:rFonts w:ascii="Verdana" w:hAnsi="Verdana" w:cs="Arial"/>
          <w:color w:val="000000" w:themeColor="text1"/>
        </w:rPr>
      </w:pPr>
    </w:p>
    <w:p w14:paraId="4E1A65AF" w14:textId="77777777" w:rsidR="00F60167" w:rsidRDefault="00F60167" w:rsidP="00F60167">
      <w:pPr>
        <w:pStyle w:val="Textoindependiente"/>
        <w:ind w:firstLine="709"/>
        <w:jc w:val="both"/>
        <w:rPr>
          <w:rFonts w:ascii="Verdana" w:hAnsi="Verdana"/>
        </w:rPr>
      </w:pPr>
      <w:r>
        <w:rPr>
          <w:rFonts w:ascii="Verdana" w:hAnsi="Verdana"/>
        </w:rPr>
        <w:t xml:space="preserve">Para la estimación de la menor cuantía, es necesario el dato del salario mínimo legal mensual vigente. El artículo 1 del </w:t>
      </w:r>
      <w:r w:rsidRPr="00CF43AF">
        <w:rPr>
          <w:rFonts w:ascii="Verdana" w:hAnsi="Verdana"/>
        </w:rPr>
        <w:t>Decreto 1469 de 2025</w:t>
      </w:r>
      <w:r>
        <w:rPr>
          <w:rFonts w:ascii="Verdana" w:hAnsi="Verdana"/>
        </w:rPr>
        <w:t xml:space="preserve"> fijó dicho valor por la suma de </w:t>
      </w:r>
      <w:r w:rsidRPr="00CF43AF">
        <w:rPr>
          <w:rFonts w:ascii="Verdana" w:hAnsi="Verdana"/>
        </w:rPr>
        <w:t>$1.750.905</w:t>
      </w:r>
      <w:r>
        <w:rPr>
          <w:rFonts w:ascii="Verdana" w:hAnsi="Verdana"/>
        </w:rPr>
        <w:t xml:space="preserve"> para el 2026. Sin embargo, la Subsección A de la Sección Segunda del Consejo de Estado –mediante Auto del 12 de febrero de 2026 con ponencia del </w:t>
      </w:r>
      <w:proofErr w:type="gramStart"/>
      <w:r>
        <w:rPr>
          <w:rFonts w:ascii="Verdana" w:hAnsi="Verdana"/>
        </w:rPr>
        <w:t>Consejero</w:t>
      </w:r>
      <w:proofErr w:type="gramEnd"/>
      <w:r>
        <w:rPr>
          <w:rFonts w:ascii="Verdana" w:hAnsi="Verdana"/>
        </w:rPr>
        <w:t xml:space="preserve"> </w:t>
      </w:r>
      <w:r w:rsidRPr="00977A26">
        <w:rPr>
          <w:rFonts w:ascii="Verdana" w:hAnsi="Verdana"/>
        </w:rPr>
        <w:t>Juan Camilo Morales Trujillo</w:t>
      </w:r>
      <w:r>
        <w:rPr>
          <w:rFonts w:ascii="Verdana" w:hAnsi="Verdana"/>
        </w:rPr>
        <w:t xml:space="preserve">– suspendió provisionalmente el mencionado acto administrativo. Por ello, ordenó a las entidades demandadas que “[…] </w:t>
      </w:r>
      <w:r w:rsidRPr="00977A26">
        <w:rPr>
          <w:rFonts w:ascii="Verdana" w:hAnsi="Verdana"/>
        </w:rPr>
        <w:t>dentro de los ocho (8) días calendario contados a partir del día siguiente a la notificación de esta providencia, realicen, expidan y publiquen un decreto en el que se fije el porcentaje transitorio de aumento del salario mínimo legal para el año 2026 y el consecuente valor total del mismo para esta vigencia, que regirá hasta tanto se dicte sentencia en el proceso</w:t>
      </w:r>
      <w:r>
        <w:rPr>
          <w:rFonts w:ascii="Verdana" w:hAnsi="Verdana"/>
        </w:rPr>
        <w:t>”</w:t>
      </w:r>
      <w:r w:rsidRPr="00977A26">
        <w:rPr>
          <w:rFonts w:ascii="Verdana" w:hAnsi="Verdana"/>
        </w:rPr>
        <w:t>.</w:t>
      </w:r>
    </w:p>
    <w:p w14:paraId="65BBBF51" w14:textId="77777777" w:rsidR="00F60167" w:rsidRPr="001277D7" w:rsidRDefault="00F60167" w:rsidP="00F60167">
      <w:pPr>
        <w:pStyle w:val="Textoindependiente"/>
        <w:ind w:firstLine="709"/>
        <w:jc w:val="both"/>
        <w:rPr>
          <w:rFonts w:ascii="Verdana" w:hAnsi="Verdana"/>
        </w:rPr>
      </w:pPr>
      <w:r w:rsidRPr="001277D7">
        <w:rPr>
          <w:rFonts w:ascii="Verdana" w:hAnsi="Verdana"/>
        </w:rPr>
        <w:t xml:space="preserve">Ahora bien, el numeral cuarto de la providencia judicial precisó lo siguiente: “DIFERIR los efectos de la suspensión provisional, que se hará efectiva únicamente a partir de la fecha en que se publique el decreto de que trata el numeral anterior mediante el cual se determine la cifra transitoria. </w:t>
      </w:r>
      <w:r w:rsidRPr="001277D7">
        <w:rPr>
          <w:rFonts w:ascii="Verdana" w:hAnsi="Verdana"/>
          <w:i/>
          <w:iCs/>
        </w:rPr>
        <w:t>Durante el lapso comprendido entre la notificación de esta providencia y la fecha de publicación del referido acto administrativo, el valor del salario mínimo para la vigencia 2026 seguirá correspondiendo al establecido en el Decreto 1469 de 2025</w:t>
      </w:r>
      <w:r w:rsidRPr="001277D7">
        <w:rPr>
          <w:rFonts w:ascii="Verdana" w:hAnsi="Verdana"/>
        </w:rPr>
        <w:t>” (Cursivas fuera de texto). Esto significa que, durante el mencionado periodo, la suma de $1.750.905 fue el salario mínimo mensual vigente para todos los efectos legales, lo que incluye también la influencia de este valor en el cálculo de la menor y mínima cuantía para efectos de la contratación de las entidades sometidas a la Ley 80 de 1993.</w:t>
      </w:r>
    </w:p>
    <w:p w14:paraId="6EA770F9" w14:textId="77777777" w:rsidR="00F60167" w:rsidRPr="001277D7" w:rsidRDefault="00F60167" w:rsidP="00F60167">
      <w:pPr>
        <w:pStyle w:val="Textoindependiente"/>
        <w:ind w:firstLine="709"/>
        <w:jc w:val="both"/>
        <w:rPr>
          <w:rFonts w:ascii="Verdana" w:hAnsi="Verdana"/>
        </w:rPr>
      </w:pPr>
      <w:r w:rsidRPr="001277D7">
        <w:rPr>
          <w:rFonts w:ascii="Verdana" w:hAnsi="Verdana"/>
        </w:rPr>
        <w:t>Por lo demás, el artículo 1 del Decreto 159 de 2026 –acto administrativo expedido por el Gobierno Nacional conforme a lo ordenado por el máximo órgano de la jurisdicción contenciosa administrativa– mantuvo la suma de $1.750.905 con valor del salario mínimo legal mensual para el 2026. Luego, dicha cifra continúa siendo la base para estimar el monto de la menor cuantía en función del presupuesto oficial</w:t>
      </w:r>
      <w:r>
        <w:rPr>
          <w:rFonts w:ascii="Verdana" w:hAnsi="Verdana"/>
        </w:rPr>
        <w:t xml:space="preserve">, </w:t>
      </w:r>
      <w:r w:rsidRPr="001277D7">
        <w:rPr>
          <w:rFonts w:ascii="Verdana" w:hAnsi="Verdana"/>
        </w:rPr>
        <w:t xml:space="preserve">para lo que no esté dentro de los umbrales correspondientes a </w:t>
      </w:r>
      <w:r>
        <w:rPr>
          <w:rFonts w:ascii="Verdana" w:hAnsi="Verdana"/>
        </w:rPr>
        <w:t>esta</w:t>
      </w:r>
      <w:r w:rsidRPr="001277D7">
        <w:rPr>
          <w:rFonts w:ascii="Verdana" w:hAnsi="Verdana"/>
        </w:rPr>
        <w:t xml:space="preserve"> modalidad de selección</w:t>
      </w:r>
      <w:r>
        <w:rPr>
          <w:rFonts w:ascii="Verdana" w:hAnsi="Verdana"/>
        </w:rPr>
        <w:t xml:space="preserve"> o la de la mínima </w:t>
      </w:r>
      <w:proofErr w:type="spellStart"/>
      <w:r>
        <w:rPr>
          <w:rFonts w:ascii="Verdana" w:hAnsi="Verdana"/>
        </w:rPr>
        <w:t>cuantia</w:t>
      </w:r>
      <w:proofErr w:type="spellEnd"/>
      <w:r w:rsidRPr="001277D7">
        <w:rPr>
          <w:rFonts w:ascii="Verdana" w:hAnsi="Verdana"/>
        </w:rPr>
        <w:t xml:space="preserve">, debe aplicarse la regla del inciso primero del artículo 2.1 de la Ley 1150 de 2007; </w:t>
      </w:r>
      <w:r w:rsidRPr="001277D7">
        <w:rPr>
          <w:rFonts w:ascii="Verdana" w:hAnsi="Verdana"/>
        </w:rPr>
        <w:lastRenderedPageBreak/>
        <w:t>razón por la cual, “La escogencia del contratista se efectuará por regla general a través de licitación pública, con las excepciones que se señalan en los numerales 2, 3 y 4 del presente artículo”.</w:t>
      </w:r>
    </w:p>
    <w:p w14:paraId="28A5E589" w14:textId="77777777" w:rsidR="00F60167" w:rsidRPr="00274350" w:rsidRDefault="00F60167" w:rsidP="00F60167">
      <w:pPr>
        <w:spacing w:after="120" w:line="276" w:lineRule="auto"/>
        <w:ind w:firstLine="709"/>
        <w:jc w:val="both"/>
        <w:rPr>
          <w:rFonts w:ascii="Verdana" w:eastAsia="Times New Roman" w:hAnsi="Verdana" w:cs="Segoe UI"/>
          <w:lang w:eastAsia="es-ES_tradnl"/>
        </w:rPr>
      </w:pPr>
      <w:r>
        <w:rPr>
          <w:rFonts w:ascii="Verdana" w:eastAsia="Times New Roman" w:hAnsi="Verdana" w:cs="Segoe UI"/>
          <w:lang w:eastAsia="es-ES_tradnl"/>
        </w:rPr>
        <w:t>Respecto al primer problema jurídico planteado, l</w:t>
      </w:r>
      <w:r w:rsidRPr="00274350">
        <w:rPr>
          <w:rFonts w:ascii="Verdana" w:eastAsia="Times New Roman" w:hAnsi="Verdana" w:cs="Segoe UI"/>
          <w:lang w:eastAsia="es-ES_tradnl"/>
        </w:rPr>
        <w:t>as cuantías de la menor cuantía previstas en el literal b) del numeral 2 del artículo 2 de la Ley 1150 de 2007 constituyen un criterio legal objetivo definido directamente por el legislador para determinar la procedencia de la modalidad de selección abreviada de menor cuantía. En consecuencia, para las entidades sometidas al Estatuto General de Contratación de la Administración Pública, dichas cuantías son de obligatoria observancia y se determinan en función del presupuesto anual de cada entidad.</w:t>
      </w:r>
    </w:p>
    <w:p w14:paraId="7F6393F4" w14:textId="77777777" w:rsidR="00F60167" w:rsidRPr="00274350" w:rsidRDefault="00F60167" w:rsidP="00F60167">
      <w:pPr>
        <w:spacing w:after="120" w:line="276" w:lineRule="auto"/>
        <w:ind w:firstLine="709"/>
        <w:jc w:val="both"/>
        <w:rPr>
          <w:rFonts w:ascii="Verdana" w:eastAsia="Times New Roman" w:hAnsi="Verdana" w:cs="Segoe UI"/>
          <w:lang w:eastAsia="es-ES_tradnl"/>
        </w:rPr>
      </w:pPr>
      <w:r w:rsidRPr="00274350">
        <w:rPr>
          <w:rFonts w:ascii="Verdana" w:eastAsia="Times New Roman" w:hAnsi="Verdana" w:cs="Segoe UI"/>
          <w:lang w:eastAsia="es-ES_tradnl"/>
        </w:rPr>
        <w:t>La Ley 1150 de 2007 establece de manera expresa los rangos de menor cuantía según el presupuesto anual de la entidad estatal, sin contemplar excepciones que autoricen a las entidades sujetas al Estatuto General de Contratación a superar discrecionalmente tales límites para adelantar procesos de selección abreviada por menor cuantía. Por el contrario, las modalidades de selección, sus presupuestos de procedencia y las cuantías que las delimitan responden a una reserva legal, por lo que no pueden ser modificadas por decisión unilateral de cada entidad.</w:t>
      </w:r>
    </w:p>
    <w:p w14:paraId="2A2FFA04" w14:textId="14310E62" w:rsidR="00F60167" w:rsidRPr="00274350" w:rsidRDefault="00F60167" w:rsidP="00F60167">
      <w:pPr>
        <w:spacing w:after="120" w:line="276" w:lineRule="auto"/>
        <w:ind w:firstLine="709"/>
        <w:jc w:val="both"/>
        <w:rPr>
          <w:rFonts w:ascii="Verdana" w:eastAsia="Times New Roman" w:hAnsi="Verdana" w:cs="Segoe UI"/>
          <w:lang w:eastAsia="es-ES_tradnl"/>
        </w:rPr>
      </w:pPr>
      <w:r w:rsidRPr="00274350">
        <w:rPr>
          <w:rFonts w:ascii="Verdana" w:eastAsia="Times New Roman" w:hAnsi="Verdana" w:cs="Segoe UI"/>
          <w:lang w:eastAsia="es-ES_tradnl"/>
        </w:rPr>
        <w:t xml:space="preserve">Lo anterior no significa que </w:t>
      </w:r>
      <w:r>
        <w:rPr>
          <w:rFonts w:ascii="Verdana" w:eastAsia="Times New Roman" w:hAnsi="Verdana" w:cs="Segoe UI"/>
          <w:lang w:eastAsia="es-ES_tradnl"/>
        </w:rPr>
        <w:t>todos los entes del Estado</w:t>
      </w:r>
      <w:r w:rsidRPr="00274350">
        <w:rPr>
          <w:rFonts w:ascii="Verdana" w:eastAsia="Times New Roman" w:hAnsi="Verdana" w:cs="Segoe UI"/>
          <w:lang w:eastAsia="es-ES_tradnl"/>
        </w:rPr>
        <w:t xml:space="preserve"> deban aplicar necesariamente la modalidad de selección abreviada de menor cuantía</w:t>
      </w:r>
      <w:r>
        <w:rPr>
          <w:rFonts w:ascii="Verdana" w:eastAsia="Times New Roman" w:hAnsi="Verdana" w:cs="Segoe UI"/>
          <w:lang w:eastAsia="es-ES_tradnl"/>
        </w:rPr>
        <w:t xml:space="preserve">, con dichos topes, en la medida que, conforme se analizará en el </w:t>
      </w:r>
      <w:r w:rsidR="002B0E66">
        <w:rPr>
          <w:rFonts w:ascii="Verdana" w:eastAsia="Times New Roman" w:hAnsi="Verdana" w:cs="Segoe UI"/>
          <w:lang w:eastAsia="es-ES_tradnl"/>
        </w:rPr>
        <w:t>siguiente</w:t>
      </w:r>
      <w:r>
        <w:rPr>
          <w:rFonts w:ascii="Verdana" w:eastAsia="Times New Roman" w:hAnsi="Verdana" w:cs="Segoe UI"/>
          <w:lang w:eastAsia="es-ES_tradnl"/>
        </w:rPr>
        <w:t xml:space="preserve"> numeral,</w:t>
      </w:r>
      <w:r w:rsidRPr="00274350">
        <w:rPr>
          <w:rFonts w:ascii="Verdana" w:eastAsia="Times New Roman" w:hAnsi="Verdana" w:cs="Segoe UI"/>
          <w:lang w:eastAsia="es-ES_tradnl"/>
        </w:rPr>
        <w:t xml:space="preserve"> </w:t>
      </w:r>
      <w:r>
        <w:rPr>
          <w:rFonts w:ascii="Verdana" w:eastAsia="Times New Roman" w:hAnsi="Verdana" w:cs="Segoe UI"/>
          <w:lang w:eastAsia="es-ES_tradnl"/>
        </w:rPr>
        <w:t>e</w:t>
      </w:r>
      <w:r w:rsidRPr="00274350">
        <w:rPr>
          <w:rFonts w:ascii="Verdana" w:eastAsia="Times New Roman" w:hAnsi="Verdana" w:cs="Segoe UI"/>
          <w:lang w:eastAsia="es-ES_tradnl"/>
        </w:rPr>
        <w:t>xisten entidades que, por disposición legal, cuentan con un régimen contractual especial o exceptuado del Estatuto General de Contratación, caso en el cual la determinación de los mecanismos de selección aplicables depende de las normas especiales que regulan su actividad. Sin embargo, cuando una entidad estatal se encuentra sometida al Estatuto General de Contratación y acude a la modalidad de selección abreviada de menor cuantía prevista en el numeral 2 del artículo 2 de la Ley 1150 de 2007, debe observar los topes fijados por el legislador y no puede sustituirlos por cuantías diferentes establecidas en reglamentos internos, manuales o estatutos de contratación.</w:t>
      </w:r>
    </w:p>
    <w:p w14:paraId="0D974765" w14:textId="77777777" w:rsidR="00F60167" w:rsidRPr="00274350" w:rsidRDefault="00F60167" w:rsidP="00F60167">
      <w:pPr>
        <w:spacing w:after="0" w:line="276" w:lineRule="auto"/>
        <w:ind w:firstLine="709"/>
        <w:jc w:val="both"/>
        <w:rPr>
          <w:rFonts w:ascii="Verdana" w:eastAsia="Times New Roman" w:hAnsi="Verdana" w:cs="Segoe UI"/>
          <w:lang w:eastAsia="es-ES_tradnl"/>
        </w:rPr>
      </w:pPr>
      <w:r w:rsidRPr="00274350">
        <w:rPr>
          <w:rFonts w:ascii="Verdana" w:eastAsia="Times New Roman" w:hAnsi="Verdana" w:cs="Segoe UI"/>
          <w:lang w:eastAsia="es-ES_tradnl"/>
        </w:rPr>
        <w:t xml:space="preserve">En consecuencia, las cuantías de menor cuantía previstas en la Ley 1150 de 2007 no admiten excepciones derivadas de la autonomía administrativa de las entidades sometidas al Estatuto General de Contratación. Por ello, respecto de las entidades sujetas al Estatuto General de Contratación, la selección </w:t>
      </w:r>
      <w:r w:rsidRPr="00274350">
        <w:rPr>
          <w:rFonts w:ascii="Verdana" w:eastAsia="Times New Roman" w:hAnsi="Verdana" w:cs="Segoe UI"/>
          <w:lang w:eastAsia="es-ES_tradnl"/>
        </w:rPr>
        <w:lastRenderedPageBreak/>
        <w:t>abreviada de menor cuantía únicamente procede dentro de los rangos definidos por el legislador.</w:t>
      </w:r>
    </w:p>
    <w:p w14:paraId="7F9A9C4B" w14:textId="77777777" w:rsidR="00F60167" w:rsidRPr="001277D7" w:rsidRDefault="00F60167" w:rsidP="00F60167">
      <w:pPr>
        <w:pStyle w:val="Textoindependiente"/>
        <w:spacing w:after="0"/>
        <w:ind w:firstLine="709"/>
        <w:jc w:val="both"/>
        <w:rPr>
          <w:rFonts w:ascii="Verdana" w:hAnsi="Verdana"/>
        </w:rPr>
      </w:pPr>
    </w:p>
    <w:p w14:paraId="696AE8B2" w14:textId="77777777" w:rsidR="00F60167" w:rsidRPr="00515C0B" w:rsidRDefault="00F60167" w:rsidP="00F60167">
      <w:pPr>
        <w:spacing w:after="120" w:line="276" w:lineRule="auto"/>
        <w:jc w:val="both"/>
        <w:rPr>
          <w:rFonts w:ascii="Verdana" w:eastAsia="Calibri" w:hAnsi="Verdana" w:cs="Arial"/>
          <w:lang w:val="es-ES"/>
        </w:rPr>
      </w:pPr>
      <w:proofErr w:type="spellStart"/>
      <w:r w:rsidRPr="00274350">
        <w:rPr>
          <w:rFonts w:ascii="Verdana" w:hAnsi="Verdana"/>
          <w:b/>
        </w:rPr>
        <w:t>ii</w:t>
      </w:r>
      <w:proofErr w:type="spellEnd"/>
      <w:r>
        <w:rPr>
          <w:rFonts w:ascii="Verdana" w:hAnsi="Verdana"/>
        </w:rPr>
        <w:t xml:space="preserve">. </w:t>
      </w:r>
      <w:r w:rsidRPr="00515C0B">
        <w:rPr>
          <w:rFonts w:ascii="Verdana" w:eastAsia="Calibri" w:hAnsi="Verdana" w:cs="Arial"/>
          <w:lang w:val="es-ES"/>
        </w:rPr>
        <w:t xml:space="preserve">Frente al </w:t>
      </w:r>
      <w:r>
        <w:rPr>
          <w:rFonts w:ascii="Verdana" w:eastAsia="Calibri" w:hAnsi="Verdana" w:cs="Arial"/>
          <w:lang w:val="es-ES"/>
        </w:rPr>
        <w:t>segundo</w:t>
      </w:r>
      <w:r w:rsidRPr="00515C0B">
        <w:rPr>
          <w:rFonts w:ascii="Verdana" w:eastAsia="Calibri" w:hAnsi="Verdana" w:cs="Arial"/>
          <w:lang w:val="es-ES"/>
        </w:rPr>
        <w:t xml:space="preserve"> cuestionamiento planteado</w:t>
      </w:r>
      <w:r>
        <w:rPr>
          <w:rFonts w:ascii="Verdana" w:eastAsia="Calibri" w:hAnsi="Verdana" w:cs="Arial"/>
          <w:lang w:val="es-ES"/>
        </w:rPr>
        <w:t xml:space="preserve">, </w:t>
      </w:r>
      <w:r w:rsidRPr="00515C0B">
        <w:rPr>
          <w:rFonts w:ascii="Verdana" w:eastAsia="Calibri" w:hAnsi="Verdana" w:cs="Arial"/>
          <w:lang w:val="es-ES"/>
        </w:rPr>
        <w:t xml:space="preserve">es necesario </w:t>
      </w:r>
      <w:r>
        <w:rPr>
          <w:rFonts w:ascii="Verdana" w:eastAsia="Calibri" w:hAnsi="Verdana" w:cs="Arial"/>
          <w:lang w:val="es-ES"/>
        </w:rPr>
        <w:t>señalar</w:t>
      </w:r>
      <w:r w:rsidRPr="00515C0B">
        <w:rPr>
          <w:rFonts w:ascii="Verdana" w:eastAsia="Calibri" w:hAnsi="Verdana" w:cs="Arial"/>
          <w:lang w:val="es-ES"/>
        </w:rPr>
        <w:t xml:space="preserve"> que dentro de la estructura de la Administración Pública se encuentran las entidades descentralizadas por servicios. A esta categoría pertenecen las Empresas Industriales y Comerciales del Estado, las cuales –sin perjuicio del control de tutela– tienen personería jurídica, autonomía administrativa y patrimonio propio. Estas entidades, como su nombre lo indica, se caracterizan por desarrollar actividades de carácter industrial o comercial.</w:t>
      </w:r>
      <w:r>
        <w:rPr>
          <w:rFonts w:ascii="Verdana" w:eastAsia="Calibri" w:hAnsi="Verdana" w:cs="Arial"/>
          <w:lang w:val="es-ES"/>
        </w:rPr>
        <w:t xml:space="preserve"> </w:t>
      </w:r>
      <w:r w:rsidRPr="008B2333">
        <w:rPr>
          <w:rFonts w:ascii="Verdana" w:eastAsia="Calibri" w:hAnsi="Verdana" w:cs="Arial"/>
          <w:color w:val="000000" w:themeColor="text1"/>
        </w:rPr>
        <w:t>Así, por ejemplo, son E</w:t>
      </w:r>
      <w:r>
        <w:rPr>
          <w:rFonts w:ascii="Verdana" w:eastAsia="Calibri" w:hAnsi="Verdana" w:cs="Arial"/>
          <w:color w:val="000000" w:themeColor="text1"/>
        </w:rPr>
        <w:t xml:space="preserve">mpresas </w:t>
      </w:r>
      <w:r w:rsidRPr="008B2333">
        <w:rPr>
          <w:rFonts w:ascii="Verdana" w:eastAsia="Calibri" w:hAnsi="Verdana" w:cs="Arial"/>
          <w:color w:val="000000" w:themeColor="text1"/>
        </w:rPr>
        <w:t>I</w:t>
      </w:r>
      <w:r>
        <w:rPr>
          <w:rFonts w:ascii="Verdana" w:eastAsia="Calibri" w:hAnsi="Verdana" w:cs="Arial"/>
          <w:color w:val="000000" w:themeColor="text1"/>
        </w:rPr>
        <w:t xml:space="preserve">ndustriales y </w:t>
      </w:r>
      <w:r w:rsidRPr="008B2333">
        <w:rPr>
          <w:rFonts w:ascii="Verdana" w:eastAsia="Calibri" w:hAnsi="Verdana" w:cs="Arial"/>
          <w:color w:val="000000" w:themeColor="text1"/>
        </w:rPr>
        <w:t>C</w:t>
      </w:r>
      <w:r>
        <w:rPr>
          <w:rFonts w:ascii="Verdana" w:eastAsia="Calibri" w:hAnsi="Verdana" w:cs="Arial"/>
          <w:color w:val="000000" w:themeColor="text1"/>
        </w:rPr>
        <w:t xml:space="preserve">omerciales del </w:t>
      </w:r>
      <w:r w:rsidRPr="008B2333">
        <w:rPr>
          <w:rFonts w:ascii="Verdana" w:eastAsia="Calibri" w:hAnsi="Verdana" w:cs="Arial"/>
          <w:color w:val="000000" w:themeColor="text1"/>
        </w:rPr>
        <w:t>E</w:t>
      </w:r>
      <w:r>
        <w:rPr>
          <w:rFonts w:ascii="Verdana" w:eastAsia="Calibri" w:hAnsi="Verdana" w:cs="Arial"/>
          <w:color w:val="000000" w:themeColor="text1"/>
        </w:rPr>
        <w:t>stado</w:t>
      </w:r>
      <w:r w:rsidRPr="008B2333">
        <w:rPr>
          <w:rFonts w:ascii="Verdana" w:eastAsia="Calibri" w:hAnsi="Verdana" w:cs="Arial"/>
          <w:color w:val="000000" w:themeColor="text1"/>
        </w:rPr>
        <w:t xml:space="preserve"> la Imprenta Nacional de Colombia, Coljuegos, Indumil, la Caja Promotora de Vivienda Militar y de Policía, Colpensiones, entre otras</w:t>
      </w:r>
      <w:r w:rsidRPr="008B2333">
        <w:rPr>
          <w:rFonts w:ascii="Verdana" w:hAnsi="Verdana"/>
          <w:vertAlign w:val="superscript"/>
        </w:rPr>
        <w:footnoteReference w:id="8"/>
      </w:r>
      <w:r w:rsidRPr="008B2333">
        <w:rPr>
          <w:rFonts w:ascii="Verdana" w:eastAsia="Calibri" w:hAnsi="Verdana" w:cs="Arial"/>
          <w:color w:val="000000" w:themeColor="text1"/>
        </w:rPr>
        <w:t>.</w:t>
      </w:r>
    </w:p>
    <w:p w14:paraId="456DF3D1" w14:textId="77777777" w:rsidR="00F60167" w:rsidRDefault="00F60167" w:rsidP="00F60167">
      <w:pPr>
        <w:spacing w:after="0" w:line="276" w:lineRule="auto"/>
        <w:ind w:firstLine="708"/>
        <w:jc w:val="both"/>
        <w:rPr>
          <w:rFonts w:ascii="Verdana" w:eastAsia="Calibri" w:hAnsi="Verdana" w:cs="Arial"/>
          <w:lang w:val="es-ES"/>
        </w:rPr>
      </w:pPr>
      <w:r w:rsidRPr="00515C0B">
        <w:rPr>
          <w:rFonts w:ascii="Verdana" w:eastAsia="Calibri" w:hAnsi="Verdana" w:cs="Arial"/>
          <w:lang w:val="es-ES"/>
        </w:rPr>
        <w:t>Las Empresas Industriales y Comerciales del Estado, bajo la denominación de Entidades Estatales, quedaron sometidas al Estatuto General de Contratación de la Administración Pública –Ley 80 de 1993, artículo 2, numeral 1, literal a</w:t>
      </w:r>
      <w:r w:rsidRPr="00515C0B">
        <w:rPr>
          <w:rFonts w:ascii="Verdana" w:eastAsia="Calibri" w:hAnsi="Verdana" w:cs="Arial"/>
          <w:vertAlign w:val="superscript"/>
          <w:lang w:val="es-ES"/>
        </w:rPr>
        <w:footnoteReference w:id="9"/>
      </w:r>
      <w:r w:rsidRPr="00515C0B">
        <w:rPr>
          <w:rFonts w:ascii="Verdana" w:eastAsia="Calibri" w:hAnsi="Verdana" w:cs="Arial"/>
          <w:lang w:val="es-ES"/>
        </w:rPr>
        <w:t>. Posteriormente, la Ley 489 de 1998, mediante el cual se regula la organización y funcionamiento de las entidades de orden nacional, en su artículo 93 estableció el régimen jurídico aplicable a los contratos celebrados por las Empresas Industriales y Comerciales del Estado, como sigue:</w:t>
      </w:r>
    </w:p>
    <w:p w14:paraId="262F7C22" w14:textId="77777777" w:rsidR="00F60167" w:rsidRPr="00515C0B" w:rsidRDefault="00F60167" w:rsidP="00F60167">
      <w:pPr>
        <w:spacing w:after="0" w:line="276" w:lineRule="auto"/>
        <w:ind w:firstLine="708"/>
        <w:jc w:val="both"/>
        <w:rPr>
          <w:rFonts w:ascii="Verdana" w:eastAsia="Calibri" w:hAnsi="Verdana" w:cs="Arial"/>
          <w:lang w:val="es-ES"/>
        </w:rPr>
      </w:pPr>
    </w:p>
    <w:p w14:paraId="06B9EAB7" w14:textId="77777777" w:rsidR="00F60167" w:rsidRPr="00515C0B" w:rsidRDefault="00F60167" w:rsidP="00F60167">
      <w:pPr>
        <w:spacing w:after="0" w:line="240" w:lineRule="auto"/>
        <w:ind w:left="709" w:right="709"/>
        <w:contextualSpacing/>
        <w:jc w:val="both"/>
        <w:rPr>
          <w:rFonts w:ascii="Verdana" w:eastAsia="Times New Roman" w:hAnsi="Verdana" w:cs="Arial"/>
          <w:sz w:val="20"/>
          <w:szCs w:val="20"/>
          <w:lang w:eastAsia="es-ES_tradnl"/>
        </w:rPr>
      </w:pPr>
      <w:r>
        <w:rPr>
          <w:rFonts w:ascii="Verdana" w:eastAsia="Times New Roman" w:hAnsi="Verdana" w:cs="Arial"/>
          <w:sz w:val="20"/>
          <w:szCs w:val="20"/>
          <w:lang w:eastAsia="es-ES_tradnl"/>
        </w:rPr>
        <w:t>“</w:t>
      </w:r>
      <w:r w:rsidRPr="00515C0B">
        <w:rPr>
          <w:rFonts w:ascii="Verdana" w:eastAsia="Times New Roman" w:hAnsi="Verdana" w:cs="Arial"/>
          <w:sz w:val="20"/>
          <w:szCs w:val="20"/>
          <w:lang w:eastAsia="es-ES_tradnl"/>
        </w:rPr>
        <w:t>Artículo 93. Régimen de los actos y contratos. Los actos que expidan las empresas industriales y comerciales del Estado para el desarrollo de su actividad propia, industrial o comercial o de gestión económica se sujetarán a las disposiciones del Derecho Privado. Los contratos que celebren para el cumplimiento de su objeto se sujetarán a las disposiciones del Estatuto General de Contratación de las entidades estatales</w:t>
      </w:r>
      <w:r>
        <w:rPr>
          <w:rFonts w:ascii="Verdana" w:eastAsia="Times New Roman" w:hAnsi="Verdana" w:cs="Arial"/>
          <w:sz w:val="20"/>
          <w:szCs w:val="20"/>
          <w:lang w:eastAsia="es-ES_tradnl"/>
        </w:rPr>
        <w:t>”</w:t>
      </w:r>
      <w:r w:rsidRPr="00515C0B">
        <w:rPr>
          <w:rFonts w:ascii="Verdana" w:eastAsia="Times New Roman" w:hAnsi="Verdana" w:cs="Arial"/>
          <w:sz w:val="20"/>
          <w:szCs w:val="20"/>
          <w:lang w:eastAsia="es-ES_tradnl"/>
        </w:rPr>
        <w:t>.</w:t>
      </w:r>
    </w:p>
    <w:p w14:paraId="256E1119" w14:textId="77777777" w:rsidR="00F60167" w:rsidRPr="0037405A" w:rsidRDefault="00F60167" w:rsidP="00F60167">
      <w:pPr>
        <w:widowControl w:val="0"/>
        <w:autoSpaceDE w:val="0"/>
        <w:autoSpaceDN w:val="0"/>
        <w:spacing w:after="0" w:line="276" w:lineRule="auto"/>
        <w:rPr>
          <w:rFonts w:ascii="Verdana" w:eastAsia="Verdana" w:hAnsi="Verdana" w:cs="Verdana"/>
          <w:sz w:val="20"/>
        </w:rPr>
      </w:pPr>
    </w:p>
    <w:p w14:paraId="0A92C2C7" w14:textId="77777777" w:rsidR="00F60167" w:rsidRPr="00515C0B" w:rsidRDefault="00F60167" w:rsidP="00F60167">
      <w:pPr>
        <w:widowControl w:val="0"/>
        <w:autoSpaceDE w:val="0"/>
        <w:autoSpaceDN w:val="0"/>
        <w:spacing w:after="0" w:line="276" w:lineRule="auto"/>
        <w:ind w:right="49" w:firstLine="708"/>
        <w:jc w:val="both"/>
        <w:rPr>
          <w:rFonts w:ascii="Verdana" w:eastAsia="Verdana" w:hAnsi="Verdana" w:cs="Verdana"/>
          <w:lang w:val="es-ES"/>
        </w:rPr>
      </w:pPr>
      <w:bookmarkStart w:id="6" w:name="_bookmark7"/>
      <w:bookmarkEnd w:id="6"/>
      <w:r w:rsidRPr="00515C0B">
        <w:rPr>
          <w:rFonts w:ascii="Verdana" w:eastAsia="Verdana" w:hAnsi="Verdana" w:cs="Verdana"/>
          <w:lang w:val="es-ES"/>
        </w:rPr>
        <w:t>No obstante las dificultades hermenéuticas que suscitaba la disposición anterior,</w:t>
      </w:r>
      <w:r w:rsidRPr="00515C0B">
        <w:rPr>
          <w:rFonts w:ascii="Verdana" w:eastAsia="Verdana" w:hAnsi="Verdana" w:cs="Verdana"/>
          <w:spacing w:val="-8"/>
          <w:lang w:val="es-ES"/>
        </w:rPr>
        <w:t xml:space="preserve"> </w:t>
      </w:r>
      <w:r w:rsidRPr="00515C0B">
        <w:rPr>
          <w:rFonts w:ascii="Verdana" w:eastAsia="Verdana" w:hAnsi="Verdana" w:cs="Verdana"/>
          <w:lang w:val="es-ES"/>
        </w:rPr>
        <w:t>el</w:t>
      </w:r>
      <w:r w:rsidRPr="00515C0B">
        <w:rPr>
          <w:rFonts w:ascii="Verdana" w:eastAsia="Verdana" w:hAnsi="Verdana" w:cs="Verdana"/>
          <w:spacing w:val="-8"/>
          <w:lang w:val="es-ES"/>
        </w:rPr>
        <w:t xml:space="preserve"> </w:t>
      </w:r>
      <w:r w:rsidRPr="00515C0B">
        <w:rPr>
          <w:rFonts w:ascii="Verdana" w:eastAsia="Verdana" w:hAnsi="Verdana" w:cs="Verdana"/>
          <w:lang w:val="es-ES"/>
        </w:rPr>
        <w:t>artículo</w:t>
      </w:r>
      <w:r w:rsidRPr="00515C0B">
        <w:rPr>
          <w:rFonts w:ascii="Verdana" w:eastAsia="Verdana" w:hAnsi="Verdana" w:cs="Verdana"/>
          <w:spacing w:val="-7"/>
          <w:lang w:val="es-ES"/>
        </w:rPr>
        <w:t xml:space="preserve"> </w:t>
      </w:r>
      <w:r w:rsidRPr="00515C0B">
        <w:rPr>
          <w:rFonts w:ascii="Verdana" w:eastAsia="Verdana" w:hAnsi="Verdana" w:cs="Verdana"/>
          <w:lang w:val="es-ES"/>
        </w:rPr>
        <w:t>14</w:t>
      </w:r>
      <w:r w:rsidRPr="00515C0B">
        <w:rPr>
          <w:rFonts w:ascii="Verdana" w:eastAsia="Verdana" w:hAnsi="Verdana" w:cs="Verdana"/>
          <w:spacing w:val="-8"/>
          <w:lang w:val="es-ES"/>
        </w:rPr>
        <w:t xml:space="preserve"> </w:t>
      </w:r>
      <w:r w:rsidRPr="00515C0B">
        <w:rPr>
          <w:rFonts w:ascii="Verdana" w:eastAsia="Verdana" w:hAnsi="Verdana" w:cs="Verdana"/>
          <w:lang w:val="es-ES"/>
        </w:rPr>
        <w:t>de</w:t>
      </w:r>
      <w:r w:rsidRPr="00515C0B">
        <w:rPr>
          <w:rFonts w:ascii="Verdana" w:eastAsia="Verdana" w:hAnsi="Verdana" w:cs="Verdana"/>
          <w:spacing w:val="-9"/>
          <w:lang w:val="es-ES"/>
        </w:rPr>
        <w:t xml:space="preserve"> </w:t>
      </w:r>
      <w:r w:rsidRPr="00515C0B">
        <w:rPr>
          <w:rFonts w:ascii="Verdana" w:eastAsia="Verdana" w:hAnsi="Verdana" w:cs="Verdana"/>
          <w:lang w:val="es-ES"/>
        </w:rPr>
        <w:t>la</w:t>
      </w:r>
      <w:r w:rsidRPr="00515C0B">
        <w:rPr>
          <w:rFonts w:ascii="Verdana" w:eastAsia="Verdana" w:hAnsi="Verdana" w:cs="Verdana"/>
          <w:spacing w:val="-10"/>
          <w:lang w:val="es-ES"/>
        </w:rPr>
        <w:t xml:space="preserve"> </w:t>
      </w:r>
      <w:r w:rsidRPr="00515C0B">
        <w:rPr>
          <w:rFonts w:ascii="Verdana" w:eastAsia="Verdana" w:hAnsi="Verdana" w:cs="Verdana"/>
          <w:lang w:val="es-ES"/>
        </w:rPr>
        <w:t>Ley</w:t>
      </w:r>
      <w:r w:rsidRPr="00515C0B">
        <w:rPr>
          <w:rFonts w:ascii="Verdana" w:eastAsia="Verdana" w:hAnsi="Verdana" w:cs="Verdana"/>
          <w:spacing w:val="-8"/>
          <w:lang w:val="es-ES"/>
        </w:rPr>
        <w:t xml:space="preserve"> </w:t>
      </w:r>
      <w:r w:rsidRPr="00515C0B">
        <w:rPr>
          <w:rFonts w:ascii="Verdana" w:eastAsia="Verdana" w:hAnsi="Verdana" w:cs="Verdana"/>
          <w:lang w:val="es-ES"/>
        </w:rPr>
        <w:t>1150</w:t>
      </w:r>
      <w:r w:rsidRPr="00515C0B">
        <w:rPr>
          <w:rFonts w:ascii="Verdana" w:eastAsia="Verdana" w:hAnsi="Verdana" w:cs="Verdana"/>
          <w:spacing w:val="-8"/>
          <w:lang w:val="es-ES"/>
        </w:rPr>
        <w:t xml:space="preserve"> </w:t>
      </w:r>
      <w:r w:rsidRPr="00515C0B">
        <w:rPr>
          <w:rFonts w:ascii="Verdana" w:eastAsia="Verdana" w:hAnsi="Verdana" w:cs="Verdana"/>
          <w:lang w:val="es-ES"/>
        </w:rPr>
        <w:t>de</w:t>
      </w:r>
      <w:r w:rsidRPr="00515C0B">
        <w:rPr>
          <w:rFonts w:ascii="Verdana" w:eastAsia="Verdana" w:hAnsi="Verdana" w:cs="Verdana"/>
          <w:spacing w:val="-9"/>
          <w:lang w:val="es-ES"/>
        </w:rPr>
        <w:t xml:space="preserve"> </w:t>
      </w:r>
      <w:r w:rsidRPr="00515C0B">
        <w:rPr>
          <w:rFonts w:ascii="Verdana" w:eastAsia="Verdana" w:hAnsi="Verdana" w:cs="Verdana"/>
          <w:lang w:val="es-ES"/>
        </w:rPr>
        <w:t>2007 –modificado</w:t>
      </w:r>
      <w:r w:rsidRPr="00515C0B">
        <w:rPr>
          <w:rFonts w:ascii="Verdana" w:eastAsia="Verdana" w:hAnsi="Verdana" w:cs="Verdana"/>
          <w:spacing w:val="-7"/>
          <w:lang w:val="es-ES"/>
        </w:rPr>
        <w:t xml:space="preserve"> </w:t>
      </w:r>
      <w:r w:rsidRPr="00515C0B">
        <w:rPr>
          <w:rFonts w:ascii="Verdana" w:eastAsia="Verdana" w:hAnsi="Verdana" w:cs="Verdana"/>
          <w:lang w:val="es-ES"/>
        </w:rPr>
        <w:t>por</w:t>
      </w:r>
      <w:r w:rsidRPr="00515C0B">
        <w:rPr>
          <w:rFonts w:ascii="Verdana" w:eastAsia="Verdana" w:hAnsi="Verdana" w:cs="Verdana"/>
          <w:spacing w:val="-7"/>
          <w:lang w:val="es-ES"/>
        </w:rPr>
        <w:t xml:space="preserve"> </w:t>
      </w:r>
      <w:r w:rsidRPr="00515C0B">
        <w:rPr>
          <w:rFonts w:ascii="Verdana" w:eastAsia="Verdana" w:hAnsi="Verdana" w:cs="Verdana"/>
          <w:lang w:val="es-ES"/>
        </w:rPr>
        <w:t>el</w:t>
      </w:r>
      <w:r w:rsidRPr="00515C0B">
        <w:rPr>
          <w:rFonts w:ascii="Verdana" w:eastAsia="Verdana" w:hAnsi="Verdana" w:cs="Verdana"/>
          <w:spacing w:val="-8"/>
          <w:lang w:val="es-ES"/>
        </w:rPr>
        <w:t xml:space="preserve"> </w:t>
      </w:r>
      <w:r w:rsidRPr="00515C0B">
        <w:rPr>
          <w:rFonts w:ascii="Verdana" w:eastAsia="Verdana" w:hAnsi="Verdana" w:cs="Verdana"/>
          <w:lang w:val="es-ES"/>
        </w:rPr>
        <w:t>artículo</w:t>
      </w:r>
      <w:r w:rsidRPr="00515C0B">
        <w:rPr>
          <w:rFonts w:ascii="Verdana" w:eastAsia="Verdana" w:hAnsi="Verdana" w:cs="Verdana"/>
          <w:spacing w:val="-7"/>
          <w:lang w:val="es-ES"/>
        </w:rPr>
        <w:t xml:space="preserve"> </w:t>
      </w:r>
      <w:r w:rsidRPr="00515C0B">
        <w:rPr>
          <w:rFonts w:ascii="Verdana" w:eastAsia="Verdana" w:hAnsi="Verdana" w:cs="Verdana"/>
          <w:lang w:val="es-ES"/>
        </w:rPr>
        <w:t>93</w:t>
      </w:r>
      <w:r w:rsidRPr="00515C0B">
        <w:rPr>
          <w:rFonts w:ascii="Verdana" w:eastAsia="Verdana" w:hAnsi="Verdana" w:cs="Verdana"/>
          <w:spacing w:val="-12"/>
          <w:lang w:val="es-ES"/>
        </w:rPr>
        <w:t xml:space="preserve"> </w:t>
      </w:r>
      <w:r w:rsidRPr="00515C0B">
        <w:rPr>
          <w:rFonts w:ascii="Verdana" w:eastAsia="Verdana" w:hAnsi="Verdana" w:cs="Verdana"/>
          <w:lang w:val="es-ES"/>
        </w:rPr>
        <w:t>de la Ley 1474 de 2011– dispuso un régimen exceptivo de aplicación del derecho privado para la actividad contractual de las E</w:t>
      </w:r>
      <w:r>
        <w:rPr>
          <w:rFonts w:ascii="Verdana" w:eastAsia="Verdana" w:hAnsi="Verdana" w:cs="Verdana"/>
          <w:lang w:val="es-ES"/>
        </w:rPr>
        <w:t xml:space="preserve">mpresas </w:t>
      </w:r>
      <w:r w:rsidRPr="00515C0B">
        <w:rPr>
          <w:rFonts w:ascii="Verdana" w:eastAsia="Verdana" w:hAnsi="Verdana" w:cs="Verdana"/>
          <w:lang w:val="es-ES"/>
        </w:rPr>
        <w:t>I</w:t>
      </w:r>
      <w:r>
        <w:rPr>
          <w:rFonts w:ascii="Verdana" w:eastAsia="Verdana" w:hAnsi="Verdana" w:cs="Verdana"/>
          <w:lang w:val="es-ES"/>
        </w:rPr>
        <w:t xml:space="preserve">ndustriales y </w:t>
      </w:r>
      <w:r w:rsidRPr="00515C0B">
        <w:rPr>
          <w:rFonts w:ascii="Verdana" w:eastAsia="Verdana" w:hAnsi="Verdana" w:cs="Verdana"/>
          <w:lang w:val="es-ES"/>
        </w:rPr>
        <w:t>C</w:t>
      </w:r>
      <w:r>
        <w:rPr>
          <w:rFonts w:ascii="Verdana" w:eastAsia="Verdana" w:hAnsi="Verdana" w:cs="Verdana"/>
          <w:lang w:val="es-ES"/>
        </w:rPr>
        <w:t xml:space="preserve">omerciales del </w:t>
      </w:r>
      <w:r w:rsidRPr="00515C0B">
        <w:rPr>
          <w:rFonts w:ascii="Verdana" w:eastAsia="Verdana" w:hAnsi="Verdana" w:cs="Verdana"/>
          <w:lang w:val="es-ES"/>
        </w:rPr>
        <w:t>E</w:t>
      </w:r>
      <w:r>
        <w:rPr>
          <w:rFonts w:ascii="Verdana" w:eastAsia="Verdana" w:hAnsi="Verdana" w:cs="Verdana"/>
          <w:lang w:val="es-ES"/>
        </w:rPr>
        <w:t>stado</w:t>
      </w:r>
      <w:r w:rsidRPr="00515C0B">
        <w:rPr>
          <w:rFonts w:ascii="Verdana" w:eastAsia="Verdana" w:hAnsi="Verdana" w:cs="Verdana"/>
          <w:lang w:val="es-ES"/>
        </w:rPr>
        <w:t xml:space="preserve"> que ejercen su actividad en competencia</w:t>
      </w:r>
      <w:r w:rsidRPr="00515C0B">
        <w:rPr>
          <w:rFonts w:ascii="Verdana" w:eastAsia="Verdana" w:hAnsi="Verdana" w:cs="Verdana"/>
          <w:spacing w:val="-20"/>
          <w:lang w:val="es-ES"/>
        </w:rPr>
        <w:t xml:space="preserve"> </w:t>
      </w:r>
      <w:r w:rsidRPr="00515C0B">
        <w:rPr>
          <w:rFonts w:ascii="Verdana" w:eastAsia="Verdana" w:hAnsi="Verdana" w:cs="Verdana"/>
          <w:lang w:val="es-ES"/>
        </w:rPr>
        <w:t>con</w:t>
      </w:r>
      <w:r w:rsidRPr="00515C0B">
        <w:rPr>
          <w:rFonts w:ascii="Verdana" w:eastAsia="Verdana" w:hAnsi="Verdana" w:cs="Verdana"/>
          <w:spacing w:val="-19"/>
          <w:lang w:val="es-ES"/>
        </w:rPr>
        <w:t xml:space="preserve"> </w:t>
      </w:r>
      <w:r w:rsidRPr="00515C0B">
        <w:rPr>
          <w:rFonts w:ascii="Verdana" w:eastAsia="Verdana" w:hAnsi="Verdana" w:cs="Verdana"/>
          <w:lang w:val="es-ES"/>
        </w:rPr>
        <w:t>el</w:t>
      </w:r>
      <w:r w:rsidRPr="00515C0B">
        <w:rPr>
          <w:rFonts w:ascii="Verdana" w:eastAsia="Verdana" w:hAnsi="Verdana" w:cs="Verdana"/>
          <w:spacing w:val="-19"/>
          <w:lang w:val="es-ES"/>
        </w:rPr>
        <w:t xml:space="preserve"> </w:t>
      </w:r>
      <w:r w:rsidRPr="00515C0B">
        <w:rPr>
          <w:rFonts w:ascii="Verdana" w:eastAsia="Verdana" w:hAnsi="Verdana" w:cs="Verdana"/>
          <w:lang w:val="es-ES"/>
        </w:rPr>
        <w:t>sector</w:t>
      </w:r>
      <w:r w:rsidRPr="00515C0B">
        <w:rPr>
          <w:rFonts w:ascii="Verdana" w:eastAsia="Verdana" w:hAnsi="Verdana" w:cs="Verdana"/>
          <w:spacing w:val="-20"/>
          <w:lang w:val="es-ES"/>
        </w:rPr>
        <w:t xml:space="preserve"> </w:t>
      </w:r>
      <w:r w:rsidRPr="00515C0B">
        <w:rPr>
          <w:rFonts w:ascii="Verdana" w:eastAsia="Verdana" w:hAnsi="Verdana" w:cs="Verdana"/>
          <w:lang w:val="es-ES"/>
        </w:rPr>
        <w:t>público</w:t>
      </w:r>
      <w:r w:rsidRPr="00515C0B">
        <w:rPr>
          <w:rFonts w:ascii="Verdana" w:eastAsia="Verdana" w:hAnsi="Verdana" w:cs="Verdana"/>
          <w:spacing w:val="-19"/>
          <w:lang w:val="es-ES"/>
        </w:rPr>
        <w:t xml:space="preserve"> </w:t>
      </w:r>
      <w:r w:rsidRPr="00515C0B">
        <w:rPr>
          <w:rFonts w:ascii="Verdana" w:eastAsia="Verdana" w:hAnsi="Verdana" w:cs="Verdana"/>
          <w:lang w:val="es-ES"/>
        </w:rPr>
        <w:t>o</w:t>
      </w:r>
      <w:r w:rsidRPr="00515C0B">
        <w:rPr>
          <w:rFonts w:ascii="Verdana" w:eastAsia="Verdana" w:hAnsi="Verdana" w:cs="Verdana"/>
          <w:spacing w:val="-20"/>
          <w:lang w:val="es-ES"/>
        </w:rPr>
        <w:t xml:space="preserve"> </w:t>
      </w:r>
      <w:r w:rsidRPr="00515C0B">
        <w:rPr>
          <w:rFonts w:ascii="Verdana" w:eastAsia="Verdana" w:hAnsi="Verdana" w:cs="Verdana"/>
          <w:lang w:val="es-ES"/>
        </w:rPr>
        <w:t>privado,</w:t>
      </w:r>
      <w:r w:rsidRPr="00515C0B">
        <w:rPr>
          <w:rFonts w:ascii="Verdana" w:eastAsia="Verdana" w:hAnsi="Verdana" w:cs="Verdana"/>
          <w:spacing w:val="-19"/>
          <w:lang w:val="es-ES"/>
        </w:rPr>
        <w:t xml:space="preserve"> </w:t>
      </w:r>
      <w:r w:rsidRPr="00515C0B">
        <w:rPr>
          <w:rFonts w:ascii="Verdana" w:eastAsia="Verdana" w:hAnsi="Verdana" w:cs="Verdana"/>
          <w:lang w:val="es-ES"/>
        </w:rPr>
        <w:t>o</w:t>
      </w:r>
      <w:r w:rsidRPr="00515C0B">
        <w:rPr>
          <w:rFonts w:ascii="Verdana" w:eastAsia="Verdana" w:hAnsi="Verdana" w:cs="Verdana"/>
          <w:spacing w:val="-19"/>
          <w:lang w:val="es-ES"/>
        </w:rPr>
        <w:t xml:space="preserve"> </w:t>
      </w:r>
      <w:r w:rsidRPr="00515C0B">
        <w:rPr>
          <w:rFonts w:ascii="Verdana" w:eastAsia="Verdana" w:hAnsi="Verdana" w:cs="Verdana"/>
          <w:lang w:val="es-ES"/>
        </w:rPr>
        <w:t>en</w:t>
      </w:r>
      <w:r w:rsidRPr="00515C0B">
        <w:rPr>
          <w:rFonts w:ascii="Verdana" w:eastAsia="Verdana" w:hAnsi="Verdana" w:cs="Verdana"/>
          <w:spacing w:val="-20"/>
          <w:lang w:val="es-ES"/>
        </w:rPr>
        <w:t xml:space="preserve"> </w:t>
      </w:r>
      <w:r w:rsidRPr="00515C0B">
        <w:rPr>
          <w:rFonts w:ascii="Verdana" w:eastAsia="Verdana" w:hAnsi="Verdana" w:cs="Verdana"/>
          <w:lang w:val="es-ES"/>
        </w:rPr>
        <w:t>mercados</w:t>
      </w:r>
      <w:r w:rsidRPr="00515C0B">
        <w:rPr>
          <w:rFonts w:ascii="Verdana" w:eastAsia="Verdana" w:hAnsi="Verdana" w:cs="Verdana"/>
          <w:spacing w:val="-19"/>
          <w:lang w:val="es-ES"/>
        </w:rPr>
        <w:t xml:space="preserve"> </w:t>
      </w:r>
      <w:r w:rsidRPr="00515C0B">
        <w:rPr>
          <w:rFonts w:ascii="Verdana" w:eastAsia="Verdana" w:hAnsi="Verdana" w:cs="Verdana"/>
          <w:lang w:val="es-ES"/>
        </w:rPr>
        <w:t>regulados,</w:t>
      </w:r>
      <w:r w:rsidRPr="00515C0B">
        <w:rPr>
          <w:rFonts w:ascii="Verdana" w:eastAsia="Verdana" w:hAnsi="Verdana" w:cs="Verdana"/>
          <w:spacing w:val="-19"/>
          <w:lang w:val="es-ES"/>
        </w:rPr>
        <w:t xml:space="preserve"> </w:t>
      </w:r>
      <w:r w:rsidRPr="00515C0B">
        <w:rPr>
          <w:rFonts w:ascii="Verdana" w:eastAsia="Verdana" w:hAnsi="Verdana" w:cs="Verdana"/>
          <w:lang w:val="es-ES"/>
        </w:rPr>
        <w:t xml:space="preserve">quedando las otras </w:t>
      </w:r>
      <w:r>
        <w:rPr>
          <w:rFonts w:ascii="Verdana" w:eastAsia="Verdana" w:hAnsi="Verdana" w:cs="Verdana"/>
          <w:lang w:val="es-ES"/>
        </w:rPr>
        <w:t>empresas de esta índole</w:t>
      </w:r>
      <w:r w:rsidRPr="00515C0B">
        <w:rPr>
          <w:rFonts w:ascii="Verdana" w:eastAsia="Verdana" w:hAnsi="Verdana" w:cs="Verdana"/>
          <w:lang w:val="es-ES"/>
        </w:rPr>
        <w:t xml:space="preserve"> dentro del ámbito de aplicación del Estatuto General de Contratación de la Administración Pública</w:t>
      </w:r>
      <w:r w:rsidRPr="00515C0B">
        <w:rPr>
          <w:rFonts w:ascii="Verdana" w:eastAsia="Verdana" w:hAnsi="Verdana" w:cs="Verdana"/>
          <w:vertAlign w:val="superscript"/>
          <w:lang w:val="es-ES"/>
        </w:rPr>
        <w:footnoteReference w:id="10"/>
      </w:r>
      <w:r w:rsidRPr="00515C0B">
        <w:rPr>
          <w:rFonts w:ascii="Verdana" w:eastAsia="Verdana" w:hAnsi="Verdana" w:cs="Verdana"/>
          <w:lang w:val="es-ES"/>
        </w:rPr>
        <w:t>. Así, la norma</w:t>
      </w:r>
      <w:r w:rsidRPr="00515C0B">
        <w:rPr>
          <w:rFonts w:ascii="Verdana" w:eastAsia="Verdana" w:hAnsi="Verdana" w:cs="Verdana"/>
          <w:spacing w:val="-1"/>
          <w:lang w:val="es-ES"/>
        </w:rPr>
        <w:t xml:space="preserve"> </w:t>
      </w:r>
      <w:r w:rsidRPr="00515C0B">
        <w:rPr>
          <w:rFonts w:ascii="Verdana" w:eastAsia="Verdana" w:hAnsi="Verdana" w:cs="Verdana"/>
          <w:lang w:val="es-ES"/>
        </w:rPr>
        <w:t>vigente respecto a</w:t>
      </w:r>
      <w:r w:rsidRPr="00515C0B">
        <w:rPr>
          <w:rFonts w:ascii="Verdana" w:eastAsia="Verdana" w:hAnsi="Verdana" w:cs="Verdana"/>
          <w:spacing w:val="-1"/>
          <w:lang w:val="es-ES"/>
        </w:rPr>
        <w:t xml:space="preserve"> </w:t>
      </w:r>
      <w:r w:rsidRPr="00515C0B">
        <w:rPr>
          <w:rFonts w:ascii="Verdana" w:eastAsia="Verdana" w:hAnsi="Verdana" w:cs="Verdana"/>
          <w:lang w:val="es-ES"/>
        </w:rPr>
        <w:t>su régimen contractual establece:</w:t>
      </w:r>
    </w:p>
    <w:p w14:paraId="3B4705D7" w14:textId="77777777" w:rsidR="00F60167" w:rsidRPr="00515C0B" w:rsidRDefault="00F60167" w:rsidP="00F60167">
      <w:pPr>
        <w:widowControl w:val="0"/>
        <w:autoSpaceDE w:val="0"/>
        <w:autoSpaceDN w:val="0"/>
        <w:spacing w:after="0" w:line="276" w:lineRule="auto"/>
        <w:ind w:firstLine="709"/>
        <w:jc w:val="both"/>
        <w:rPr>
          <w:rFonts w:ascii="Verdana" w:eastAsia="Arial" w:hAnsi="Verdana" w:cs="Arial"/>
          <w:color w:val="EE0000"/>
          <w:lang w:val="es-ES"/>
        </w:rPr>
      </w:pPr>
    </w:p>
    <w:p w14:paraId="2EB7CFC4" w14:textId="77777777" w:rsidR="00F60167" w:rsidRPr="00515C0B" w:rsidRDefault="00F60167" w:rsidP="00F60167">
      <w:pPr>
        <w:spacing w:after="0" w:line="240" w:lineRule="auto"/>
        <w:ind w:left="709" w:right="709"/>
        <w:contextualSpacing/>
        <w:jc w:val="both"/>
        <w:rPr>
          <w:rFonts w:ascii="Verdana" w:eastAsia="Times New Roman" w:hAnsi="Verdana" w:cs="Arial"/>
          <w:sz w:val="20"/>
          <w:szCs w:val="20"/>
          <w:lang w:eastAsia="es-ES_tradnl"/>
        </w:rPr>
      </w:pPr>
      <w:r>
        <w:rPr>
          <w:rFonts w:ascii="Verdana" w:eastAsia="Times New Roman" w:hAnsi="Verdana" w:cs="Arial"/>
          <w:sz w:val="20"/>
          <w:szCs w:val="20"/>
          <w:lang w:eastAsia="es-ES_tradnl"/>
        </w:rPr>
        <w:t>“</w:t>
      </w:r>
      <w:r w:rsidRPr="00515C0B">
        <w:rPr>
          <w:rFonts w:ascii="Verdana" w:eastAsia="Times New Roman" w:hAnsi="Verdana" w:cs="Arial"/>
          <w:sz w:val="20"/>
          <w:szCs w:val="20"/>
          <w:lang w:eastAsia="es-ES_tradnl"/>
        </w:rPr>
        <w:t>Artículo 14. Del régimen contractual de las empresas industriales y comerciales del estado, las sociedades de economía mixta, sus filiales y empresas con participación mayoritaria del estado.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r>
        <w:rPr>
          <w:rFonts w:ascii="Verdana" w:eastAsia="Times New Roman" w:hAnsi="Verdana" w:cs="Arial"/>
          <w:sz w:val="20"/>
          <w:szCs w:val="20"/>
          <w:lang w:eastAsia="es-ES_tradnl"/>
        </w:rPr>
        <w:t>”</w:t>
      </w:r>
      <w:r w:rsidRPr="00515C0B">
        <w:rPr>
          <w:rFonts w:ascii="Calibri" w:eastAsia="Times New Roman" w:hAnsi="Calibri" w:cs="Arial"/>
          <w:sz w:val="20"/>
          <w:szCs w:val="20"/>
          <w:vertAlign w:val="superscript"/>
          <w:lang w:eastAsia="es-ES_tradnl"/>
        </w:rPr>
        <w:footnoteReference w:id="11"/>
      </w:r>
      <w:r w:rsidRPr="00515C0B">
        <w:rPr>
          <w:rFonts w:ascii="Verdana" w:eastAsia="Times New Roman" w:hAnsi="Verdana" w:cs="Arial"/>
          <w:sz w:val="20"/>
          <w:szCs w:val="20"/>
          <w:lang w:eastAsia="es-ES_tradnl"/>
        </w:rPr>
        <w:t>.</w:t>
      </w:r>
    </w:p>
    <w:p w14:paraId="5CAA50B1" w14:textId="77777777" w:rsidR="00F60167" w:rsidRPr="00515C0B" w:rsidRDefault="00F60167" w:rsidP="00F60167">
      <w:pPr>
        <w:spacing w:after="0"/>
        <w:ind w:left="709" w:right="709"/>
        <w:jc w:val="both"/>
        <w:rPr>
          <w:rFonts w:ascii="Verdana" w:eastAsia="Calibri" w:hAnsi="Verdana" w:cs="Times New Roman"/>
          <w:sz w:val="21"/>
          <w:szCs w:val="21"/>
        </w:rPr>
      </w:pPr>
    </w:p>
    <w:p w14:paraId="0CE682E0" w14:textId="77777777" w:rsidR="00F60167" w:rsidRDefault="00F60167" w:rsidP="00F60167">
      <w:pPr>
        <w:widowControl w:val="0"/>
        <w:autoSpaceDE w:val="0"/>
        <w:autoSpaceDN w:val="0"/>
        <w:spacing w:after="120" w:line="276" w:lineRule="auto"/>
        <w:ind w:right="49" w:firstLine="709"/>
        <w:jc w:val="both"/>
        <w:rPr>
          <w:rFonts w:ascii="Verdana" w:hAnsi="Verdana" w:cs="Arial"/>
        </w:rPr>
      </w:pPr>
      <w:r w:rsidRPr="00515C0B">
        <w:rPr>
          <w:rFonts w:ascii="Verdana" w:eastAsia="Verdana" w:hAnsi="Verdana" w:cs="Verdana"/>
          <w:lang w:val="es-ES"/>
        </w:rPr>
        <w:t xml:space="preserve">El sometimiento parcial de las </w:t>
      </w:r>
      <w:r>
        <w:rPr>
          <w:rFonts w:ascii="Verdana" w:eastAsia="Verdana" w:hAnsi="Verdana" w:cs="Verdana"/>
          <w:lang w:val="es-ES"/>
        </w:rPr>
        <w:t>Empresas Industriales y Comerciales</w:t>
      </w:r>
      <w:r w:rsidRPr="00515C0B">
        <w:rPr>
          <w:rFonts w:ascii="Verdana" w:eastAsia="Verdana" w:hAnsi="Verdana" w:cs="Verdana"/>
          <w:lang w:val="es-ES"/>
        </w:rPr>
        <w:t xml:space="preserve"> del Estado</w:t>
      </w:r>
      <w:r w:rsidRPr="00515C0B">
        <w:rPr>
          <w:rFonts w:ascii="Verdana" w:eastAsia="Verdana" w:hAnsi="Verdana" w:cs="Verdana"/>
          <w:spacing w:val="-14"/>
          <w:lang w:val="es-ES"/>
        </w:rPr>
        <w:t xml:space="preserve"> </w:t>
      </w:r>
      <w:r w:rsidRPr="00515C0B">
        <w:rPr>
          <w:rFonts w:ascii="Verdana" w:eastAsia="Verdana" w:hAnsi="Verdana" w:cs="Verdana"/>
          <w:lang w:val="es-ES"/>
        </w:rPr>
        <w:t>al</w:t>
      </w:r>
      <w:r w:rsidRPr="00515C0B">
        <w:rPr>
          <w:rFonts w:ascii="Verdana" w:eastAsia="Verdana" w:hAnsi="Verdana" w:cs="Verdana"/>
          <w:spacing w:val="-14"/>
          <w:lang w:val="es-ES"/>
        </w:rPr>
        <w:t xml:space="preserve"> </w:t>
      </w:r>
      <w:r w:rsidRPr="00515C0B">
        <w:rPr>
          <w:rFonts w:ascii="Verdana" w:eastAsia="Verdana" w:hAnsi="Verdana" w:cs="Verdana"/>
          <w:lang w:val="es-ES"/>
        </w:rPr>
        <w:t>régimen</w:t>
      </w:r>
      <w:r w:rsidRPr="00515C0B">
        <w:rPr>
          <w:rFonts w:ascii="Verdana" w:eastAsia="Verdana" w:hAnsi="Verdana" w:cs="Verdana"/>
          <w:spacing w:val="-14"/>
          <w:lang w:val="es-ES"/>
        </w:rPr>
        <w:t xml:space="preserve"> </w:t>
      </w:r>
      <w:r w:rsidRPr="00515C0B">
        <w:rPr>
          <w:rFonts w:ascii="Verdana" w:eastAsia="Verdana" w:hAnsi="Verdana" w:cs="Verdana"/>
          <w:lang w:val="es-ES"/>
        </w:rPr>
        <w:t>de</w:t>
      </w:r>
      <w:r w:rsidRPr="00515C0B">
        <w:rPr>
          <w:rFonts w:ascii="Verdana" w:eastAsia="Verdana" w:hAnsi="Verdana" w:cs="Verdana"/>
          <w:spacing w:val="-15"/>
          <w:lang w:val="es-ES"/>
        </w:rPr>
        <w:t xml:space="preserve"> </w:t>
      </w:r>
      <w:r w:rsidRPr="00515C0B">
        <w:rPr>
          <w:rFonts w:ascii="Verdana" w:eastAsia="Verdana" w:hAnsi="Verdana" w:cs="Verdana"/>
          <w:lang w:val="es-ES"/>
        </w:rPr>
        <w:t>derecho</w:t>
      </w:r>
      <w:r w:rsidRPr="00515C0B">
        <w:rPr>
          <w:rFonts w:ascii="Verdana" w:eastAsia="Verdana" w:hAnsi="Verdana" w:cs="Verdana"/>
          <w:spacing w:val="-13"/>
          <w:lang w:val="es-ES"/>
        </w:rPr>
        <w:t xml:space="preserve"> </w:t>
      </w:r>
      <w:r w:rsidRPr="00515C0B">
        <w:rPr>
          <w:rFonts w:ascii="Verdana" w:eastAsia="Verdana" w:hAnsi="Verdana" w:cs="Verdana"/>
          <w:lang w:val="es-ES"/>
        </w:rPr>
        <w:t>privado,</w:t>
      </w:r>
      <w:r w:rsidRPr="00515C0B">
        <w:rPr>
          <w:rFonts w:ascii="Verdana" w:eastAsia="Verdana" w:hAnsi="Verdana" w:cs="Verdana"/>
          <w:spacing w:val="-14"/>
          <w:lang w:val="es-ES"/>
        </w:rPr>
        <w:t xml:space="preserve"> </w:t>
      </w:r>
      <w:r w:rsidRPr="00515C0B">
        <w:rPr>
          <w:rFonts w:ascii="Verdana" w:eastAsia="Verdana" w:hAnsi="Verdana" w:cs="Verdana"/>
          <w:lang w:val="es-ES"/>
        </w:rPr>
        <w:t>se</w:t>
      </w:r>
      <w:r w:rsidRPr="00515C0B">
        <w:rPr>
          <w:rFonts w:ascii="Verdana" w:eastAsia="Verdana" w:hAnsi="Verdana" w:cs="Verdana"/>
          <w:spacing w:val="-20"/>
          <w:lang w:val="es-ES"/>
        </w:rPr>
        <w:t xml:space="preserve"> </w:t>
      </w:r>
      <w:r w:rsidRPr="00515C0B">
        <w:rPr>
          <w:rFonts w:ascii="Verdana" w:eastAsia="Verdana" w:hAnsi="Verdana" w:cs="Verdana"/>
          <w:lang w:val="es-ES"/>
        </w:rPr>
        <w:t>ha</w:t>
      </w:r>
      <w:r w:rsidRPr="00515C0B">
        <w:rPr>
          <w:rFonts w:ascii="Verdana" w:eastAsia="Verdana" w:hAnsi="Verdana" w:cs="Verdana"/>
          <w:spacing w:val="-15"/>
          <w:lang w:val="es-ES"/>
        </w:rPr>
        <w:t xml:space="preserve"> </w:t>
      </w:r>
      <w:r w:rsidRPr="00515C0B">
        <w:rPr>
          <w:rFonts w:ascii="Verdana" w:eastAsia="Verdana" w:hAnsi="Verdana" w:cs="Verdana"/>
          <w:lang w:val="es-ES"/>
        </w:rPr>
        <w:t>justificado</w:t>
      </w:r>
      <w:r w:rsidRPr="00515C0B">
        <w:rPr>
          <w:rFonts w:ascii="Verdana" w:eastAsia="Verdana" w:hAnsi="Verdana" w:cs="Verdana"/>
          <w:spacing w:val="-13"/>
          <w:lang w:val="es-ES"/>
        </w:rPr>
        <w:t xml:space="preserve"> </w:t>
      </w:r>
      <w:r w:rsidRPr="00515C0B">
        <w:rPr>
          <w:rFonts w:ascii="Verdana" w:eastAsia="Verdana" w:hAnsi="Verdana" w:cs="Verdana"/>
          <w:lang w:val="es-ES"/>
        </w:rPr>
        <w:t>por “la</w:t>
      </w:r>
      <w:r w:rsidRPr="00515C0B">
        <w:rPr>
          <w:rFonts w:ascii="Verdana" w:eastAsia="Verdana" w:hAnsi="Verdana" w:cs="Verdana"/>
          <w:spacing w:val="-20"/>
          <w:lang w:val="es-ES"/>
        </w:rPr>
        <w:t xml:space="preserve"> </w:t>
      </w:r>
      <w:r w:rsidRPr="00515C0B">
        <w:rPr>
          <w:rFonts w:ascii="Verdana" w:eastAsia="Verdana" w:hAnsi="Verdana" w:cs="Verdana"/>
          <w:lang w:val="es-ES"/>
        </w:rPr>
        <w:t>necesidad</w:t>
      </w:r>
      <w:r w:rsidRPr="00515C0B">
        <w:rPr>
          <w:rFonts w:ascii="Verdana" w:eastAsia="Verdana" w:hAnsi="Verdana" w:cs="Verdana"/>
          <w:spacing w:val="-15"/>
          <w:lang w:val="es-ES"/>
        </w:rPr>
        <w:t xml:space="preserve"> </w:t>
      </w:r>
      <w:r w:rsidRPr="00515C0B">
        <w:rPr>
          <w:rFonts w:ascii="Verdana" w:eastAsia="Verdana" w:hAnsi="Verdana" w:cs="Verdana"/>
          <w:lang w:val="es-ES"/>
        </w:rPr>
        <w:t>de</w:t>
      </w:r>
      <w:r w:rsidRPr="00515C0B">
        <w:rPr>
          <w:rFonts w:ascii="Verdana" w:eastAsia="Verdana" w:hAnsi="Verdana" w:cs="Verdana"/>
          <w:spacing w:val="-15"/>
          <w:lang w:val="es-ES"/>
        </w:rPr>
        <w:t xml:space="preserve"> </w:t>
      </w:r>
      <w:r w:rsidRPr="00515C0B">
        <w:rPr>
          <w:rFonts w:ascii="Verdana" w:eastAsia="Verdana" w:hAnsi="Verdana" w:cs="Verdana"/>
          <w:lang w:val="es-ES"/>
        </w:rPr>
        <w:t>que en</w:t>
      </w:r>
      <w:r w:rsidRPr="00515C0B">
        <w:rPr>
          <w:rFonts w:ascii="Verdana" w:eastAsia="Verdana" w:hAnsi="Verdana" w:cs="Verdana"/>
          <w:spacing w:val="-7"/>
          <w:lang w:val="es-ES"/>
        </w:rPr>
        <w:t xml:space="preserve"> </w:t>
      </w:r>
      <w:r w:rsidRPr="00515C0B">
        <w:rPr>
          <w:rFonts w:ascii="Verdana" w:eastAsia="Verdana" w:hAnsi="Verdana" w:cs="Verdana"/>
          <w:lang w:val="es-ES"/>
        </w:rPr>
        <w:t>su</w:t>
      </w:r>
      <w:r w:rsidRPr="00515C0B">
        <w:rPr>
          <w:rFonts w:ascii="Verdana" w:eastAsia="Verdana" w:hAnsi="Verdana" w:cs="Verdana"/>
          <w:spacing w:val="-6"/>
          <w:lang w:val="es-ES"/>
        </w:rPr>
        <w:t xml:space="preserve"> </w:t>
      </w:r>
      <w:r w:rsidRPr="00515C0B">
        <w:rPr>
          <w:rFonts w:ascii="Verdana" w:eastAsia="Verdana" w:hAnsi="Verdana" w:cs="Verdana"/>
          <w:lang w:val="es-ES"/>
        </w:rPr>
        <w:t>actividad</w:t>
      </w:r>
      <w:r w:rsidRPr="00515C0B">
        <w:rPr>
          <w:rFonts w:ascii="Verdana" w:eastAsia="Verdana" w:hAnsi="Verdana" w:cs="Verdana"/>
          <w:spacing w:val="-9"/>
          <w:lang w:val="es-ES"/>
        </w:rPr>
        <w:t xml:space="preserve"> </w:t>
      </w:r>
      <w:r w:rsidRPr="00515C0B">
        <w:rPr>
          <w:rFonts w:ascii="Verdana" w:eastAsia="Verdana" w:hAnsi="Verdana" w:cs="Verdana"/>
          <w:lang w:val="es-ES"/>
        </w:rPr>
        <w:t>industrial</w:t>
      </w:r>
      <w:r w:rsidRPr="00515C0B">
        <w:rPr>
          <w:rFonts w:ascii="Verdana" w:eastAsia="Verdana" w:hAnsi="Verdana" w:cs="Verdana"/>
          <w:spacing w:val="-7"/>
          <w:lang w:val="es-ES"/>
        </w:rPr>
        <w:t xml:space="preserve"> </w:t>
      </w:r>
      <w:r w:rsidRPr="00515C0B">
        <w:rPr>
          <w:rFonts w:ascii="Verdana" w:eastAsia="Verdana" w:hAnsi="Verdana" w:cs="Verdana"/>
          <w:lang w:val="es-ES"/>
        </w:rPr>
        <w:t>y</w:t>
      </w:r>
      <w:r w:rsidRPr="00515C0B">
        <w:rPr>
          <w:rFonts w:ascii="Verdana" w:eastAsia="Verdana" w:hAnsi="Verdana" w:cs="Verdana"/>
          <w:spacing w:val="-7"/>
          <w:lang w:val="es-ES"/>
        </w:rPr>
        <w:t xml:space="preserve"> </w:t>
      </w:r>
      <w:r w:rsidRPr="00515C0B">
        <w:rPr>
          <w:rFonts w:ascii="Verdana" w:eastAsia="Verdana" w:hAnsi="Verdana" w:cs="Verdana"/>
          <w:lang w:val="es-ES"/>
        </w:rPr>
        <w:t>comercial,</w:t>
      </w:r>
      <w:r w:rsidRPr="00515C0B">
        <w:rPr>
          <w:rFonts w:ascii="Verdana" w:eastAsia="Verdana" w:hAnsi="Verdana" w:cs="Verdana"/>
          <w:spacing w:val="-7"/>
          <w:lang w:val="es-ES"/>
        </w:rPr>
        <w:t xml:space="preserve"> </w:t>
      </w:r>
      <w:r w:rsidRPr="00515C0B">
        <w:rPr>
          <w:rFonts w:ascii="Verdana" w:eastAsia="Verdana" w:hAnsi="Verdana" w:cs="Verdana"/>
          <w:lang w:val="es-ES"/>
        </w:rPr>
        <w:t>tradicionalmente</w:t>
      </w:r>
      <w:r w:rsidRPr="00515C0B">
        <w:rPr>
          <w:rFonts w:ascii="Verdana" w:eastAsia="Verdana" w:hAnsi="Verdana" w:cs="Verdana"/>
          <w:spacing w:val="-8"/>
          <w:lang w:val="es-ES"/>
        </w:rPr>
        <w:t xml:space="preserve"> </w:t>
      </w:r>
      <w:r w:rsidRPr="00515C0B">
        <w:rPr>
          <w:rFonts w:ascii="Verdana" w:eastAsia="Verdana" w:hAnsi="Verdana" w:cs="Verdana"/>
          <w:lang w:val="es-ES"/>
        </w:rPr>
        <w:t>ajena</w:t>
      </w:r>
      <w:r w:rsidRPr="00515C0B">
        <w:rPr>
          <w:rFonts w:ascii="Verdana" w:eastAsia="Verdana" w:hAnsi="Verdana" w:cs="Verdana"/>
          <w:spacing w:val="-9"/>
          <w:lang w:val="es-ES"/>
        </w:rPr>
        <w:t xml:space="preserve"> </w:t>
      </w:r>
      <w:r w:rsidRPr="00515C0B">
        <w:rPr>
          <w:rFonts w:ascii="Verdana" w:eastAsia="Verdana" w:hAnsi="Verdana" w:cs="Verdana"/>
          <w:lang w:val="es-ES"/>
        </w:rPr>
        <w:t>al</w:t>
      </w:r>
      <w:r w:rsidRPr="00515C0B">
        <w:rPr>
          <w:rFonts w:ascii="Verdana" w:eastAsia="Verdana" w:hAnsi="Verdana" w:cs="Verdana"/>
          <w:spacing w:val="-7"/>
          <w:lang w:val="es-ES"/>
        </w:rPr>
        <w:t xml:space="preserve"> </w:t>
      </w:r>
      <w:r w:rsidRPr="00515C0B">
        <w:rPr>
          <w:rFonts w:ascii="Verdana" w:eastAsia="Verdana" w:hAnsi="Verdana" w:cs="Verdana"/>
          <w:lang w:val="es-ES"/>
        </w:rPr>
        <w:t>Estado</w:t>
      </w:r>
      <w:r w:rsidRPr="00515C0B">
        <w:rPr>
          <w:rFonts w:ascii="Verdana" w:eastAsia="Verdana" w:hAnsi="Verdana" w:cs="Verdana"/>
          <w:spacing w:val="-6"/>
          <w:lang w:val="es-ES"/>
        </w:rPr>
        <w:t xml:space="preserve"> </w:t>
      </w:r>
      <w:r w:rsidRPr="00515C0B">
        <w:rPr>
          <w:rFonts w:ascii="Verdana" w:eastAsia="Verdana" w:hAnsi="Verdana" w:cs="Verdana"/>
          <w:lang w:val="es-ES"/>
        </w:rPr>
        <w:t>y</w:t>
      </w:r>
      <w:r w:rsidRPr="00515C0B">
        <w:rPr>
          <w:rFonts w:ascii="Verdana" w:eastAsia="Verdana" w:hAnsi="Verdana" w:cs="Verdana"/>
          <w:spacing w:val="-7"/>
          <w:lang w:val="es-ES"/>
        </w:rPr>
        <w:t xml:space="preserve"> </w:t>
      </w:r>
      <w:r w:rsidRPr="00515C0B">
        <w:rPr>
          <w:rFonts w:ascii="Verdana" w:eastAsia="Verdana" w:hAnsi="Verdana" w:cs="Verdana"/>
          <w:lang w:val="es-ES"/>
        </w:rPr>
        <w:t>propia de los particulares, ellas actúen en términos equivalentes a éstos cuando realicen actividades similares, sin tener prerrogativas exorbitantes que atenten contra</w:t>
      </w:r>
      <w:r w:rsidRPr="00515C0B">
        <w:rPr>
          <w:rFonts w:ascii="Verdana" w:eastAsia="Verdana" w:hAnsi="Verdana" w:cs="Verdana"/>
          <w:spacing w:val="-15"/>
          <w:lang w:val="es-ES"/>
        </w:rPr>
        <w:t xml:space="preserve"> </w:t>
      </w:r>
      <w:r w:rsidRPr="00515C0B">
        <w:rPr>
          <w:rFonts w:ascii="Verdana" w:eastAsia="Verdana" w:hAnsi="Verdana" w:cs="Verdana"/>
          <w:lang w:val="es-ES"/>
        </w:rPr>
        <w:t>el</w:t>
      </w:r>
      <w:r w:rsidRPr="00515C0B">
        <w:rPr>
          <w:rFonts w:ascii="Verdana" w:eastAsia="Verdana" w:hAnsi="Verdana" w:cs="Verdana"/>
          <w:spacing w:val="-13"/>
          <w:lang w:val="es-ES"/>
        </w:rPr>
        <w:t xml:space="preserve"> </w:t>
      </w:r>
      <w:r w:rsidRPr="00515C0B">
        <w:rPr>
          <w:rFonts w:ascii="Verdana" w:eastAsia="Verdana" w:hAnsi="Verdana" w:cs="Verdana"/>
          <w:lang w:val="es-ES"/>
        </w:rPr>
        <w:t>derecho</w:t>
      </w:r>
      <w:r w:rsidRPr="00515C0B">
        <w:rPr>
          <w:rFonts w:ascii="Verdana" w:eastAsia="Verdana" w:hAnsi="Verdana" w:cs="Verdana"/>
          <w:spacing w:val="-12"/>
          <w:lang w:val="es-ES"/>
        </w:rPr>
        <w:t xml:space="preserve"> </w:t>
      </w:r>
      <w:r w:rsidRPr="00515C0B">
        <w:rPr>
          <w:rFonts w:ascii="Verdana" w:eastAsia="Verdana" w:hAnsi="Verdana" w:cs="Verdana"/>
          <w:lang w:val="es-ES"/>
        </w:rPr>
        <w:t>a</w:t>
      </w:r>
      <w:r w:rsidRPr="00515C0B">
        <w:rPr>
          <w:rFonts w:ascii="Verdana" w:eastAsia="Verdana" w:hAnsi="Verdana" w:cs="Verdana"/>
          <w:spacing w:val="-15"/>
          <w:lang w:val="es-ES"/>
        </w:rPr>
        <w:t xml:space="preserve"> </w:t>
      </w:r>
      <w:r w:rsidRPr="00515C0B">
        <w:rPr>
          <w:rFonts w:ascii="Verdana" w:eastAsia="Verdana" w:hAnsi="Verdana" w:cs="Verdana"/>
          <w:lang w:val="es-ES"/>
        </w:rPr>
        <w:t>la</w:t>
      </w:r>
      <w:r w:rsidRPr="00515C0B">
        <w:rPr>
          <w:rFonts w:ascii="Verdana" w:eastAsia="Verdana" w:hAnsi="Verdana" w:cs="Verdana"/>
          <w:spacing w:val="-19"/>
          <w:lang w:val="es-ES"/>
        </w:rPr>
        <w:t xml:space="preserve"> </w:t>
      </w:r>
      <w:r w:rsidRPr="00515C0B">
        <w:rPr>
          <w:rFonts w:ascii="Verdana" w:eastAsia="Verdana" w:hAnsi="Verdana" w:cs="Verdana"/>
          <w:lang w:val="es-ES"/>
        </w:rPr>
        <w:t>igualdad</w:t>
      </w:r>
      <w:r w:rsidRPr="00515C0B">
        <w:rPr>
          <w:rFonts w:ascii="Verdana" w:eastAsia="Verdana" w:hAnsi="Verdana" w:cs="Verdana"/>
          <w:spacing w:val="-15"/>
          <w:lang w:val="es-ES"/>
        </w:rPr>
        <w:t xml:space="preserve"> </w:t>
      </w:r>
      <w:r w:rsidRPr="00515C0B">
        <w:rPr>
          <w:rFonts w:ascii="Verdana" w:eastAsia="Verdana" w:hAnsi="Verdana" w:cs="Verdana"/>
          <w:lang w:val="es-ES"/>
        </w:rPr>
        <w:t>ni</w:t>
      </w:r>
      <w:r w:rsidRPr="00515C0B">
        <w:rPr>
          <w:rFonts w:ascii="Verdana" w:eastAsia="Verdana" w:hAnsi="Verdana" w:cs="Verdana"/>
          <w:spacing w:val="-13"/>
          <w:lang w:val="es-ES"/>
        </w:rPr>
        <w:t xml:space="preserve"> </w:t>
      </w:r>
      <w:r w:rsidRPr="00515C0B">
        <w:rPr>
          <w:rFonts w:ascii="Verdana" w:eastAsia="Verdana" w:hAnsi="Verdana" w:cs="Verdana"/>
          <w:lang w:val="es-ES"/>
        </w:rPr>
        <w:t>estar</w:t>
      </w:r>
      <w:r w:rsidRPr="00515C0B">
        <w:rPr>
          <w:rFonts w:ascii="Verdana" w:eastAsia="Verdana" w:hAnsi="Verdana" w:cs="Verdana"/>
          <w:spacing w:val="-12"/>
          <w:lang w:val="es-ES"/>
        </w:rPr>
        <w:t xml:space="preserve"> </w:t>
      </w:r>
      <w:r w:rsidRPr="00515C0B">
        <w:rPr>
          <w:rFonts w:ascii="Verdana" w:eastAsia="Verdana" w:hAnsi="Verdana" w:cs="Verdana"/>
          <w:lang w:val="es-ES"/>
        </w:rPr>
        <w:t>sujetas</w:t>
      </w:r>
      <w:r w:rsidRPr="00515C0B">
        <w:rPr>
          <w:rFonts w:ascii="Verdana" w:eastAsia="Verdana" w:hAnsi="Verdana" w:cs="Verdana"/>
          <w:spacing w:val="-13"/>
          <w:lang w:val="es-ES"/>
        </w:rPr>
        <w:t xml:space="preserve"> </w:t>
      </w:r>
      <w:r w:rsidRPr="00515C0B">
        <w:rPr>
          <w:rFonts w:ascii="Verdana" w:eastAsia="Verdana" w:hAnsi="Verdana" w:cs="Verdana"/>
          <w:lang w:val="es-ES"/>
        </w:rPr>
        <w:t>a</w:t>
      </w:r>
      <w:r w:rsidRPr="00515C0B">
        <w:rPr>
          <w:rFonts w:ascii="Verdana" w:eastAsia="Verdana" w:hAnsi="Verdana" w:cs="Verdana"/>
          <w:spacing w:val="-15"/>
          <w:lang w:val="es-ES"/>
        </w:rPr>
        <w:t xml:space="preserve"> </w:t>
      </w:r>
      <w:r w:rsidRPr="00515C0B">
        <w:rPr>
          <w:rFonts w:ascii="Verdana" w:eastAsia="Verdana" w:hAnsi="Verdana" w:cs="Verdana"/>
          <w:lang w:val="es-ES"/>
        </w:rPr>
        <w:t>procedimientos</w:t>
      </w:r>
      <w:r w:rsidRPr="00515C0B">
        <w:rPr>
          <w:rFonts w:ascii="Verdana" w:eastAsia="Verdana" w:hAnsi="Verdana" w:cs="Verdana"/>
          <w:spacing w:val="-13"/>
          <w:lang w:val="es-ES"/>
        </w:rPr>
        <w:t xml:space="preserve"> </w:t>
      </w:r>
      <w:r w:rsidRPr="00515C0B">
        <w:rPr>
          <w:rFonts w:ascii="Verdana" w:eastAsia="Verdana" w:hAnsi="Verdana" w:cs="Verdana"/>
          <w:lang w:val="es-ES"/>
        </w:rPr>
        <w:t>administrativos que entraben sus actuaciones y las pongan en situación de desventaja</w:t>
      </w:r>
      <w:r w:rsidRPr="00515C0B">
        <w:rPr>
          <w:rFonts w:ascii="Verdana" w:eastAsia="Verdana" w:hAnsi="Verdana" w:cs="Verdana"/>
          <w:spacing w:val="-1"/>
          <w:lang w:val="es-ES"/>
        </w:rPr>
        <w:t xml:space="preserve"> </w:t>
      </w:r>
      <w:r w:rsidRPr="00515C0B">
        <w:rPr>
          <w:rFonts w:ascii="Verdana" w:eastAsia="Verdana" w:hAnsi="Verdana" w:cs="Verdana"/>
          <w:lang w:val="es-ES"/>
        </w:rPr>
        <w:t>frente a sus</w:t>
      </w:r>
      <w:r w:rsidRPr="00515C0B">
        <w:rPr>
          <w:rFonts w:ascii="Verdana" w:eastAsia="Verdana" w:hAnsi="Verdana" w:cs="Verdana"/>
          <w:spacing w:val="-1"/>
          <w:lang w:val="es-ES"/>
        </w:rPr>
        <w:t xml:space="preserve"> </w:t>
      </w:r>
      <w:r w:rsidRPr="00515C0B">
        <w:rPr>
          <w:rFonts w:ascii="Verdana" w:eastAsia="Verdana" w:hAnsi="Verdana" w:cs="Verdana"/>
          <w:lang w:val="es-ES"/>
        </w:rPr>
        <w:t>competidores</w:t>
      </w:r>
      <w:r w:rsidRPr="00515C0B">
        <w:rPr>
          <w:rFonts w:ascii="Verdana" w:eastAsia="Verdana" w:hAnsi="Verdana" w:cs="Verdana"/>
          <w:spacing w:val="-1"/>
          <w:lang w:val="es-ES"/>
        </w:rPr>
        <w:t xml:space="preserve"> </w:t>
      </w:r>
      <w:r w:rsidRPr="00515C0B">
        <w:rPr>
          <w:rFonts w:ascii="Verdana" w:eastAsia="Verdana" w:hAnsi="Verdana" w:cs="Verdana"/>
          <w:lang w:val="es-ES"/>
        </w:rPr>
        <w:t>(…).</w:t>
      </w:r>
      <w:r w:rsidRPr="00515C0B">
        <w:rPr>
          <w:rFonts w:ascii="Verdana" w:eastAsia="Verdana" w:hAnsi="Verdana" w:cs="Verdana"/>
          <w:spacing w:val="-6"/>
          <w:lang w:val="es-ES"/>
        </w:rPr>
        <w:t xml:space="preserve"> </w:t>
      </w:r>
      <w:r w:rsidRPr="00515C0B">
        <w:rPr>
          <w:rFonts w:ascii="Verdana" w:eastAsia="Verdana" w:hAnsi="Verdana" w:cs="Verdana"/>
          <w:lang w:val="es-ES"/>
        </w:rPr>
        <w:t>Por</w:t>
      </w:r>
      <w:r w:rsidRPr="00515C0B">
        <w:rPr>
          <w:rFonts w:ascii="Verdana" w:eastAsia="Verdana" w:hAnsi="Verdana" w:cs="Verdana"/>
          <w:spacing w:val="-5"/>
          <w:lang w:val="es-ES"/>
        </w:rPr>
        <w:t xml:space="preserve"> </w:t>
      </w:r>
      <w:r w:rsidRPr="00515C0B">
        <w:rPr>
          <w:rFonts w:ascii="Verdana" w:eastAsia="Verdana" w:hAnsi="Verdana" w:cs="Verdana"/>
          <w:lang w:val="es-ES"/>
        </w:rPr>
        <w:t>ello,</w:t>
      </w:r>
      <w:r w:rsidRPr="00515C0B">
        <w:rPr>
          <w:rFonts w:ascii="Verdana" w:eastAsia="Verdana" w:hAnsi="Verdana" w:cs="Verdana"/>
          <w:spacing w:val="-2"/>
          <w:lang w:val="es-ES"/>
        </w:rPr>
        <w:t xml:space="preserve"> </w:t>
      </w:r>
      <w:r w:rsidRPr="00515C0B">
        <w:rPr>
          <w:rFonts w:ascii="Verdana" w:eastAsia="Verdana" w:hAnsi="Verdana" w:cs="Verdana"/>
          <w:lang w:val="es-ES"/>
        </w:rPr>
        <w:t>la</w:t>
      </w:r>
      <w:r w:rsidRPr="00515C0B">
        <w:rPr>
          <w:rFonts w:ascii="Verdana" w:eastAsia="Verdana" w:hAnsi="Verdana" w:cs="Verdana"/>
          <w:spacing w:val="-3"/>
          <w:lang w:val="es-ES"/>
        </w:rPr>
        <w:t xml:space="preserve"> </w:t>
      </w:r>
      <w:r w:rsidRPr="00515C0B">
        <w:rPr>
          <w:rFonts w:ascii="Verdana" w:eastAsia="Verdana" w:hAnsi="Verdana" w:cs="Verdana"/>
          <w:lang w:val="es-ES"/>
        </w:rPr>
        <w:t>regla</w:t>
      </w:r>
      <w:r w:rsidRPr="00515C0B">
        <w:rPr>
          <w:rFonts w:ascii="Verdana" w:eastAsia="Verdana" w:hAnsi="Verdana" w:cs="Verdana"/>
          <w:spacing w:val="-3"/>
          <w:lang w:val="es-ES"/>
        </w:rPr>
        <w:t xml:space="preserve"> </w:t>
      </w:r>
      <w:r w:rsidRPr="00515C0B">
        <w:rPr>
          <w:rFonts w:ascii="Verdana" w:eastAsia="Verdana" w:hAnsi="Verdana" w:cs="Verdana"/>
          <w:lang w:val="es-ES"/>
        </w:rPr>
        <w:t>general</w:t>
      </w:r>
      <w:r w:rsidRPr="00515C0B">
        <w:rPr>
          <w:rFonts w:ascii="Verdana" w:eastAsia="Verdana" w:hAnsi="Verdana" w:cs="Verdana"/>
          <w:spacing w:val="-1"/>
          <w:lang w:val="es-ES"/>
        </w:rPr>
        <w:t xml:space="preserve"> </w:t>
      </w:r>
      <w:r w:rsidRPr="00515C0B">
        <w:rPr>
          <w:rFonts w:ascii="Verdana" w:eastAsia="Verdana" w:hAnsi="Verdana" w:cs="Verdana"/>
          <w:lang w:val="es-ES"/>
        </w:rPr>
        <w:t>es</w:t>
      </w:r>
      <w:r w:rsidRPr="00515C0B">
        <w:rPr>
          <w:rFonts w:ascii="Verdana" w:eastAsia="Verdana" w:hAnsi="Verdana" w:cs="Verdana"/>
          <w:spacing w:val="-1"/>
          <w:lang w:val="es-ES"/>
        </w:rPr>
        <w:t xml:space="preserve"> </w:t>
      </w:r>
      <w:r w:rsidRPr="00515C0B">
        <w:rPr>
          <w:rFonts w:ascii="Verdana" w:eastAsia="Verdana" w:hAnsi="Verdana" w:cs="Verdana"/>
          <w:lang w:val="es-ES"/>
        </w:rPr>
        <w:t>que</w:t>
      </w:r>
      <w:r w:rsidRPr="00515C0B">
        <w:rPr>
          <w:rFonts w:ascii="Verdana" w:eastAsia="Verdana" w:hAnsi="Verdana" w:cs="Verdana"/>
          <w:spacing w:val="-2"/>
          <w:lang w:val="es-ES"/>
        </w:rPr>
        <w:t xml:space="preserve"> </w:t>
      </w:r>
      <w:r w:rsidRPr="00515C0B">
        <w:rPr>
          <w:rFonts w:ascii="Verdana" w:eastAsia="Verdana" w:hAnsi="Verdana" w:cs="Verdana"/>
          <w:lang w:val="es-ES"/>
        </w:rPr>
        <w:t>en</w:t>
      </w:r>
      <w:r w:rsidRPr="00515C0B">
        <w:rPr>
          <w:rFonts w:ascii="Verdana" w:eastAsia="Verdana" w:hAnsi="Verdana" w:cs="Verdana"/>
          <w:spacing w:val="-1"/>
          <w:lang w:val="es-ES"/>
        </w:rPr>
        <w:t xml:space="preserve"> </w:t>
      </w:r>
      <w:r w:rsidRPr="00515C0B">
        <w:rPr>
          <w:rFonts w:ascii="Verdana" w:eastAsia="Verdana" w:hAnsi="Verdana" w:cs="Verdana"/>
          <w:lang w:val="es-ES"/>
        </w:rPr>
        <w:t>sus</w:t>
      </w:r>
      <w:r w:rsidRPr="00515C0B">
        <w:rPr>
          <w:rFonts w:ascii="Verdana" w:eastAsia="Verdana" w:hAnsi="Verdana" w:cs="Verdana"/>
          <w:spacing w:val="-6"/>
          <w:lang w:val="es-ES"/>
        </w:rPr>
        <w:t xml:space="preserve"> </w:t>
      </w:r>
      <w:r w:rsidRPr="00515C0B">
        <w:rPr>
          <w:rFonts w:ascii="Verdana" w:eastAsia="Verdana" w:hAnsi="Verdana" w:cs="Verdana"/>
          <w:lang w:val="es-ES"/>
        </w:rPr>
        <w:t>actos</w:t>
      </w:r>
      <w:r w:rsidRPr="00515C0B">
        <w:rPr>
          <w:rFonts w:ascii="Verdana" w:eastAsia="Verdana" w:hAnsi="Verdana" w:cs="Verdana"/>
          <w:spacing w:val="-1"/>
          <w:lang w:val="es-ES"/>
        </w:rPr>
        <w:t xml:space="preserve"> </w:t>
      </w:r>
      <w:r w:rsidRPr="00515C0B">
        <w:rPr>
          <w:rFonts w:ascii="Verdana" w:eastAsia="Verdana" w:hAnsi="Verdana" w:cs="Verdana"/>
          <w:lang w:val="es-ES"/>
        </w:rPr>
        <w:t>y</w:t>
      </w:r>
      <w:r w:rsidRPr="00515C0B">
        <w:rPr>
          <w:rFonts w:ascii="Verdana" w:eastAsia="Verdana" w:hAnsi="Verdana" w:cs="Verdana"/>
          <w:spacing w:val="-2"/>
          <w:lang w:val="es-ES"/>
        </w:rPr>
        <w:t xml:space="preserve"> </w:t>
      </w:r>
      <w:r w:rsidRPr="00515C0B">
        <w:rPr>
          <w:rFonts w:ascii="Verdana" w:eastAsia="Verdana" w:hAnsi="Verdana" w:cs="Verdana"/>
          <w:lang w:val="es-ES"/>
        </w:rPr>
        <w:t>contratos rijan las normas de derecho privado, salvo en cuanto a sus relaciones con la Administración y en aquellos casos en los que por expresa disposición legal ejerzan</w:t>
      </w:r>
      <w:r w:rsidRPr="00515C0B">
        <w:rPr>
          <w:rFonts w:ascii="Verdana" w:eastAsia="Verdana" w:hAnsi="Verdana" w:cs="Verdana"/>
          <w:spacing w:val="-4"/>
          <w:lang w:val="es-ES"/>
        </w:rPr>
        <w:t xml:space="preserve"> </w:t>
      </w:r>
      <w:r w:rsidRPr="00515C0B">
        <w:rPr>
          <w:rFonts w:ascii="Verdana" w:eastAsia="Verdana" w:hAnsi="Verdana" w:cs="Verdana"/>
          <w:lang w:val="es-ES"/>
        </w:rPr>
        <w:t>alguna</w:t>
      </w:r>
      <w:r w:rsidRPr="00515C0B">
        <w:rPr>
          <w:rFonts w:ascii="Verdana" w:eastAsia="Verdana" w:hAnsi="Verdana" w:cs="Verdana"/>
          <w:spacing w:val="-7"/>
          <w:lang w:val="es-ES"/>
        </w:rPr>
        <w:t xml:space="preserve"> </w:t>
      </w:r>
      <w:r w:rsidRPr="00515C0B">
        <w:rPr>
          <w:rFonts w:ascii="Verdana" w:eastAsia="Verdana" w:hAnsi="Verdana" w:cs="Verdana"/>
          <w:lang w:val="es-ES"/>
        </w:rPr>
        <w:t>función</w:t>
      </w:r>
      <w:r w:rsidRPr="00515C0B">
        <w:rPr>
          <w:rFonts w:ascii="Verdana" w:eastAsia="Verdana" w:hAnsi="Verdana" w:cs="Verdana"/>
          <w:spacing w:val="-9"/>
          <w:lang w:val="es-ES"/>
        </w:rPr>
        <w:t xml:space="preserve"> </w:t>
      </w:r>
      <w:r w:rsidRPr="00515C0B">
        <w:rPr>
          <w:rFonts w:ascii="Verdana" w:eastAsia="Verdana" w:hAnsi="Verdana" w:cs="Verdana"/>
          <w:lang w:val="es-ES"/>
        </w:rPr>
        <w:t>administrativa,</w:t>
      </w:r>
      <w:r w:rsidRPr="00515C0B">
        <w:rPr>
          <w:rFonts w:ascii="Verdana" w:eastAsia="Verdana" w:hAnsi="Verdana" w:cs="Verdana"/>
          <w:spacing w:val="-5"/>
          <w:lang w:val="es-ES"/>
        </w:rPr>
        <w:t xml:space="preserve"> </w:t>
      </w:r>
      <w:r w:rsidRPr="00515C0B">
        <w:rPr>
          <w:rFonts w:ascii="Verdana" w:eastAsia="Verdana" w:hAnsi="Verdana" w:cs="Verdana"/>
          <w:lang w:val="es-ES"/>
        </w:rPr>
        <w:t>puesto que</w:t>
      </w:r>
      <w:r w:rsidRPr="00515C0B">
        <w:rPr>
          <w:rFonts w:ascii="Verdana" w:eastAsia="Verdana" w:hAnsi="Verdana" w:cs="Verdana"/>
          <w:spacing w:val="-5"/>
          <w:lang w:val="es-ES"/>
        </w:rPr>
        <w:t xml:space="preserve"> </w:t>
      </w:r>
      <w:r w:rsidRPr="00515C0B">
        <w:rPr>
          <w:rFonts w:ascii="Verdana" w:eastAsia="Verdana" w:hAnsi="Verdana" w:cs="Verdana"/>
          <w:lang w:val="es-ES"/>
        </w:rPr>
        <w:t>allí</w:t>
      </w:r>
      <w:r w:rsidRPr="00515C0B">
        <w:rPr>
          <w:rFonts w:ascii="Verdana" w:eastAsia="Verdana" w:hAnsi="Verdana" w:cs="Verdana"/>
          <w:spacing w:val="-4"/>
          <w:lang w:val="es-ES"/>
        </w:rPr>
        <w:t xml:space="preserve"> </w:t>
      </w:r>
      <w:r w:rsidRPr="00515C0B">
        <w:rPr>
          <w:rFonts w:ascii="Verdana" w:eastAsia="Verdana" w:hAnsi="Verdana" w:cs="Verdana"/>
          <w:lang w:val="es-ES"/>
        </w:rPr>
        <w:t>sí</w:t>
      </w:r>
      <w:r w:rsidRPr="00515C0B">
        <w:rPr>
          <w:rFonts w:ascii="Verdana" w:eastAsia="Verdana" w:hAnsi="Verdana" w:cs="Verdana"/>
          <w:spacing w:val="-9"/>
          <w:lang w:val="es-ES"/>
        </w:rPr>
        <w:t xml:space="preserve"> </w:t>
      </w:r>
      <w:r w:rsidRPr="00515C0B">
        <w:rPr>
          <w:rFonts w:ascii="Verdana" w:eastAsia="Verdana" w:hAnsi="Verdana" w:cs="Verdana"/>
          <w:lang w:val="es-ES"/>
        </w:rPr>
        <w:t>deberá</w:t>
      </w:r>
      <w:r w:rsidRPr="00515C0B">
        <w:rPr>
          <w:rFonts w:ascii="Verdana" w:eastAsia="Verdana" w:hAnsi="Verdana" w:cs="Verdana"/>
          <w:spacing w:val="-7"/>
          <w:lang w:val="es-ES"/>
        </w:rPr>
        <w:t xml:space="preserve"> </w:t>
      </w:r>
      <w:r w:rsidRPr="00515C0B">
        <w:rPr>
          <w:rFonts w:ascii="Verdana" w:eastAsia="Verdana" w:hAnsi="Verdana" w:cs="Verdana"/>
          <w:lang w:val="es-ES"/>
        </w:rPr>
        <w:t>dar</w:t>
      </w:r>
      <w:r w:rsidRPr="00515C0B">
        <w:rPr>
          <w:rFonts w:ascii="Verdana" w:eastAsia="Verdana" w:hAnsi="Verdana" w:cs="Verdana"/>
          <w:spacing w:val="-3"/>
          <w:lang w:val="es-ES"/>
        </w:rPr>
        <w:t xml:space="preserve"> </w:t>
      </w:r>
      <w:r w:rsidRPr="00515C0B">
        <w:rPr>
          <w:rFonts w:ascii="Verdana" w:eastAsia="Verdana" w:hAnsi="Verdana" w:cs="Verdana"/>
          <w:lang w:val="es-ES"/>
        </w:rPr>
        <w:t>aplicación</w:t>
      </w:r>
      <w:r w:rsidRPr="00515C0B">
        <w:rPr>
          <w:rFonts w:ascii="Verdana" w:eastAsia="Verdana" w:hAnsi="Verdana" w:cs="Verdana"/>
          <w:spacing w:val="-4"/>
          <w:lang w:val="es-ES"/>
        </w:rPr>
        <w:t xml:space="preserve"> </w:t>
      </w:r>
      <w:r w:rsidRPr="00515C0B">
        <w:rPr>
          <w:rFonts w:ascii="Verdana" w:eastAsia="Verdana" w:hAnsi="Verdana" w:cs="Verdana"/>
          <w:lang w:val="es-ES"/>
        </w:rPr>
        <w:t>a las reglas de derecho público pertinentes (…)”</w:t>
      </w:r>
      <w:r w:rsidRPr="00515C0B">
        <w:rPr>
          <w:rFonts w:ascii="Verdana" w:eastAsia="Verdana" w:hAnsi="Verdana" w:cs="Verdana"/>
          <w:vertAlign w:val="superscript"/>
          <w:lang w:val="es-ES"/>
        </w:rPr>
        <w:footnoteReference w:id="12"/>
      </w:r>
      <w:r w:rsidRPr="00515C0B">
        <w:rPr>
          <w:rFonts w:ascii="Verdana" w:eastAsia="Verdana" w:hAnsi="Verdana" w:cs="Verdana"/>
          <w:lang w:val="es-ES"/>
        </w:rPr>
        <w:t>.</w:t>
      </w:r>
      <w:r>
        <w:rPr>
          <w:rFonts w:ascii="Verdana" w:eastAsia="Verdana" w:hAnsi="Verdana" w:cs="Verdana"/>
          <w:lang w:val="es-ES"/>
        </w:rPr>
        <w:t xml:space="preserve"> </w:t>
      </w:r>
      <w:r w:rsidRPr="008B2333">
        <w:rPr>
          <w:rFonts w:ascii="Verdana" w:hAnsi="Verdana" w:cs="Arial"/>
        </w:rPr>
        <w:t>(corchetes fuera de texto)</w:t>
      </w:r>
    </w:p>
    <w:p w14:paraId="0237866C" w14:textId="77777777" w:rsidR="00F60167" w:rsidRPr="0037405A" w:rsidRDefault="00F60167" w:rsidP="00F60167">
      <w:pPr>
        <w:widowControl w:val="0"/>
        <w:autoSpaceDE w:val="0"/>
        <w:autoSpaceDN w:val="0"/>
        <w:spacing w:after="0" w:line="276" w:lineRule="auto"/>
        <w:ind w:right="51" w:firstLine="709"/>
        <w:jc w:val="both"/>
        <w:rPr>
          <w:rFonts w:ascii="Verdana" w:hAnsi="Verdana" w:cs="Arial"/>
        </w:rPr>
      </w:pPr>
      <w:r w:rsidRPr="0037405A">
        <w:rPr>
          <w:rFonts w:ascii="Verdana" w:hAnsi="Verdana" w:cs="Arial"/>
        </w:rPr>
        <w:t>De acuerdo con la jurisprudencia, lo anterior se justifica en el principio de igualdad, ya que, si el Estado desarrolla actividades similares a los particulares, debe actuar no solo desprovisto de poderes exorbitantes sino también con la misma eficacia y eficiencia que los sujetos de derecho privado. No en vano:</w:t>
      </w:r>
    </w:p>
    <w:p w14:paraId="272C95CF" w14:textId="77777777" w:rsidR="00F60167" w:rsidRPr="008B2333" w:rsidRDefault="00F60167" w:rsidP="00F60167">
      <w:pPr>
        <w:spacing w:after="0" w:line="276" w:lineRule="auto"/>
        <w:ind w:firstLine="709"/>
        <w:jc w:val="both"/>
        <w:rPr>
          <w:rFonts w:ascii="Verdana" w:eastAsia="Calibri" w:hAnsi="Verdana" w:cs="Arial"/>
          <w:color w:val="000000" w:themeColor="text1"/>
        </w:rPr>
      </w:pPr>
    </w:p>
    <w:p w14:paraId="747BDEFF" w14:textId="77777777" w:rsidR="00F60167" w:rsidRPr="008B2333" w:rsidRDefault="00F60167" w:rsidP="00F60167">
      <w:pPr>
        <w:spacing w:after="0" w:line="240" w:lineRule="auto"/>
        <w:ind w:left="709" w:right="709"/>
        <w:jc w:val="both"/>
        <w:rPr>
          <w:rFonts w:ascii="Verdana" w:eastAsia="Calibri" w:hAnsi="Verdana" w:cs="Arial"/>
          <w:color w:val="000000" w:themeColor="text1"/>
          <w:sz w:val="20"/>
          <w:szCs w:val="20"/>
        </w:rPr>
      </w:pPr>
      <w:r w:rsidRPr="008B2333">
        <w:rPr>
          <w:rFonts w:ascii="Verdana" w:eastAsia="Calibri" w:hAnsi="Verdana" w:cs="Arial"/>
          <w:color w:val="000000" w:themeColor="text1"/>
          <w:sz w:val="20"/>
          <w:szCs w:val="20"/>
        </w:rPr>
        <w:t>“La razón de ser de la aplicación del régimen de derecho privado a estas entidades radica en la necesidad de que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w:t>
      </w:r>
    </w:p>
    <w:p w14:paraId="4F26C157" w14:textId="77777777" w:rsidR="00F60167" w:rsidRPr="008B2333" w:rsidRDefault="00F60167" w:rsidP="00F60167">
      <w:pPr>
        <w:spacing w:after="0" w:line="240" w:lineRule="auto"/>
        <w:ind w:left="709" w:right="709"/>
        <w:jc w:val="both"/>
        <w:rPr>
          <w:rFonts w:ascii="Verdana" w:eastAsia="Calibri" w:hAnsi="Verdana" w:cs="Arial"/>
          <w:color w:val="000000" w:themeColor="text1"/>
          <w:sz w:val="20"/>
          <w:szCs w:val="20"/>
        </w:rPr>
      </w:pPr>
    </w:p>
    <w:p w14:paraId="1CD4053E" w14:textId="77777777" w:rsidR="00F60167" w:rsidRPr="008B2333" w:rsidRDefault="00F60167" w:rsidP="00F60167">
      <w:pPr>
        <w:spacing w:after="0" w:line="240" w:lineRule="auto"/>
        <w:ind w:left="709" w:right="709"/>
        <w:jc w:val="both"/>
        <w:rPr>
          <w:rFonts w:ascii="Verdana" w:eastAsia="Calibri" w:hAnsi="Verdana" w:cs="Arial"/>
          <w:color w:val="000000" w:themeColor="text1"/>
          <w:sz w:val="20"/>
          <w:szCs w:val="20"/>
        </w:rPr>
      </w:pPr>
      <w:r w:rsidRPr="008B2333">
        <w:rPr>
          <w:rFonts w:ascii="Verdana" w:eastAsia="Calibri" w:hAnsi="Verdana" w:cs="Arial"/>
          <w:color w:val="000000" w:themeColor="text1"/>
          <w:sz w:val="20"/>
          <w:szCs w:val="20"/>
        </w:rPr>
        <w:t xml:space="preserve">Se trata pues, de que sus actividades de explotación industrial o comercial se desarrollen con las </w:t>
      </w:r>
      <w:proofErr w:type="gramStart"/>
      <w:r w:rsidRPr="008B2333">
        <w:rPr>
          <w:rFonts w:ascii="Verdana" w:eastAsia="Calibri" w:hAnsi="Verdana" w:cs="Arial"/>
          <w:color w:val="000000" w:themeColor="text1"/>
          <w:sz w:val="20"/>
          <w:szCs w:val="20"/>
        </w:rPr>
        <w:t>mismas oportunidades y las mismas ventajas</w:t>
      </w:r>
      <w:proofErr w:type="gramEnd"/>
      <w:r w:rsidRPr="008B2333">
        <w:rPr>
          <w:rFonts w:ascii="Verdana" w:eastAsia="Calibri" w:hAnsi="Verdana" w:cs="Arial"/>
          <w:color w:val="000000" w:themeColor="text1"/>
          <w:sz w:val="20"/>
          <w:szCs w:val="20"/>
        </w:rPr>
        <w:t xml:space="preserve"> o desventajas que las adelantadas por aquellos, sin que influya para nada su investidura de entidad estatal; que puedan actuar como particulares, frente a las exigencias de la economía y del mercado.”</w:t>
      </w:r>
    </w:p>
    <w:p w14:paraId="0CD9DED0" w14:textId="77777777" w:rsidR="00F60167" w:rsidRPr="0037405A" w:rsidRDefault="00F60167" w:rsidP="00F60167">
      <w:pPr>
        <w:widowControl w:val="0"/>
        <w:autoSpaceDE w:val="0"/>
        <w:autoSpaceDN w:val="0"/>
        <w:spacing w:after="0" w:line="276" w:lineRule="auto"/>
        <w:ind w:right="51" w:firstLine="709"/>
        <w:jc w:val="both"/>
        <w:rPr>
          <w:rFonts w:ascii="Verdana" w:eastAsia="Verdana" w:hAnsi="Verdana" w:cs="Verdana"/>
        </w:rPr>
      </w:pPr>
    </w:p>
    <w:p w14:paraId="1D458963" w14:textId="77777777" w:rsidR="00F60167" w:rsidRPr="00515C0B" w:rsidRDefault="00F60167" w:rsidP="00F60167">
      <w:pPr>
        <w:widowControl w:val="0"/>
        <w:autoSpaceDE w:val="0"/>
        <w:autoSpaceDN w:val="0"/>
        <w:spacing w:after="120" w:line="276" w:lineRule="auto"/>
        <w:ind w:right="49" w:firstLine="709"/>
        <w:jc w:val="both"/>
        <w:rPr>
          <w:rFonts w:ascii="Verdana" w:eastAsia="Verdana" w:hAnsi="Verdana" w:cs="Verdana"/>
          <w:lang w:val="es-ES"/>
        </w:rPr>
      </w:pPr>
      <w:r>
        <w:rPr>
          <w:rFonts w:ascii="Verdana" w:eastAsia="Verdana" w:hAnsi="Verdana" w:cs="Verdana"/>
          <w:lang w:val="es-ES"/>
        </w:rPr>
        <w:t>Ahora bien, e</w:t>
      </w:r>
      <w:r w:rsidRPr="00515C0B">
        <w:rPr>
          <w:rFonts w:ascii="Verdana" w:eastAsia="Verdana" w:hAnsi="Verdana" w:cs="Verdana"/>
          <w:lang w:val="es-ES"/>
        </w:rPr>
        <w:t>s importante destacar, entonces, que el artículo 14 de la Ley 1150 de 2007,</w:t>
      </w:r>
      <w:r w:rsidRPr="00515C0B">
        <w:rPr>
          <w:rFonts w:ascii="Verdana" w:eastAsia="Verdana" w:hAnsi="Verdana" w:cs="Verdana"/>
          <w:spacing w:val="-11"/>
          <w:lang w:val="es-ES"/>
        </w:rPr>
        <w:t xml:space="preserve"> </w:t>
      </w:r>
      <w:r w:rsidRPr="00515C0B">
        <w:rPr>
          <w:rFonts w:ascii="Verdana" w:eastAsia="Verdana" w:hAnsi="Verdana" w:cs="Verdana"/>
          <w:lang w:val="es-ES"/>
        </w:rPr>
        <w:t>modificado</w:t>
      </w:r>
      <w:r w:rsidRPr="00515C0B">
        <w:rPr>
          <w:rFonts w:ascii="Verdana" w:eastAsia="Verdana" w:hAnsi="Verdana" w:cs="Verdana"/>
          <w:spacing w:val="-10"/>
          <w:lang w:val="es-ES"/>
        </w:rPr>
        <w:t xml:space="preserve"> </w:t>
      </w:r>
      <w:r w:rsidRPr="00515C0B">
        <w:rPr>
          <w:rFonts w:ascii="Verdana" w:eastAsia="Verdana" w:hAnsi="Verdana" w:cs="Verdana"/>
          <w:lang w:val="es-ES"/>
        </w:rPr>
        <w:t>por</w:t>
      </w:r>
      <w:r w:rsidRPr="00515C0B">
        <w:rPr>
          <w:rFonts w:ascii="Verdana" w:eastAsia="Verdana" w:hAnsi="Verdana" w:cs="Verdana"/>
          <w:spacing w:val="-10"/>
          <w:lang w:val="es-ES"/>
        </w:rPr>
        <w:t xml:space="preserve"> </w:t>
      </w:r>
      <w:r w:rsidRPr="00515C0B">
        <w:rPr>
          <w:rFonts w:ascii="Verdana" w:eastAsia="Verdana" w:hAnsi="Verdana" w:cs="Verdana"/>
          <w:lang w:val="es-ES"/>
        </w:rPr>
        <w:t>el</w:t>
      </w:r>
      <w:r w:rsidRPr="00515C0B">
        <w:rPr>
          <w:rFonts w:ascii="Verdana" w:eastAsia="Verdana" w:hAnsi="Verdana" w:cs="Verdana"/>
          <w:spacing w:val="-11"/>
          <w:lang w:val="es-ES"/>
        </w:rPr>
        <w:t xml:space="preserve"> </w:t>
      </w:r>
      <w:r w:rsidRPr="00515C0B">
        <w:rPr>
          <w:rFonts w:ascii="Verdana" w:eastAsia="Verdana" w:hAnsi="Verdana" w:cs="Verdana"/>
          <w:lang w:val="es-ES"/>
        </w:rPr>
        <w:t>artículo</w:t>
      </w:r>
      <w:r w:rsidRPr="00515C0B">
        <w:rPr>
          <w:rFonts w:ascii="Verdana" w:eastAsia="Verdana" w:hAnsi="Verdana" w:cs="Verdana"/>
          <w:spacing w:val="-10"/>
          <w:lang w:val="es-ES"/>
        </w:rPr>
        <w:t xml:space="preserve"> </w:t>
      </w:r>
      <w:r w:rsidRPr="00515C0B">
        <w:rPr>
          <w:rFonts w:ascii="Verdana" w:eastAsia="Verdana" w:hAnsi="Verdana" w:cs="Verdana"/>
          <w:lang w:val="es-ES"/>
        </w:rPr>
        <w:t>93</w:t>
      </w:r>
      <w:r w:rsidRPr="00515C0B">
        <w:rPr>
          <w:rFonts w:ascii="Verdana" w:eastAsia="Verdana" w:hAnsi="Verdana" w:cs="Verdana"/>
          <w:spacing w:val="-11"/>
          <w:lang w:val="es-ES"/>
        </w:rPr>
        <w:t xml:space="preserve"> </w:t>
      </w:r>
      <w:r w:rsidRPr="00515C0B">
        <w:rPr>
          <w:rFonts w:ascii="Verdana" w:eastAsia="Verdana" w:hAnsi="Verdana" w:cs="Verdana"/>
          <w:lang w:val="es-ES"/>
        </w:rPr>
        <w:t>de</w:t>
      </w:r>
      <w:r w:rsidRPr="00515C0B">
        <w:rPr>
          <w:rFonts w:ascii="Verdana" w:eastAsia="Verdana" w:hAnsi="Verdana" w:cs="Verdana"/>
          <w:spacing w:val="-12"/>
          <w:lang w:val="es-ES"/>
        </w:rPr>
        <w:t xml:space="preserve"> </w:t>
      </w:r>
      <w:r w:rsidRPr="00515C0B">
        <w:rPr>
          <w:rFonts w:ascii="Verdana" w:eastAsia="Verdana" w:hAnsi="Verdana" w:cs="Verdana"/>
          <w:lang w:val="es-ES"/>
        </w:rPr>
        <w:t>la</w:t>
      </w:r>
      <w:r w:rsidRPr="00515C0B">
        <w:rPr>
          <w:rFonts w:ascii="Verdana" w:eastAsia="Verdana" w:hAnsi="Verdana" w:cs="Verdana"/>
          <w:spacing w:val="-13"/>
          <w:lang w:val="es-ES"/>
        </w:rPr>
        <w:t xml:space="preserve"> </w:t>
      </w:r>
      <w:r w:rsidRPr="00515C0B">
        <w:rPr>
          <w:rFonts w:ascii="Verdana" w:eastAsia="Verdana" w:hAnsi="Verdana" w:cs="Verdana"/>
          <w:lang w:val="es-ES"/>
        </w:rPr>
        <w:t>Ley</w:t>
      </w:r>
      <w:r w:rsidRPr="00515C0B">
        <w:rPr>
          <w:rFonts w:ascii="Verdana" w:eastAsia="Verdana" w:hAnsi="Verdana" w:cs="Verdana"/>
          <w:spacing w:val="-11"/>
          <w:lang w:val="es-ES"/>
        </w:rPr>
        <w:t xml:space="preserve"> </w:t>
      </w:r>
      <w:r w:rsidRPr="00515C0B">
        <w:rPr>
          <w:rFonts w:ascii="Verdana" w:eastAsia="Verdana" w:hAnsi="Verdana" w:cs="Verdana"/>
          <w:lang w:val="es-ES"/>
        </w:rPr>
        <w:t>1474</w:t>
      </w:r>
      <w:r w:rsidRPr="00515C0B">
        <w:rPr>
          <w:rFonts w:ascii="Verdana" w:eastAsia="Verdana" w:hAnsi="Verdana" w:cs="Verdana"/>
          <w:spacing w:val="-11"/>
          <w:lang w:val="es-ES"/>
        </w:rPr>
        <w:t xml:space="preserve"> </w:t>
      </w:r>
      <w:r w:rsidRPr="00515C0B">
        <w:rPr>
          <w:rFonts w:ascii="Verdana" w:eastAsia="Verdana" w:hAnsi="Verdana" w:cs="Verdana"/>
          <w:lang w:val="es-ES"/>
        </w:rPr>
        <w:t>de</w:t>
      </w:r>
      <w:r w:rsidRPr="00515C0B">
        <w:rPr>
          <w:rFonts w:ascii="Verdana" w:eastAsia="Verdana" w:hAnsi="Verdana" w:cs="Verdana"/>
          <w:spacing w:val="-12"/>
          <w:lang w:val="es-ES"/>
        </w:rPr>
        <w:t xml:space="preserve"> </w:t>
      </w:r>
      <w:r w:rsidRPr="00515C0B">
        <w:rPr>
          <w:rFonts w:ascii="Verdana" w:eastAsia="Verdana" w:hAnsi="Verdana" w:cs="Verdana"/>
          <w:lang w:val="es-ES"/>
        </w:rPr>
        <w:t>2011,</w:t>
      </w:r>
      <w:r w:rsidRPr="00515C0B">
        <w:rPr>
          <w:rFonts w:ascii="Verdana" w:eastAsia="Verdana" w:hAnsi="Verdana" w:cs="Verdana"/>
          <w:spacing w:val="-11"/>
          <w:lang w:val="es-ES"/>
        </w:rPr>
        <w:t xml:space="preserve"> </w:t>
      </w:r>
      <w:r w:rsidRPr="00515C0B">
        <w:rPr>
          <w:rFonts w:ascii="Verdana" w:eastAsia="Verdana" w:hAnsi="Verdana" w:cs="Verdana"/>
          <w:lang w:val="es-ES"/>
        </w:rPr>
        <w:t>esclareció</w:t>
      </w:r>
      <w:r w:rsidRPr="00515C0B">
        <w:rPr>
          <w:rFonts w:ascii="Verdana" w:eastAsia="Verdana" w:hAnsi="Verdana" w:cs="Verdana"/>
          <w:spacing w:val="-10"/>
          <w:lang w:val="es-ES"/>
        </w:rPr>
        <w:t xml:space="preserve"> </w:t>
      </w:r>
      <w:r w:rsidRPr="00515C0B">
        <w:rPr>
          <w:rFonts w:ascii="Verdana" w:eastAsia="Verdana" w:hAnsi="Verdana" w:cs="Verdana"/>
          <w:lang w:val="es-ES"/>
        </w:rPr>
        <w:t>las</w:t>
      </w:r>
      <w:r w:rsidRPr="00515C0B">
        <w:rPr>
          <w:rFonts w:ascii="Verdana" w:eastAsia="Verdana" w:hAnsi="Verdana" w:cs="Verdana"/>
          <w:spacing w:val="-11"/>
          <w:lang w:val="es-ES"/>
        </w:rPr>
        <w:t xml:space="preserve"> </w:t>
      </w:r>
      <w:r w:rsidRPr="00515C0B">
        <w:rPr>
          <w:rFonts w:ascii="Verdana" w:eastAsia="Verdana" w:hAnsi="Verdana" w:cs="Verdana"/>
          <w:lang w:val="es-ES"/>
        </w:rPr>
        <w:t xml:space="preserve">dudas que producía el confuso artículo 93 de la Ley 489 de 1998 a propósito del régimen contractual de estas entidades. Por lo tanto, las </w:t>
      </w:r>
      <w:r>
        <w:rPr>
          <w:rFonts w:ascii="Verdana" w:eastAsia="Verdana" w:hAnsi="Verdana" w:cs="Verdana"/>
          <w:lang w:val="es-ES"/>
        </w:rPr>
        <w:t>E</w:t>
      </w:r>
      <w:r w:rsidRPr="00515C0B">
        <w:rPr>
          <w:rFonts w:ascii="Verdana" w:eastAsia="Verdana" w:hAnsi="Verdana" w:cs="Verdana"/>
          <w:lang w:val="es-ES"/>
        </w:rPr>
        <w:t xml:space="preserve">mpresas </w:t>
      </w:r>
      <w:r w:rsidRPr="00515C0B">
        <w:rPr>
          <w:rFonts w:ascii="Verdana" w:eastAsia="Verdana" w:hAnsi="Verdana" w:cs="Verdana"/>
          <w:lang w:val="es-ES"/>
        </w:rPr>
        <w:lastRenderedPageBreak/>
        <w:t>Industriales y Comerciales del Estado, las Sociedades de Economía Mixta, sus filiales y las Sociedades entre Entidades Públicas en las que el Estado tenga participación superior al cincuenta por ciento (50%), están sometidas, por regla general, al Estatuto</w:t>
      </w:r>
      <w:r w:rsidRPr="00515C0B">
        <w:rPr>
          <w:rFonts w:ascii="Verdana" w:eastAsia="Verdana" w:hAnsi="Verdana" w:cs="Verdana"/>
          <w:spacing w:val="-8"/>
          <w:lang w:val="es-ES"/>
        </w:rPr>
        <w:t xml:space="preserve"> </w:t>
      </w:r>
      <w:r w:rsidRPr="00515C0B">
        <w:rPr>
          <w:rFonts w:ascii="Verdana" w:eastAsia="Verdana" w:hAnsi="Verdana" w:cs="Verdana"/>
          <w:lang w:val="es-ES"/>
        </w:rPr>
        <w:t>General</w:t>
      </w:r>
      <w:r w:rsidRPr="00515C0B">
        <w:rPr>
          <w:rFonts w:ascii="Verdana" w:eastAsia="Verdana" w:hAnsi="Verdana" w:cs="Verdana"/>
          <w:spacing w:val="-9"/>
          <w:lang w:val="es-ES"/>
        </w:rPr>
        <w:t xml:space="preserve"> </w:t>
      </w:r>
      <w:r w:rsidRPr="00515C0B">
        <w:rPr>
          <w:rFonts w:ascii="Verdana" w:eastAsia="Verdana" w:hAnsi="Verdana" w:cs="Verdana"/>
          <w:lang w:val="es-ES"/>
        </w:rPr>
        <w:t>de</w:t>
      </w:r>
      <w:r w:rsidRPr="00515C0B">
        <w:rPr>
          <w:rFonts w:ascii="Verdana" w:eastAsia="Verdana" w:hAnsi="Verdana" w:cs="Verdana"/>
          <w:spacing w:val="-10"/>
          <w:lang w:val="es-ES"/>
        </w:rPr>
        <w:t xml:space="preserve"> </w:t>
      </w:r>
      <w:r w:rsidRPr="00515C0B">
        <w:rPr>
          <w:rFonts w:ascii="Verdana" w:eastAsia="Verdana" w:hAnsi="Verdana" w:cs="Verdana"/>
          <w:lang w:val="es-ES"/>
        </w:rPr>
        <w:t>Contratación</w:t>
      </w:r>
      <w:r w:rsidRPr="00515C0B">
        <w:rPr>
          <w:rFonts w:ascii="Verdana" w:eastAsia="Verdana" w:hAnsi="Verdana" w:cs="Verdana"/>
          <w:spacing w:val="-9"/>
          <w:lang w:val="es-ES"/>
        </w:rPr>
        <w:t xml:space="preserve"> </w:t>
      </w:r>
      <w:r w:rsidRPr="00515C0B">
        <w:rPr>
          <w:rFonts w:ascii="Verdana" w:eastAsia="Verdana" w:hAnsi="Verdana" w:cs="Verdana"/>
          <w:lang w:val="es-ES"/>
        </w:rPr>
        <w:t>de</w:t>
      </w:r>
      <w:r w:rsidRPr="00515C0B">
        <w:rPr>
          <w:rFonts w:ascii="Verdana" w:eastAsia="Verdana" w:hAnsi="Verdana" w:cs="Verdana"/>
          <w:spacing w:val="-10"/>
          <w:lang w:val="es-ES"/>
        </w:rPr>
        <w:t xml:space="preserve"> </w:t>
      </w:r>
      <w:r w:rsidRPr="00515C0B">
        <w:rPr>
          <w:rFonts w:ascii="Verdana" w:eastAsia="Verdana" w:hAnsi="Verdana" w:cs="Verdana"/>
          <w:lang w:val="es-ES"/>
        </w:rPr>
        <w:t>la</w:t>
      </w:r>
      <w:r w:rsidRPr="00515C0B">
        <w:rPr>
          <w:rFonts w:ascii="Verdana" w:eastAsia="Verdana" w:hAnsi="Verdana" w:cs="Verdana"/>
          <w:spacing w:val="-11"/>
          <w:lang w:val="es-ES"/>
        </w:rPr>
        <w:t xml:space="preserve"> </w:t>
      </w:r>
      <w:r w:rsidRPr="00515C0B">
        <w:rPr>
          <w:rFonts w:ascii="Verdana" w:eastAsia="Verdana" w:hAnsi="Verdana" w:cs="Verdana"/>
          <w:lang w:val="es-ES"/>
        </w:rPr>
        <w:t>Administración</w:t>
      </w:r>
      <w:r w:rsidRPr="00515C0B">
        <w:rPr>
          <w:rFonts w:ascii="Verdana" w:eastAsia="Verdana" w:hAnsi="Verdana" w:cs="Verdana"/>
          <w:spacing w:val="-9"/>
          <w:lang w:val="es-ES"/>
        </w:rPr>
        <w:t xml:space="preserve"> </w:t>
      </w:r>
      <w:r w:rsidRPr="00515C0B">
        <w:rPr>
          <w:rFonts w:ascii="Verdana" w:eastAsia="Verdana" w:hAnsi="Verdana" w:cs="Verdana"/>
          <w:lang w:val="es-ES"/>
        </w:rPr>
        <w:t>Pública,</w:t>
      </w:r>
      <w:r w:rsidRPr="00515C0B">
        <w:rPr>
          <w:rFonts w:ascii="Verdana" w:eastAsia="Verdana" w:hAnsi="Verdana" w:cs="Verdana"/>
          <w:spacing w:val="-9"/>
          <w:lang w:val="es-ES"/>
        </w:rPr>
        <w:t xml:space="preserve"> </w:t>
      </w:r>
      <w:r w:rsidRPr="00515C0B">
        <w:rPr>
          <w:rFonts w:ascii="Verdana" w:eastAsia="Verdana" w:hAnsi="Verdana" w:cs="Verdana"/>
          <w:lang w:val="es-ES"/>
        </w:rPr>
        <w:t>excepto</w:t>
      </w:r>
      <w:r w:rsidRPr="00515C0B">
        <w:rPr>
          <w:rFonts w:ascii="Verdana" w:eastAsia="Verdana" w:hAnsi="Verdana" w:cs="Verdana"/>
          <w:spacing w:val="-8"/>
          <w:lang w:val="es-ES"/>
        </w:rPr>
        <w:t xml:space="preserve"> </w:t>
      </w:r>
      <w:r w:rsidRPr="00515C0B">
        <w:rPr>
          <w:rFonts w:ascii="Verdana" w:eastAsia="Verdana" w:hAnsi="Verdana" w:cs="Verdana"/>
          <w:lang w:val="es-ES"/>
        </w:rPr>
        <w:t>aquellas E</w:t>
      </w:r>
      <w:r>
        <w:rPr>
          <w:rFonts w:ascii="Verdana" w:eastAsia="Verdana" w:hAnsi="Verdana" w:cs="Verdana"/>
          <w:lang w:val="es-ES"/>
        </w:rPr>
        <w:t xml:space="preserve">mpresas </w:t>
      </w:r>
      <w:r w:rsidRPr="00515C0B">
        <w:rPr>
          <w:rFonts w:ascii="Verdana" w:eastAsia="Verdana" w:hAnsi="Verdana" w:cs="Verdana"/>
          <w:lang w:val="es-ES"/>
        </w:rPr>
        <w:t>I</w:t>
      </w:r>
      <w:r>
        <w:rPr>
          <w:rFonts w:ascii="Verdana" w:eastAsia="Verdana" w:hAnsi="Verdana" w:cs="Verdana"/>
          <w:lang w:val="es-ES"/>
        </w:rPr>
        <w:t xml:space="preserve">ndustriales y </w:t>
      </w:r>
      <w:r w:rsidRPr="00515C0B">
        <w:rPr>
          <w:rFonts w:ascii="Verdana" w:eastAsia="Verdana" w:hAnsi="Verdana" w:cs="Verdana"/>
          <w:lang w:val="es-ES"/>
        </w:rPr>
        <w:t>C</w:t>
      </w:r>
      <w:r>
        <w:rPr>
          <w:rFonts w:ascii="Verdana" w:eastAsia="Verdana" w:hAnsi="Verdana" w:cs="Verdana"/>
          <w:lang w:val="es-ES"/>
        </w:rPr>
        <w:t xml:space="preserve">omerciales del </w:t>
      </w:r>
      <w:r w:rsidRPr="00515C0B">
        <w:rPr>
          <w:rFonts w:ascii="Verdana" w:eastAsia="Verdana" w:hAnsi="Verdana" w:cs="Verdana"/>
          <w:lang w:val="es-ES"/>
        </w:rPr>
        <w:t>E</w:t>
      </w:r>
      <w:r>
        <w:rPr>
          <w:rFonts w:ascii="Verdana" w:eastAsia="Verdana" w:hAnsi="Verdana" w:cs="Verdana"/>
          <w:lang w:val="es-ES"/>
        </w:rPr>
        <w:t>stado</w:t>
      </w:r>
      <w:r w:rsidRPr="00515C0B">
        <w:rPr>
          <w:rFonts w:ascii="Verdana" w:eastAsia="Verdana" w:hAnsi="Verdana" w:cs="Verdana"/>
          <w:lang w:val="es-ES"/>
        </w:rPr>
        <w:t xml:space="preserve"> que: i) desarrollen actividades comerciales en competencia con el sector privado y/o público, nacional o internacional o </w:t>
      </w:r>
      <w:proofErr w:type="spellStart"/>
      <w:r w:rsidRPr="00515C0B">
        <w:rPr>
          <w:rFonts w:ascii="Verdana" w:eastAsia="Verdana" w:hAnsi="Verdana" w:cs="Verdana"/>
          <w:lang w:val="es-ES"/>
        </w:rPr>
        <w:t>ii</w:t>
      </w:r>
      <w:proofErr w:type="spellEnd"/>
      <w:r w:rsidRPr="00515C0B">
        <w:rPr>
          <w:rFonts w:ascii="Verdana" w:eastAsia="Verdana" w:hAnsi="Verdana" w:cs="Verdana"/>
          <w:lang w:val="es-ES"/>
        </w:rPr>
        <w:t>) desarrollen actividades en mercados regulados, eventos en los cuales</w:t>
      </w:r>
      <w:r w:rsidRPr="00515C0B">
        <w:rPr>
          <w:rFonts w:ascii="Verdana" w:eastAsia="Verdana" w:hAnsi="Verdana" w:cs="Verdana"/>
          <w:spacing w:val="-19"/>
          <w:lang w:val="es-ES"/>
        </w:rPr>
        <w:t xml:space="preserve"> </w:t>
      </w:r>
      <w:r w:rsidRPr="00515C0B">
        <w:rPr>
          <w:rFonts w:ascii="Verdana" w:eastAsia="Verdana" w:hAnsi="Verdana" w:cs="Verdana"/>
          <w:lang w:val="es-ES"/>
        </w:rPr>
        <w:t>ellas</w:t>
      </w:r>
      <w:r w:rsidRPr="00515C0B">
        <w:rPr>
          <w:rFonts w:ascii="Verdana" w:eastAsia="Verdana" w:hAnsi="Verdana" w:cs="Verdana"/>
          <w:spacing w:val="-19"/>
          <w:lang w:val="es-ES"/>
        </w:rPr>
        <w:t xml:space="preserve"> </w:t>
      </w:r>
      <w:r w:rsidRPr="00515C0B">
        <w:rPr>
          <w:rFonts w:ascii="Verdana" w:eastAsia="Verdana" w:hAnsi="Verdana" w:cs="Verdana"/>
          <w:lang w:val="es-ES"/>
        </w:rPr>
        <w:t>se</w:t>
      </w:r>
      <w:r w:rsidRPr="00515C0B">
        <w:rPr>
          <w:rFonts w:ascii="Verdana" w:eastAsia="Verdana" w:hAnsi="Verdana" w:cs="Verdana"/>
          <w:spacing w:val="-20"/>
          <w:lang w:val="es-ES"/>
        </w:rPr>
        <w:t xml:space="preserve"> </w:t>
      </w:r>
      <w:r w:rsidRPr="00515C0B">
        <w:rPr>
          <w:rFonts w:ascii="Verdana" w:eastAsia="Verdana" w:hAnsi="Verdana" w:cs="Verdana"/>
          <w:lang w:val="es-ES"/>
        </w:rPr>
        <w:t>rigen</w:t>
      </w:r>
      <w:r w:rsidRPr="00515C0B">
        <w:rPr>
          <w:rFonts w:ascii="Verdana" w:eastAsia="Verdana" w:hAnsi="Verdana" w:cs="Verdana"/>
          <w:spacing w:val="-14"/>
          <w:lang w:val="es-ES"/>
        </w:rPr>
        <w:t xml:space="preserve"> </w:t>
      </w:r>
      <w:r w:rsidRPr="00515C0B">
        <w:rPr>
          <w:rFonts w:ascii="Verdana" w:eastAsia="Verdana" w:hAnsi="Verdana" w:cs="Verdana"/>
          <w:lang w:val="es-ES"/>
        </w:rPr>
        <w:t>por</w:t>
      </w:r>
      <w:r w:rsidRPr="00515C0B">
        <w:rPr>
          <w:rFonts w:ascii="Verdana" w:eastAsia="Verdana" w:hAnsi="Verdana" w:cs="Verdana"/>
          <w:spacing w:val="-18"/>
          <w:lang w:val="es-ES"/>
        </w:rPr>
        <w:t xml:space="preserve"> </w:t>
      </w:r>
      <w:r w:rsidRPr="00515C0B">
        <w:rPr>
          <w:rFonts w:ascii="Verdana" w:eastAsia="Verdana" w:hAnsi="Verdana" w:cs="Verdana"/>
          <w:lang w:val="es-ES"/>
        </w:rPr>
        <w:t>las</w:t>
      </w:r>
      <w:r w:rsidRPr="00515C0B">
        <w:rPr>
          <w:rFonts w:ascii="Verdana" w:eastAsia="Verdana" w:hAnsi="Verdana" w:cs="Verdana"/>
          <w:spacing w:val="-19"/>
          <w:lang w:val="es-ES"/>
        </w:rPr>
        <w:t xml:space="preserve"> </w:t>
      </w:r>
      <w:r w:rsidRPr="00515C0B">
        <w:rPr>
          <w:rFonts w:ascii="Verdana" w:eastAsia="Verdana" w:hAnsi="Verdana" w:cs="Verdana"/>
          <w:lang w:val="es-ES"/>
        </w:rPr>
        <w:t>disposiciones</w:t>
      </w:r>
      <w:r w:rsidRPr="00515C0B">
        <w:rPr>
          <w:rFonts w:ascii="Verdana" w:eastAsia="Verdana" w:hAnsi="Verdana" w:cs="Verdana"/>
          <w:spacing w:val="-19"/>
          <w:lang w:val="es-ES"/>
        </w:rPr>
        <w:t xml:space="preserve"> </w:t>
      </w:r>
      <w:r w:rsidRPr="00515C0B">
        <w:rPr>
          <w:rFonts w:ascii="Verdana" w:eastAsia="Verdana" w:hAnsi="Verdana" w:cs="Verdana"/>
          <w:lang w:val="es-ES"/>
        </w:rPr>
        <w:t>que</w:t>
      </w:r>
      <w:r w:rsidRPr="00515C0B">
        <w:rPr>
          <w:rFonts w:ascii="Verdana" w:eastAsia="Verdana" w:hAnsi="Verdana" w:cs="Verdana"/>
          <w:spacing w:val="-15"/>
          <w:lang w:val="es-ES"/>
        </w:rPr>
        <w:t xml:space="preserve"> </w:t>
      </w:r>
      <w:r w:rsidRPr="00515C0B">
        <w:rPr>
          <w:rFonts w:ascii="Verdana" w:eastAsia="Verdana" w:hAnsi="Verdana" w:cs="Verdana"/>
          <w:lang w:val="es-ES"/>
        </w:rPr>
        <w:t>regulen</w:t>
      </w:r>
      <w:r w:rsidRPr="00515C0B">
        <w:rPr>
          <w:rFonts w:ascii="Verdana" w:eastAsia="Verdana" w:hAnsi="Verdana" w:cs="Verdana"/>
          <w:spacing w:val="-19"/>
          <w:lang w:val="es-ES"/>
        </w:rPr>
        <w:t xml:space="preserve"> </w:t>
      </w:r>
      <w:r w:rsidRPr="00515C0B">
        <w:rPr>
          <w:rFonts w:ascii="Verdana" w:eastAsia="Verdana" w:hAnsi="Verdana" w:cs="Verdana"/>
          <w:lang w:val="es-ES"/>
        </w:rPr>
        <w:t>su</w:t>
      </w:r>
      <w:r w:rsidRPr="00515C0B">
        <w:rPr>
          <w:rFonts w:ascii="Verdana" w:eastAsia="Verdana" w:hAnsi="Verdana" w:cs="Verdana"/>
          <w:spacing w:val="-18"/>
          <w:lang w:val="es-ES"/>
        </w:rPr>
        <w:t xml:space="preserve"> </w:t>
      </w:r>
      <w:r w:rsidRPr="00515C0B">
        <w:rPr>
          <w:rFonts w:ascii="Verdana" w:eastAsia="Verdana" w:hAnsi="Verdana" w:cs="Verdana"/>
          <w:lang w:val="es-ES"/>
        </w:rPr>
        <w:t>actividad.</w:t>
      </w:r>
    </w:p>
    <w:p w14:paraId="0FB45ACF" w14:textId="77777777" w:rsidR="00F60167" w:rsidRPr="00515C0B" w:rsidRDefault="00F60167" w:rsidP="00F60167">
      <w:pPr>
        <w:widowControl w:val="0"/>
        <w:autoSpaceDE w:val="0"/>
        <w:autoSpaceDN w:val="0"/>
        <w:spacing w:after="120" w:line="276" w:lineRule="auto"/>
        <w:ind w:right="51" w:firstLine="709"/>
        <w:jc w:val="both"/>
        <w:rPr>
          <w:rFonts w:ascii="Verdana" w:eastAsia="Verdana" w:hAnsi="Verdana" w:cs="Verdana"/>
          <w:lang w:val="es-ES"/>
        </w:rPr>
      </w:pPr>
      <w:r w:rsidRPr="00515C0B">
        <w:rPr>
          <w:rFonts w:ascii="Verdana" w:eastAsia="Verdana" w:hAnsi="Verdana" w:cs="Verdana"/>
          <w:lang w:val="es-ES"/>
        </w:rPr>
        <w:t>De conformidad con las explicaciones anteriores, en torno a los fundamentos jurídicos que regulan el régimen contractual aplicable a las Empresas Industriales y Comerciales del Estado, a cada Entidad Estatal le corresponde</w:t>
      </w:r>
      <w:r w:rsidRPr="00515C0B">
        <w:rPr>
          <w:rFonts w:ascii="Verdana" w:eastAsia="Verdana" w:hAnsi="Verdana" w:cs="Verdana"/>
          <w:spacing w:val="-12"/>
          <w:lang w:val="es-ES"/>
        </w:rPr>
        <w:t xml:space="preserve"> </w:t>
      </w:r>
      <w:r w:rsidRPr="00515C0B">
        <w:rPr>
          <w:rFonts w:ascii="Verdana" w:eastAsia="Verdana" w:hAnsi="Verdana" w:cs="Verdana"/>
          <w:lang w:val="es-ES"/>
        </w:rPr>
        <w:t>analizar</w:t>
      </w:r>
      <w:r w:rsidRPr="00515C0B">
        <w:rPr>
          <w:rFonts w:ascii="Verdana" w:eastAsia="Verdana" w:hAnsi="Verdana" w:cs="Verdana"/>
          <w:spacing w:val="-10"/>
          <w:lang w:val="es-ES"/>
        </w:rPr>
        <w:t xml:space="preserve"> </w:t>
      </w:r>
      <w:r w:rsidRPr="00515C0B">
        <w:rPr>
          <w:rFonts w:ascii="Verdana" w:eastAsia="Verdana" w:hAnsi="Verdana" w:cs="Verdana"/>
          <w:lang w:val="es-ES"/>
        </w:rPr>
        <w:t>si</w:t>
      </w:r>
      <w:r w:rsidRPr="00515C0B">
        <w:rPr>
          <w:rFonts w:ascii="Verdana" w:eastAsia="Verdana" w:hAnsi="Verdana" w:cs="Verdana"/>
          <w:spacing w:val="-11"/>
          <w:lang w:val="es-ES"/>
        </w:rPr>
        <w:t xml:space="preserve"> </w:t>
      </w:r>
      <w:r w:rsidRPr="00515C0B">
        <w:rPr>
          <w:rFonts w:ascii="Verdana" w:eastAsia="Verdana" w:hAnsi="Verdana" w:cs="Verdana"/>
          <w:lang w:val="es-ES"/>
        </w:rPr>
        <w:t>se</w:t>
      </w:r>
      <w:r w:rsidRPr="00515C0B">
        <w:rPr>
          <w:rFonts w:ascii="Verdana" w:eastAsia="Verdana" w:hAnsi="Verdana" w:cs="Verdana"/>
          <w:spacing w:val="-12"/>
          <w:lang w:val="es-ES"/>
        </w:rPr>
        <w:t xml:space="preserve"> </w:t>
      </w:r>
      <w:r w:rsidRPr="00515C0B">
        <w:rPr>
          <w:rFonts w:ascii="Verdana" w:eastAsia="Verdana" w:hAnsi="Verdana" w:cs="Verdana"/>
          <w:lang w:val="es-ES"/>
        </w:rPr>
        <w:t>encuentra</w:t>
      </w:r>
      <w:r w:rsidRPr="00515C0B">
        <w:rPr>
          <w:rFonts w:ascii="Verdana" w:eastAsia="Verdana" w:hAnsi="Verdana" w:cs="Verdana"/>
          <w:spacing w:val="-13"/>
          <w:lang w:val="es-ES"/>
        </w:rPr>
        <w:t xml:space="preserve"> </w:t>
      </w:r>
      <w:r w:rsidRPr="00515C0B">
        <w:rPr>
          <w:rFonts w:ascii="Verdana" w:eastAsia="Verdana" w:hAnsi="Verdana" w:cs="Verdana"/>
          <w:lang w:val="es-ES"/>
        </w:rPr>
        <w:t>en</w:t>
      </w:r>
      <w:r w:rsidRPr="00515C0B">
        <w:rPr>
          <w:rFonts w:ascii="Verdana" w:eastAsia="Verdana" w:hAnsi="Verdana" w:cs="Verdana"/>
          <w:spacing w:val="-11"/>
          <w:lang w:val="es-ES"/>
        </w:rPr>
        <w:t xml:space="preserve"> </w:t>
      </w:r>
      <w:r w:rsidRPr="00515C0B">
        <w:rPr>
          <w:rFonts w:ascii="Verdana" w:eastAsia="Verdana" w:hAnsi="Verdana" w:cs="Verdana"/>
          <w:lang w:val="es-ES"/>
        </w:rPr>
        <w:t>alguno</w:t>
      </w:r>
      <w:r w:rsidRPr="00515C0B">
        <w:rPr>
          <w:rFonts w:ascii="Verdana" w:eastAsia="Verdana" w:hAnsi="Verdana" w:cs="Verdana"/>
          <w:spacing w:val="-10"/>
          <w:lang w:val="es-ES"/>
        </w:rPr>
        <w:t xml:space="preserve"> </w:t>
      </w:r>
      <w:r w:rsidRPr="00515C0B">
        <w:rPr>
          <w:rFonts w:ascii="Verdana" w:eastAsia="Verdana" w:hAnsi="Verdana" w:cs="Verdana"/>
          <w:lang w:val="es-ES"/>
        </w:rPr>
        <w:t>de</w:t>
      </w:r>
      <w:r w:rsidRPr="00515C0B">
        <w:rPr>
          <w:rFonts w:ascii="Verdana" w:eastAsia="Verdana" w:hAnsi="Verdana" w:cs="Verdana"/>
          <w:spacing w:val="-12"/>
          <w:lang w:val="es-ES"/>
        </w:rPr>
        <w:t xml:space="preserve"> </w:t>
      </w:r>
      <w:r w:rsidRPr="00515C0B">
        <w:rPr>
          <w:rFonts w:ascii="Verdana" w:eastAsia="Verdana" w:hAnsi="Verdana" w:cs="Verdana"/>
          <w:lang w:val="es-ES"/>
        </w:rPr>
        <w:t>los</w:t>
      </w:r>
      <w:r w:rsidRPr="00515C0B">
        <w:rPr>
          <w:rFonts w:ascii="Verdana" w:eastAsia="Verdana" w:hAnsi="Verdana" w:cs="Verdana"/>
          <w:spacing w:val="-11"/>
          <w:lang w:val="es-ES"/>
        </w:rPr>
        <w:t xml:space="preserve"> </w:t>
      </w:r>
      <w:r w:rsidRPr="00515C0B">
        <w:rPr>
          <w:rFonts w:ascii="Verdana" w:eastAsia="Verdana" w:hAnsi="Verdana" w:cs="Verdana"/>
          <w:lang w:val="es-ES"/>
        </w:rPr>
        <w:t>supuestos</w:t>
      </w:r>
      <w:r w:rsidRPr="00515C0B">
        <w:rPr>
          <w:rFonts w:ascii="Verdana" w:eastAsia="Verdana" w:hAnsi="Verdana" w:cs="Verdana"/>
          <w:spacing w:val="-11"/>
          <w:lang w:val="es-ES"/>
        </w:rPr>
        <w:t xml:space="preserve"> </w:t>
      </w:r>
      <w:r w:rsidRPr="00515C0B">
        <w:rPr>
          <w:rFonts w:ascii="Verdana" w:eastAsia="Verdana" w:hAnsi="Verdana" w:cs="Verdana"/>
          <w:lang w:val="es-ES"/>
        </w:rPr>
        <w:t>establecidos</w:t>
      </w:r>
      <w:r w:rsidRPr="00515C0B">
        <w:rPr>
          <w:rFonts w:ascii="Verdana" w:eastAsia="Verdana" w:hAnsi="Verdana" w:cs="Verdana"/>
          <w:spacing w:val="-11"/>
          <w:lang w:val="es-ES"/>
        </w:rPr>
        <w:t xml:space="preserve"> </w:t>
      </w:r>
      <w:r w:rsidRPr="00515C0B">
        <w:rPr>
          <w:rFonts w:ascii="Verdana" w:eastAsia="Verdana" w:hAnsi="Verdana" w:cs="Verdana"/>
          <w:lang w:val="es-ES"/>
        </w:rPr>
        <w:t>en el artículo 14</w:t>
      </w:r>
      <w:r w:rsidRPr="00515C0B">
        <w:rPr>
          <w:rFonts w:ascii="Verdana" w:eastAsia="Verdana" w:hAnsi="Verdana" w:cs="Verdana"/>
          <w:spacing w:val="-1"/>
          <w:lang w:val="es-ES"/>
        </w:rPr>
        <w:t xml:space="preserve"> </w:t>
      </w:r>
      <w:r w:rsidRPr="00515C0B">
        <w:rPr>
          <w:rFonts w:ascii="Verdana" w:eastAsia="Verdana" w:hAnsi="Verdana" w:cs="Verdana"/>
          <w:lang w:val="es-ES"/>
        </w:rPr>
        <w:t>de la Ley</w:t>
      </w:r>
      <w:r w:rsidRPr="00515C0B">
        <w:rPr>
          <w:rFonts w:ascii="Verdana" w:eastAsia="Verdana" w:hAnsi="Verdana" w:cs="Verdana"/>
          <w:spacing w:val="-2"/>
          <w:lang w:val="es-ES"/>
        </w:rPr>
        <w:t xml:space="preserve"> </w:t>
      </w:r>
      <w:r w:rsidRPr="00515C0B">
        <w:rPr>
          <w:rFonts w:ascii="Verdana" w:eastAsia="Verdana" w:hAnsi="Verdana" w:cs="Verdana"/>
          <w:lang w:val="es-ES"/>
        </w:rPr>
        <w:t>1150 de 2007, para definir si</w:t>
      </w:r>
      <w:r w:rsidRPr="00515C0B">
        <w:rPr>
          <w:rFonts w:ascii="Verdana" w:eastAsia="Verdana" w:hAnsi="Verdana" w:cs="Verdana"/>
          <w:spacing w:val="-1"/>
          <w:lang w:val="es-ES"/>
        </w:rPr>
        <w:t xml:space="preserve"> </w:t>
      </w:r>
      <w:r w:rsidRPr="00515C0B">
        <w:rPr>
          <w:rFonts w:ascii="Verdana" w:eastAsia="Verdana" w:hAnsi="Verdana" w:cs="Verdana"/>
          <w:lang w:val="es-ES"/>
        </w:rPr>
        <w:t>su</w:t>
      </w:r>
      <w:r w:rsidRPr="00515C0B">
        <w:rPr>
          <w:rFonts w:ascii="Verdana" w:eastAsia="Verdana" w:hAnsi="Verdana" w:cs="Verdana"/>
          <w:spacing w:val="-1"/>
          <w:lang w:val="es-ES"/>
        </w:rPr>
        <w:t xml:space="preserve"> </w:t>
      </w:r>
      <w:r w:rsidRPr="00515C0B">
        <w:rPr>
          <w:rFonts w:ascii="Verdana" w:eastAsia="Verdana" w:hAnsi="Verdana" w:cs="Verdana"/>
          <w:lang w:val="es-ES"/>
        </w:rPr>
        <w:t>régimen contractual es el Estatuto General de Contratación de la Administración Pública o si están exceptuadas</w:t>
      </w:r>
      <w:r w:rsidRPr="00515C0B">
        <w:rPr>
          <w:rFonts w:ascii="Verdana" w:eastAsia="Verdana" w:hAnsi="Verdana" w:cs="Verdana"/>
          <w:spacing w:val="-20"/>
          <w:lang w:val="es-ES"/>
        </w:rPr>
        <w:t xml:space="preserve"> </w:t>
      </w:r>
      <w:r w:rsidRPr="00515C0B">
        <w:rPr>
          <w:rFonts w:ascii="Verdana" w:eastAsia="Verdana" w:hAnsi="Verdana" w:cs="Verdana"/>
          <w:lang w:val="es-ES"/>
        </w:rPr>
        <w:t>de</w:t>
      </w:r>
      <w:r w:rsidRPr="00515C0B">
        <w:rPr>
          <w:rFonts w:ascii="Verdana" w:eastAsia="Verdana" w:hAnsi="Verdana" w:cs="Verdana"/>
          <w:spacing w:val="-17"/>
          <w:lang w:val="es-ES"/>
        </w:rPr>
        <w:t xml:space="preserve"> </w:t>
      </w:r>
      <w:r w:rsidRPr="00515C0B">
        <w:rPr>
          <w:rFonts w:ascii="Verdana" w:eastAsia="Verdana" w:hAnsi="Verdana" w:cs="Verdana"/>
          <w:lang w:val="es-ES"/>
        </w:rPr>
        <w:t>él y, por</w:t>
      </w:r>
      <w:r w:rsidRPr="00515C0B">
        <w:rPr>
          <w:rFonts w:ascii="Verdana" w:eastAsia="Verdana" w:hAnsi="Verdana" w:cs="Verdana"/>
          <w:spacing w:val="-3"/>
          <w:lang w:val="es-ES"/>
        </w:rPr>
        <w:t xml:space="preserve"> </w:t>
      </w:r>
      <w:r w:rsidRPr="00515C0B">
        <w:rPr>
          <w:rFonts w:ascii="Verdana" w:eastAsia="Verdana" w:hAnsi="Verdana" w:cs="Verdana"/>
          <w:lang w:val="es-ES"/>
        </w:rPr>
        <w:t>tanto, si</w:t>
      </w:r>
      <w:r w:rsidRPr="00515C0B">
        <w:rPr>
          <w:rFonts w:ascii="Verdana" w:eastAsia="Verdana" w:hAnsi="Verdana" w:cs="Verdana"/>
          <w:spacing w:val="-4"/>
          <w:lang w:val="es-ES"/>
        </w:rPr>
        <w:t xml:space="preserve"> </w:t>
      </w:r>
      <w:r w:rsidRPr="00515C0B">
        <w:rPr>
          <w:rFonts w:ascii="Verdana" w:eastAsia="Verdana" w:hAnsi="Verdana" w:cs="Verdana"/>
          <w:lang w:val="es-ES"/>
        </w:rPr>
        <w:t>se rigen por un</w:t>
      </w:r>
      <w:r w:rsidRPr="00515C0B">
        <w:rPr>
          <w:rFonts w:ascii="Verdana" w:eastAsia="Verdana" w:hAnsi="Verdana" w:cs="Verdana"/>
          <w:spacing w:val="-4"/>
          <w:lang w:val="es-ES"/>
        </w:rPr>
        <w:t xml:space="preserve"> </w:t>
      </w:r>
      <w:r w:rsidRPr="00515C0B">
        <w:rPr>
          <w:rFonts w:ascii="Verdana" w:eastAsia="Verdana" w:hAnsi="Verdana" w:cs="Verdana"/>
          <w:lang w:val="es-ES"/>
        </w:rPr>
        <w:t>régimen especial, como</w:t>
      </w:r>
      <w:r w:rsidRPr="00515C0B">
        <w:rPr>
          <w:rFonts w:ascii="Verdana" w:eastAsia="Verdana" w:hAnsi="Verdana" w:cs="Verdana"/>
          <w:spacing w:val="-3"/>
          <w:lang w:val="es-ES"/>
        </w:rPr>
        <w:t xml:space="preserve"> </w:t>
      </w:r>
      <w:r w:rsidRPr="00515C0B">
        <w:rPr>
          <w:rFonts w:ascii="Verdana" w:eastAsia="Verdana" w:hAnsi="Verdana" w:cs="Verdana"/>
          <w:lang w:val="es-ES"/>
        </w:rPr>
        <w:t>sería el derecho privado. En caso de que la E</w:t>
      </w:r>
      <w:r>
        <w:rPr>
          <w:rFonts w:ascii="Verdana" w:eastAsia="Verdana" w:hAnsi="Verdana" w:cs="Verdana"/>
          <w:lang w:val="es-ES"/>
        </w:rPr>
        <w:t xml:space="preserve">mpresa </w:t>
      </w:r>
      <w:r w:rsidRPr="00515C0B">
        <w:rPr>
          <w:rFonts w:ascii="Verdana" w:eastAsia="Verdana" w:hAnsi="Verdana" w:cs="Verdana"/>
          <w:lang w:val="es-ES"/>
        </w:rPr>
        <w:t>I</w:t>
      </w:r>
      <w:r>
        <w:rPr>
          <w:rFonts w:ascii="Verdana" w:eastAsia="Verdana" w:hAnsi="Verdana" w:cs="Verdana"/>
          <w:lang w:val="es-ES"/>
        </w:rPr>
        <w:t xml:space="preserve">ndustrial y </w:t>
      </w:r>
      <w:r w:rsidRPr="00515C0B">
        <w:rPr>
          <w:rFonts w:ascii="Verdana" w:eastAsia="Verdana" w:hAnsi="Verdana" w:cs="Verdana"/>
          <w:lang w:val="es-ES"/>
        </w:rPr>
        <w:t>C</w:t>
      </w:r>
      <w:r>
        <w:rPr>
          <w:rFonts w:ascii="Verdana" w:eastAsia="Verdana" w:hAnsi="Verdana" w:cs="Verdana"/>
          <w:lang w:val="es-ES"/>
        </w:rPr>
        <w:t xml:space="preserve">omercial del </w:t>
      </w:r>
      <w:r w:rsidRPr="00515C0B">
        <w:rPr>
          <w:rFonts w:ascii="Verdana" w:eastAsia="Verdana" w:hAnsi="Verdana" w:cs="Verdana"/>
          <w:lang w:val="es-ES"/>
        </w:rPr>
        <w:t>E</w:t>
      </w:r>
      <w:r>
        <w:rPr>
          <w:rFonts w:ascii="Verdana" w:eastAsia="Verdana" w:hAnsi="Verdana" w:cs="Verdana"/>
          <w:lang w:val="es-ES"/>
        </w:rPr>
        <w:t>stado</w:t>
      </w:r>
      <w:r w:rsidRPr="00515C0B">
        <w:rPr>
          <w:rFonts w:ascii="Verdana" w:eastAsia="Verdana" w:hAnsi="Verdana" w:cs="Verdana"/>
          <w:lang w:val="es-ES"/>
        </w:rPr>
        <w:t xml:space="preserve"> se rija por el E</w:t>
      </w:r>
      <w:r>
        <w:rPr>
          <w:rFonts w:ascii="Verdana" w:eastAsia="Verdana" w:hAnsi="Verdana" w:cs="Verdana"/>
          <w:lang w:val="es-ES"/>
        </w:rPr>
        <w:t xml:space="preserve">statuto </w:t>
      </w:r>
      <w:r w:rsidRPr="00515C0B">
        <w:rPr>
          <w:rFonts w:ascii="Verdana" w:eastAsia="Verdana" w:hAnsi="Verdana" w:cs="Verdana"/>
          <w:lang w:val="es-ES"/>
        </w:rPr>
        <w:t>G</w:t>
      </w:r>
      <w:r>
        <w:rPr>
          <w:rFonts w:ascii="Verdana" w:eastAsia="Verdana" w:hAnsi="Verdana" w:cs="Verdana"/>
          <w:lang w:val="es-ES"/>
        </w:rPr>
        <w:t xml:space="preserve">eneral de </w:t>
      </w:r>
      <w:r w:rsidRPr="00515C0B">
        <w:rPr>
          <w:rFonts w:ascii="Verdana" w:eastAsia="Verdana" w:hAnsi="Verdana" w:cs="Verdana"/>
          <w:lang w:val="es-ES"/>
        </w:rPr>
        <w:t>C</w:t>
      </w:r>
      <w:r>
        <w:rPr>
          <w:rFonts w:ascii="Verdana" w:eastAsia="Verdana" w:hAnsi="Verdana" w:cs="Verdana"/>
          <w:lang w:val="es-ES"/>
        </w:rPr>
        <w:t xml:space="preserve">ontratación de la </w:t>
      </w:r>
      <w:r w:rsidRPr="00515C0B">
        <w:rPr>
          <w:rFonts w:ascii="Verdana" w:eastAsia="Verdana" w:hAnsi="Verdana" w:cs="Verdana"/>
          <w:lang w:val="es-ES"/>
        </w:rPr>
        <w:t>A</w:t>
      </w:r>
      <w:r>
        <w:rPr>
          <w:rFonts w:ascii="Verdana" w:eastAsia="Verdana" w:hAnsi="Verdana" w:cs="Verdana"/>
          <w:lang w:val="es-ES"/>
        </w:rPr>
        <w:t xml:space="preserve">dministración </w:t>
      </w:r>
      <w:r w:rsidRPr="00515C0B">
        <w:rPr>
          <w:rFonts w:ascii="Verdana" w:eastAsia="Verdana" w:hAnsi="Verdana" w:cs="Verdana"/>
          <w:lang w:val="es-ES"/>
        </w:rPr>
        <w:t>P</w:t>
      </w:r>
      <w:r>
        <w:rPr>
          <w:rFonts w:ascii="Verdana" w:eastAsia="Verdana" w:hAnsi="Verdana" w:cs="Verdana"/>
          <w:lang w:val="es-ES"/>
        </w:rPr>
        <w:t>ública</w:t>
      </w:r>
      <w:r w:rsidRPr="00515C0B">
        <w:rPr>
          <w:rFonts w:ascii="Verdana" w:eastAsia="Verdana" w:hAnsi="Verdana" w:cs="Verdana"/>
          <w:lang w:val="es-ES"/>
        </w:rPr>
        <w:t xml:space="preserve"> le resultará aplicable </w:t>
      </w:r>
      <w:r w:rsidRPr="009C35FE">
        <w:rPr>
          <w:rFonts w:ascii="Verdana" w:eastAsia="Verdana" w:hAnsi="Verdana" w:cs="Verdana"/>
          <w:lang w:val="es-ES"/>
        </w:rPr>
        <w:t xml:space="preserve">la Ley 80 de 1993, la Ley 1150 de 2007 y </w:t>
      </w:r>
      <w:r w:rsidRPr="00515C0B">
        <w:rPr>
          <w:rFonts w:ascii="Verdana" w:eastAsia="Verdana" w:hAnsi="Verdana" w:cs="Verdana"/>
          <w:lang w:val="es-ES"/>
        </w:rPr>
        <w:t>el Decreto 1082 de 2015</w:t>
      </w:r>
      <w:r w:rsidRPr="009C35FE">
        <w:rPr>
          <w:rFonts w:ascii="Verdana" w:eastAsia="Verdana" w:hAnsi="Verdana" w:cs="Verdana"/>
          <w:lang w:val="es-ES"/>
        </w:rPr>
        <w:t>, entre otros aspectos, en lo concerniente a la regulación de las modalidades de selección.</w:t>
      </w:r>
      <w:r>
        <w:rPr>
          <w:rFonts w:ascii="Verdana" w:eastAsia="Verdana" w:hAnsi="Verdana" w:cs="Verdana"/>
          <w:lang w:val="es-ES"/>
        </w:rPr>
        <w:t xml:space="preserve"> N</w:t>
      </w:r>
      <w:r w:rsidRPr="00515C0B">
        <w:rPr>
          <w:rFonts w:ascii="Verdana" w:eastAsia="Verdana" w:hAnsi="Verdana" w:cs="Verdana"/>
          <w:lang w:val="es-ES"/>
        </w:rPr>
        <w:t>o obstante, en caso de que se rija por el derecho</w:t>
      </w:r>
      <w:r w:rsidRPr="00515C0B">
        <w:rPr>
          <w:rFonts w:ascii="Verdana" w:eastAsia="Verdana" w:hAnsi="Verdana" w:cs="Verdana"/>
          <w:spacing w:val="-20"/>
          <w:lang w:val="es-ES"/>
        </w:rPr>
        <w:t xml:space="preserve"> </w:t>
      </w:r>
      <w:r w:rsidRPr="00515C0B">
        <w:rPr>
          <w:rFonts w:ascii="Verdana" w:eastAsia="Verdana" w:hAnsi="Verdana" w:cs="Verdana"/>
          <w:lang w:val="es-ES"/>
        </w:rPr>
        <w:t>privado,</w:t>
      </w:r>
      <w:r w:rsidRPr="00515C0B">
        <w:rPr>
          <w:rFonts w:ascii="Verdana" w:eastAsia="Verdana" w:hAnsi="Verdana" w:cs="Verdana"/>
          <w:spacing w:val="-19"/>
          <w:lang w:val="es-ES"/>
        </w:rPr>
        <w:t xml:space="preserve"> </w:t>
      </w:r>
      <w:r w:rsidRPr="009C35FE">
        <w:rPr>
          <w:rFonts w:ascii="Verdana" w:eastAsia="Verdana" w:hAnsi="Verdana" w:cs="Verdana"/>
          <w:spacing w:val="-19"/>
          <w:lang w:val="es-ES"/>
        </w:rPr>
        <w:t xml:space="preserve">la Ley 80 de 1993, la Ley 1150 de 2007 y </w:t>
      </w:r>
      <w:r w:rsidRPr="00515C0B">
        <w:rPr>
          <w:rFonts w:ascii="Verdana" w:eastAsia="Verdana" w:hAnsi="Verdana" w:cs="Verdana"/>
          <w:lang w:val="es-ES"/>
        </w:rPr>
        <w:t>el</w:t>
      </w:r>
      <w:r w:rsidRPr="00515C0B">
        <w:rPr>
          <w:rFonts w:ascii="Verdana" w:eastAsia="Verdana" w:hAnsi="Verdana" w:cs="Verdana"/>
          <w:spacing w:val="-19"/>
          <w:lang w:val="es-ES"/>
        </w:rPr>
        <w:t xml:space="preserve"> </w:t>
      </w:r>
      <w:r w:rsidRPr="00515C0B">
        <w:rPr>
          <w:rFonts w:ascii="Verdana" w:eastAsia="Verdana" w:hAnsi="Verdana" w:cs="Verdana"/>
          <w:lang w:val="es-ES"/>
        </w:rPr>
        <w:t>Decreto</w:t>
      </w:r>
      <w:r w:rsidRPr="00515C0B">
        <w:rPr>
          <w:rFonts w:ascii="Verdana" w:eastAsia="Verdana" w:hAnsi="Verdana" w:cs="Verdana"/>
          <w:spacing w:val="-20"/>
          <w:lang w:val="es-ES"/>
        </w:rPr>
        <w:t xml:space="preserve"> </w:t>
      </w:r>
      <w:r w:rsidRPr="00515C0B">
        <w:rPr>
          <w:rFonts w:ascii="Verdana" w:eastAsia="Verdana" w:hAnsi="Verdana" w:cs="Verdana"/>
          <w:lang w:val="es-ES"/>
        </w:rPr>
        <w:t>1082</w:t>
      </w:r>
      <w:r w:rsidRPr="00515C0B">
        <w:rPr>
          <w:rFonts w:ascii="Verdana" w:eastAsia="Verdana" w:hAnsi="Verdana" w:cs="Verdana"/>
          <w:spacing w:val="-19"/>
          <w:lang w:val="es-ES"/>
        </w:rPr>
        <w:t xml:space="preserve"> </w:t>
      </w:r>
      <w:r w:rsidRPr="00515C0B">
        <w:rPr>
          <w:rFonts w:ascii="Verdana" w:eastAsia="Verdana" w:hAnsi="Verdana" w:cs="Verdana"/>
          <w:lang w:val="es-ES"/>
        </w:rPr>
        <w:t>de</w:t>
      </w:r>
      <w:r w:rsidRPr="00515C0B">
        <w:rPr>
          <w:rFonts w:ascii="Verdana" w:eastAsia="Verdana" w:hAnsi="Verdana" w:cs="Verdana"/>
          <w:spacing w:val="-20"/>
          <w:lang w:val="es-ES"/>
        </w:rPr>
        <w:t xml:space="preserve"> </w:t>
      </w:r>
      <w:r w:rsidRPr="00515C0B">
        <w:rPr>
          <w:rFonts w:ascii="Verdana" w:eastAsia="Verdana" w:hAnsi="Verdana" w:cs="Verdana"/>
          <w:lang w:val="es-ES"/>
        </w:rPr>
        <w:t>2015,</w:t>
      </w:r>
      <w:r w:rsidRPr="00515C0B">
        <w:rPr>
          <w:rFonts w:ascii="Verdana" w:eastAsia="Verdana" w:hAnsi="Verdana" w:cs="Verdana"/>
          <w:spacing w:val="-19"/>
          <w:lang w:val="es-ES"/>
        </w:rPr>
        <w:t xml:space="preserve"> </w:t>
      </w:r>
      <w:r w:rsidRPr="00515C0B">
        <w:rPr>
          <w:rFonts w:ascii="Verdana" w:eastAsia="Verdana" w:hAnsi="Verdana" w:cs="Verdana"/>
          <w:lang w:val="es-ES"/>
        </w:rPr>
        <w:t>en</w:t>
      </w:r>
      <w:r w:rsidRPr="00515C0B">
        <w:rPr>
          <w:rFonts w:ascii="Verdana" w:eastAsia="Verdana" w:hAnsi="Verdana" w:cs="Verdana"/>
          <w:spacing w:val="-19"/>
          <w:lang w:val="es-ES"/>
        </w:rPr>
        <w:t xml:space="preserve"> </w:t>
      </w:r>
      <w:r w:rsidRPr="00515C0B">
        <w:rPr>
          <w:rFonts w:ascii="Verdana" w:eastAsia="Verdana" w:hAnsi="Verdana" w:cs="Verdana"/>
          <w:lang w:val="es-ES"/>
        </w:rPr>
        <w:t>principio</w:t>
      </w:r>
      <w:r w:rsidRPr="00515C0B">
        <w:rPr>
          <w:rFonts w:ascii="Verdana" w:eastAsia="Verdana" w:hAnsi="Verdana" w:cs="Verdana"/>
          <w:spacing w:val="-20"/>
          <w:lang w:val="es-ES"/>
        </w:rPr>
        <w:t xml:space="preserve"> </w:t>
      </w:r>
      <w:r w:rsidRPr="00515C0B">
        <w:rPr>
          <w:rFonts w:ascii="Verdana" w:eastAsia="Verdana" w:hAnsi="Verdana" w:cs="Verdana"/>
          <w:lang w:val="es-ES"/>
        </w:rPr>
        <w:t>no</w:t>
      </w:r>
      <w:r w:rsidRPr="00515C0B">
        <w:rPr>
          <w:rFonts w:ascii="Verdana" w:eastAsia="Verdana" w:hAnsi="Verdana" w:cs="Verdana"/>
          <w:spacing w:val="-19"/>
          <w:lang w:val="es-ES"/>
        </w:rPr>
        <w:t xml:space="preserve"> </w:t>
      </w:r>
      <w:r w:rsidRPr="00515C0B">
        <w:rPr>
          <w:rFonts w:ascii="Verdana" w:eastAsia="Verdana" w:hAnsi="Verdana" w:cs="Verdana"/>
          <w:lang w:val="es-ES"/>
        </w:rPr>
        <w:t>les</w:t>
      </w:r>
      <w:r w:rsidRPr="00515C0B">
        <w:rPr>
          <w:rFonts w:ascii="Verdana" w:eastAsia="Verdana" w:hAnsi="Verdana" w:cs="Verdana"/>
          <w:spacing w:val="-19"/>
          <w:lang w:val="es-ES"/>
        </w:rPr>
        <w:t xml:space="preserve"> </w:t>
      </w:r>
      <w:r w:rsidRPr="00515C0B">
        <w:rPr>
          <w:rFonts w:ascii="Verdana" w:eastAsia="Verdana" w:hAnsi="Verdana" w:cs="Verdana"/>
          <w:lang w:val="es-ES"/>
        </w:rPr>
        <w:t>resultará</w:t>
      </w:r>
      <w:r w:rsidRPr="00515C0B">
        <w:rPr>
          <w:rFonts w:ascii="Verdana" w:eastAsia="Verdana" w:hAnsi="Verdana" w:cs="Verdana"/>
          <w:spacing w:val="-20"/>
          <w:lang w:val="es-ES"/>
        </w:rPr>
        <w:t xml:space="preserve"> </w:t>
      </w:r>
      <w:r w:rsidRPr="00515C0B">
        <w:rPr>
          <w:rFonts w:ascii="Verdana" w:eastAsia="Verdana" w:hAnsi="Verdana" w:cs="Verdana"/>
          <w:lang w:val="es-ES"/>
        </w:rPr>
        <w:t>aplicable, salvo</w:t>
      </w:r>
      <w:r w:rsidRPr="00515C0B">
        <w:rPr>
          <w:rFonts w:ascii="Verdana" w:eastAsia="Verdana" w:hAnsi="Verdana" w:cs="Verdana"/>
          <w:spacing w:val="-8"/>
          <w:lang w:val="es-ES"/>
        </w:rPr>
        <w:t xml:space="preserve"> </w:t>
      </w:r>
      <w:r w:rsidRPr="00515C0B">
        <w:rPr>
          <w:rFonts w:ascii="Verdana" w:eastAsia="Verdana" w:hAnsi="Verdana" w:cs="Verdana"/>
          <w:lang w:val="es-ES"/>
        </w:rPr>
        <w:t>aquellas</w:t>
      </w:r>
      <w:r w:rsidRPr="00515C0B">
        <w:rPr>
          <w:rFonts w:ascii="Verdana" w:eastAsia="Verdana" w:hAnsi="Verdana" w:cs="Verdana"/>
          <w:spacing w:val="-9"/>
          <w:lang w:val="es-ES"/>
        </w:rPr>
        <w:t xml:space="preserve"> </w:t>
      </w:r>
      <w:r w:rsidRPr="00515C0B">
        <w:rPr>
          <w:rFonts w:ascii="Verdana" w:eastAsia="Verdana" w:hAnsi="Verdana" w:cs="Verdana"/>
          <w:lang w:val="es-ES"/>
        </w:rPr>
        <w:t>disposiciones</w:t>
      </w:r>
      <w:r w:rsidRPr="00515C0B">
        <w:rPr>
          <w:rFonts w:ascii="Verdana" w:eastAsia="Verdana" w:hAnsi="Verdana" w:cs="Verdana"/>
          <w:spacing w:val="-9"/>
          <w:lang w:val="es-ES"/>
        </w:rPr>
        <w:t xml:space="preserve"> </w:t>
      </w:r>
      <w:r w:rsidRPr="00515C0B">
        <w:rPr>
          <w:rFonts w:ascii="Verdana" w:eastAsia="Verdana" w:hAnsi="Verdana" w:cs="Verdana"/>
          <w:lang w:val="es-ES"/>
        </w:rPr>
        <w:t>que</w:t>
      </w:r>
      <w:r w:rsidRPr="00515C0B">
        <w:rPr>
          <w:rFonts w:ascii="Verdana" w:eastAsia="Verdana" w:hAnsi="Verdana" w:cs="Verdana"/>
          <w:spacing w:val="-10"/>
          <w:lang w:val="es-ES"/>
        </w:rPr>
        <w:t xml:space="preserve"> </w:t>
      </w:r>
      <w:r w:rsidRPr="00515C0B">
        <w:rPr>
          <w:rFonts w:ascii="Verdana" w:eastAsia="Verdana" w:hAnsi="Verdana" w:cs="Verdana"/>
          <w:lang w:val="es-ES"/>
        </w:rPr>
        <w:t>excepcionalmente</w:t>
      </w:r>
      <w:r w:rsidRPr="00515C0B">
        <w:rPr>
          <w:rFonts w:ascii="Verdana" w:eastAsia="Verdana" w:hAnsi="Verdana" w:cs="Verdana"/>
          <w:spacing w:val="-10"/>
          <w:lang w:val="es-ES"/>
        </w:rPr>
        <w:t xml:space="preserve"> </w:t>
      </w:r>
      <w:r w:rsidRPr="00515C0B">
        <w:rPr>
          <w:rFonts w:ascii="Verdana" w:eastAsia="Verdana" w:hAnsi="Verdana" w:cs="Verdana"/>
          <w:lang w:val="es-ES"/>
        </w:rPr>
        <w:t>le</w:t>
      </w:r>
      <w:r w:rsidRPr="00515C0B">
        <w:rPr>
          <w:rFonts w:ascii="Verdana" w:eastAsia="Verdana" w:hAnsi="Verdana" w:cs="Verdana"/>
          <w:spacing w:val="-10"/>
          <w:lang w:val="es-ES"/>
        </w:rPr>
        <w:t xml:space="preserve"> </w:t>
      </w:r>
      <w:r w:rsidRPr="00515C0B">
        <w:rPr>
          <w:rFonts w:ascii="Verdana" w:eastAsia="Verdana" w:hAnsi="Verdana" w:cs="Verdana"/>
          <w:lang w:val="es-ES"/>
        </w:rPr>
        <w:t>resulten</w:t>
      </w:r>
      <w:r w:rsidRPr="00515C0B">
        <w:rPr>
          <w:rFonts w:ascii="Verdana" w:eastAsia="Verdana" w:hAnsi="Verdana" w:cs="Verdana"/>
          <w:spacing w:val="-9"/>
          <w:lang w:val="es-ES"/>
        </w:rPr>
        <w:t xml:space="preserve"> </w:t>
      </w:r>
      <w:r w:rsidRPr="00515C0B">
        <w:rPr>
          <w:rFonts w:ascii="Verdana" w:eastAsia="Verdana" w:hAnsi="Verdana" w:cs="Verdana"/>
          <w:lang w:val="es-ES"/>
        </w:rPr>
        <w:t>aplicables</w:t>
      </w:r>
      <w:r w:rsidRPr="00515C0B">
        <w:rPr>
          <w:rFonts w:ascii="Verdana" w:eastAsia="Verdana" w:hAnsi="Verdana" w:cs="Verdana"/>
          <w:spacing w:val="-9"/>
          <w:lang w:val="es-ES"/>
        </w:rPr>
        <w:t xml:space="preserve"> </w:t>
      </w:r>
      <w:r w:rsidRPr="00515C0B">
        <w:rPr>
          <w:rFonts w:ascii="Verdana" w:eastAsia="Verdana" w:hAnsi="Verdana" w:cs="Verdana"/>
          <w:lang w:val="es-ES"/>
        </w:rPr>
        <w:t>incluso a las entidades de régimen especial</w:t>
      </w:r>
      <w:r>
        <w:rPr>
          <w:rFonts w:ascii="Verdana" w:eastAsia="Verdana" w:hAnsi="Verdana" w:cs="Verdana"/>
          <w:lang w:val="es-ES"/>
        </w:rPr>
        <w:t>, como es el caso de obligación de realizar estudios del sector</w:t>
      </w:r>
      <w:r w:rsidRPr="009C35FE">
        <w:rPr>
          <w:rFonts w:ascii="Verdana" w:eastAsia="Verdana" w:hAnsi="Verdana" w:cs="Verdana"/>
          <w:lang w:val="es-ES"/>
        </w:rPr>
        <w:t xml:space="preserve"> o el deber de publicar en SECOP </w:t>
      </w:r>
      <w:proofErr w:type="gramStart"/>
      <w:r w:rsidRPr="009C35FE">
        <w:rPr>
          <w:rFonts w:ascii="Verdana" w:eastAsia="Verdana" w:hAnsi="Verdana" w:cs="Verdana"/>
          <w:lang w:val="es-ES"/>
        </w:rPr>
        <w:t>II..</w:t>
      </w:r>
      <w:proofErr w:type="gramEnd"/>
    </w:p>
    <w:p w14:paraId="150C6163" w14:textId="77777777" w:rsidR="00F60167" w:rsidRPr="00515C0B" w:rsidRDefault="00F60167" w:rsidP="00F60167">
      <w:pPr>
        <w:widowControl w:val="0"/>
        <w:autoSpaceDE w:val="0"/>
        <w:autoSpaceDN w:val="0"/>
        <w:spacing w:after="120" w:line="276" w:lineRule="auto"/>
        <w:ind w:right="51" w:firstLine="709"/>
        <w:jc w:val="both"/>
        <w:rPr>
          <w:rFonts w:ascii="Verdana" w:eastAsia="Verdana" w:hAnsi="Verdana" w:cs="Verdana"/>
          <w:lang w:val="es-ES"/>
        </w:rPr>
      </w:pPr>
      <w:r>
        <w:rPr>
          <w:rFonts w:ascii="Verdana" w:eastAsia="Verdana" w:hAnsi="Verdana" w:cs="Verdana"/>
          <w:lang w:val="es-ES"/>
        </w:rPr>
        <w:t>Conforme lo explicado respecto del régimen contractual aplicable a las Empresas Industriales y Comerciales del Estado</w:t>
      </w:r>
      <w:r w:rsidRPr="00515C0B">
        <w:rPr>
          <w:rFonts w:ascii="Verdana" w:eastAsia="Verdana" w:hAnsi="Verdana" w:cs="Verdana"/>
          <w:lang w:val="es-ES"/>
        </w:rPr>
        <w:t>,</w:t>
      </w:r>
      <w:r w:rsidRPr="00515C0B">
        <w:rPr>
          <w:rFonts w:ascii="Verdana" w:eastAsia="Verdana" w:hAnsi="Verdana" w:cs="Verdana"/>
          <w:spacing w:val="-5"/>
          <w:lang w:val="es-ES"/>
        </w:rPr>
        <w:t xml:space="preserve"> </w:t>
      </w:r>
      <w:r w:rsidRPr="00515C0B">
        <w:rPr>
          <w:rFonts w:ascii="Verdana" w:eastAsia="Verdana" w:hAnsi="Verdana" w:cs="Verdana"/>
          <w:lang w:val="es-ES"/>
        </w:rPr>
        <w:t>es</w:t>
      </w:r>
      <w:r w:rsidRPr="00515C0B">
        <w:rPr>
          <w:rFonts w:ascii="Verdana" w:eastAsia="Verdana" w:hAnsi="Verdana" w:cs="Verdana"/>
          <w:spacing w:val="-9"/>
          <w:lang w:val="es-ES"/>
        </w:rPr>
        <w:t xml:space="preserve"> </w:t>
      </w:r>
      <w:r w:rsidRPr="00515C0B">
        <w:rPr>
          <w:rFonts w:ascii="Verdana" w:eastAsia="Verdana" w:hAnsi="Verdana" w:cs="Verdana"/>
          <w:lang w:val="es-ES"/>
        </w:rPr>
        <w:t>necesario</w:t>
      </w:r>
      <w:r w:rsidRPr="00515C0B">
        <w:rPr>
          <w:rFonts w:ascii="Verdana" w:eastAsia="Verdana" w:hAnsi="Verdana" w:cs="Verdana"/>
          <w:spacing w:val="-8"/>
          <w:lang w:val="es-ES"/>
        </w:rPr>
        <w:t xml:space="preserve"> </w:t>
      </w:r>
      <w:r w:rsidRPr="00515C0B">
        <w:rPr>
          <w:rFonts w:ascii="Verdana" w:eastAsia="Verdana" w:hAnsi="Verdana" w:cs="Verdana"/>
          <w:lang w:val="es-ES"/>
        </w:rPr>
        <w:t>aclarar</w:t>
      </w:r>
      <w:r>
        <w:rPr>
          <w:rFonts w:ascii="Verdana" w:eastAsia="Verdana" w:hAnsi="Verdana" w:cs="Verdana"/>
          <w:spacing w:val="-5"/>
          <w:lang w:val="es-ES"/>
        </w:rPr>
        <w:t xml:space="preserve"> que las </w:t>
      </w:r>
      <w:r w:rsidRPr="00515C0B">
        <w:rPr>
          <w:rFonts w:ascii="Verdana" w:eastAsia="Verdana" w:hAnsi="Verdana" w:cs="Verdana"/>
          <w:lang w:val="es-ES"/>
        </w:rPr>
        <w:t>entidades</w:t>
      </w:r>
      <w:r w:rsidRPr="00515C0B">
        <w:rPr>
          <w:rFonts w:ascii="Verdana" w:eastAsia="Verdana" w:hAnsi="Verdana" w:cs="Verdana"/>
          <w:spacing w:val="-4"/>
          <w:lang w:val="es-ES"/>
        </w:rPr>
        <w:t xml:space="preserve"> </w:t>
      </w:r>
      <w:r w:rsidRPr="00515C0B">
        <w:rPr>
          <w:rFonts w:ascii="Verdana" w:eastAsia="Verdana" w:hAnsi="Verdana" w:cs="Verdana"/>
          <w:lang w:val="es-ES"/>
        </w:rPr>
        <w:t>de</w:t>
      </w:r>
      <w:r w:rsidRPr="00515C0B">
        <w:rPr>
          <w:rFonts w:ascii="Verdana" w:eastAsia="Verdana" w:hAnsi="Verdana" w:cs="Verdana"/>
          <w:spacing w:val="-5"/>
          <w:lang w:val="es-ES"/>
        </w:rPr>
        <w:t xml:space="preserve"> </w:t>
      </w:r>
      <w:r w:rsidRPr="00515C0B">
        <w:rPr>
          <w:rFonts w:ascii="Verdana" w:eastAsia="Verdana" w:hAnsi="Verdana" w:cs="Verdana"/>
          <w:lang w:val="es-ES"/>
        </w:rPr>
        <w:t>régimen</w:t>
      </w:r>
      <w:r w:rsidRPr="00515C0B">
        <w:rPr>
          <w:rFonts w:ascii="Verdana" w:eastAsia="Verdana" w:hAnsi="Verdana" w:cs="Verdana"/>
          <w:spacing w:val="-4"/>
          <w:lang w:val="es-ES"/>
        </w:rPr>
        <w:t xml:space="preserve"> </w:t>
      </w:r>
      <w:r w:rsidRPr="00515C0B">
        <w:rPr>
          <w:rFonts w:ascii="Verdana" w:eastAsia="Verdana" w:hAnsi="Verdana" w:cs="Verdana"/>
          <w:lang w:val="es-ES"/>
        </w:rPr>
        <w:t>especial son aquellas que, por expresa disposición legal y por su naturaleza o situación de competencia, tienen condiciones diferenciales respecto de la normativa</w:t>
      </w:r>
      <w:r w:rsidRPr="00515C0B">
        <w:rPr>
          <w:rFonts w:ascii="Verdana" w:eastAsia="Verdana" w:hAnsi="Verdana" w:cs="Verdana"/>
          <w:spacing w:val="-1"/>
          <w:lang w:val="es-ES"/>
        </w:rPr>
        <w:t xml:space="preserve"> </w:t>
      </w:r>
      <w:r w:rsidRPr="00515C0B">
        <w:rPr>
          <w:rFonts w:ascii="Verdana" w:eastAsia="Verdana" w:hAnsi="Verdana" w:cs="Verdana"/>
          <w:lang w:val="es-ES"/>
        </w:rPr>
        <w:t>de contratación pública. Esto quiere decir que no están sometidas al Estatuto General de Contratación de la Administración Pública, y por ende sus procedimientos</w:t>
      </w:r>
      <w:r w:rsidRPr="00515C0B">
        <w:rPr>
          <w:rFonts w:ascii="Verdana" w:eastAsia="Verdana" w:hAnsi="Verdana" w:cs="Verdana"/>
          <w:spacing w:val="-20"/>
          <w:lang w:val="es-ES"/>
        </w:rPr>
        <w:t xml:space="preserve"> </w:t>
      </w:r>
      <w:r w:rsidRPr="00515C0B">
        <w:rPr>
          <w:rFonts w:ascii="Verdana" w:eastAsia="Verdana" w:hAnsi="Verdana" w:cs="Verdana"/>
          <w:lang w:val="es-ES"/>
        </w:rPr>
        <w:t>contractuales</w:t>
      </w:r>
      <w:r w:rsidRPr="00515C0B">
        <w:rPr>
          <w:rFonts w:ascii="Verdana" w:eastAsia="Verdana" w:hAnsi="Verdana" w:cs="Verdana"/>
          <w:spacing w:val="-19"/>
          <w:lang w:val="es-ES"/>
        </w:rPr>
        <w:t xml:space="preserve"> </w:t>
      </w:r>
      <w:r w:rsidRPr="00515C0B">
        <w:rPr>
          <w:rFonts w:ascii="Verdana" w:eastAsia="Verdana" w:hAnsi="Verdana" w:cs="Verdana"/>
          <w:lang w:val="es-ES"/>
        </w:rPr>
        <w:t>tienen</w:t>
      </w:r>
      <w:r w:rsidRPr="00515C0B">
        <w:rPr>
          <w:rFonts w:ascii="Verdana" w:eastAsia="Verdana" w:hAnsi="Verdana" w:cs="Verdana"/>
          <w:spacing w:val="-19"/>
          <w:lang w:val="es-ES"/>
        </w:rPr>
        <w:t xml:space="preserve"> </w:t>
      </w:r>
      <w:r w:rsidRPr="00515C0B">
        <w:rPr>
          <w:rFonts w:ascii="Verdana" w:eastAsia="Verdana" w:hAnsi="Verdana" w:cs="Verdana"/>
          <w:lang w:val="es-ES"/>
        </w:rPr>
        <w:t>su</w:t>
      </w:r>
      <w:r w:rsidRPr="00515C0B">
        <w:rPr>
          <w:rFonts w:ascii="Verdana" w:eastAsia="Verdana" w:hAnsi="Verdana" w:cs="Verdana"/>
          <w:spacing w:val="-20"/>
          <w:lang w:val="es-ES"/>
        </w:rPr>
        <w:t xml:space="preserve"> </w:t>
      </w:r>
      <w:r w:rsidRPr="00515C0B">
        <w:rPr>
          <w:rFonts w:ascii="Verdana" w:eastAsia="Verdana" w:hAnsi="Verdana" w:cs="Verdana"/>
          <w:lang w:val="es-ES"/>
        </w:rPr>
        <w:t>normativa</w:t>
      </w:r>
      <w:r w:rsidRPr="00515C0B">
        <w:rPr>
          <w:rFonts w:ascii="Verdana" w:eastAsia="Verdana" w:hAnsi="Verdana" w:cs="Verdana"/>
          <w:spacing w:val="-19"/>
          <w:lang w:val="es-ES"/>
        </w:rPr>
        <w:t xml:space="preserve"> </w:t>
      </w:r>
      <w:r w:rsidRPr="00515C0B">
        <w:rPr>
          <w:rFonts w:ascii="Verdana" w:eastAsia="Verdana" w:hAnsi="Verdana" w:cs="Verdana"/>
          <w:lang w:val="es-ES"/>
        </w:rPr>
        <w:t>propia</w:t>
      </w:r>
      <w:r w:rsidRPr="00515C0B">
        <w:rPr>
          <w:rFonts w:ascii="Verdana" w:eastAsia="Verdana" w:hAnsi="Verdana" w:cs="Verdana"/>
          <w:spacing w:val="-20"/>
          <w:lang w:val="es-ES"/>
        </w:rPr>
        <w:t xml:space="preserve"> </w:t>
      </w:r>
      <w:r w:rsidRPr="00515C0B">
        <w:rPr>
          <w:rFonts w:ascii="Verdana" w:eastAsia="Verdana" w:hAnsi="Verdana" w:cs="Verdana"/>
          <w:lang w:val="es-ES"/>
        </w:rPr>
        <w:t>para</w:t>
      </w:r>
      <w:r w:rsidRPr="00515C0B">
        <w:rPr>
          <w:rFonts w:ascii="Verdana" w:eastAsia="Verdana" w:hAnsi="Verdana" w:cs="Verdana"/>
          <w:spacing w:val="-19"/>
          <w:lang w:val="es-ES"/>
        </w:rPr>
        <w:t xml:space="preserve"> </w:t>
      </w:r>
      <w:r w:rsidRPr="00515C0B">
        <w:rPr>
          <w:rFonts w:ascii="Verdana" w:eastAsia="Verdana" w:hAnsi="Verdana" w:cs="Verdana"/>
          <w:lang w:val="es-ES"/>
        </w:rPr>
        <w:t>su</w:t>
      </w:r>
      <w:r w:rsidRPr="00515C0B">
        <w:rPr>
          <w:rFonts w:ascii="Verdana" w:eastAsia="Verdana" w:hAnsi="Verdana" w:cs="Verdana"/>
          <w:spacing w:val="-19"/>
          <w:lang w:val="es-ES"/>
        </w:rPr>
        <w:t xml:space="preserve"> </w:t>
      </w:r>
      <w:r w:rsidRPr="00515C0B">
        <w:rPr>
          <w:rFonts w:ascii="Verdana" w:eastAsia="Verdana" w:hAnsi="Verdana" w:cs="Verdana"/>
          <w:lang w:val="es-ES"/>
        </w:rPr>
        <w:t>desarrollo,</w:t>
      </w:r>
      <w:r w:rsidRPr="00515C0B">
        <w:rPr>
          <w:rFonts w:ascii="Verdana" w:eastAsia="Verdana" w:hAnsi="Verdana" w:cs="Verdana"/>
          <w:spacing w:val="-20"/>
          <w:lang w:val="es-ES"/>
        </w:rPr>
        <w:t xml:space="preserve"> </w:t>
      </w:r>
      <w:r w:rsidRPr="00515C0B">
        <w:rPr>
          <w:rFonts w:ascii="Verdana" w:eastAsia="Verdana" w:hAnsi="Verdana" w:cs="Verdana"/>
          <w:lang w:val="es-ES"/>
        </w:rPr>
        <w:t>esto es, el derecho privado, lo cual está determinado en las normas de creación de las</w:t>
      </w:r>
      <w:r w:rsidRPr="00515C0B">
        <w:rPr>
          <w:rFonts w:ascii="Verdana" w:eastAsia="Verdana" w:hAnsi="Verdana" w:cs="Verdana"/>
          <w:spacing w:val="-7"/>
          <w:lang w:val="es-ES"/>
        </w:rPr>
        <w:t xml:space="preserve"> </w:t>
      </w:r>
      <w:r w:rsidRPr="00515C0B">
        <w:rPr>
          <w:rFonts w:ascii="Verdana" w:eastAsia="Verdana" w:hAnsi="Verdana" w:cs="Verdana"/>
          <w:lang w:val="es-ES"/>
        </w:rPr>
        <w:t>entidades</w:t>
      </w:r>
      <w:r w:rsidRPr="00515C0B">
        <w:rPr>
          <w:rFonts w:ascii="Verdana" w:eastAsia="Verdana" w:hAnsi="Verdana" w:cs="Verdana"/>
          <w:spacing w:val="-7"/>
          <w:lang w:val="es-ES"/>
        </w:rPr>
        <w:t xml:space="preserve"> </w:t>
      </w:r>
      <w:r w:rsidRPr="00515C0B">
        <w:rPr>
          <w:rFonts w:ascii="Verdana" w:eastAsia="Verdana" w:hAnsi="Verdana" w:cs="Verdana"/>
          <w:lang w:val="es-ES"/>
        </w:rPr>
        <w:t>de</w:t>
      </w:r>
      <w:r w:rsidRPr="00515C0B">
        <w:rPr>
          <w:rFonts w:ascii="Verdana" w:eastAsia="Verdana" w:hAnsi="Verdana" w:cs="Verdana"/>
          <w:spacing w:val="-8"/>
          <w:lang w:val="es-ES"/>
        </w:rPr>
        <w:t xml:space="preserve"> </w:t>
      </w:r>
      <w:r w:rsidRPr="00515C0B">
        <w:rPr>
          <w:rFonts w:ascii="Verdana" w:eastAsia="Verdana" w:hAnsi="Verdana" w:cs="Verdana"/>
          <w:lang w:val="es-ES"/>
        </w:rPr>
        <w:t>régimen</w:t>
      </w:r>
      <w:r w:rsidRPr="00515C0B">
        <w:rPr>
          <w:rFonts w:ascii="Verdana" w:eastAsia="Verdana" w:hAnsi="Verdana" w:cs="Verdana"/>
          <w:spacing w:val="-7"/>
          <w:lang w:val="es-ES"/>
        </w:rPr>
        <w:t xml:space="preserve"> </w:t>
      </w:r>
      <w:r w:rsidRPr="00515C0B">
        <w:rPr>
          <w:rFonts w:ascii="Verdana" w:eastAsia="Verdana" w:hAnsi="Verdana" w:cs="Verdana"/>
          <w:lang w:val="es-ES"/>
        </w:rPr>
        <w:t>especial</w:t>
      </w:r>
      <w:r w:rsidRPr="00515C0B">
        <w:rPr>
          <w:rFonts w:ascii="Verdana" w:eastAsia="Verdana" w:hAnsi="Verdana" w:cs="Verdana"/>
          <w:spacing w:val="-7"/>
          <w:lang w:val="es-ES"/>
        </w:rPr>
        <w:t xml:space="preserve"> </w:t>
      </w:r>
      <w:r w:rsidRPr="00515C0B">
        <w:rPr>
          <w:rFonts w:ascii="Verdana" w:eastAsia="Verdana" w:hAnsi="Verdana" w:cs="Verdana"/>
          <w:lang w:val="es-ES"/>
        </w:rPr>
        <w:t>y</w:t>
      </w:r>
      <w:r w:rsidRPr="00515C0B">
        <w:rPr>
          <w:rFonts w:ascii="Verdana" w:eastAsia="Verdana" w:hAnsi="Verdana" w:cs="Verdana"/>
          <w:spacing w:val="-7"/>
          <w:lang w:val="es-ES"/>
        </w:rPr>
        <w:t xml:space="preserve"> </w:t>
      </w:r>
      <w:r w:rsidRPr="00515C0B">
        <w:rPr>
          <w:rFonts w:ascii="Verdana" w:eastAsia="Verdana" w:hAnsi="Verdana" w:cs="Verdana"/>
          <w:lang w:val="es-ES"/>
        </w:rPr>
        <w:t>en</w:t>
      </w:r>
      <w:r w:rsidRPr="00515C0B">
        <w:rPr>
          <w:rFonts w:ascii="Verdana" w:eastAsia="Verdana" w:hAnsi="Verdana" w:cs="Verdana"/>
          <w:spacing w:val="-7"/>
          <w:lang w:val="es-ES"/>
        </w:rPr>
        <w:t xml:space="preserve"> </w:t>
      </w:r>
      <w:r w:rsidRPr="00515C0B">
        <w:rPr>
          <w:rFonts w:ascii="Verdana" w:eastAsia="Verdana" w:hAnsi="Verdana" w:cs="Verdana"/>
          <w:lang w:val="es-ES"/>
        </w:rPr>
        <w:t>sus</w:t>
      </w:r>
      <w:r w:rsidRPr="00515C0B">
        <w:rPr>
          <w:rFonts w:ascii="Verdana" w:eastAsia="Verdana" w:hAnsi="Verdana" w:cs="Verdana"/>
          <w:spacing w:val="-12"/>
          <w:lang w:val="es-ES"/>
        </w:rPr>
        <w:t xml:space="preserve"> </w:t>
      </w:r>
      <w:r w:rsidRPr="00515C0B">
        <w:rPr>
          <w:rFonts w:ascii="Verdana" w:eastAsia="Verdana" w:hAnsi="Verdana" w:cs="Verdana"/>
          <w:lang w:val="es-ES"/>
        </w:rPr>
        <w:t>manuales</w:t>
      </w:r>
      <w:r w:rsidRPr="00515C0B">
        <w:rPr>
          <w:rFonts w:ascii="Verdana" w:eastAsia="Verdana" w:hAnsi="Verdana" w:cs="Verdana"/>
          <w:spacing w:val="-7"/>
          <w:lang w:val="es-ES"/>
        </w:rPr>
        <w:t xml:space="preserve"> </w:t>
      </w:r>
      <w:r w:rsidRPr="00515C0B">
        <w:rPr>
          <w:rFonts w:ascii="Verdana" w:eastAsia="Verdana" w:hAnsi="Verdana" w:cs="Verdana"/>
          <w:lang w:val="es-ES"/>
        </w:rPr>
        <w:t>de</w:t>
      </w:r>
      <w:r w:rsidRPr="00515C0B">
        <w:rPr>
          <w:rFonts w:ascii="Verdana" w:eastAsia="Verdana" w:hAnsi="Verdana" w:cs="Verdana"/>
          <w:spacing w:val="-8"/>
          <w:lang w:val="es-ES"/>
        </w:rPr>
        <w:t xml:space="preserve"> </w:t>
      </w:r>
      <w:r w:rsidRPr="00515C0B">
        <w:rPr>
          <w:rFonts w:ascii="Verdana" w:eastAsia="Verdana" w:hAnsi="Verdana" w:cs="Verdana"/>
          <w:lang w:val="es-ES"/>
        </w:rPr>
        <w:t>contratación.</w:t>
      </w:r>
      <w:r w:rsidRPr="00515C0B">
        <w:rPr>
          <w:rFonts w:ascii="Verdana" w:eastAsia="Verdana" w:hAnsi="Verdana" w:cs="Verdana"/>
          <w:spacing w:val="-7"/>
          <w:lang w:val="es-ES"/>
        </w:rPr>
        <w:t xml:space="preserve"> </w:t>
      </w:r>
      <w:r w:rsidRPr="00515C0B">
        <w:rPr>
          <w:rFonts w:ascii="Verdana" w:eastAsia="Verdana" w:hAnsi="Verdana" w:cs="Verdana"/>
          <w:lang w:val="es-ES"/>
        </w:rPr>
        <w:t>Esto</w:t>
      </w:r>
      <w:r w:rsidRPr="00515C0B">
        <w:rPr>
          <w:rFonts w:ascii="Verdana" w:eastAsia="Verdana" w:hAnsi="Verdana" w:cs="Verdana"/>
          <w:spacing w:val="-6"/>
          <w:lang w:val="es-ES"/>
        </w:rPr>
        <w:t xml:space="preserve"> </w:t>
      </w:r>
      <w:r w:rsidRPr="00515C0B">
        <w:rPr>
          <w:rFonts w:ascii="Verdana" w:eastAsia="Verdana" w:hAnsi="Verdana" w:cs="Verdana"/>
          <w:lang w:val="es-ES"/>
        </w:rPr>
        <w:t>es</w:t>
      </w:r>
      <w:r w:rsidRPr="00515C0B">
        <w:rPr>
          <w:rFonts w:ascii="Verdana" w:eastAsia="Verdana" w:hAnsi="Verdana" w:cs="Verdana"/>
          <w:spacing w:val="-7"/>
          <w:lang w:val="es-ES"/>
        </w:rPr>
        <w:t xml:space="preserve"> </w:t>
      </w:r>
      <w:r w:rsidRPr="00515C0B">
        <w:rPr>
          <w:rFonts w:ascii="Verdana" w:eastAsia="Verdana" w:hAnsi="Verdana" w:cs="Verdana"/>
          <w:lang w:val="es-ES"/>
        </w:rPr>
        <w:t xml:space="preserve">lo que sucede con algunas de las </w:t>
      </w:r>
      <w:r>
        <w:rPr>
          <w:rFonts w:ascii="Verdana" w:eastAsia="Verdana" w:hAnsi="Verdana" w:cs="Verdana"/>
          <w:lang w:val="es-ES"/>
        </w:rPr>
        <w:t>Empresas Industriales y Comerciales del Estado</w:t>
      </w:r>
      <w:r w:rsidRPr="00515C0B" w:rsidDel="0058716E">
        <w:rPr>
          <w:rFonts w:ascii="Verdana" w:eastAsia="Verdana" w:hAnsi="Verdana" w:cs="Verdana"/>
          <w:lang w:val="es-ES"/>
        </w:rPr>
        <w:t>,</w:t>
      </w:r>
      <w:r w:rsidRPr="00515C0B">
        <w:rPr>
          <w:rFonts w:ascii="Verdana" w:eastAsia="Verdana" w:hAnsi="Verdana" w:cs="Verdana"/>
          <w:lang w:val="es-ES"/>
        </w:rPr>
        <w:t xml:space="preserve"> que de acuerdo con lo establecido en el artículo 14 de </w:t>
      </w:r>
      <w:r w:rsidRPr="00515C0B">
        <w:rPr>
          <w:rFonts w:ascii="Verdana" w:eastAsia="Verdana" w:hAnsi="Verdana" w:cs="Verdana"/>
          <w:lang w:val="es-ES"/>
        </w:rPr>
        <w:lastRenderedPageBreak/>
        <w:t xml:space="preserve">la Ley 1150 de 2007, se encuentren exceptuadas de aplicar </w:t>
      </w:r>
      <w:r w:rsidRPr="00515C0B">
        <w:rPr>
          <w:rFonts w:ascii="Verdana" w:eastAsia="Verdana" w:hAnsi="Verdana" w:cs="Verdana"/>
          <w:spacing w:val="12"/>
          <w:lang w:val="es-ES"/>
        </w:rPr>
        <w:t xml:space="preserve">el </w:t>
      </w:r>
      <w:r w:rsidRPr="00515C0B">
        <w:rPr>
          <w:rFonts w:ascii="Verdana" w:eastAsia="Verdana" w:hAnsi="Verdana" w:cs="Verdana"/>
          <w:lang w:val="es-ES"/>
        </w:rPr>
        <w:t>Estatuto General de Contratación de la Administración Pública, conforme se explicó anteriormente.</w:t>
      </w:r>
    </w:p>
    <w:p w14:paraId="1700D08F" w14:textId="77777777" w:rsidR="00F60167" w:rsidRPr="00515C0B" w:rsidRDefault="00F60167" w:rsidP="00F60167">
      <w:pPr>
        <w:widowControl w:val="0"/>
        <w:autoSpaceDE w:val="0"/>
        <w:autoSpaceDN w:val="0"/>
        <w:spacing w:after="120" w:line="276" w:lineRule="auto"/>
        <w:ind w:right="51" w:firstLine="709"/>
        <w:jc w:val="both"/>
        <w:rPr>
          <w:rFonts w:ascii="Verdana" w:eastAsia="Verdana" w:hAnsi="Verdana" w:cs="Verdana"/>
          <w:lang w:val="es-ES"/>
        </w:rPr>
      </w:pPr>
      <w:r w:rsidRPr="00515C0B">
        <w:rPr>
          <w:rFonts w:ascii="Verdana" w:eastAsia="Verdana" w:hAnsi="Verdana" w:cs="Verdana"/>
          <w:lang w:val="es-ES"/>
        </w:rPr>
        <w:t xml:space="preserve">Teniendo en cuenta que las entidades de régimen especial están facultadas legalmente para aplicar reglas distintas a las establecidas en la Ley 80 de 1993 y sus normas complementarias, su régimen contractual estará definido en la noma que crea el régimen especial y será desarrollado en el manual de contratación de la respectiva entidad, con el fin de que se puedan identificar las reglas que aplican en la contratación. La Agencia Nacional de Contratación Pública </w:t>
      </w:r>
      <w:r>
        <w:rPr>
          <w:rFonts w:ascii="Verdana" w:eastAsia="Verdana" w:hAnsi="Verdana" w:cs="Verdana"/>
          <w:lang w:val="es-ES"/>
        </w:rPr>
        <w:t>–</w:t>
      </w:r>
      <w:r w:rsidRPr="00515C0B">
        <w:rPr>
          <w:rFonts w:ascii="Verdana" w:eastAsia="Verdana" w:hAnsi="Verdana" w:cs="Verdana"/>
          <w:lang w:val="es-ES"/>
        </w:rPr>
        <w:t xml:space="preserve"> Colombia</w:t>
      </w:r>
      <w:r>
        <w:rPr>
          <w:rFonts w:ascii="Verdana" w:eastAsia="Verdana" w:hAnsi="Verdana" w:cs="Verdana"/>
          <w:lang w:val="es-ES"/>
        </w:rPr>
        <w:t xml:space="preserve"> </w:t>
      </w:r>
      <w:r w:rsidRPr="00515C0B">
        <w:rPr>
          <w:rFonts w:ascii="Verdana" w:eastAsia="Verdana" w:hAnsi="Verdana" w:cs="Verdana"/>
          <w:lang w:val="es-ES"/>
        </w:rPr>
        <w:t xml:space="preserve">Compra Eficiente expidió la </w:t>
      </w:r>
      <w:r>
        <w:rPr>
          <w:rFonts w:ascii="Verdana" w:eastAsia="Verdana" w:hAnsi="Verdana" w:cs="Verdana"/>
          <w:lang w:val="es-ES"/>
        </w:rPr>
        <w:t>“</w:t>
      </w:r>
      <w:r w:rsidRPr="00515C0B">
        <w:rPr>
          <w:rFonts w:ascii="Verdana" w:eastAsia="Verdana" w:hAnsi="Verdana" w:cs="Verdana"/>
          <w:lang w:val="es-ES"/>
        </w:rPr>
        <w:t>Guía para las entidades estatales con régimen especial de contratación</w:t>
      </w:r>
      <w:r>
        <w:rPr>
          <w:rFonts w:ascii="Verdana" w:eastAsia="Verdana" w:hAnsi="Verdana" w:cs="Verdana"/>
          <w:lang w:val="es-ES"/>
        </w:rPr>
        <w:t>”</w:t>
      </w:r>
      <w:r w:rsidRPr="00515C0B">
        <w:rPr>
          <w:rFonts w:ascii="Verdana" w:eastAsia="Verdana" w:hAnsi="Verdana" w:cs="Verdana"/>
          <w:lang w:val="es-ES"/>
        </w:rPr>
        <w:t>, que las define como aquellas que contratan con un régimen distinto a las Leyes 80 de 1993 y 1150 de 2007</w:t>
      </w:r>
      <w:r w:rsidRPr="00515C0B">
        <w:rPr>
          <w:rFonts w:ascii="Verdana" w:eastAsia="Verdana" w:hAnsi="Verdana" w:cs="Verdana"/>
          <w:vertAlign w:val="superscript"/>
          <w:lang w:val="es-ES"/>
        </w:rPr>
        <w:footnoteReference w:id="13"/>
      </w:r>
      <w:r w:rsidRPr="00515C0B">
        <w:rPr>
          <w:rFonts w:ascii="Verdana" w:eastAsia="Verdana" w:hAnsi="Verdana" w:cs="Verdana"/>
          <w:lang w:val="es-ES"/>
        </w:rPr>
        <w:t>.</w:t>
      </w:r>
    </w:p>
    <w:p w14:paraId="154DBD44" w14:textId="77777777" w:rsidR="00F60167" w:rsidRDefault="00F60167" w:rsidP="00F60167">
      <w:pPr>
        <w:widowControl w:val="0"/>
        <w:autoSpaceDE w:val="0"/>
        <w:autoSpaceDN w:val="0"/>
        <w:spacing w:after="120" w:line="276" w:lineRule="auto"/>
        <w:ind w:right="51" w:firstLine="709"/>
        <w:jc w:val="both"/>
        <w:rPr>
          <w:rFonts w:ascii="Verdana" w:eastAsia="Verdana" w:hAnsi="Verdana" w:cs="Verdana"/>
          <w:lang w:val="es-ES"/>
        </w:rPr>
      </w:pPr>
      <w:r w:rsidRPr="00515C0B">
        <w:rPr>
          <w:rFonts w:ascii="Verdana" w:eastAsia="Verdana" w:hAnsi="Verdana" w:cs="Verdana"/>
          <w:lang w:val="es-ES"/>
        </w:rPr>
        <w:t>No obstante, las entidades de régimen especial cumplen una finalidad pública</w:t>
      </w:r>
      <w:r w:rsidRPr="00515C0B">
        <w:rPr>
          <w:rFonts w:ascii="Verdana" w:eastAsia="Verdana" w:hAnsi="Verdana" w:cs="Verdana"/>
          <w:spacing w:val="-5"/>
          <w:lang w:val="es-ES"/>
        </w:rPr>
        <w:t xml:space="preserve"> </w:t>
      </w:r>
      <w:r w:rsidRPr="00515C0B">
        <w:rPr>
          <w:rFonts w:ascii="Verdana" w:eastAsia="Verdana" w:hAnsi="Verdana" w:cs="Verdana"/>
          <w:lang w:val="es-ES"/>
        </w:rPr>
        <w:t>y</w:t>
      </w:r>
      <w:r w:rsidRPr="00515C0B">
        <w:rPr>
          <w:rFonts w:ascii="Verdana" w:eastAsia="Verdana" w:hAnsi="Verdana" w:cs="Verdana"/>
          <w:spacing w:val="-3"/>
          <w:lang w:val="es-ES"/>
        </w:rPr>
        <w:t xml:space="preserve"> </w:t>
      </w:r>
      <w:r w:rsidRPr="00515C0B">
        <w:rPr>
          <w:rFonts w:ascii="Verdana" w:eastAsia="Verdana" w:hAnsi="Verdana" w:cs="Verdana"/>
          <w:lang w:val="es-ES"/>
        </w:rPr>
        <w:t>utilizan</w:t>
      </w:r>
      <w:r w:rsidRPr="00515C0B">
        <w:rPr>
          <w:rFonts w:ascii="Verdana" w:eastAsia="Verdana" w:hAnsi="Verdana" w:cs="Verdana"/>
          <w:spacing w:val="-2"/>
          <w:lang w:val="es-ES"/>
        </w:rPr>
        <w:t xml:space="preserve"> </w:t>
      </w:r>
      <w:r w:rsidRPr="00515C0B">
        <w:rPr>
          <w:rFonts w:ascii="Verdana" w:eastAsia="Verdana" w:hAnsi="Verdana" w:cs="Verdana"/>
          <w:lang w:val="es-ES"/>
        </w:rPr>
        <w:t>recursos</w:t>
      </w:r>
      <w:r w:rsidRPr="00515C0B">
        <w:rPr>
          <w:rFonts w:ascii="Verdana" w:eastAsia="Verdana" w:hAnsi="Verdana" w:cs="Verdana"/>
          <w:spacing w:val="-2"/>
          <w:lang w:val="es-ES"/>
        </w:rPr>
        <w:t xml:space="preserve"> </w:t>
      </w:r>
      <w:r w:rsidRPr="00515C0B">
        <w:rPr>
          <w:rFonts w:ascii="Verdana" w:eastAsia="Verdana" w:hAnsi="Verdana" w:cs="Verdana"/>
          <w:lang w:val="es-ES"/>
        </w:rPr>
        <w:t>públicos</w:t>
      </w:r>
      <w:r w:rsidRPr="00515C0B">
        <w:rPr>
          <w:rFonts w:ascii="Verdana" w:eastAsia="Verdana" w:hAnsi="Verdana" w:cs="Verdana"/>
          <w:spacing w:val="-2"/>
          <w:lang w:val="es-ES"/>
        </w:rPr>
        <w:t xml:space="preserve"> </w:t>
      </w:r>
      <w:r w:rsidRPr="00515C0B">
        <w:rPr>
          <w:rFonts w:ascii="Verdana" w:eastAsia="Verdana" w:hAnsi="Verdana" w:cs="Verdana"/>
          <w:lang w:val="es-ES"/>
        </w:rPr>
        <w:t>para</w:t>
      </w:r>
      <w:r w:rsidRPr="00515C0B">
        <w:rPr>
          <w:rFonts w:ascii="Verdana" w:eastAsia="Verdana" w:hAnsi="Verdana" w:cs="Verdana"/>
          <w:spacing w:val="-5"/>
          <w:lang w:val="es-ES"/>
        </w:rPr>
        <w:t xml:space="preserve"> </w:t>
      </w:r>
      <w:r w:rsidRPr="00515C0B">
        <w:rPr>
          <w:rFonts w:ascii="Verdana" w:eastAsia="Verdana" w:hAnsi="Verdana" w:cs="Verdana"/>
          <w:lang w:val="es-ES"/>
        </w:rPr>
        <w:t>lograrlo,</w:t>
      </w:r>
      <w:r w:rsidRPr="00515C0B">
        <w:rPr>
          <w:rFonts w:ascii="Verdana" w:eastAsia="Verdana" w:hAnsi="Verdana" w:cs="Verdana"/>
          <w:spacing w:val="-3"/>
          <w:lang w:val="es-ES"/>
        </w:rPr>
        <w:t xml:space="preserve"> </w:t>
      </w:r>
      <w:r w:rsidRPr="00515C0B">
        <w:rPr>
          <w:rFonts w:ascii="Verdana" w:eastAsia="Verdana" w:hAnsi="Verdana" w:cs="Verdana"/>
          <w:lang w:val="es-ES"/>
        </w:rPr>
        <w:t>por</w:t>
      </w:r>
      <w:r w:rsidRPr="00515C0B">
        <w:rPr>
          <w:rFonts w:ascii="Verdana" w:eastAsia="Verdana" w:hAnsi="Verdana" w:cs="Verdana"/>
          <w:spacing w:val="-1"/>
          <w:lang w:val="es-ES"/>
        </w:rPr>
        <w:t xml:space="preserve"> </w:t>
      </w:r>
      <w:r w:rsidRPr="00515C0B">
        <w:rPr>
          <w:rFonts w:ascii="Verdana" w:eastAsia="Verdana" w:hAnsi="Verdana" w:cs="Verdana"/>
          <w:lang w:val="es-ES"/>
        </w:rPr>
        <w:t>lo</w:t>
      </w:r>
      <w:r w:rsidRPr="00515C0B">
        <w:rPr>
          <w:rFonts w:ascii="Verdana" w:eastAsia="Verdana" w:hAnsi="Verdana" w:cs="Verdana"/>
          <w:spacing w:val="-1"/>
          <w:lang w:val="es-ES"/>
        </w:rPr>
        <w:t xml:space="preserve"> </w:t>
      </w:r>
      <w:r w:rsidRPr="00515C0B">
        <w:rPr>
          <w:rFonts w:ascii="Verdana" w:eastAsia="Verdana" w:hAnsi="Verdana" w:cs="Verdana"/>
          <w:lang w:val="es-ES"/>
        </w:rPr>
        <w:t>que</w:t>
      </w:r>
      <w:r w:rsidRPr="00515C0B">
        <w:rPr>
          <w:rFonts w:ascii="Verdana" w:eastAsia="Verdana" w:hAnsi="Verdana" w:cs="Verdana"/>
          <w:spacing w:val="-3"/>
          <w:lang w:val="es-ES"/>
        </w:rPr>
        <w:t xml:space="preserve"> </w:t>
      </w:r>
      <w:r w:rsidRPr="00515C0B">
        <w:rPr>
          <w:rFonts w:ascii="Verdana" w:eastAsia="Verdana" w:hAnsi="Verdana" w:cs="Verdana"/>
          <w:lang w:val="es-ES"/>
        </w:rPr>
        <w:t>no</w:t>
      </w:r>
      <w:r w:rsidRPr="00515C0B">
        <w:rPr>
          <w:rFonts w:ascii="Verdana" w:eastAsia="Verdana" w:hAnsi="Verdana" w:cs="Verdana"/>
          <w:spacing w:val="-6"/>
          <w:lang w:val="es-ES"/>
        </w:rPr>
        <w:t xml:space="preserve"> </w:t>
      </w:r>
      <w:r w:rsidRPr="00515C0B">
        <w:rPr>
          <w:rFonts w:ascii="Verdana" w:eastAsia="Verdana" w:hAnsi="Verdana" w:cs="Verdana"/>
          <w:lang w:val="es-ES"/>
        </w:rPr>
        <w:t>son</w:t>
      </w:r>
      <w:r w:rsidRPr="00515C0B">
        <w:rPr>
          <w:rFonts w:ascii="Verdana" w:eastAsia="Verdana" w:hAnsi="Verdana" w:cs="Verdana"/>
          <w:spacing w:val="-7"/>
          <w:lang w:val="es-ES"/>
        </w:rPr>
        <w:t xml:space="preserve"> </w:t>
      </w:r>
      <w:r w:rsidRPr="00515C0B">
        <w:rPr>
          <w:rFonts w:ascii="Verdana" w:eastAsia="Verdana" w:hAnsi="Verdana" w:cs="Verdana"/>
          <w:lang w:val="es-ES"/>
        </w:rPr>
        <w:t>ajenas</w:t>
      </w:r>
      <w:r w:rsidRPr="00515C0B">
        <w:rPr>
          <w:rFonts w:ascii="Verdana" w:eastAsia="Verdana" w:hAnsi="Verdana" w:cs="Verdana"/>
          <w:spacing w:val="-2"/>
          <w:lang w:val="es-ES"/>
        </w:rPr>
        <w:t xml:space="preserve"> </w:t>
      </w:r>
      <w:r w:rsidRPr="00515C0B">
        <w:rPr>
          <w:rFonts w:ascii="Verdana" w:eastAsia="Verdana" w:hAnsi="Verdana" w:cs="Verdana"/>
          <w:lang w:val="es-ES"/>
        </w:rPr>
        <w:t>a</w:t>
      </w:r>
      <w:r w:rsidRPr="00515C0B">
        <w:rPr>
          <w:rFonts w:ascii="Verdana" w:eastAsia="Verdana" w:hAnsi="Verdana" w:cs="Verdana"/>
          <w:spacing w:val="-5"/>
          <w:lang w:val="es-ES"/>
        </w:rPr>
        <w:t xml:space="preserve"> </w:t>
      </w:r>
      <w:r w:rsidRPr="00515C0B">
        <w:rPr>
          <w:rFonts w:ascii="Verdana" w:eastAsia="Verdana" w:hAnsi="Verdana" w:cs="Verdana"/>
          <w:lang w:val="es-ES"/>
        </w:rPr>
        <w:t>los principios de la función administrativa y de la gestión fiscal, entre otras reglas dispuestas</w:t>
      </w:r>
      <w:r w:rsidRPr="00515C0B">
        <w:rPr>
          <w:rFonts w:ascii="Verdana" w:eastAsia="Verdana" w:hAnsi="Verdana" w:cs="Verdana"/>
          <w:spacing w:val="-20"/>
          <w:lang w:val="es-ES"/>
        </w:rPr>
        <w:t xml:space="preserve"> </w:t>
      </w:r>
      <w:r w:rsidRPr="00515C0B">
        <w:rPr>
          <w:rFonts w:ascii="Verdana" w:eastAsia="Verdana" w:hAnsi="Verdana" w:cs="Verdana"/>
          <w:lang w:val="es-ES"/>
        </w:rPr>
        <w:t>en</w:t>
      </w:r>
      <w:r w:rsidRPr="00515C0B">
        <w:rPr>
          <w:rFonts w:ascii="Verdana" w:eastAsia="Verdana" w:hAnsi="Verdana" w:cs="Verdana"/>
          <w:spacing w:val="-19"/>
          <w:lang w:val="es-ES"/>
        </w:rPr>
        <w:t xml:space="preserve"> </w:t>
      </w:r>
      <w:r w:rsidRPr="00515C0B">
        <w:rPr>
          <w:rFonts w:ascii="Verdana" w:eastAsia="Verdana" w:hAnsi="Verdana" w:cs="Verdana"/>
          <w:lang w:val="es-ES"/>
        </w:rPr>
        <w:t>la</w:t>
      </w:r>
      <w:r w:rsidRPr="00515C0B">
        <w:rPr>
          <w:rFonts w:ascii="Verdana" w:eastAsia="Verdana" w:hAnsi="Verdana" w:cs="Verdana"/>
          <w:spacing w:val="-19"/>
          <w:lang w:val="es-ES"/>
        </w:rPr>
        <w:t xml:space="preserve"> </w:t>
      </w:r>
      <w:r w:rsidRPr="00515C0B">
        <w:rPr>
          <w:rFonts w:ascii="Verdana" w:eastAsia="Verdana" w:hAnsi="Verdana" w:cs="Verdana"/>
          <w:lang w:val="es-ES"/>
        </w:rPr>
        <w:t>normativa</w:t>
      </w:r>
      <w:r w:rsidRPr="00515C0B">
        <w:rPr>
          <w:rFonts w:ascii="Verdana" w:eastAsia="Verdana" w:hAnsi="Verdana" w:cs="Verdana"/>
          <w:spacing w:val="-20"/>
          <w:lang w:val="es-ES"/>
        </w:rPr>
        <w:t xml:space="preserve"> </w:t>
      </w:r>
      <w:r w:rsidRPr="00515C0B">
        <w:rPr>
          <w:rFonts w:ascii="Verdana" w:eastAsia="Verdana" w:hAnsi="Verdana" w:cs="Verdana"/>
          <w:lang w:val="es-ES"/>
        </w:rPr>
        <w:t>de</w:t>
      </w:r>
      <w:r w:rsidRPr="00515C0B">
        <w:rPr>
          <w:rFonts w:ascii="Verdana" w:eastAsia="Verdana" w:hAnsi="Verdana" w:cs="Verdana"/>
          <w:spacing w:val="-19"/>
          <w:lang w:val="es-ES"/>
        </w:rPr>
        <w:t xml:space="preserve"> </w:t>
      </w:r>
      <w:r w:rsidRPr="00515C0B">
        <w:rPr>
          <w:rFonts w:ascii="Verdana" w:eastAsia="Verdana" w:hAnsi="Verdana" w:cs="Verdana"/>
          <w:lang w:val="es-ES"/>
        </w:rPr>
        <w:t>contratación</w:t>
      </w:r>
      <w:r w:rsidRPr="00515C0B">
        <w:rPr>
          <w:rFonts w:ascii="Verdana" w:eastAsia="Verdana" w:hAnsi="Verdana" w:cs="Verdana"/>
          <w:spacing w:val="-20"/>
          <w:lang w:val="es-ES"/>
        </w:rPr>
        <w:t xml:space="preserve"> </w:t>
      </w:r>
      <w:r w:rsidRPr="00515C0B">
        <w:rPr>
          <w:rFonts w:ascii="Verdana" w:eastAsia="Verdana" w:hAnsi="Verdana" w:cs="Verdana"/>
          <w:lang w:val="es-ES"/>
        </w:rPr>
        <w:t>pública</w:t>
      </w:r>
      <w:r w:rsidRPr="00515C0B">
        <w:rPr>
          <w:rFonts w:ascii="Verdana" w:eastAsia="Verdana" w:hAnsi="Verdana" w:cs="Verdana"/>
          <w:spacing w:val="-19"/>
          <w:lang w:val="es-ES"/>
        </w:rPr>
        <w:t xml:space="preserve"> </w:t>
      </w:r>
      <w:r w:rsidRPr="00515C0B">
        <w:rPr>
          <w:rFonts w:ascii="Verdana" w:eastAsia="Verdana" w:hAnsi="Verdana" w:cs="Verdana"/>
          <w:lang w:val="es-ES"/>
        </w:rPr>
        <w:t>que</w:t>
      </w:r>
      <w:r w:rsidRPr="00515C0B">
        <w:rPr>
          <w:rFonts w:ascii="Verdana" w:eastAsia="Verdana" w:hAnsi="Verdana" w:cs="Verdana"/>
          <w:spacing w:val="-19"/>
          <w:lang w:val="es-ES"/>
        </w:rPr>
        <w:t xml:space="preserve"> </w:t>
      </w:r>
      <w:r w:rsidRPr="00515C0B">
        <w:rPr>
          <w:rFonts w:ascii="Verdana" w:eastAsia="Verdana" w:hAnsi="Verdana" w:cs="Verdana"/>
          <w:lang w:val="es-ES"/>
        </w:rPr>
        <w:t>son</w:t>
      </w:r>
      <w:r w:rsidRPr="00515C0B">
        <w:rPr>
          <w:rFonts w:ascii="Verdana" w:eastAsia="Verdana" w:hAnsi="Verdana" w:cs="Verdana"/>
          <w:spacing w:val="-20"/>
          <w:lang w:val="es-ES"/>
        </w:rPr>
        <w:t xml:space="preserve"> </w:t>
      </w:r>
      <w:r w:rsidRPr="00515C0B">
        <w:rPr>
          <w:rFonts w:ascii="Verdana" w:eastAsia="Verdana" w:hAnsi="Verdana" w:cs="Verdana"/>
          <w:lang w:val="es-ES"/>
        </w:rPr>
        <w:t>transversales</w:t>
      </w:r>
      <w:r w:rsidRPr="00515C0B">
        <w:rPr>
          <w:rFonts w:ascii="Verdana" w:eastAsia="Verdana" w:hAnsi="Verdana" w:cs="Verdana"/>
          <w:spacing w:val="-19"/>
          <w:lang w:val="es-ES"/>
        </w:rPr>
        <w:t xml:space="preserve"> </w:t>
      </w:r>
      <w:r w:rsidRPr="00515C0B">
        <w:rPr>
          <w:rFonts w:ascii="Verdana" w:eastAsia="Verdana" w:hAnsi="Verdana" w:cs="Verdana"/>
          <w:lang w:val="es-ES"/>
        </w:rPr>
        <w:t>a</w:t>
      </w:r>
      <w:r w:rsidRPr="00515C0B">
        <w:rPr>
          <w:rFonts w:ascii="Verdana" w:eastAsia="Verdana" w:hAnsi="Verdana" w:cs="Verdana"/>
          <w:spacing w:val="-19"/>
          <w:lang w:val="es-ES"/>
        </w:rPr>
        <w:t xml:space="preserve"> </w:t>
      </w:r>
      <w:r w:rsidRPr="00515C0B">
        <w:rPr>
          <w:rFonts w:ascii="Verdana" w:eastAsia="Verdana" w:hAnsi="Verdana" w:cs="Verdana"/>
          <w:lang w:val="es-ES"/>
        </w:rPr>
        <w:t>todas las</w:t>
      </w:r>
      <w:r w:rsidRPr="00515C0B">
        <w:rPr>
          <w:rFonts w:ascii="Verdana" w:eastAsia="Verdana" w:hAnsi="Verdana" w:cs="Verdana"/>
          <w:spacing w:val="-19"/>
          <w:lang w:val="es-ES"/>
        </w:rPr>
        <w:t xml:space="preserve"> </w:t>
      </w:r>
      <w:r w:rsidRPr="00515C0B">
        <w:rPr>
          <w:rFonts w:ascii="Verdana" w:eastAsia="Verdana" w:hAnsi="Verdana" w:cs="Verdana"/>
          <w:lang w:val="es-ES"/>
        </w:rPr>
        <w:t>entidades,</w:t>
      </w:r>
      <w:r w:rsidRPr="00515C0B">
        <w:rPr>
          <w:rFonts w:ascii="Verdana" w:eastAsia="Verdana" w:hAnsi="Verdana" w:cs="Verdana"/>
          <w:spacing w:val="-19"/>
          <w:lang w:val="es-ES"/>
        </w:rPr>
        <w:t xml:space="preserve"> </w:t>
      </w:r>
      <w:r w:rsidRPr="00515C0B">
        <w:rPr>
          <w:rFonts w:ascii="Verdana" w:eastAsia="Verdana" w:hAnsi="Verdana" w:cs="Verdana"/>
          <w:lang w:val="es-ES"/>
        </w:rPr>
        <w:t>sin</w:t>
      </w:r>
      <w:r w:rsidRPr="00515C0B">
        <w:rPr>
          <w:rFonts w:ascii="Verdana" w:eastAsia="Verdana" w:hAnsi="Verdana" w:cs="Verdana"/>
          <w:spacing w:val="-18"/>
          <w:lang w:val="es-ES"/>
        </w:rPr>
        <w:t xml:space="preserve"> </w:t>
      </w:r>
      <w:r w:rsidRPr="00515C0B">
        <w:rPr>
          <w:rFonts w:ascii="Verdana" w:eastAsia="Verdana" w:hAnsi="Verdana" w:cs="Verdana"/>
          <w:lang w:val="es-ES"/>
        </w:rPr>
        <w:t>importar</w:t>
      </w:r>
      <w:r w:rsidRPr="00515C0B">
        <w:rPr>
          <w:rFonts w:ascii="Verdana" w:eastAsia="Verdana" w:hAnsi="Verdana" w:cs="Verdana"/>
          <w:spacing w:val="-18"/>
          <w:lang w:val="es-ES"/>
        </w:rPr>
        <w:t xml:space="preserve"> </w:t>
      </w:r>
      <w:r w:rsidRPr="00515C0B">
        <w:rPr>
          <w:rFonts w:ascii="Verdana" w:eastAsia="Verdana" w:hAnsi="Verdana" w:cs="Verdana"/>
          <w:lang w:val="es-ES"/>
        </w:rPr>
        <w:t>su</w:t>
      </w:r>
      <w:r w:rsidRPr="00515C0B">
        <w:rPr>
          <w:rFonts w:ascii="Verdana" w:eastAsia="Verdana" w:hAnsi="Verdana" w:cs="Verdana"/>
          <w:spacing w:val="-18"/>
          <w:lang w:val="es-ES"/>
        </w:rPr>
        <w:t xml:space="preserve"> </w:t>
      </w:r>
      <w:r w:rsidRPr="00515C0B">
        <w:rPr>
          <w:rFonts w:ascii="Verdana" w:eastAsia="Verdana" w:hAnsi="Verdana" w:cs="Verdana"/>
          <w:lang w:val="es-ES"/>
        </w:rPr>
        <w:t>régimen</w:t>
      </w:r>
      <w:r w:rsidRPr="00515C0B">
        <w:rPr>
          <w:rFonts w:ascii="Verdana" w:eastAsia="Verdana" w:hAnsi="Verdana" w:cs="Verdana"/>
          <w:spacing w:val="-19"/>
          <w:lang w:val="es-ES"/>
        </w:rPr>
        <w:t xml:space="preserve"> </w:t>
      </w:r>
      <w:r w:rsidRPr="00515C0B">
        <w:rPr>
          <w:rFonts w:ascii="Verdana" w:eastAsia="Verdana" w:hAnsi="Verdana" w:cs="Verdana"/>
          <w:lang w:val="es-ES"/>
        </w:rPr>
        <w:t>contractual.</w:t>
      </w:r>
      <w:r w:rsidRPr="00515C0B">
        <w:rPr>
          <w:rFonts w:ascii="Verdana" w:eastAsia="Verdana" w:hAnsi="Verdana" w:cs="Verdana"/>
          <w:spacing w:val="-19"/>
          <w:lang w:val="es-ES"/>
        </w:rPr>
        <w:t xml:space="preserve"> </w:t>
      </w:r>
      <w:r w:rsidRPr="0037405A">
        <w:rPr>
          <w:rFonts w:ascii="Verdana" w:eastAsia="Verdana" w:hAnsi="Verdana" w:cs="Verdana"/>
          <w:lang w:val="es-ES"/>
        </w:rPr>
        <w:t>Lo</w:t>
      </w:r>
      <w:r w:rsidRPr="0037405A">
        <w:rPr>
          <w:rFonts w:ascii="Verdana" w:eastAsia="Verdana" w:hAnsi="Verdana" w:cs="Verdana"/>
          <w:spacing w:val="-3"/>
          <w:lang w:val="es-ES"/>
        </w:rPr>
        <w:t xml:space="preserve"> </w:t>
      </w:r>
      <w:r w:rsidRPr="0037405A">
        <w:rPr>
          <w:rFonts w:ascii="Verdana" w:eastAsia="Verdana" w:hAnsi="Verdana" w:cs="Verdana"/>
          <w:lang w:val="es-ES"/>
        </w:rPr>
        <w:t>anterior, implica</w:t>
      </w:r>
      <w:r w:rsidRPr="0037405A">
        <w:rPr>
          <w:rFonts w:ascii="Verdana" w:eastAsia="Verdana" w:hAnsi="Verdana" w:cs="Verdana"/>
          <w:spacing w:val="-2"/>
          <w:lang w:val="es-ES"/>
        </w:rPr>
        <w:t xml:space="preserve"> </w:t>
      </w:r>
      <w:r w:rsidRPr="0037405A">
        <w:rPr>
          <w:rFonts w:ascii="Verdana" w:eastAsia="Verdana" w:hAnsi="Verdana" w:cs="Verdana"/>
          <w:lang w:val="es-ES"/>
        </w:rPr>
        <w:t>dar cumplimiento a</w:t>
      </w:r>
      <w:r w:rsidRPr="0037405A">
        <w:rPr>
          <w:rFonts w:ascii="Verdana" w:eastAsia="Verdana" w:hAnsi="Verdana" w:cs="Verdana"/>
          <w:spacing w:val="-6"/>
          <w:lang w:val="es-ES"/>
        </w:rPr>
        <w:t xml:space="preserve"> </w:t>
      </w:r>
      <w:r w:rsidRPr="0037405A">
        <w:rPr>
          <w:rFonts w:ascii="Verdana" w:eastAsia="Verdana" w:hAnsi="Verdana" w:cs="Verdana"/>
          <w:lang w:val="es-ES"/>
        </w:rPr>
        <w:t>lo dispuesto en</w:t>
      </w:r>
      <w:r w:rsidRPr="0037405A">
        <w:rPr>
          <w:rFonts w:ascii="Verdana" w:eastAsia="Verdana" w:hAnsi="Verdana" w:cs="Verdana"/>
          <w:spacing w:val="-4"/>
          <w:lang w:val="es-ES"/>
        </w:rPr>
        <w:t xml:space="preserve"> </w:t>
      </w:r>
      <w:r w:rsidRPr="0037405A">
        <w:rPr>
          <w:rFonts w:ascii="Verdana" w:eastAsia="Verdana" w:hAnsi="Verdana" w:cs="Verdana"/>
          <w:lang w:val="es-ES"/>
        </w:rPr>
        <w:t>el</w:t>
      </w:r>
      <w:r w:rsidRPr="0037405A">
        <w:rPr>
          <w:rFonts w:ascii="Verdana" w:eastAsia="Verdana" w:hAnsi="Verdana" w:cs="Verdana"/>
          <w:spacing w:val="-4"/>
          <w:lang w:val="es-ES"/>
        </w:rPr>
        <w:t xml:space="preserve"> </w:t>
      </w:r>
      <w:r w:rsidRPr="0037405A">
        <w:rPr>
          <w:rFonts w:ascii="Verdana" w:eastAsia="Verdana" w:hAnsi="Verdana" w:cs="Verdana"/>
          <w:lang w:val="es-ES"/>
        </w:rPr>
        <w:t>artículo</w:t>
      </w:r>
      <w:r w:rsidRPr="0037405A">
        <w:rPr>
          <w:rFonts w:ascii="Verdana" w:eastAsia="Verdana" w:hAnsi="Verdana" w:cs="Verdana"/>
          <w:spacing w:val="-3"/>
          <w:lang w:val="es-ES"/>
        </w:rPr>
        <w:t xml:space="preserve"> </w:t>
      </w:r>
      <w:r w:rsidRPr="0037405A">
        <w:rPr>
          <w:rFonts w:ascii="Verdana" w:eastAsia="Verdana" w:hAnsi="Verdana" w:cs="Verdana"/>
          <w:lang w:val="es-ES"/>
        </w:rPr>
        <w:t>13</w:t>
      </w:r>
      <w:r w:rsidRPr="0037405A">
        <w:rPr>
          <w:rFonts w:ascii="Verdana" w:eastAsia="Verdana" w:hAnsi="Verdana" w:cs="Verdana"/>
          <w:spacing w:val="-4"/>
          <w:lang w:val="es-ES"/>
        </w:rPr>
        <w:t xml:space="preserve"> </w:t>
      </w:r>
      <w:r w:rsidRPr="0037405A">
        <w:rPr>
          <w:rFonts w:ascii="Verdana" w:eastAsia="Verdana" w:hAnsi="Verdana" w:cs="Verdana"/>
          <w:lang w:val="es-ES"/>
        </w:rPr>
        <w:t>de</w:t>
      </w:r>
      <w:r w:rsidRPr="0037405A">
        <w:rPr>
          <w:rFonts w:ascii="Verdana" w:eastAsia="Verdana" w:hAnsi="Verdana" w:cs="Verdana"/>
          <w:spacing w:val="-1"/>
          <w:lang w:val="es-ES"/>
        </w:rPr>
        <w:t xml:space="preserve"> </w:t>
      </w:r>
      <w:r w:rsidRPr="0037405A">
        <w:rPr>
          <w:rFonts w:ascii="Verdana" w:eastAsia="Verdana" w:hAnsi="Verdana" w:cs="Verdana"/>
          <w:lang w:val="es-ES"/>
        </w:rPr>
        <w:t>la Ley</w:t>
      </w:r>
      <w:r w:rsidRPr="0037405A">
        <w:rPr>
          <w:rFonts w:ascii="Verdana" w:eastAsia="Verdana" w:hAnsi="Verdana" w:cs="Verdana"/>
          <w:spacing w:val="-17"/>
          <w:lang w:val="es-ES"/>
        </w:rPr>
        <w:t xml:space="preserve"> </w:t>
      </w:r>
      <w:r w:rsidRPr="0037405A">
        <w:rPr>
          <w:rFonts w:ascii="Verdana" w:eastAsia="Verdana" w:hAnsi="Verdana" w:cs="Verdana"/>
          <w:lang w:val="es-ES"/>
        </w:rPr>
        <w:t>1150</w:t>
      </w:r>
      <w:r w:rsidRPr="0037405A">
        <w:rPr>
          <w:rFonts w:ascii="Verdana" w:eastAsia="Verdana" w:hAnsi="Verdana" w:cs="Verdana"/>
          <w:spacing w:val="-16"/>
          <w:lang w:val="es-ES"/>
        </w:rPr>
        <w:t xml:space="preserve"> </w:t>
      </w:r>
      <w:r w:rsidRPr="0037405A">
        <w:rPr>
          <w:rFonts w:ascii="Verdana" w:eastAsia="Verdana" w:hAnsi="Verdana" w:cs="Verdana"/>
          <w:lang w:val="es-ES"/>
        </w:rPr>
        <w:t>de</w:t>
      </w:r>
      <w:r w:rsidRPr="0037405A">
        <w:rPr>
          <w:rFonts w:ascii="Verdana" w:eastAsia="Verdana" w:hAnsi="Verdana" w:cs="Verdana"/>
          <w:spacing w:val="-17"/>
          <w:lang w:val="es-ES"/>
        </w:rPr>
        <w:t xml:space="preserve"> </w:t>
      </w:r>
      <w:r w:rsidRPr="0037405A">
        <w:rPr>
          <w:rFonts w:ascii="Verdana" w:eastAsia="Verdana" w:hAnsi="Verdana" w:cs="Verdana"/>
          <w:lang w:val="es-ES"/>
        </w:rPr>
        <w:t>2007,</w:t>
      </w:r>
      <w:r w:rsidRPr="0037405A">
        <w:rPr>
          <w:rFonts w:ascii="Verdana" w:eastAsia="Verdana" w:hAnsi="Verdana" w:cs="Verdana"/>
          <w:spacing w:val="-16"/>
          <w:lang w:val="es-ES"/>
        </w:rPr>
        <w:t xml:space="preserve"> </w:t>
      </w:r>
      <w:r w:rsidRPr="0037405A">
        <w:rPr>
          <w:rFonts w:ascii="Verdana" w:eastAsia="Verdana" w:hAnsi="Verdana" w:cs="Verdana"/>
          <w:lang w:val="es-ES"/>
        </w:rPr>
        <w:t>esto</w:t>
      </w:r>
      <w:r w:rsidRPr="0037405A">
        <w:rPr>
          <w:rFonts w:ascii="Verdana" w:eastAsia="Verdana" w:hAnsi="Verdana" w:cs="Verdana"/>
          <w:spacing w:val="-15"/>
          <w:lang w:val="es-ES"/>
        </w:rPr>
        <w:t xml:space="preserve"> </w:t>
      </w:r>
      <w:r w:rsidRPr="0037405A">
        <w:rPr>
          <w:rFonts w:ascii="Verdana" w:eastAsia="Verdana" w:hAnsi="Verdana" w:cs="Verdana"/>
          <w:lang w:val="es-ES"/>
        </w:rPr>
        <w:t>es,</w:t>
      </w:r>
      <w:r w:rsidRPr="0037405A">
        <w:rPr>
          <w:rFonts w:ascii="Verdana" w:eastAsia="Verdana" w:hAnsi="Verdana" w:cs="Verdana"/>
          <w:spacing w:val="-16"/>
          <w:lang w:val="es-ES"/>
        </w:rPr>
        <w:t xml:space="preserve"> </w:t>
      </w:r>
      <w:r w:rsidRPr="0037405A">
        <w:rPr>
          <w:rFonts w:ascii="Verdana" w:eastAsia="Verdana" w:hAnsi="Verdana" w:cs="Verdana"/>
          <w:lang w:val="es-ES"/>
        </w:rPr>
        <w:t>del</w:t>
      </w:r>
      <w:r w:rsidRPr="0037405A">
        <w:rPr>
          <w:rFonts w:ascii="Verdana" w:eastAsia="Verdana" w:hAnsi="Verdana" w:cs="Verdana"/>
          <w:spacing w:val="-16"/>
          <w:lang w:val="es-ES"/>
        </w:rPr>
        <w:t xml:space="preserve"> </w:t>
      </w:r>
      <w:r w:rsidRPr="0037405A">
        <w:rPr>
          <w:rFonts w:ascii="Verdana" w:eastAsia="Verdana" w:hAnsi="Verdana" w:cs="Verdana"/>
          <w:lang w:val="es-ES"/>
        </w:rPr>
        <w:t>deber</w:t>
      </w:r>
      <w:r w:rsidRPr="0037405A">
        <w:rPr>
          <w:rFonts w:ascii="Verdana" w:eastAsia="Verdana" w:hAnsi="Verdana" w:cs="Verdana"/>
          <w:spacing w:val="-15"/>
          <w:lang w:val="es-ES"/>
        </w:rPr>
        <w:t xml:space="preserve"> </w:t>
      </w:r>
      <w:r w:rsidRPr="0037405A">
        <w:rPr>
          <w:rFonts w:ascii="Verdana" w:eastAsia="Verdana" w:hAnsi="Verdana" w:cs="Verdana"/>
          <w:lang w:val="es-ES"/>
        </w:rPr>
        <w:t>que</w:t>
      </w:r>
      <w:r w:rsidRPr="0037405A">
        <w:rPr>
          <w:rFonts w:ascii="Verdana" w:eastAsia="Verdana" w:hAnsi="Verdana" w:cs="Verdana"/>
          <w:spacing w:val="-17"/>
          <w:lang w:val="es-ES"/>
        </w:rPr>
        <w:t xml:space="preserve"> </w:t>
      </w:r>
      <w:r w:rsidRPr="0037405A">
        <w:rPr>
          <w:rFonts w:ascii="Verdana" w:eastAsia="Verdana" w:hAnsi="Verdana" w:cs="Verdana"/>
          <w:lang w:val="es-ES"/>
        </w:rPr>
        <w:t>le</w:t>
      </w:r>
      <w:r w:rsidRPr="0037405A">
        <w:rPr>
          <w:rFonts w:ascii="Verdana" w:eastAsia="Verdana" w:hAnsi="Verdana" w:cs="Verdana"/>
          <w:spacing w:val="-17"/>
          <w:lang w:val="es-ES"/>
        </w:rPr>
        <w:t xml:space="preserve"> </w:t>
      </w:r>
      <w:r w:rsidRPr="0037405A">
        <w:rPr>
          <w:rFonts w:ascii="Verdana" w:eastAsia="Verdana" w:hAnsi="Verdana" w:cs="Verdana"/>
          <w:lang w:val="es-ES"/>
        </w:rPr>
        <w:t>incumbe</w:t>
      </w:r>
      <w:r w:rsidRPr="0037405A">
        <w:rPr>
          <w:rFonts w:ascii="Verdana" w:eastAsia="Verdana" w:hAnsi="Verdana" w:cs="Verdana"/>
          <w:spacing w:val="-17"/>
          <w:lang w:val="es-ES"/>
        </w:rPr>
        <w:t xml:space="preserve"> </w:t>
      </w:r>
      <w:r w:rsidRPr="0037405A">
        <w:rPr>
          <w:rFonts w:ascii="Verdana" w:eastAsia="Verdana" w:hAnsi="Verdana" w:cs="Verdana"/>
          <w:lang w:val="es-ES"/>
        </w:rPr>
        <w:t>a</w:t>
      </w:r>
      <w:r w:rsidRPr="0037405A">
        <w:rPr>
          <w:rFonts w:ascii="Verdana" w:eastAsia="Verdana" w:hAnsi="Verdana" w:cs="Verdana"/>
          <w:spacing w:val="-18"/>
          <w:lang w:val="es-ES"/>
        </w:rPr>
        <w:t xml:space="preserve"> </w:t>
      </w:r>
      <w:r w:rsidRPr="0037405A">
        <w:rPr>
          <w:rFonts w:ascii="Verdana" w:eastAsia="Verdana" w:hAnsi="Verdana" w:cs="Verdana"/>
          <w:lang w:val="es-ES"/>
        </w:rPr>
        <w:t>la</w:t>
      </w:r>
      <w:r w:rsidRPr="0037405A">
        <w:rPr>
          <w:rFonts w:ascii="Verdana" w:eastAsia="Verdana" w:hAnsi="Verdana" w:cs="Verdana"/>
          <w:spacing w:val="-18"/>
          <w:lang w:val="es-ES"/>
        </w:rPr>
        <w:t xml:space="preserve"> </w:t>
      </w:r>
      <w:r w:rsidRPr="0037405A">
        <w:rPr>
          <w:rFonts w:ascii="Verdana" w:eastAsia="Verdana" w:hAnsi="Verdana" w:cs="Verdana"/>
          <w:lang w:val="es-ES"/>
        </w:rPr>
        <w:t>E</w:t>
      </w:r>
      <w:r>
        <w:rPr>
          <w:rFonts w:ascii="Verdana" w:eastAsia="Verdana" w:hAnsi="Verdana" w:cs="Verdana"/>
          <w:lang w:val="es-ES"/>
        </w:rPr>
        <w:t xml:space="preserve">mpresas </w:t>
      </w:r>
      <w:r w:rsidRPr="0037405A">
        <w:rPr>
          <w:rFonts w:ascii="Verdana" w:eastAsia="Verdana" w:hAnsi="Verdana" w:cs="Verdana"/>
          <w:lang w:val="es-ES"/>
        </w:rPr>
        <w:t>I</w:t>
      </w:r>
      <w:r>
        <w:rPr>
          <w:rFonts w:ascii="Verdana" w:eastAsia="Verdana" w:hAnsi="Verdana" w:cs="Verdana"/>
          <w:lang w:val="es-ES"/>
        </w:rPr>
        <w:t xml:space="preserve">ndustriales y </w:t>
      </w:r>
      <w:r w:rsidRPr="0037405A">
        <w:rPr>
          <w:rFonts w:ascii="Verdana" w:eastAsia="Verdana" w:hAnsi="Verdana" w:cs="Verdana"/>
          <w:lang w:val="es-ES"/>
        </w:rPr>
        <w:t>C</w:t>
      </w:r>
      <w:r>
        <w:rPr>
          <w:rFonts w:ascii="Verdana" w:eastAsia="Verdana" w:hAnsi="Verdana" w:cs="Verdana"/>
          <w:lang w:val="es-ES"/>
        </w:rPr>
        <w:t xml:space="preserve">omerciales del </w:t>
      </w:r>
      <w:r w:rsidRPr="0037405A">
        <w:rPr>
          <w:rFonts w:ascii="Verdana" w:eastAsia="Verdana" w:hAnsi="Verdana" w:cs="Verdana"/>
          <w:lang w:val="es-ES"/>
        </w:rPr>
        <w:t>E</w:t>
      </w:r>
      <w:r>
        <w:rPr>
          <w:rFonts w:ascii="Verdana" w:eastAsia="Verdana" w:hAnsi="Verdana" w:cs="Verdana"/>
          <w:lang w:val="es-ES"/>
        </w:rPr>
        <w:t>stado</w:t>
      </w:r>
      <w:r w:rsidRPr="0037405A">
        <w:rPr>
          <w:rFonts w:ascii="Verdana" w:eastAsia="Verdana" w:hAnsi="Verdana" w:cs="Verdana"/>
          <w:spacing w:val="-16"/>
          <w:lang w:val="es-ES"/>
        </w:rPr>
        <w:t xml:space="preserve"> </w:t>
      </w:r>
      <w:r w:rsidRPr="0037405A">
        <w:rPr>
          <w:rFonts w:ascii="Verdana" w:eastAsia="Verdana" w:hAnsi="Verdana" w:cs="Verdana"/>
          <w:lang w:val="es-ES"/>
        </w:rPr>
        <w:t>de</w:t>
      </w:r>
      <w:r w:rsidRPr="0037405A">
        <w:rPr>
          <w:rFonts w:ascii="Verdana" w:eastAsia="Verdana" w:hAnsi="Verdana" w:cs="Verdana"/>
          <w:spacing w:val="-17"/>
          <w:lang w:val="es-ES"/>
        </w:rPr>
        <w:t xml:space="preserve"> </w:t>
      </w:r>
      <w:r w:rsidRPr="0037405A">
        <w:rPr>
          <w:rFonts w:ascii="Verdana" w:eastAsia="Verdana" w:hAnsi="Verdana" w:cs="Verdana"/>
          <w:lang w:val="es-ES"/>
        </w:rPr>
        <w:t>aplicar,</w:t>
      </w:r>
      <w:r w:rsidRPr="0037405A">
        <w:rPr>
          <w:rFonts w:ascii="Verdana" w:eastAsia="Verdana" w:hAnsi="Verdana" w:cs="Verdana"/>
          <w:spacing w:val="-16"/>
          <w:lang w:val="es-ES"/>
        </w:rPr>
        <w:t xml:space="preserve"> </w:t>
      </w:r>
      <w:r w:rsidRPr="0037405A">
        <w:rPr>
          <w:rFonts w:ascii="Verdana" w:eastAsia="Verdana" w:hAnsi="Verdana" w:cs="Verdana"/>
          <w:lang w:val="es-ES"/>
        </w:rPr>
        <w:t>acorde con</w:t>
      </w:r>
      <w:r w:rsidRPr="0037405A">
        <w:rPr>
          <w:rFonts w:ascii="Verdana" w:eastAsia="Verdana" w:hAnsi="Verdana" w:cs="Verdana"/>
          <w:spacing w:val="-2"/>
          <w:lang w:val="es-ES"/>
        </w:rPr>
        <w:t xml:space="preserve"> </w:t>
      </w:r>
      <w:r w:rsidRPr="0037405A">
        <w:rPr>
          <w:rFonts w:ascii="Verdana" w:eastAsia="Verdana" w:hAnsi="Verdana" w:cs="Verdana"/>
          <w:lang w:val="es-ES"/>
        </w:rPr>
        <w:t>su</w:t>
      </w:r>
      <w:r w:rsidRPr="0037405A">
        <w:rPr>
          <w:rFonts w:ascii="Verdana" w:eastAsia="Verdana" w:hAnsi="Verdana" w:cs="Verdana"/>
          <w:spacing w:val="-6"/>
          <w:lang w:val="es-ES"/>
        </w:rPr>
        <w:t xml:space="preserve"> </w:t>
      </w:r>
      <w:r w:rsidRPr="0037405A">
        <w:rPr>
          <w:rFonts w:ascii="Verdana" w:eastAsia="Verdana" w:hAnsi="Verdana" w:cs="Verdana"/>
          <w:lang w:val="es-ES"/>
        </w:rPr>
        <w:t>régimen</w:t>
      </w:r>
      <w:r w:rsidRPr="0037405A">
        <w:rPr>
          <w:rFonts w:ascii="Verdana" w:eastAsia="Verdana" w:hAnsi="Verdana" w:cs="Verdana"/>
          <w:spacing w:val="-2"/>
          <w:lang w:val="es-ES"/>
        </w:rPr>
        <w:t xml:space="preserve"> </w:t>
      </w:r>
      <w:r w:rsidRPr="0037405A">
        <w:rPr>
          <w:rFonts w:ascii="Verdana" w:eastAsia="Verdana" w:hAnsi="Verdana" w:cs="Verdana"/>
          <w:lang w:val="es-ES"/>
        </w:rPr>
        <w:t>legal</w:t>
      </w:r>
      <w:r w:rsidRPr="0037405A">
        <w:rPr>
          <w:rFonts w:ascii="Verdana" w:eastAsia="Verdana" w:hAnsi="Verdana" w:cs="Verdana"/>
          <w:spacing w:val="-2"/>
          <w:lang w:val="es-ES"/>
        </w:rPr>
        <w:t xml:space="preserve"> </w:t>
      </w:r>
      <w:r w:rsidRPr="0037405A">
        <w:rPr>
          <w:rFonts w:ascii="Verdana" w:eastAsia="Verdana" w:hAnsi="Verdana" w:cs="Verdana"/>
          <w:lang w:val="es-ES"/>
        </w:rPr>
        <w:t>especial,</w:t>
      </w:r>
      <w:r w:rsidRPr="0037405A">
        <w:rPr>
          <w:rFonts w:ascii="Verdana" w:eastAsia="Verdana" w:hAnsi="Verdana" w:cs="Verdana"/>
          <w:spacing w:val="-2"/>
          <w:lang w:val="es-ES"/>
        </w:rPr>
        <w:t xml:space="preserve"> </w:t>
      </w:r>
      <w:r w:rsidRPr="0037405A">
        <w:rPr>
          <w:rFonts w:ascii="Verdana" w:eastAsia="Verdana" w:hAnsi="Verdana" w:cs="Verdana"/>
          <w:lang w:val="es-ES"/>
        </w:rPr>
        <w:t>los</w:t>
      </w:r>
      <w:r w:rsidRPr="0037405A">
        <w:rPr>
          <w:rFonts w:ascii="Verdana" w:eastAsia="Verdana" w:hAnsi="Verdana" w:cs="Verdana"/>
          <w:spacing w:val="-2"/>
          <w:lang w:val="es-ES"/>
        </w:rPr>
        <w:t xml:space="preserve"> </w:t>
      </w:r>
      <w:r w:rsidRPr="0037405A">
        <w:rPr>
          <w:rFonts w:ascii="Verdana" w:eastAsia="Verdana" w:hAnsi="Verdana" w:cs="Verdana"/>
          <w:lang w:val="es-ES"/>
        </w:rPr>
        <w:t>principios</w:t>
      </w:r>
      <w:r w:rsidRPr="0037405A">
        <w:rPr>
          <w:rFonts w:ascii="Verdana" w:eastAsia="Verdana" w:hAnsi="Verdana" w:cs="Verdana"/>
          <w:spacing w:val="-2"/>
          <w:lang w:val="es-ES"/>
        </w:rPr>
        <w:t xml:space="preserve"> </w:t>
      </w:r>
      <w:r w:rsidRPr="0037405A">
        <w:rPr>
          <w:rFonts w:ascii="Verdana" w:eastAsia="Verdana" w:hAnsi="Verdana" w:cs="Verdana"/>
          <w:lang w:val="es-ES"/>
        </w:rPr>
        <w:t>de</w:t>
      </w:r>
      <w:r w:rsidRPr="0037405A">
        <w:rPr>
          <w:rFonts w:ascii="Verdana" w:eastAsia="Verdana" w:hAnsi="Verdana" w:cs="Verdana"/>
          <w:spacing w:val="-3"/>
          <w:lang w:val="es-ES"/>
        </w:rPr>
        <w:t xml:space="preserve"> </w:t>
      </w:r>
      <w:r w:rsidRPr="0037405A">
        <w:rPr>
          <w:rFonts w:ascii="Verdana" w:eastAsia="Verdana" w:hAnsi="Verdana" w:cs="Verdana"/>
          <w:lang w:val="es-ES"/>
        </w:rPr>
        <w:t>la</w:t>
      </w:r>
      <w:r w:rsidRPr="0037405A">
        <w:rPr>
          <w:rFonts w:ascii="Verdana" w:eastAsia="Verdana" w:hAnsi="Verdana" w:cs="Verdana"/>
          <w:spacing w:val="-4"/>
          <w:lang w:val="es-ES"/>
        </w:rPr>
        <w:t xml:space="preserve"> </w:t>
      </w:r>
      <w:r w:rsidRPr="0037405A">
        <w:rPr>
          <w:rFonts w:ascii="Verdana" w:eastAsia="Verdana" w:hAnsi="Verdana" w:cs="Verdana"/>
          <w:lang w:val="es-ES"/>
        </w:rPr>
        <w:t>función</w:t>
      </w:r>
      <w:r w:rsidRPr="0037405A">
        <w:rPr>
          <w:rFonts w:ascii="Verdana" w:eastAsia="Verdana" w:hAnsi="Verdana" w:cs="Verdana"/>
          <w:spacing w:val="-7"/>
          <w:lang w:val="es-ES"/>
        </w:rPr>
        <w:t xml:space="preserve"> </w:t>
      </w:r>
      <w:r w:rsidRPr="0037405A">
        <w:rPr>
          <w:rFonts w:ascii="Verdana" w:eastAsia="Verdana" w:hAnsi="Verdana" w:cs="Verdana"/>
          <w:lang w:val="es-ES"/>
        </w:rPr>
        <w:t>administrativa</w:t>
      </w:r>
      <w:r w:rsidRPr="0037405A">
        <w:rPr>
          <w:rFonts w:ascii="Verdana" w:eastAsia="Verdana" w:hAnsi="Verdana" w:cs="Verdana"/>
          <w:spacing w:val="-5"/>
          <w:lang w:val="es-ES"/>
        </w:rPr>
        <w:t xml:space="preserve"> </w:t>
      </w:r>
      <w:r w:rsidRPr="0037405A">
        <w:rPr>
          <w:rFonts w:ascii="Verdana" w:eastAsia="Verdana" w:hAnsi="Verdana" w:cs="Verdana"/>
          <w:lang w:val="es-ES"/>
        </w:rPr>
        <w:t>y</w:t>
      </w:r>
      <w:r w:rsidRPr="0037405A">
        <w:rPr>
          <w:rFonts w:ascii="Verdana" w:eastAsia="Verdana" w:hAnsi="Verdana" w:cs="Verdana"/>
          <w:spacing w:val="-3"/>
          <w:lang w:val="es-ES"/>
        </w:rPr>
        <w:t xml:space="preserve"> </w:t>
      </w:r>
      <w:r w:rsidRPr="0037405A">
        <w:rPr>
          <w:rFonts w:ascii="Verdana" w:eastAsia="Verdana" w:hAnsi="Verdana" w:cs="Verdana"/>
          <w:lang w:val="es-ES"/>
        </w:rPr>
        <w:t>de</w:t>
      </w:r>
      <w:r w:rsidRPr="0037405A">
        <w:rPr>
          <w:rFonts w:ascii="Verdana" w:eastAsia="Verdana" w:hAnsi="Verdana" w:cs="Verdana"/>
          <w:spacing w:val="-3"/>
          <w:lang w:val="es-ES"/>
        </w:rPr>
        <w:t xml:space="preserve"> </w:t>
      </w:r>
      <w:r w:rsidRPr="0037405A">
        <w:rPr>
          <w:rFonts w:ascii="Verdana" w:eastAsia="Verdana" w:hAnsi="Verdana" w:cs="Verdana"/>
          <w:lang w:val="es-ES"/>
        </w:rPr>
        <w:t>la gestión</w:t>
      </w:r>
      <w:r w:rsidRPr="0037405A">
        <w:rPr>
          <w:rFonts w:ascii="Verdana" w:eastAsia="Verdana" w:hAnsi="Verdana" w:cs="Verdana"/>
          <w:spacing w:val="-3"/>
          <w:lang w:val="es-ES"/>
        </w:rPr>
        <w:t xml:space="preserve"> </w:t>
      </w:r>
      <w:r w:rsidRPr="0037405A">
        <w:rPr>
          <w:rFonts w:ascii="Verdana" w:eastAsia="Verdana" w:hAnsi="Verdana" w:cs="Verdana"/>
          <w:lang w:val="es-ES"/>
        </w:rPr>
        <w:t>fiscal</w:t>
      </w:r>
      <w:r w:rsidRPr="0037405A">
        <w:rPr>
          <w:rFonts w:ascii="Verdana" w:eastAsia="Verdana" w:hAnsi="Verdana" w:cs="Verdana"/>
          <w:spacing w:val="-3"/>
          <w:lang w:val="es-ES"/>
        </w:rPr>
        <w:t xml:space="preserve"> </w:t>
      </w:r>
      <w:r w:rsidRPr="0037405A">
        <w:rPr>
          <w:rFonts w:ascii="Verdana" w:eastAsia="Verdana" w:hAnsi="Verdana" w:cs="Verdana"/>
          <w:lang w:val="es-ES"/>
        </w:rPr>
        <w:t>consagrados</w:t>
      </w:r>
      <w:r w:rsidRPr="0037405A">
        <w:rPr>
          <w:rFonts w:ascii="Verdana" w:eastAsia="Verdana" w:hAnsi="Verdana" w:cs="Verdana"/>
          <w:spacing w:val="-3"/>
          <w:lang w:val="es-ES"/>
        </w:rPr>
        <w:t xml:space="preserve"> </w:t>
      </w:r>
      <w:r w:rsidRPr="0037405A">
        <w:rPr>
          <w:rFonts w:ascii="Verdana" w:eastAsia="Verdana" w:hAnsi="Verdana" w:cs="Verdana"/>
          <w:lang w:val="es-ES"/>
        </w:rPr>
        <w:t>en</w:t>
      </w:r>
      <w:r w:rsidRPr="0037405A">
        <w:rPr>
          <w:rFonts w:ascii="Verdana" w:eastAsia="Verdana" w:hAnsi="Verdana" w:cs="Verdana"/>
          <w:spacing w:val="-3"/>
          <w:lang w:val="es-ES"/>
        </w:rPr>
        <w:t xml:space="preserve"> </w:t>
      </w:r>
      <w:r w:rsidRPr="0037405A">
        <w:rPr>
          <w:rFonts w:ascii="Verdana" w:eastAsia="Verdana" w:hAnsi="Verdana" w:cs="Verdana"/>
          <w:lang w:val="es-ES"/>
        </w:rPr>
        <w:t>los</w:t>
      </w:r>
      <w:r w:rsidRPr="0037405A">
        <w:rPr>
          <w:rFonts w:ascii="Verdana" w:eastAsia="Verdana" w:hAnsi="Verdana" w:cs="Verdana"/>
          <w:spacing w:val="-3"/>
          <w:lang w:val="es-ES"/>
        </w:rPr>
        <w:t xml:space="preserve"> </w:t>
      </w:r>
      <w:r w:rsidRPr="0037405A">
        <w:rPr>
          <w:rFonts w:ascii="Verdana" w:eastAsia="Verdana" w:hAnsi="Verdana" w:cs="Verdana"/>
          <w:lang w:val="es-ES"/>
        </w:rPr>
        <w:t>artículos</w:t>
      </w:r>
      <w:r w:rsidRPr="0037405A">
        <w:rPr>
          <w:rFonts w:ascii="Verdana" w:eastAsia="Verdana" w:hAnsi="Verdana" w:cs="Verdana"/>
          <w:spacing w:val="-8"/>
          <w:lang w:val="es-ES"/>
        </w:rPr>
        <w:t xml:space="preserve"> </w:t>
      </w:r>
      <w:r w:rsidRPr="0037405A">
        <w:rPr>
          <w:rFonts w:ascii="Verdana" w:eastAsia="Verdana" w:hAnsi="Verdana" w:cs="Verdana"/>
          <w:lang w:val="es-ES"/>
        </w:rPr>
        <w:t>209</w:t>
      </w:r>
      <w:r w:rsidRPr="0037405A">
        <w:rPr>
          <w:rFonts w:ascii="Verdana" w:eastAsia="Verdana" w:hAnsi="Verdana" w:cs="Verdana"/>
          <w:spacing w:val="-3"/>
          <w:lang w:val="es-ES"/>
        </w:rPr>
        <w:t xml:space="preserve"> </w:t>
      </w:r>
      <w:r w:rsidRPr="0037405A">
        <w:rPr>
          <w:rFonts w:ascii="Verdana" w:eastAsia="Verdana" w:hAnsi="Verdana" w:cs="Verdana"/>
          <w:lang w:val="es-ES"/>
        </w:rPr>
        <w:t>y</w:t>
      </w:r>
      <w:r w:rsidRPr="0037405A">
        <w:rPr>
          <w:rFonts w:ascii="Verdana" w:eastAsia="Verdana" w:hAnsi="Verdana" w:cs="Verdana"/>
          <w:spacing w:val="-4"/>
          <w:lang w:val="es-ES"/>
        </w:rPr>
        <w:t xml:space="preserve"> </w:t>
      </w:r>
      <w:r w:rsidRPr="0037405A">
        <w:rPr>
          <w:rFonts w:ascii="Verdana" w:eastAsia="Verdana" w:hAnsi="Verdana" w:cs="Verdana"/>
          <w:lang w:val="es-ES"/>
        </w:rPr>
        <w:t>267</w:t>
      </w:r>
      <w:r w:rsidRPr="0037405A">
        <w:rPr>
          <w:rFonts w:ascii="Verdana" w:eastAsia="Verdana" w:hAnsi="Verdana" w:cs="Verdana"/>
          <w:spacing w:val="-8"/>
          <w:lang w:val="es-ES"/>
        </w:rPr>
        <w:t xml:space="preserve"> </w:t>
      </w:r>
      <w:r w:rsidRPr="0037405A">
        <w:rPr>
          <w:rFonts w:ascii="Verdana" w:eastAsia="Verdana" w:hAnsi="Verdana" w:cs="Verdana"/>
          <w:lang w:val="es-ES"/>
        </w:rPr>
        <w:t>de</w:t>
      </w:r>
      <w:r w:rsidRPr="0037405A">
        <w:rPr>
          <w:rFonts w:ascii="Verdana" w:eastAsia="Verdana" w:hAnsi="Verdana" w:cs="Verdana"/>
          <w:spacing w:val="-4"/>
          <w:lang w:val="es-ES"/>
        </w:rPr>
        <w:t xml:space="preserve"> </w:t>
      </w:r>
      <w:r w:rsidRPr="0037405A">
        <w:rPr>
          <w:rFonts w:ascii="Verdana" w:eastAsia="Verdana" w:hAnsi="Verdana" w:cs="Verdana"/>
          <w:lang w:val="es-ES"/>
        </w:rPr>
        <w:t>la</w:t>
      </w:r>
      <w:r w:rsidRPr="0037405A">
        <w:rPr>
          <w:rFonts w:ascii="Verdana" w:eastAsia="Verdana" w:hAnsi="Verdana" w:cs="Verdana"/>
          <w:spacing w:val="-5"/>
          <w:lang w:val="es-ES"/>
        </w:rPr>
        <w:t xml:space="preserve"> </w:t>
      </w:r>
      <w:r w:rsidRPr="0037405A">
        <w:rPr>
          <w:rFonts w:ascii="Verdana" w:eastAsia="Verdana" w:hAnsi="Verdana" w:cs="Verdana"/>
          <w:lang w:val="es-ES"/>
        </w:rPr>
        <w:t>Constitución</w:t>
      </w:r>
      <w:r w:rsidRPr="0037405A">
        <w:rPr>
          <w:rFonts w:ascii="Verdana" w:eastAsia="Verdana" w:hAnsi="Verdana" w:cs="Verdana"/>
          <w:spacing w:val="-3"/>
          <w:lang w:val="es-ES"/>
        </w:rPr>
        <w:t xml:space="preserve"> </w:t>
      </w:r>
      <w:r w:rsidRPr="0037405A">
        <w:rPr>
          <w:rFonts w:ascii="Verdana" w:eastAsia="Verdana" w:hAnsi="Verdana" w:cs="Verdana"/>
          <w:lang w:val="es-ES"/>
        </w:rPr>
        <w:t xml:space="preserve">Política, el régimen de inhabilidades e incompatibilidades previsto legalmente para la contratación estatal </w:t>
      </w:r>
      <w:r w:rsidRPr="0037405A">
        <w:rPr>
          <w:rFonts w:ascii="Verdana" w:hAnsi="Verdana" w:cs="Arial"/>
        </w:rPr>
        <w:t xml:space="preserve">y el deber de publicidad en el </w:t>
      </w:r>
      <w:proofErr w:type="spellStart"/>
      <w:r w:rsidRPr="0037405A">
        <w:rPr>
          <w:rFonts w:ascii="Verdana" w:hAnsi="Verdana" w:cs="Arial"/>
        </w:rPr>
        <w:t>Secop</w:t>
      </w:r>
      <w:proofErr w:type="spellEnd"/>
      <w:r w:rsidRPr="0037405A">
        <w:rPr>
          <w:rFonts w:ascii="Verdana" w:eastAsia="Verdana" w:hAnsi="Verdana" w:cs="Verdana"/>
          <w:vertAlign w:val="superscript"/>
          <w:lang w:val="es-ES"/>
        </w:rPr>
        <w:t xml:space="preserve"> </w:t>
      </w:r>
      <w:r w:rsidRPr="0037405A">
        <w:rPr>
          <w:rFonts w:ascii="Verdana" w:eastAsia="Verdana" w:hAnsi="Verdana" w:cs="Verdana"/>
          <w:vertAlign w:val="superscript"/>
          <w:lang w:val="es-ES"/>
        </w:rPr>
        <w:footnoteReference w:id="14"/>
      </w:r>
      <w:r w:rsidRPr="0037405A">
        <w:rPr>
          <w:rFonts w:ascii="Verdana" w:eastAsia="Verdana" w:hAnsi="Verdana" w:cs="Verdana"/>
          <w:lang w:val="es-ES"/>
        </w:rPr>
        <w:t>.</w:t>
      </w:r>
    </w:p>
    <w:p w14:paraId="62629FD6" w14:textId="77777777" w:rsidR="00F60167" w:rsidRPr="00274350" w:rsidRDefault="00F60167" w:rsidP="00F60167">
      <w:pPr>
        <w:spacing w:after="120" w:line="276" w:lineRule="auto"/>
        <w:ind w:firstLine="709"/>
        <w:jc w:val="both"/>
        <w:rPr>
          <w:rFonts w:ascii="Verdana" w:eastAsia="Times New Roman" w:hAnsi="Verdana" w:cs="Segoe UI"/>
          <w:lang w:eastAsia="es-ES_tradnl"/>
        </w:rPr>
      </w:pPr>
      <w:r w:rsidRPr="00274350">
        <w:rPr>
          <w:rFonts w:ascii="Verdana" w:eastAsia="Times New Roman" w:hAnsi="Verdana" w:cs="Segoe UI"/>
          <w:lang w:eastAsia="es-ES_tradnl"/>
        </w:rPr>
        <w:t xml:space="preserve">Conforme con lo expuesto, las Empresas Industriales y Comerciales del Estado que cuentan con un régimen exceptuado del Estatuto General de Contratación de la Administración Pública se rigen, en materia contractual, por las disposiciones </w:t>
      </w:r>
      <w:r>
        <w:rPr>
          <w:rFonts w:ascii="Verdana" w:eastAsia="Times New Roman" w:hAnsi="Verdana" w:cs="Segoe UI"/>
          <w:lang w:eastAsia="es-ES_tradnl"/>
        </w:rPr>
        <w:t>del derecho privado</w:t>
      </w:r>
      <w:r w:rsidRPr="00274350">
        <w:rPr>
          <w:rFonts w:ascii="Verdana" w:eastAsia="Times New Roman" w:hAnsi="Verdana" w:cs="Segoe UI"/>
          <w:lang w:eastAsia="es-ES_tradnl"/>
        </w:rPr>
        <w:t xml:space="preserve"> y por los manuales o reglamentos internos </w:t>
      </w:r>
      <w:r w:rsidRPr="00274350">
        <w:rPr>
          <w:rFonts w:ascii="Verdana" w:eastAsia="Times New Roman" w:hAnsi="Verdana" w:cs="Segoe UI"/>
          <w:lang w:eastAsia="es-ES_tradnl"/>
        </w:rPr>
        <w:lastRenderedPageBreak/>
        <w:t>de contratación expedidos en ejercicio de su autonomía administrativa y de gestión. En ese contexto, no les resultan aplicables las modalidades de selección ni las cuantías previstas en el artículo 2 de la Ley 1150 de 2007, salvo que una disposición legal expresa así lo establezca o que la propia entidad decida adoptarlas voluntariamente en su normativa interna.</w:t>
      </w:r>
    </w:p>
    <w:p w14:paraId="7C9AAF2D" w14:textId="77777777" w:rsidR="00F60167" w:rsidRPr="00274350" w:rsidRDefault="00F60167" w:rsidP="00F60167">
      <w:pPr>
        <w:spacing w:after="120" w:line="276" w:lineRule="auto"/>
        <w:ind w:firstLine="709"/>
        <w:jc w:val="both"/>
        <w:rPr>
          <w:rFonts w:ascii="Verdana" w:eastAsia="Times New Roman" w:hAnsi="Verdana" w:cs="Segoe UI"/>
          <w:lang w:eastAsia="es-ES_tradnl"/>
        </w:rPr>
      </w:pPr>
      <w:r w:rsidRPr="00274350">
        <w:rPr>
          <w:rFonts w:ascii="Verdana" w:eastAsia="Times New Roman" w:hAnsi="Verdana" w:cs="Segoe UI"/>
          <w:lang w:eastAsia="es-ES_tradnl"/>
        </w:rPr>
        <w:t>En consecuencia, cuando una Empresa Industrial y Comercial del Estado se encuentra sometida a un régimen contractual exceptuado, puede diseñar y regular sus propios mecanismos o modalidades de selección de contratistas, definiendo las etapas, procedimientos, criterios de escogencia y causales de procedencia que estime adecuados para garantizar el cumplimiento de los principios que orientan la función administrativa y la gestión contractual. Dentro de esa facultad normativa, la entidad puede establecer modalidades de contratación con denominaciones similares a las previstas en el Estatuto General de Contratación, como una modalidad de selección abreviada o de contratación simplificada, así como determinar los topes económicos para su procedencia.</w:t>
      </w:r>
    </w:p>
    <w:p w14:paraId="553F5AC4" w14:textId="77777777" w:rsidR="00F60167" w:rsidRPr="00274350" w:rsidRDefault="00F60167" w:rsidP="00F60167">
      <w:pPr>
        <w:spacing w:after="120" w:line="276" w:lineRule="auto"/>
        <w:ind w:firstLine="709"/>
        <w:jc w:val="both"/>
        <w:rPr>
          <w:rFonts w:ascii="Verdana" w:eastAsia="Times New Roman" w:hAnsi="Verdana" w:cs="Segoe UI"/>
          <w:lang w:eastAsia="es-ES_tradnl"/>
        </w:rPr>
      </w:pPr>
      <w:r w:rsidRPr="00274350">
        <w:rPr>
          <w:rFonts w:ascii="Verdana" w:eastAsia="Times New Roman" w:hAnsi="Verdana" w:cs="Segoe UI"/>
          <w:lang w:eastAsia="es-ES_tradnl"/>
        </w:rPr>
        <w:t>Por tanto, nada impide que una Empresa Industrial y Comercial del Estado con régimen exceptuado establezca en su manual de contratación una modalidad de selección cuya cuantía máxima exceda los límites de la menor cuantía previstos en el literal b) del numeral 2 del artículo 2 de la Ley 1150 de 2007, toda vez que dichos topes fueron definidos por el legislador para las entidades sometidas al Estatuto General de Contratación y no constituyen un parámetro obligatorio para aquellas entidades que cuentan con un régimen especial o exceptuado.</w:t>
      </w:r>
    </w:p>
    <w:p w14:paraId="7A89F022" w14:textId="77777777" w:rsidR="00F60167" w:rsidRPr="00274350" w:rsidRDefault="00F60167" w:rsidP="00F60167">
      <w:pPr>
        <w:spacing w:after="120" w:line="276" w:lineRule="auto"/>
        <w:ind w:firstLine="709"/>
        <w:jc w:val="both"/>
        <w:rPr>
          <w:rFonts w:ascii="Verdana" w:eastAsia="Times New Roman" w:hAnsi="Verdana" w:cs="Segoe UI"/>
          <w:lang w:eastAsia="es-ES_tradnl"/>
        </w:rPr>
      </w:pPr>
      <w:r w:rsidRPr="00274350">
        <w:rPr>
          <w:rFonts w:ascii="Verdana" w:eastAsia="Times New Roman" w:hAnsi="Verdana" w:cs="Segoe UI"/>
          <w:lang w:eastAsia="es-ES_tradnl"/>
        </w:rPr>
        <w:t>Desde esta perspectiva, la autonomía reconocida a las entidades con régimen exceptuado les permite configurar su propio sistema de contratación y fijar los criterios de procedencia de las modalidades de selección que adopten. En consecuencia, si el manual de contratación contempla una modalidad de selección abreviada con un límite cuantitativo distinto al previsto en la Ley 1150 de 2007, ello no implica por sí mismo una infracción de las reglas de menor cuantía establecidas en dicha ley, puesto que estas regulan la actividad contractual de las entidades sometidas al Estatuto General de Contratación y no la de aquellas que, por disposición legal, se encuentran excluidas de su ámbito de aplicación.</w:t>
      </w:r>
    </w:p>
    <w:p w14:paraId="18CE4DE0" w14:textId="77777777" w:rsidR="00F60167" w:rsidRPr="00274350" w:rsidRDefault="00F60167" w:rsidP="00F60167">
      <w:pPr>
        <w:spacing w:after="0" w:line="276" w:lineRule="auto"/>
        <w:ind w:firstLine="709"/>
        <w:jc w:val="both"/>
        <w:rPr>
          <w:rFonts w:ascii="Verdana" w:eastAsia="Times New Roman" w:hAnsi="Verdana" w:cs="Segoe UI"/>
          <w:lang w:eastAsia="es-ES_tradnl"/>
        </w:rPr>
      </w:pPr>
      <w:r w:rsidRPr="00274350">
        <w:rPr>
          <w:rFonts w:ascii="Verdana" w:eastAsia="Times New Roman" w:hAnsi="Verdana" w:cs="Segoe UI"/>
          <w:lang w:eastAsia="es-ES_tradnl"/>
        </w:rPr>
        <w:t xml:space="preserve">No obstante, el ejercicio de dicha autonomía no es absoluto. Las reglas contenidas en los manuales de contratación deben encontrarse acordes con el </w:t>
      </w:r>
      <w:r w:rsidRPr="00274350">
        <w:rPr>
          <w:rFonts w:ascii="Verdana" w:eastAsia="Times New Roman" w:hAnsi="Verdana" w:cs="Segoe UI"/>
          <w:lang w:eastAsia="es-ES_tradnl"/>
        </w:rPr>
        <w:lastRenderedPageBreak/>
        <w:t>régimen legal especial aplicable a la entidad y con los principios de la función administrativa y de la gestión fiscal, particularmente los principios de transparencia, economía, responsabilidad, selección objetiva, moralidad y eficiencia, de manera que los procedimientos adoptados permitan garantizar una adecuada gestión de los recursos públicos y la satisfacción de los fines a cargo de la entidad.</w:t>
      </w:r>
    </w:p>
    <w:p w14:paraId="3D8E583A" w14:textId="77777777" w:rsidR="00F60167" w:rsidRPr="00274350" w:rsidRDefault="00F60167" w:rsidP="00F60167">
      <w:pPr>
        <w:widowControl w:val="0"/>
        <w:autoSpaceDE w:val="0"/>
        <w:autoSpaceDN w:val="0"/>
        <w:spacing w:after="0" w:line="276" w:lineRule="auto"/>
        <w:ind w:right="51"/>
        <w:jc w:val="both"/>
        <w:rPr>
          <w:rFonts w:ascii="Verdana" w:eastAsia="Verdana" w:hAnsi="Verdana" w:cs="Verdana"/>
        </w:rPr>
      </w:pPr>
    </w:p>
    <w:p w14:paraId="18DB7859" w14:textId="77777777" w:rsidR="00F60167" w:rsidRPr="00AC54AD" w:rsidRDefault="00F60167" w:rsidP="00F60167">
      <w:pPr>
        <w:widowControl w:val="0"/>
        <w:autoSpaceDE w:val="0"/>
        <w:autoSpaceDN w:val="0"/>
        <w:spacing w:after="120" w:line="276" w:lineRule="auto"/>
        <w:ind w:right="51"/>
        <w:jc w:val="both"/>
        <w:rPr>
          <w:rFonts w:ascii="Verdana" w:eastAsia="Verdana" w:hAnsi="Verdana" w:cs="Verdana"/>
        </w:rPr>
      </w:pPr>
      <w:proofErr w:type="spellStart"/>
      <w:r w:rsidRPr="00274350">
        <w:rPr>
          <w:rFonts w:ascii="Verdana" w:eastAsia="Verdana" w:hAnsi="Verdana" w:cs="Verdana"/>
          <w:b/>
          <w:lang w:val="es-ES"/>
        </w:rPr>
        <w:t>iii</w:t>
      </w:r>
      <w:proofErr w:type="spellEnd"/>
      <w:r w:rsidRPr="00274350">
        <w:rPr>
          <w:rFonts w:ascii="Verdana" w:eastAsia="Verdana" w:hAnsi="Verdana" w:cs="Verdana"/>
          <w:b/>
          <w:lang w:val="es-ES"/>
        </w:rPr>
        <w:t>.</w:t>
      </w:r>
      <w:r w:rsidRPr="00D5327B">
        <w:rPr>
          <w:rFonts w:ascii="Verdana" w:eastAsia="Times New Roman" w:hAnsi="Verdana" w:cs="Times New Roman"/>
          <w:sz w:val="24"/>
          <w:szCs w:val="24"/>
          <w:lang w:eastAsia="es-CO"/>
        </w:rPr>
        <w:t>E</w:t>
      </w:r>
      <w:r w:rsidRPr="00D5327B">
        <w:rPr>
          <w:rFonts w:ascii="Verdana" w:eastAsia="Verdana" w:hAnsi="Verdana" w:cs="Verdana"/>
        </w:rPr>
        <w:t>n</w:t>
      </w:r>
      <w:r w:rsidRPr="00AC54AD">
        <w:rPr>
          <w:rFonts w:ascii="Verdana" w:eastAsia="Verdana" w:hAnsi="Verdana" w:cs="Verdana"/>
        </w:rPr>
        <w:t xml:space="preserve"> relación con l</w:t>
      </w:r>
      <w:r>
        <w:rPr>
          <w:rFonts w:ascii="Verdana" w:eastAsia="Verdana" w:hAnsi="Verdana" w:cs="Verdana"/>
        </w:rPr>
        <w:t>os</w:t>
      </w:r>
      <w:r w:rsidRPr="00AC54AD">
        <w:rPr>
          <w:rFonts w:ascii="Verdana" w:eastAsia="Verdana" w:hAnsi="Verdana" w:cs="Verdana"/>
        </w:rPr>
        <w:t xml:space="preserve"> problema</w:t>
      </w:r>
      <w:r>
        <w:rPr>
          <w:rFonts w:ascii="Verdana" w:eastAsia="Verdana" w:hAnsi="Verdana" w:cs="Verdana"/>
        </w:rPr>
        <w:t>s</w:t>
      </w:r>
      <w:r w:rsidRPr="00AC54AD">
        <w:rPr>
          <w:rFonts w:ascii="Verdana" w:eastAsia="Verdana" w:hAnsi="Verdana" w:cs="Verdana"/>
        </w:rPr>
        <w:t xml:space="preserve"> jurídico</w:t>
      </w:r>
      <w:r>
        <w:rPr>
          <w:rFonts w:ascii="Verdana" w:eastAsia="Verdana" w:hAnsi="Verdana" w:cs="Verdana"/>
        </w:rPr>
        <w:t>s</w:t>
      </w:r>
      <w:r w:rsidRPr="00AC54AD">
        <w:rPr>
          <w:rFonts w:ascii="Verdana" w:eastAsia="Verdana" w:hAnsi="Verdana" w:cs="Verdana"/>
        </w:rPr>
        <w:t xml:space="preserve"> planteado</w:t>
      </w:r>
      <w:r>
        <w:rPr>
          <w:rFonts w:ascii="Verdana" w:eastAsia="Verdana" w:hAnsi="Verdana" w:cs="Verdana"/>
        </w:rPr>
        <w:t>s</w:t>
      </w:r>
      <w:r w:rsidRPr="00AC54AD">
        <w:rPr>
          <w:rFonts w:ascii="Verdana" w:eastAsia="Verdana" w:hAnsi="Verdana" w:cs="Verdana"/>
        </w:rPr>
        <w:t>, la determinación de la modalidad de selección por razón de la cuantía, para las entidades sometidas al Estatuto General de Contratación de la Administración Pública, debe efectuarse a partir de dos elementos: el presupuesto anual de la entidad, que permite establecer el límite de la menor cuantía, y el presupuesto oficial del proceso de contratación, cuyo valor debe contrastarse con dicho límite. En consecuencia, cuando el valor estimado del proceso se encuentre dentro del rango correspondiente a la menor cuantía de la respectiva entidad, procederá la selección abreviada por menor cuantía, de conformidad con el numeral 2 del artículo 2 de la Ley 1150 de 2007, siempre que no se configure una causal legal que determine la procedencia de una modalidad de selección diferente. Por tanto, los límites establecidos por el legislador para la menor cuantía constituyen parámetros de obligatorio cumplimiento para las entidades sometidas al Estatuto, sin que estas puedan establecer, por razón de la cuantía, reglas que desconozcan los topes legales.</w:t>
      </w:r>
    </w:p>
    <w:p w14:paraId="36A4A88D" w14:textId="77777777" w:rsidR="00F60167" w:rsidRPr="00AC54AD" w:rsidRDefault="00F60167" w:rsidP="00F60167">
      <w:pPr>
        <w:widowControl w:val="0"/>
        <w:autoSpaceDE w:val="0"/>
        <w:autoSpaceDN w:val="0"/>
        <w:spacing w:after="120" w:line="276" w:lineRule="auto"/>
        <w:ind w:right="51" w:firstLine="709"/>
        <w:jc w:val="both"/>
        <w:rPr>
          <w:rFonts w:ascii="Verdana" w:eastAsia="Verdana" w:hAnsi="Verdana" w:cs="Verdana"/>
        </w:rPr>
      </w:pPr>
      <w:r w:rsidRPr="00AC54AD">
        <w:rPr>
          <w:rFonts w:ascii="Verdana" w:eastAsia="Verdana" w:hAnsi="Verdana" w:cs="Verdana"/>
        </w:rPr>
        <w:t xml:space="preserve">Ahora bien, esta regla debe diferenciarse de la aplicable a las entidades estatales exceptuadas del Estatuto General de Contratación de la Administración Pública. En estos casos, los topes de menor cuantía previstos en el artículo 2 de la Ley 1150 de 2007 no constituyen, por sí mismos, el criterio para determinar la modalidad de selección, pues estas entidades se rigen por el régimen contractual especial que les sea aplicable. En ejercicio de la autonomía reconocida por dicho régimen, pueden adoptar un manual de contratación en el que establezcan las modalidades o mecanismos de selección, así como sus </w:t>
      </w:r>
      <w:r>
        <w:rPr>
          <w:rFonts w:ascii="Verdana" w:eastAsia="Verdana" w:hAnsi="Verdana" w:cs="Verdana"/>
        </w:rPr>
        <w:t xml:space="preserve">causales de procedencia, </w:t>
      </w:r>
      <w:r w:rsidRPr="00AC54AD">
        <w:rPr>
          <w:rFonts w:ascii="Verdana" w:eastAsia="Verdana" w:hAnsi="Verdana" w:cs="Verdana"/>
        </w:rPr>
        <w:t>requisitos, etapas, plazos y demás reglas de aplicación, de acuerdo con las disposiciones legales que regulen su actividad contractual.</w:t>
      </w:r>
    </w:p>
    <w:p w14:paraId="65E3083B" w14:textId="77777777" w:rsidR="00F60167" w:rsidRPr="00AC54AD" w:rsidRDefault="00F60167" w:rsidP="00F60167">
      <w:pPr>
        <w:widowControl w:val="0"/>
        <w:autoSpaceDE w:val="0"/>
        <w:autoSpaceDN w:val="0"/>
        <w:spacing w:after="120" w:line="276" w:lineRule="auto"/>
        <w:ind w:right="51" w:firstLine="709"/>
        <w:jc w:val="both"/>
        <w:rPr>
          <w:rFonts w:ascii="Verdana" w:eastAsia="Verdana" w:hAnsi="Verdana" w:cs="Verdana"/>
        </w:rPr>
      </w:pPr>
      <w:r w:rsidRPr="00AC54AD">
        <w:rPr>
          <w:rFonts w:ascii="Verdana" w:eastAsia="Verdana" w:hAnsi="Verdana" w:cs="Verdana"/>
        </w:rPr>
        <w:t xml:space="preserve">No obstante, dicha autonomía debe ejercerse dentro del marco jurídico que rige a estas entidades. En consideración a que administran recursos </w:t>
      </w:r>
      <w:r w:rsidRPr="00AC54AD">
        <w:rPr>
          <w:rFonts w:ascii="Verdana" w:eastAsia="Verdana" w:hAnsi="Verdana" w:cs="Verdana"/>
        </w:rPr>
        <w:lastRenderedPageBreak/>
        <w:t>públicos y desarrollan una finalidad pública, sus manuales de contratación deben contemplar reglas que garanticen el cumplimiento de los principios de la función administrativa, la gestión fiscal y los principios rectores de la contratación estatal. En ese marco, deberán establecer, entre otros aspectos, el contenido de las propuestas, los procedimientos de selección, las etapas y sus respectivos plazos, los criterios de evaluación y desempate y, en general, las reglas necesarias para garantizar la selección objetiva y la protección del interés general. Algunos de estos aspectos podrán, a su vez, ser desarrollados o precisados en los documentos que se expidan en desarrollo de cada procedimiento contractual.</w:t>
      </w:r>
    </w:p>
    <w:p w14:paraId="51BFA58F" w14:textId="77777777" w:rsidR="00F60167" w:rsidRPr="00AC54AD" w:rsidRDefault="00F60167" w:rsidP="00F60167">
      <w:pPr>
        <w:widowControl w:val="0"/>
        <w:autoSpaceDE w:val="0"/>
        <w:autoSpaceDN w:val="0"/>
        <w:spacing w:after="120" w:line="276" w:lineRule="auto"/>
        <w:ind w:right="51" w:firstLine="709"/>
        <w:jc w:val="both"/>
        <w:rPr>
          <w:rFonts w:ascii="Verdana" w:eastAsia="Verdana" w:hAnsi="Verdana" w:cs="Verdana"/>
        </w:rPr>
      </w:pPr>
      <w:r w:rsidRPr="00AC54AD">
        <w:rPr>
          <w:rFonts w:ascii="Verdana" w:eastAsia="Verdana" w:hAnsi="Verdana" w:cs="Verdana"/>
        </w:rPr>
        <w:t>Así las cosas, mientras que para las entidades sometidas al Estatuto la menor cuantía y sus respectivos topes constituyen parámetros legales para definir la modalidad de selección cuando la causal corresponda a la cuantía, en las entidades de régimen especial será necesario acudir a la normativa particular que las rige y al respectivo manual de contratación, con el propósito de determinar las modalidades de selección previstas y las reglas aplicables de acuerdo con el valor y las características del proceso. En este último caso, el manual constituye el instrumento mediante el cual la entidad desarrolla su régimen contractual, sin que ello implique que pueda apartarse de las disposiciones legales y de los principios que gobiernan su actividad contractual.</w:t>
      </w:r>
    </w:p>
    <w:p w14:paraId="403F4EE4" w14:textId="77777777" w:rsidR="00F60167" w:rsidRPr="00EF01FF" w:rsidRDefault="00F60167" w:rsidP="00F60167">
      <w:pPr>
        <w:widowControl w:val="0"/>
        <w:autoSpaceDE w:val="0"/>
        <w:autoSpaceDN w:val="0"/>
        <w:spacing w:after="0" w:line="276" w:lineRule="auto"/>
        <w:ind w:right="51" w:firstLine="709"/>
        <w:jc w:val="both"/>
        <w:rPr>
          <w:rFonts w:ascii="Verdana" w:eastAsia="Verdana" w:hAnsi="Verdana" w:cs="Verdana"/>
        </w:rPr>
      </w:pPr>
      <w:r w:rsidRPr="00AC54AD">
        <w:rPr>
          <w:rFonts w:ascii="Verdana" w:eastAsia="Verdana" w:hAnsi="Verdana" w:cs="Verdana"/>
        </w:rPr>
        <w:t>Finalmente, debe precisarse que la Agencia Nacional de Contratación Pública – Colombia Compra Eficiente, en ejercicio de su función consultiva, no puede establecer para un caso concreto la modalidad de selección que deba adelantar una entidad ni definir un criterio universal que sustituya el análisis que corresponde efectuar a cada entidad conforme al régimen jurídico que le resulte aplicable. Su función consiste en brindar elementos de interpretación de carácter general que permitan a los partícipes del Sistema de Compra Pública adoptar las decisiones que correspondan, de conformidad con el principio de juridicidad.</w:t>
      </w:r>
      <w:bookmarkStart w:id="8" w:name="_Hlk204854194"/>
    </w:p>
    <w:p w14:paraId="57C268E7" w14:textId="77777777" w:rsidR="00F60167" w:rsidRPr="00A07C71" w:rsidRDefault="00F60167" w:rsidP="00F60167">
      <w:pPr>
        <w:widowControl w:val="0"/>
        <w:autoSpaceDE w:val="0"/>
        <w:autoSpaceDN w:val="0"/>
        <w:spacing w:after="0" w:line="276" w:lineRule="auto"/>
        <w:ind w:firstLine="709"/>
        <w:jc w:val="both"/>
        <w:rPr>
          <w:rFonts w:ascii="Verdana" w:eastAsia="Verdana" w:hAnsi="Verdana" w:cs="Verdana"/>
        </w:rPr>
      </w:pPr>
    </w:p>
    <w:p w14:paraId="583F4B38" w14:textId="77777777" w:rsidR="00F60167" w:rsidRPr="001F4E2F" w:rsidRDefault="00F60167" w:rsidP="00F60167">
      <w:pPr>
        <w:tabs>
          <w:tab w:val="left" w:pos="142"/>
          <w:tab w:val="left" w:pos="284"/>
        </w:tabs>
        <w:spacing w:after="0" w:line="276" w:lineRule="auto"/>
        <w:rPr>
          <w:rFonts w:ascii="Verdana" w:eastAsia="Century Gothic" w:hAnsi="Verdana" w:cs="Century Gothic"/>
          <w:b/>
          <w:bCs/>
        </w:rPr>
      </w:pPr>
      <w:r w:rsidRPr="001F4E2F">
        <w:rPr>
          <w:rFonts w:ascii="Verdana" w:eastAsia="Century Gothic" w:hAnsi="Verdana" w:cs="Century Gothic"/>
          <w:b/>
          <w:bCs/>
        </w:rPr>
        <w:t>4. Referencias normativas:</w:t>
      </w:r>
    </w:p>
    <w:bookmarkEnd w:id="8"/>
    <w:p w14:paraId="0F35935D" w14:textId="77777777" w:rsidR="00F60167" w:rsidRPr="001F4E2F" w:rsidRDefault="00F60167" w:rsidP="00F60167">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60167" w:rsidRPr="001F4E2F" w14:paraId="0211BB17" w14:textId="77777777" w:rsidTr="00CE1FD4">
        <w:trPr>
          <w:trHeight w:val="439"/>
          <w:jc w:val="center"/>
        </w:trPr>
        <w:tc>
          <w:tcPr>
            <w:tcW w:w="8647" w:type="dxa"/>
          </w:tcPr>
          <w:p w14:paraId="15631F78" w14:textId="77777777" w:rsidR="00F60167" w:rsidRDefault="00F60167" w:rsidP="00F60167">
            <w:pPr>
              <w:pStyle w:val="Prrafodelista"/>
              <w:widowControl w:val="0"/>
              <w:numPr>
                <w:ilvl w:val="0"/>
                <w:numId w:val="4"/>
              </w:numPr>
              <w:autoSpaceDE w:val="0"/>
              <w:autoSpaceDN w:val="0"/>
              <w:spacing w:line="276" w:lineRule="auto"/>
              <w:ind w:left="0"/>
              <w:contextualSpacing w:val="0"/>
              <w:jc w:val="both"/>
              <w:rPr>
                <w:rFonts w:ascii="Verdana" w:hAnsi="Verdana" w:cs="Arial"/>
              </w:rPr>
            </w:pPr>
            <w:r>
              <w:rPr>
                <w:rFonts w:ascii="Verdana" w:hAnsi="Verdana" w:cs="Arial"/>
              </w:rPr>
              <w:t>Ley 80 de 1993, artículos 21, 24, 25, 30, 38, 76 y 77.</w:t>
            </w:r>
          </w:p>
          <w:p w14:paraId="16BAF96A" w14:textId="77777777" w:rsidR="00F60167" w:rsidRDefault="00F60167" w:rsidP="00F60167">
            <w:pPr>
              <w:pStyle w:val="Prrafodelista"/>
              <w:widowControl w:val="0"/>
              <w:numPr>
                <w:ilvl w:val="0"/>
                <w:numId w:val="4"/>
              </w:numPr>
              <w:autoSpaceDE w:val="0"/>
              <w:autoSpaceDN w:val="0"/>
              <w:spacing w:line="276" w:lineRule="auto"/>
              <w:ind w:left="0"/>
              <w:contextualSpacing w:val="0"/>
              <w:jc w:val="both"/>
              <w:rPr>
                <w:rFonts w:ascii="Verdana" w:hAnsi="Verdana" w:cs="Arial"/>
              </w:rPr>
            </w:pPr>
            <w:r>
              <w:rPr>
                <w:rFonts w:ascii="Verdana" w:hAnsi="Verdana" w:cs="Arial"/>
              </w:rPr>
              <w:t>Ley 1150 de 2007, artículos 2 y 5.</w:t>
            </w:r>
          </w:p>
          <w:p w14:paraId="1DFF218A" w14:textId="77777777" w:rsidR="00F60167" w:rsidRDefault="00F60167" w:rsidP="00F60167">
            <w:pPr>
              <w:pStyle w:val="Prrafodelista"/>
              <w:widowControl w:val="0"/>
              <w:numPr>
                <w:ilvl w:val="0"/>
                <w:numId w:val="4"/>
              </w:numPr>
              <w:autoSpaceDE w:val="0"/>
              <w:autoSpaceDN w:val="0"/>
              <w:spacing w:line="276" w:lineRule="auto"/>
              <w:ind w:left="0"/>
              <w:contextualSpacing w:val="0"/>
              <w:jc w:val="both"/>
              <w:rPr>
                <w:rFonts w:ascii="Verdana" w:hAnsi="Verdana" w:cs="Arial"/>
              </w:rPr>
            </w:pPr>
            <w:r>
              <w:rPr>
                <w:rFonts w:ascii="Verdana" w:hAnsi="Verdana" w:cs="Arial"/>
              </w:rPr>
              <w:t>Ley 1437 de 2011, artículos 2 y 44.</w:t>
            </w:r>
          </w:p>
          <w:p w14:paraId="5FB6704A" w14:textId="77777777" w:rsidR="00F60167" w:rsidRDefault="00F60167" w:rsidP="00F60167">
            <w:pPr>
              <w:pStyle w:val="Prrafodelista"/>
              <w:widowControl w:val="0"/>
              <w:numPr>
                <w:ilvl w:val="0"/>
                <w:numId w:val="4"/>
              </w:numPr>
              <w:autoSpaceDE w:val="0"/>
              <w:autoSpaceDN w:val="0"/>
              <w:spacing w:line="276" w:lineRule="auto"/>
              <w:ind w:left="0"/>
              <w:contextualSpacing w:val="0"/>
              <w:jc w:val="both"/>
              <w:rPr>
                <w:rFonts w:ascii="Verdana" w:hAnsi="Verdana" w:cs="Arial"/>
              </w:rPr>
            </w:pPr>
            <w:r>
              <w:rPr>
                <w:rFonts w:ascii="Verdana" w:hAnsi="Verdana" w:cs="Arial"/>
              </w:rPr>
              <w:lastRenderedPageBreak/>
              <w:t>Ley 1474 de 2011, artículo 93.</w:t>
            </w:r>
          </w:p>
          <w:p w14:paraId="74FEB9D2" w14:textId="77777777" w:rsidR="00F60167" w:rsidRDefault="00F60167" w:rsidP="00F60167">
            <w:pPr>
              <w:pStyle w:val="Prrafodelista"/>
              <w:widowControl w:val="0"/>
              <w:numPr>
                <w:ilvl w:val="0"/>
                <w:numId w:val="4"/>
              </w:numPr>
              <w:autoSpaceDE w:val="0"/>
              <w:autoSpaceDN w:val="0"/>
              <w:spacing w:line="276" w:lineRule="auto"/>
              <w:ind w:left="0"/>
              <w:contextualSpacing w:val="0"/>
              <w:jc w:val="both"/>
              <w:rPr>
                <w:rFonts w:ascii="Verdana" w:hAnsi="Verdana" w:cs="Arial"/>
              </w:rPr>
            </w:pPr>
            <w:r>
              <w:rPr>
                <w:rFonts w:ascii="Verdana" w:hAnsi="Verdana" w:cs="Arial"/>
              </w:rPr>
              <w:t>Ley 489 de 1998: artículo 85.</w:t>
            </w:r>
          </w:p>
          <w:p w14:paraId="6B2B9F8D" w14:textId="77777777" w:rsidR="00F60167" w:rsidRPr="00844448" w:rsidRDefault="00F60167" w:rsidP="00F60167">
            <w:pPr>
              <w:pStyle w:val="Prrafodelista"/>
              <w:widowControl w:val="0"/>
              <w:numPr>
                <w:ilvl w:val="0"/>
                <w:numId w:val="4"/>
              </w:numPr>
              <w:autoSpaceDE w:val="0"/>
              <w:autoSpaceDN w:val="0"/>
              <w:spacing w:line="276" w:lineRule="auto"/>
              <w:ind w:left="0"/>
              <w:contextualSpacing w:val="0"/>
              <w:jc w:val="both"/>
              <w:rPr>
                <w:rFonts w:ascii="Verdana" w:hAnsi="Verdana" w:cs="Arial"/>
              </w:rPr>
            </w:pPr>
            <w:r>
              <w:rPr>
                <w:rFonts w:ascii="Verdana" w:hAnsi="Verdana"/>
              </w:rPr>
              <w:t xml:space="preserve">Decreto 1082 de 2015, artículos </w:t>
            </w:r>
            <w:r w:rsidRPr="003F4A18">
              <w:rPr>
                <w:rFonts w:ascii="Verdana" w:eastAsia="Arial" w:hAnsi="Verdana" w:cs="Arial"/>
                <w:color w:val="000000"/>
              </w:rPr>
              <w:t>2.2.1.1.2.1.3</w:t>
            </w:r>
            <w:r>
              <w:rPr>
                <w:rFonts w:ascii="Verdana" w:eastAsia="Arial" w:hAnsi="Verdana" w:cs="Arial"/>
                <w:color w:val="000000"/>
              </w:rPr>
              <w:t>,</w:t>
            </w:r>
            <w:r>
              <w:rPr>
                <w:rFonts w:ascii="Verdana" w:hAnsi="Verdana"/>
              </w:rPr>
              <w:t xml:space="preserve"> </w:t>
            </w:r>
            <w:r w:rsidRPr="00CD2CDF">
              <w:rPr>
                <w:rFonts w:ascii="Verdana" w:hAnsi="Verdana"/>
              </w:rPr>
              <w:t>2.2.1.1.2.2.2</w:t>
            </w:r>
            <w:r>
              <w:rPr>
                <w:rFonts w:ascii="Verdana" w:hAnsi="Verdana"/>
              </w:rPr>
              <w:t xml:space="preserve">, </w:t>
            </w:r>
            <w:r w:rsidRPr="003F4A18">
              <w:rPr>
                <w:rFonts w:ascii="Verdana" w:eastAsia="Arial" w:hAnsi="Verdana" w:cs="Arial"/>
                <w:color w:val="000000"/>
              </w:rPr>
              <w:t>2.2.1.2.1.3.13</w:t>
            </w:r>
            <w:r>
              <w:rPr>
                <w:rFonts w:ascii="Verdana" w:hAnsi="Verdana"/>
              </w:rPr>
              <w:t>.</w:t>
            </w:r>
          </w:p>
          <w:p w14:paraId="0394E494" w14:textId="77777777" w:rsidR="00F60167" w:rsidRPr="00163FB6" w:rsidRDefault="00F60167" w:rsidP="00F60167">
            <w:pPr>
              <w:widowControl w:val="0"/>
              <w:numPr>
                <w:ilvl w:val="0"/>
                <w:numId w:val="4"/>
              </w:numPr>
              <w:autoSpaceDE w:val="0"/>
              <w:autoSpaceDN w:val="0"/>
              <w:spacing w:line="276" w:lineRule="auto"/>
              <w:ind w:left="0"/>
              <w:jc w:val="both"/>
              <w:rPr>
                <w:rFonts w:ascii="Verdana" w:eastAsia="Calibri" w:hAnsi="Verdana" w:cs="Arial"/>
                <w:color w:val="EE0000"/>
              </w:rPr>
            </w:pPr>
            <w:r w:rsidRPr="00386D7A">
              <w:rPr>
                <w:rFonts w:ascii="Verdana" w:eastAsia="Calibri" w:hAnsi="Verdana" w:cs="Arial"/>
                <w:color w:val="000000"/>
              </w:rPr>
              <w:t>Colombia Compra Eficiente,</w:t>
            </w:r>
            <w:r w:rsidRPr="0037405A">
              <w:rPr>
                <w:rFonts w:ascii="Verdana" w:eastAsia="Calibri" w:hAnsi="Verdana" w:cs="Times New Roman"/>
                <w:color w:val="000000"/>
              </w:rPr>
              <w:t xml:space="preserve"> </w:t>
            </w:r>
            <w:r w:rsidRPr="00386D7A">
              <w:rPr>
                <w:rFonts w:ascii="Verdana" w:eastAsia="Calibri" w:hAnsi="Verdana" w:cs="Arial"/>
                <w:color w:val="000000"/>
              </w:rPr>
              <w:t xml:space="preserve">Guía para las Entidades Estatales con Régimen Especial de Contratación. </w:t>
            </w:r>
            <w:r w:rsidRPr="00A07C71">
              <w:rPr>
                <w:rFonts w:ascii="Verdana" w:eastAsia="Calibri" w:hAnsi="Verdana" w:cs="Arial"/>
                <w:color w:val="000000"/>
              </w:rPr>
              <w:t xml:space="preserve">Disponible en: </w:t>
            </w:r>
            <w:hyperlink r:id="rId9" w:history="1">
              <w:r w:rsidRPr="00A07C71">
                <w:rPr>
                  <w:rFonts w:ascii="Verdana" w:eastAsia="Calibri" w:hAnsi="Verdana" w:cs="Arial"/>
                  <w:color w:val="0000FF"/>
                  <w:u w:val="single"/>
                </w:rPr>
                <w:t>https://www.colombiacompra.gov.co/archivos/manual/guia-para-entidades-estatales-con-regimen-especial-de-contratacion</w:t>
              </w:r>
            </w:hyperlink>
          </w:p>
        </w:tc>
      </w:tr>
    </w:tbl>
    <w:p w14:paraId="7D43131B" w14:textId="77777777" w:rsidR="00F60167" w:rsidRPr="001F4E2F" w:rsidRDefault="00F60167" w:rsidP="00F60167">
      <w:pPr>
        <w:widowControl w:val="0"/>
        <w:autoSpaceDE w:val="0"/>
        <w:autoSpaceDN w:val="0"/>
        <w:spacing w:after="0" w:line="276" w:lineRule="auto"/>
        <w:jc w:val="both"/>
        <w:rPr>
          <w:rFonts w:ascii="Verdana" w:hAnsi="Verdana" w:cs="Arial"/>
        </w:rPr>
      </w:pPr>
    </w:p>
    <w:p w14:paraId="1140E408" w14:textId="77777777" w:rsidR="00F60167" w:rsidRPr="001F4E2F" w:rsidRDefault="00F60167" w:rsidP="00F60167">
      <w:pPr>
        <w:tabs>
          <w:tab w:val="left" w:pos="142"/>
          <w:tab w:val="left" w:pos="284"/>
        </w:tabs>
        <w:spacing w:after="0" w:line="276" w:lineRule="auto"/>
        <w:jc w:val="both"/>
        <w:rPr>
          <w:rFonts w:ascii="Verdana" w:eastAsia="Century Gothic" w:hAnsi="Verdana" w:cs="Century Gothic"/>
          <w:b/>
          <w:bCs/>
        </w:rPr>
      </w:pPr>
      <w:r w:rsidRPr="001F4E2F">
        <w:rPr>
          <w:rFonts w:ascii="Verdana" w:eastAsia="Century Gothic" w:hAnsi="Verdana" w:cs="Century Gothic"/>
          <w:b/>
          <w:bCs/>
        </w:rPr>
        <w:t>5. Doctrina de la Agencia Nacional de Contratación Pública:</w:t>
      </w:r>
    </w:p>
    <w:p w14:paraId="0178BCA2" w14:textId="77777777" w:rsidR="00F60167" w:rsidRPr="009037F6" w:rsidRDefault="00F60167" w:rsidP="00F60167">
      <w:pPr>
        <w:spacing w:after="0" w:line="276" w:lineRule="auto"/>
        <w:jc w:val="both"/>
        <w:rPr>
          <w:rFonts w:ascii="Verdana" w:eastAsia="Calibri" w:hAnsi="Verdana" w:cs="Times New Roman"/>
        </w:rPr>
      </w:pPr>
      <w:r w:rsidRPr="009037F6">
        <w:rPr>
          <w:rFonts w:ascii="Verdana" w:eastAsia="Calibri" w:hAnsi="Verdana" w:cs="Times New Roman"/>
        </w:rPr>
        <w:t xml:space="preserve"> </w:t>
      </w:r>
    </w:p>
    <w:p w14:paraId="0FE94F66" w14:textId="77777777" w:rsidR="00F60167" w:rsidRPr="00AB5151" w:rsidRDefault="00F60167" w:rsidP="00F60167">
      <w:pPr>
        <w:widowControl w:val="0"/>
        <w:autoSpaceDE w:val="0"/>
        <w:autoSpaceDN w:val="0"/>
        <w:spacing w:after="0" w:line="276" w:lineRule="auto"/>
        <w:jc w:val="both"/>
        <w:rPr>
          <w:rStyle w:val="normaltextrun"/>
          <w:rFonts w:ascii="Verdana" w:hAnsi="Verdana" w:cs="Arial"/>
          <w:shd w:val="clear" w:color="auto" w:fill="FFFFFF"/>
          <w:lang w:val="es-ES"/>
        </w:rPr>
      </w:pPr>
      <w:r w:rsidRPr="001F7FC2">
        <w:rPr>
          <w:rFonts w:ascii="Verdana" w:eastAsia="Calibri" w:hAnsi="Verdana" w:cs="Times New Roman"/>
        </w:rPr>
        <w:t xml:space="preserve">Sobre la modalidad de selección abreviada de menor cuantía, esta Subdirección se ha pronunciado en conceptos </w:t>
      </w:r>
      <w:r>
        <w:rPr>
          <w:rFonts w:ascii="Verdana" w:eastAsia="Calibri" w:hAnsi="Verdana" w:cs="Times New Roman"/>
        </w:rPr>
        <w:t xml:space="preserve">C-425 del 6 de julio de 2022, </w:t>
      </w:r>
      <w:r w:rsidRPr="001F7FC2">
        <w:rPr>
          <w:rFonts w:ascii="Verdana" w:eastAsia="Calibri" w:hAnsi="Verdana" w:cs="Times New Roman"/>
        </w:rPr>
        <w:t>C-687 del 20 de octubre de 2022, C-313 del 31 de julio de 2023, C-377 del 8 de agosto de 2024, C- 535 del 24 de septiembre de 2024, C-840 del 11 de diciembre de 2024, C-716 del 15 de julio de 2025, C-803 del 31 de julio 2025 y C-1150 del 26 de agosto de 2025,</w:t>
      </w:r>
      <w:r>
        <w:rPr>
          <w:rFonts w:ascii="Verdana" w:eastAsia="Calibri" w:hAnsi="Verdana" w:cs="Times New Roman"/>
        </w:rPr>
        <w:t xml:space="preserve"> C-1639 del 17 de diciembre de 2025, C-401 del 27 de marzo de 2026</w:t>
      </w:r>
      <w:r w:rsidRPr="001F7FC2">
        <w:rPr>
          <w:rFonts w:ascii="Verdana" w:eastAsia="Calibri" w:hAnsi="Verdana" w:cs="Times New Roman"/>
        </w:rPr>
        <w:t xml:space="preserve"> entre otro</w:t>
      </w:r>
      <w:r w:rsidRPr="000F3B46">
        <w:rPr>
          <w:rFonts w:ascii="Verdana" w:eastAsia="Calibri" w:hAnsi="Verdana" w:cs="Times New Roman"/>
        </w:rPr>
        <w:t>s</w:t>
      </w:r>
      <w:r w:rsidRPr="000F3B46">
        <w:rPr>
          <w:rFonts w:ascii="Verdana" w:eastAsia="Calibri" w:hAnsi="Verdana" w:cs="Arial"/>
          <w:shd w:val="clear" w:color="auto" w:fill="FFFFFF"/>
          <w:lang w:val="es-ES"/>
        </w:rPr>
        <w:t xml:space="preserve">. </w:t>
      </w:r>
      <w:r w:rsidRPr="000F3B46">
        <w:rPr>
          <w:rStyle w:val="normaltextrun"/>
          <w:rFonts w:ascii="Verdana" w:hAnsi="Verdana" w:cs="Arial"/>
          <w:shd w:val="clear" w:color="auto" w:fill="FFFFFF"/>
          <w:lang w:val="es-ES"/>
        </w:rPr>
        <w:t>Es</w:t>
      </w:r>
      <w:r w:rsidRPr="000F3B46">
        <w:rPr>
          <w:rFonts w:ascii="Verdana" w:hAnsi="Verdana"/>
        </w:rPr>
        <w:t>tos y otros conceptos se encuentran disponibles para consulta en el Sistema</w:t>
      </w:r>
      <w:r w:rsidRPr="00AB5151">
        <w:rPr>
          <w:rFonts w:ascii="Verdana" w:hAnsi="Verdana"/>
        </w:rPr>
        <w:t xml:space="preserve"> de relatoría de la Agencia, al cual se puede acceder a través del siguiente enlace:</w:t>
      </w:r>
      <w:r w:rsidRPr="00AB5151">
        <w:rPr>
          <w:rStyle w:val="normaltextrun"/>
          <w:rFonts w:ascii="Verdana" w:hAnsi="Verdana" w:cs="Arial"/>
          <w:shd w:val="clear" w:color="auto" w:fill="FFFFFF"/>
          <w:lang w:val="es-ES"/>
        </w:rPr>
        <w:t xml:space="preserve"> </w:t>
      </w:r>
      <w:hyperlink r:id="rId10" w:history="1">
        <w:r w:rsidRPr="00A07C71">
          <w:rPr>
            <w:rStyle w:val="Hipervnculo"/>
            <w:rFonts w:ascii="Verdana" w:hAnsi="Verdana" w:cs="Arial"/>
            <w:shd w:val="clear" w:color="auto" w:fill="FFFFFF"/>
            <w:lang w:val="es-ES"/>
          </w:rPr>
          <w:t>https://relatoria.colombiacompra.gov.co/busqueda/conceptos</w:t>
        </w:r>
      </w:hyperlink>
      <w:r w:rsidRPr="00AB5151">
        <w:rPr>
          <w:rStyle w:val="normaltextrun"/>
          <w:rFonts w:ascii="Verdana" w:hAnsi="Verdana" w:cs="Arial"/>
          <w:shd w:val="clear" w:color="auto" w:fill="FFFFFF"/>
          <w:lang w:val="es-ES"/>
        </w:rPr>
        <w:t xml:space="preserve">. </w:t>
      </w:r>
    </w:p>
    <w:p w14:paraId="0497A68B" w14:textId="77777777" w:rsidR="00F60167" w:rsidRPr="00F34D95" w:rsidRDefault="00F60167" w:rsidP="00F60167">
      <w:pPr>
        <w:spacing w:after="0" w:line="276" w:lineRule="auto"/>
        <w:jc w:val="both"/>
        <w:rPr>
          <w:rFonts w:ascii="Verdana" w:hAnsi="Verdana"/>
          <w:lang w:val="es-ES"/>
        </w:rPr>
      </w:pPr>
    </w:p>
    <w:p w14:paraId="48DCE119" w14:textId="77777777" w:rsidR="00F60167" w:rsidRDefault="00F60167" w:rsidP="00F60167">
      <w:pPr>
        <w:spacing w:after="0" w:line="276" w:lineRule="auto"/>
        <w:jc w:val="both"/>
        <w:rPr>
          <w:rFonts w:ascii="Verdana" w:hAnsi="Verdana"/>
        </w:rPr>
      </w:pPr>
      <w:r w:rsidRPr="001F4E2F">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5CB45FEC" w14:textId="77777777" w:rsidR="00F60167" w:rsidRPr="001F4E2F" w:rsidRDefault="00F60167" w:rsidP="00F60167">
      <w:pPr>
        <w:spacing w:after="0" w:line="276" w:lineRule="auto"/>
        <w:jc w:val="both"/>
        <w:rPr>
          <w:rFonts w:ascii="Verdana" w:eastAsia="Calibri" w:hAnsi="Verdana" w:cs="Times New Roman"/>
        </w:rPr>
      </w:pPr>
    </w:p>
    <w:p w14:paraId="0ED0CF2F" w14:textId="77777777" w:rsidR="00F60167" w:rsidRPr="001F4E2F" w:rsidRDefault="00F60167" w:rsidP="00F60167">
      <w:pPr>
        <w:pStyle w:val="Prrafodelista"/>
        <w:numPr>
          <w:ilvl w:val="0"/>
          <w:numId w:val="1"/>
        </w:numPr>
        <w:spacing w:after="0" w:line="276" w:lineRule="auto"/>
        <w:ind w:left="0"/>
        <w:contextualSpacing w:val="0"/>
        <w:jc w:val="both"/>
        <w:rPr>
          <w:rFonts w:ascii="Verdana" w:hAnsi="Verdana"/>
        </w:rPr>
      </w:pPr>
      <w:r w:rsidRPr="001F4E2F">
        <w:rPr>
          <w:rFonts w:ascii="Verdana" w:hAnsi="Verdana"/>
        </w:rPr>
        <w:t>Línea nacional gratuita o servicio a la ciudadanía: 01800 0520808</w:t>
      </w:r>
    </w:p>
    <w:p w14:paraId="7BA8E782" w14:textId="77777777" w:rsidR="00F60167" w:rsidRPr="001F4E2F" w:rsidRDefault="00F60167" w:rsidP="00F60167">
      <w:pPr>
        <w:pStyle w:val="Prrafodelista"/>
        <w:numPr>
          <w:ilvl w:val="0"/>
          <w:numId w:val="1"/>
        </w:numPr>
        <w:spacing w:after="0" w:line="276" w:lineRule="auto"/>
        <w:ind w:left="0"/>
        <w:contextualSpacing w:val="0"/>
        <w:jc w:val="both"/>
        <w:rPr>
          <w:rFonts w:ascii="Verdana" w:hAnsi="Verdana"/>
        </w:rPr>
      </w:pPr>
      <w:r w:rsidRPr="001F4E2F">
        <w:rPr>
          <w:rFonts w:ascii="Verdana" w:hAnsi="Verdana"/>
        </w:rPr>
        <w:t>Línea en Bogotá (Mesa de servicio): +57 601 7456788</w:t>
      </w:r>
    </w:p>
    <w:p w14:paraId="19C6513A" w14:textId="77777777" w:rsidR="00F60167" w:rsidRPr="001F4E2F" w:rsidRDefault="00F60167" w:rsidP="00F60167">
      <w:pPr>
        <w:pStyle w:val="Prrafodelista"/>
        <w:numPr>
          <w:ilvl w:val="0"/>
          <w:numId w:val="1"/>
        </w:numPr>
        <w:spacing w:after="0" w:line="276" w:lineRule="auto"/>
        <w:ind w:left="0"/>
        <w:contextualSpacing w:val="0"/>
        <w:jc w:val="both"/>
        <w:rPr>
          <w:rFonts w:ascii="Verdana" w:hAnsi="Verdana"/>
        </w:rPr>
      </w:pPr>
      <w:r w:rsidRPr="001F4E2F">
        <w:rPr>
          <w:rFonts w:ascii="Verdana" w:hAnsi="Verdana"/>
        </w:rPr>
        <w:t>Línea de servicio y atención al ciudadano: +57 601 7956600</w:t>
      </w:r>
    </w:p>
    <w:p w14:paraId="6826E03B" w14:textId="77777777" w:rsidR="00F60167" w:rsidRPr="001F4E2F" w:rsidRDefault="00F60167" w:rsidP="00F60167">
      <w:pPr>
        <w:pStyle w:val="Prrafodelista"/>
        <w:numPr>
          <w:ilvl w:val="0"/>
          <w:numId w:val="1"/>
        </w:numPr>
        <w:spacing w:after="0" w:line="276" w:lineRule="auto"/>
        <w:ind w:left="0"/>
        <w:contextualSpacing w:val="0"/>
        <w:jc w:val="both"/>
        <w:rPr>
          <w:rFonts w:ascii="Verdana" w:hAnsi="Verdana"/>
        </w:rPr>
      </w:pPr>
      <w:r w:rsidRPr="00A07C71">
        <w:rPr>
          <w:rFonts w:ascii="Verdana" w:hAnsi="Verdana"/>
        </w:rPr>
        <w:t xml:space="preserve">Página web: </w:t>
      </w:r>
      <w:hyperlink r:id="rId11" w:history="1">
        <w:r w:rsidRPr="00A07C71">
          <w:rPr>
            <w:rStyle w:val="Hipervnculo"/>
            <w:rFonts w:ascii="Verdana" w:hAnsi="Verdana"/>
          </w:rPr>
          <w:t>www.colombiacompra.gov.co</w:t>
        </w:r>
      </w:hyperlink>
    </w:p>
    <w:p w14:paraId="3675202F" w14:textId="77777777" w:rsidR="00F60167" w:rsidRPr="001F4E2F" w:rsidRDefault="00F60167" w:rsidP="00F60167">
      <w:pPr>
        <w:spacing w:after="0" w:line="276" w:lineRule="auto"/>
        <w:jc w:val="both"/>
        <w:rPr>
          <w:rFonts w:ascii="Verdana" w:hAnsi="Verdana"/>
        </w:rPr>
      </w:pPr>
      <w:r w:rsidRPr="001F4E2F">
        <w:rPr>
          <w:rFonts w:ascii="Verdana" w:hAnsi="Verdana"/>
        </w:rPr>
        <w:t xml:space="preserve">Por último, lo invitamos a seguirnos en las redes sociales en las cuales se difunde información institucional: </w:t>
      </w:r>
    </w:p>
    <w:p w14:paraId="4660825E" w14:textId="77777777" w:rsidR="00F60167" w:rsidRPr="001F4E2F" w:rsidRDefault="00F60167" w:rsidP="00F60167">
      <w:pPr>
        <w:spacing w:after="0" w:line="276" w:lineRule="auto"/>
        <w:jc w:val="both"/>
        <w:rPr>
          <w:rFonts w:ascii="Verdana" w:hAnsi="Verdana"/>
        </w:rPr>
      </w:pPr>
    </w:p>
    <w:p w14:paraId="7F761B13" w14:textId="77777777" w:rsidR="00F60167" w:rsidRPr="001F4E2F" w:rsidRDefault="00F60167" w:rsidP="00F60167">
      <w:pPr>
        <w:spacing w:after="0" w:line="276" w:lineRule="auto"/>
        <w:jc w:val="both"/>
        <w:rPr>
          <w:rFonts w:ascii="Verdana" w:hAnsi="Verdana"/>
        </w:rPr>
      </w:pPr>
      <w:r w:rsidRPr="001F4E2F">
        <w:rPr>
          <w:rFonts w:ascii="Verdana" w:hAnsi="Verdana"/>
        </w:rPr>
        <w:t xml:space="preserve">Twitter: </w:t>
      </w:r>
      <w:r w:rsidRPr="001F4E2F">
        <w:rPr>
          <w:rStyle w:val="Hipervnculo"/>
          <w:rFonts w:ascii="Verdana" w:hAnsi="Verdana"/>
        </w:rPr>
        <w:t>@colombiacompra</w:t>
      </w:r>
      <w:r w:rsidRPr="001F4E2F">
        <w:rPr>
          <w:rFonts w:ascii="Verdana" w:hAnsi="Verdana"/>
        </w:rPr>
        <w:t xml:space="preserve"> </w:t>
      </w:r>
    </w:p>
    <w:p w14:paraId="70F99A51" w14:textId="77777777" w:rsidR="00F60167" w:rsidRPr="001F4E2F" w:rsidRDefault="00F60167" w:rsidP="00F60167">
      <w:pPr>
        <w:spacing w:after="0" w:line="276" w:lineRule="auto"/>
        <w:jc w:val="both"/>
        <w:rPr>
          <w:rFonts w:ascii="Verdana" w:hAnsi="Verdana"/>
        </w:rPr>
      </w:pPr>
      <w:r w:rsidRPr="001F4E2F">
        <w:rPr>
          <w:rFonts w:ascii="Verdana" w:hAnsi="Verdana"/>
        </w:rPr>
        <w:t xml:space="preserve">Facebook: </w:t>
      </w:r>
      <w:proofErr w:type="spellStart"/>
      <w:r w:rsidRPr="001F4E2F">
        <w:rPr>
          <w:rStyle w:val="Hipervnculo"/>
          <w:rFonts w:ascii="Verdana" w:hAnsi="Verdana"/>
        </w:rPr>
        <w:t>ColombiaCompraEficiente</w:t>
      </w:r>
      <w:proofErr w:type="spellEnd"/>
    </w:p>
    <w:p w14:paraId="32A1FD5A" w14:textId="77777777" w:rsidR="00F60167" w:rsidRPr="001F4E2F" w:rsidRDefault="00F60167" w:rsidP="00F60167">
      <w:pPr>
        <w:spacing w:after="0" w:line="276" w:lineRule="auto"/>
        <w:jc w:val="both"/>
        <w:rPr>
          <w:rFonts w:ascii="Verdana" w:hAnsi="Verdana"/>
        </w:rPr>
      </w:pPr>
      <w:r w:rsidRPr="001F4E2F">
        <w:rPr>
          <w:rFonts w:ascii="Verdana" w:hAnsi="Verdana"/>
        </w:rPr>
        <w:lastRenderedPageBreak/>
        <w:t xml:space="preserve">LinkedIn: </w:t>
      </w:r>
      <w:r w:rsidRPr="001F4E2F">
        <w:rPr>
          <w:rStyle w:val="Hipervnculo"/>
          <w:rFonts w:ascii="Verdana" w:hAnsi="Verdana"/>
        </w:rPr>
        <w:t>Agencia Nacional de Contratación Pública - Colombia Compra Eficiente</w:t>
      </w:r>
      <w:r w:rsidRPr="001F4E2F">
        <w:rPr>
          <w:rFonts w:ascii="Verdana" w:hAnsi="Verdana"/>
        </w:rPr>
        <w:t xml:space="preserve"> Instagram: </w:t>
      </w:r>
      <w:r w:rsidRPr="001F4E2F">
        <w:rPr>
          <w:rStyle w:val="Hipervnculo"/>
          <w:rFonts w:ascii="Verdana" w:hAnsi="Verdana"/>
        </w:rPr>
        <w:t>@colombiacompraeficiente_cce</w:t>
      </w:r>
    </w:p>
    <w:p w14:paraId="0B813D24" w14:textId="77777777" w:rsidR="00F60167" w:rsidRPr="001F4E2F" w:rsidRDefault="00F60167" w:rsidP="00F60167">
      <w:pPr>
        <w:spacing w:after="0" w:line="276" w:lineRule="auto"/>
        <w:jc w:val="both"/>
        <w:rPr>
          <w:rFonts w:ascii="Verdana" w:hAnsi="Verdana"/>
        </w:rPr>
      </w:pPr>
    </w:p>
    <w:p w14:paraId="78134094" w14:textId="77777777" w:rsidR="00F60167" w:rsidRPr="001F4E2F" w:rsidRDefault="00F60167" w:rsidP="00F60167">
      <w:pPr>
        <w:spacing w:after="0" w:line="276" w:lineRule="auto"/>
        <w:jc w:val="both"/>
        <w:rPr>
          <w:rFonts w:ascii="Verdana" w:hAnsi="Verdana"/>
        </w:rPr>
      </w:pPr>
      <w:r w:rsidRPr="001F4E2F">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5A157F1" w14:textId="77777777" w:rsidR="00F60167" w:rsidRPr="001F4E2F" w:rsidRDefault="00F60167" w:rsidP="00F60167">
      <w:pPr>
        <w:spacing w:after="0" w:line="276" w:lineRule="auto"/>
        <w:jc w:val="both"/>
        <w:rPr>
          <w:rFonts w:ascii="Verdana" w:eastAsia="Calibri" w:hAnsi="Verdana" w:cs="Times New Roman"/>
        </w:rPr>
      </w:pPr>
    </w:p>
    <w:p w14:paraId="69B77ADC" w14:textId="71C8B5B9" w:rsidR="00F60167" w:rsidRPr="00274350" w:rsidRDefault="00F60167" w:rsidP="00F60167">
      <w:pPr>
        <w:spacing w:after="0" w:line="276" w:lineRule="auto"/>
        <w:jc w:val="both"/>
        <w:rPr>
          <w:rFonts w:ascii="Verdana" w:hAnsi="Verdana"/>
        </w:rPr>
      </w:pPr>
      <w:r w:rsidRPr="001F4E2F">
        <w:rPr>
          <w:rFonts w:ascii="Verdana" w:eastAsia="Calibri" w:hAnsi="Verdana" w:cs="Times New Roman"/>
        </w:rPr>
        <w:t>Atentamente,</w:t>
      </w:r>
    </w:p>
    <w:bookmarkEnd w:id="0"/>
    <w:bookmarkEnd w:id="1"/>
    <w:p w14:paraId="3EF1409C" w14:textId="25468BFA" w:rsidR="00F60167" w:rsidRDefault="00F53E94" w:rsidP="00F60167">
      <w:pPr>
        <w:spacing w:after="0"/>
        <w:rPr>
          <w:rFonts w:ascii="Verdana" w:hAnsi="Verdana"/>
        </w:rPr>
      </w:pPr>
      <w:r w:rsidRPr="00F21F0B">
        <w:rPr>
          <w:rFonts w:ascii="Century Gothic" w:hAnsi="Century Gothic"/>
          <w:noProof/>
        </w:rPr>
        <w:drawing>
          <wp:anchor distT="0" distB="0" distL="114300" distR="114300" simplePos="0" relativeHeight="251661312" behindDoc="1" locked="0" layoutInCell="1" allowOverlap="1" wp14:anchorId="7B3D0A72" wp14:editId="0B4B4912">
            <wp:simplePos x="0" y="0"/>
            <wp:positionH relativeFrom="column">
              <wp:posOffset>994801</wp:posOffset>
            </wp:positionH>
            <wp:positionV relativeFrom="paragraph">
              <wp:posOffset>118110</wp:posOffset>
            </wp:positionV>
            <wp:extent cx="3771900" cy="1402080"/>
            <wp:effectExtent l="0" t="0" r="0" b="7620"/>
            <wp:wrapTight wrapText="bothSides">
              <wp:wrapPolygon edited="0">
                <wp:start x="0" y="0"/>
                <wp:lineTo x="0" y="21424"/>
                <wp:lineTo x="21491" y="21424"/>
                <wp:lineTo x="21491" y="0"/>
                <wp:lineTo x="0" y="0"/>
              </wp:wrapPolygon>
            </wp:wrapTight>
            <wp:docPr id="24617304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71900" cy="1402080"/>
                    </a:xfrm>
                    <a:prstGeom prst="rect">
                      <a:avLst/>
                    </a:prstGeom>
                    <a:noFill/>
                    <a:ln>
                      <a:noFill/>
                    </a:ln>
                  </pic:spPr>
                </pic:pic>
              </a:graphicData>
            </a:graphic>
          </wp:anchor>
        </w:drawing>
      </w:r>
    </w:p>
    <w:p w14:paraId="48486FB9" w14:textId="6D1721A8" w:rsidR="00F60167" w:rsidRDefault="00F60167" w:rsidP="00F60167">
      <w:pPr>
        <w:spacing w:after="0"/>
        <w:rPr>
          <w:rFonts w:ascii="Verdana" w:hAnsi="Verdana"/>
        </w:rPr>
      </w:pPr>
    </w:p>
    <w:p w14:paraId="1DF2D7E3" w14:textId="42905458" w:rsidR="00F60167" w:rsidRDefault="00F60167" w:rsidP="00F60167">
      <w:pPr>
        <w:spacing w:after="0"/>
        <w:rPr>
          <w:rFonts w:ascii="Verdana" w:hAnsi="Verdana"/>
        </w:rPr>
      </w:pPr>
    </w:p>
    <w:p w14:paraId="0850E47A" w14:textId="124EF991" w:rsidR="00F60167" w:rsidRDefault="00F60167" w:rsidP="00F60167">
      <w:pPr>
        <w:spacing w:after="0"/>
        <w:rPr>
          <w:rFonts w:ascii="Verdana" w:hAnsi="Verdana"/>
        </w:rPr>
      </w:pPr>
    </w:p>
    <w:p w14:paraId="2259DAF6" w14:textId="3CC778A1" w:rsidR="00F60167" w:rsidRDefault="00F60167" w:rsidP="00F60167">
      <w:pPr>
        <w:spacing w:after="0"/>
        <w:rPr>
          <w:rFonts w:ascii="Verdana" w:hAnsi="Verdana"/>
        </w:rPr>
      </w:pPr>
    </w:p>
    <w:p w14:paraId="6C31E382" w14:textId="1F98000C" w:rsidR="00F60167" w:rsidRDefault="00F60167" w:rsidP="00F60167">
      <w:pPr>
        <w:spacing w:after="0"/>
        <w:rPr>
          <w:rFonts w:ascii="Verdana" w:hAnsi="Verdana"/>
        </w:rPr>
      </w:pPr>
    </w:p>
    <w:p w14:paraId="50F1F1C1" w14:textId="77777777" w:rsidR="00F60167" w:rsidRDefault="00F60167" w:rsidP="00F60167">
      <w:pPr>
        <w:spacing w:after="0"/>
        <w:rPr>
          <w:rFonts w:ascii="Verdana" w:hAnsi="Verdana"/>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60167" w:rsidRPr="002423D6" w14:paraId="2E1C4A54" w14:textId="77777777" w:rsidTr="00CE1FD4">
        <w:trPr>
          <w:trHeight w:val="315"/>
        </w:trPr>
        <w:tc>
          <w:tcPr>
            <w:tcW w:w="893" w:type="dxa"/>
            <w:vAlign w:val="center"/>
            <w:hideMark/>
          </w:tcPr>
          <w:p w14:paraId="6CD458F2" w14:textId="77777777" w:rsidR="00F60167" w:rsidRPr="002423D6" w:rsidRDefault="00F60167" w:rsidP="00CE1FD4">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96521F8" w14:textId="77777777" w:rsidR="00F60167" w:rsidRPr="002423D6" w:rsidRDefault="00F60167" w:rsidP="00CE1FD4">
            <w:pPr>
              <w:contextualSpacing/>
              <w:rPr>
                <w:rFonts w:ascii="Verdana" w:eastAsia="Arial" w:hAnsi="Verdana" w:cs="Arial"/>
                <w:color w:val="000000" w:themeColor="text1"/>
                <w:sz w:val="16"/>
                <w:szCs w:val="16"/>
              </w:rPr>
            </w:pPr>
            <w:r w:rsidRPr="002423D6">
              <w:rPr>
                <w:rFonts w:ascii="Verdana" w:eastAsia="Arial" w:hAnsi="Verdana" w:cs="Arial"/>
                <w:color w:val="000000" w:themeColor="text1"/>
                <w:sz w:val="16"/>
                <w:szCs w:val="16"/>
              </w:rPr>
              <w:t>An</w:t>
            </w:r>
            <w:r>
              <w:rPr>
                <w:rFonts w:ascii="Verdana" w:eastAsia="Arial" w:hAnsi="Verdana" w:cs="Arial"/>
                <w:color w:val="000000" w:themeColor="text1"/>
                <w:sz w:val="16"/>
                <w:szCs w:val="16"/>
              </w:rPr>
              <w:t>dreina Cerpa Muñoz</w:t>
            </w:r>
          </w:p>
          <w:p w14:paraId="27D4E9DB" w14:textId="77777777" w:rsidR="00F60167" w:rsidRPr="002423D6" w:rsidRDefault="00F60167" w:rsidP="00CE1FD4">
            <w:pPr>
              <w:contextualSpacing/>
              <w:rPr>
                <w:rFonts w:ascii="Verdana" w:eastAsia="Arial" w:hAnsi="Verdana" w:cs="Arial"/>
                <w:color w:val="000000" w:themeColor="text1"/>
                <w:sz w:val="16"/>
                <w:szCs w:val="16"/>
              </w:rPr>
            </w:pPr>
            <w:r w:rsidRPr="002423D6">
              <w:rPr>
                <w:rStyle w:val="normaltextrun"/>
                <w:rFonts w:ascii="Verdana" w:eastAsia="Arial" w:hAnsi="Verdana" w:cs="Arial"/>
                <w:color w:val="000000" w:themeColor="text1"/>
                <w:sz w:val="16"/>
                <w:szCs w:val="16"/>
              </w:rPr>
              <w:t>Analista T2-02 de la Subdirección de Gestión Contractual</w:t>
            </w:r>
          </w:p>
        </w:tc>
      </w:tr>
      <w:tr w:rsidR="00F60167" w:rsidRPr="002423D6" w14:paraId="60A6D715" w14:textId="77777777" w:rsidTr="00CE1FD4">
        <w:trPr>
          <w:trHeight w:val="330"/>
        </w:trPr>
        <w:tc>
          <w:tcPr>
            <w:tcW w:w="893" w:type="dxa"/>
            <w:vAlign w:val="center"/>
            <w:hideMark/>
          </w:tcPr>
          <w:p w14:paraId="0E5C5535" w14:textId="77777777" w:rsidR="00F60167" w:rsidRPr="002423D6" w:rsidRDefault="00F60167" w:rsidP="00CE1FD4">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73D79D2" w14:textId="77777777" w:rsidR="00F60167" w:rsidRPr="00A11861" w:rsidRDefault="00F60167" w:rsidP="00CE1FD4">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 xml:space="preserve">Diana Lucía Saavedra </w:t>
            </w:r>
          </w:p>
          <w:p w14:paraId="5C771D2B" w14:textId="77777777" w:rsidR="00F60167" w:rsidRPr="002423D6" w:rsidRDefault="00F60167" w:rsidP="00CE1FD4">
            <w:pPr>
              <w:pStyle w:val="paragraph"/>
              <w:spacing w:before="0" w:beforeAutospacing="0" w:after="0" w:afterAutospacing="0"/>
              <w:contextualSpacing/>
              <w:textAlignment w:val="baseline"/>
              <w:rPr>
                <w:rFonts w:ascii="Verdana" w:hAnsi="Verdana" w:cs="Segoe UI"/>
                <w:color w:val="000000" w:themeColor="text1"/>
                <w:sz w:val="16"/>
                <w:szCs w:val="16"/>
              </w:rPr>
            </w:pPr>
            <w:r w:rsidRPr="002423D6">
              <w:rPr>
                <w:rStyle w:val="normaltextrun"/>
                <w:rFonts w:ascii="Verdana" w:hAnsi="Verdana" w:cs="Arial"/>
                <w:color w:val="000000" w:themeColor="text1"/>
                <w:sz w:val="16"/>
                <w:szCs w:val="16"/>
                <w:lang w:val="es-ES"/>
              </w:rPr>
              <w:t>Contratista de la Subdirección de Gestión Contractual</w:t>
            </w:r>
            <w:r w:rsidRPr="002423D6">
              <w:rPr>
                <w:rStyle w:val="eop"/>
                <w:rFonts w:ascii="Verdana" w:hAnsi="Verdana" w:cs="Arial"/>
                <w:color w:val="000000" w:themeColor="text1"/>
                <w:sz w:val="16"/>
                <w:szCs w:val="16"/>
              </w:rPr>
              <w:t> </w:t>
            </w:r>
          </w:p>
        </w:tc>
      </w:tr>
      <w:tr w:rsidR="00F60167" w:rsidRPr="002423D6" w14:paraId="69C0AEF2" w14:textId="77777777" w:rsidTr="00CE1FD4">
        <w:trPr>
          <w:trHeight w:val="300"/>
        </w:trPr>
        <w:tc>
          <w:tcPr>
            <w:tcW w:w="893" w:type="dxa"/>
            <w:vAlign w:val="center"/>
          </w:tcPr>
          <w:p w14:paraId="7B962002" w14:textId="77777777" w:rsidR="00F60167" w:rsidRPr="002423D6" w:rsidRDefault="00F60167" w:rsidP="00CE1FD4">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956F5B2" w14:textId="77777777" w:rsidR="00F60167" w:rsidRPr="002423D6" w:rsidRDefault="00F60167" w:rsidP="00CE1FD4">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val="pt-BR" w:eastAsia="es-ES"/>
              </w:rPr>
              <w:t xml:space="preserve">Carolina Quintero </w:t>
            </w:r>
            <w:proofErr w:type="spellStart"/>
            <w:r w:rsidRPr="002423D6">
              <w:rPr>
                <w:rFonts w:ascii="Verdana" w:eastAsia="Calibri" w:hAnsi="Verdana" w:cs="Arial"/>
                <w:color w:val="000000" w:themeColor="text1"/>
                <w:sz w:val="16"/>
                <w:szCs w:val="16"/>
                <w:lang w:val="pt-BR" w:eastAsia="es-ES"/>
              </w:rPr>
              <w:t>Gacharná</w:t>
            </w:r>
            <w:proofErr w:type="spellEnd"/>
          </w:p>
          <w:p w14:paraId="281C8901" w14:textId="77777777" w:rsidR="00F60167" w:rsidRPr="002423D6" w:rsidRDefault="00F60167" w:rsidP="00CE1FD4">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eastAsia="es-ES"/>
              </w:rPr>
              <w:t>Subdirectora</w:t>
            </w:r>
            <w:r w:rsidRPr="002423D6">
              <w:rPr>
                <w:rFonts w:ascii="Verdana" w:eastAsia="Calibri" w:hAnsi="Verdana" w:cs="Arial"/>
                <w:color w:val="000000" w:themeColor="text1"/>
                <w:sz w:val="16"/>
                <w:szCs w:val="16"/>
                <w:lang w:val="pt-BR" w:eastAsia="es-ES"/>
              </w:rPr>
              <w:t xml:space="preserve"> de Gestión </w:t>
            </w:r>
            <w:proofErr w:type="spellStart"/>
            <w:r w:rsidRPr="002423D6">
              <w:rPr>
                <w:rFonts w:ascii="Verdana" w:eastAsia="Calibri" w:hAnsi="Verdana" w:cs="Arial"/>
                <w:color w:val="000000" w:themeColor="text1"/>
                <w:sz w:val="16"/>
                <w:szCs w:val="16"/>
                <w:lang w:val="pt-BR" w:eastAsia="es-ES"/>
              </w:rPr>
              <w:t>Contractual</w:t>
            </w:r>
            <w:proofErr w:type="spellEnd"/>
            <w:r w:rsidRPr="002423D6">
              <w:rPr>
                <w:rFonts w:ascii="Verdana" w:eastAsia="Calibri" w:hAnsi="Verdana" w:cs="Arial"/>
                <w:color w:val="000000" w:themeColor="text1"/>
                <w:sz w:val="16"/>
                <w:szCs w:val="16"/>
                <w:lang w:val="pt-BR" w:eastAsia="es-ES"/>
              </w:rPr>
              <w:t xml:space="preserve"> ANCP – CCE</w:t>
            </w:r>
          </w:p>
        </w:tc>
      </w:tr>
    </w:tbl>
    <w:p w14:paraId="65E1ED2C" w14:textId="1E74B177" w:rsidR="00F60167" w:rsidRPr="003D6369" w:rsidRDefault="00F60167" w:rsidP="00F60167"/>
    <w:p w14:paraId="13A914F3" w14:textId="3ED09A40" w:rsidR="000F5A42" w:rsidRPr="00F60167" w:rsidRDefault="000F5A42" w:rsidP="00F60167"/>
    <w:sectPr w:rsidR="000F5A42" w:rsidRPr="00F60167" w:rsidSect="004D0174">
      <w:headerReference w:type="default" r:id="rId13"/>
      <w:footerReference w:type="default" r:id="rId1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4CC13" w14:textId="77777777" w:rsidR="00AB4487" w:rsidRDefault="00AB4487" w:rsidP="004D0174">
      <w:pPr>
        <w:spacing w:after="0" w:line="240" w:lineRule="auto"/>
      </w:pPr>
      <w:r>
        <w:separator/>
      </w:r>
    </w:p>
  </w:endnote>
  <w:endnote w:type="continuationSeparator" w:id="0">
    <w:p w14:paraId="32D3E37C" w14:textId="77777777" w:rsidR="00AB4487" w:rsidRDefault="00AB4487" w:rsidP="004D01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C8544" w14:textId="77777777" w:rsidR="004D0174" w:rsidRDefault="004D0174">
    <w:pPr>
      <w:pStyle w:val="Piedepgina"/>
    </w:pPr>
  </w:p>
  <w:p w14:paraId="52615E04" w14:textId="77777777" w:rsidR="004D0174" w:rsidRPr="00174B77" w:rsidRDefault="004D0174">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7C60A7E6" w14:textId="77777777" w:rsidR="004D0174" w:rsidRDefault="004D0174">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23162AB4" w14:textId="77777777" w:rsidR="004D0174" w:rsidRPr="00E41027" w:rsidRDefault="004D0174">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2470F084" w14:textId="77777777" w:rsidR="004D0174" w:rsidRDefault="004D0174">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8D40E" w14:textId="77777777" w:rsidR="00AB4487" w:rsidRDefault="00AB4487" w:rsidP="004D0174">
      <w:pPr>
        <w:spacing w:after="0" w:line="240" w:lineRule="auto"/>
      </w:pPr>
      <w:r>
        <w:separator/>
      </w:r>
    </w:p>
  </w:footnote>
  <w:footnote w:type="continuationSeparator" w:id="0">
    <w:p w14:paraId="5719E474" w14:textId="77777777" w:rsidR="00AB4487" w:rsidRDefault="00AB4487" w:rsidP="004D0174">
      <w:pPr>
        <w:spacing w:after="0" w:line="240" w:lineRule="auto"/>
      </w:pPr>
      <w:r>
        <w:continuationSeparator/>
      </w:r>
    </w:p>
  </w:footnote>
  <w:footnote w:id="1">
    <w:p w14:paraId="5C6EA861" w14:textId="77777777" w:rsidR="00F60167" w:rsidRPr="00E12E59" w:rsidRDefault="00F60167" w:rsidP="00F60167">
      <w:pPr>
        <w:pStyle w:val="Textonotapie"/>
        <w:ind w:firstLine="708"/>
        <w:jc w:val="both"/>
        <w:rPr>
          <w:rFonts w:ascii="Verdana" w:hAnsi="Verdana" w:cs="Arial"/>
          <w:sz w:val="16"/>
          <w:szCs w:val="16"/>
        </w:rPr>
      </w:pPr>
      <w:r w:rsidRPr="00E12E59">
        <w:rPr>
          <w:rStyle w:val="Refdenotaalpie"/>
          <w:rFonts w:ascii="Verdana" w:hAnsi="Verdana" w:cs="Arial"/>
          <w:sz w:val="16"/>
          <w:szCs w:val="16"/>
        </w:rPr>
        <w:footnoteRef/>
      </w:r>
      <w:r w:rsidRPr="00E12E59">
        <w:rPr>
          <w:rFonts w:ascii="Verdana" w:hAnsi="Verdana" w:cs="Arial"/>
          <w:sz w:val="16"/>
          <w:szCs w:val="16"/>
        </w:rPr>
        <w:t xml:space="preserve"> Al respecto, la jurisprudencia explica que la garantía del debido proceso “[…] tampoco es exclusiva de los procedimientos sancionatorios contractuales, sino de los demás trámites administrativos que se surten al interior de la actividad contractual, que también deben garantizar un procedimiento previo que racionalice las decisiones que se adoptan a través suyo. Los más representativos son los procesos de selección de contratistas, cuyas etapas y requisitos son de estricta observancia, tanto para la administración como para los participantes, en señal de respeto al principio de legalidad como a este derecho que integra el debido proceso” (CONSEJO DE ESTADO. Sección Tercera. Sentencia del 23 de junio de 2010. Rad. 16.367. C.P. Enrique Gil Botero). </w:t>
      </w:r>
    </w:p>
  </w:footnote>
  <w:footnote w:id="2">
    <w:p w14:paraId="23DD9613" w14:textId="77777777" w:rsidR="00F60167" w:rsidRPr="00E12E59" w:rsidRDefault="00F60167" w:rsidP="00F60167">
      <w:pPr>
        <w:pStyle w:val="Textonotapie"/>
        <w:ind w:firstLine="708"/>
        <w:jc w:val="both"/>
        <w:rPr>
          <w:rFonts w:ascii="Verdana" w:hAnsi="Verdana" w:cs="Arial"/>
          <w:sz w:val="16"/>
          <w:szCs w:val="16"/>
        </w:rPr>
      </w:pPr>
      <w:r w:rsidRPr="00E12E59">
        <w:rPr>
          <w:rStyle w:val="Refdenotaalpie"/>
          <w:rFonts w:ascii="Verdana" w:hAnsi="Verdana" w:cs="Arial"/>
          <w:sz w:val="16"/>
          <w:szCs w:val="16"/>
        </w:rPr>
        <w:footnoteRef/>
      </w:r>
      <w:r w:rsidRPr="00E12E59">
        <w:rPr>
          <w:rFonts w:ascii="Verdana" w:hAnsi="Verdana" w:cs="Arial"/>
          <w:sz w:val="16"/>
          <w:szCs w:val="16"/>
        </w:rPr>
        <w:t xml:space="preserve"> De hecho, en la exposición de motivos se explicó lo siguiente: “El proyecto mantiene como regla general la utilización de procedimientos reglados de selección objetiva del contratista [...], lo que afirma la ordenación que sobre la materia ha mantenido nuestra legislación desde el Código Fiscal de 1873 en cuanto que su justificación estriba, esencialmente, en los conceptos de seguridad, corrección y moralidad administrativas, así como en el principio de igualdad de oportunidades para que cualquier persona que esté en posibilidad de contratar con la administración tenga acceso a ella” (</w:t>
      </w:r>
      <w:bookmarkStart w:id="2" w:name="_Hlk39067926"/>
      <w:r w:rsidRPr="00E12E59">
        <w:rPr>
          <w:rFonts w:ascii="Verdana" w:hAnsi="Verdana" w:cs="Arial"/>
          <w:sz w:val="16"/>
          <w:szCs w:val="16"/>
        </w:rPr>
        <w:t>CONGRESO DE LA REPÚBLICA. Exposición de motivos de la Ley 80 de 1993. Gaceta del Congreso No. 75 del 23 de septiembre de 1992</w:t>
      </w:r>
      <w:bookmarkEnd w:id="2"/>
      <w:r w:rsidRPr="00E12E59">
        <w:rPr>
          <w:rFonts w:ascii="Verdana" w:hAnsi="Verdana" w:cs="Arial"/>
          <w:sz w:val="16"/>
          <w:szCs w:val="16"/>
        </w:rPr>
        <w:t>).</w:t>
      </w:r>
    </w:p>
  </w:footnote>
  <w:footnote w:id="3">
    <w:p w14:paraId="06D31DB7" w14:textId="77777777" w:rsidR="00F60167" w:rsidRPr="00E12E59" w:rsidRDefault="00F60167" w:rsidP="00F60167">
      <w:pPr>
        <w:pStyle w:val="Textonotapie"/>
        <w:ind w:firstLine="708"/>
        <w:jc w:val="both"/>
        <w:rPr>
          <w:rFonts w:ascii="Verdana" w:hAnsi="Verdana" w:cs="Arial"/>
          <w:sz w:val="16"/>
          <w:szCs w:val="16"/>
        </w:rPr>
      </w:pPr>
      <w:r w:rsidRPr="00E12E59">
        <w:rPr>
          <w:rStyle w:val="Refdenotaalpie"/>
          <w:rFonts w:ascii="Verdana" w:hAnsi="Verdana" w:cs="Arial"/>
          <w:sz w:val="16"/>
          <w:szCs w:val="16"/>
        </w:rPr>
        <w:footnoteRef/>
      </w:r>
      <w:r w:rsidRPr="00E12E59">
        <w:rPr>
          <w:rFonts w:ascii="Verdana" w:hAnsi="Verdana" w:cs="Arial"/>
          <w:sz w:val="16"/>
          <w:szCs w:val="16"/>
        </w:rPr>
        <w:t xml:space="preserve"> El inciso primero de norma disponía que, conforme al principio de transparencia, “</w:t>
      </w:r>
      <w:r w:rsidRPr="00E12E59">
        <w:rPr>
          <w:rFonts w:ascii="Verdana" w:hAnsi="Verdana" w:cs="Arial"/>
          <w:i/>
          <w:iCs/>
          <w:sz w:val="16"/>
          <w:szCs w:val="16"/>
        </w:rPr>
        <w:t>La escogencia del contratista se efectuará siempre a través de licitación o concurso públicos</w:t>
      </w:r>
      <w:r w:rsidRPr="00E12E59">
        <w:rPr>
          <w:rFonts w:ascii="Verdana" w:hAnsi="Verdana" w:cs="Arial"/>
          <w:sz w:val="16"/>
          <w:szCs w:val="16"/>
        </w:rPr>
        <w:t>, salvo en los siguientes casos en los que se podrá contratar directamente” (Énfasis fuera de texto). La expresión en cursiva fue declarada exequible por la Corte Constitucional mediante la Sentencia C-400 de 1999, con ponencia del Magistrado Vladimiro Naranjo Mesa, y derogado integralmente por el artículo 32 de la Ley 1150 de 2007.</w:t>
      </w:r>
    </w:p>
  </w:footnote>
  <w:footnote w:id="4">
    <w:p w14:paraId="6C279B8B" w14:textId="77777777" w:rsidR="00F60167" w:rsidRPr="00E12E59" w:rsidRDefault="00F60167" w:rsidP="00F60167">
      <w:pPr>
        <w:pStyle w:val="Textonotapie"/>
        <w:ind w:firstLine="708"/>
        <w:jc w:val="both"/>
        <w:rPr>
          <w:rFonts w:ascii="Verdana" w:hAnsi="Verdana" w:cs="Arial"/>
          <w:sz w:val="16"/>
          <w:szCs w:val="16"/>
        </w:rPr>
      </w:pPr>
      <w:r w:rsidRPr="00E12E59">
        <w:rPr>
          <w:rStyle w:val="Refdenotaalpie"/>
          <w:rFonts w:ascii="Verdana" w:hAnsi="Verdana" w:cs="Arial"/>
          <w:sz w:val="16"/>
          <w:szCs w:val="16"/>
        </w:rPr>
        <w:footnoteRef/>
      </w:r>
      <w:r w:rsidRPr="00E12E59">
        <w:rPr>
          <w:rFonts w:ascii="Verdana" w:hAnsi="Verdana" w:cs="Arial"/>
          <w:sz w:val="16"/>
          <w:szCs w:val="16"/>
        </w:rPr>
        <w:t xml:space="preserve"> Sobre la articulación de los diferentes procesos de selección previstos en el artículo 2 de la Ley 1150 de 2007, DÁVILA VINUEZA considera lo siguiente: “En las leyes 80 de 1993 y 1150 de 2007 los demás procedimientos de selección distintos a la licitación </w:t>
      </w:r>
      <w:proofErr w:type="gramStart"/>
      <w:r w:rsidRPr="00E12E59">
        <w:rPr>
          <w:rFonts w:ascii="Verdana" w:hAnsi="Verdana" w:cs="Arial"/>
          <w:sz w:val="16"/>
          <w:szCs w:val="16"/>
        </w:rPr>
        <w:t>pública,</w:t>
      </w:r>
      <w:proofErr w:type="gramEnd"/>
      <w:r w:rsidRPr="00E12E59">
        <w:rPr>
          <w:rFonts w:ascii="Verdana" w:hAnsi="Verdana" w:cs="Arial"/>
          <w:sz w:val="16"/>
          <w:szCs w:val="16"/>
        </w:rPr>
        <w:t xml:space="preserve"> se convierten en procedimientos excepcionales y procedentes únicamente en los casos taxativamente contemplados en la ley. Pero la excepción no es respecto de los principios de transparencia, economía y responsabilidad y del deber de selección objetiva como parece lo han entendido algunas entidades estales. Estos principios que […] desarrollan los rectores de la función pública de orden constitucional y legal (art. 209 C.N., y art. 3° </w:t>
      </w:r>
      <w:proofErr w:type="spellStart"/>
      <w:r w:rsidRPr="00E12E59">
        <w:rPr>
          <w:rFonts w:ascii="Verdana" w:hAnsi="Verdana" w:cs="Arial"/>
          <w:sz w:val="16"/>
          <w:szCs w:val="16"/>
        </w:rPr>
        <w:t>Cpaca</w:t>
      </w:r>
      <w:proofErr w:type="spellEnd"/>
      <w:r w:rsidRPr="00E12E59">
        <w:rPr>
          <w:rFonts w:ascii="Verdana" w:hAnsi="Verdana" w:cs="Arial"/>
          <w:sz w:val="16"/>
          <w:szCs w:val="16"/>
        </w:rPr>
        <w:t>) son aplicables con todo rigor a los procedimientos de excepción. Siendo ello así, la excepción de que se habla es respecto del proceso licitatorio regulado en el artículo 30 de la Ley 80 de 1993 con las variantes introducidas por el artículo 2°, numeral 1, de la ley 1150 de 2007, en concordancia con el artículo 2.2.1.2.1.1.1 del Decreto 1082 de 2015 (</w:t>
      </w:r>
      <w:r w:rsidRPr="00E12E59">
        <w:rPr>
          <w:rFonts w:ascii="Verdana" w:hAnsi="Verdana" w:cs="Arial"/>
          <w:i/>
          <w:iCs/>
          <w:sz w:val="16"/>
          <w:szCs w:val="16"/>
        </w:rPr>
        <w:t>Presentación de la oferta de manera dinámica</w:t>
      </w:r>
      <w:r w:rsidRPr="00E12E59">
        <w:rPr>
          <w:rFonts w:ascii="Verdana" w:hAnsi="Verdana" w:cs="Arial"/>
          <w:sz w:val="16"/>
          <w:szCs w:val="16"/>
        </w:rPr>
        <w:t xml:space="preserve">). Es decir, </w:t>
      </w:r>
      <w:proofErr w:type="gramStart"/>
      <w:r w:rsidRPr="00E12E59">
        <w:rPr>
          <w:rFonts w:ascii="Verdana" w:hAnsi="Verdana" w:cs="Arial"/>
          <w:sz w:val="16"/>
          <w:szCs w:val="16"/>
        </w:rPr>
        <w:t>que</w:t>
      </w:r>
      <w:proofErr w:type="gramEnd"/>
      <w:r w:rsidRPr="00E12E59">
        <w:rPr>
          <w:rFonts w:ascii="Verdana" w:hAnsi="Verdana" w:cs="Arial"/>
          <w:sz w:val="16"/>
          <w:szCs w:val="16"/>
        </w:rPr>
        <w:t xml:space="preserve"> ante la ausencia de una causal concreta para un determinado evento específico, la selección debe asumir la que el ordenamiento jurídico regula como licitación pública. Por eso es </w:t>
      </w:r>
      <w:proofErr w:type="gramStart"/>
      <w:r w:rsidRPr="00E12E59">
        <w:rPr>
          <w:rFonts w:ascii="Verdana" w:hAnsi="Verdana" w:cs="Arial"/>
          <w:sz w:val="16"/>
          <w:szCs w:val="16"/>
        </w:rPr>
        <w:t>que</w:t>
      </w:r>
      <w:proofErr w:type="gramEnd"/>
      <w:r w:rsidRPr="00E12E59">
        <w:rPr>
          <w:rFonts w:ascii="Verdana" w:hAnsi="Verdana" w:cs="Arial"/>
          <w:sz w:val="16"/>
          <w:szCs w:val="16"/>
        </w:rPr>
        <w:t xml:space="preserve">, además, las causas excepcionales de selección son de interpretación restrictiva y no admiten analogía ni la interpretación extensiva. Genera nulidad absoluta del contrato, por abuso o desviación de poder, y nulidad del acto administrativo de selección cualquier artilugio que implique socavar la principal manifestación del principio de transparencia, cual es la selección por vía de licitación”. (DÁVILA VINUEZA, Luis Guillermo. Régimen jurídico de la contratación estatal. Tercera Edición. Bogotá: Legis, 2016. p. 463).      </w:t>
      </w:r>
    </w:p>
  </w:footnote>
  <w:footnote w:id="5">
    <w:p w14:paraId="468707D3" w14:textId="77777777" w:rsidR="00F60167" w:rsidRPr="00E12E59" w:rsidRDefault="00F60167" w:rsidP="00F60167">
      <w:pPr>
        <w:pStyle w:val="Textonotapie"/>
        <w:ind w:firstLine="708"/>
        <w:jc w:val="both"/>
        <w:rPr>
          <w:rFonts w:ascii="Verdana" w:hAnsi="Verdana" w:cs="Arial"/>
          <w:sz w:val="16"/>
          <w:szCs w:val="16"/>
        </w:rPr>
      </w:pPr>
      <w:r w:rsidRPr="00E12E59">
        <w:rPr>
          <w:rStyle w:val="Refdenotaalpie"/>
          <w:rFonts w:ascii="Verdana" w:hAnsi="Verdana" w:cs="Arial"/>
          <w:sz w:val="16"/>
          <w:szCs w:val="16"/>
        </w:rPr>
        <w:footnoteRef/>
      </w:r>
      <w:r w:rsidRPr="00E12E59">
        <w:rPr>
          <w:rFonts w:ascii="Verdana" w:hAnsi="Verdana" w:cs="Arial"/>
          <w:sz w:val="16"/>
          <w:szCs w:val="16"/>
        </w:rPr>
        <w:t xml:space="preserve"> El numeral 2 del artículo 2 de la Ley 1150 de 2007 prescribe: “[…] Serán causales de selección abreviada las siguientes:</w:t>
      </w:r>
    </w:p>
    <w:p w14:paraId="45440BE2" w14:textId="77777777" w:rsidR="00F60167" w:rsidRPr="00E12E59" w:rsidRDefault="00F60167" w:rsidP="00F60167">
      <w:pPr>
        <w:pStyle w:val="Textonotapie"/>
        <w:ind w:firstLine="708"/>
        <w:jc w:val="both"/>
        <w:rPr>
          <w:rFonts w:ascii="Verdana" w:hAnsi="Verdana" w:cs="Arial"/>
          <w:sz w:val="16"/>
          <w:szCs w:val="16"/>
        </w:rPr>
      </w:pPr>
      <w:r w:rsidRPr="00E12E59">
        <w:rPr>
          <w:rFonts w:ascii="Verdana" w:hAnsi="Verdana" w:cs="Arial"/>
          <w:sz w:val="16"/>
          <w:szCs w:val="16"/>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5E88BBF6" w14:textId="77777777" w:rsidR="00F60167" w:rsidRPr="00E12E59" w:rsidRDefault="00F60167" w:rsidP="00F60167">
      <w:pPr>
        <w:pStyle w:val="Textonotapie"/>
        <w:ind w:firstLine="708"/>
        <w:jc w:val="both"/>
        <w:rPr>
          <w:rFonts w:ascii="Verdana" w:hAnsi="Verdana" w:cs="Arial"/>
          <w:sz w:val="16"/>
          <w:szCs w:val="16"/>
        </w:rPr>
      </w:pPr>
      <w:r w:rsidRPr="00E12E59">
        <w:rPr>
          <w:rFonts w:ascii="Verdana" w:hAnsi="Verdana" w:cs="Arial"/>
          <w:sz w:val="16"/>
          <w:szCs w:val="16"/>
        </w:rPr>
        <w:t xml:space="preserve">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w:t>
      </w:r>
    </w:p>
    <w:p w14:paraId="3E9FA48F" w14:textId="77777777" w:rsidR="00F60167" w:rsidRPr="00E12E59" w:rsidRDefault="00F60167" w:rsidP="00F60167">
      <w:pPr>
        <w:pStyle w:val="Textonotapie"/>
        <w:ind w:firstLine="708"/>
        <w:jc w:val="both"/>
        <w:rPr>
          <w:rFonts w:ascii="Verdana" w:hAnsi="Verdana" w:cs="Arial"/>
          <w:sz w:val="16"/>
          <w:szCs w:val="16"/>
        </w:rPr>
      </w:pPr>
      <w:r w:rsidRPr="00E12E59">
        <w:rPr>
          <w:rFonts w:ascii="Verdana" w:hAnsi="Verdana" w:cs="Arial"/>
          <w:sz w:val="16"/>
          <w:szCs w:val="16"/>
        </w:rPr>
        <w:t>b) La contratación de menor cuantía. Se entenderá por menor cuantía los valores que a continuación se relacionan, determinados en función de los presupuestos anuales de las entidades públicas expresados en salarios mínimos legales mensuales.</w:t>
      </w:r>
    </w:p>
    <w:p w14:paraId="0D78D3C6" w14:textId="77777777" w:rsidR="00F60167" w:rsidRPr="00E12E59" w:rsidRDefault="00F60167" w:rsidP="00F60167">
      <w:pPr>
        <w:pStyle w:val="Textonotapie"/>
        <w:ind w:firstLine="708"/>
        <w:jc w:val="both"/>
        <w:rPr>
          <w:rFonts w:ascii="Verdana" w:hAnsi="Verdana" w:cs="Arial"/>
          <w:sz w:val="16"/>
          <w:szCs w:val="16"/>
        </w:rPr>
      </w:pPr>
      <w:r w:rsidRPr="00E12E59">
        <w:rPr>
          <w:rFonts w:ascii="Verdana" w:hAnsi="Verdana" w:cs="Arial"/>
          <w:sz w:val="16"/>
          <w:szCs w:val="16"/>
        </w:rPr>
        <w:t>[…];</w:t>
      </w:r>
    </w:p>
    <w:p w14:paraId="6F6113E4" w14:textId="77777777" w:rsidR="00F60167" w:rsidRPr="00E12E59" w:rsidRDefault="00F60167" w:rsidP="00F60167">
      <w:pPr>
        <w:pStyle w:val="Textonotapie"/>
        <w:ind w:firstLine="708"/>
        <w:jc w:val="both"/>
        <w:rPr>
          <w:rFonts w:ascii="Verdana" w:hAnsi="Verdana" w:cs="Arial"/>
          <w:sz w:val="16"/>
          <w:szCs w:val="16"/>
        </w:rPr>
      </w:pPr>
      <w:r w:rsidRPr="00E12E59">
        <w:rPr>
          <w:rFonts w:ascii="Verdana" w:hAnsi="Verdana" w:cs="Arial"/>
          <w:sz w:val="16"/>
          <w:szCs w:val="16"/>
        </w:rPr>
        <w:t>c) Sin perjuicio de lo dispuesto en la Ley 100 de 1993 y en la Ley 1122 de 2007, la celebración de contratos para la prestación de servicios de salud. El reglamento interno correspondiente fijará las garantías a cargo de los contratistas. Los pagos correspondientes se podrán hacer mediante encargos fiduciarios;</w:t>
      </w:r>
    </w:p>
    <w:p w14:paraId="7A44FE2C" w14:textId="77777777" w:rsidR="00F60167" w:rsidRPr="00E12E59" w:rsidRDefault="00F60167" w:rsidP="00F60167">
      <w:pPr>
        <w:pStyle w:val="Textonotapie"/>
        <w:ind w:firstLine="708"/>
        <w:jc w:val="both"/>
        <w:rPr>
          <w:rFonts w:ascii="Verdana" w:hAnsi="Verdana" w:cs="Arial"/>
          <w:sz w:val="16"/>
          <w:szCs w:val="16"/>
        </w:rPr>
      </w:pPr>
      <w:r w:rsidRPr="00E12E59">
        <w:rPr>
          <w:rFonts w:ascii="Verdana" w:hAnsi="Verdana" w:cs="Arial"/>
          <w:sz w:val="16"/>
          <w:szCs w:val="16"/>
        </w:rPr>
        <w:t>d) La contratación cuyo proceso de licitación pública haya sido declarado desierto; en cuyo caso la entidad deberá iniciar la selección abreviada dentro de los cuatro meses siguientes a la declaración de desierta del proceso inicial;</w:t>
      </w:r>
    </w:p>
    <w:p w14:paraId="43D7D100" w14:textId="77777777" w:rsidR="00F60167" w:rsidRPr="00E12E59" w:rsidRDefault="00F60167" w:rsidP="00F60167">
      <w:pPr>
        <w:pStyle w:val="Textonotapie"/>
        <w:ind w:firstLine="708"/>
        <w:jc w:val="both"/>
        <w:rPr>
          <w:rFonts w:ascii="Verdana" w:hAnsi="Verdana" w:cs="Arial"/>
          <w:sz w:val="16"/>
          <w:szCs w:val="16"/>
        </w:rPr>
      </w:pPr>
      <w:r w:rsidRPr="00E12E59">
        <w:rPr>
          <w:rFonts w:ascii="Verdana" w:hAnsi="Verdana" w:cs="Arial"/>
          <w:sz w:val="16"/>
          <w:szCs w:val="16"/>
        </w:rPr>
        <w:t>e) La enajenación de bienes del Estado, con excepción de aquellos a que se refiere la Ley 226 de 1995.</w:t>
      </w:r>
    </w:p>
    <w:p w14:paraId="4979BFF2" w14:textId="77777777" w:rsidR="00F60167" w:rsidRPr="00E12E59" w:rsidRDefault="00F60167" w:rsidP="00F60167">
      <w:pPr>
        <w:pStyle w:val="Textonotapie"/>
        <w:ind w:firstLine="708"/>
        <w:jc w:val="both"/>
        <w:rPr>
          <w:rFonts w:ascii="Verdana" w:hAnsi="Verdana" w:cs="Arial"/>
          <w:sz w:val="16"/>
          <w:szCs w:val="16"/>
        </w:rPr>
      </w:pPr>
      <w:r w:rsidRPr="00E12E59">
        <w:rPr>
          <w:rFonts w:ascii="Verdana" w:hAnsi="Verdana" w:cs="Arial"/>
          <w:sz w:val="16"/>
          <w:szCs w:val="16"/>
        </w:rPr>
        <w:t xml:space="preserve">[…]; </w:t>
      </w:r>
    </w:p>
    <w:p w14:paraId="5EC583AC" w14:textId="77777777" w:rsidR="00F60167" w:rsidRPr="00E12E59" w:rsidRDefault="00F60167" w:rsidP="00F60167">
      <w:pPr>
        <w:pStyle w:val="Textonotapie"/>
        <w:ind w:firstLine="708"/>
        <w:jc w:val="both"/>
        <w:rPr>
          <w:rFonts w:ascii="Verdana" w:hAnsi="Verdana" w:cs="Arial"/>
          <w:sz w:val="16"/>
          <w:szCs w:val="16"/>
        </w:rPr>
      </w:pPr>
      <w:r w:rsidRPr="00E12E59">
        <w:rPr>
          <w:rFonts w:ascii="Verdana" w:hAnsi="Verdana" w:cs="Arial"/>
          <w:sz w:val="16"/>
          <w:szCs w:val="16"/>
        </w:rPr>
        <w:t xml:space="preserve">f) Productos de origen o destinación agropecuarios que se ofrezcan en las bolsas de productos legalmente constituidas; </w:t>
      </w:r>
    </w:p>
    <w:p w14:paraId="5A5958BD" w14:textId="77777777" w:rsidR="00F60167" w:rsidRPr="00E12E59" w:rsidRDefault="00F60167" w:rsidP="00F60167">
      <w:pPr>
        <w:pStyle w:val="Textonotapie"/>
        <w:ind w:firstLine="708"/>
        <w:jc w:val="both"/>
        <w:rPr>
          <w:rFonts w:ascii="Verdana" w:hAnsi="Verdana" w:cs="Arial"/>
          <w:sz w:val="16"/>
          <w:szCs w:val="16"/>
        </w:rPr>
      </w:pPr>
      <w:r w:rsidRPr="00E12E59">
        <w:rPr>
          <w:rFonts w:ascii="Verdana" w:hAnsi="Verdana" w:cs="Arial"/>
          <w:sz w:val="16"/>
          <w:szCs w:val="16"/>
        </w:rPr>
        <w:t xml:space="preserve">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w:t>
      </w:r>
    </w:p>
    <w:p w14:paraId="30AE4325" w14:textId="77777777" w:rsidR="00F60167" w:rsidRPr="00E12E59" w:rsidRDefault="00F60167" w:rsidP="00F60167">
      <w:pPr>
        <w:pStyle w:val="Textonotapie"/>
        <w:ind w:firstLine="708"/>
        <w:jc w:val="both"/>
        <w:rPr>
          <w:rFonts w:ascii="Verdana" w:hAnsi="Verdana" w:cs="Arial"/>
          <w:sz w:val="16"/>
          <w:szCs w:val="16"/>
        </w:rPr>
      </w:pPr>
      <w:r w:rsidRPr="00E12E59">
        <w:rPr>
          <w:rFonts w:ascii="Verdana" w:hAnsi="Verdana" w:cs="Arial"/>
          <w:sz w:val="16"/>
          <w:szCs w:val="16"/>
        </w:rPr>
        <w:t>h) Los contratos de las entidades, a cuyo cargo se encuentre la ejecución de los programas de protección de personas amenazadas, programas de desmovilización y reincorporación a la vida civil de personas y grupos al margen de la ley, incluida la atención de los respectivos grupos familiares, programas de atención a población desplazada por la violencia, programas de protección de derechos humanos de grupos de personas habitantes de la calle, niños y niñas o jóvenes involucrados en grupos juveniles que hayan incurrido en conductas contra el patrimonio económico y sostengan enfrentamientos violentos de diferente tipo, y población en alto grado de vulnerabilidad con reconocido estado de exclusión que requieran capacitación, resocialización y preparación para el trabajo, incluidos los contratos fiduciarios que demanden;</w:t>
      </w:r>
    </w:p>
    <w:p w14:paraId="2852BF48" w14:textId="77777777" w:rsidR="00F60167" w:rsidRPr="00E12E59" w:rsidRDefault="00F60167" w:rsidP="00F60167">
      <w:pPr>
        <w:pStyle w:val="Textonotapie"/>
        <w:ind w:firstLine="708"/>
        <w:jc w:val="both"/>
        <w:rPr>
          <w:rFonts w:ascii="Verdana" w:hAnsi="Verdana" w:cs="Arial"/>
          <w:sz w:val="16"/>
          <w:szCs w:val="16"/>
        </w:rPr>
      </w:pPr>
      <w:r w:rsidRPr="00E12E59">
        <w:rPr>
          <w:rFonts w:ascii="Verdana" w:hAnsi="Verdana" w:cs="Arial"/>
          <w:sz w:val="16"/>
          <w:szCs w:val="16"/>
        </w:rPr>
        <w:t>i) La contratación de bienes y servicios que se requieran para la defensa y seguridad nacional.</w:t>
      </w:r>
    </w:p>
    <w:p w14:paraId="0980E2A9" w14:textId="77777777" w:rsidR="00F60167" w:rsidRPr="00E12E59" w:rsidRDefault="00F60167" w:rsidP="00F60167">
      <w:pPr>
        <w:pStyle w:val="Textonotapie"/>
        <w:ind w:firstLine="708"/>
        <w:jc w:val="both"/>
        <w:rPr>
          <w:rFonts w:ascii="Verdana" w:hAnsi="Verdana" w:cs="Arial"/>
          <w:sz w:val="16"/>
          <w:szCs w:val="16"/>
        </w:rPr>
      </w:pPr>
      <w:r w:rsidRPr="00E12E59">
        <w:rPr>
          <w:rFonts w:ascii="Verdana" w:hAnsi="Verdana" w:cs="Arial"/>
          <w:sz w:val="16"/>
          <w:szCs w:val="16"/>
        </w:rPr>
        <w:t>j) Los bienes y servicios no uniformes de común utilización por parte de las entidades públicas, para lo cual la Agencia Nacional de Contratación Pública Colombia Compra Eficiente-podrá celebrar acuerdos marco de precios y demás instrumentos de agregación de demanda. Estos acuerdos marco de precios también serán de obligatorio uso de las entidades del Estado a las que se refiere el parágrafo 5° del artículo 2° de la presente ley, modificado por el artículo 41 de la ley 1955 de 2019”.</w:t>
      </w:r>
    </w:p>
  </w:footnote>
  <w:footnote w:id="6">
    <w:p w14:paraId="30841508" w14:textId="77777777" w:rsidR="00F60167" w:rsidRPr="00E12E59" w:rsidRDefault="00F60167" w:rsidP="00F60167">
      <w:pPr>
        <w:pStyle w:val="Textonotapie"/>
        <w:ind w:firstLine="708"/>
        <w:jc w:val="both"/>
        <w:rPr>
          <w:rFonts w:ascii="Verdana" w:hAnsi="Verdana" w:cs="Arial"/>
          <w:sz w:val="16"/>
          <w:szCs w:val="16"/>
        </w:rPr>
      </w:pPr>
      <w:r w:rsidRPr="00E12E59">
        <w:rPr>
          <w:rStyle w:val="Refdenotaalpie"/>
          <w:rFonts w:ascii="Verdana" w:hAnsi="Verdana" w:cs="Arial"/>
          <w:sz w:val="16"/>
          <w:szCs w:val="16"/>
        </w:rPr>
        <w:footnoteRef/>
      </w:r>
      <w:r w:rsidRPr="00E12E59">
        <w:rPr>
          <w:rFonts w:ascii="Verdana" w:hAnsi="Verdana" w:cs="Arial"/>
          <w:sz w:val="16"/>
          <w:szCs w:val="16"/>
        </w:rPr>
        <w:t xml:space="preserve"> CONGRESO DE LA REPÚBLICA. Exposición de motivos de la Ley 1150 de 2007. Gaceta del Congreso No. 458 del 1º de agosto de 2005. p. 8. </w:t>
      </w:r>
    </w:p>
  </w:footnote>
  <w:footnote w:id="7">
    <w:p w14:paraId="5627B11E" w14:textId="77777777" w:rsidR="00F60167" w:rsidRPr="00E12E59" w:rsidRDefault="00F60167" w:rsidP="00F60167">
      <w:pPr>
        <w:pStyle w:val="Textonotapie"/>
        <w:ind w:firstLine="708"/>
        <w:jc w:val="both"/>
        <w:rPr>
          <w:rFonts w:ascii="Verdana" w:hAnsi="Verdana" w:cs="Arial"/>
          <w:sz w:val="16"/>
          <w:szCs w:val="16"/>
        </w:rPr>
      </w:pPr>
      <w:r w:rsidRPr="00E12E59">
        <w:rPr>
          <w:rStyle w:val="Refdenotaalpie"/>
          <w:rFonts w:ascii="Verdana" w:hAnsi="Verdana" w:cs="Arial"/>
          <w:sz w:val="16"/>
          <w:szCs w:val="16"/>
        </w:rPr>
        <w:footnoteRef/>
      </w:r>
      <w:r w:rsidRPr="00E12E59">
        <w:rPr>
          <w:rFonts w:ascii="Verdana" w:hAnsi="Verdana" w:cs="Arial"/>
          <w:sz w:val="16"/>
          <w:szCs w:val="16"/>
        </w:rPr>
        <w:t xml:space="preserve"> CONSEJO DE ESTADO. Sección Tercera. Subsección A. Sentencia del 23 de julio de 2015. </w:t>
      </w:r>
      <w:proofErr w:type="spellStart"/>
      <w:r w:rsidRPr="00E12E59">
        <w:rPr>
          <w:rFonts w:ascii="Verdana" w:hAnsi="Verdana" w:cs="Arial"/>
          <w:sz w:val="16"/>
          <w:szCs w:val="16"/>
        </w:rPr>
        <w:t>Exp</w:t>
      </w:r>
      <w:proofErr w:type="spellEnd"/>
      <w:r w:rsidRPr="00E12E59">
        <w:rPr>
          <w:rFonts w:ascii="Verdana" w:hAnsi="Verdana" w:cs="Arial"/>
          <w:sz w:val="16"/>
          <w:szCs w:val="16"/>
        </w:rPr>
        <w:t xml:space="preserve">. 36.805. C. P. Hernán Andrade Rincón. </w:t>
      </w:r>
    </w:p>
  </w:footnote>
  <w:footnote w:id="8">
    <w:p w14:paraId="4BC2A43D" w14:textId="77777777" w:rsidR="00F60167" w:rsidRPr="00954382" w:rsidRDefault="00F60167" w:rsidP="00F60167">
      <w:pPr>
        <w:pStyle w:val="Textonotapie"/>
        <w:ind w:firstLine="708"/>
        <w:contextualSpacing/>
        <w:jc w:val="both"/>
        <w:rPr>
          <w:rFonts w:ascii="Verdana" w:hAnsi="Verdana" w:cs="Arial"/>
          <w:sz w:val="14"/>
          <w:szCs w:val="14"/>
        </w:rPr>
      </w:pPr>
      <w:r w:rsidRPr="00954382">
        <w:rPr>
          <w:rStyle w:val="Refdenotaalpie"/>
          <w:rFonts w:ascii="Verdana" w:hAnsi="Verdana" w:cs="Arial"/>
          <w:sz w:val="14"/>
          <w:szCs w:val="14"/>
        </w:rPr>
        <w:footnoteRef/>
      </w:r>
      <w:r w:rsidRPr="00954382">
        <w:rPr>
          <w:rFonts w:ascii="Verdana" w:hAnsi="Verdana" w:cs="Arial"/>
          <w:sz w:val="14"/>
          <w:szCs w:val="14"/>
        </w:rPr>
        <w:t xml:space="preserve"> Ley 489 de 1998: “Artículo 85. Empresas industriales y comerciales del Estado. Las empresas industriales y comerciales del Estado son organismos creados por la ley o autorizados por ésta, que desarrollan actividades de naturaleza industrial o comercial y de gestión económica conforme a las reglas del Derecho Privado, salvo las excepciones que consagra la ley, y que reúnen las siguientes características: </w:t>
      </w:r>
    </w:p>
    <w:p w14:paraId="052397EC" w14:textId="77777777" w:rsidR="00F60167" w:rsidRPr="00954382" w:rsidRDefault="00F60167" w:rsidP="00F60167">
      <w:pPr>
        <w:pStyle w:val="Textonotapie"/>
        <w:ind w:firstLine="708"/>
        <w:contextualSpacing/>
        <w:jc w:val="both"/>
        <w:rPr>
          <w:rFonts w:ascii="Verdana" w:hAnsi="Verdana" w:cs="Arial"/>
          <w:sz w:val="14"/>
          <w:szCs w:val="14"/>
        </w:rPr>
      </w:pPr>
      <w:r w:rsidRPr="00954382">
        <w:rPr>
          <w:rFonts w:ascii="Verdana" w:hAnsi="Verdana" w:cs="Arial"/>
          <w:sz w:val="14"/>
          <w:szCs w:val="14"/>
        </w:rPr>
        <w:t xml:space="preserve">a) Personería jurídica; </w:t>
      </w:r>
    </w:p>
    <w:p w14:paraId="4187F175" w14:textId="77777777" w:rsidR="00F60167" w:rsidRPr="00954382" w:rsidRDefault="00F60167" w:rsidP="00F60167">
      <w:pPr>
        <w:pStyle w:val="Textonotapie"/>
        <w:ind w:firstLine="708"/>
        <w:contextualSpacing/>
        <w:jc w:val="both"/>
        <w:rPr>
          <w:rFonts w:ascii="Verdana" w:hAnsi="Verdana" w:cs="Arial"/>
          <w:sz w:val="14"/>
          <w:szCs w:val="14"/>
        </w:rPr>
      </w:pPr>
      <w:r w:rsidRPr="00954382">
        <w:rPr>
          <w:rFonts w:ascii="Verdana" w:hAnsi="Verdana" w:cs="Arial"/>
          <w:sz w:val="14"/>
          <w:szCs w:val="14"/>
        </w:rPr>
        <w:t xml:space="preserve">b) Autonomía administrativa y financiera; </w:t>
      </w:r>
    </w:p>
    <w:p w14:paraId="1746DC3D" w14:textId="77777777" w:rsidR="00F60167" w:rsidRPr="00954382" w:rsidRDefault="00F60167" w:rsidP="00F60167">
      <w:pPr>
        <w:pStyle w:val="Textonotapie"/>
        <w:ind w:firstLine="708"/>
        <w:contextualSpacing/>
        <w:jc w:val="both"/>
        <w:rPr>
          <w:rFonts w:ascii="Verdana" w:hAnsi="Verdana" w:cs="Arial"/>
          <w:sz w:val="14"/>
          <w:szCs w:val="14"/>
        </w:rPr>
      </w:pPr>
      <w:r w:rsidRPr="00954382">
        <w:rPr>
          <w:rFonts w:ascii="Verdana" w:hAnsi="Verdana" w:cs="Arial"/>
          <w:sz w:val="14"/>
          <w:szCs w:val="14"/>
        </w:rPr>
        <w:t xml:space="preserve">c) Capital independiente, constituido totalmente con bienes o fondos públicos comunes, los productos de ellos, o el rendimiento de tasas que perciban por las funciones o servicios, y contribuciones de destinación especial en los casos autorizados por la Constitución. </w:t>
      </w:r>
    </w:p>
    <w:p w14:paraId="147BD59F" w14:textId="77777777" w:rsidR="00F60167" w:rsidRPr="00954382" w:rsidRDefault="00F60167" w:rsidP="00F60167">
      <w:pPr>
        <w:pStyle w:val="Textonotapie"/>
        <w:ind w:firstLine="708"/>
        <w:contextualSpacing/>
        <w:jc w:val="both"/>
        <w:rPr>
          <w:rFonts w:ascii="Verdana" w:hAnsi="Verdana" w:cs="Arial"/>
          <w:sz w:val="14"/>
          <w:szCs w:val="14"/>
        </w:rPr>
      </w:pPr>
      <w:r w:rsidRPr="00954382">
        <w:rPr>
          <w:rFonts w:ascii="Verdana" w:hAnsi="Verdana" w:cs="Arial"/>
          <w:sz w:val="14"/>
          <w:szCs w:val="14"/>
        </w:rPr>
        <w:t xml:space="preserve">El capital de las empresas industriales y comerciales del Estado podrá estar representado en cuotas o acciones de igual valor nominal. </w:t>
      </w:r>
    </w:p>
    <w:p w14:paraId="6DBEF6D9" w14:textId="77777777" w:rsidR="00F60167" w:rsidRPr="00954382" w:rsidRDefault="00F60167" w:rsidP="00F60167">
      <w:pPr>
        <w:pStyle w:val="Textonotapie"/>
        <w:ind w:firstLine="708"/>
        <w:contextualSpacing/>
        <w:jc w:val="both"/>
        <w:rPr>
          <w:rFonts w:ascii="Verdana" w:hAnsi="Verdana" w:cs="Arial"/>
          <w:sz w:val="14"/>
          <w:szCs w:val="14"/>
        </w:rPr>
      </w:pPr>
      <w:r w:rsidRPr="00954382">
        <w:rPr>
          <w:rFonts w:ascii="Verdana" w:hAnsi="Verdana" w:cs="Arial"/>
          <w:sz w:val="14"/>
          <w:szCs w:val="14"/>
        </w:rPr>
        <w:t xml:space="preserve">A las empresas industriales y comerciales del Estado y a las sociedades de economía mixta se les aplicará en lo pertinente los artículos 19, numerales 2°, 4°, 5°, 6°, 12, 13, 17, 27, numerales 2°, 3°, 4°, 5°, y 7°, y 183 de la Ley 142 de 1994. </w:t>
      </w:r>
    </w:p>
    <w:p w14:paraId="5210C49D" w14:textId="77777777" w:rsidR="00F60167" w:rsidRPr="00954382" w:rsidRDefault="00F60167" w:rsidP="00F60167">
      <w:pPr>
        <w:pStyle w:val="Textonotapie"/>
        <w:ind w:firstLine="708"/>
        <w:contextualSpacing/>
        <w:jc w:val="both"/>
        <w:rPr>
          <w:rFonts w:ascii="Verdana" w:hAnsi="Verdana" w:cs="Arial"/>
          <w:sz w:val="14"/>
          <w:szCs w:val="14"/>
        </w:rPr>
      </w:pPr>
      <w:r w:rsidRPr="00954382">
        <w:rPr>
          <w:rFonts w:ascii="Verdana" w:hAnsi="Verdana" w:cs="Arial"/>
          <w:sz w:val="14"/>
          <w:szCs w:val="14"/>
        </w:rPr>
        <w:t xml:space="preserve">Parágrafo. Las disposiciones legales que protegen el secreto industrial y la información comercial se aplicarán a aquellos secretos e informaciones de esa naturaleza que desarrollen y posean las empresas industriales y comerciales del Estado”. </w:t>
      </w:r>
    </w:p>
  </w:footnote>
  <w:footnote w:id="9">
    <w:p w14:paraId="68539685" w14:textId="77777777" w:rsidR="00F60167" w:rsidRPr="00E82928" w:rsidRDefault="00F60167" w:rsidP="00F60167">
      <w:pPr>
        <w:spacing w:after="0" w:line="240" w:lineRule="auto"/>
        <w:ind w:right="49" w:firstLine="709"/>
        <w:contextualSpacing/>
        <w:jc w:val="both"/>
        <w:rPr>
          <w:rFonts w:ascii="Verdana" w:hAnsi="Verdana"/>
          <w:sz w:val="14"/>
          <w:szCs w:val="14"/>
        </w:rPr>
      </w:pPr>
      <w:r w:rsidRPr="00E82928">
        <w:rPr>
          <w:rStyle w:val="Refdenotaalpie"/>
          <w:rFonts w:ascii="Verdana" w:hAnsi="Verdana"/>
          <w:sz w:val="14"/>
          <w:szCs w:val="14"/>
        </w:rPr>
        <w:footnoteRef/>
      </w:r>
      <w:r w:rsidRPr="00E82928">
        <w:rPr>
          <w:rFonts w:ascii="Verdana" w:hAnsi="Verdana"/>
          <w:sz w:val="14"/>
          <w:szCs w:val="14"/>
        </w:rPr>
        <w:t xml:space="preserve"> El estatuto estableció como regla general para la selección del contratista la licitación pública o el concurso público, con algunas excepciones en las cuales la selección se haría mediante el procedimiento de contratación directa, entre ellas, la prevista en el literal m) del numeral 1 del artículo 24: “m) Los actos y contratos que tengan por objeto directo las actividades comerciales e industriales propias de las empresas industriales</w:t>
      </w:r>
      <w:r w:rsidRPr="00E82928">
        <w:rPr>
          <w:rFonts w:ascii="Verdana" w:hAnsi="Verdana"/>
          <w:spacing w:val="-15"/>
          <w:sz w:val="14"/>
          <w:szCs w:val="14"/>
        </w:rPr>
        <w:t xml:space="preserve"> </w:t>
      </w:r>
      <w:r w:rsidRPr="00E82928">
        <w:rPr>
          <w:rFonts w:ascii="Verdana" w:hAnsi="Verdana"/>
          <w:sz w:val="14"/>
          <w:szCs w:val="14"/>
        </w:rPr>
        <w:t>y comerciales estatales y de las sociedades de economía mixta, con excepción de los contratos que a título enunciativo identifica el artículo 32 de esta ley”, o sea, los de obra, consultoría, prestación de servicios,</w:t>
      </w:r>
      <w:r w:rsidRPr="00E82928">
        <w:rPr>
          <w:rFonts w:ascii="Verdana" w:hAnsi="Verdana"/>
          <w:spacing w:val="-7"/>
          <w:sz w:val="14"/>
          <w:szCs w:val="14"/>
        </w:rPr>
        <w:t xml:space="preserve"> </w:t>
      </w:r>
      <w:r w:rsidRPr="00E82928">
        <w:rPr>
          <w:rFonts w:ascii="Verdana" w:hAnsi="Verdana"/>
          <w:sz w:val="14"/>
          <w:szCs w:val="14"/>
        </w:rPr>
        <w:t>concesión,</w:t>
      </w:r>
      <w:r w:rsidRPr="00E82928">
        <w:rPr>
          <w:rFonts w:ascii="Verdana" w:hAnsi="Verdana"/>
          <w:spacing w:val="-7"/>
          <w:sz w:val="14"/>
          <w:szCs w:val="14"/>
        </w:rPr>
        <w:t xml:space="preserve"> </w:t>
      </w:r>
      <w:r w:rsidRPr="00E82928">
        <w:rPr>
          <w:rFonts w:ascii="Verdana" w:hAnsi="Verdana"/>
          <w:sz w:val="14"/>
          <w:szCs w:val="14"/>
        </w:rPr>
        <w:t>encargos</w:t>
      </w:r>
      <w:r w:rsidRPr="00E82928">
        <w:rPr>
          <w:rFonts w:ascii="Verdana" w:hAnsi="Verdana"/>
          <w:spacing w:val="-7"/>
          <w:sz w:val="14"/>
          <w:szCs w:val="14"/>
        </w:rPr>
        <w:t xml:space="preserve"> </w:t>
      </w:r>
      <w:r w:rsidRPr="00E82928">
        <w:rPr>
          <w:rFonts w:ascii="Verdana" w:hAnsi="Verdana"/>
          <w:sz w:val="14"/>
          <w:szCs w:val="14"/>
        </w:rPr>
        <w:t>fiduciarios</w:t>
      </w:r>
      <w:r w:rsidRPr="00E82928">
        <w:rPr>
          <w:rFonts w:ascii="Verdana" w:hAnsi="Verdana"/>
          <w:spacing w:val="-7"/>
          <w:sz w:val="14"/>
          <w:szCs w:val="14"/>
        </w:rPr>
        <w:t xml:space="preserve"> </w:t>
      </w:r>
      <w:r w:rsidRPr="00E82928">
        <w:rPr>
          <w:rFonts w:ascii="Verdana" w:hAnsi="Verdana"/>
          <w:sz w:val="14"/>
          <w:szCs w:val="14"/>
        </w:rPr>
        <w:t>y</w:t>
      </w:r>
      <w:r w:rsidRPr="00E82928">
        <w:rPr>
          <w:rFonts w:ascii="Verdana" w:hAnsi="Verdana"/>
          <w:spacing w:val="-8"/>
          <w:sz w:val="14"/>
          <w:szCs w:val="14"/>
        </w:rPr>
        <w:t xml:space="preserve"> </w:t>
      </w:r>
      <w:r w:rsidRPr="00E82928">
        <w:rPr>
          <w:rFonts w:ascii="Verdana" w:hAnsi="Verdana"/>
          <w:sz w:val="14"/>
          <w:szCs w:val="14"/>
        </w:rPr>
        <w:t>fiducia</w:t>
      </w:r>
      <w:r w:rsidRPr="00E82928">
        <w:rPr>
          <w:rFonts w:ascii="Verdana" w:hAnsi="Verdana"/>
          <w:spacing w:val="-9"/>
          <w:sz w:val="14"/>
          <w:szCs w:val="14"/>
        </w:rPr>
        <w:t xml:space="preserve"> </w:t>
      </w:r>
      <w:r w:rsidRPr="00E82928">
        <w:rPr>
          <w:rFonts w:ascii="Verdana" w:hAnsi="Verdana"/>
          <w:sz w:val="14"/>
          <w:szCs w:val="14"/>
        </w:rPr>
        <w:t>pública,</w:t>
      </w:r>
      <w:r w:rsidRPr="00E82928">
        <w:rPr>
          <w:rFonts w:ascii="Verdana" w:hAnsi="Verdana"/>
          <w:spacing w:val="-7"/>
          <w:sz w:val="14"/>
          <w:szCs w:val="14"/>
        </w:rPr>
        <w:t xml:space="preserve"> </w:t>
      </w:r>
      <w:r w:rsidRPr="00E82928">
        <w:rPr>
          <w:rFonts w:ascii="Verdana" w:hAnsi="Verdana"/>
          <w:sz w:val="14"/>
          <w:szCs w:val="14"/>
        </w:rPr>
        <w:t>que</w:t>
      </w:r>
      <w:r w:rsidRPr="00E82928">
        <w:rPr>
          <w:rFonts w:ascii="Verdana" w:hAnsi="Verdana"/>
          <w:spacing w:val="-13"/>
          <w:sz w:val="14"/>
          <w:szCs w:val="14"/>
        </w:rPr>
        <w:t xml:space="preserve"> </w:t>
      </w:r>
      <w:r w:rsidRPr="00E82928">
        <w:rPr>
          <w:rFonts w:ascii="Verdana" w:hAnsi="Verdana"/>
          <w:sz w:val="14"/>
          <w:szCs w:val="14"/>
        </w:rPr>
        <w:t>se</w:t>
      </w:r>
      <w:r w:rsidRPr="00E82928">
        <w:rPr>
          <w:rFonts w:ascii="Verdana" w:hAnsi="Verdana"/>
          <w:spacing w:val="-8"/>
          <w:sz w:val="14"/>
          <w:szCs w:val="14"/>
        </w:rPr>
        <w:t xml:space="preserve"> </w:t>
      </w:r>
      <w:r w:rsidRPr="00E82928">
        <w:rPr>
          <w:rFonts w:ascii="Verdana" w:hAnsi="Verdana"/>
          <w:sz w:val="14"/>
          <w:szCs w:val="14"/>
        </w:rPr>
        <w:t>regirían</w:t>
      </w:r>
      <w:r w:rsidRPr="00E82928">
        <w:rPr>
          <w:rFonts w:ascii="Verdana" w:hAnsi="Verdana"/>
          <w:spacing w:val="-9"/>
          <w:sz w:val="14"/>
          <w:szCs w:val="14"/>
        </w:rPr>
        <w:t xml:space="preserve"> </w:t>
      </w:r>
      <w:r w:rsidRPr="00E82928">
        <w:rPr>
          <w:rFonts w:ascii="Verdana" w:hAnsi="Verdana"/>
          <w:sz w:val="14"/>
          <w:szCs w:val="14"/>
        </w:rPr>
        <w:t>por</w:t>
      </w:r>
      <w:r w:rsidRPr="00E82928">
        <w:rPr>
          <w:rFonts w:ascii="Verdana" w:hAnsi="Verdana"/>
          <w:spacing w:val="-7"/>
          <w:sz w:val="14"/>
          <w:szCs w:val="14"/>
        </w:rPr>
        <w:t xml:space="preserve"> </w:t>
      </w:r>
      <w:r w:rsidRPr="00E82928">
        <w:rPr>
          <w:rFonts w:ascii="Verdana" w:hAnsi="Verdana"/>
          <w:sz w:val="14"/>
          <w:szCs w:val="14"/>
        </w:rPr>
        <w:t>la</w:t>
      </w:r>
      <w:r w:rsidRPr="00E82928">
        <w:rPr>
          <w:rFonts w:ascii="Verdana" w:hAnsi="Verdana"/>
          <w:spacing w:val="-9"/>
          <w:sz w:val="14"/>
          <w:szCs w:val="14"/>
        </w:rPr>
        <w:t xml:space="preserve"> </w:t>
      </w:r>
      <w:r w:rsidRPr="00E82928">
        <w:rPr>
          <w:rFonts w:ascii="Verdana" w:hAnsi="Verdana"/>
          <w:sz w:val="14"/>
          <w:szCs w:val="14"/>
        </w:rPr>
        <w:t>regla</w:t>
      </w:r>
      <w:r w:rsidRPr="00E82928">
        <w:rPr>
          <w:rFonts w:ascii="Verdana" w:hAnsi="Verdana"/>
          <w:spacing w:val="-9"/>
          <w:sz w:val="14"/>
          <w:szCs w:val="14"/>
        </w:rPr>
        <w:t xml:space="preserve"> </w:t>
      </w:r>
      <w:r w:rsidRPr="00E82928">
        <w:rPr>
          <w:rFonts w:ascii="Verdana" w:hAnsi="Verdana"/>
          <w:sz w:val="14"/>
          <w:szCs w:val="14"/>
        </w:rPr>
        <w:t>general,</w:t>
      </w:r>
      <w:r w:rsidRPr="00E82928">
        <w:rPr>
          <w:rFonts w:ascii="Verdana" w:hAnsi="Verdana"/>
          <w:spacing w:val="-7"/>
          <w:sz w:val="14"/>
          <w:szCs w:val="14"/>
        </w:rPr>
        <w:t xml:space="preserve"> </w:t>
      </w:r>
      <w:r w:rsidRPr="00E82928">
        <w:rPr>
          <w:rFonts w:ascii="Verdana" w:hAnsi="Verdana"/>
          <w:sz w:val="14"/>
          <w:szCs w:val="14"/>
        </w:rPr>
        <w:t>salvo</w:t>
      </w:r>
      <w:r w:rsidRPr="00E82928">
        <w:rPr>
          <w:rFonts w:ascii="Verdana" w:hAnsi="Verdana"/>
          <w:spacing w:val="-10"/>
          <w:sz w:val="14"/>
          <w:szCs w:val="14"/>
        </w:rPr>
        <w:t xml:space="preserve"> </w:t>
      </w:r>
      <w:r w:rsidRPr="00E82928">
        <w:rPr>
          <w:rFonts w:ascii="Verdana" w:hAnsi="Verdana"/>
          <w:sz w:val="14"/>
          <w:szCs w:val="14"/>
        </w:rPr>
        <w:t>los</w:t>
      </w:r>
      <w:r w:rsidRPr="00E82928">
        <w:rPr>
          <w:rFonts w:ascii="Verdana" w:hAnsi="Verdana"/>
          <w:spacing w:val="-7"/>
          <w:sz w:val="14"/>
          <w:szCs w:val="14"/>
        </w:rPr>
        <w:t xml:space="preserve"> </w:t>
      </w:r>
      <w:r w:rsidRPr="00E82928">
        <w:rPr>
          <w:rFonts w:ascii="Verdana" w:hAnsi="Verdana"/>
          <w:sz w:val="14"/>
          <w:szCs w:val="14"/>
        </w:rPr>
        <w:t>casos de</w:t>
      </w:r>
      <w:r w:rsidRPr="00E82928">
        <w:rPr>
          <w:rFonts w:ascii="Verdana" w:hAnsi="Verdana"/>
          <w:spacing w:val="-2"/>
          <w:sz w:val="14"/>
          <w:szCs w:val="14"/>
        </w:rPr>
        <w:t xml:space="preserve"> </w:t>
      </w:r>
      <w:r w:rsidRPr="00E82928">
        <w:rPr>
          <w:rFonts w:ascii="Verdana" w:hAnsi="Verdana"/>
          <w:sz w:val="14"/>
          <w:szCs w:val="14"/>
        </w:rPr>
        <w:t>menor cuantía –previstos en el ordinal a), numeral 1 del artículo 24, original, de la Ley 80 de 1993</w:t>
      </w:r>
      <w:r w:rsidRPr="00E82928">
        <w:rPr>
          <w:rFonts w:ascii="Verdana" w:hAnsi="Verdana"/>
          <w:spacing w:val="-15"/>
          <w:sz w:val="14"/>
          <w:szCs w:val="14"/>
        </w:rPr>
        <w:t xml:space="preserve"> </w:t>
      </w:r>
      <w:r w:rsidRPr="00E82928">
        <w:rPr>
          <w:rFonts w:ascii="Verdana" w:hAnsi="Verdana"/>
          <w:sz w:val="14"/>
          <w:szCs w:val="14"/>
        </w:rPr>
        <w:t>–. Además,</w:t>
      </w:r>
      <w:r w:rsidRPr="00E82928">
        <w:rPr>
          <w:rFonts w:ascii="Verdana" w:hAnsi="Verdana"/>
          <w:spacing w:val="-1"/>
          <w:sz w:val="14"/>
          <w:szCs w:val="14"/>
        </w:rPr>
        <w:t xml:space="preserve"> </w:t>
      </w:r>
      <w:r w:rsidRPr="00E82928">
        <w:rPr>
          <w:rFonts w:ascii="Verdana" w:hAnsi="Verdana"/>
          <w:sz w:val="14"/>
          <w:szCs w:val="14"/>
        </w:rPr>
        <w:t>en</w:t>
      </w:r>
      <w:r w:rsidRPr="00E82928">
        <w:rPr>
          <w:rFonts w:ascii="Verdana" w:hAnsi="Verdana"/>
          <w:spacing w:val="-5"/>
          <w:sz w:val="14"/>
          <w:szCs w:val="14"/>
        </w:rPr>
        <w:t xml:space="preserve"> </w:t>
      </w:r>
      <w:r w:rsidRPr="00E82928">
        <w:rPr>
          <w:rFonts w:ascii="Verdana" w:hAnsi="Verdana"/>
          <w:sz w:val="14"/>
          <w:szCs w:val="14"/>
        </w:rPr>
        <w:t>el</w:t>
      </w:r>
      <w:r w:rsidRPr="00E82928">
        <w:rPr>
          <w:rFonts w:ascii="Verdana" w:hAnsi="Verdana"/>
          <w:spacing w:val="-2"/>
          <w:sz w:val="14"/>
          <w:szCs w:val="14"/>
        </w:rPr>
        <w:t xml:space="preserve"> </w:t>
      </w:r>
      <w:r w:rsidRPr="00E82928">
        <w:rPr>
          <w:rFonts w:ascii="Verdana" w:hAnsi="Verdana"/>
          <w:sz w:val="14"/>
          <w:szCs w:val="14"/>
        </w:rPr>
        <w:t>parágrafo</w:t>
      </w:r>
      <w:r w:rsidRPr="00E82928">
        <w:rPr>
          <w:rFonts w:ascii="Verdana" w:hAnsi="Verdana"/>
          <w:spacing w:val="-5"/>
          <w:sz w:val="14"/>
          <w:szCs w:val="14"/>
        </w:rPr>
        <w:t xml:space="preserve"> </w:t>
      </w:r>
      <w:r w:rsidRPr="00E82928">
        <w:rPr>
          <w:rFonts w:ascii="Verdana" w:hAnsi="Verdana"/>
          <w:sz w:val="14"/>
          <w:szCs w:val="14"/>
        </w:rPr>
        <w:t>del</w:t>
      </w:r>
      <w:r w:rsidRPr="00E82928">
        <w:rPr>
          <w:rFonts w:ascii="Verdana" w:hAnsi="Verdana"/>
          <w:spacing w:val="-2"/>
          <w:sz w:val="14"/>
          <w:szCs w:val="14"/>
        </w:rPr>
        <w:t xml:space="preserve"> </w:t>
      </w:r>
      <w:r w:rsidRPr="00E82928">
        <w:rPr>
          <w:rFonts w:ascii="Verdana" w:hAnsi="Verdana"/>
          <w:sz w:val="14"/>
          <w:szCs w:val="14"/>
        </w:rPr>
        <w:t>artículo</w:t>
      </w:r>
      <w:r w:rsidRPr="00E82928">
        <w:rPr>
          <w:rFonts w:ascii="Verdana" w:hAnsi="Verdana"/>
          <w:spacing w:val="-5"/>
          <w:sz w:val="14"/>
          <w:szCs w:val="14"/>
        </w:rPr>
        <w:t xml:space="preserve"> </w:t>
      </w:r>
      <w:r w:rsidRPr="00E82928">
        <w:rPr>
          <w:rFonts w:ascii="Verdana" w:hAnsi="Verdana"/>
          <w:sz w:val="14"/>
          <w:szCs w:val="14"/>
        </w:rPr>
        <w:t>14</w:t>
      </w:r>
      <w:r w:rsidRPr="00E82928">
        <w:rPr>
          <w:rFonts w:ascii="Verdana" w:hAnsi="Verdana"/>
          <w:spacing w:val="-5"/>
          <w:sz w:val="14"/>
          <w:szCs w:val="14"/>
        </w:rPr>
        <w:t xml:space="preserve"> </w:t>
      </w:r>
      <w:r w:rsidRPr="00E82928">
        <w:rPr>
          <w:rFonts w:ascii="Verdana" w:hAnsi="Verdana"/>
          <w:sz w:val="14"/>
          <w:szCs w:val="14"/>
        </w:rPr>
        <w:t>de</w:t>
      </w:r>
      <w:r w:rsidRPr="00E82928">
        <w:rPr>
          <w:rFonts w:ascii="Verdana" w:hAnsi="Verdana"/>
          <w:spacing w:val="-3"/>
          <w:sz w:val="14"/>
          <w:szCs w:val="14"/>
        </w:rPr>
        <w:t xml:space="preserve"> </w:t>
      </w:r>
      <w:r w:rsidRPr="00E82928">
        <w:rPr>
          <w:rFonts w:ascii="Verdana" w:hAnsi="Verdana"/>
          <w:sz w:val="14"/>
          <w:szCs w:val="14"/>
        </w:rPr>
        <w:t>la</w:t>
      </w:r>
      <w:r w:rsidRPr="00E82928">
        <w:rPr>
          <w:rFonts w:ascii="Verdana" w:hAnsi="Verdana"/>
          <w:spacing w:val="-4"/>
          <w:sz w:val="14"/>
          <w:szCs w:val="14"/>
        </w:rPr>
        <w:t xml:space="preserve"> </w:t>
      </w:r>
      <w:r w:rsidRPr="00E82928">
        <w:rPr>
          <w:rFonts w:ascii="Verdana" w:hAnsi="Verdana"/>
          <w:sz w:val="14"/>
          <w:szCs w:val="14"/>
        </w:rPr>
        <w:t>Ley</w:t>
      </w:r>
      <w:r w:rsidRPr="00E82928">
        <w:rPr>
          <w:rFonts w:ascii="Verdana" w:hAnsi="Verdana"/>
          <w:spacing w:val="-3"/>
          <w:sz w:val="14"/>
          <w:szCs w:val="14"/>
        </w:rPr>
        <w:t xml:space="preserve"> </w:t>
      </w:r>
      <w:r w:rsidRPr="00E82928">
        <w:rPr>
          <w:rFonts w:ascii="Verdana" w:hAnsi="Verdana"/>
          <w:sz w:val="14"/>
          <w:szCs w:val="14"/>
        </w:rPr>
        <w:t>80</w:t>
      </w:r>
      <w:r w:rsidRPr="00E82928">
        <w:rPr>
          <w:rFonts w:ascii="Verdana" w:hAnsi="Verdana"/>
          <w:spacing w:val="-5"/>
          <w:sz w:val="14"/>
          <w:szCs w:val="14"/>
        </w:rPr>
        <w:t xml:space="preserve"> </w:t>
      </w:r>
      <w:r w:rsidRPr="00E82928">
        <w:rPr>
          <w:rFonts w:ascii="Verdana" w:hAnsi="Verdana"/>
          <w:sz w:val="14"/>
          <w:szCs w:val="14"/>
        </w:rPr>
        <w:t>de</w:t>
      </w:r>
      <w:r w:rsidRPr="00E82928">
        <w:rPr>
          <w:rFonts w:ascii="Verdana" w:hAnsi="Verdana"/>
          <w:spacing w:val="-3"/>
          <w:sz w:val="14"/>
          <w:szCs w:val="14"/>
        </w:rPr>
        <w:t xml:space="preserve"> </w:t>
      </w:r>
      <w:r w:rsidRPr="00E82928">
        <w:rPr>
          <w:rFonts w:ascii="Verdana" w:hAnsi="Verdana"/>
          <w:sz w:val="14"/>
          <w:szCs w:val="14"/>
        </w:rPr>
        <w:t>1993,</w:t>
      </w:r>
      <w:r w:rsidRPr="00E82928">
        <w:rPr>
          <w:rFonts w:ascii="Verdana" w:hAnsi="Verdana"/>
          <w:spacing w:val="-1"/>
          <w:sz w:val="14"/>
          <w:szCs w:val="14"/>
        </w:rPr>
        <w:t xml:space="preserve"> </w:t>
      </w:r>
      <w:r w:rsidRPr="00E82928">
        <w:rPr>
          <w:rFonts w:ascii="Verdana" w:hAnsi="Verdana"/>
          <w:sz w:val="14"/>
          <w:szCs w:val="14"/>
        </w:rPr>
        <w:t>se</w:t>
      </w:r>
      <w:r w:rsidRPr="00E82928">
        <w:rPr>
          <w:rFonts w:ascii="Verdana" w:hAnsi="Verdana"/>
          <w:spacing w:val="-3"/>
          <w:sz w:val="14"/>
          <w:szCs w:val="14"/>
        </w:rPr>
        <w:t xml:space="preserve"> </w:t>
      </w:r>
      <w:r w:rsidRPr="00E82928">
        <w:rPr>
          <w:rFonts w:ascii="Verdana" w:hAnsi="Verdana"/>
          <w:sz w:val="14"/>
          <w:szCs w:val="14"/>
        </w:rPr>
        <w:t>señaló</w:t>
      </w:r>
      <w:r w:rsidRPr="00E82928">
        <w:rPr>
          <w:rFonts w:ascii="Verdana" w:hAnsi="Verdana"/>
          <w:spacing w:val="-5"/>
          <w:sz w:val="14"/>
          <w:szCs w:val="14"/>
        </w:rPr>
        <w:t xml:space="preserve"> </w:t>
      </w:r>
      <w:r w:rsidRPr="00E82928">
        <w:rPr>
          <w:rFonts w:ascii="Verdana" w:hAnsi="Verdana"/>
          <w:sz w:val="14"/>
          <w:szCs w:val="14"/>
        </w:rPr>
        <w:t>que</w:t>
      </w:r>
      <w:r w:rsidRPr="00E82928">
        <w:rPr>
          <w:rFonts w:ascii="Verdana" w:hAnsi="Verdana"/>
          <w:spacing w:val="-3"/>
          <w:sz w:val="14"/>
          <w:szCs w:val="14"/>
        </w:rPr>
        <w:t xml:space="preserve"> </w:t>
      </w:r>
      <w:r w:rsidRPr="00E82928">
        <w:rPr>
          <w:rFonts w:ascii="Verdana" w:hAnsi="Verdana"/>
          <w:sz w:val="14"/>
          <w:szCs w:val="14"/>
        </w:rPr>
        <w:t>“en</w:t>
      </w:r>
      <w:r w:rsidRPr="00E82928">
        <w:rPr>
          <w:rFonts w:ascii="Verdana" w:hAnsi="Verdana"/>
          <w:spacing w:val="-5"/>
          <w:sz w:val="14"/>
          <w:szCs w:val="14"/>
        </w:rPr>
        <w:t xml:space="preserve"> </w:t>
      </w:r>
      <w:r w:rsidRPr="00E82928">
        <w:rPr>
          <w:rFonts w:ascii="Verdana" w:hAnsi="Verdana"/>
          <w:sz w:val="14"/>
          <w:szCs w:val="14"/>
        </w:rPr>
        <w:t>los</w:t>
      </w:r>
      <w:r w:rsidRPr="00E82928">
        <w:rPr>
          <w:rFonts w:ascii="Verdana" w:hAnsi="Verdana"/>
          <w:spacing w:val="-2"/>
          <w:sz w:val="14"/>
          <w:szCs w:val="14"/>
        </w:rPr>
        <w:t xml:space="preserve"> </w:t>
      </w:r>
      <w:r w:rsidRPr="00E82928">
        <w:rPr>
          <w:rFonts w:ascii="Verdana" w:hAnsi="Verdana"/>
          <w:sz w:val="14"/>
          <w:szCs w:val="14"/>
        </w:rPr>
        <w:t>contratos</w:t>
      </w:r>
      <w:r w:rsidRPr="00E82928">
        <w:rPr>
          <w:rFonts w:ascii="Verdana" w:hAnsi="Verdana"/>
          <w:spacing w:val="-2"/>
          <w:sz w:val="14"/>
          <w:szCs w:val="14"/>
        </w:rPr>
        <w:t xml:space="preserve"> </w:t>
      </w:r>
      <w:r w:rsidRPr="00E82928">
        <w:rPr>
          <w:rFonts w:ascii="Verdana" w:hAnsi="Verdana"/>
          <w:sz w:val="14"/>
          <w:szCs w:val="14"/>
        </w:rPr>
        <w:t>que</w:t>
      </w:r>
      <w:r w:rsidRPr="00E82928">
        <w:rPr>
          <w:rFonts w:ascii="Verdana" w:hAnsi="Verdana"/>
          <w:spacing w:val="-3"/>
          <w:sz w:val="14"/>
          <w:szCs w:val="14"/>
        </w:rPr>
        <w:t xml:space="preserve"> </w:t>
      </w:r>
      <w:r w:rsidRPr="00E82928">
        <w:rPr>
          <w:rFonts w:ascii="Verdana" w:hAnsi="Verdana"/>
          <w:sz w:val="14"/>
          <w:szCs w:val="14"/>
        </w:rPr>
        <w:t>tengan</w:t>
      </w:r>
      <w:r w:rsidRPr="00E82928">
        <w:rPr>
          <w:rFonts w:ascii="Verdana" w:hAnsi="Verdana"/>
          <w:spacing w:val="-4"/>
          <w:sz w:val="14"/>
          <w:szCs w:val="14"/>
        </w:rPr>
        <w:t xml:space="preserve"> </w:t>
      </w:r>
      <w:r w:rsidRPr="00E82928">
        <w:rPr>
          <w:rFonts w:ascii="Verdana" w:hAnsi="Verdana"/>
          <w:sz w:val="14"/>
          <w:szCs w:val="14"/>
        </w:rPr>
        <w:t>por objeto</w:t>
      </w:r>
      <w:r w:rsidRPr="00E82928">
        <w:rPr>
          <w:rFonts w:ascii="Verdana" w:hAnsi="Verdana"/>
          <w:spacing w:val="-1"/>
          <w:sz w:val="14"/>
          <w:szCs w:val="14"/>
        </w:rPr>
        <w:t xml:space="preserve"> </w:t>
      </w:r>
      <w:r w:rsidRPr="00E82928">
        <w:rPr>
          <w:rFonts w:ascii="Verdana" w:hAnsi="Verdana"/>
          <w:sz w:val="14"/>
          <w:szCs w:val="14"/>
        </w:rPr>
        <w:t>actividades comerciales o</w:t>
      </w:r>
      <w:r w:rsidRPr="00E82928">
        <w:rPr>
          <w:rFonts w:ascii="Verdana" w:hAnsi="Verdana"/>
          <w:spacing w:val="-1"/>
          <w:sz w:val="14"/>
          <w:szCs w:val="14"/>
        </w:rPr>
        <w:t xml:space="preserve"> </w:t>
      </w:r>
      <w:r w:rsidRPr="00E82928">
        <w:rPr>
          <w:rFonts w:ascii="Verdana" w:hAnsi="Verdana"/>
          <w:sz w:val="14"/>
          <w:szCs w:val="14"/>
        </w:rPr>
        <w:t>industriales de las entidades</w:t>
      </w:r>
      <w:r w:rsidRPr="00E82928">
        <w:rPr>
          <w:rFonts w:ascii="Verdana" w:hAnsi="Verdana"/>
          <w:spacing w:val="-3"/>
          <w:sz w:val="14"/>
          <w:szCs w:val="14"/>
        </w:rPr>
        <w:t xml:space="preserve"> </w:t>
      </w:r>
      <w:r w:rsidRPr="00E82928">
        <w:rPr>
          <w:rFonts w:ascii="Verdana" w:hAnsi="Verdana"/>
          <w:sz w:val="14"/>
          <w:szCs w:val="14"/>
        </w:rPr>
        <w:t>estatales que no</w:t>
      </w:r>
      <w:r w:rsidRPr="00E82928">
        <w:rPr>
          <w:rFonts w:ascii="Verdana" w:hAnsi="Verdana"/>
          <w:spacing w:val="-1"/>
          <w:sz w:val="14"/>
          <w:szCs w:val="14"/>
        </w:rPr>
        <w:t xml:space="preserve"> </w:t>
      </w:r>
      <w:r w:rsidRPr="00E82928">
        <w:rPr>
          <w:rFonts w:ascii="Verdana" w:hAnsi="Verdana"/>
          <w:sz w:val="14"/>
          <w:szCs w:val="14"/>
        </w:rPr>
        <w:t xml:space="preserve">correspondan a las señaladas en el numeral 2º de este artículo (…) se prescindirá de la utilización de las cláusulas o estipulaciones </w:t>
      </w:r>
      <w:r w:rsidRPr="00E82928">
        <w:rPr>
          <w:rFonts w:ascii="Verdana" w:hAnsi="Verdana"/>
          <w:spacing w:val="-2"/>
          <w:sz w:val="14"/>
          <w:szCs w:val="14"/>
        </w:rPr>
        <w:t>excepcionales”.</w:t>
      </w:r>
    </w:p>
  </w:footnote>
  <w:footnote w:id="10">
    <w:p w14:paraId="69C26433" w14:textId="77777777" w:rsidR="00F60167" w:rsidRPr="00E82928" w:rsidRDefault="00F60167" w:rsidP="00F60167">
      <w:pPr>
        <w:tabs>
          <w:tab w:val="left" w:pos="142"/>
          <w:tab w:val="left" w:pos="8789"/>
        </w:tabs>
        <w:spacing w:after="0" w:line="240" w:lineRule="auto"/>
        <w:ind w:right="49" w:firstLine="709"/>
        <w:contextualSpacing/>
        <w:jc w:val="both"/>
        <w:rPr>
          <w:rFonts w:ascii="Verdana" w:hAnsi="Verdana"/>
          <w:sz w:val="14"/>
          <w:szCs w:val="14"/>
        </w:rPr>
      </w:pPr>
      <w:r w:rsidRPr="00E82928">
        <w:rPr>
          <w:rStyle w:val="Refdenotaalpie"/>
          <w:rFonts w:ascii="Verdana" w:hAnsi="Verdana"/>
          <w:sz w:val="14"/>
          <w:szCs w:val="14"/>
        </w:rPr>
        <w:footnoteRef/>
      </w:r>
      <w:r w:rsidRPr="00E82928">
        <w:rPr>
          <w:rFonts w:ascii="Verdana" w:hAnsi="Verdana"/>
          <w:sz w:val="14"/>
          <w:szCs w:val="14"/>
        </w:rPr>
        <w:t xml:space="preserve"> </w:t>
      </w:r>
      <w:bookmarkStart w:id="7" w:name="_Hlk199860326"/>
      <w:r w:rsidRPr="00E82928">
        <w:rPr>
          <w:rFonts w:ascii="Verdana" w:hAnsi="Verdana"/>
          <w:sz w:val="14"/>
          <w:szCs w:val="14"/>
        </w:rPr>
        <w:t>Sin perjuicio</w:t>
      </w:r>
      <w:r w:rsidRPr="00E82928">
        <w:rPr>
          <w:rFonts w:ascii="Verdana" w:hAnsi="Verdana"/>
          <w:spacing w:val="-1"/>
          <w:sz w:val="14"/>
          <w:szCs w:val="14"/>
        </w:rPr>
        <w:t xml:space="preserve"> </w:t>
      </w:r>
      <w:r w:rsidRPr="00E82928">
        <w:rPr>
          <w:rFonts w:ascii="Verdana" w:hAnsi="Verdana"/>
          <w:sz w:val="14"/>
          <w:szCs w:val="14"/>
        </w:rPr>
        <w:t>de la regla indicada, es importante</w:t>
      </w:r>
      <w:r w:rsidRPr="00E82928">
        <w:rPr>
          <w:rFonts w:ascii="Verdana" w:hAnsi="Verdana"/>
          <w:spacing w:val="-4"/>
          <w:sz w:val="14"/>
          <w:szCs w:val="14"/>
        </w:rPr>
        <w:t xml:space="preserve"> </w:t>
      </w:r>
      <w:r w:rsidRPr="00E82928">
        <w:rPr>
          <w:rFonts w:ascii="Verdana" w:hAnsi="Verdana"/>
          <w:sz w:val="14"/>
          <w:szCs w:val="14"/>
        </w:rPr>
        <w:t>señalar que el literal</w:t>
      </w:r>
      <w:r w:rsidRPr="00E82928">
        <w:rPr>
          <w:rFonts w:ascii="Verdana" w:hAnsi="Verdana"/>
          <w:spacing w:val="-3"/>
          <w:sz w:val="14"/>
          <w:szCs w:val="14"/>
        </w:rPr>
        <w:t xml:space="preserve"> </w:t>
      </w:r>
      <w:r w:rsidRPr="00E82928">
        <w:rPr>
          <w:rFonts w:ascii="Verdana" w:hAnsi="Verdana"/>
          <w:sz w:val="14"/>
          <w:szCs w:val="14"/>
        </w:rPr>
        <w:t>g, numeral 2, artículo</w:t>
      </w:r>
      <w:r w:rsidRPr="00E82928">
        <w:rPr>
          <w:rFonts w:ascii="Verdana" w:hAnsi="Verdana"/>
          <w:spacing w:val="-1"/>
          <w:sz w:val="14"/>
          <w:szCs w:val="14"/>
        </w:rPr>
        <w:t xml:space="preserve"> </w:t>
      </w:r>
      <w:r w:rsidRPr="00E82928">
        <w:rPr>
          <w:rFonts w:ascii="Verdana" w:hAnsi="Verdana"/>
          <w:sz w:val="14"/>
          <w:szCs w:val="14"/>
        </w:rPr>
        <w:t>2</w:t>
      </w:r>
      <w:r w:rsidRPr="00E82928">
        <w:rPr>
          <w:rFonts w:ascii="Verdana" w:hAnsi="Verdana"/>
          <w:spacing w:val="-1"/>
          <w:sz w:val="14"/>
          <w:szCs w:val="14"/>
        </w:rPr>
        <w:t xml:space="preserve"> </w:t>
      </w:r>
      <w:r w:rsidRPr="00E82928">
        <w:rPr>
          <w:rFonts w:ascii="Verdana" w:hAnsi="Verdana"/>
          <w:sz w:val="14"/>
          <w:szCs w:val="14"/>
        </w:rPr>
        <w:t>de la Ley 1150 de 2007, prevé como causal de selección abreviada: “Los actos y contratos que tengan por objeto directo</w:t>
      </w:r>
      <w:r w:rsidRPr="00E82928">
        <w:rPr>
          <w:rFonts w:ascii="Verdana" w:hAnsi="Verdana"/>
          <w:spacing w:val="-10"/>
          <w:sz w:val="14"/>
          <w:szCs w:val="14"/>
        </w:rPr>
        <w:t xml:space="preserve"> </w:t>
      </w:r>
      <w:r w:rsidRPr="00E82928">
        <w:rPr>
          <w:rFonts w:ascii="Verdana" w:hAnsi="Verdana"/>
          <w:sz w:val="14"/>
          <w:szCs w:val="14"/>
        </w:rPr>
        <w:t>las</w:t>
      </w:r>
      <w:r w:rsidRPr="00E82928">
        <w:rPr>
          <w:rFonts w:ascii="Verdana" w:hAnsi="Verdana"/>
          <w:spacing w:val="-7"/>
          <w:sz w:val="14"/>
          <w:szCs w:val="14"/>
        </w:rPr>
        <w:t xml:space="preserve"> </w:t>
      </w:r>
      <w:r w:rsidRPr="00E82928">
        <w:rPr>
          <w:rFonts w:ascii="Verdana" w:hAnsi="Verdana"/>
          <w:sz w:val="14"/>
          <w:szCs w:val="14"/>
        </w:rPr>
        <w:t>actividades</w:t>
      </w:r>
      <w:r w:rsidRPr="00E82928">
        <w:rPr>
          <w:rFonts w:ascii="Verdana" w:hAnsi="Verdana"/>
          <w:spacing w:val="-7"/>
          <w:sz w:val="14"/>
          <w:szCs w:val="14"/>
        </w:rPr>
        <w:t xml:space="preserve"> </w:t>
      </w:r>
      <w:r w:rsidRPr="00E82928">
        <w:rPr>
          <w:rFonts w:ascii="Verdana" w:hAnsi="Verdana"/>
          <w:sz w:val="14"/>
          <w:szCs w:val="14"/>
        </w:rPr>
        <w:t>comerciales</w:t>
      </w:r>
      <w:r w:rsidRPr="00E82928">
        <w:rPr>
          <w:rFonts w:ascii="Verdana" w:hAnsi="Verdana"/>
          <w:spacing w:val="-7"/>
          <w:sz w:val="14"/>
          <w:szCs w:val="14"/>
        </w:rPr>
        <w:t xml:space="preserve"> </w:t>
      </w:r>
      <w:r w:rsidRPr="00E82928">
        <w:rPr>
          <w:rFonts w:ascii="Verdana" w:hAnsi="Verdana"/>
          <w:sz w:val="14"/>
          <w:szCs w:val="14"/>
        </w:rPr>
        <w:t>e</w:t>
      </w:r>
      <w:r w:rsidRPr="00E82928">
        <w:rPr>
          <w:rFonts w:ascii="Verdana" w:hAnsi="Verdana"/>
          <w:spacing w:val="-8"/>
          <w:sz w:val="14"/>
          <w:szCs w:val="14"/>
        </w:rPr>
        <w:t xml:space="preserve"> </w:t>
      </w:r>
      <w:r w:rsidRPr="00E82928">
        <w:rPr>
          <w:rFonts w:ascii="Verdana" w:hAnsi="Verdana"/>
          <w:sz w:val="14"/>
          <w:szCs w:val="14"/>
        </w:rPr>
        <w:t>industriales</w:t>
      </w:r>
      <w:r w:rsidRPr="00E82928">
        <w:rPr>
          <w:rFonts w:ascii="Verdana" w:hAnsi="Verdana"/>
          <w:spacing w:val="-7"/>
          <w:sz w:val="14"/>
          <w:szCs w:val="14"/>
        </w:rPr>
        <w:t xml:space="preserve"> </w:t>
      </w:r>
      <w:r w:rsidRPr="00E82928">
        <w:rPr>
          <w:rFonts w:ascii="Verdana" w:hAnsi="Verdana"/>
          <w:sz w:val="14"/>
          <w:szCs w:val="14"/>
        </w:rPr>
        <w:t>propias</w:t>
      </w:r>
      <w:r w:rsidRPr="00E82928">
        <w:rPr>
          <w:rFonts w:ascii="Verdana" w:hAnsi="Verdana"/>
          <w:spacing w:val="-7"/>
          <w:sz w:val="14"/>
          <w:szCs w:val="14"/>
        </w:rPr>
        <w:t xml:space="preserve"> </w:t>
      </w:r>
      <w:r w:rsidRPr="00E82928">
        <w:rPr>
          <w:rFonts w:ascii="Verdana" w:hAnsi="Verdana"/>
          <w:sz w:val="14"/>
          <w:szCs w:val="14"/>
        </w:rPr>
        <w:t>de</w:t>
      </w:r>
      <w:r w:rsidRPr="00E82928">
        <w:rPr>
          <w:rFonts w:ascii="Verdana" w:hAnsi="Verdana"/>
          <w:spacing w:val="-8"/>
          <w:sz w:val="14"/>
          <w:szCs w:val="14"/>
        </w:rPr>
        <w:t xml:space="preserve"> </w:t>
      </w:r>
      <w:r w:rsidRPr="00E82928">
        <w:rPr>
          <w:rFonts w:ascii="Verdana" w:hAnsi="Verdana"/>
          <w:sz w:val="14"/>
          <w:szCs w:val="14"/>
        </w:rPr>
        <w:t>las</w:t>
      </w:r>
      <w:r w:rsidRPr="00E82928">
        <w:rPr>
          <w:rFonts w:ascii="Verdana" w:hAnsi="Verdana"/>
          <w:spacing w:val="-7"/>
          <w:sz w:val="14"/>
          <w:szCs w:val="14"/>
        </w:rPr>
        <w:t xml:space="preserve"> </w:t>
      </w:r>
      <w:r w:rsidRPr="00E82928">
        <w:rPr>
          <w:rFonts w:ascii="Verdana" w:hAnsi="Verdana"/>
          <w:sz w:val="14"/>
          <w:szCs w:val="14"/>
        </w:rPr>
        <w:t>Empresas</w:t>
      </w:r>
      <w:r w:rsidRPr="00E82928">
        <w:rPr>
          <w:rFonts w:ascii="Verdana" w:hAnsi="Verdana"/>
          <w:spacing w:val="-7"/>
          <w:sz w:val="14"/>
          <w:szCs w:val="14"/>
        </w:rPr>
        <w:t xml:space="preserve"> </w:t>
      </w:r>
      <w:r w:rsidRPr="00E82928">
        <w:rPr>
          <w:rFonts w:ascii="Verdana" w:hAnsi="Verdana"/>
          <w:sz w:val="14"/>
          <w:szCs w:val="14"/>
        </w:rPr>
        <w:t>Industriales</w:t>
      </w:r>
      <w:r w:rsidRPr="00E82928">
        <w:rPr>
          <w:rFonts w:ascii="Verdana" w:hAnsi="Verdana"/>
          <w:spacing w:val="-7"/>
          <w:sz w:val="14"/>
          <w:szCs w:val="14"/>
        </w:rPr>
        <w:t xml:space="preserve"> </w:t>
      </w:r>
      <w:r w:rsidRPr="00E82928">
        <w:rPr>
          <w:rFonts w:ascii="Verdana" w:hAnsi="Verdana"/>
          <w:sz w:val="14"/>
          <w:szCs w:val="14"/>
        </w:rPr>
        <w:t>y</w:t>
      </w:r>
      <w:r w:rsidRPr="00E82928">
        <w:rPr>
          <w:rFonts w:ascii="Verdana" w:hAnsi="Verdana"/>
          <w:spacing w:val="-8"/>
          <w:sz w:val="14"/>
          <w:szCs w:val="14"/>
        </w:rPr>
        <w:t xml:space="preserve"> </w:t>
      </w:r>
      <w:r w:rsidRPr="00E82928">
        <w:rPr>
          <w:rFonts w:ascii="Verdana" w:hAnsi="Verdana"/>
          <w:sz w:val="14"/>
          <w:szCs w:val="14"/>
        </w:rPr>
        <w:t>Comerciales</w:t>
      </w:r>
      <w:r w:rsidRPr="00E82928">
        <w:rPr>
          <w:rFonts w:ascii="Verdana" w:hAnsi="Verdana"/>
          <w:spacing w:val="-7"/>
          <w:sz w:val="14"/>
          <w:szCs w:val="14"/>
        </w:rPr>
        <w:t xml:space="preserve"> </w:t>
      </w:r>
      <w:r w:rsidRPr="00E82928">
        <w:rPr>
          <w:rFonts w:ascii="Verdana" w:hAnsi="Verdana"/>
          <w:sz w:val="14"/>
          <w:szCs w:val="14"/>
        </w:rPr>
        <w:t>Estatales y de las Sociedades de Economía Mixta, con excepción de los contratos que a título enunciativo identifica el artículo</w:t>
      </w:r>
      <w:r w:rsidRPr="00E82928">
        <w:rPr>
          <w:rFonts w:ascii="Verdana" w:hAnsi="Verdana"/>
          <w:spacing w:val="-15"/>
          <w:sz w:val="14"/>
          <w:szCs w:val="14"/>
        </w:rPr>
        <w:t xml:space="preserve"> </w:t>
      </w:r>
      <w:r w:rsidRPr="00E82928">
        <w:rPr>
          <w:rFonts w:ascii="Verdana" w:hAnsi="Verdana"/>
          <w:sz w:val="14"/>
          <w:szCs w:val="14"/>
        </w:rPr>
        <w:t>32</w:t>
      </w:r>
      <w:r w:rsidRPr="00E82928">
        <w:rPr>
          <w:rFonts w:ascii="Verdana" w:hAnsi="Verdana"/>
          <w:spacing w:val="-14"/>
          <w:sz w:val="14"/>
          <w:szCs w:val="14"/>
        </w:rPr>
        <w:t xml:space="preserve"> </w:t>
      </w:r>
      <w:r w:rsidRPr="00E82928">
        <w:rPr>
          <w:rFonts w:ascii="Verdana" w:hAnsi="Verdana"/>
          <w:sz w:val="14"/>
          <w:szCs w:val="14"/>
        </w:rPr>
        <w:t>de</w:t>
      </w:r>
      <w:r w:rsidRPr="00E82928">
        <w:rPr>
          <w:rFonts w:ascii="Verdana" w:hAnsi="Verdana"/>
          <w:spacing w:val="-14"/>
          <w:sz w:val="14"/>
          <w:szCs w:val="14"/>
        </w:rPr>
        <w:t xml:space="preserve"> </w:t>
      </w:r>
      <w:r w:rsidRPr="00E82928">
        <w:rPr>
          <w:rFonts w:ascii="Verdana" w:hAnsi="Verdana"/>
          <w:sz w:val="14"/>
          <w:szCs w:val="14"/>
        </w:rPr>
        <w:t>la</w:t>
      </w:r>
      <w:r w:rsidRPr="00E82928">
        <w:rPr>
          <w:rFonts w:ascii="Verdana" w:hAnsi="Verdana"/>
          <w:spacing w:val="-14"/>
          <w:sz w:val="14"/>
          <w:szCs w:val="14"/>
        </w:rPr>
        <w:t xml:space="preserve"> </w:t>
      </w:r>
      <w:r w:rsidRPr="00E82928">
        <w:rPr>
          <w:rFonts w:ascii="Verdana" w:hAnsi="Verdana"/>
          <w:sz w:val="14"/>
          <w:szCs w:val="14"/>
        </w:rPr>
        <w:t>Ley</w:t>
      </w:r>
      <w:r w:rsidRPr="00E82928">
        <w:rPr>
          <w:rFonts w:ascii="Verdana" w:hAnsi="Verdana"/>
          <w:spacing w:val="-14"/>
          <w:sz w:val="14"/>
          <w:szCs w:val="14"/>
        </w:rPr>
        <w:t xml:space="preserve"> </w:t>
      </w:r>
      <w:r w:rsidRPr="00E82928">
        <w:rPr>
          <w:rFonts w:ascii="Verdana" w:hAnsi="Verdana"/>
          <w:sz w:val="14"/>
          <w:szCs w:val="14"/>
        </w:rPr>
        <w:t>80</w:t>
      </w:r>
      <w:r w:rsidRPr="00E82928">
        <w:rPr>
          <w:rFonts w:ascii="Verdana" w:hAnsi="Verdana"/>
          <w:spacing w:val="-14"/>
          <w:sz w:val="14"/>
          <w:szCs w:val="14"/>
        </w:rPr>
        <w:t xml:space="preserve"> </w:t>
      </w:r>
      <w:r w:rsidRPr="00E82928">
        <w:rPr>
          <w:rFonts w:ascii="Verdana" w:hAnsi="Verdana"/>
          <w:sz w:val="14"/>
          <w:szCs w:val="14"/>
        </w:rPr>
        <w:t>de</w:t>
      </w:r>
      <w:r w:rsidRPr="00E82928">
        <w:rPr>
          <w:rFonts w:ascii="Verdana" w:hAnsi="Verdana"/>
          <w:spacing w:val="-14"/>
          <w:sz w:val="14"/>
          <w:szCs w:val="14"/>
        </w:rPr>
        <w:t xml:space="preserve"> </w:t>
      </w:r>
      <w:r w:rsidRPr="00E82928">
        <w:rPr>
          <w:rFonts w:ascii="Verdana" w:hAnsi="Verdana"/>
          <w:sz w:val="14"/>
          <w:szCs w:val="14"/>
        </w:rPr>
        <w:t>1993</w:t>
      </w:r>
      <w:r w:rsidRPr="00E82928">
        <w:rPr>
          <w:rFonts w:ascii="Verdana" w:hAnsi="Verdana"/>
          <w:spacing w:val="-14"/>
          <w:sz w:val="14"/>
          <w:szCs w:val="14"/>
        </w:rPr>
        <w:t xml:space="preserve"> </w:t>
      </w:r>
      <w:r w:rsidRPr="00E82928">
        <w:rPr>
          <w:rFonts w:ascii="Verdana" w:hAnsi="Verdana"/>
          <w:sz w:val="14"/>
          <w:szCs w:val="14"/>
        </w:rPr>
        <w:t>[obra,</w:t>
      </w:r>
      <w:r w:rsidRPr="00E82928">
        <w:rPr>
          <w:rFonts w:ascii="Verdana" w:hAnsi="Verdana"/>
          <w:spacing w:val="-14"/>
          <w:sz w:val="14"/>
          <w:szCs w:val="14"/>
        </w:rPr>
        <w:t xml:space="preserve"> </w:t>
      </w:r>
      <w:r w:rsidRPr="00E82928">
        <w:rPr>
          <w:rFonts w:ascii="Verdana" w:hAnsi="Verdana"/>
          <w:sz w:val="14"/>
          <w:szCs w:val="14"/>
        </w:rPr>
        <w:t>concesión,</w:t>
      </w:r>
      <w:r w:rsidRPr="00E82928">
        <w:rPr>
          <w:rFonts w:ascii="Verdana" w:hAnsi="Verdana"/>
          <w:spacing w:val="-14"/>
          <w:sz w:val="14"/>
          <w:szCs w:val="14"/>
        </w:rPr>
        <w:t xml:space="preserve"> </w:t>
      </w:r>
      <w:r w:rsidRPr="00E82928">
        <w:rPr>
          <w:rFonts w:ascii="Verdana" w:hAnsi="Verdana"/>
          <w:sz w:val="14"/>
          <w:szCs w:val="14"/>
        </w:rPr>
        <w:t>prestación</w:t>
      </w:r>
      <w:r w:rsidRPr="00E82928">
        <w:rPr>
          <w:rFonts w:ascii="Verdana" w:hAnsi="Verdana"/>
          <w:spacing w:val="-14"/>
          <w:sz w:val="14"/>
          <w:szCs w:val="14"/>
        </w:rPr>
        <w:t xml:space="preserve"> </w:t>
      </w:r>
      <w:r w:rsidRPr="00E82928">
        <w:rPr>
          <w:rFonts w:ascii="Verdana" w:hAnsi="Verdana"/>
          <w:sz w:val="14"/>
          <w:szCs w:val="14"/>
        </w:rPr>
        <w:t>de</w:t>
      </w:r>
      <w:r w:rsidRPr="00E82928">
        <w:rPr>
          <w:rFonts w:ascii="Verdana" w:hAnsi="Verdana"/>
          <w:spacing w:val="-14"/>
          <w:sz w:val="14"/>
          <w:szCs w:val="14"/>
        </w:rPr>
        <w:t xml:space="preserve"> </w:t>
      </w:r>
      <w:r w:rsidRPr="00E82928">
        <w:rPr>
          <w:rFonts w:ascii="Verdana" w:hAnsi="Verdana"/>
          <w:sz w:val="14"/>
          <w:szCs w:val="14"/>
        </w:rPr>
        <w:t>servicios,</w:t>
      </w:r>
      <w:r w:rsidRPr="00E82928">
        <w:rPr>
          <w:rFonts w:ascii="Verdana" w:hAnsi="Verdana"/>
          <w:spacing w:val="-14"/>
          <w:sz w:val="14"/>
          <w:szCs w:val="14"/>
        </w:rPr>
        <w:t xml:space="preserve"> </w:t>
      </w:r>
      <w:r w:rsidRPr="00E82928">
        <w:rPr>
          <w:rFonts w:ascii="Verdana" w:hAnsi="Verdana"/>
          <w:sz w:val="14"/>
          <w:szCs w:val="14"/>
        </w:rPr>
        <w:t>consultoría,</w:t>
      </w:r>
      <w:r w:rsidRPr="00E82928">
        <w:rPr>
          <w:rFonts w:ascii="Verdana" w:hAnsi="Verdana"/>
          <w:spacing w:val="-14"/>
          <w:sz w:val="14"/>
          <w:szCs w:val="14"/>
        </w:rPr>
        <w:t xml:space="preserve"> </w:t>
      </w:r>
      <w:r w:rsidRPr="00E82928">
        <w:rPr>
          <w:rFonts w:ascii="Verdana" w:hAnsi="Verdana"/>
          <w:sz w:val="14"/>
          <w:szCs w:val="14"/>
        </w:rPr>
        <w:t>fiducia</w:t>
      </w:r>
      <w:r w:rsidRPr="00E82928">
        <w:rPr>
          <w:rFonts w:ascii="Verdana" w:hAnsi="Verdana"/>
          <w:spacing w:val="-14"/>
          <w:sz w:val="14"/>
          <w:szCs w:val="14"/>
        </w:rPr>
        <w:t xml:space="preserve"> </w:t>
      </w:r>
      <w:r w:rsidRPr="00E82928">
        <w:rPr>
          <w:rFonts w:ascii="Verdana" w:hAnsi="Verdana"/>
          <w:sz w:val="14"/>
          <w:szCs w:val="14"/>
        </w:rPr>
        <w:t>pública]”.</w:t>
      </w:r>
      <w:r w:rsidRPr="00E82928">
        <w:rPr>
          <w:rFonts w:ascii="Verdana" w:hAnsi="Verdana"/>
          <w:spacing w:val="-15"/>
          <w:sz w:val="14"/>
          <w:szCs w:val="14"/>
        </w:rPr>
        <w:t xml:space="preserve"> </w:t>
      </w:r>
      <w:r w:rsidRPr="00E82928">
        <w:rPr>
          <w:rFonts w:ascii="Verdana" w:hAnsi="Verdana"/>
          <w:sz w:val="14"/>
          <w:szCs w:val="14"/>
        </w:rPr>
        <w:t>g)</w:t>
      </w:r>
      <w:r w:rsidRPr="00E82928">
        <w:rPr>
          <w:rFonts w:ascii="Verdana" w:hAnsi="Verdana"/>
          <w:spacing w:val="23"/>
          <w:sz w:val="14"/>
          <w:szCs w:val="14"/>
        </w:rPr>
        <w:t xml:space="preserve"> </w:t>
      </w:r>
      <w:r w:rsidRPr="00E82928">
        <w:rPr>
          <w:rFonts w:ascii="Verdana" w:hAnsi="Verdana"/>
          <w:sz w:val="14"/>
          <w:szCs w:val="14"/>
        </w:rPr>
        <w:t>Los actos y contratos que tengan por objeto directo las actividades comerciales e industriales propias de las Empresas Industriales y Comerciales Estatales y de las Sociedades de Economía Mixta, con excepción de los contratos</w:t>
      </w:r>
      <w:r w:rsidRPr="00E82928">
        <w:rPr>
          <w:rFonts w:ascii="Verdana" w:hAnsi="Verdana"/>
          <w:spacing w:val="-6"/>
          <w:sz w:val="14"/>
          <w:szCs w:val="14"/>
        </w:rPr>
        <w:t xml:space="preserve"> </w:t>
      </w:r>
      <w:r w:rsidRPr="00E82928">
        <w:rPr>
          <w:rFonts w:ascii="Verdana" w:hAnsi="Verdana"/>
          <w:sz w:val="14"/>
          <w:szCs w:val="14"/>
        </w:rPr>
        <w:t>que</w:t>
      </w:r>
      <w:r w:rsidRPr="00E82928">
        <w:rPr>
          <w:rFonts w:ascii="Verdana" w:hAnsi="Verdana"/>
          <w:spacing w:val="-7"/>
          <w:sz w:val="14"/>
          <w:szCs w:val="14"/>
        </w:rPr>
        <w:t xml:space="preserve"> </w:t>
      </w:r>
      <w:r w:rsidRPr="00E82928">
        <w:rPr>
          <w:rFonts w:ascii="Verdana" w:hAnsi="Verdana"/>
          <w:sz w:val="14"/>
          <w:szCs w:val="14"/>
        </w:rPr>
        <w:t>a</w:t>
      </w:r>
      <w:r w:rsidRPr="00E82928">
        <w:rPr>
          <w:rFonts w:ascii="Verdana" w:hAnsi="Verdana"/>
          <w:spacing w:val="-3"/>
          <w:sz w:val="14"/>
          <w:szCs w:val="14"/>
        </w:rPr>
        <w:t xml:space="preserve"> </w:t>
      </w:r>
      <w:r w:rsidRPr="00E82928">
        <w:rPr>
          <w:rFonts w:ascii="Verdana" w:hAnsi="Verdana"/>
          <w:sz w:val="14"/>
          <w:szCs w:val="14"/>
        </w:rPr>
        <w:t>título</w:t>
      </w:r>
      <w:r w:rsidRPr="00E82928">
        <w:rPr>
          <w:rFonts w:ascii="Verdana" w:hAnsi="Verdana"/>
          <w:spacing w:val="-9"/>
          <w:sz w:val="14"/>
          <w:szCs w:val="14"/>
        </w:rPr>
        <w:t xml:space="preserve"> </w:t>
      </w:r>
      <w:r w:rsidRPr="00E82928">
        <w:rPr>
          <w:rFonts w:ascii="Verdana" w:hAnsi="Verdana"/>
          <w:sz w:val="14"/>
          <w:szCs w:val="14"/>
        </w:rPr>
        <w:t>enunciativo</w:t>
      </w:r>
      <w:r w:rsidRPr="00E82928">
        <w:rPr>
          <w:rFonts w:ascii="Verdana" w:hAnsi="Verdana"/>
          <w:spacing w:val="-9"/>
          <w:sz w:val="14"/>
          <w:szCs w:val="14"/>
        </w:rPr>
        <w:t xml:space="preserve"> </w:t>
      </w:r>
      <w:r w:rsidRPr="00E82928">
        <w:rPr>
          <w:rFonts w:ascii="Verdana" w:hAnsi="Verdana"/>
          <w:sz w:val="14"/>
          <w:szCs w:val="14"/>
        </w:rPr>
        <w:t>identifica</w:t>
      </w:r>
      <w:r w:rsidRPr="00E82928">
        <w:rPr>
          <w:rFonts w:ascii="Verdana" w:hAnsi="Verdana"/>
          <w:spacing w:val="-8"/>
          <w:sz w:val="14"/>
          <w:szCs w:val="14"/>
        </w:rPr>
        <w:t xml:space="preserve"> </w:t>
      </w:r>
      <w:r w:rsidRPr="00E82928">
        <w:rPr>
          <w:rFonts w:ascii="Verdana" w:hAnsi="Verdana"/>
          <w:sz w:val="14"/>
          <w:szCs w:val="14"/>
        </w:rPr>
        <w:t>el</w:t>
      </w:r>
      <w:r w:rsidRPr="00E82928">
        <w:rPr>
          <w:rFonts w:ascii="Verdana" w:hAnsi="Verdana"/>
          <w:spacing w:val="-1"/>
          <w:sz w:val="14"/>
          <w:szCs w:val="14"/>
        </w:rPr>
        <w:t xml:space="preserve"> </w:t>
      </w:r>
      <w:r w:rsidRPr="00E82928">
        <w:rPr>
          <w:rFonts w:ascii="Verdana" w:hAnsi="Verdana"/>
          <w:sz w:val="14"/>
          <w:szCs w:val="14"/>
        </w:rPr>
        <w:t>artículo</w:t>
      </w:r>
      <w:r w:rsidRPr="00E82928">
        <w:rPr>
          <w:rFonts w:ascii="Verdana" w:hAnsi="Verdana"/>
          <w:spacing w:val="-9"/>
          <w:sz w:val="14"/>
          <w:szCs w:val="14"/>
        </w:rPr>
        <w:t xml:space="preserve"> </w:t>
      </w:r>
      <w:r w:rsidRPr="00E82928">
        <w:rPr>
          <w:rFonts w:ascii="Verdana" w:hAnsi="Verdana"/>
          <w:sz w:val="14"/>
          <w:szCs w:val="14"/>
        </w:rPr>
        <w:t>32</w:t>
      </w:r>
      <w:r w:rsidRPr="00E82928">
        <w:rPr>
          <w:rFonts w:ascii="Verdana" w:hAnsi="Verdana"/>
          <w:spacing w:val="-4"/>
          <w:sz w:val="14"/>
          <w:szCs w:val="14"/>
        </w:rPr>
        <w:t xml:space="preserve"> </w:t>
      </w:r>
      <w:r w:rsidRPr="00E82928">
        <w:rPr>
          <w:rFonts w:ascii="Verdana" w:hAnsi="Verdana"/>
          <w:sz w:val="14"/>
          <w:szCs w:val="14"/>
        </w:rPr>
        <w:t>de</w:t>
      </w:r>
      <w:r w:rsidRPr="00E82928">
        <w:rPr>
          <w:rFonts w:ascii="Verdana" w:hAnsi="Verdana"/>
          <w:spacing w:val="-7"/>
          <w:sz w:val="14"/>
          <w:szCs w:val="14"/>
        </w:rPr>
        <w:t xml:space="preserve"> </w:t>
      </w:r>
      <w:r w:rsidRPr="00E82928">
        <w:rPr>
          <w:rFonts w:ascii="Verdana" w:hAnsi="Verdana"/>
          <w:sz w:val="14"/>
          <w:szCs w:val="14"/>
        </w:rPr>
        <w:t>la Ley</w:t>
      </w:r>
      <w:r w:rsidRPr="00E82928">
        <w:rPr>
          <w:rFonts w:ascii="Verdana" w:hAnsi="Verdana"/>
          <w:spacing w:val="-7"/>
          <w:sz w:val="14"/>
          <w:szCs w:val="14"/>
        </w:rPr>
        <w:t xml:space="preserve"> </w:t>
      </w:r>
      <w:r w:rsidRPr="00E82928">
        <w:rPr>
          <w:rFonts w:ascii="Verdana" w:hAnsi="Verdana"/>
          <w:sz w:val="14"/>
          <w:szCs w:val="14"/>
        </w:rPr>
        <w:t>80</w:t>
      </w:r>
      <w:r w:rsidRPr="00E82928">
        <w:rPr>
          <w:rFonts w:ascii="Verdana" w:hAnsi="Verdana"/>
          <w:spacing w:val="-4"/>
          <w:sz w:val="14"/>
          <w:szCs w:val="14"/>
        </w:rPr>
        <w:t xml:space="preserve"> </w:t>
      </w:r>
      <w:r w:rsidRPr="00E82928">
        <w:rPr>
          <w:rFonts w:ascii="Verdana" w:hAnsi="Verdana"/>
          <w:sz w:val="14"/>
          <w:szCs w:val="14"/>
        </w:rPr>
        <w:t>de</w:t>
      </w:r>
      <w:r w:rsidRPr="00E82928">
        <w:rPr>
          <w:rFonts w:ascii="Verdana" w:hAnsi="Verdana"/>
          <w:spacing w:val="-2"/>
          <w:sz w:val="14"/>
          <w:szCs w:val="14"/>
        </w:rPr>
        <w:t xml:space="preserve"> </w:t>
      </w:r>
      <w:r w:rsidRPr="00E82928">
        <w:rPr>
          <w:rFonts w:ascii="Verdana" w:hAnsi="Verdana"/>
          <w:sz w:val="14"/>
          <w:szCs w:val="14"/>
        </w:rPr>
        <w:t>1993.</w:t>
      </w:r>
      <w:bookmarkEnd w:id="7"/>
    </w:p>
  </w:footnote>
  <w:footnote w:id="11">
    <w:p w14:paraId="618AEA57" w14:textId="77777777" w:rsidR="00F60167" w:rsidRPr="00E82928" w:rsidRDefault="00F60167" w:rsidP="00F60167">
      <w:pPr>
        <w:pStyle w:val="Textonotapie"/>
        <w:ind w:right="49" w:firstLine="709"/>
        <w:contextualSpacing/>
        <w:jc w:val="both"/>
        <w:rPr>
          <w:rFonts w:ascii="Verdana" w:hAnsi="Verdana"/>
          <w:sz w:val="14"/>
          <w:szCs w:val="14"/>
        </w:rPr>
      </w:pPr>
      <w:r w:rsidRPr="00E82928">
        <w:rPr>
          <w:rStyle w:val="Refdenotaalpie"/>
          <w:rFonts w:ascii="Verdana" w:hAnsi="Verdana"/>
          <w:sz w:val="14"/>
          <w:szCs w:val="14"/>
        </w:rPr>
        <w:footnoteRef/>
      </w:r>
      <w:r w:rsidRPr="00E82928">
        <w:rPr>
          <w:rFonts w:ascii="Verdana" w:hAnsi="Verdana"/>
          <w:sz w:val="14"/>
          <w:szCs w:val="14"/>
        </w:rPr>
        <w:t xml:space="preserve"> El artículo</w:t>
      </w:r>
      <w:r w:rsidRPr="00E82928">
        <w:rPr>
          <w:rFonts w:ascii="Verdana" w:hAnsi="Verdana"/>
          <w:spacing w:val="-2"/>
          <w:sz w:val="14"/>
          <w:szCs w:val="14"/>
        </w:rPr>
        <w:t xml:space="preserve"> </w:t>
      </w:r>
      <w:r w:rsidRPr="00E82928">
        <w:rPr>
          <w:rFonts w:ascii="Verdana" w:hAnsi="Verdana"/>
          <w:sz w:val="14"/>
          <w:szCs w:val="14"/>
        </w:rPr>
        <w:t>14</w:t>
      </w:r>
      <w:r w:rsidRPr="00E82928">
        <w:rPr>
          <w:rFonts w:ascii="Verdana" w:hAnsi="Verdana"/>
          <w:spacing w:val="-2"/>
          <w:sz w:val="14"/>
          <w:szCs w:val="14"/>
        </w:rPr>
        <w:t xml:space="preserve"> </w:t>
      </w:r>
      <w:r w:rsidRPr="00E82928">
        <w:rPr>
          <w:rFonts w:ascii="Verdana" w:hAnsi="Verdana"/>
          <w:sz w:val="14"/>
          <w:szCs w:val="14"/>
        </w:rPr>
        <w:t>original de la</w:t>
      </w:r>
      <w:r w:rsidRPr="00E82928">
        <w:rPr>
          <w:rFonts w:ascii="Verdana" w:hAnsi="Verdana"/>
          <w:spacing w:val="-1"/>
          <w:sz w:val="14"/>
          <w:szCs w:val="14"/>
        </w:rPr>
        <w:t xml:space="preserve"> </w:t>
      </w:r>
      <w:r w:rsidRPr="00E82928">
        <w:rPr>
          <w:rFonts w:ascii="Verdana" w:hAnsi="Verdana"/>
          <w:sz w:val="14"/>
          <w:szCs w:val="14"/>
        </w:rPr>
        <w:t>Ley 1150</w:t>
      </w:r>
      <w:r w:rsidRPr="00E82928">
        <w:rPr>
          <w:rFonts w:ascii="Verdana" w:hAnsi="Verdana"/>
          <w:spacing w:val="-2"/>
          <w:sz w:val="14"/>
          <w:szCs w:val="14"/>
        </w:rPr>
        <w:t xml:space="preserve"> </w:t>
      </w:r>
      <w:r w:rsidRPr="00E82928">
        <w:rPr>
          <w:rFonts w:ascii="Verdana" w:hAnsi="Verdana"/>
          <w:sz w:val="14"/>
          <w:szCs w:val="14"/>
        </w:rPr>
        <w:t>de 2007</w:t>
      </w:r>
      <w:r w:rsidRPr="00E82928">
        <w:rPr>
          <w:rFonts w:ascii="Verdana" w:hAnsi="Verdana"/>
          <w:spacing w:val="-2"/>
          <w:sz w:val="14"/>
          <w:szCs w:val="14"/>
        </w:rPr>
        <w:t xml:space="preserve"> </w:t>
      </w:r>
      <w:r w:rsidRPr="00E82928">
        <w:rPr>
          <w:rFonts w:ascii="Verdana" w:hAnsi="Verdana"/>
          <w:sz w:val="14"/>
          <w:szCs w:val="14"/>
        </w:rPr>
        <w:t>excluía</w:t>
      </w:r>
      <w:r w:rsidRPr="00E82928">
        <w:rPr>
          <w:rFonts w:ascii="Verdana" w:hAnsi="Verdana"/>
          <w:spacing w:val="-1"/>
          <w:sz w:val="14"/>
          <w:szCs w:val="14"/>
        </w:rPr>
        <w:t xml:space="preserve"> </w:t>
      </w:r>
      <w:r w:rsidRPr="00E82928">
        <w:rPr>
          <w:rFonts w:ascii="Verdana" w:hAnsi="Verdana"/>
          <w:sz w:val="14"/>
          <w:szCs w:val="14"/>
        </w:rPr>
        <w:t>además aquellas cuya</w:t>
      </w:r>
      <w:r w:rsidRPr="00E82928">
        <w:rPr>
          <w:rFonts w:ascii="Verdana" w:hAnsi="Verdana"/>
          <w:spacing w:val="-1"/>
          <w:sz w:val="14"/>
          <w:szCs w:val="14"/>
        </w:rPr>
        <w:t xml:space="preserve"> </w:t>
      </w:r>
      <w:r w:rsidRPr="00E82928">
        <w:rPr>
          <w:rFonts w:ascii="Verdana" w:hAnsi="Verdana"/>
          <w:sz w:val="14"/>
          <w:szCs w:val="14"/>
        </w:rPr>
        <w:t>actividad</w:t>
      </w:r>
      <w:r w:rsidRPr="00E82928">
        <w:rPr>
          <w:rFonts w:ascii="Verdana" w:hAnsi="Verdana"/>
          <w:spacing w:val="-5"/>
          <w:sz w:val="14"/>
          <w:szCs w:val="14"/>
        </w:rPr>
        <w:t xml:space="preserve"> </w:t>
      </w:r>
      <w:r w:rsidRPr="00E82928">
        <w:rPr>
          <w:rFonts w:ascii="Verdana" w:hAnsi="Verdana"/>
          <w:sz w:val="14"/>
          <w:szCs w:val="14"/>
        </w:rPr>
        <w:t>se realizaba en</w:t>
      </w:r>
      <w:r w:rsidRPr="00E82928">
        <w:rPr>
          <w:rFonts w:ascii="Verdana" w:hAnsi="Verdana"/>
          <w:spacing w:val="-6"/>
          <w:sz w:val="14"/>
          <w:szCs w:val="14"/>
        </w:rPr>
        <w:t xml:space="preserve"> </w:t>
      </w:r>
      <w:r w:rsidRPr="00E82928">
        <w:rPr>
          <w:rFonts w:ascii="Verdana" w:hAnsi="Verdana"/>
          <w:sz w:val="14"/>
          <w:szCs w:val="14"/>
        </w:rPr>
        <w:t>“mercados</w:t>
      </w:r>
      <w:r w:rsidRPr="00E82928">
        <w:rPr>
          <w:rFonts w:ascii="Verdana" w:hAnsi="Verdana"/>
          <w:spacing w:val="-3"/>
          <w:sz w:val="14"/>
          <w:szCs w:val="14"/>
        </w:rPr>
        <w:t xml:space="preserve"> </w:t>
      </w:r>
      <w:r w:rsidRPr="00E82928">
        <w:rPr>
          <w:rFonts w:ascii="Verdana" w:hAnsi="Verdana"/>
          <w:sz w:val="14"/>
          <w:szCs w:val="14"/>
        </w:rPr>
        <w:t>monopolísticos”,</w:t>
      </w:r>
      <w:r w:rsidRPr="00E82928">
        <w:rPr>
          <w:rFonts w:ascii="Verdana" w:hAnsi="Verdana"/>
          <w:spacing w:val="-2"/>
          <w:sz w:val="14"/>
          <w:szCs w:val="14"/>
        </w:rPr>
        <w:t xml:space="preserve"> </w:t>
      </w:r>
      <w:r w:rsidRPr="00E82928">
        <w:rPr>
          <w:rFonts w:ascii="Verdana" w:hAnsi="Verdana"/>
          <w:sz w:val="14"/>
          <w:szCs w:val="14"/>
        </w:rPr>
        <w:t>pero,</w:t>
      </w:r>
      <w:r w:rsidRPr="00E82928">
        <w:rPr>
          <w:rFonts w:ascii="Verdana" w:hAnsi="Verdana"/>
          <w:spacing w:val="-2"/>
          <w:sz w:val="14"/>
          <w:szCs w:val="14"/>
        </w:rPr>
        <w:t xml:space="preserve"> </w:t>
      </w:r>
      <w:r w:rsidRPr="00E82928">
        <w:rPr>
          <w:rFonts w:ascii="Verdana" w:hAnsi="Verdana"/>
          <w:sz w:val="14"/>
          <w:szCs w:val="14"/>
        </w:rPr>
        <w:t>con</w:t>
      </w:r>
      <w:r w:rsidRPr="00E82928">
        <w:rPr>
          <w:rFonts w:ascii="Verdana" w:hAnsi="Verdana"/>
          <w:spacing w:val="-5"/>
          <w:sz w:val="14"/>
          <w:szCs w:val="14"/>
        </w:rPr>
        <w:t xml:space="preserve"> </w:t>
      </w:r>
      <w:r w:rsidRPr="00E82928">
        <w:rPr>
          <w:rFonts w:ascii="Verdana" w:hAnsi="Verdana"/>
          <w:sz w:val="14"/>
          <w:szCs w:val="14"/>
        </w:rPr>
        <w:t>buen</w:t>
      </w:r>
      <w:r w:rsidRPr="00E82928">
        <w:rPr>
          <w:rFonts w:ascii="Verdana" w:hAnsi="Verdana"/>
          <w:spacing w:val="-6"/>
          <w:sz w:val="14"/>
          <w:szCs w:val="14"/>
        </w:rPr>
        <w:t xml:space="preserve"> </w:t>
      </w:r>
      <w:r w:rsidRPr="00E82928">
        <w:rPr>
          <w:rFonts w:ascii="Verdana" w:hAnsi="Verdana"/>
          <w:sz w:val="14"/>
          <w:szCs w:val="14"/>
        </w:rPr>
        <w:t>tino,</w:t>
      </w:r>
      <w:r w:rsidRPr="00E82928">
        <w:rPr>
          <w:rFonts w:ascii="Verdana" w:hAnsi="Verdana"/>
          <w:spacing w:val="-2"/>
          <w:sz w:val="14"/>
          <w:szCs w:val="14"/>
        </w:rPr>
        <w:t xml:space="preserve"> </w:t>
      </w:r>
      <w:r w:rsidRPr="00E82928">
        <w:rPr>
          <w:rFonts w:ascii="Verdana" w:hAnsi="Verdana"/>
          <w:sz w:val="14"/>
          <w:szCs w:val="14"/>
        </w:rPr>
        <w:t>se</w:t>
      </w:r>
      <w:r w:rsidRPr="00E82928">
        <w:rPr>
          <w:rFonts w:ascii="Verdana" w:hAnsi="Verdana"/>
          <w:spacing w:val="-4"/>
          <w:sz w:val="14"/>
          <w:szCs w:val="14"/>
        </w:rPr>
        <w:t xml:space="preserve"> </w:t>
      </w:r>
      <w:r w:rsidRPr="00E82928">
        <w:rPr>
          <w:rFonts w:ascii="Verdana" w:hAnsi="Verdana"/>
          <w:sz w:val="14"/>
          <w:szCs w:val="14"/>
        </w:rPr>
        <w:t>eliminó</w:t>
      </w:r>
      <w:r w:rsidRPr="00E82928">
        <w:rPr>
          <w:rFonts w:ascii="Verdana" w:hAnsi="Verdana"/>
          <w:spacing w:val="-6"/>
          <w:sz w:val="14"/>
          <w:szCs w:val="14"/>
        </w:rPr>
        <w:t xml:space="preserve"> </w:t>
      </w:r>
      <w:r w:rsidRPr="00E82928">
        <w:rPr>
          <w:rFonts w:ascii="Verdana" w:hAnsi="Verdana"/>
          <w:sz w:val="14"/>
          <w:szCs w:val="14"/>
        </w:rPr>
        <w:t>en</w:t>
      </w:r>
      <w:r w:rsidRPr="00E82928">
        <w:rPr>
          <w:rFonts w:ascii="Verdana" w:hAnsi="Verdana"/>
          <w:spacing w:val="-6"/>
          <w:sz w:val="14"/>
          <w:szCs w:val="14"/>
        </w:rPr>
        <w:t xml:space="preserve"> </w:t>
      </w:r>
      <w:r w:rsidRPr="00E82928">
        <w:rPr>
          <w:rFonts w:ascii="Verdana" w:hAnsi="Verdana"/>
          <w:sz w:val="14"/>
          <w:szCs w:val="14"/>
        </w:rPr>
        <w:t>el</w:t>
      </w:r>
      <w:r w:rsidRPr="00E82928">
        <w:rPr>
          <w:rFonts w:ascii="Verdana" w:hAnsi="Verdana"/>
          <w:spacing w:val="-3"/>
          <w:sz w:val="14"/>
          <w:szCs w:val="14"/>
        </w:rPr>
        <w:t xml:space="preserve"> </w:t>
      </w:r>
      <w:r w:rsidRPr="00E82928">
        <w:rPr>
          <w:rFonts w:ascii="Verdana" w:hAnsi="Verdana"/>
          <w:sz w:val="14"/>
          <w:szCs w:val="14"/>
        </w:rPr>
        <w:t>artículo</w:t>
      </w:r>
      <w:r w:rsidRPr="00E82928">
        <w:rPr>
          <w:rFonts w:ascii="Verdana" w:hAnsi="Verdana"/>
          <w:spacing w:val="-6"/>
          <w:sz w:val="14"/>
          <w:szCs w:val="14"/>
        </w:rPr>
        <w:t xml:space="preserve"> </w:t>
      </w:r>
      <w:r w:rsidRPr="00E82928">
        <w:rPr>
          <w:rFonts w:ascii="Verdana" w:hAnsi="Verdana"/>
          <w:sz w:val="14"/>
          <w:szCs w:val="14"/>
        </w:rPr>
        <w:t>93</w:t>
      </w:r>
      <w:r w:rsidRPr="00E82928">
        <w:rPr>
          <w:rFonts w:ascii="Verdana" w:hAnsi="Verdana"/>
          <w:spacing w:val="-6"/>
          <w:sz w:val="14"/>
          <w:szCs w:val="14"/>
        </w:rPr>
        <w:t xml:space="preserve"> </w:t>
      </w:r>
      <w:r w:rsidRPr="00E82928">
        <w:rPr>
          <w:rFonts w:ascii="Verdana" w:hAnsi="Verdana"/>
          <w:sz w:val="14"/>
          <w:szCs w:val="14"/>
        </w:rPr>
        <w:t>de</w:t>
      </w:r>
      <w:r w:rsidRPr="00E82928">
        <w:rPr>
          <w:rFonts w:ascii="Verdana" w:hAnsi="Verdana"/>
          <w:spacing w:val="-4"/>
          <w:sz w:val="14"/>
          <w:szCs w:val="14"/>
        </w:rPr>
        <w:t xml:space="preserve"> </w:t>
      </w:r>
      <w:r w:rsidRPr="00E82928">
        <w:rPr>
          <w:rFonts w:ascii="Verdana" w:hAnsi="Verdana"/>
          <w:sz w:val="14"/>
          <w:szCs w:val="14"/>
        </w:rPr>
        <w:t>la</w:t>
      </w:r>
      <w:r w:rsidRPr="00E82928">
        <w:rPr>
          <w:rFonts w:ascii="Verdana" w:hAnsi="Verdana"/>
          <w:spacing w:val="-5"/>
          <w:sz w:val="14"/>
          <w:szCs w:val="14"/>
        </w:rPr>
        <w:t xml:space="preserve"> </w:t>
      </w:r>
      <w:r w:rsidRPr="00E82928">
        <w:rPr>
          <w:rFonts w:ascii="Verdana" w:hAnsi="Verdana"/>
          <w:sz w:val="14"/>
          <w:szCs w:val="14"/>
        </w:rPr>
        <w:t>Ley</w:t>
      </w:r>
      <w:r w:rsidRPr="00E82928">
        <w:rPr>
          <w:rFonts w:ascii="Verdana" w:hAnsi="Verdana"/>
          <w:spacing w:val="-4"/>
          <w:sz w:val="14"/>
          <w:szCs w:val="14"/>
        </w:rPr>
        <w:t xml:space="preserve"> </w:t>
      </w:r>
      <w:r w:rsidRPr="00E82928">
        <w:rPr>
          <w:rFonts w:ascii="Verdana" w:hAnsi="Verdana"/>
          <w:sz w:val="14"/>
          <w:szCs w:val="14"/>
        </w:rPr>
        <w:t>1474</w:t>
      </w:r>
      <w:r w:rsidRPr="00E82928">
        <w:rPr>
          <w:rFonts w:ascii="Verdana" w:hAnsi="Verdana"/>
          <w:spacing w:val="-6"/>
          <w:sz w:val="14"/>
          <w:szCs w:val="14"/>
        </w:rPr>
        <w:t xml:space="preserve"> </w:t>
      </w:r>
      <w:r w:rsidRPr="00E82928">
        <w:rPr>
          <w:rFonts w:ascii="Verdana" w:hAnsi="Verdana"/>
          <w:sz w:val="14"/>
          <w:szCs w:val="14"/>
        </w:rPr>
        <w:t>de</w:t>
      </w:r>
      <w:r w:rsidRPr="00E82928">
        <w:rPr>
          <w:rFonts w:ascii="Verdana" w:hAnsi="Verdana"/>
          <w:spacing w:val="-4"/>
          <w:sz w:val="14"/>
          <w:szCs w:val="14"/>
        </w:rPr>
        <w:t xml:space="preserve"> </w:t>
      </w:r>
      <w:r w:rsidRPr="00E82928">
        <w:rPr>
          <w:rFonts w:ascii="Verdana" w:hAnsi="Verdana"/>
          <w:sz w:val="14"/>
          <w:szCs w:val="14"/>
        </w:rPr>
        <w:t>2011,</w:t>
      </w:r>
      <w:r w:rsidRPr="00E82928">
        <w:rPr>
          <w:rFonts w:ascii="Verdana" w:hAnsi="Verdana"/>
          <w:spacing w:val="-2"/>
          <w:sz w:val="14"/>
          <w:szCs w:val="14"/>
        </w:rPr>
        <w:t xml:space="preserve"> </w:t>
      </w:r>
      <w:r w:rsidRPr="00E82928">
        <w:rPr>
          <w:rFonts w:ascii="Verdana" w:hAnsi="Verdana"/>
          <w:sz w:val="14"/>
          <w:szCs w:val="14"/>
        </w:rPr>
        <w:t>pues en ese caso no se está en presencia de los fundamentos que soportan la excepción de no aplicar el Estatuto General de Contratación de la Administración Pública, cual es la “competencia y el libre juego del mercado”.</w:t>
      </w:r>
    </w:p>
  </w:footnote>
  <w:footnote w:id="12">
    <w:p w14:paraId="294D0870" w14:textId="77777777" w:rsidR="00F60167" w:rsidRPr="00E82928" w:rsidRDefault="00F60167" w:rsidP="00F60167">
      <w:pPr>
        <w:pStyle w:val="Textonotapie"/>
        <w:tabs>
          <w:tab w:val="left" w:pos="993"/>
        </w:tabs>
        <w:ind w:right="333" w:firstLine="709"/>
        <w:contextualSpacing/>
        <w:jc w:val="both"/>
        <w:rPr>
          <w:rFonts w:ascii="Verdana" w:hAnsi="Verdana"/>
          <w:spacing w:val="-7"/>
          <w:sz w:val="14"/>
          <w:szCs w:val="14"/>
        </w:rPr>
      </w:pPr>
      <w:r w:rsidRPr="00E82928">
        <w:rPr>
          <w:rStyle w:val="Refdenotaalpie"/>
          <w:rFonts w:ascii="Verdana" w:hAnsi="Verdana"/>
          <w:sz w:val="14"/>
          <w:szCs w:val="14"/>
        </w:rPr>
        <w:footnoteRef/>
      </w:r>
      <w:r w:rsidRPr="00E82928">
        <w:rPr>
          <w:rFonts w:ascii="Verdana" w:hAnsi="Verdana"/>
          <w:sz w:val="14"/>
          <w:szCs w:val="14"/>
        </w:rPr>
        <w:t xml:space="preserve"> Consejo</w:t>
      </w:r>
      <w:r w:rsidRPr="00E82928">
        <w:rPr>
          <w:rFonts w:ascii="Verdana" w:hAnsi="Verdana"/>
          <w:spacing w:val="-8"/>
          <w:sz w:val="14"/>
          <w:szCs w:val="14"/>
        </w:rPr>
        <w:t xml:space="preserve"> </w:t>
      </w:r>
      <w:r w:rsidRPr="00E82928">
        <w:rPr>
          <w:rFonts w:ascii="Verdana" w:hAnsi="Verdana"/>
          <w:sz w:val="14"/>
          <w:szCs w:val="14"/>
        </w:rPr>
        <w:t>de</w:t>
      </w:r>
      <w:r w:rsidRPr="00E82928">
        <w:rPr>
          <w:rFonts w:ascii="Verdana" w:hAnsi="Verdana"/>
          <w:spacing w:val="-10"/>
          <w:sz w:val="14"/>
          <w:szCs w:val="14"/>
        </w:rPr>
        <w:t xml:space="preserve"> </w:t>
      </w:r>
      <w:r w:rsidRPr="00E82928">
        <w:rPr>
          <w:rFonts w:ascii="Verdana" w:hAnsi="Verdana"/>
          <w:sz w:val="14"/>
          <w:szCs w:val="14"/>
        </w:rPr>
        <w:t>Estado.</w:t>
      </w:r>
      <w:r w:rsidRPr="00E82928">
        <w:rPr>
          <w:rFonts w:ascii="Verdana" w:hAnsi="Verdana"/>
          <w:spacing w:val="-9"/>
          <w:sz w:val="14"/>
          <w:szCs w:val="14"/>
        </w:rPr>
        <w:t xml:space="preserve"> </w:t>
      </w:r>
      <w:r w:rsidRPr="00E82928">
        <w:rPr>
          <w:rFonts w:ascii="Verdana" w:hAnsi="Verdana"/>
          <w:sz w:val="14"/>
          <w:szCs w:val="14"/>
        </w:rPr>
        <w:t>Sección</w:t>
      </w:r>
      <w:r w:rsidRPr="00E82928">
        <w:rPr>
          <w:rFonts w:ascii="Verdana" w:hAnsi="Verdana"/>
          <w:spacing w:val="-10"/>
          <w:sz w:val="14"/>
          <w:szCs w:val="14"/>
        </w:rPr>
        <w:t xml:space="preserve"> </w:t>
      </w:r>
      <w:r w:rsidRPr="00E82928">
        <w:rPr>
          <w:rFonts w:ascii="Verdana" w:hAnsi="Verdana"/>
          <w:sz w:val="14"/>
          <w:szCs w:val="14"/>
        </w:rPr>
        <w:t>Tercera,</w:t>
      </w:r>
      <w:r w:rsidRPr="00E82928">
        <w:rPr>
          <w:rFonts w:ascii="Verdana" w:hAnsi="Verdana"/>
          <w:spacing w:val="-9"/>
          <w:sz w:val="14"/>
          <w:szCs w:val="14"/>
        </w:rPr>
        <w:t xml:space="preserve"> </w:t>
      </w:r>
      <w:r w:rsidRPr="00E82928">
        <w:rPr>
          <w:rFonts w:ascii="Verdana" w:hAnsi="Verdana"/>
          <w:sz w:val="14"/>
          <w:szCs w:val="14"/>
        </w:rPr>
        <w:t>Sentencia</w:t>
      </w:r>
      <w:r w:rsidRPr="00E82928">
        <w:rPr>
          <w:rFonts w:ascii="Verdana" w:hAnsi="Verdana"/>
          <w:spacing w:val="-10"/>
          <w:sz w:val="14"/>
          <w:szCs w:val="14"/>
        </w:rPr>
        <w:t xml:space="preserve"> </w:t>
      </w:r>
      <w:r w:rsidRPr="00E82928">
        <w:rPr>
          <w:rFonts w:ascii="Verdana" w:hAnsi="Verdana"/>
          <w:sz w:val="14"/>
          <w:szCs w:val="14"/>
        </w:rPr>
        <w:t>del</w:t>
      </w:r>
      <w:r w:rsidRPr="00E82928">
        <w:rPr>
          <w:rFonts w:ascii="Verdana" w:hAnsi="Verdana"/>
          <w:spacing w:val="-9"/>
          <w:sz w:val="14"/>
          <w:szCs w:val="14"/>
        </w:rPr>
        <w:t xml:space="preserve"> </w:t>
      </w:r>
      <w:r w:rsidRPr="00E82928">
        <w:rPr>
          <w:rFonts w:ascii="Verdana" w:hAnsi="Verdana"/>
          <w:sz w:val="14"/>
          <w:szCs w:val="14"/>
        </w:rPr>
        <w:t>19</w:t>
      </w:r>
      <w:r w:rsidRPr="00E82928">
        <w:rPr>
          <w:rFonts w:ascii="Verdana" w:hAnsi="Verdana"/>
          <w:spacing w:val="-11"/>
          <w:sz w:val="14"/>
          <w:szCs w:val="14"/>
        </w:rPr>
        <w:t xml:space="preserve"> </w:t>
      </w:r>
      <w:r w:rsidRPr="00E82928">
        <w:rPr>
          <w:rFonts w:ascii="Verdana" w:hAnsi="Verdana"/>
          <w:sz w:val="14"/>
          <w:szCs w:val="14"/>
        </w:rPr>
        <w:t>de</w:t>
      </w:r>
      <w:r w:rsidRPr="00E82928">
        <w:rPr>
          <w:rFonts w:ascii="Verdana" w:hAnsi="Verdana"/>
          <w:spacing w:val="-5"/>
          <w:sz w:val="14"/>
          <w:szCs w:val="14"/>
        </w:rPr>
        <w:t xml:space="preserve"> </w:t>
      </w:r>
      <w:r w:rsidRPr="00E82928">
        <w:rPr>
          <w:rFonts w:ascii="Verdana" w:hAnsi="Verdana"/>
          <w:sz w:val="14"/>
          <w:szCs w:val="14"/>
        </w:rPr>
        <w:t>agosto</w:t>
      </w:r>
      <w:r w:rsidRPr="00E82928">
        <w:rPr>
          <w:rFonts w:ascii="Verdana" w:hAnsi="Verdana"/>
          <w:spacing w:val="-11"/>
          <w:sz w:val="14"/>
          <w:szCs w:val="14"/>
        </w:rPr>
        <w:t xml:space="preserve"> </w:t>
      </w:r>
      <w:r w:rsidRPr="00E82928">
        <w:rPr>
          <w:rFonts w:ascii="Verdana" w:hAnsi="Verdana"/>
          <w:sz w:val="14"/>
          <w:szCs w:val="14"/>
        </w:rPr>
        <w:t>de</w:t>
      </w:r>
      <w:r w:rsidRPr="00E82928">
        <w:rPr>
          <w:rFonts w:ascii="Verdana" w:hAnsi="Verdana"/>
          <w:spacing w:val="-10"/>
          <w:sz w:val="14"/>
          <w:szCs w:val="14"/>
        </w:rPr>
        <w:t xml:space="preserve"> </w:t>
      </w:r>
      <w:r w:rsidRPr="00E82928">
        <w:rPr>
          <w:rFonts w:ascii="Verdana" w:hAnsi="Verdana"/>
          <w:sz w:val="14"/>
          <w:szCs w:val="14"/>
        </w:rPr>
        <w:t>2004</w:t>
      </w:r>
      <w:r w:rsidRPr="00E82928">
        <w:rPr>
          <w:rFonts w:ascii="Verdana" w:hAnsi="Verdana"/>
          <w:spacing w:val="-7"/>
          <w:sz w:val="14"/>
          <w:szCs w:val="14"/>
        </w:rPr>
        <w:t xml:space="preserve"> </w:t>
      </w:r>
      <w:proofErr w:type="spellStart"/>
      <w:r w:rsidRPr="00E82928">
        <w:rPr>
          <w:rFonts w:ascii="Verdana" w:hAnsi="Verdana"/>
          <w:sz w:val="14"/>
          <w:szCs w:val="14"/>
        </w:rPr>
        <w:t>Exp</w:t>
      </w:r>
      <w:proofErr w:type="spellEnd"/>
      <w:r w:rsidRPr="00E82928">
        <w:rPr>
          <w:rFonts w:ascii="Verdana" w:hAnsi="Verdana"/>
          <w:sz w:val="14"/>
          <w:szCs w:val="14"/>
        </w:rPr>
        <w:t>.</w:t>
      </w:r>
      <w:r w:rsidRPr="00E82928">
        <w:rPr>
          <w:rFonts w:ascii="Verdana" w:hAnsi="Verdana"/>
          <w:spacing w:val="-9"/>
          <w:sz w:val="14"/>
          <w:szCs w:val="14"/>
        </w:rPr>
        <w:t xml:space="preserve"> </w:t>
      </w:r>
      <w:r w:rsidRPr="00E82928">
        <w:rPr>
          <w:rFonts w:ascii="Verdana" w:hAnsi="Verdana"/>
          <w:sz w:val="14"/>
          <w:szCs w:val="14"/>
        </w:rPr>
        <w:t>12.342,</w:t>
      </w:r>
      <w:r w:rsidRPr="00E82928">
        <w:rPr>
          <w:rFonts w:ascii="Verdana" w:hAnsi="Verdana"/>
          <w:spacing w:val="-9"/>
          <w:sz w:val="14"/>
          <w:szCs w:val="14"/>
        </w:rPr>
        <w:t xml:space="preserve"> </w:t>
      </w:r>
      <w:r w:rsidRPr="00E82928">
        <w:rPr>
          <w:rFonts w:ascii="Verdana" w:hAnsi="Verdana"/>
          <w:sz w:val="14"/>
          <w:szCs w:val="14"/>
        </w:rPr>
        <w:t>reiterada</w:t>
      </w:r>
      <w:r w:rsidRPr="00E82928">
        <w:rPr>
          <w:rFonts w:ascii="Verdana" w:hAnsi="Verdana"/>
          <w:spacing w:val="-10"/>
          <w:sz w:val="14"/>
          <w:szCs w:val="14"/>
        </w:rPr>
        <w:t xml:space="preserve"> </w:t>
      </w:r>
      <w:r w:rsidRPr="00E82928">
        <w:rPr>
          <w:rFonts w:ascii="Verdana" w:hAnsi="Verdana"/>
          <w:sz w:val="14"/>
          <w:szCs w:val="14"/>
        </w:rPr>
        <w:t xml:space="preserve">en sentencia de 6 de febrero de 2006, </w:t>
      </w:r>
      <w:proofErr w:type="spellStart"/>
      <w:r w:rsidRPr="00E82928">
        <w:rPr>
          <w:rFonts w:ascii="Verdana" w:hAnsi="Verdana"/>
          <w:sz w:val="14"/>
          <w:szCs w:val="14"/>
        </w:rPr>
        <w:t>Exp</w:t>
      </w:r>
      <w:proofErr w:type="spellEnd"/>
      <w:r w:rsidRPr="00E82928">
        <w:rPr>
          <w:rFonts w:ascii="Verdana" w:hAnsi="Verdana"/>
          <w:sz w:val="14"/>
          <w:szCs w:val="14"/>
        </w:rPr>
        <w:t>. 13.414.</w:t>
      </w:r>
    </w:p>
  </w:footnote>
  <w:footnote w:id="13">
    <w:p w14:paraId="0B497BB2" w14:textId="77777777" w:rsidR="00F60167" w:rsidRPr="00E82928" w:rsidRDefault="00F60167" w:rsidP="00F60167">
      <w:pPr>
        <w:pStyle w:val="Textonotapie"/>
        <w:ind w:firstLine="708"/>
        <w:contextualSpacing/>
        <w:jc w:val="both"/>
        <w:rPr>
          <w:rFonts w:ascii="Verdana" w:hAnsi="Verdana"/>
          <w:sz w:val="14"/>
          <w:szCs w:val="14"/>
        </w:rPr>
      </w:pPr>
      <w:r w:rsidRPr="00E82928">
        <w:rPr>
          <w:rStyle w:val="Refdenotaalpie"/>
          <w:rFonts w:ascii="Verdana" w:hAnsi="Verdana"/>
          <w:sz w:val="14"/>
          <w:szCs w:val="14"/>
        </w:rPr>
        <w:footnoteRef/>
      </w:r>
      <w:r w:rsidRPr="00E82928">
        <w:rPr>
          <w:rFonts w:ascii="Verdana" w:hAnsi="Verdana"/>
          <w:sz w:val="14"/>
          <w:szCs w:val="14"/>
        </w:rPr>
        <w:t xml:space="preserve"> Agencia Nacional de Contratación Pública - Colombia Compra Eficiente. Guía para las Entidades Estatales con régimen especial de contratación: “Entidad Estatal de régimen especial: Entidad Estatal que realiza sus Procesos de Contratación con un régimen distinto al previsto en las Leyes 80 de 1993 y 1150 de 2007”.</w:t>
      </w:r>
    </w:p>
  </w:footnote>
  <w:footnote w:id="14">
    <w:p w14:paraId="1D1B0853" w14:textId="77777777" w:rsidR="00F60167" w:rsidRPr="00E82928" w:rsidRDefault="00F60167" w:rsidP="00F60167">
      <w:pPr>
        <w:spacing w:after="0" w:line="240" w:lineRule="auto"/>
        <w:ind w:right="49" w:firstLine="709"/>
        <w:contextualSpacing/>
        <w:jc w:val="both"/>
        <w:rPr>
          <w:rFonts w:ascii="Verdana" w:hAnsi="Verdana"/>
          <w:sz w:val="14"/>
          <w:szCs w:val="14"/>
        </w:rPr>
      </w:pPr>
      <w:r w:rsidRPr="00E82928">
        <w:rPr>
          <w:rStyle w:val="Refdenotaalpie"/>
          <w:rFonts w:ascii="Verdana" w:hAnsi="Verdana"/>
          <w:sz w:val="14"/>
          <w:szCs w:val="14"/>
        </w:rPr>
        <w:footnoteRef/>
      </w:r>
      <w:r w:rsidRPr="00E82928">
        <w:rPr>
          <w:rFonts w:ascii="Verdana" w:hAnsi="Verdana"/>
          <w:sz w:val="14"/>
          <w:szCs w:val="14"/>
        </w:rPr>
        <w:t xml:space="preserve"> Ley</w:t>
      </w:r>
      <w:r w:rsidRPr="00E82928">
        <w:rPr>
          <w:rFonts w:ascii="Verdana" w:hAnsi="Verdana"/>
          <w:spacing w:val="-1"/>
          <w:sz w:val="14"/>
          <w:szCs w:val="14"/>
        </w:rPr>
        <w:t xml:space="preserve"> </w:t>
      </w:r>
      <w:r w:rsidRPr="00E82928">
        <w:rPr>
          <w:rFonts w:ascii="Verdana" w:hAnsi="Verdana"/>
          <w:sz w:val="14"/>
          <w:szCs w:val="14"/>
        </w:rPr>
        <w:t>1150</w:t>
      </w:r>
      <w:r w:rsidRPr="00E82928">
        <w:rPr>
          <w:rFonts w:ascii="Verdana" w:hAnsi="Verdana"/>
          <w:spacing w:val="-3"/>
          <w:sz w:val="14"/>
          <w:szCs w:val="14"/>
        </w:rPr>
        <w:t xml:space="preserve"> </w:t>
      </w:r>
      <w:r w:rsidRPr="00E82928">
        <w:rPr>
          <w:rFonts w:ascii="Verdana" w:hAnsi="Verdana"/>
          <w:sz w:val="14"/>
          <w:szCs w:val="14"/>
        </w:rPr>
        <w:t>de</w:t>
      </w:r>
      <w:r w:rsidRPr="00E82928">
        <w:rPr>
          <w:rFonts w:ascii="Verdana" w:hAnsi="Verdana"/>
          <w:spacing w:val="-1"/>
          <w:sz w:val="14"/>
          <w:szCs w:val="14"/>
        </w:rPr>
        <w:t xml:space="preserve"> </w:t>
      </w:r>
      <w:r w:rsidRPr="00E82928">
        <w:rPr>
          <w:rFonts w:ascii="Verdana" w:hAnsi="Verdana"/>
          <w:sz w:val="14"/>
          <w:szCs w:val="14"/>
        </w:rPr>
        <w:t>2007, artículo</w:t>
      </w:r>
      <w:r w:rsidRPr="00E82928">
        <w:rPr>
          <w:rFonts w:ascii="Verdana" w:hAnsi="Verdana"/>
          <w:spacing w:val="-3"/>
          <w:sz w:val="14"/>
          <w:szCs w:val="14"/>
        </w:rPr>
        <w:t xml:space="preserve"> </w:t>
      </w:r>
      <w:r w:rsidRPr="00E82928">
        <w:rPr>
          <w:rFonts w:ascii="Verdana" w:hAnsi="Verdana"/>
          <w:sz w:val="14"/>
          <w:szCs w:val="14"/>
        </w:rPr>
        <w:t>13: “Principios</w:t>
      </w:r>
      <w:r w:rsidRPr="00E82928">
        <w:rPr>
          <w:rFonts w:ascii="Verdana" w:hAnsi="Verdana"/>
          <w:spacing w:val="-5"/>
          <w:sz w:val="14"/>
          <w:szCs w:val="14"/>
        </w:rPr>
        <w:t xml:space="preserve"> </w:t>
      </w:r>
      <w:r w:rsidRPr="00E82928">
        <w:rPr>
          <w:rFonts w:ascii="Verdana" w:hAnsi="Verdana"/>
          <w:sz w:val="14"/>
          <w:szCs w:val="14"/>
        </w:rPr>
        <w:t>generales de</w:t>
      </w:r>
      <w:r w:rsidRPr="00E82928">
        <w:rPr>
          <w:rFonts w:ascii="Verdana" w:hAnsi="Verdana"/>
          <w:spacing w:val="-1"/>
          <w:sz w:val="14"/>
          <w:szCs w:val="14"/>
        </w:rPr>
        <w:t xml:space="preserve"> </w:t>
      </w:r>
      <w:r w:rsidRPr="00E82928">
        <w:rPr>
          <w:rFonts w:ascii="Verdana" w:hAnsi="Verdana"/>
          <w:sz w:val="14"/>
          <w:szCs w:val="14"/>
        </w:rPr>
        <w:t>la</w:t>
      </w:r>
      <w:r w:rsidRPr="00E82928">
        <w:rPr>
          <w:rFonts w:ascii="Verdana" w:hAnsi="Verdana"/>
          <w:spacing w:val="-2"/>
          <w:sz w:val="14"/>
          <w:szCs w:val="14"/>
        </w:rPr>
        <w:t xml:space="preserve"> </w:t>
      </w:r>
      <w:r w:rsidRPr="00E82928">
        <w:rPr>
          <w:rFonts w:ascii="Verdana" w:hAnsi="Verdana"/>
          <w:sz w:val="14"/>
          <w:szCs w:val="14"/>
        </w:rPr>
        <w:t>actividad</w:t>
      </w:r>
      <w:r w:rsidRPr="00E82928">
        <w:rPr>
          <w:rFonts w:ascii="Verdana" w:hAnsi="Verdana"/>
          <w:spacing w:val="-1"/>
          <w:sz w:val="14"/>
          <w:szCs w:val="14"/>
        </w:rPr>
        <w:t xml:space="preserve"> </w:t>
      </w:r>
      <w:r w:rsidRPr="00E82928">
        <w:rPr>
          <w:rFonts w:ascii="Verdana" w:hAnsi="Verdana"/>
          <w:sz w:val="14"/>
          <w:szCs w:val="14"/>
        </w:rPr>
        <w:t>contractual para</w:t>
      </w:r>
      <w:r w:rsidRPr="00E82928">
        <w:rPr>
          <w:rFonts w:ascii="Verdana" w:hAnsi="Verdana"/>
          <w:spacing w:val="-2"/>
          <w:sz w:val="14"/>
          <w:szCs w:val="14"/>
        </w:rPr>
        <w:t xml:space="preserve"> </w:t>
      </w:r>
      <w:r w:rsidRPr="00E82928">
        <w:rPr>
          <w:rFonts w:ascii="Verdana" w:hAnsi="Verdana"/>
          <w:sz w:val="14"/>
          <w:szCs w:val="14"/>
        </w:rPr>
        <w:t>entidades no sometidas al estatuto general de contratación de la administración pública. Las entidades estatales que por disposición</w:t>
      </w:r>
      <w:r w:rsidRPr="00E82928">
        <w:rPr>
          <w:rFonts w:ascii="Verdana" w:hAnsi="Verdana"/>
          <w:spacing w:val="-1"/>
          <w:sz w:val="14"/>
          <w:szCs w:val="14"/>
        </w:rPr>
        <w:t xml:space="preserve"> </w:t>
      </w:r>
      <w:r w:rsidRPr="00E82928">
        <w:rPr>
          <w:rFonts w:ascii="Verdana" w:hAnsi="Verdana"/>
          <w:sz w:val="14"/>
          <w:szCs w:val="14"/>
        </w:rPr>
        <w:t>legal cuenten</w:t>
      </w:r>
      <w:r w:rsidRPr="00E82928">
        <w:rPr>
          <w:rFonts w:ascii="Verdana" w:hAnsi="Verdana"/>
          <w:spacing w:val="-2"/>
          <w:sz w:val="14"/>
          <w:szCs w:val="14"/>
        </w:rPr>
        <w:t xml:space="preserve"> </w:t>
      </w:r>
      <w:r w:rsidRPr="00E82928">
        <w:rPr>
          <w:rFonts w:ascii="Verdana" w:hAnsi="Verdana"/>
          <w:sz w:val="14"/>
          <w:szCs w:val="14"/>
        </w:rPr>
        <w:t>con un</w:t>
      </w:r>
      <w:r w:rsidRPr="00E82928">
        <w:rPr>
          <w:rFonts w:ascii="Verdana" w:hAnsi="Verdana"/>
          <w:spacing w:val="-1"/>
          <w:sz w:val="14"/>
          <w:szCs w:val="14"/>
        </w:rPr>
        <w:t xml:space="preserve"> </w:t>
      </w:r>
      <w:r w:rsidRPr="00E82928">
        <w:rPr>
          <w:rFonts w:ascii="Verdana" w:hAnsi="Verdana"/>
          <w:sz w:val="14"/>
          <w:szCs w:val="14"/>
        </w:rPr>
        <w:t>régimen contractual excepcional al del Estatuto</w:t>
      </w:r>
      <w:r w:rsidRPr="00E82928">
        <w:rPr>
          <w:rFonts w:ascii="Verdana" w:hAnsi="Verdana"/>
          <w:spacing w:val="21"/>
          <w:sz w:val="14"/>
          <w:szCs w:val="14"/>
        </w:rPr>
        <w:t xml:space="preserve"> </w:t>
      </w:r>
      <w:r w:rsidRPr="00E82928">
        <w:rPr>
          <w:rFonts w:ascii="Verdana" w:hAnsi="Verdana"/>
          <w:sz w:val="14"/>
          <w:szCs w:val="14"/>
        </w:rPr>
        <w:t>General de Contratación</w:t>
      </w:r>
      <w:r w:rsidRPr="00E82928">
        <w:rPr>
          <w:rFonts w:ascii="Verdana" w:hAnsi="Verdana"/>
          <w:spacing w:val="-1"/>
          <w:sz w:val="14"/>
          <w:szCs w:val="14"/>
        </w:rPr>
        <w:t xml:space="preserve"> </w:t>
      </w:r>
      <w:r w:rsidRPr="00E82928">
        <w:rPr>
          <w:rFonts w:ascii="Verdana" w:hAnsi="Verdana"/>
          <w:sz w:val="14"/>
          <w:szCs w:val="14"/>
        </w:rPr>
        <w:t>de la Administración Pública, aplicarán en desarrollo de su actividad contractual, acorde con su régimen legal especial,</w:t>
      </w:r>
      <w:r w:rsidRPr="00E82928">
        <w:rPr>
          <w:rFonts w:ascii="Verdana" w:hAnsi="Verdana"/>
          <w:spacing w:val="-1"/>
          <w:sz w:val="14"/>
          <w:szCs w:val="14"/>
        </w:rPr>
        <w:t xml:space="preserve"> </w:t>
      </w:r>
      <w:r w:rsidRPr="00E82928">
        <w:rPr>
          <w:rFonts w:ascii="Verdana" w:hAnsi="Verdana"/>
          <w:sz w:val="14"/>
          <w:szCs w:val="14"/>
        </w:rPr>
        <w:t>los</w:t>
      </w:r>
      <w:r w:rsidRPr="00E82928">
        <w:rPr>
          <w:rFonts w:ascii="Verdana" w:hAnsi="Verdana"/>
          <w:spacing w:val="-2"/>
          <w:sz w:val="14"/>
          <w:szCs w:val="14"/>
        </w:rPr>
        <w:t xml:space="preserve"> </w:t>
      </w:r>
      <w:r w:rsidRPr="00E82928">
        <w:rPr>
          <w:rFonts w:ascii="Verdana" w:hAnsi="Verdana"/>
          <w:sz w:val="14"/>
          <w:szCs w:val="14"/>
        </w:rPr>
        <w:t>principios</w:t>
      </w:r>
      <w:r w:rsidRPr="00E82928">
        <w:rPr>
          <w:rFonts w:ascii="Verdana" w:hAnsi="Verdana"/>
          <w:spacing w:val="-2"/>
          <w:sz w:val="14"/>
          <w:szCs w:val="14"/>
        </w:rPr>
        <w:t xml:space="preserve"> </w:t>
      </w:r>
      <w:r w:rsidRPr="00E82928">
        <w:rPr>
          <w:rFonts w:ascii="Verdana" w:hAnsi="Verdana"/>
          <w:sz w:val="14"/>
          <w:szCs w:val="14"/>
        </w:rPr>
        <w:t>de</w:t>
      </w:r>
      <w:r w:rsidRPr="00E82928">
        <w:rPr>
          <w:rFonts w:ascii="Verdana" w:hAnsi="Verdana"/>
          <w:spacing w:val="-3"/>
          <w:sz w:val="14"/>
          <w:szCs w:val="14"/>
        </w:rPr>
        <w:t xml:space="preserve"> </w:t>
      </w:r>
      <w:r w:rsidRPr="00E82928">
        <w:rPr>
          <w:rFonts w:ascii="Verdana" w:hAnsi="Verdana"/>
          <w:sz w:val="14"/>
          <w:szCs w:val="14"/>
        </w:rPr>
        <w:t>la</w:t>
      </w:r>
      <w:r w:rsidRPr="00E82928">
        <w:rPr>
          <w:rFonts w:ascii="Verdana" w:hAnsi="Verdana"/>
          <w:spacing w:val="-4"/>
          <w:sz w:val="14"/>
          <w:szCs w:val="14"/>
        </w:rPr>
        <w:t xml:space="preserve"> </w:t>
      </w:r>
      <w:r w:rsidRPr="00E82928">
        <w:rPr>
          <w:rFonts w:ascii="Verdana" w:hAnsi="Verdana"/>
          <w:sz w:val="14"/>
          <w:szCs w:val="14"/>
        </w:rPr>
        <w:t>función</w:t>
      </w:r>
      <w:r w:rsidRPr="00E82928">
        <w:rPr>
          <w:rFonts w:ascii="Verdana" w:hAnsi="Verdana"/>
          <w:spacing w:val="-4"/>
          <w:sz w:val="14"/>
          <w:szCs w:val="14"/>
        </w:rPr>
        <w:t xml:space="preserve"> </w:t>
      </w:r>
      <w:r w:rsidRPr="00E82928">
        <w:rPr>
          <w:rFonts w:ascii="Verdana" w:hAnsi="Verdana"/>
          <w:sz w:val="14"/>
          <w:szCs w:val="14"/>
        </w:rPr>
        <w:t>administrativa</w:t>
      </w:r>
      <w:r w:rsidRPr="00E82928">
        <w:rPr>
          <w:rFonts w:ascii="Verdana" w:hAnsi="Verdana"/>
          <w:spacing w:val="-4"/>
          <w:sz w:val="14"/>
          <w:szCs w:val="14"/>
        </w:rPr>
        <w:t xml:space="preserve"> </w:t>
      </w:r>
      <w:r w:rsidRPr="00E82928">
        <w:rPr>
          <w:rFonts w:ascii="Verdana" w:hAnsi="Verdana"/>
          <w:sz w:val="14"/>
          <w:szCs w:val="14"/>
        </w:rPr>
        <w:t>y</w:t>
      </w:r>
      <w:r w:rsidRPr="00E82928">
        <w:rPr>
          <w:rFonts w:ascii="Verdana" w:hAnsi="Verdana"/>
          <w:spacing w:val="-3"/>
          <w:sz w:val="14"/>
          <w:szCs w:val="14"/>
        </w:rPr>
        <w:t xml:space="preserve"> </w:t>
      </w:r>
      <w:r w:rsidRPr="00E82928">
        <w:rPr>
          <w:rFonts w:ascii="Verdana" w:hAnsi="Verdana"/>
          <w:sz w:val="14"/>
          <w:szCs w:val="14"/>
        </w:rPr>
        <w:t>de</w:t>
      </w:r>
      <w:r w:rsidRPr="00E82928">
        <w:rPr>
          <w:rFonts w:ascii="Verdana" w:hAnsi="Verdana"/>
          <w:spacing w:val="-3"/>
          <w:sz w:val="14"/>
          <w:szCs w:val="14"/>
        </w:rPr>
        <w:t xml:space="preserve"> </w:t>
      </w:r>
      <w:r w:rsidRPr="00E82928">
        <w:rPr>
          <w:rFonts w:ascii="Verdana" w:hAnsi="Verdana"/>
          <w:sz w:val="14"/>
          <w:szCs w:val="14"/>
        </w:rPr>
        <w:t>la</w:t>
      </w:r>
      <w:r w:rsidRPr="00E82928">
        <w:rPr>
          <w:rFonts w:ascii="Verdana" w:hAnsi="Verdana"/>
          <w:spacing w:val="-4"/>
          <w:sz w:val="14"/>
          <w:szCs w:val="14"/>
        </w:rPr>
        <w:t xml:space="preserve"> </w:t>
      </w:r>
      <w:r w:rsidRPr="00E82928">
        <w:rPr>
          <w:rFonts w:ascii="Verdana" w:hAnsi="Verdana"/>
          <w:sz w:val="14"/>
          <w:szCs w:val="14"/>
        </w:rPr>
        <w:t>gestión</w:t>
      </w:r>
      <w:r w:rsidRPr="00E82928">
        <w:rPr>
          <w:rFonts w:ascii="Verdana" w:hAnsi="Verdana"/>
          <w:spacing w:val="-4"/>
          <w:sz w:val="14"/>
          <w:szCs w:val="14"/>
        </w:rPr>
        <w:t xml:space="preserve"> </w:t>
      </w:r>
      <w:r w:rsidRPr="00E82928">
        <w:rPr>
          <w:rFonts w:ascii="Verdana" w:hAnsi="Verdana"/>
          <w:sz w:val="14"/>
          <w:szCs w:val="14"/>
        </w:rPr>
        <w:t>fiscal</w:t>
      </w:r>
      <w:r w:rsidRPr="00E82928">
        <w:rPr>
          <w:rFonts w:ascii="Verdana" w:hAnsi="Verdana"/>
          <w:spacing w:val="-2"/>
          <w:sz w:val="14"/>
          <w:szCs w:val="14"/>
        </w:rPr>
        <w:t xml:space="preserve"> </w:t>
      </w:r>
      <w:r w:rsidRPr="00E82928">
        <w:rPr>
          <w:rFonts w:ascii="Verdana" w:hAnsi="Verdana"/>
          <w:sz w:val="14"/>
          <w:szCs w:val="14"/>
        </w:rPr>
        <w:t>de</w:t>
      </w:r>
      <w:r w:rsidRPr="00E82928">
        <w:rPr>
          <w:rFonts w:ascii="Verdana" w:hAnsi="Verdana"/>
          <w:spacing w:val="-3"/>
          <w:sz w:val="14"/>
          <w:szCs w:val="14"/>
        </w:rPr>
        <w:t xml:space="preserve"> </w:t>
      </w:r>
      <w:r w:rsidRPr="00E82928">
        <w:rPr>
          <w:rFonts w:ascii="Verdana" w:hAnsi="Verdana"/>
          <w:sz w:val="14"/>
          <w:szCs w:val="14"/>
        </w:rPr>
        <w:t>que</w:t>
      </w:r>
      <w:r w:rsidRPr="00E82928">
        <w:rPr>
          <w:rFonts w:ascii="Verdana" w:hAnsi="Verdana"/>
          <w:spacing w:val="-3"/>
          <w:sz w:val="14"/>
          <w:szCs w:val="14"/>
        </w:rPr>
        <w:t xml:space="preserve"> </w:t>
      </w:r>
      <w:r w:rsidRPr="00E82928">
        <w:rPr>
          <w:rFonts w:ascii="Verdana" w:hAnsi="Verdana"/>
          <w:sz w:val="14"/>
          <w:szCs w:val="14"/>
        </w:rPr>
        <w:t>tratan</w:t>
      </w:r>
      <w:r w:rsidRPr="00E82928">
        <w:rPr>
          <w:rFonts w:ascii="Verdana" w:hAnsi="Verdana"/>
          <w:spacing w:val="-4"/>
          <w:sz w:val="14"/>
          <w:szCs w:val="14"/>
        </w:rPr>
        <w:t xml:space="preserve"> </w:t>
      </w:r>
      <w:r w:rsidRPr="00E82928">
        <w:rPr>
          <w:rFonts w:ascii="Verdana" w:hAnsi="Verdana"/>
          <w:sz w:val="14"/>
          <w:szCs w:val="14"/>
        </w:rPr>
        <w:t>los</w:t>
      </w:r>
      <w:r w:rsidRPr="00E82928">
        <w:rPr>
          <w:rFonts w:ascii="Verdana" w:hAnsi="Verdana"/>
          <w:spacing w:val="-2"/>
          <w:sz w:val="14"/>
          <w:szCs w:val="14"/>
        </w:rPr>
        <w:t xml:space="preserve"> </w:t>
      </w:r>
      <w:r w:rsidRPr="00E82928">
        <w:rPr>
          <w:rFonts w:ascii="Verdana" w:hAnsi="Verdana"/>
          <w:sz w:val="14"/>
          <w:szCs w:val="14"/>
        </w:rPr>
        <w:t>artículos</w:t>
      </w:r>
      <w:r w:rsidRPr="00E82928">
        <w:rPr>
          <w:rFonts w:ascii="Verdana" w:hAnsi="Verdana"/>
          <w:spacing w:val="-2"/>
          <w:sz w:val="14"/>
          <w:szCs w:val="14"/>
        </w:rPr>
        <w:t xml:space="preserve"> </w:t>
      </w:r>
      <w:r w:rsidRPr="00E82928">
        <w:rPr>
          <w:rFonts w:ascii="Verdana" w:hAnsi="Verdana"/>
          <w:sz w:val="14"/>
          <w:szCs w:val="14"/>
        </w:rPr>
        <w:t>209</w:t>
      </w:r>
      <w:r w:rsidRPr="00E82928">
        <w:rPr>
          <w:rFonts w:ascii="Verdana" w:hAnsi="Verdana"/>
          <w:spacing w:val="-5"/>
          <w:sz w:val="14"/>
          <w:szCs w:val="14"/>
        </w:rPr>
        <w:t xml:space="preserve"> </w:t>
      </w:r>
      <w:r w:rsidRPr="00E82928">
        <w:rPr>
          <w:rFonts w:ascii="Verdana" w:hAnsi="Verdana"/>
          <w:sz w:val="14"/>
          <w:szCs w:val="14"/>
        </w:rPr>
        <w:t>y 267 de</w:t>
      </w:r>
      <w:r w:rsidRPr="00E82928">
        <w:rPr>
          <w:rFonts w:ascii="Verdana" w:hAnsi="Verdana"/>
          <w:spacing w:val="-9"/>
          <w:sz w:val="14"/>
          <w:szCs w:val="14"/>
        </w:rPr>
        <w:t xml:space="preserve"> </w:t>
      </w:r>
      <w:r w:rsidRPr="00E82928">
        <w:rPr>
          <w:rFonts w:ascii="Verdana" w:hAnsi="Verdana"/>
          <w:sz w:val="14"/>
          <w:szCs w:val="14"/>
        </w:rPr>
        <w:t>la</w:t>
      </w:r>
      <w:r w:rsidRPr="00E82928">
        <w:rPr>
          <w:rFonts w:ascii="Verdana" w:hAnsi="Verdana"/>
          <w:spacing w:val="-8"/>
          <w:sz w:val="14"/>
          <w:szCs w:val="14"/>
        </w:rPr>
        <w:t xml:space="preserve"> </w:t>
      </w:r>
      <w:r w:rsidRPr="00E82928">
        <w:rPr>
          <w:rFonts w:ascii="Verdana" w:hAnsi="Verdana"/>
          <w:sz w:val="14"/>
          <w:szCs w:val="14"/>
        </w:rPr>
        <w:t>Constitución</w:t>
      </w:r>
      <w:r w:rsidRPr="00E82928">
        <w:rPr>
          <w:rFonts w:ascii="Verdana" w:hAnsi="Verdana"/>
          <w:spacing w:val="-10"/>
          <w:sz w:val="14"/>
          <w:szCs w:val="14"/>
        </w:rPr>
        <w:t xml:space="preserve"> </w:t>
      </w:r>
      <w:r w:rsidRPr="00E82928">
        <w:rPr>
          <w:rFonts w:ascii="Verdana" w:hAnsi="Verdana"/>
          <w:sz w:val="14"/>
          <w:szCs w:val="14"/>
        </w:rPr>
        <w:t>Política,</w:t>
      </w:r>
      <w:r w:rsidRPr="00E82928">
        <w:rPr>
          <w:rFonts w:ascii="Verdana" w:hAnsi="Verdana"/>
          <w:spacing w:val="-12"/>
          <w:sz w:val="14"/>
          <w:szCs w:val="14"/>
        </w:rPr>
        <w:t xml:space="preserve"> </w:t>
      </w:r>
      <w:r w:rsidRPr="00E82928">
        <w:rPr>
          <w:rFonts w:ascii="Verdana" w:hAnsi="Verdana"/>
          <w:sz w:val="14"/>
          <w:szCs w:val="14"/>
        </w:rPr>
        <w:t>respectivamente</w:t>
      </w:r>
      <w:r w:rsidRPr="00E82928">
        <w:rPr>
          <w:rFonts w:ascii="Verdana" w:hAnsi="Verdana"/>
          <w:spacing w:val="-9"/>
          <w:sz w:val="14"/>
          <w:szCs w:val="14"/>
        </w:rPr>
        <w:t xml:space="preserve"> </w:t>
      </w:r>
      <w:r w:rsidRPr="00E82928">
        <w:rPr>
          <w:rFonts w:ascii="Verdana" w:hAnsi="Verdana"/>
          <w:sz w:val="14"/>
          <w:szCs w:val="14"/>
        </w:rPr>
        <w:t>según</w:t>
      </w:r>
      <w:r w:rsidRPr="00E82928">
        <w:rPr>
          <w:rFonts w:ascii="Verdana" w:hAnsi="Verdana"/>
          <w:spacing w:val="-10"/>
          <w:sz w:val="14"/>
          <w:szCs w:val="14"/>
        </w:rPr>
        <w:t xml:space="preserve"> </w:t>
      </w:r>
      <w:r w:rsidRPr="00E82928">
        <w:rPr>
          <w:rFonts w:ascii="Verdana" w:hAnsi="Verdana"/>
          <w:sz w:val="14"/>
          <w:szCs w:val="14"/>
        </w:rPr>
        <w:t>sea</w:t>
      </w:r>
      <w:r w:rsidRPr="00E82928">
        <w:rPr>
          <w:rFonts w:ascii="Verdana" w:hAnsi="Verdana"/>
          <w:spacing w:val="-11"/>
          <w:sz w:val="14"/>
          <w:szCs w:val="14"/>
        </w:rPr>
        <w:t xml:space="preserve"> </w:t>
      </w:r>
      <w:r w:rsidRPr="00E82928">
        <w:rPr>
          <w:rFonts w:ascii="Verdana" w:hAnsi="Verdana"/>
          <w:sz w:val="14"/>
          <w:szCs w:val="14"/>
        </w:rPr>
        <w:t>el</w:t>
      </w:r>
      <w:r w:rsidRPr="00E82928">
        <w:rPr>
          <w:rFonts w:ascii="Verdana" w:hAnsi="Verdana"/>
          <w:spacing w:val="-8"/>
          <w:sz w:val="14"/>
          <w:szCs w:val="14"/>
        </w:rPr>
        <w:t xml:space="preserve"> </w:t>
      </w:r>
      <w:r w:rsidRPr="00E82928">
        <w:rPr>
          <w:rFonts w:ascii="Verdana" w:hAnsi="Verdana"/>
          <w:sz w:val="14"/>
          <w:szCs w:val="14"/>
        </w:rPr>
        <w:t>caso</w:t>
      </w:r>
      <w:r w:rsidRPr="00E82928">
        <w:rPr>
          <w:rFonts w:ascii="Verdana" w:hAnsi="Verdana"/>
          <w:spacing w:val="-11"/>
          <w:sz w:val="14"/>
          <w:szCs w:val="14"/>
        </w:rPr>
        <w:t xml:space="preserve"> </w:t>
      </w:r>
      <w:r w:rsidRPr="00E82928">
        <w:rPr>
          <w:rFonts w:ascii="Verdana" w:hAnsi="Verdana"/>
          <w:sz w:val="14"/>
          <w:szCs w:val="14"/>
        </w:rPr>
        <w:t>y</w:t>
      </w:r>
      <w:r w:rsidRPr="00E82928">
        <w:rPr>
          <w:rFonts w:ascii="Verdana" w:hAnsi="Verdana"/>
          <w:spacing w:val="-9"/>
          <w:sz w:val="14"/>
          <w:szCs w:val="14"/>
        </w:rPr>
        <w:t xml:space="preserve"> </w:t>
      </w:r>
      <w:r w:rsidRPr="00E82928">
        <w:rPr>
          <w:rFonts w:ascii="Verdana" w:hAnsi="Verdana"/>
          <w:sz w:val="14"/>
          <w:szCs w:val="14"/>
        </w:rPr>
        <w:t>estarán</w:t>
      </w:r>
      <w:r w:rsidRPr="00E82928">
        <w:rPr>
          <w:rFonts w:ascii="Verdana" w:hAnsi="Verdana"/>
          <w:spacing w:val="-10"/>
          <w:sz w:val="14"/>
          <w:szCs w:val="14"/>
        </w:rPr>
        <w:t xml:space="preserve"> </w:t>
      </w:r>
      <w:r w:rsidRPr="00E82928">
        <w:rPr>
          <w:rFonts w:ascii="Verdana" w:hAnsi="Verdana"/>
          <w:sz w:val="14"/>
          <w:szCs w:val="14"/>
        </w:rPr>
        <w:t>sometidas</w:t>
      </w:r>
      <w:r w:rsidRPr="00E82928">
        <w:rPr>
          <w:rFonts w:ascii="Verdana" w:hAnsi="Verdana"/>
          <w:spacing w:val="-8"/>
          <w:sz w:val="14"/>
          <w:szCs w:val="14"/>
        </w:rPr>
        <w:t xml:space="preserve"> </w:t>
      </w:r>
      <w:r w:rsidRPr="00E82928">
        <w:rPr>
          <w:rFonts w:ascii="Verdana" w:hAnsi="Verdana"/>
          <w:sz w:val="14"/>
          <w:szCs w:val="14"/>
        </w:rPr>
        <w:t>al</w:t>
      </w:r>
      <w:r w:rsidRPr="00E82928">
        <w:rPr>
          <w:rFonts w:ascii="Verdana" w:hAnsi="Verdana"/>
          <w:spacing w:val="-13"/>
          <w:sz w:val="14"/>
          <w:szCs w:val="14"/>
        </w:rPr>
        <w:t xml:space="preserve"> </w:t>
      </w:r>
      <w:r w:rsidRPr="00E82928">
        <w:rPr>
          <w:rFonts w:ascii="Verdana" w:hAnsi="Verdana"/>
          <w:sz w:val="14"/>
          <w:szCs w:val="14"/>
        </w:rPr>
        <w:t>régimen</w:t>
      </w:r>
      <w:r w:rsidRPr="00E82928">
        <w:rPr>
          <w:rFonts w:ascii="Verdana" w:hAnsi="Verdana"/>
          <w:spacing w:val="-11"/>
          <w:sz w:val="14"/>
          <w:szCs w:val="14"/>
        </w:rPr>
        <w:t xml:space="preserve"> </w:t>
      </w:r>
      <w:r w:rsidRPr="00E82928">
        <w:rPr>
          <w:rFonts w:ascii="Verdana" w:hAnsi="Verdana"/>
          <w:sz w:val="14"/>
          <w:szCs w:val="14"/>
        </w:rPr>
        <w:t>de</w:t>
      </w:r>
      <w:r w:rsidRPr="00E82928">
        <w:rPr>
          <w:rFonts w:ascii="Verdana" w:hAnsi="Verdana"/>
          <w:spacing w:val="-9"/>
          <w:sz w:val="14"/>
          <w:szCs w:val="14"/>
        </w:rPr>
        <w:t xml:space="preserve"> </w:t>
      </w:r>
      <w:r w:rsidRPr="00E82928">
        <w:rPr>
          <w:rFonts w:ascii="Verdana" w:hAnsi="Verdana"/>
          <w:sz w:val="14"/>
          <w:szCs w:val="14"/>
        </w:rPr>
        <w:t>inhabilidades e incompatibilidades previsto legalmente para la contratación estatal</w:t>
      </w:r>
      <w:r w:rsidRPr="00E82928">
        <w:rPr>
          <w:rFonts w:ascii="Verdana" w:hAnsi="Verdana"/>
          <w:spacing w:val="-32"/>
          <w:sz w:val="14"/>
          <w:szCs w:val="14"/>
        </w:rPr>
        <w:t xml:space="preserve"> </w:t>
      </w:r>
      <w:r w:rsidRPr="00E82928">
        <w:rPr>
          <w:rFonts w:ascii="Verdana" w:hAnsi="Verdana"/>
          <w:sz w:val="14"/>
          <w:szCs w:val="1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5C70E" w14:textId="77777777" w:rsidR="004D0174" w:rsidRDefault="004D0174">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08A7BC54" wp14:editId="25F08895">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17B47A19" wp14:editId="01BCCCE1">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AB26723" w14:textId="77777777" w:rsidR="004D0174" w:rsidRDefault="004D0174">
    <w:pPr>
      <w:pStyle w:val="Encabezado"/>
    </w:pPr>
  </w:p>
  <w:p w14:paraId="392B77B7" w14:textId="77777777" w:rsidR="004D0174" w:rsidRPr="004A305D" w:rsidRDefault="004D0174">
    <w:pPr>
      <w:spacing w:after="0" w:line="120" w:lineRule="auto"/>
      <w:rPr>
        <w:rFonts w:ascii="Century Gothic" w:eastAsia="Geo" w:hAnsi="Century Gothic" w:cs="Geo"/>
        <w:sz w:val="16"/>
        <w:szCs w:val="16"/>
        <w:lang w:eastAsia="es-CO"/>
      </w:rPr>
    </w:pPr>
  </w:p>
  <w:p w14:paraId="539C84B1" w14:textId="77777777" w:rsidR="004D0174" w:rsidRDefault="004D0174">
    <w:pPr>
      <w:spacing w:after="0" w:line="240" w:lineRule="auto"/>
      <w:rPr>
        <w:rFonts w:ascii="Verdana" w:hAnsi="Verdana"/>
        <w:sz w:val="24"/>
        <w:szCs w:val="24"/>
      </w:rPr>
    </w:pPr>
  </w:p>
  <w:p w14:paraId="369B52A4" w14:textId="77777777" w:rsidR="004D0174" w:rsidRPr="00C925AC" w:rsidRDefault="004D0174">
    <w:pPr>
      <w:spacing w:after="0" w:line="240" w:lineRule="auto"/>
      <w:rPr>
        <w:rFonts w:ascii="Verdana" w:hAnsi="Verdana"/>
        <w:sz w:val="24"/>
        <w:szCs w:val="24"/>
      </w:rPr>
    </w:pPr>
  </w:p>
  <w:p w14:paraId="7FBE3D55" w14:textId="77777777" w:rsidR="004D0174" w:rsidRPr="00C925AC" w:rsidRDefault="004D0174">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74102A3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4D684E50"/>
    <w:multiLevelType w:val="hybridMultilevel"/>
    <w:tmpl w:val="4D7AC5E6"/>
    <w:lvl w:ilvl="0" w:tplc="4D70319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635F73A6"/>
    <w:multiLevelType w:val="hybridMultilevel"/>
    <w:tmpl w:val="338E535E"/>
    <w:lvl w:ilvl="0" w:tplc="EE12C5D6">
      <w:start w:val="4"/>
      <w:numFmt w:val="bullet"/>
      <w:lvlText w:val=""/>
      <w:lvlJc w:val="left"/>
      <w:pPr>
        <w:ind w:left="720" w:hanging="360"/>
      </w:pPr>
      <w:rPr>
        <w:rFonts w:ascii="Symbol" w:eastAsiaTheme="minorHAnsi" w:hAnsi="Symbol" w:cs="Arial" w:hint="default"/>
        <w:color w:val="000000" w:themeColor="text1"/>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390349800">
    <w:abstractNumId w:val="4"/>
  </w:num>
  <w:num w:numId="2" w16cid:durableId="341274352">
    <w:abstractNumId w:val="0"/>
  </w:num>
  <w:num w:numId="3" w16cid:durableId="679089576">
    <w:abstractNumId w:val="1"/>
  </w:num>
  <w:num w:numId="4" w16cid:durableId="976952254">
    <w:abstractNumId w:val="3"/>
  </w:num>
  <w:num w:numId="5" w16cid:durableId="18046934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174"/>
    <w:rsid w:val="00000701"/>
    <w:rsid w:val="000534CB"/>
    <w:rsid w:val="000571DF"/>
    <w:rsid w:val="00095741"/>
    <w:rsid w:val="000A6189"/>
    <w:rsid w:val="000A70D6"/>
    <w:rsid w:val="000B2883"/>
    <w:rsid w:val="000B7A1C"/>
    <w:rsid w:val="000C6895"/>
    <w:rsid w:val="000E7308"/>
    <w:rsid w:val="000F5A42"/>
    <w:rsid w:val="00121823"/>
    <w:rsid w:val="00151661"/>
    <w:rsid w:val="00163FB6"/>
    <w:rsid w:val="001B0767"/>
    <w:rsid w:val="001D2DF8"/>
    <w:rsid w:val="001D5BE6"/>
    <w:rsid w:val="001F73F3"/>
    <w:rsid w:val="0026058B"/>
    <w:rsid w:val="00266191"/>
    <w:rsid w:val="002948F1"/>
    <w:rsid w:val="00297695"/>
    <w:rsid w:val="002B0E66"/>
    <w:rsid w:val="002B7CD4"/>
    <w:rsid w:val="002C0CD3"/>
    <w:rsid w:val="002C628A"/>
    <w:rsid w:val="002F07C6"/>
    <w:rsid w:val="002F32D2"/>
    <w:rsid w:val="003001C9"/>
    <w:rsid w:val="00306DCC"/>
    <w:rsid w:val="00327CBB"/>
    <w:rsid w:val="0033582F"/>
    <w:rsid w:val="003543AE"/>
    <w:rsid w:val="00385A94"/>
    <w:rsid w:val="0038601B"/>
    <w:rsid w:val="003A6D77"/>
    <w:rsid w:val="003D2174"/>
    <w:rsid w:val="003D6B0D"/>
    <w:rsid w:val="00431A2B"/>
    <w:rsid w:val="00460636"/>
    <w:rsid w:val="0047777F"/>
    <w:rsid w:val="004D0174"/>
    <w:rsid w:val="004F0362"/>
    <w:rsid w:val="00531A4E"/>
    <w:rsid w:val="00535CFD"/>
    <w:rsid w:val="005612A9"/>
    <w:rsid w:val="005D6CC1"/>
    <w:rsid w:val="00607CE2"/>
    <w:rsid w:val="00634256"/>
    <w:rsid w:val="0065787B"/>
    <w:rsid w:val="006B4B97"/>
    <w:rsid w:val="006E6DCB"/>
    <w:rsid w:val="007645F0"/>
    <w:rsid w:val="007D5A3D"/>
    <w:rsid w:val="007E42AF"/>
    <w:rsid w:val="00800A54"/>
    <w:rsid w:val="00821FA6"/>
    <w:rsid w:val="00822F38"/>
    <w:rsid w:val="00844448"/>
    <w:rsid w:val="00882F63"/>
    <w:rsid w:val="0088622C"/>
    <w:rsid w:val="00890BEA"/>
    <w:rsid w:val="008A1A1F"/>
    <w:rsid w:val="008B7D41"/>
    <w:rsid w:val="008D7F33"/>
    <w:rsid w:val="008E7AD1"/>
    <w:rsid w:val="008F021E"/>
    <w:rsid w:val="008F679C"/>
    <w:rsid w:val="0092259D"/>
    <w:rsid w:val="00945700"/>
    <w:rsid w:val="00971AD3"/>
    <w:rsid w:val="009976E5"/>
    <w:rsid w:val="009B0318"/>
    <w:rsid w:val="009C79CA"/>
    <w:rsid w:val="009E3A17"/>
    <w:rsid w:val="00A0726D"/>
    <w:rsid w:val="00A12218"/>
    <w:rsid w:val="00A25B73"/>
    <w:rsid w:val="00A419C2"/>
    <w:rsid w:val="00A54CE7"/>
    <w:rsid w:val="00A56290"/>
    <w:rsid w:val="00A73F09"/>
    <w:rsid w:val="00A90678"/>
    <w:rsid w:val="00A93A3B"/>
    <w:rsid w:val="00AB4487"/>
    <w:rsid w:val="00AC54AD"/>
    <w:rsid w:val="00AD1D05"/>
    <w:rsid w:val="00AD200B"/>
    <w:rsid w:val="00AE729B"/>
    <w:rsid w:val="00B031BF"/>
    <w:rsid w:val="00B078C1"/>
    <w:rsid w:val="00B72282"/>
    <w:rsid w:val="00B764AB"/>
    <w:rsid w:val="00B90792"/>
    <w:rsid w:val="00C0193B"/>
    <w:rsid w:val="00C11063"/>
    <w:rsid w:val="00C45DDA"/>
    <w:rsid w:val="00C63FCF"/>
    <w:rsid w:val="00C731BB"/>
    <w:rsid w:val="00CA25AA"/>
    <w:rsid w:val="00CA38B4"/>
    <w:rsid w:val="00CD25CD"/>
    <w:rsid w:val="00CE766F"/>
    <w:rsid w:val="00D310AD"/>
    <w:rsid w:val="00D5327B"/>
    <w:rsid w:val="00D77CFD"/>
    <w:rsid w:val="00D862C4"/>
    <w:rsid w:val="00DA35E4"/>
    <w:rsid w:val="00DD5D44"/>
    <w:rsid w:val="00EC4AB6"/>
    <w:rsid w:val="00EE34E6"/>
    <w:rsid w:val="00EF01FF"/>
    <w:rsid w:val="00F34D95"/>
    <w:rsid w:val="00F43BF5"/>
    <w:rsid w:val="00F453C9"/>
    <w:rsid w:val="00F516D0"/>
    <w:rsid w:val="00F53E94"/>
    <w:rsid w:val="00F5766D"/>
    <w:rsid w:val="00F60167"/>
    <w:rsid w:val="00F9250A"/>
    <w:rsid w:val="00FC363D"/>
    <w:rsid w:val="00FC7E63"/>
    <w:rsid w:val="00FE3418"/>
    <w:rsid w:val="00FF5B3C"/>
    <w:rsid w:val="00FF710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17AAE"/>
  <w15:chartTrackingRefBased/>
  <w15:docId w15:val="{CF5E77BC-D860-422E-B016-53E064D79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5D44"/>
    <w:rPr>
      <w:kern w:val="0"/>
      <w14:ligatures w14:val="none"/>
    </w:rPr>
  </w:style>
  <w:style w:type="paragraph" w:styleId="Ttulo1">
    <w:name w:val="heading 1"/>
    <w:basedOn w:val="Normal"/>
    <w:next w:val="Normal"/>
    <w:link w:val="Ttulo1Car"/>
    <w:uiPriority w:val="9"/>
    <w:qFormat/>
    <w:rsid w:val="004D01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D01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D017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D017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D017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D017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D017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D017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D017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D017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D017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D017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D017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D017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D017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D017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D017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D0174"/>
    <w:rPr>
      <w:rFonts w:eastAsiaTheme="majorEastAsia" w:cstheme="majorBidi"/>
      <w:color w:val="272727" w:themeColor="text1" w:themeTint="D8"/>
    </w:rPr>
  </w:style>
  <w:style w:type="paragraph" w:styleId="Ttulo">
    <w:name w:val="Title"/>
    <w:basedOn w:val="Normal"/>
    <w:next w:val="Normal"/>
    <w:link w:val="TtuloCar"/>
    <w:uiPriority w:val="10"/>
    <w:qFormat/>
    <w:rsid w:val="004D01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D017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D017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D017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D0174"/>
    <w:pPr>
      <w:spacing w:before="160"/>
      <w:jc w:val="center"/>
    </w:pPr>
    <w:rPr>
      <w:i/>
      <w:iCs/>
      <w:color w:val="404040" w:themeColor="text1" w:themeTint="BF"/>
    </w:rPr>
  </w:style>
  <w:style w:type="character" w:customStyle="1" w:styleId="CitaCar">
    <w:name w:val="Cita Car"/>
    <w:basedOn w:val="Fuentedeprrafopredeter"/>
    <w:link w:val="Cita"/>
    <w:uiPriority w:val="29"/>
    <w:rsid w:val="004D0174"/>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4D0174"/>
    <w:pPr>
      <w:ind w:left="720"/>
      <w:contextualSpacing/>
    </w:pPr>
  </w:style>
  <w:style w:type="character" w:styleId="nfasisintenso">
    <w:name w:val="Intense Emphasis"/>
    <w:basedOn w:val="Fuentedeprrafopredeter"/>
    <w:uiPriority w:val="21"/>
    <w:qFormat/>
    <w:rsid w:val="004D0174"/>
    <w:rPr>
      <w:i/>
      <w:iCs/>
      <w:color w:val="0F4761" w:themeColor="accent1" w:themeShade="BF"/>
    </w:rPr>
  </w:style>
  <w:style w:type="paragraph" w:styleId="Citadestacada">
    <w:name w:val="Intense Quote"/>
    <w:basedOn w:val="Normal"/>
    <w:next w:val="Normal"/>
    <w:link w:val="CitadestacadaCar"/>
    <w:uiPriority w:val="30"/>
    <w:qFormat/>
    <w:rsid w:val="004D01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D0174"/>
    <w:rPr>
      <w:i/>
      <w:iCs/>
      <w:color w:val="0F4761" w:themeColor="accent1" w:themeShade="BF"/>
    </w:rPr>
  </w:style>
  <w:style w:type="character" w:styleId="Referenciaintensa">
    <w:name w:val="Intense Reference"/>
    <w:basedOn w:val="Fuentedeprrafopredeter"/>
    <w:uiPriority w:val="32"/>
    <w:qFormat/>
    <w:rsid w:val="004D0174"/>
    <w:rPr>
      <w:b/>
      <w:bCs/>
      <w:smallCaps/>
      <w:color w:val="0F4761" w:themeColor="accent1" w:themeShade="BF"/>
      <w:spacing w:val="5"/>
    </w:rPr>
  </w:style>
  <w:style w:type="paragraph" w:styleId="Encabezado">
    <w:name w:val="header"/>
    <w:basedOn w:val="Normal"/>
    <w:link w:val="EncabezadoCar"/>
    <w:uiPriority w:val="99"/>
    <w:unhideWhenUsed/>
    <w:rsid w:val="004D017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D0174"/>
    <w:rPr>
      <w:kern w:val="0"/>
      <w14:ligatures w14:val="none"/>
    </w:rPr>
  </w:style>
  <w:style w:type="paragraph" w:styleId="Piedepgina">
    <w:name w:val="footer"/>
    <w:basedOn w:val="Normal"/>
    <w:link w:val="PiedepginaCar"/>
    <w:uiPriority w:val="99"/>
    <w:unhideWhenUsed/>
    <w:rsid w:val="004D017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D0174"/>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D017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4D0174"/>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4D0174"/>
    <w:rPr>
      <w:kern w:val="0"/>
      <w:sz w:val="20"/>
      <w:szCs w:val="20"/>
      <w14:ligatures w14:val="none"/>
    </w:rPr>
  </w:style>
  <w:style w:type="character" w:customStyle="1" w:styleId="normaltextrun">
    <w:name w:val="normaltextrun"/>
    <w:basedOn w:val="Fuentedeprrafopredeter"/>
    <w:rsid w:val="004D0174"/>
  </w:style>
  <w:style w:type="table" w:styleId="Tablaconcuadrcula">
    <w:name w:val="Table Grid"/>
    <w:basedOn w:val="Tablanormal"/>
    <w:uiPriority w:val="39"/>
    <w:qFormat/>
    <w:rsid w:val="004D017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4D0174"/>
    <w:rPr>
      <w:color w:val="0000FF"/>
      <w:u w:val="single"/>
    </w:rPr>
  </w:style>
  <w:style w:type="paragraph" w:customStyle="1" w:styleId="paragraph">
    <w:name w:val="paragraph"/>
    <w:basedOn w:val="Normal"/>
    <w:rsid w:val="004D0174"/>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4D0174"/>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D0174"/>
  </w:style>
  <w:style w:type="character" w:styleId="Mencinsinresolver">
    <w:name w:val="Unresolved Mention"/>
    <w:basedOn w:val="Fuentedeprrafopredeter"/>
    <w:uiPriority w:val="99"/>
    <w:semiHidden/>
    <w:unhideWhenUsed/>
    <w:rsid w:val="00B90792"/>
    <w:rPr>
      <w:color w:val="605E5C"/>
      <w:shd w:val="clear" w:color="auto" w:fill="E1DFDD"/>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A73F09"/>
    <w:rPr>
      <w:vertAlign w:val="superscript"/>
    </w:rPr>
  </w:style>
  <w:style w:type="paragraph" w:customStyle="1" w:styleId="Appelnotedebasde">
    <w:name w:val="Appel note de bas de..."/>
    <w:basedOn w:val="Normal"/>
    <w:link w:val="Refdenotaalpie"/>
    <w:uiPriority w:val="99"/>
    <w:rsid w:val="00A73F09"/>
    <w:pPr>
      <w:spacing w:line="240" w:lineRule="exact"/>
    </w:pPr>
    <w:rPr>
      <w:kern w:val="2"/>
      <w:vertAlign w:val="superscript"/>
      <w14:ligatures w14:val="standardContextual"/>
    </w:rPr>
  </w:style>
  <w:style w:type="paragraph" w:styleId="Textoindependiente">
    <w:name w:val="Body Text"/>
    <w:basedOn w:val="Normal"/>
    <w:link w:val="TextoindependienteCar"/>
    <w:uiPriority w:val="99"/>
    <w:unhideWhenUsed/>
    <w:rsid w:val="00327CBB"/>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327CBB"/>
    <w:rPr>
      <w:rFonts w:eastAsiaTheme="minorEastAsia"/>
      <w:kern w:val="0"/>
      <w:lang w:eastAsia="es-CO"/>
      <w14:ligatures w14:val="none"/>
    </w:rPr>
  </w:style>
  <w:style w:type="paragraph" w:styleId="NormalWeb">
    <w:name w:val="Normal (Web)"/>
    <w:basedOn w:val="Normal"/>
    <w:uiPriority w:val="99"/>
    <w:semiHidden/>
    <w:unhideWhenUsed/>
    <w:rsid w:val="00095741"/>
    <w:rPr>
      <w:rFonts w:ascii="Times New Roman" w:hAnsi="Times New Roman" w:cs="Times New Roman"/>
      <w:sz w:val="24"/>
      <w:szCs w:val="24"/>
    </w:rPr>
  </w:style>
  <w:style w:type="character" w:customStyle="1" w:styleId="s15">
    <w:name w:val="s15"/>
    <w:basedOn w:val="Fuentedeprrafopredeter"/>
    <w:rsid w:val="009225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ovamosapartado@gmail.com" TargetMode="External"/><Relationship Id="rId13" Type="http://schemas.openxmlformats.org/officeDocument/2006/relationships/header" Target="header1.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lombiacompra.gov.co"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relatoria.colombiacompra.gov.co/busqueda/conceptos"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https://www.colombiacompra.gov.co/archivos/manual/guia-para-entidades-estatales-con-regimen-especial-de-contratacion"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4FD798B-40F8-462B-BBB1-45C3DA163602}"/>
</file>

<file path=customXml/itemProps2.xml><?xml version="1.0" encoding="utf-8"?>
<ds:datastoreItem xmlns:ds="http://schemas.openxmlformats.org/officeDocument/2006/customXml" ds:itemID="{0A7BE8B7-F14B-4173-8194-53FE3F790981}"/>
</file>

<file path=customXml/itemProps3.xml><?xml version="1.0" encoding="utf-8"?>
<ds:datastoreItem xmlns:ds="http://schemas.openxmlformats.org/officeDocument/2006/customXml" ds:itemID="{50B191D7-5DCA-4754-89B7-020E831A9DB9}"/>
</file>

<file path=docProps/app.xml><?xml version="1.0" encoding="utf-8"?>
<Properties xmlns="http://schemas.openxmlformats.org/officeDocument/2006/extended-properties" xmlns:vt="http://schemas.openxmlformats.org/officeDocument/2006/docPropsVTypes">
  <Template>Normal</Template>
  <TotalTime>556</TotalTime>
  <Pages>23</Pages>
  <Words>7379</Words>
  <Characters>40586</Characters>
  <Application>Microsoft Office Word</Application>
  <DocSecurity>0</DocSecurity>
  <Lines>338</Lines>
  <Paragraphs>95</Paragraphs>
  <ScaleCrop>false</ScaleCrop>
  <Company/>
  <LinksUpToDate>false</LinksUpToDate>
  <CharactersWithSpaces>47870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107</cp:revision>
  <dcterms:created xsi:type="dcterms:W3CDTF">2026-09-21T20:05:00Z</dcterms:created>
  <dcterms:modified xsi:type="dcterms:W3CDTF">2026-10-14T17:21:00Z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