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139B9" w14:textId="4AF40690" w:rsidR="00DF2A21" w:rsidRPr="00DF2A21" w:rsidRDefault="00DF2A21" w:rsidP="00DF2A21">
      <w:pPr>
        <w:spacing w:after="0"/>
        <w:jc w:val="both"/>
        <w:rPr>
          <w:rFonts w:ascii="Verdana" w:eastAsia="Verdana" w:hAnsi="Verdana" w:cs="Verdana"/>
        </w:rPr>
      </w:pPr>
      <w:bookmarkStart w:id="0" w:name="_Hlk143780582"/>
      <w:r w:rsidRPr="00DF2A21">
        <w:rPr>
          <w:rFonts w:ascii="Verdana" w:eastAsia="Aptos" w:hAnsi="Verdana" w:cs="Times New Roman"/>
          <w:b/>
          <w:bCs/>
          <w:lang w:val="es-ES_tradnl"/>
        </w:rPr>
        <w:t xml:space="preserve">DOCUMENTOS TIPO DE INFRAESTRUCTURA DE TRANSPORTE – Ponderación de la propuesta económica – Reglas – TRM </w:t>
      </w:r>
    </w:p>
    <w:p w14:paraId="1D401DCA" w14:textId="77777777" w:rsidR="00DF2A21" w:rsidRPr="00DF2A21" w:rsidRDefault="00DF2A21" w:rsidP="00DF2A21">
      <w:pPr>
        <w:spacing w:after="0" w:line="276" w:lineRule="auto"/>
        <w:jc w:val="both"/>
        <w:rPr>
          <w:rFonts w:ascii="Verdana" w:eastAsia="Aptos" w:hAnsi="Verdana" w:cs="Times New Roman"/>
          <w:lang w:val="es-ES_tradnl"/>
        </w:rPr>
      </w:pPr>
    </w:p>
    <w:p w14:paraId="3FC38EF9" w14:textId="6DE8D876" w:rsidR="00DF2A21" w:rsidRPr="00631135" w:rsidRDefault="00923275" w:rsidP="00631135">
      <w:pPr>
        <w:tabs>
          <w:tab w:val="left" w:pos="-142"/>
        </w:tabs>
        <w:autoSpaceDE w:val="0"/>
        <w:autoSpaceDN w:val="0"/>
        <w:adjustRightInd w:val="0"/>
        <w:snapToGrid w:val="0"/>
        <w:spacing w:after="0" w:line="240" w:lineRule="auto"/>
        <w:jc w:val="both"/>
        <w:outlineLvl w:val="2"/>
        <w:rPr>
          <w:rFonts w:ascii="Verdana" w:eastAsia="Calibri" w:hAnsi="Verdana" w:cs="Arial"/>
          <w:sz w:val="20"/>
          <w:szCs w:val="20"/>
          <w:lang w:val="x-none" w:eastAsia="es-ES"/>
        </w:rPr>
      </w:pPr>
      <w:r w:rsidRPr="00631135">
        <w:rPr>
          <w:rFonts w:ascii="Verdana" w:eastAsia="Calibri" w:hAnsi="Verdana" w:cs="Arial"/>
          <w:sz w:val="20"/>
          <w:szCs w:val="20"/>
        </w:rPr>
        <w:t xml:space="preserve">El numeral </w:t>
      </w:r>
      <w:r w:rsidRPr="00631135">
        <w:rPr>
          <w:rFonts w:ascii="Verdana" w:eastAsia="Calibri" w:hAnsi="Verdana" w:cs="Arial"/>
          <w:sz w:val="20"/>
          <w:szCs w:val="20"/>
          <w:lang w:eastAsia="es-ES"/>
        </w:rPr>
        <w:t>4.1.4. “</w:t>
      </w:r>
      <w:r w:rsidRPr="00631135">
        <w:rPr>
          <w:rFonts w:ascii="Verdana" w:eastAsia="Arial" w:hAnsi="Verdana" w:cs="Arial"/>
          <w:sz w:val="20"/>
          <w:szCs w:val="20"/>
          <w:lang w:eastAsia="es-ES"/>
        </w:rPr>
        <w:t xml:space="preserve">Determinación del método para la ponderación de la propuesta económica”, contenido en el documento base de los documentos tipo de licitación de obra pública de infraestructura de transporte –versión 4–, contiene </w:t>
      </w:r>
      <w:r w:rsidRPr="00631135">
        <w:rPr>
          <w:rFonts w:ascii="Verdana" w:eastAsia="Calibri" w:hAnsi="Verdana" w:cs="Arial"/>
          <w:sz w:val="20"/>
          <w:szCs w:val="20"/>
          <w:lang w:val="x-none" w:eastAsia="es-ES"/>
        </w:rPr>
        <w:t>cuatro</w:t>
      </w:r>
      <w:r w:rsidRPr="00631135">
        <w:rPr>
          <w:rFonts w:ascii="Verdana" w:eastAsia="Calibri" w:hAnsi="Verdana" w:cs="Arial"/>
          <w:sz w:val="20"/>
          <w:szCs w:val="20"/>
          <w:lang w:val="es-MX" w:eastAsia="es-ES"/>
        </w:rPr>
        <w:t xml:space="preserve"> (4)</w:t>
      </w:r>
      <w:r w:rsidRPr="00631135">
        <w:rPr>
          <w:rFonts w:ascii="Verdana" w:eastAsia="Calibri" w:hAnsi="Verdana" w:cs="Arial"/>
          <w:sz w:val="20"/>
          <w:szCs w:val="20"/>
          <w:lang w:val="x-none" w:eastAsia="es-ES"/>
        </w:rPr>
        <w:t xml:space="preserve"> alternativas para escoger el método de ponderación de la</w:t>
      </w:r>
      <w:r w:rsidRPr="00631135">
        <w:rPr>
          <w:rFonts w:ascii="Verdana" w:eastAsia="Calibri" w:hAnsi="Verdana" w:cs="Arial"/>
          <w:sz w:val="20"/>
          <w:szCs w:val="20"/>
          <w:lang w:eastAsia="es-ES"/>
        </w:rPr>
        <w:t>s</w:t>
      </w:r>
      <w:r w:rsidRPr="00631135">
        <w:rPr>
          <w:rFonts w:ascii="Verdana" w:eastAsia="Calibri" w:hAnsi="Verdana" w:cs="Arial"/>
          <w:sz w:val="20"/>
          <w:szCs w:val="20"/>
          <w:lang w:val="x-none" w:eastAsia="es-ES"/>
        </w:rPr>
        <w:t xml:space="preserve"> propuesta</w:t>
      </w:r>
      <w:r w:rsidRPr="00631135">
        <w:rPr>
          <w:rFonts w:ascii="Verdana" w:eastAsia="Calibri" w:hAnsi="Verdana" w:cs="Arial"/>
          <w:sz w:val="20"/>
          <w:szCs w:val="20"/>
          <w:lang w:eastAsia="es-ES"/>
        </w:rPr>
        <w:t>s</w:t>
      </w:r>
      <w:r w:rsidRPr="00631135">
        <w:rPr>
          <w:rFonts w:ascii="Verdana" w:eastAsia="Calibri" w:hAnsi="Verdana" w:cs="Arial"/>
          <w:sz w:val="20"/>
          <w:szCs w:val="20"/>
          <w:lang w:val="x-none" w:eastAsia="es-ES"/>
        </w:rPr>
        <w:t xml:space="preserve"> económica</w:t>
      </w:r>
      <w:r w:rsidRPr="00631135">
        <w:rPr>
          <w:rFonts w:ascii="Verdana" w:eastAsia="Calibri" w:hAnsi="Verdana" w:cs="Arial"/>
          <w:sz w:val="20"/>
          <w:szCs w:val="20"/>
          <w:lang w:eastAsia="es-ES"/>
        </w:rPr>
        <w:t>s</w:t>
      </w:r>
      <w:r w:rsidRPr="00631135">
        <w:rPr>
          <w:rFonts w:ascii="Verdana" w:eastAsia="Calibri" w:hAnsi="Verdana" w:cs="Arial"/>
          <w:sz w:val="20"/>
          <w:szCs w:val="20"/>
          <w:lang w:val="x-none" w:eastAsia="es-ES"/>
        </w:rPr>
        <w:t>, a saber: i) mediana con valor absoluto; ii) media geométrica; iii) media aritmética baja, y iv) menor valor.</w:t>
      </w:r>
      <w:r w:rsidRPr="00631135">
        <w:rPr>
          <w:rFonts w:ascii="Verdana" w:eastAsia="Calibri" w:hAnsi="Verdana" w:cs="Arial"/>
          <w:sz w:val="20"/>
          <w:szCs w:val="20"/>
          <w:lang w:eastAsia="es-ES"/>
        </w:rPr>
        <w:t xml:space="preserve"> A partir de estas alternativas</w:t>
      </w:r>
      <w:r w:rsidRPr="00631135">
        <w:rPr>
          <w:rFonts w:ascii="Verdana" w:eastAsia="Calibri" w:hAnsi="Verdana" w:cs="Arial"/>
          <w:sz w:val="20"/>
          <w:szCs w:val="20"/>
          <w:lang w:val="x-none" w:eastAsia="es-ES"/>
        </w:rPr>
        <w:t>, la entidad</w:t>
      </w:r>
      <w:r w:rsidRPr="00631135">
        <w:rPr>
          <w:rFonts w:ascii="Verdana" w:eastAsia="Calibri" w:hAnsi="Verdana" w:cs="Arial"/>
          <w:sz w:val="20"/>
          <w:szCs w:val="20"/>
          <w:lang w:val="es-ES" w:eastAsia="es-ES"/>
        </w:rPr>
        <w:t>,</w:t>
      </w:r>
      <w:r w:rsidRPr="00631135">
        <w:rPr>
          <w:rFonts w:ascii="Verdana" w:eastAsia="Calibri" w:hAnsi="Verdana" w:cs="Arial"/>
          <w:sz w:val="20"/>
          <w:szCs w:val="20"/>
          <w:lang w:val="x-none" w:eastAsia="es-ES"/>
        </w:rPr>
        <w:t xml:space="preserve"> para establecer el método de ponderación</w:t>
      </w:r>
      <w:r w:rsidRPr="00631135">
        <w:rPr>
          <w:rFonts w:ascii="Verdana" w:eastAsia="Calibri" w:hAnsi="Verdana" w:cs="Arial"/>
          <w:sz w:val="20"/>
          <w:szCs w:val="20"/>
          <w:lang w:val="es-ES" w:eastAsia="es-ES"/>
        </w:rPr>
        <w:t>,</w:t>
      </w:r>
      <w:r w:rsidRPr="00631135">
        <w:rPr>
          <w:rFonts w:ascii="Verdana" w:eastAsia="Calibri" w:hAnsi="Verdana" w:cs="Arial"/>
          <w:sz w:val="20"/>
          <w:szCs w:val="20"/>
          <w:lang w:val="x-none" w:eastAsia="es-ES"/>
        </w:rPr>
        <w:t xml:space="preserve"> tomará los centavos de la Tasa de Cambio Representativa del Mercado (TRM), certificada por la Superintendencia Financiera de Colombia</w:t>
      </w:r>
      <w:r w:rsidRPr="00631135">
        <w:rPr>
          <w:rFonts w:ascii="Verdana" w:eastAsia="Calibri" w:hAnsi="Verdana" w:cs="Arial"/>
          <w:color w:val="3A3A3A"/>
          <w:sz w:val="20"/>
          <w:szCs w:val="20"/>
          <w:lang w:val="x-none" w:eastAsia="es-ES"/>
        </w:rPr>
        <w:t>.</w:t>
      </w:r>
      <w:r w:rsidRPr="00631135">
        <w:rPr>
          <w:rFonts w:ascii="Verdana" w:eastAsia="Calibri" w:hAnsi="Verdana" w:cs="Arial"/>
          <w:sz w:val="20"/>
          <w:szCs w:val="20"/>
          <w:lang w:val="x-none" w:eastAsia="es-ES"/>
        </w:rPr>
        <w:t xml:space="preserve"> Al respecto, el documento base señala lo siguiente:</w:t>
      </w:r>
    </w:p>
    <w:p w14:paraId="4C50AFF6" w14:textId="77777777" w:rsidR="00DF2A21" w:rsidRPr="00631135" w:rsidRDefault="00DF2A21" w:rsidP="00631135">
      <w:pPr>
        <w:tabs>
          <w:tab w:val="left" w:pos="-142"/>
        </w:tabs>
        <w:autoSpaceDE w:val="0"/>
        <w:autoSpaceDN w:val="0"/>
        <w:adjustRightInd w:val="0"/>
        <w:snapToGrid w:val="0"/>
        <w:spacing w:after="0" w:line="240" w:lineRule="auto"/>
        <w:jc w:val="both"/>
        <w:outlineLvl w:val="2"/>
        <w:rPr>
          <w:rFonts w:ascii="Verdana" w:eastAsia="Calibri" w:hAnsi="Verdana" w:cs="Arial"/>
          <w:sz w:val="20"/>
          <w:szCs w:val="20"/>
          <w:lang w:val="x-none" w:eastAsia="es-ES"/>
        </w:rPr>
      </w:pPr>
      <w:r w:rsidRPr="00631135">
        <w:rPr>
          <w:rFonts w:ascii="Verdana" w:eastAsia="Calibri" w:hAnsi="Verdana" w:cs="Arial"/>
          <w:sz w:val="20"/>
          <w:szCs w:val="20"/>
          <w:lang w:val="x-none" w:eastAsia="es-ES"/>
        </w:rPr>
        <w:t>[…]</w:t>
      </w:r>
    </w:p>
    <w:p w14:paraId="4E7B5179" w14:textId="6EA3B307" w:rsidR="00DF2A21" w:rsidRPr="00631135" w:rsidRDefault="00923275" w:rsidP="00631135">
      <w:pPr>
        <w:snapToGrid w:val="0"/>
        <w:spacing w:after="0" w:line="240" w:lineRule="auto"/>
        <w:jc w:val="both"/>
        <w:rPr>
          <w:rFonts w:ascii="Verdana" w:eastAsia="Calibri" w:hAnsi="Verdana" w:cs="Arial"/>
          <w:color w:val="000000"/>
          <w:sz w:val="20"/>
          <w:szCs w:val="20"/>
          <w:lang w:val="es-ES_tradnl"/>
        </w:rPr>
      </w:pPr>
      <w:r w:rsidRPr="00631135">
        <w:rPr>
          <w:rFonts w:ascii="Verdana" w:eastAsia="Calibri" w:hAnsi="Verdana" w:cs="Arial"/>
          <w:color w:val="000000"/>
          <w:sz w:val="20"/>
          <w:szCs w:val="20"/>
          <w:lang w:val="es-ES_tradnl"/>
        </w:rPr>
        <w:t>La Tasa de Cambio Representativa del Mercado –TRM– “</w:t>
      </w:r>
      <w:r w:rsidRPr="00631135">
        <w:rPr>
          <w:rFonts w:ascii="Verdana" w:eastAsia="Calibri" w:hAnsi="Verdana" w:cs="Arial"/>
          <w:sz w:val="20"/>
          <w:szCs w:val="20"/>
          <w:lang w:val="es-ES"/>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631135">
        <w:rPr>
          <w:rFonts w:ascii="Verdana" w:eastAsia="Calibri" w:hAnsi="Verdana" w:cs="Arial"/>
          <w:color w:val="000000"/>
          <w:sz w:val="20"/>
          <w:szCs w:val="20"/>
          <w:lang w:val="es-ES_tradnl"/>
        </w:rPr>
        <w:t xml:space="preserve">”,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desprende que la TRM es un valor que se origina en la fluctuación del mercado. </w:t>
      </w:r>
    </w:p>
    <w:p w14:paraId="6BF17861" w14:textId="77777777" w:rsidR="00DF2A21" w:rsidRPr="00631135" w:rsidRDefault="00DF2A21" w:rsidP="00631135">
      <w:pPr>
        <w:adjustRightInd w:val="0"/>
        <w:snapToGrid w:val="0"/>
        <w:spacing w:after="0" w:line="240" w:lineRule="auto"/>
        <w:jc w:val="both"/>
        <w:rPr>
          <w:rFonts w:ascii="Verdana" w:eastAsia="Calibri" w:hAnsi="Verdana" w:cs="Arial"/>
          <w:color w:val="000000"/>
          <w:sz w:val="20"/>
          <w:szCs w:val="20"/>
          <w:lang w:val="es-ES_tradnl"/>
        </w:rPr>
      </w:pPr>
      <w:r w:rsidRPr="00631135">
        <w:rPr>
          <w:rFonts w:ascii="Verdana" w:eastAsia="Calibri" w:hAnsi="Verdana" w:cs="Arial"/>
          <w:color w:val="000000"/>
          <w:sz w:val="20"/>
          <w:szCs w:val="20"/>
          <w:lang w:val="es-ES_tradnl"/>
        </w:rPr>
        <w:t>[…]</w:t>
      </w:r>
    </w:p>
    <w:p w14:paraId="44E1A5F5" w14:textId="77777777" w:rsidR="00631135" w:rsidRPr="00631135" w:rsidRDefault="00631135" w:rsidP="00631135">
      <w:pPr>
        <w:snapToGrid w:val="0"/>
        <w:spacing w:after="0" w:line="240" w:lineRule="auto"/>
        <w:jc w:val="both"/>
        <w:rPr>
          <w:rFonts w:ascii="Verdana" w:eastAsia="Aptos" w:hAnsi="Verdana" w:cs="Times New Roman"/>
          <w:kern w:val="2"/>
          <w:sz w:val="20"/>
          <w:szCs w:val="20"/>
          <w:lang w:val="es-MX"/>
          <w14:ligatures w14:val="standardContextual"/>
        </w:rPr>
      </w:pPr>
      <w:r w:rsidRPr="00631135">
        <w:rPr>
          <w:rFonts w:ascii="Verdana" w:eastAsia="Aptos" w:hAnsi="Verdana" w:cs="Times New Roman"/>
          <w:kern w:val="2"/>
          <w:sz w:val="20"/>
          <w:szCs w:val="20"/>
          <w:lang w:val="es-MX"/>
          <w14:ligatures w14:val="standardContextual"/>
        </w:rPr>
        <w:t>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16287A75" w14:textId="77777777" w:rsidR="00DF2A21" w:rsidRPr="00DF2A21" w:rsidRDefault="00DF2A21" w:rsidP="00DF2A21">
      <w:pPr>
        <w:snapToGrid w:val="0"/>
        <w:spacing w:after="0" w:line="240" w:lineRule="auto"/>
        <w:jc w:val="both"/>
        <w:rPr>
          <w:rFonts w:ascii="Verdana" w:eastAsia="Aptos" w:hAnsi="Verdana" w:cs="Times New Roman"/>
          <w:kern w:val="2"/>
          <w:lang w:val="es-MX"/>
          <w14:ligatures w14:val="standardContextual"/>
        </w:rPr>
      </w:pPr>
    </w:p>
    <w:p w14:paraId="29EE9181" w14:textId="77777777" w:rsidR="00DF2A21" w:rsidRPr="00DF2A21" w:rsidRDefault="00DF2A21" w:rsidP="00DF2A21">
      <w:pPr>
        <w:spacing w:after="0" w:line="276" w:lineRule="auto"/>
        <w:jc w:val="both"/>
        <w:rPr>
          <w:rFonts w:ascii="Verdana" w:eastAsia="Aptos" w:hAnsi="Verdana" w:cs="Times New Roman"/>
          <w:b/>
          <w:bCs/>
          <w:lang w:val="es-ES_tradnl"/>
        </w:rPr>
      </w:pPr>
      <w:r w:rsidRPr="00DF2A21">
        <w:rPr>
          <w:rFonts w:ascii="Verdana" w:eastAsia="Aptos" w:hAnsi="Verdana" w:cs="Times New Roman"/>
          <w:b/>
          <w:bCs/>
          <w:lang w:val="es-ES_tradnl"/>
        </w:rPr>
        <w:t>DOCUMENTOS TIPO DE INFRAESTRUCTURA DE TRANSPORTE – Ponderación de la oferta – Procedimiento para la definición</w:t>
      </w:r>
    </w:p>
    <w:p w14:paraId="4050C1C7" w14:textId="77777777" w:rsidR="00DF2A21" w:rsidRPr="00DF2A21" w:rsidRDefault="00DF2A21" w:rsidP="00DF2A21">
      <w:pPr>
        <w:snapToGrid w:val="0"/>
        <w:spacing w:after="0" w:line="240" w:lineRule="auto"/>
        <w:jc w:val="both"/>
        <w:rPr>
          <w:rFonts w:ascii="Verdana" w:eastAsia="Aptos" w:hAnsi="Verdana" w:cs="Times New Roman"/>
          <w:kern w:val="2"/>
          <w:sz w:val="20"/>
          <w:szCs w:val="20"/>
          <w:lang w:val="es-MX"/>
          <w14:ligatures w14:val="standardContextual"/>
        </w:rPr>
      </w:pPr>
    </w:p>
    <w:p w14:paraId="34638A58" w14:textId="77777777" w:rsidR="00631135" w:rsidRDefault="00631135" w:rsidP="00631135">
      <w:pPr>
        <w:snapToGrid w:val="0"/>
        <w:spacing w:after="0" w:line="240" w:lineRule="auto"/>
        <w:jc w:val="both"/>
        <w:textAlignment w:val="baseline"/>
        <w:rPr>
          <w:rFonts w:ascii="Verdana" w:eastAsia="Times New Roman" w:hAnsi="Verdana" w:cs="Arial"/>
          <w:sz w:val="20"/>
          <w:szCs w:val="20"/>
          <w:lang w:val="es-ES" w:eastAsia="es-CO"/>
        </w:rPr>
      </w:pPr>
      <w:r w:rsidRPr="00631135">
        <w:rPr>
          <w:rFonts w:ascii="Verdana" w:eastAsia="Times New Roman" w:hAnsi="Verdana" w:cs="Arial"/>
          <w:sz w:val="20"/>
          <w:szCs w:val="20"/>
          <w:lang w:val="es-ES" w:eastAsia="es-CO"/>
        </w:rPr>
        <w:t>Agotado el procedimiento anterior, la entidad definirá el método de ponderación de las propuestas de acuerdo con las siguientes reglas:</w:t>
      </w:r>
    </w:p>
    <w:p w14:paraId="5AFDEAFB" w14:textId="77777777" w:rsidR="00631135" w:rsidRPr="00631135" w:rsidRDefault="00631135" w:rsidP="00631135">
      <w:pPr>
        <w:snapToGrid w:val="0"/>
        <w:spacing w:after="0" w:line="240" w:lineRule="auto"/>
        <w:jc w:val="both"/>
        <w:textAlignment w:val="baseline"/>
        <w:rPr>
          <w:rFonts w:ascii="Verdana" w:eastAsia="Times New Roman" w:hAnsi="Verdana" w:cs="Arial"/>
          <w:sz w:val="20"/>
          <w:szCs w:val="20"/>
          <w:lang w:val="es-ES" w:eastAsia="es-CO"/>
        </w:rPr>
      </w:pPr>
    </w:p>
    <w:p w14:paraId="69BF31F3" w14:textId="77777777" w:rsidR="00631135" w:rsidRDefault="00631135" w:rsidP="00631135">
      <w:pPr>
        <w:snapToGrid w:val="0"/>
        <w:spacing w:after="0" w:line="240" w:lineRule="auto"/>
        <w:jc w:val="both"/>
        <w:textAlignment w:val="baseline"/>
        <w:rPr>
          <w:rFonts w:ascii="Verdana" w:eastAsia="Calibri" w:hAnsi="Verdana" w:cs="Times New Roman"/>
          <w:sz w:val="20"/>
          <w:szCs w:val="20"/>
          <w:lang w:val="es-ES"/>
        </w:rPr>
      </w:pPr>
      <w:r w:rsidRPr="00631135">
        <w:rPr>
          <w:rFonts w:ascii="Verdana" w:eastAsia="Calibri" w:hAnsi="Verdana" w:cs="Times New Roman"/>
          <w:sz w:val="20"/>
          <w:szCs w:val="20"/>
          <w:lang w:val="es-ES"/>
        </w:rPr>
        <w:t>i) Deberá pronunciarse sobre las propuestas que han sido rechazadas y las que se encuentran válidas.</w:t>
      </w:r>
    </w:p>
    <w:p w14:paraId="779BC7CE" w14:textId="77777777" w:rsidR="00631135" w:rsidRPr="00631135" w:rsidRDefault="00631135" w:rsidP="00631135">
      <w:pPr>
        <w:snapToGrid w:val="0"/>
        <w:spacing w:after="0" w:line="240" w:lineRule="auto"/>
        <w:jc w:val="both"/>
        <w:textAlignment w:val="baseline"/>
        <w:rPr>
          <w:rFonts w:ascii="Verdana" w:eastAsia="Times New Roman" w:hAnsi="Verdana" w:cs="Arial"/>
          <w:sz w:val="20"/>
          <w:szCs w:val="20"/>
          <w:lang w:val="es-ES" w:eastAsia="es-CO"/>
        </w:rPr>
      </w:pPr>
    </w:p>
    <w:p w14:paraId="66EC2B44" w14:textId="77777777" w:rsidR="00631135" w:rsidRDefault="00631135" w:rsidP="00631135">
      <w:pPr>
        <w:snapToGrid w:val="0"/>
        <w:spacing w:after="0" w:line="240" w:lineRule="auto"/>
        <w:jc w:val="both"/>
        <w:textAlignment w:val="baseline"/>
        <w:rPr>
          <w:rFonts w:ascii="Verdana" w:eastAsia="Calibri" w:hAnsi="Verdana" w:cs="Times New Roman"/>
          <w:sz w:val="20"/>
          <w:szCs w:val="20"/>
          <w:lang w:val="es-ES"/>
        </w:rPr>
      </w:pPr>
      <w:proofErr w:type="spellStart"/>
      <w:r w:rsidRPr="00631135">
        <w:rPr>
          <w:rFonts w:ascii="Verdana" w:eastAsia="Calibri" w:hAnsi="Verdana" w:cs="Times New Roman"/>
          <w:sz w:val="20"/>
          <w:szCs w:val="20"/>
          <w:lang w:val="es-ES"/>
        </w:rPr>
        <w:t>ii</w:t>
      </w:r>
      <w:proofErr w:type="spellEnd"/>
      <w:r w:rsidRPr="00631135">
        <w:rPr>
          <w:rFonts w:ascii="Verdana" w:eastAsia="Calibri" w:hAnsi="Verdana" w:cs="Times New Roman"/>
          <w:sz w:val="20"/>
          <w:szCs w:val="20"/>
          <w:lang w:val="es-ES"/>
        </w:rPr>
        <w:t>) Si este pronunciamiento se realiza hasta las 3:00 pm, la entidad tomará la TRM que rija para el día hábil siguiente.</w:t>
      </w:r>
    </w:p>
    <w:p w14:paraId="3FD2D61E" w14:textId="77777777" w:rsidR="00631135" w:rsidRPr="00631135" w:rsidRDefault="00631135" w:rsidP="00631135">
      <w:pPr>
        <w:snapToGrid w:val="0"/>
        <w:spacing w:after="0" w:line="240" w:lineRule="auto"/>
        <w:jc w:val="both"/>
        <w:textAlignment w:val="baseline"/>
        <w:rPr>
          <w:rFonts w:ascii="Verdana" w:eastAsia="Times New Roman" w:hAnsi="Verdana" w:cs="Arial"/>
          <w:sz w:val="20"/>
          <w:szCs w:val="20"/>
          <w:lang w:val="es-ES" w:eastAsia="es-CO"/>
        </w:rPr>
      </w:pPr>
    </w:p>
    <w:p w14:paraId="0D44B070" w14:textId="77777777" w:rsidR="00631135" w:rsidRDefault="00631135" w:rsidP="00631135">
      <w:pPr>
        <w:snapToGrid w:val="0"/>
        <w:spacing w:after="0" w:line="240" w:lineRule="auto"/>
        <w:jc w:val="both"/>
        <w:rPr>
          <w:rFonts w:ascii="Verdana" w:eastAsia="Calibri" w:hAnsi="Verdana" w:cs="Times New Roman"/>
          <w:sz w:val="20"/>
          <w:szCs w:val="20"/>
          <w:lang w:val="es-ES"/>
        </w:rPr>
      </w:pPr>
      <w:proofErr w:type="spellStart"/>
      <w:r w:rsidRPr="00631135">
        <w:rPr>
          <w:rFonts w:ascii="Verdana" w:eastAsia="Calibri" w:hAnsi="Verdana" w:cs="Times New Roman"/>
          <w:sz w:val="20"/>
          <w:szCs w:val="20"/>
          <w:lang w:val="es-ES"/>
        </w:rPr>
        <w:t>iii</w:t>
      </w:r>
      <w:proofErr w:type="spellEnd"/>
      <w:r w:rsidRPr="00631135">
        <w:rPr>
          <w:rFonts w:ascii="Verdana" w:eastAsia="Calibri" w:hAnsi="Verdana" w:cs="Times New Roman"/>
          <w:sz w:val="20"/>
          <w:szCs w:val="20"/>
          <w:lang w:val="es-ES"/>
        </w:rPr>
        <w:t>) Si el pronunciamiento se da después de las 3:00 pm, la entidad tomará la TRM que rija para el segundo día hábil siguiente.</w:t>
      </w:r>
    </w:p>
    <w:p w14:paraId="7F2CDA73" w14:textId="77777777" w:rsidR="00631135" w:rsidRPr="00631135" w:rsidRDefault="00631135" w:rsidP="00631135">
      <w:pPr>
        <w:snapToGrid w:val="0"/>
        <w:spacing w:after="0" w:line="240" w:lineRule="auto"/>
        <w:jc w:val="both"/>
        <w:rPr>
          <w:rFonts w:ascii="Verdana" w:eastAsia="Calibri" w:hAnsi="Verdana" w:cs="Times New Roman"/>
          <w:sz w:val="20"/>
          <w:szCs w:val="20"/>
          <w:lang w:val="es-MX"/>
        </w:rPr>
      </w:pPr>
    </w:p>
    <w:p w14:paraId="1F317F46" w14:textId="77777777" w:rsidR="00631135" w:rsidRPr="00631135" w:rsidRDefault="00631135" w:rsidP="00631135">
      <w:pPr>
        <w:snapToGrid w:val="0"/>
        <w:spacing w:after="0" w:line="240" w:lineRule="auto"/>
        <w:jc w:val="both"/>
        <w:rPr>
          <w:rFonts w:ascii="Verdana" w:eastAsia="Calibri" w:hAnsi="Verdana" w:cs="Arial"/>
          <w:sz w:val="20"/>
          <w:szCs w:val="20"/>
          <w:lang w:val="es-ES"/>
        </w:rPr>
      </w:pPr>
      <w:r w:rsidRPr="00631135">
        <w:rPr>
          <w:rFonts w:ascii="Verdana" w:eastAsia="Calibri" w:hAnsi="Verdana" w:cs="Arial"/>
          <w:sz w:val="20"/>
          <w:szCs w:val="20"/>
          <w:lang w:val="es-ES"/>
        </w:rPr>
        <w:lastRenderedPageBreak/>
        <w:t xml:space="preserve">En este sentido, el numeral 4.1.4 al regular el mecanismo de escogencia del método de ponderación, dispone las reglas que debe seguir la entidad para determinarlo. Esto inicia con el pronunciamiento de la entidad sobre las propuestas u ofertas económicas rechazadas y las válidas. </w:t>
      </w:r>
    </w:p>
    <w:p w14:paraId="457964B4" w14:textId="77777777" w:rsidR="00DF2A21" w:rsidRPr="00DF2A21" w:rsidRDefault="00DF2A21" w:rsidP="00DF2A21">
      <w:pPr>
        <w:snapToGrid w:val="0"/>
        <w:spacing w:after="0" w:line="276" w:lineRule="auto"/>
        <w:jc w:val="both"/>
        <w:textAlignment w:val="baseline"/>
        <w:rPr>
          <w:rFonts w:ascii="Verdana" w:eastAsia="Times New Roman" w:hAnsi="Verdana" w:cs="Arial"/>
          <w:lang w:val="es-ES" w:eastAsia="es-CO"/>
        </w:rPr>
      </w:pPr>
    </w:p>
    <w:p w14:paraId="5D1922A8" w14:textId="77777777" w:rsidR="00DF2A21" w:rsidRPr="00DF2A21" w:rsidRDefault="00DF2A21" w:rsidP="00631135">
      <w:pPr>
        <w:snapToGrid w:val="0"/>
        <w:spacing w:after="0" w:line="276" w:lineRule="auto"/>
        <w:jc w:val="both"/>
        <w:textAlignment w:val="baseline"/>
        <w:rPr>
          <w:rFonts w:ascii="Verdana" w:eastAsia="Times New Roman" w:hAnsi="Verdana" w:cs="Arial"/>
          <w:b/>
          <w:bCs/>
          <w:lang w:val="es-ES" w:eastAsia="es-CO"/>
        </w:rPr>
      </w:pPr>
      <w:r w:rsidRPr="00DF2A21">
        <w:rPr>
          <w:rFonts w:ascii="Verdana" w:eastAsia="Times New Roman" w:hAnsi="Verdana" w:cs="Arial"/>
          <w:b/>
          <w:bCs/>
          <w:lang w:val="es-ES" w:eastAsia="es-CO"/>
        </w:rPr>
        <w:t>DOCUMENTOS TIPO – Ponderación de la propuesta económica – TRM vigente – Suspensión de la audiencia</w:t>
      </w:r>
    </w:p>
    <w:p w14:paraId="3369F75D" w14:textId="77777777" w:rsidR="00631135" w:rsidRDefault="00631135" w:rsidP="00631135">
      <w:pPr>
        <w:snapToGrid w:val="0"/>
        <w:spacing w:after="0" w:line="276" w:lineRule="auto"/>
        <w:jc w:val="both"/>
        <w:rPr>
          <w:rFonts w:ascii="Verdana" w:eastAsia="Times New Roman" w:hAnsi="Verdana" w:cs="Arial"/>
          <w:lang w:val="es-ES" w:eastAsia="es-CO"/>
        </w:rPr>
      </w:pPr>
    </w:p>
    <w:p w14:paraId="7C024F26" w14:textId="0749C07C" w:rsidR="00631135" w:rsidRDefault="00DF2A21" w:rsidP="00631135">
      <w:pPr>
        <w:snapToGrid w:val="0"/>
        <w:spacing w:after="0" w:line="240" w:lineRule="auto"/>
        <w:jc w:val="both"/>
        <w:rPr>
          <w:rFonts w:ascii="Verdana" w:eastAsia="Calibri" w:hAnsi="Verdana" w:cs="Arial"/>
          <w:sz w:val="20"/>
          <w:szCs w:val="20"/>
          <w:lang w:val="es-ES"/>
        </w:rPr>
      </w:pPr>
      <w:r w:rsidRPr="00631135">
        <w:rPr>
          <w:rFonts w:ascii="Verdana" w:eastAsia="Calibri" w:hAnsi="Verdana" w:cs="Arial"/>
          <w:sz w:val="20"/>
          <w:szCs w:val="20"/>
          <w:lang w:val="es-ES"/>
        </w:rPr>
        <w:t xml:space="preserve">[…] </w:t>
      </w:r>
      <w:r w:rsidR="00631135" w:rsidRPr="00631135">
        <w:rPr>
          <w:rFonts w:ascii="Verdana" w:eastAsia="Calibri" w:hAnsi="Verdana" w:cs="Arial"/>
          <w:sz w:val="20"/>
          <w:szCs w:val="20"/>
          <w:lang w:val="es-ES"/>
        </w:rPr>
        <w:t>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2A4802AA" w14:textId="77777777" w:rsidR="00631135" w:rsidRPr="00631135" w:rsidRDefault="00631135" w:rsidP="00631135">
      <w:pPr>
        <w:snapToGrid w:val="0"/>
        <w:spacing w:after="0" w:line="240" w:lineRule="auto"/>
        <w:jc w:val="both"/>
        <w:rPr>
          <w:rFonts w:ascii="Verdana" w:eastAsia="Calibri" w:hAnsi="Verdana" w:cs="Arial"/>
          <w:sz w:val="20"/>
          <w:szCs w:val="20"/>
          <w:lang w:val="es-ES"/>
        </w:rPr>
      </w:pPr>
    </w:p>
    <w:p w14:paraId="7FA36F91" w14:textId="77777777" w:rsidR="00631135" w:rsidRDefault="00631135" w:rsidP="00631135">
      <w:pPr>
        <w:snapToGrid w:val="0"/>
        <w:spacing w:after="0" w:line="240" w:lineRule="auto"/>
        <w:jc w:val="both"/>
        <w:rPr>
          <w:rFonts w:ascii="Verdana" w:eastAsia="Calibri" w:hAnsi="Verdana" w:cs="Arial"/>
          <w:sz w:val="20"/>
          <w:szCs w:val="20"/>
          <w:lang w:val="es-ES"/>
        </w:rPr>
      </w:pPr>
      <w:r w:rsidRPr="00631135">
        <w:rPr>
          <w:rFonts w:ascii="Verdana" w:eastAsia="Calibri" w:hAnsi="Verdana" w:cs="Arial"/>
          <w:sz w:val="20"/>
          <w:szCs w:val="20"/>
          <w:lang w:val="es-ES"/>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7F6E9A64" w14:textId="77777777" w:rsidR="00631135" w:rsidRPr="00631135" w:rsidRDefault="00631135" w:rsidP="00631135">
      <w:pPr>
        <w:snapToGrid w:val="0"/>
        <w:spacing w:after="0" w:line="240" w:lineRule="auto"/>
        <w:jc w:val="both"/>
        <w:rPr>
          <w:rFonts w:ascii="Verdana" w:eastAsia="Calibri" w:hAnsi="Verdana" w:cs="Arial"/>
          <w:sz w:val="20"/>
          <w:szCs w:val="20"/>
          <w:lang w:val="es-ES"/>
        </w:rPr>
      </w:pPr>
    </w:p>
    <w:p w14:paraId="3BFC1D2A" w14:textId="77777777" w:rsidR="00631135" w:rsidRPr="00631135" w:rsidRDefault="00631135" w:rsidP="00631135">
      <w:pPr>
        <w:snapToGrid w:val="0"/>
        <w:spacing w:after="0" w:line="240" w:lineRule="auto"/>
        <w:jc w:val="both"/>
        <w:textAlignment w:val="baseline"/>
        <w:rPr>
          <w:rFonts w:ascii="Verdana" w:eastAsia="Times New Roman" w:hAnsi="Verdana" w:cs="Arial"/>
          <w:sz w:val="20"/>
          <w:szCs w:val="20"/>
          <w:lang w:val="es-ES" w:eastAsia="es-CO"/>
        </w:rPr>
      </w:pPr>
      <w:r w:rsidRPr="00631135">
        <w:rPr>
          <w:rFonts w:ascii="Verdana" w:eastAsia="Times New Roman" w:hAnsi="Verdana" w:cs="Arial"/>
          <w:sz w:val="20"/>
          <w:szCs w:val="20"/>
          <w:lang w:val="es-ES"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44DD0396" w14:textId="51F7A81A" w:rsidR="00DF2A21" w:rsidRPr="00631135" w:rsidRDefault="00DF2A21" w:rsidP="00631135">
      <w:pPr>
        <w:snapToGrid w:val="0"/>
        <w:spacing w:after="0" w:line="240" w:lineRule="auto"/>
        <w:jc w:val="both"/>
        <w:rPr>
          <w:rFonts w:ascii="Verdana" w:eastAsia="Times New Roman" w:hAnsi="Verdana" w:cs="Arial"/>
          <w:sz w:val="20"/>
          <w:szCs w:val="20"/>
          <w:lang w:val="es-ES" w:eastAsia="es-CO"/>
        </w:rPr>
      </w:pPr>
      <w:r w:rsidRPr="00631135">
        <w:rPr>
          <w:rFonts w:ascii="Verdana" w:eastAsia="Times New Roman" w:hAnsi="Verdana" w:cs="Arial"/>
          <w:sz w:val="20"/>
          <w:szCs w:val="20"/>
          <w:lang w:val="es-ES" w:eastAsia="es-CO"/>
        </w:rPr>
        <w:t xml:space="preserve"> </w:t>
      </w:r>
    </w:p>
    <w:p w14:paraId="6DDF65EF" w14:textId="77777777" w:rsidR="00DF2A21" w:rsidRPr="00DF2A21" w:rsidRDefault="00DF2A21" w:rsidP="00DF2A21">
      <w:pPr>
        <w:snapToGrid w:val="0"/>
        <w:spacing w:after="0" w:line="240" w:lineRule="auto"/>
        <w:jc w:val="both"/>
        <w:textAlignment w:val="baseline"/>
        <w:rPr>
          <w:rFonts w:ascii="Verdana" w:eastAsia="Times New Roman" w:hAnsi="Verdana" w:cs="Arial"/>
          <w:sz w:val="20"/>
          <w:szCs w:val="20"/>
          <w:lang w:val="es-ES" w:eastAsia="es-CO"/>
        </w:rPr>
      </w:pPr>
    </w:p>
    <w:p w14:paraId="2E5676DD" w14:textId="77777777" w:rsidR="00DF2A21" w:rsidRPr="00DF2A21" w:rsidRDefault="00DF2A21" w:rsidP="00DF2A21">
      <w:pPr>
        <w:tabs>
          <w:tab w:val="left" w:pos="-142"/>
        </w:tabs>
        <w:autoSpaceDE w:val="0"/>
        <w:autoSpaceDN w:val="0"/>
        <w:adjustRightInd w:val="0"/>
        <w:spacing w:after="0" w:line="276" w:lineRule="auto"/>
        <w:ind w:firstLine="709"/>
        <w:jc w:val="both"/>
        <w:outlineLvl w:val="2"/>
        <w:rPr>
          <w:rFonts w:ascii="Verdana" w:eastAsia="Calibri" w:hAnsi="Verdana" w:cs="Arial"/>
          <w:lang w:val="x-none" w:eastAsia="es-ES"/>
        </w:rPr>
      </w:pPr>
    </w:p>
    <w:p w14:paraId="461ACBA2" w14:textId="77777777" w:rsidR="00DF2A21" w:rsidRPr="00DF2A21" w:rsidRDefault="00DF2A21" w:rsidP="00DF2A21">
      <w:pPr>
        <w:tabs>
          <w:tab w:val="left" w:pos="-142"/>
        </w:tabs>
        <w:autoSpaceDE w:val="0"/>
        <w:autoSpaceDN w:val="0"/>
        <w:adjustRightInd w:val="0"/>
        <w:spacing w:after="0" w:line="276" w:lineRule="auto"/>
        <w:ind w:firstLine="709"/>
        <w:jc w:val="both"/>
        <w:outlineLvl w:val="2"/>
        <w:rPr>
          <w:rFonts w:ascii="Verdana" w:eastAsia="Calibri" w:hAnsi="Verdana" w:cs="Arial"/>
          <w:lang w:val="x-none" w:eastAsia="es-ES"/>
        </w:rPr>
      </w:pPr>
    </w:p>
    <w:p w14:paraId="0D02ED68" w14:textId="77777777" w:rsidR="00DF2A21" w:rsidRPr="00DF2A21" w:rsidRDefault="00DF2A21" w:rsidP="00DF2A21">
      <w:pPr>
        <w:tabs>
          <w:tab w:val="left" w:pos="-142"/>
        </w:tabs>
        <w:autoSpaceDE w:val="0"/>
        <w:autoSpaceDN w:val="0"/>
        <w:adjustRightInd w:val="0"/>
        <w:spacing w:after="0" w:line="276" w:lineRule="auto"/>
        <w:ind w:firstLine="709"/>
        <w:jc w:val="both"/>
        <w:outlineLvl w:val="2"/>
        <w:rPr>
          <w:rFonts w:ascii="Verdana" w:eastAsia="Calibri" w:hAnsi="Verdana" w:cs="Arial"/>
          <w:lang w:val="x-none" w:eastAsia="es-ES"/>
        </w:rPr>
      </w:pPr>
    </w:p>
    <w:p w14:paraId="445A634E" w14:textId="77777777" w:rsidR="00DF2A21" w:rsidRPr="00DF2A21" w:rsidRDefault="00DF2A21" w:rsidP="00DF2A21">
      <w:pPr>
        <w:spacing w:after="0" w:line="240" w:lineRule="auto"/>
        <w:rPr>
          <w:rFonts w:ascii="Verdana" w:eastAsia="Aptos" w:hAnsi="Verdana" w:cs="Times New Roman"/>
          <w:sz w:val="20"/>
          <w:szCs w:val="20"/>
          <w:lang w:val="es-ES_tradnl"/>
        </w:rPr>
      </w:pPr>
    </w:p>
    <w:p w14:paraId="5AA08DD6" w14:textId="77777777" w:rsidR="00DF2A21" w:rsidRPr="00DF2A21" w:rsidRDefault="00DF2A21" w:rsidP="00DF2A21">
      <w:pPr>
        <w:spacing w:after="0" w:line="240" w:lineRule="auto"/>
        <w:rPr>
          <w:rFonts w:ascii="Verdana" w:eastAsia="Aptos" w:hAnsi="Verdana" w:cs="Times New Roman"/>
          <w:sz w:val="20"/>
          <w:szCs w:val="20"/>
          <w:lang w:val="es-ES_tradnl"/>
        </w:rPr>
      </w:pPr>
    </w:p>
    <w:p w14:paraId="5C6E3729" w14:textId="77777777" w:rsidR="00DF2A21" w:rsidRPr="00DF2A21" w:rsidRDefault="00DF2A21" w:rsidP="00DF2A21">
      <w:pPr>
        <w:spacing w:after="0" w:line="240" w:lineRule="auto"/>
        <w:rPr>
          <w:rFonts w:ascii="Verdana" w:eastAsia="Aptos" w:hAnsi="Verdana" w:cs="Times New Roman"/>
          <w:sz w:val="20"/>
          <w:szCs w:val="20"/>
          <w:lang w:val="es-ES_tradnl"/>
        </w:rPr>
      </w:pPr>
    </w:p>
    <w:p w14:paraId="0B4719BB" w14:textId="77777777" w:rsidR="00DF2A21" w:rsidRDefault="00DF2A21" w:rsidP="00DF2A21">
      <w:pPr>
        <w:spacing w:after="0" w:line="240" w:lineRule="auto"/>
        <w:rPr>
          <w:rFonts w:ascii="Verdana" w:eastAsia="Aptos" w:hAnsi="Verdana" w:cs="Times New Roman"/>
          <w:sz w:val="20"/>
          <w:szCs w:val="20"/>
          <w:lang w:val="es-ES_tradnl"/>
        </w:rPr>
      </w:pPr>
    </w:p>
    <w:p w14:paraId="64D2DEF8" w14:textId="77777777" w:rsidR="00631135" w:rsidRDefault="00631135" w:rsidP="00DF2A21">
      <w:pPr>
        <w:spacing w:after="0" w:line="240" w:lineRule="auto"/>
        <w:rPr>
          <w:rFonts w:ascii="Verdana" w:eastAsia="Aptos" w:hAnsi="Verdana" w:cs="Times New Roman"/>
          <w:sz w:val="20"/>
          <w:szCs w:val="20"/>
          <w:lang w:val="es-ES_tradnl"/>
        </w:rPr>
      </w:pPr>
    </w:p>
    <w:p w14:paraId="62D980C5" w14:textId="77777777" w:rsidR="00631135" w:rsidRDefault="00631135" w:rsidP="00DF2A21">
      <w:pPr>
        <w:spacing w:after="0" w:line="240" w:lineRule="auto"/>
        <w:rPr>
          <w:rFonts w:ascii="Verdana" w:eastAsia="Aptos" w:hAnsi="Verdana" w:cs="Times New Roman"/>
          <w:sz w:val="20"/>
          <w:szCs w:val="20"/>
          <w:lang w:val="es-ES_tradnl"/>
        </w:rPr>
      </w:pPr>
    </w:p>
    <w:p w14:paraId="76308FCF" w14:textId="77777777" w:rsidR="00631135" w:rsidRDefault="00631135" w:rsidP="00DF2A21">
      <w:pPr>
        <w:spacing w:after="0" w:line="240" w:lineRule="auto"/>
        <w:rPr>
          <w:rFonts w:ascii="Verdana" w:eastAsia="Aptos" w:hAnsi="Verdana" w:cs="Times New Roman"/>
          <w:sz w:val="20"/>
          <w:szCs w:val="20"/>
          <w:lang w:val="es-ES_tradnl"/>
        </w:rPr>
      </w:pPr>
    </w:p>
    <w:p w14:paraId="58BC627A" w14:textId="77777777" w:rsidR="00631135" w:rsidRDefault="00631135" w:rsidP="00DF2A21">
      <w:pPr>
        <w:spacing w:after="0" w:line="240" w:lineRule="auto"/>
        <w:rPr>
          <w:rFonts w:ascii="Verdana" w:eastAsia="Aptos" w:hAnsi="Verdana" w:cs="Times New Roman"/>
          <w:sz w:val="20"/>
          <w:szCs w:val="20"/>
          <w:lang w:val="es-ES_tradnl"/>
        </w:rPr>
      </w:pPr>
    </w:p>
    <w:p w14:paraId="722468E7" w14:textId="77777777" w:rsidR="00631135" w:rsidRPr="00DF2A21" w:rsidRDefault="00631135" w:rsidP="00DF2A21">
      <w:pPr>
        <w:spacing w:after="0" w:line="240" w:lineRule="auto"/>
        <w:rPr>
          <w:rFonts w:ascii="Verdana" w:eastAsia="Aptos" w:hAnsi="Verdana" w:cs="Times New Roman"/>
          <w:sz w:val="20"/>
          <w:szCs w:val="20"/>
          <w:lang w:val="es-ES_tradnl"/>
        </w:rPr>
      </w:pPr>
    </w:p>
    <w:p w14:paraId="41B2DBBF" w14:textId="77777777" w:rsidR="00DF2A21" w:rsidRPr="00DF2A21" w:rsidRDefault="00DF2A21" w:rsidP="00DF2A21">
      <w:pPr>
        <w:spacing w:after="0" w:line="240" w:lineRule="auto"/>
        <w:rPr>
          <w:rFonts w:ascii="Verdana" w:eastAsia="Aptos" w:hAnsi="Verdana" w:cs="Times New Roman"/>
          <w:sz w:val="20"/>
          <w:szCs w:val="20"/>
          <w:lang w:val="es-ES_tradnl"/>
        </w:rPr>
      </w:pPr>
    </w:p>
    <w:p w14:paraId="05A50CCD" w14:textId="77777777" w:rsidR="00DF2A21" w:rsidRPr="00DF2A21" w:rsidRDefault="00DF2A21" w:rsidP="00DF2A21">
      <w:pPr>
        <w:spacing w:after="0" w:line="240" w:lineRule="auto"/>
        <w:rPr>
          <w:rFonts w:ascii="Verdana" w:eastAsia="Aptos" w:hAnsi="Verdana" w:cs="Times New Roman"/>
          <w:sz w:val="20"/>
          <w:szCs w:val="20"/>
          <w:lang w:val="es-ES_tradnl"/>
        </w:rPr>
      </w:pPr>
    </w:p>
    <w:p w14:paraId="27E8C2DB" w14:textId="77777777" w:rsidR="00DF2A21" w:rsidRPr="00DF2A21" w:rsidRDefault="00DF2A21" w:rsidP="00DF2A21">
      <w:pPr>
        <w:spacing w:after="0" w:line="240" w:lineRule="auto"/>
        <w:rPr>
          <w:rFonts w:ascii="Verdana" w:eastAsia="Aptos" w:hAnsi="Verdana" w:cs="Times New Roman"/>
          <w:sz w:val="20"/>
          <w:szCs w:val="20"/>
          <w:lang w:val="es-ES_tradnl"/>
        </w:rPr>
      </w:pPr>
    </w:p>
    <w:p w14:paraId="29D0D11A" w14:textId="0D96655D" w:rsidR="00DF2A21" w:rsidRDefault="00DF2A21" w:rsidP="00DF2A21">
      <w:pPr>
        <w:spacing w:after="0" w:line="240" w:lineRule="auto"/>
        <w:jc w:val="both"/>
        <w:rPr>
          <w:rFonts w:ascii="Verdana" w:eastAsia="Aptos" w:hAnsi="Verdana" w:cs="Times New Roman"/>
          <w:sz w:val="20"/>
          <w:szCs w:val="20"/>
          <w:lang w:val="es-ES_tradnl"/>
        </w:rPr>
      </w:pPr>
    </w:p>
    <w:p w14:paraId="4F67CC69" w14:textId="006FE6BA" w:rsidR="00DF2A21" w:rsidRPr="00DF2A21" w:rsidRDefault="00DF2A21" w:rsidP="00DF2A21">
      <w:pPr>
        <w:spacing w:after="0" w:line="240" w:lineRule="auto"/>
        <w:jc w:val="both"/>
        <w:rPr>
          <w:rFonts w:ascii="Verdana" w:eastAsia="Calibri" w:hAnsi="Verdana" w:cs="Arial"/>
          <w:lang w:val="es-ES_tradnl"/>
        </w:rPr>
      </w:pPr>
      <w:r w:rsidRPr="30821638">
        <w:rPr>
          <w:rFonts w:ascii="Verdana" w:eastAsia="Verdana" w:hAnsi="Verdana" w:cs="Verdana"/>
        </w:rPr>
        <w:lastRenderedPageBreak/>
        <w:t>Bogotá D.C</w:t>
      </w:r>
      <w:r w:rsidR="00922908">
        <w:rPr>
          <w:rFonts w:ascii="Verdana" w:eastAsia="Verdana" w:hAnsi="Verdana" w:cs="Verdana"/>
        </w:rPr>
        <w:t>.,</w:t>
      </w:r>
      <w:r w:rsidR="007618D8">
        <w:rPr>
          <w:rFonts w:ascii="Verdana" w:eastAsia="Verdana" w:hAnsi="Verdana" w:cs="Verdana"/>
        </w:rPr>
        <w:t xml:space="preserve"> 15 Octubre 2026</w:t>
      </w:r>
    </w:p>
    <w:p w14:paraId="12F8D18D" w14:textId="3B4CB63C" w:rsidR="00DF2A21" w:rsidRDefault="007618D8" w:rsidP="007618D8">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08F7E11C" wp14:editId="43D1B66B">
            <wp:extent cx="2467176" cy="697046"/>
            <wp:effectExtent l="0" t="0" r="0" b="1905"/>
            <wp:docPr id="1153528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2875" name="Imagen 115352875"/>
                    <pic:cNvPicPr/>
                  </pic:nvPicPr>
                  <pic:blipFill>
                    <a:blip r:embed="rId10">
                      <a:extLst>
                        <a:ext uri="{28A0092B-C50C-407E-A947-70E740481C1C}">
                          <a14:useLocalDpi xmlns:a14="http://schemas.microsoft.com/office/drawing/2010/main" val="0"/>
                        </a:ext>
                      </a:extLst>
                    </a:blip>
                    <a:stretch>
                      <a:fillRect/>
                    </a:stretch>
                  </pic:blipFill>
                  <pic:spPr>
                    <a:xfrm>
                      <a:off x="0" y="0"/>
                      <a:ext cx="2477019" cy="699827"/>
                    </a:xfrm>
                    <a:prstGeom prst="rect">
                      <a:avLst/>
                    </a:prstGeom>
                  </pic:spPr>
                </pic:pic>
              </a:graphicData>
            </a:graphic>
          </wp:inline>
        </w:drawing>
      </w:r>
    </w:p>
    <w:p w14:paraId="21B3BF55" w14:textId="20D47E2A" w:rsidR="00DF2A21" w:rsidRPr="00DF2A21" w:rsidRDefault="00DF2A21" w:rsidP="00DF2A21">
      <w:pPr>
        <w:spacing w:after="0" w:line="240" w:lineRule="auto"/>
        <w:jc w:val="both"/>
        <w:rPr>
          <w:rFonts w:ascii="Verdana" w:eastAsia="Calibri" w:hAnsi="Verdana" w:cs="Arial"/>
          <w:lang w:val="es-ES_tradnl" w:eastAsia="es-ES"/>
        </w:rPr>
      </w:pPr>
      <w:r w:rsidRPr="00DF2A21">
        <w:rPr>
          <w:rFonts w:ascii="Verdana" w:eastAsia="Calibri" w:hAnsi="Verdana" w:cs="Arial"/>
          <w:lang w:val="es-ES_tradnl" w:eastAsia="es-ES"/>
        </w:rPr>
        <w:t>Señor(a)</w:t>
      </w:r>
    </w:p>
    <w:p w14:paraId="07BFF47A" w14:textId="77777777" w:rsidR="00DF2A21" w:rsidRPr="00DF2A21" w:rsidRDefault="00DF2A21" w:rsidP="00DF2A21">
      <w:pPr>
        <w:spacing w:after="0" w:line="240" w:lineRule="auto"/>
        <w:rPr>
          <w:rFonts w:ascii="Verdana" w:eastAsia="Calibri" w:hAnsi="Verdana" w:cs="Arial"/>
          <w:b/>
          <w:lang w:val="es-ES_tradnl" w:eastAsia="es-ES"/>
        </w:rPr>
      </w:pPr>
      <w:r w:rsidRPr="00DF2A21">
        <w:rPr>
          <w:rFonts w:ascii="Verdana" w:eastAsia="Calibri" w:hAnsi="Verdana" w:cs="Arial"/>
          <w:b/>
          <w:lang w:val="es-ES_tradnl" w:eastAsia="es-ES"/>
        </w:rPr>
        <w:t>Ciudadano(a) anónimo(a)</w:t>
      </w:r>
    </w:p>
    <w:p w14:paraId="6A12A291" w14:textId="77777777" w:rsidR="00DF2A21" w:rsidRPr="00DF2A21" w:rsidRDefault="00DF2A21" w:rsidP="00DF2A21">
      <w:pPr>
        <w:spacing w:after="0" w:line="240" w:lineRule="auto"/>
        <w:rPr>
          <w:rFonts w:ascii="Verdana" w:eastAsia="Aptos" w:hAnsi="Verdana" w:cs="Times New Roman"/>
          <w:lang w:val="es-ES_tradnl"/>
        </w:rPr>
      </w:pPr>
      <w:r w:rsidRPr="00DF2A21">
        <w:rPr>
          <w:rFonts w:ascii="Verdana" w:eastAsia="Aptos" w:hAnsi="Verdana" w:cs="Times New Roman"/>
          <w:lang w:val="es-ES_tradnl"/>
        </w:rPr>
        <w:t>Ciudad</w:t>
      </w:r>
    </w:p>
    <w:p w14:paraId="67F381FE" w14:textId="77777777" w:rsidR="00DF2A21" w:rsidRPr="00DF2A21" w:rsidRDefault="00DF2A21" w:rsidP="00DF2A21">
      <w:pPr>
        <w:spacing w:after="0" w:line="240" w:lineRule="auto"/>
        <w:rPr>
          <w:rFonts w:ascii="Verdana" w:eastAsia="Calibri" w:hAnsi="Verdana" w:cs="Arial"/>
          <w:b/>
          <w:bCs/>
          <w:lang w:val="es-ES_tradnl" w:eastAsia="es-ES_tradnl"/>
        </w:rPr>
      </w:pPr>
    </w:p>
    <w:p w14:paraId="03CEEE01" w14:textId="77777777" w:rsidR="00DF2A21" w:rsidRPr="00DF2A21" w:rsidRDefault="00DF2A21" w:rsidP="00DF2A2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F2A21" w:rsidRPr="00DF2A21" w14:paraId="1D636068" w14:textId="77777777" w:rsidTr="007319B1">
        <w:trPr>
          <w:trHeight w:val="884"/>
        </w:trPr>
        <w:tc>
          <w:tcPr>
            <w:tcW w:w="2689" w:type="dxa"/>
          </w:tcPr>
          <w:p w14:paraId="348D5217" w14:textId="77777777" w:rsidR="00DF2A21" w:rsidRPr="00DF2A21" w:rsidRDefault="00DF2A21" w:rsidP="00DF2A21">
            <w:pPr>
              <w:jc w:val="both"/>
              <w:rPr>
                <w:rFonts w:ascii="Verdana" w:eastAsia="Calibri" w:hAnsi="Verdana" w:cs="Arial"/>
                <w:b/>
                <w:bCs/>
                <w:lang w:val="es-ES_tradnl" w:eastAsia="es-ES_tradnl"/>
              </w:rPr>
            </w:pPr>
          </w:p>
        </w:tc>
        <w:tc>
          <w:tcPr>
            <w:tcW w:w="6100" w:type="dxa"/>
          </w:tcPr>
          <w:p w14:paraId="2C92F8E6" w14:textId="77777777" w:rsidR="00DF2A21" w:rsidRPr="00DF2A21" w:rsidRDefault="00DF2A21" w:rsidP="00DF2A21">
            <w:pPr>
              <w:jc w:val="both"/>
              <w:rPr>
                <w:rFonts w:ascii="Verdana" w:eastAsia="Calibri" w:hAnsi="Verdana" w:cs="Arial"/>
                <w:b/>
                <w:bCs/>
                <w:lang w:val="es-ES_tradnl" w:eastAsia="es-ES"/>
              </w:rPr>
            </w:pPr>
            <w:r w:rsidRPr="00DF2A21">
              <w:rPr>
                <w:rFonts w:ascii="Verdana" w:eastAsia="Calibri" w:hAnsi="Verdana" w:cs="Arial"/>
                <w:b/>
                <w:bCs/>
                <w:lang w:val="es-ES_tradnl" w:eastAsia="es-ES"/>
              </w:rPr>
              <w:t>Concepto C – 1400 de 2026</w:t>
            </w:r>
          </w:p>
        </w:tc>
      </w:tr>
      <w:tr w:rsidR="00DF2A21" w:rsidRPr="00DF2A21" w14:paraId="59A008E0" w14:textId="77777777" w:rsidTr="007319B1">
        <w:trPr>
          <w:trHeight w:val="884"/>
        </w:trPr>
        <w:tc>
          <w:tcPr>
            <w:tcW w:w="2689" w:type="dxa"/>
          </w:tcPr>
          <w:p w14:paraId="087628E3" w14:textId="77777777" w:rsidR="00DF2A21" w:rsidRPr="00DF2A21" w:rsidRDefault="00DF2A21" w:rsidP="00DF2A21">
            <w:pPr>
              <w:jc w:val="both"/>
              <w:rPr>
                <w:rFonts w:ascii="Verdana" w:eastAsia="Calibri" w:hAnsi="Verdana" w:cs="Arial"/>
                <w:lang w:val="es-ES_tradnl" w:eastAsia="es-ES_tradnl"/>
              </w:rPr>
            </w:pPr>
            <w:r w:rsidRPr="00DF2A21">
              <w:rPr>
                <w:rFonts w:ascii="Verdana" w:eastAsia="Calibri" w:hAnsi="Verdana" w:cs="Arial"/>
                <w:b/>
                <w:lang w:val="es-ES_tradnl" w:eastAsia="es-ES_tradnl"/>
              </w:rPr>
              <w:t>Temas:</w:t>
            </w:r>
            <w:r w:rsidRPr="00DF2A21">
              <w:rPr>
                <w:rFonts w:ascii="Verdana" w:eastAsia="Calibri" w:hAnsi="Verdana" w:cs="Arial"/>
                <w:lang w:val="es-ES_tradnl" w:eastAsia="es-ES_tradnl"/>
              </w:rPr>
              <w:t xml:space="preserve">                   </w:t>
            </w:r>
          </w:p>
        </w:tc>
        <w:tc>
          <w:tcPr>
            <w:tcW w:w="6100" w:type="dxa"/>
          </w:tcPr>
          <w:p w14:paraId="380B3B4C" w14:textId="77777777" w:rsidR="00DF2A21" w:rsidRPr="00DF2A21" w:rsidRDefault="00DF2A21" w:rsidP="00DF2A21">
            <w:pPr>
              <w:snapToGrid w:val="0"/>
              <w:spacing w:line="276" w:lineRule="auto"/>
              <w:jc w:val="both"/>
              <w:textAlignment w:val="baseline"/>
              <w:rPr>
                <w:rFonts w:ascii="Verdana" w:eastAsia="Times New Roman" w:hAnsi="Verdana" w:cs="Arial"/>
                <w:bCs/>
                <w:lang w:val="es-ES" w:eastAsia="es-CO"/>
              </w:rPr>
            </w:pPr>
            <w:r w:rsidRPr="00DF2A21">
              <w:rPr>
                <w:rFonts w:ascii="Verdana" w:eastAsia="Aptos" w:hAnsi="Verdana" w:cs="Times New Roman"/>
                <w:bCs/>
                <w:lang w:val="es-ES_tradnl"/>
              </w:rPr>
              <w:t xml:space="preserve">DOCUMENTOS TIPO DE INFRAESTRUCTURA DE TRANSPORTE – Ponderación de la propuesta económica – Reglas – TRM / DOCUMENTOS TIPO DE INFRAESTRUCTURA DE TRANSPORTE – Ponderación de la oferta – Procedimiento para la definición / </w:t>
            </w:r>
            <w:r w:rsidRPr="00DF2A21">
              <w:rPr>
                <w:rFonts w:ascii="Verdana" w:eastAsia="Times New Roman" w:hAnsi="Verdana" w:cs="Arial"/>
                <w:bCs/>
                <w:lang w:val="es-ES" w:eastAsia="es-CO"/>
              </w:rPr>
              <w:t>DOCUMENTOS TIPO – Ponderación de la propuesta económica – TRM vigente – Suspensión de la audiencia</w:t>
            </w:r>
          </w:p>
          <w:p w14:paraId="21EE9A3E" w14:textId="77777777" w:rsidR="00DF2A21" w:rsidRPr="00DF2A21" w:rsidRDefault="00DF2A21" w:rsidP="00DF2A21">
            <w:pPr>
              <w:spacing w:line="276" w:lineRule="auto"/>
              <w:jc w:val="both"/>
              <w:rPr>
                <w:rFonts w:ascii="Verdana" w:eastAsia="Calibri" w:hAnsi="Verdana" w:cs="Arial"/>
                <w:bCs/>
                <w:lang w:val="es-ES_tradnl" w:eastAsia="es-ES"/>
              </w:rPr>
            </w:pPr>
          </w:p>
        </w:tc>
      </w:tr>
      <w:tr w:rsidR="00DF2A21" w:rsidRPr="00DF2A21" w14:paraId="20C4EEFF" w14:textId="77777777" w:rsidTr="007319B1">
        <w:tc>
          <w:tcPr>
            <w:tcW w:w="2689" w:type="dxa"/>
          </w:tcPr>
          <w:p w14:paraId="6B8156BC" w14:textId="77777777" w:rsidR="00DF2A21" w:rsidRPr="00DF2A21" w:rsidRDefault="00DF2A21" w:rsidP="00DF2A21">
            <w:pPr>
              <w:jc w:val="both"/>
              <w:rPr>
                <w:rFonts w:ascii="Verdana" w:eastAsia="Calibri" w:hAnsi="Verdana" w:cs="Arial"/>
                <w:b/>
                <w:lang w:val="es-ES_tradnl" w:eastAsia="es-ES_tradnl"/>
              </w:rPr>
            </w:pPr>
            <w:r w:rsidRPr="00DF2A21">
              <w:rPr>
                <w:rFonts w:ascii="Verdana" w:eastAsia="Calibri" w:hAnsi="Verdana" w:cs="Arial"/>
                <w:b/>
                <w:lang w:val="es-ES_tradnl" w:eastAsia="es-ES_tradnl"/>
              </w:rPr>
              <w:t>Radicación:</w:t>
            </w:r>
            <w:r w:rsidRPr="00DF2A21">
              <w:rPr>
                <w:rFonts w:ascii="Verdana" w:eastAsia="Calibri" w:hAnsi="Verdana" w:cs="Arial"/>
                <w:lang w:val="es-ES_tradnl" w:eastAsia="es-ES_tradnl"/>
              </w:rPr>
              <w:t xml:space="preserve">               </w:t>
            </w:r>
          </w:p>
        </w:tc>
        <w:tc>
          <w:tcPr>
            <w:tcW w:w="6100" w:type="dxa"/>
          </w:tcPr>
          <w:p w14:paraId="5BE95093" w14:textId="77777777" w:rsidR="00DF2A21" w:rsidRPr="00DF2A21" w:rsidRDefault="00DF2A21" w:rsidP="00DF2A21">
            <w:pPr>
              <w:jc w:val="both"/>
              <w:rPr>
                <w:rFonts w:ascii="Verdana" w:eastAsia="Calibri" w:hAnsi="Verdana" w:cs="Arial"/>
                <w:lang w:val="es-ES_tradnl" w:eastAsia="es-ES_tradnl"/>
              </w:rPr>
            </w:pPr>
            <w:r w:rsidRPr="00DF2A21">
              <w:rPr>
                <w:rFonts w:ascii="Verdana" w:eastAsia="Calibri" w:hAnsi="Verdana" w:cs="Arial"/>
                <w:lang w:val="es-ES_tradnl" w:eastAsia="es-ES_tradnl"/>
              </w:rPr>
              <w:t>Respuesta a consulta con radicado No. 1_2026_09_07_011833</w:t>
            </w:r>
          </w:p>
        </w:tc>
      </w:tr>
    </w:tbl>
    <w:p w14:paraId="3E116D13" w14:textId="77777777" w:rsidR="00DF2A21" w:rsidRPr="00DF2A21" w:rsidRDefault="00DF2A21" w:rsidP="00DF2A21">
      <w:pPr>
        <w:spacing w:after="0" w:line="240" w:lineRule="auto"/>
        <w:jc w:val="both"/>
        <w:rPr>
          <w:rFonts w:ascii="Verdana" w:eastAsia="Calibri" w:hAnsi="Verdana" w:cs="Arial"/>
          <w:lang w:val="es-ES_tradnl" w:eastAsia="es-ES_tradnl"/>
        </w:rPr>
      </w:pPr>
    </w:p>
    <w:p w14:paraId="3D9253D6" w14:textId="77777777" w:rsidR="00DF2A21" w:rsidRPr="00DF2A21" w:rsidRDefault="00DF2A21" w:rsidP="00DF2A21">
      <w:pPr>
        <w:spacing w:after="0" w:line="240" w:lineRule="auto"/>
        <w:jc w:val="both"/>
        <w:rPr>
          <w:rFonts w:ascii="Verdana" w:eastAsia="Calibri" w:hAnsi="Verdana" w:cs="Arial"/>
          <w:lang w:val="es-ES_tradnl" w:eastAsia="es-ES_tradnl"/>
        </w:rPr>
      </w:pPr>
    </w:p>
    <w:p w14:paraId="31A6FBBB" w14:textId="77777777" w:rsidR="00DF2A21" w:rsidRPr="00DF2A21" w:rsidRDefault="00DF2A21" w:rsidP="00DF2A21">
      <w:pPr>
        <w:spacing w:after="0" w:line="276" w:lineRule="auto"/>
        <w:jc w:val="both"/>
        <w:rPr>
          <w:rFonts w:ascii="Verdana" w:eastAsia="Calibri" w:hAnsi="Verdana" w:cs="Arial"/>
          <w:lang w:val="es-ES_tradnl" w:eastAsia="es-ES"/>
        </w:rPr>
      </w:pPr>
      <w:r w:rsidRPr="00DF2A21">
        <w:rPr>
          <w:rFonts w:ascii="Verdana" w:eastAsia="Calibri" w:hAnsi="Verdana" w:cs="Arial"/>
          <w:lang w:val="es-ES_tradnl" w:eastAsia="es-ES"/>
        </w:rPr>
        <w:t>Estimado(a) señor(a):</w:t>
      </w:r>
    </w:p>
    <w:p w14:paraId="6E13F73E" w14:textId="77777777" w:rsidR="00DF2A21" w:rsidRPr="00DF2A21" w:rsidRDefault="00DF2A21" w:rsidP="00DF2A21">
      <w:pPr>
        <w:tabs>
          <w:tab w:val="left" w:pos="3768"/>
        </w:tabs>
        <w:spacing w:after="0" w:line="276" w:lineRule="auto"/>
        <w:jc w:val="both"/>
        <w:rPr>
          <w:rFonts w:ascii="Verdana" w:eastAsia="Calibri" w:hAnsi="Verdana" w:cs="Arial"/>
          <w:lang w:val="es-ES_tradnl" w:eastAsia="es-ES"/>
        </w:rPr>
      </w:pPr>
    </w:p>
    <w:p w14:paraId="0F00FC37" w14:textId="77777777" w:rsidR="00DF2A21" w:rsidRPr="00DF2A21" w:rsidRDefault="00DF2A21" w:rsidP="00DF2A21">
      <w:pPr>
        <w:spacing w:after="0" w:line="276" w:lineRule="auto"/>
        <w:jc w:val="both"/>
        <w:rPr>
          <w:rFonts w:ascii="Verdana" w:eastAsia="Calibri" w:hAnsi="Verdana" w:cs="Arial"/>
          <w:lang w:val="es-ES_tradnl" w:eastAsia="es-ES"/>
        </w:rPr>
      </w:pPr>
      <w:r w:rsidRPr="00DF2A21">
        <w:rPr>
          <w:rFonts w:ascii="Verdana" w:eastAsia="Calibri" w:hAnsi="Verdana" w:cs="Arial"/>
          <w:lang w:val="es-ES_tradnl" w:eastAsia="es-ES"/>
        </w:rPr>
        <w:t>En ejercicio de la competencia otorgada por los artículos 3, numeral 5º, y 11, numeral 8º, del Decreto Ley 4170 de 2011,</w:t>
      </w:r>
      <w:r w:rsidRPr="00DF2A21">
        <w:rPr>
          <w:rFonts w:ascii="Verdana" w:eastAsia="Arial MT" w:hAnsi="Verdana" w:cs="Arial MT"/>
          <w:lang w:val="es-ES_tradnl" w:eastAsia="es-ES"/>
        </w:rPr>
        <w:t xml:space="preserve"> </w:t>
      </w:r>
      <w:r w:rsidRPr="00DF2A21">
        <w:rPr>
          <w:rFonts w:ascii="Verdana" w:eastAsia="Aptos" w:hAnsi="Verdana" w:cs="Arial"/>
          <w:lang w:val="es-ES_tradnl"/>
        </w:rPr>
        <w:t xml:space="preserve">así como lo establecido en la Resolución No. 469 del 2025 expedida por esta Entidad, </w:t>
      </w:r>
      <w:r w:rsidRPr="00DF2A21">
        <w:rPr>
          <w:rFonts w:ascii="Verdana" w:eastAsia="Calibri" w:hAnsi="Verdana" w:cs="Arial"/>
          <w:lang w:val="es-ES_tradnl" w:eastAsia="es-ES"/>
        </w:rPr>
        <w:t>la Agencia Nacional de Contratación Pública –Colombia Compra Eficiente– responde su solicitud de consulta de fecha del 7 de septiembre de 2026, en la que manifiesta lo siguiente:</w:t>
      </w:r>
    </w:p>
    <w:p w14:paraId="33D872AB" w14:textId="77777777" w:rsidR="00DF2A21" w:rsidRPr="00DF2A21" w:rsidRDefault="00DF2A21" w:rsidP="00DF2A21">
      <w:pPr>
        <w:spacing w:after="0" w:line="276" w:lineRule="auto"/>
        <w:jc w:val="both"/>
        <w:rPr>
          <w:rFonts w:ascii="Verdana" w:eastAsia="Calibri" w:hAnsi="Verdana" w:cs="Arial"/>
          <w:lang w:val="es-ES_tradnl" w:eastAsia="es-ES"/>
        </w:rPr>
      </w:pPr>
    </w:p>
    <w:p w14:paraId="11B3D5CD"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 xml:space="preserve">“1. ¿Conforme al numeral 4.1.1 de los Documentos Tipo Versión 4 para infraestructura de transporte, si durante una audiencia de adjudicación la entidad ya resolvió las observaciones, analizó las ofertas económicas, efectuó las verificaciones correspondientes, analizó y aceptó las justificaciones de precios artificialmente bajos, y se pronunció sobre las propuestas rechazadas y válidas antes de las 3:00 </w:t>
      </w:r>
      <w:r w:rsidRPr="00DF2A21">
        <w:rPr>
          <w:rFonts w:ascii="Verdana" w:eastAsia="Calibri" w:hAnsi="Verdana" w:cs="Arial"/>
          <w:sz w:val="21"/>
          <w:szCs w:val="21"/>
          <w:lang w:val="es-ES" w:eastAsia="es-ES"/>
        </w:rPr>
        <w:lastRenderedPageBreak/>
        <w:t>p. m., debe entenderse agotado el procedimiento previo para la determinación de la TRM y del método de ponderación económica?</w:t>
      </w:r>
    </w:p>
    <w:p w14:paraId="3B1DDE7B"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2. ¿Puede una entidad, después de haberse pronunciado sobre las propuestas rechazadas y válidas antes de las 3:00 p. m., reabrir el análisis de un precio artificialmente bajo que ya había sido requerido, justificado, evaluado y aceptado expresamente por la propia entidad, con fundamento en una observación presentada posteriormente por otro oferente?</w:t>
      </w:r>
    </w:p>
    <w:p w14:paraId="03ECF9B1"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3. ¿Una nueva observación presentada con posterioridad al pronunciamiento de la entidad sobre las propuestas válidas y rechazadas puede modificar el momento que ya se había configurado para determinar la TRM aplicable, cuando dicha observación se refiere a una actuación que ya había sido analizada y definida por la entidad?</w:t>
      </w:r>
    </w:p>
    <w:p w14:paraId="3533A915"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4. ¿La suspensión de una audiencia de adjudicación permite reabrir actuaciones ya agotadas y modificar la TRM o el método de ponderación de la oferta económica, teniendo en cuenta que los Documentos Tipo establecen que, una vez definido el método de ponderación, este seguirá rigiendo aun cuando la audiencia sea suspendida y posteriormente reiniciada?</w:t>
      </w:r>
    </w:p>
    <w:p w14:paraId="19EA63CC"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5. Si, luego de una nueva observación sobre un precio artificialmente bajo ya aceptado, la entidad únicamente requiere al proponente para que responda dicha observación, sin modificar inicialmente su decisión, y posteriormente mantiene la aceptación de la justificación, ¿puede esa actuación posterior justificar un nuevo momento para la determinación de la TRM y alterar el método de ponderación económica?</w:t>
      </w:r>
    </w:p>
    <w:p w14:paraId="5003426E"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6. ¿La actuación de una entidad consistente en suspender la audiencia después de haberse pronunciado sobre las propuestas válidas y rechazadas antes de las 3:00 p. m., para posteriormente requerir nuevamente a un proponente sobre un precio artificialmente bajo ya aceptado, podría afectar el debido proceso, la igualdad entre oferentes, la selección objetiva o el orden de elegibilidad, si como consecuencia de ello se modifica la TRM o la metodología de ponderación económica?</w:t>
      </w:r>
    </w:p>
    <w:p w14:paraId="28184E14"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 xml:space="preserve">7. </w:t>
      </w:r>
      <w:proofErr w:type="gramStart"/>
      <w:r w:rsidRPr="00DF2A21">
        <w:rPr>
          <w:rFonts w:ascii="Verdana" w:eastAsia="Calibri" w:hAnsi="Verdana" w:cs="Arial"/>
          <w:sz w:val="21"/>
          <w:szCs w:val="21"/>
          <w:lang w:val="es-ES" w:eastAsia="es-ES"/>
        </w:rPr>
        <w:t>¿Puede una entidad modificar o reabrir el procedimiento de evaluación después de haber agotado las actuaciones previstas en el numeral 4.</w:t>
      </w:r>
      <w:proofErr w:type="gramEnd"/>
      <w:r w:rsidRPr="00DF2A21">
        <w:rPr>
          <w:rFonts w:ascii="Verdana" w:eastAsia="Calibri" w:hAnsi="Verdana" w:cs="Arial"/>
          <w:sz w:val="21"/>
          <w:szCs w:val="21"/>
          <w:lang w:val="es-ES" w:eastAsia="es-ES"/>
        </w:rPr>
        <w:t>1.1 y haberse pronunciado sobre las propuestas válidas y rechazadas, cuando dicha</w:t>
      </w:r>
      <w:r w:rsidRPr="00DF2A21">
        <w:rPr>
          <w:rFonts w:ascii="Aptos" w:eastAsia="Aptos" w:hAnsi="Aptos" w:cs="Times New Roman"/>
          <w:kern w:val="2"/>
          <w:sz w:val="24"/>
          <w:szCs w:val="24"/>
          <w14:ligatures w14:val="standardContextual"/>
        </w:rPr>
        <w:t xml:space="preserve"> </w:t>
      </w:r>
      <w:r w:rsidRPr="00DF2A21">
        <w:rPr>
          <w:rFonts w:ascii="Verdana" w:eastAsia="Calibri" w:hAnsi="Verdana" w:cs="Arial"/>
          <w:sz w:val="21"/>
          <w:szCs w:val="21"/>
          <w:lang w:val="es-ES" w:eastAsia="es-ES"/>
        </w:rPr>
        <w:t>modificación pueda tener incidencia directa en la TRM, la ponderación económica y, consecuentemente, en el orden de elegibilidad?</w:t>
      </w:r>
    </w:p>
    <w:p w14:paraId="4778201E" w14:textId="77777777" w:rsidR="00DF2A21" w:rsidRPr="00DF2A21" w:rsidRDefault="00DF2A21" w:rsidP="00DF2A21">
      <w:pPr>
        <w:spacing w:after="0" w:line="240" w:lineRule="auto"/>
        <w:ind w:left="709" w:right="709"/>
        <w:jc w:val="both"/>
        <w:rPr>
          <w:rFonts w:ascii="Verdana" w:eastAsia="Calibri" w:hAnsi="Verdana" w:cs="Arial"/>
          <w:sz w:val="21"/>
          <w:szCs w:val="21"/>
          <w:lang w:val="es-ES" w:eastAsia="es-ES"/>
        </w:rPr>
      </w:pPr>
      <w:r w:rsidRPr="00DF2A21">
        <w:rPr>
          <w:rFonts w:ascii="Verdana" w:eastAsia="Calibri" w:hAnsi="Verdana" w:cs="Arial"/>
          <w:sz w:val="21"/>
          <w:szCs w:val="21"/>
          <w:lang w:val="es-ES" w:eastAsia="es-ES"/>
        </w:rPr>
        <w:t>8. ¿El hecho de que la entidad haya leído durante la audiencia la Resolución de Adjudicación, después de haber agotado las actuaciones de evaluación y definido las propuestas válidas y rechazadas, impide o limita la posibilidad de reabrir posteriormente actuaciones que puedan modificar la evaluación económica, la TRM o el orden de elegibilidad?”</w:t>
      </w:r>
    </w:p>
    <w:p w14:paraId="66750A58" w14:textId="77777777" w:rsidR="00DF2A21" w:rsidRPr="00DF2A21" w:rsidRDefault="00DF2A21" w:rsidP="00DF2A21">
      <w:pPr>
        <w:tabs>
          <w:tab w:val="left" w:pos="142"/>
          <w:tab w:val="left" w:pos="284"/>
        </w:tabs>
        <w:spacing w:after="0" w:line="240" w:lineRule="auto"/>
        <w:contextualSpacing/>
        <w:jc w:val="both"/>
        <w:rPr>
          <w:rFonts w:ascii="Verdana" w:eastAsia="Century Gothic" w:hAnsi="Verdana" w:cs="Century Gothic"/>
          <w:b/>
          <w:bCs/>
          <w:sz w:val="20"/>
          <w:szCs w:val="20"/>
          <w:lang w:val="es-ES_tradnl"/>
        </w:rPr>
      </w:pPr>
    </w:p>
    <w:p w14:paraId="331ABDF1" w14:textId="77777777" w:rsidR="00DF2A21" w:rsidRPr="00DF2A21" w:rsidRDefault="00DF2A21" w:rsidP="00DF2A21">
      <w:pPr>
        <w:spacing w:after="120" w:line="276" w:lineRule="auto"/>
        <w:ind w:firstLine="709"/>
        <w:jc w:val="both"/>
        <w:rPr>
          <w:rFonts w:ascii="Verdana" w:eastAsia="Calibri" w:hAnsi="Verdana" w:cs="Arial"/>
          <w:szCs w:val="24"/>
          <w:lang w:val="es-ES_tradnl" w:eastAsia="es-ES_tradnl"/>
        </w:rPr>
      </w:pPr>
      <w:r w:rsidRPr="00DF2A21">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3F59694" w14:textId="77777777" w:rsidR="00DF2A21" w:rsidRPr="00DF2A21" w:rsidRDefault="00DF2A21" w:rsidP="00DF2A21">
      <w:pPr>
        <w:spacing w:after="0" w:line="276" w:lineRule="auto"/>
        <w:ind w:firstLine="709"/>
        <w:jc w:val="both"/>
        <w:rPr>
          <w:rFonts w:ascii="Verdana" w:eastAsia="Calibri" w:hAnsi="Verdana" w:cs="Arial"/>
          <w:lang w:val="es-ES_tradnl" w:eastAsia="es-ES"/>
        </w:rPr>
      </w:pPr>
      <w:r w:rsidRPr="00DF2A21">
        <w:rPr>
          <w:rFonts w:ascii="Verdana" w:eastAsia="Calibri" w:hAnsi="Verdana" w:cs="Arial"/>
          <w:lang w:val="es-ES_tradnl"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F9E5EF2" w14:textId="77777777" w:rsidR="00DF2A21" w:rsidRPr="00DF2A21" w:rsidRDefault="00DF2A21" w:rsidP="00DF2A21">
      <w:pPr>
        <w:spacing w:after="0" w:line="276" w:lineRule="auto"/>
        <w:ind w:firstLine="709"/>
        <w:jc w:val="both"/>
        <w:rPr>
          <w:rFonts w:ascii="Verdana" w:eastAsia="Calibri" w:hAnsi="Verdana" w:cs="Arial"/>
          <w:lang w:val="es-ES_tradnl" w:eastAsia="es-ES"/>
        </w:rPr>
      </w:pPr>
    </w:p>
    <w:p w14:paraId="19AD1FB7" w14:textId="77777777" w:rsidR="00DF2A21" w:rsidRPr="00DF2A21" w:rsidRDefault="00DF2A21" w:rsidP="00DF2A21">
      <w:pPr>
        <w:widowControl w:val="0"/>
        <w:autoSpaceDE w:val="0"/>
        <w:autoSpaceDN w:val="0"/>
        <w:spacing w:before="1" w:after="0" w:line="240" w:lineRule="auto"/>
        <w:ind w:left="360" w:hanging="360"/>
        <w:jc w:val="both"/>
        <w:outlineLvl w:val="0"/>
        <w:rPr>
          <w:rFonts w:ascii="Verdana" w:eastAsia="Arial" w:hAnsi="Verdana" w:cs="Arial"/>
          <w:b/>
          <w:bCs/>
          <w:lang w:val="es-ES_tradnl"/>
        </w:rPr>
      </w:pPr>
      <w:r w:rsidRPr="00DF2A21">
        <w:rPr>
          <w:rFonts w:ascii="Verdana" w:eastAsia="Arial" w:hAnsi="Verdana" w:cs="Arial"/>
          <w:b/>
          <w:bCs/>
          <w:lang w:val="es-ES_tradnl"/>
        </w:rPr>
        <w:t>1. Problema planteado:</w:t>
      </w:r>
    </w:p>
    <w:p w14:paraId="21A672FE" w14:textId="77777777" w:rsidR="00DF2A21" w:rsidRPr="00DF2A21" w:rsidRDefault="00DF2A21" w:rsidP="00DF2A21">
      <w:pPr>
        <w:tabs>
          <w:tab w:val="left" w:pos="426"/>
        </w:tabs>
        <w:spacing w:after="0" w:line="276" w:lineRule="auto"/>
        <w:jc w:val="both"/>
        <w:rPr>
          <w:rFonts w:ascii="Verdana" w:eastAsia="Century Gothic" w:hAnsi="Verdana" w:cs="Century Gothic"/>
          <w:lang w:val="es-ES_tradnl"/>
        </w:rPr>
      </w:pPr>
    </w:p>
    <w:p w14:paraId="09964701" w14:textId="77777777" w:rsidR="00DF2A21" w:rsidRPr="00DF2A21" w:rsidRDefault="00DF2A21" w:rsidP="00DF2A21">
      <w:pPr>
        <w:spacing w:after="0" w:line="276" w:lineRule="auto"/>
        <w:jc w:val="both"/>
        <w:rPr>
          <w:rFonts w:ascii="Verdana" w:eastAsia="Century Gothic" w:hAnsi="Verdana" w:cs="Century Gothic"/>
          <w:lang w:val="es-ES_tradnl"/>
        </w:rPr>
      </w:pPr>
      <w:r w:rsidRPr="00DF2A21">
        <w:rPr>
          <w:rFonts w:ascii="Verdana" w:eastAsia="Century Gothic" w:hAnsi="Verdana" w:cs="Century Gothic"/>
          <w:lang w:val="es-ES_tradnl"/>
        </w:rPr>
        <w:t>De acuerdo con el contenido de su solicitud, esta Agencia resolverá el siguiente problema jurídic</w:t>
      </w:r>
      <w:bookmarkStart w:id="1" w:name="_Hlk171070029"/>
      <w:r w:rsidRPr="00DF2A21">
        <w:rPr>
          <w:rFonts w:ascii="Verdana" w:eastAsia="Century Gothic" w:hAnsi="Verdana" w:cs="Century Gothic"/>
          <w:lang w:val="es-ES_tradnl"/>
        </w:rPr>
        <w:t xml:space="preserve">o: ¿cómo opera el manejo de la TRM y del método de ponderación de la oferta, y cuáles son las acuaciones que se adelantan en el marco de este, en los documentos tipo de licitación de obra pública de infraestructura de transporte –versión 4–? </w:t>
      </w:r>
    </w:p>
    <w:p w14:paraId="652EA4D6" w14:textId="77777777" w:rsidR="00DF2A21" w:rsidRPr="00DF2A21" w:rsidRDefault="00DF2A21" w:rsidP="00DF2A21">
      <w:pPr>
        <w:spacing w:after="0" w:line="276" w:lineRule="auto"/>
        <w:jc w:val="both"/>
        <w:rPr>
          <w:rFonts w:ascii="Verdana" w:eastAsia="Century Gothic" w:hAnsi="Verdana" w:cs="Century Gothic"/>
          <w:lang w:val="es-ES_tradnl"/>
        </w:rPr>
      </w:pPr>
    </w:p>
    <w:bookmarkEnd w:id="1"/>
    <w:p w14:paraId="49769DC7" w14:textId="77777777" w:rsidR="00DF2A21" w:rsidRPr="00DF2A21" w:rsidRDefault="00DF2A21" w:rsidP="00DF2A21">
      <w:pPr>
        <w:widowControl w:val="0"/>
        <w:autoSpaceDE w:val="0"/>
        <w:autoSpaceDN w:val="0"/>
        <w:spacing w:before="1" w:after="0" w:line="240" w:lineRule="auto"/>
        <w:jc w:val="both"/>
        <w:outlineLvl w:val="0"/>
        <w:rPr>
          <w:rFonts w:ascii="Verdana" w:eastAsia="Arial" w:hAnsi="Verdana" w:cs="Arial"/>
          <w:b/>
          <w:bCs/>
          <w:lang w:val="es-ES_tradnl"/>
        </w:rPr>
      </w:pPr>
      <w:r w:rsidRPr="00DF2A21">
        <w:rPr>
          <w:rFonts w:ascii="Verdana" w:eastAsia="Arial" w:hAnsi="Verdana" w:cs="Arial"/>
          <w:b/>
          <w:bCs/>
          <w:lang w:val="es-ES_tradnl"/>
        </w:rPr>
        <w:t>2. Respuesta:</w:t>
      </w:r>
    </w:p>
    <w:p w14:paraId="668FB4AE" w14:textId="77777777" w:rsidR="00DF2A21" w:rsidRPr="00DF2A21" w:rsidRDefault="00DF2A21" w:rsidP="00DF2A21">
      <w:pPr>
        <w:spacing w:after="0"/>
        <w:rPr>
          <w:rFonts w:ascii="Verdana" w:eastAsia="Aptos" w:hAnsi="Verdana" w:cs="Times New Roman"/>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2A21" w:rsidRPr="00DF2A21" w14:paraId="53C1FE65" w14:textId="77777777" w:rsidTr="007319B1">
        <w:tc>
          <w:tcPr>
            <w:tcW w:w="8828" w:type="dxa"/>
          </w:tcPr>
          <w:p w14:paraId="32136BCD" w14:textId="77777777" w:rsidR="00DF2A21" w:rsidRPr="00DF2A21" w:rsidRDefault="00DF2A21" w:rsidP="00DF2A21">
            <w:pPr>
              <w:tabs>
                <w:tab w:val="left" w:pos="-142"/>
              </w:tabs>
              <w:autoSpaceDE w:val="0"/>
              <w:autoSpaceDN w:val="0"/>
              <w:adjustRightInd w:val="0"/>
              <w:spacing w:after="120" w:line="276" w:lineRule="auto"/>
              <w:jc w:val="both"/>
              <w:outlineLvl w:val="2"/>
              <w:rPr>
                <w:rFonts w:ascii="Verdana" w:eastAsia="Times New Roman" w:hAnsi="Verdana" w:cs="Arial"/>
                <w:shd w:val="clear" w:color="auto" w:fill="FFFFFF"/>
                <w:lang w:val="es-ES_tradnl" w:eastAsia="es-ES_tradnl"/>
              </w:rPr>
            </w:pPr>
            <w:bookmarkStart w:id="2" w:name="_Hlk171067516"/>
            <w:r w:rsidRPr="00DF2A21">
              <w:rPr>
                <w:rFonts w:ascii="Verdana" w:eastAsia="Calibri" w:hAnsi="Verdana" w:cs="Arial"/>
              </w:rPr>
              <w:t xml:space="preserve">El numeral </w:t>
            </w:r>
            <w:r w:rsidRPr="00DF2A21">
              <w:rPr>
                <w:rFonts w:ascii="Verdana" w:eastAsia="Calibri" w:hAnsi="Verdana" w:cs="Arial"/>
                <w:lang w:eastAsia="es-ES"/>
              </w:rPr>
              <w:t>4.1.4. “</w:t>
            </w:r>
            <w:r w:rsidRPr="00DF2A21">
              <w:rPr>
                <w:rFonts w:ascii="Verdana" w:eastAsia="Arial" w:hAnsi="Verdana" w:cs="Arial"/>
                <w:lang w:eastAsia="es-ES"/>
              </w:rPr>
              <w:t xml:space="preserve">Determinación del método para la ponderación de la propuesta económica”, contenido en el documento base de los documentos tipo de licitación de obra pública de infraestructura de transporte –versión 4–, contiene </w:t>
            </w:r>
            <w:r w:rsidRPr="00DF2A21">
              <w:rPr>
                <w:rFonts w:ascii="Verdana" w:eastAsia="Calibri" w:hAnsi="Verdana" w:cs="Arial"/>
                <w:lang w:val="x-none" w:eastAsia="es-ES"/>
              </w:rPr>
              <w:t>cuatro</w:t>
            </w:r>
            <w:r w:rsidRPr="00DF2A21">
              <w:rPr>
                <w:rFonts w:ascii="Verdana" w:eastAsia="Calibri" w:hAnsi="Verdana" w:cs="Arial"/>
                <w:lang w:val="es-MX" w:eastAsia="es-ES"/>
              </w:rPr>
              <w:t xml:space="preserve"> (4)</w:t>
            </w:r>
            <w:r w:rsidRPr="00DF2A21">
              <w:rPr>
                <w:rFonts w:ascii="Verdana" w:eastAsia="Calibri" w:hAnsi="Verdana" w:cs="Arial"/>
                <w:lang w:val="x-none" w:eastAsia="es-ES"/>
              </w:rPr>
              <w:t xml:space="preserve"> alternativas para escoger el método de ponderación de la</w:t>
            </w:r>
            <w:r w:rsidRPr="00DF2A21">
              <w:rPr>
                <w:rFonts w:ascii="Verdana" w:eastAsia="Calibri" w:hAnsi="Verdana" w:cs="Arial"/>
                <w:lang w:eastAsia="es-ES"/>
              </w:rPr>
              <w:t>s</w:t>
            </w:r>
            <w:r w:rsidRPr="00DF2A21">
              <w:rPr>
                <w:rFonts w:ascii="Verdana" w:eastAsia="Calibri" w:hAnsi="Verdana" w:cs="Arial"/>
                <w:lang w:val="x-none" w:eastAsia="es-ES"/>
              </w:rPr>
              <w:t xml:space="preserve"> propuesta</w:t>
            </w:r>
            <w:r w:rsidRPr="00DF2A21">
              <w:rPr>
                <w:rFonts w:ascii="Verdana" w:eastAsia="Calibri" w:hAnsi="Verdana" w:cs="Arial"/>
                <w:lang w:eastAsia="es-ES"/>
              </w:rPr>
              <w:t>s</w:t>
            </w:r>
            <w:r w:rsidRPr="00DF2A21">
              <w:rPr>
                <w:rFonts w:ascii="Verdana" w:eastAsia="Calibri" w:hAnsi="Verdana" w:cs="Arial"/>
                <w:lang w:val="x-none" w:eastAsia="es-ES"/>
              </w:rPr>
              <w:t xml:space="preserve"> económica</w:t>
            </w:r>
            <w:r w:rsidRPr="00DF2A21">
              <w:rPr>
                <w:rFonts w:ascii="Verdana" w:eastAsia="Calibri" w:hAnsi="Verdana" w:cs="Arial"/>
                <w:lang w:eastAsia="es-ES"/>
              </w:rPr>
              <w:t>s</w:t>
            </w:r>
            <w:r w:rsidRPr="00DF2A21">
              <w:rPr>
                <w:rFonts w:ascii="Verdana" w:eastAsia="Calibri" w:hAnsi="Verdana" w:cs="Arial"/>
                <w:lang w:val="x-none" w:eastAsia="es-ES"/>
              </w:rPr>
              <w:t>, a saber: i) mediana con valor absoluto; ii) media geométrica; iii) media aritmética baja, y iv) menor valor.</w:t>
            </w:r>
            <w:r w:rsidRPr="00DF2A21">
              <w:rPr>
                <w:rFonts w:ascii="Verdana" w:eastAsia="Calibri" w:hAnsi="Verdana" w:cs="Arial"/>
                <w:lang w:eastAsia="es-ES"/>
              </w:rPr>
              <w:t xml:space="preserve"> A partir de estas </w:t>
            </w:r>
            <w:r w:rsidRPr="00DF2A21">
              <w:rPr>
                <w:rFonts w:ascii="Verdana" w:eastAsia="Calibri" w:hAnsi="Verdana" w:cs="Arial"/>
                <w:lang w:eastAsia="es-ES"/>
              </w:rPr>
              <w:lastRenderedPageBreak/>
              <w:t>alternativas</w:t>
            </w:r>
            <w:r w:rsidRPr="00DF2A21">
              <w:rPr>
                <w:rFonts w:ascii="Verdana" w:eastAsia="Calibri" w:hAnsi="Verdana" w:cs="Arial"/>
                <w:lang w:val="x-none" w:eastAsia="es-ES"/>
              </w:rPr>
              <w:t>, la entidad</w:t>
            </w:r>
            <w:r w:rsidRPr="00DF2A21">
              <w:rPr>
                <w:rFonts w:ascii="Verdana" w:eastAsia="Calibri" w:hAnsi="Verdana" w:cs="Arial"/>
                <w:lang w:val="es-ES" w:eastAsia="es-ES"/>
              </w:rPr>
              <w:t>,</w:t>
            </w:r>
            <w:r w:rsidRPr="00DF2A21">
              <w:rPr>
                <w:rFonts w:ascii="Verdana" w:eastAsia="Calibri" w:hAnsi="Verdana" w:cs="Arial"/>
                <w:lang w:val="x-none" w:eastAsia="es-ES"/>
              </w:rPr>
              <w:t xml:space="preserve"> para establecer el método de ponderación</w:t>
            </w:r>
            <w:r w:rsidRPr="00DF2A21">
              <w:rPr>
                <w:rFonts w:ascii="Verdana" w:eastAsia="Calibri" w:hAnsi="Verdana" w:cs="Arial"/>
                <w:lang w:val="es-ES" w:eastAsia="es-ES"/>
              </w:rPr>
              <w:t>,</w:t>
            </w:r>
            <w:r w:rsidRPr="00DF2A21">
              <w:rPr>
                <w:rFonts w:ascii="Verdana" w:eastAsia="Calibri" w:hAnsi="Verdana" w:cs="Arial"/>
                <w:lang w:val="x-none" w:eastAsia="es-ES"/>
              </w:rPr>
              <w:t xml:space="preserve"> tomará los centavos de la Tasa de Cambio Representativa del Mercado (TRM), certificada por la Superintendencia Financiera de Colombia</w:t>
            </w:r>
            <w:r w:rsidRPr="00DF2A21">
              <w:rPr>
                <w:rFonts w:ascii="Verdana" w:eastAsia="Calibri" w:hAnsi="Verdana" w:cs="Arial"/>
                <w:color w:val="3A3A3A"/>
                <w:lang w:val="x-none" w:eastAsia="es-ES"/>
              </w:rPr>
              <w:t>.</w:t>
            </w:r>
            <w:r w:rsidRPr="00DF2A21">
              <w:rPr>
                <w:rFonts w:ascii="Verdana" w:eastAsia="Calibri" w:hAnsi="Verdana" w:cs="Arial"/>
                <w:lang w:val="x-none" w:eastAsia="es-ES"/>
              </w:rPr>
              <w:t xml:space="preserve"> </w:t>
            </w:r>
            <w:r w:rsidRPr="00DF2A21">
              <w:rPr>
                <w:rFonts w:ascii="Verdana" w:eastAsia="Times New Roman" w:hAnsi="Verdana" w:cs="Arial"/>
                <w:shd w:val="clear" w:color="auto" w:fill="FFFFFF"/>
                <w:lang w:val="es-ES_tradnl" w:eastAsia="es-ES_tradnl"/>
              </w:rPr>
              <w:t xml:space="preserve"> </w:t>
            </w:r>
          </w:p>
          <w:p w14:paraId="2E1B633A"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 xml:space="preserve"> Debe advertirse entonces que, 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6BBA740C" w14:textId="77777777" w:rsidR="00DF2A21" w:rsidRPr="00DF2A21" w:rsidRDefault="00DF2A21" w:rsidP="00DF2A21">
            <w:pPr>
              <w:snapToGrid w:val="0"/>
              <w:spacing w:line="276" w:lineRule="auto"/>
              <w:ind w:firstLine="709"/>
              <w:jc w:val="both"/>
              <w:rPr>
                <w:rFonts w:ascii="Verdana" w:eastAsia="Aptos" w:hAnsi="Verdana" w:cs="Times New Roman"/>
                <w:lang w:val="es-MX"/>
              </w:rPr>
            </w:pPr>
            <w:r w:rsidRPr="00DF2A21">
              <w:rPr>
                <w:rFonts w:ascii="Verdana" w:eastAsia="Times New Roman" w:hAnsi="Verdana" w:cs="Arial"/>
                <w:lang w:val="es-ES" w:eastAsia="es-CO"/>
              </w:rPr>
              <w:t xml:space="preserve">Hay que señalar que, conforme al numeral 4.1.2 del documento base, </w:t>
            </w:r>
            <w:r w:rsidRPr="00DF2A21">
              <w:rPr>
                <w:rFonts w:ascii="Verdana" w:eastAsia="Aptos" w:hAnsi="Verdana" w:cs="Times New Roman"/>
                <w:lang w:val="es-MX"/>
              </w:rPr>
              <w:t>la Entidad solo efectuará correcciones aritméticas originadas por las situaciones descritas en este numeral. 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6B02D13D"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Agotado el procedimiento anterior, la entidad definirá el método de ponderación de las propuestas de acuerdo con las siguientes reglas:</w:t>
            </w:r>
          </w:p>
          <w:p w14:paraId="66220C1E"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Calibri" w:hAnsi="Verdana" w:cs="Times New Roman"/>
                <w:lang w:val="es-ES"/>
              </w:rPr>
              <w:t>i) Deberá pronunciarse sobre las propuestas que han sido rechazadas y las que se encuentran válidas.</w:t>
            </w:r>
          </w:p>
          <w:p w14:paraId="4337B796"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proofErr w:type="spellStart"/>
            <w:r w:rsidRPr="00DF2A21">
              <w:rPr>
                <w:rFonts w:ascii="Verdana" w:eastAsia="Calibri" w:hAnsi="Verdana" w:cs="Times New Roman"/>
                <w:lang w:val="es-ES"/>
              </w:rPr>
              <w:t>ii</w:t>
            </w:r>
            <w:proofErr w:type="spellEnd"/>
            <w:r w:rsidRPr="00DF2A21">
              <w:rPr>
                <w:rFonts w:ascii="Verdana" w:eastAsia="Calibri" w:hAnsi="Verdana" w:cs="Times New Roman"/>
                <w:lang w:val="es-ES"/>
              </w:rPr>
              <w:t>) Si este pronunciamiento se realiza hasta las 3:00 pm, la entidad tomará la TRM que rija para el día hábil siguiente.</w:t>
            </w:r>
          </w:p>
          <w:p w14:paraId="4B8AC36B" w14:textId="77777777" w:rsidR="00DF2A21" w:rsidRPr="00DF2A21" w:rsidRDefault="00DF2A21" w:rsidP="00DF2A21">
            <w:pPr>
              <w:snapToGrid w:val="0"/>
              <w:spacing w:after="120" w:line="276" w:lineRule="auto"/>
              <w:ind w:firstLine="709"/>
              <w:jc w:val="both"/>
              <w:rPr>
                <w:rFonts w:ascii="Verdana" w:eastAsia="Calibri" w:hAnsi="Verdana" w:cs="Times New Roman"/>
                <w:lang w:val="es-MX"/>
              </w:rPr>
            </w:pPr>
            <w:proofErr w:type="spellStart"/>
            <w:r w:rsidRPr="00DF2A21">
              <w:rPr>
                <w:rFonts w:ascii="Verdana" w:eastAsia="Calibri" w:hAnsi="Verdana" w:cs="Times New Roman"/>
                <w:lang w:val="es-ES"/>
              </w:rPr>
              <w:t>iii</w:t>
            </w:r>
            <w:proofErr w:type="spellEnd"/>
            <w:r w:rsidRPr="00DF2A21">
              <w:rPr>
                <w:rFonts w:ascii="Verdana" w:eastAsia="Calibri" w:hAnsi="Verdana" w:cs="Times New Roman"/>
                <w:lang w:val="es-ES"/>
              </w:rPr>
              <w:t>) Si el pronunciamiento se da después de las 3:00 pm, la entidad tomará la TRM que rija para el segundo día hábil siguiente.</w:t>
            </w:r>
          </w:p>
          <w:p w14:paraId="2577B61E"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 xml:space="preserve">En este sentido, el numeral 4.1.4 al regular el mecanismo de escogencia del método de ponderación, dispone las reglas que debe seguir la entidad para determinarlo. Esto inicia con el pronunciamiento de la entidad sobre las propuestas u ofertas económicas rechazadas y las válidas. </w:t>
            </w:r>
          </w:p>
          <w:p w14:paraId="7C9252FE"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 xml:space="preserve">Ahora bien, si este pronunciamiento se realiza antes de las 3:00 p.m., la regla contenida en el numeral 4.1.4 establece que se tomará la TRM vigente para el día hábil siguiente. De este modo, fijar una hora límite para el </w:t>
            </w:r>
            <w:r w:rsidRPr="00DF2A21">
              <w:rPr>
                <w:rFonts w:ascii="Verdana" w:eastAsia="Calibri" w:hAnsi="Verdana" w:cs="Arial"/>
                <w:lang w:val="es-ES"/>
              </w:rPr>
              <w:lastRenderedPageBreak/>
              <w:t>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1486E006"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154D0280"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4665A471"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 xml:space="preserve">En consecuencia, el anterior corresponde al procedimiento para determinar el método de ponderación de la propuesta económica en los documentos tipo de licitación pública de infraestructura de transporte – versión 4. Por lo tanto, cualquier situación particular o inobservancia </w:t>
            </w:r>
            <w:proofErr w:type="gramStart"/>
            <w:r w:rsidRPr="00DF2A21">
              <w:rPr>
                <w:rFonts w:ascii="Verdana" w:eastAsia="Times New Roman" w:hAnsi="Verdana" w:cs="Arial"/>
                <w:lang w:val="es-ES" w:eastAsia="es-CO"/>
              </w:rPr>
              <w:t>del mismo</w:t>
            </w:r>
            <w:proofErr w:type="gramEnd"/>
            <w:r w:rsidRPr="00DF2A21">
              <w:rPr>
                <w:rFonts w:ascii="Verdana" w:eastAsia="Times New Roman" w:hAnsi="Verdana" w:cs="Arial"/>
                <w:lang w:val="es-ES" w:eastAsia="es-CO"/>
              </w:rPr>
              <w:t xml:space="preserve"> se escapa de la órbita de competencia de Colombia Compra Eficiente.   </w:t>
            </w:r>
          </w:p>
          <w:p w14:paraId="446268E1" w14:textId="77777777" w:rsidR="00DF2A21" w:rsidRPr="00DF2A21" w:rsidRDefault="00DF2A21" w:rsidP="00DF2A21">
            <w:pPr>
              <w:snapToGrid w:val="0"/>
              <w:spacing w:after="120" w:line="276" w:lineRule="auto"/>
              <w:ind w:firstLine="709"/>
              <w:jc w:val="both"/>
              <w:rPr>
                <w:rFonts w:ascii="Verdana" w:eastAsia="Aptos" w:hAnsi="Verdana" w:cs="Aptos"/>
                <w:kern w:val="2"/>
                <w:lang w:val="es-ES_tradnl"/>
                <w14:ligatures w14:val="standardContextual"/>
              </w:rPr>
            </w:pPr>
            <w:r w:rsidRPr="00DF2A21">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0E5E53D0" w14:textId="77777777" w:rsidR="00DF2A21" w:rsidRPr="00DF2A21" w:rsidRDefault="00DF2A21" w:rsidP="00DF2A21">
            <w:pPr>
              <w:spacing w:line="276" w:lineRule="auto"/>
              <w:ind w:firstLine="709"/>
              <w:jc w:val="both"/>
              <w:rPr>
                <w:rFonts w:ascii="Verdana" w:eastAsia="Calibri" w:hAnsi="Verdana" w:cs="Arial"/>
                <w:bCs/>
                <w:color w:val="000000"/>
                <w:kern w:val="2"/>
                <w:lang w:val="es-ES_tradnl" w:eastAsia="es-MX"/>
                <w14:ligatures w14:val="standardContextual"/>
              </w:rPr>
            </w:pPr>
            <w:r w:rsidRPr="00DF2A21">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w:t>
            </w:r>
            <w:r w:rsidRPr="00DF2A21">
              <w:rPr>
                <w:rFonts w:ascii="Verdana" w:eastAsia="Calibri" w:hAnsi="Verdana" w:cs="Arial"/>
                <w:bCs/>
                <w:color w:val="000000"/>
                <w:kern w:val="2"/>
                <w:lang w:val="es-ES_tradnl" w:eastAsia="es-MX"/>
                <w14:ligatures w14:val="standardContextual"/>
              </w:rPr>
              <w:lastRenderedPageBreak/>
              <w:t xml:space="preserve">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bookmarkEnd w:id="2"/>
    </w:tbl>
    <w:p w14:paraId="54494C7F" w14:textId="77777777" w:rsidR="00DF2A21" w:rsidRPr="00DF2A21" w:rsidRDefault="00DF2A21" w:rsidP="00DF2A21">
      <w:pPr>
        <w:widowControl w:val="0"/>
        <w:autoSpaceDE w:val="0"/>
        <w:autoSpaceDN w:val="0"/>
        <w:spacing w:before="1" w:after="0" w:line="240" w:lineRule="auto"/>
        <w:ind w:left="360" w:hanging="360"/>
        <w:outlineLvl w:val="0"/>
        <w:rPr>
          <w:rFonts w:ascii="Verdana" w:eastAsia="Arial" w:hAnsi="Verdana" w:cs="Arial"/>
          <w:b/>
          <w:bCs/>
          <w:lang w:val="es-ES_tradnl"/>
        </w:rPr>
      </w:pPr>
    </w:p>
    <w:p w14:paraId="1B087BE1" w14:textId="77777777" w:rsidR="00DF2A21" w:rsidRPr="00DF2A21" w:rsidRDefault="00DF2A21" w:rsidP="00DF2A21">
      <w:pPr>
        <w:widowControl w:val="0"/>
        <w:autoSpaceDE w:val="0"/>
        <w:autoSpaceDN w:val="0"/>
        <w:spacing w:before="1" w:after="0" w:line="240" w:lineRule="auto"/>
        <w:ind w:left="360" w:hanging="360"/>
        <w:outlineLvl w:val="0"/>
        <w:rPr>
          <w:rFonts w:ascii="Verdana" w:eastAsia="Arial" w:hAnsi="Verdana" w:cs="Arial"/>
          <w:b/>
          <w:bCs/>
          <w:lang w:val="es-ES_tradnl"/>
        </w:rPr>
      </w:pPr>
      <w:r w:rsidRPr="00DF2A21">
        <w:rPr>
          <w:rFonts w:ascii="Verdana" w:eastAsia="Arial" w:hAnsi="Verdana" w:cs="Arial"/>
          <w:b/>
          <w:bCs/>
          <w:lang w:val="es-ES_tradnl"/>
        </w:rPr>
        <w:t>3. Razones de la respuesta</w:t>
      </w:r>
    </w:p>
    <w:p w14:paraId="2F85351D" w14:textId="77777777" w:rsidR="00DF2A21" w:rsidRPr="00DF2A21" w:rsidRDefault="00DF2A21" w:rsidP="00DF2A21">
      <w:pPr>
        <w:spacing w:after="0" w:line="276" w:lineRule="auto"/>
        <w:jc w:val="both"/>
        <w:rPr>
          <w:rFonts w:ascii="Verdana" w:eastAsia="Calibri" w:hAnsi="Verdana" w:cs="Arial"/>
          <w:lang w:val="es-ES_tradnl"/>
        </w:rPr>
      </w:pPr>
    </w:p>
    <w:p w14:paraId="2453733A" w14:textId="77777777" w:rsidR="00DF2A21" w:rsidRPr="00DF2A21" w:rsidRDefault="00DF2A21" w:rsidP="00DF2A21">
      <w:pPr>
        <w:spacing w:after="0" w:line="276" w:lineRule="auto"/>
        <w:jc w:val="both"/>
        <w:rPr>
          <w:rFonts w:ascii="Verdana" w:eastAsia="Calibri" w:hAnsi="Verdana" w:cs="Arial"/>
          <w:lang w:val="es-ES_tradnl"/>
        </w:rPr>
      </w:pPr>
      <w:r w:rsidRPr="00DF2A21">
        <w:rPr>
          <w:rFonts w:ascii="Verdana" w:eastAsia="Calibri" w:hAnsi="Verdana" w:cs="Arial"/>
          <w:lang w:val="es-ES_tradnl"/>
        </w:rPr>
        <w:t xml:space="preserve">La respuesta anterior se sustenta en las siguientes consideraciones: </w:t>
      </w:r>
    </w:p>
    <w:p w14:paraId="30783BCF" w14:textId="77777777" w:rsidR="00DF2A21" w:rsidRPr="00DF2A21" w:rsidRDefault="00DF2A21" w:rsidP="00DF2A21">
      <w:pPr>
        <w:spacing w:after="0" w:line="276" w:lineRule="auto"/>
        <w:contextualSpacing/>
        <w:jc w:val="both"/>
        <w:rPr>
          <w:rFonts w:ascii="Verdana" w:eastAsia="Calibri" w:hAnsi="Verdana" w:cs="Arial"/>
          <w:lang w:val="es-ES_tradnl"/>
        </w:rPr>
      </w:pPr>
    </w:p>
    <w:p w14:paraId="0F9B2F79" w14:textId="77777777" w:rsidR="00DF2A21" w:rsidRPr="00DF2A21" w:rsidRDefault="00DF2A21" w:rsidP="00DF2A21">
      <w:pPr>
        <w:tabs>
          <w:tab w:val="left" w:pos="-142"/>
        </w:tabs>
        <w:autoSpaceDE w:val="0"/>
        <w:autoSpaceDN w:val="0"/>
        <w:adjustRightInd w:val="0"/>
        <w:spacing w:after="0" w:line="276" w:lineRule="auto"/>
        <w:jc w:val="both"/>
        <w:outlineLvl w:val="2"/>
        <w:rPr>
          <w:rFonts w:ascii="Verdana" w:eastAsia="Calibri" w:hAnsi="Verdana" w:cs="Arial"/>
          <w:lang w:val="x-none" w:eastAsia="es-ES"/>
        </w:rPr>
      </w:pPr>
      <w:r w:rsidRPr="00DF2A21">
        <w:rPr>
          <w:rFonts w:ascii="Verdana" w:eastAsia="Calibri" w:hAnsi="Verdana" w:cs="Arial"/>
        </w:rPr>
        <w:t xml:space="preserve">El numeral </w:t>
      </w:r>
      <w:bookmarkStart w:id="3" w:name="_Toc32147369"/>
      <w:bookmarkStart w:id="4" w:name="_Toc84413953"/>
      <w:bookmarkStart w:id="5" w:name="_Hlk511666009"/>
      <w:r w:rsidRPr="00DF2A21">
        <w:rPr>
          <w:rFonts w:ascii="Verdana" w:eastAsia="Calibri" w:hAnsi="Verdana" w:cs="Arial"/>
          <w:lang w:eastAsia="es-ES"/>
        </w:rPr>
        <w:t>4.1.4. “</w:t>
      </w:r>
      <w:r w:rsidRPr="00DF2A21">
        <w:rPr>
          <w:rFonts w:ascii="Verdana" w:eastAsia="Arial" w:hAnsi="Verdana" w:cs="Arial"/>
          <w:lang w:eastAsia="es-ES"/>
        </w:rPr>
        <w:t>Determinación del método para la ponderación de la propuesta económica</w:t>
      </w:r>
      <w:bookmarkEnd w:id="3"/>
      <w:bookmarkEnd w:id="4"/>
      <w:bookmarkEnd w:id="5"/>
      <w:r w:rsidRPr="00DF2A21">
        <w:rPr>
          <w:rFonts w:ascii="Verdana" w:eastAsia="Arial" w:hAnsi="Verdana" w:cs="Arial"/>
          <w:lang w:eastAsia="es-ES"/>
        </w:rPr>
        <w:t xml:space="preserve">”, contenido en el documento base de los documentos tipo de licitación de obra pública de infraestructura de transporte –versión 4–, contiene </w:t>
      </w:r>
      <w:r w:rsidRPr="00DF2A21">
        <w:rPr>
          <w:rFonts w:ascii="Verdana" w:eastAsia="Calibri" w:hAnsi="Verdana" w:cs="Arial"/>
          <w:lang w:val="x-none" w:eastAsia="es-ES"/>
        </w:rPr>
        <w:t>cuatro</w:t>
      </w:r>
      <w:r w:rsidRPr="00DF2A21">
        <w:rPr>
          <w:rFonts w:ascii="Verdana" w:eastAsia="Calibri" w:hAnsi="Verdana" w:cs="Arial"/>
          <w:lang w:val="es-MX" w:eastAsia="es-ES"/>
        </w:rPr>
        <w:t xml:space="preserve"> (4)</w:t>
      </w:r>
      <w:r w:rsidRPr="00DF2A21">
        <w:rPr>
          <w:rFonts w:ascii="Verdana" w:eastAsia="Calibri" w:hAnsi="Verdana" w:cs="Arial"/>
          <w:lang w:val="x-none" w:eastAsia="es-ES"/>
        </w:rPr>
        <w:t xml:space="preserve"> alternativas para escoger el método de ponderación de la</w:t>
      </w:r>
      <w:r w:rsidRPr="00DF2A21">
        <w:rPr>
          <w:rFonts w:ascii="Verdana" w:eastAsia="Calibri" w:hAnsi="Verdana" w:cs="Arial"/>
          <w:lang w:eastAsia="es-ES"/>
        </w:rPr>
        <w:t>s</w:t>
      </w:r>
      <w:r w:rsidRPr="00DF2A21">
        <w:rPr>
          <w:rFonts w:ascii="Verdana" w:eastAsia="Calibri" w:hAnsi="Verdana" w:cs="Arial"/>
          <w:lang w:val="x-none" w:eastAsia="es-ES"/>
        </w:rPr>
        <w:t xml:space="preserve"> propuesta</w:t>
      </w:r>
      <w:r w:rsidRPr="00DF2A21">
        <w:rPr>
          <w:rFonts w:ascii="Verdana" w:eastAsia="Calibri" w:hAnsi="Verdana" w:cs="Arial"/>
          <w:lang w:eastAsia="es-ES"/>
        </w:rPr>
        <w:t>s</w:t>
      </w:r>
      <w:r w:rsidRPr="00DF2A21">
        <w:rPr>
          <w:rFonts w:ascii="Verdana" w:eastAsia="Calibri" w:hAnsi="Verdana" w:cs="Arial"/>
          <w:lang w:val="x-none" w:eastAsia="es-ES"/>
        </w:rPr>
        <w:t xml:space="preserve"> económica</w:t>
      </w:r>
      <w:r w:rsidRPr="00DF2A21">
        <w:rPr>
          <w:rFonts w:ascii="Verdana" w:eastAsia="Calibri" w:hAnsi="Verdana" w:cs="Arial"/>
          <w:lang w:eastAsia="es-ES"/>
        </w:rPr>
        <w:t>s</w:t>
      </w:r>
      <w:r w:rsidRPr="00DF2A21">
        <w:rPr>
          <w:rFonts w:ascii="Verdana" w:eastAsia="Calibri" w:hAnsi="Verdana" w:cs="Arial"/>
          <w:lang w:val="x-none" w:eastAsia="es-ES"/>
        </w:rPr>
        <w:t>, a saber: i) mediana con valor absoluto; ii) media geométrica; iii) media aritmética baja, y iv) menor valor.</w:t>
      </w:r>
      <w:r w:rsidRPr="00DF2A21">
        <w:rPr>
          <w:rFonts w:ascii="Verdana" w:eastAsia="Calibri" w:hAnsi="Verdana" w:cs="Arial"/>
          <w:lang w:eastAsia="es-ES"/>
        </w:rPr>
        <w:t xml:space="preserve"> A partir de estas alternativas</w:t>
      </w:r>
      <w:r w:rsidRPr="00DF2A21">
        <w:rPr>
          <w:rFonts w:ascii="Verdana" w:eastAsia="Calibri" w:hAnsi="Verdana" w:cs="Arial"/>
          <w:lang w:val="x-none" w:eastAsia="es-ES"/>
        </w:rPr>
        <w:t>, la entidad</w:t>
      </w:r>
      <w:r w:rsidRPr="00DF2A21">
        <w:rPr>
          <w:rFonts w:ascii="Verdana" w:eastAsia="Calibri" w:hAnsi="Verdana" w:cs="Arial"/>
          <w:lang w:val="es-ES" w:eastAsia="es-ES"/>
        </w:rPr>
        <w:t>,</w:t>
      </w:r>
      <w:r w:rsidRPr="00DF2A21">
        <w:rPr>
          <w:rFonts w:ascii="Verdana" w:eastAsia="Calibri" w:hAnsi="Verdana" w:cs="Arial"/>
          <w:lang w:val="x-none" w:eastAsia="es-ES"/>
        </w:rPr>
        <w:t xml:space="preserve"> para establecer el método de ponderación</w:t>
      </w:r>
      <w:r w:rsidRPr="00DF2A21">
        <w:rPr>
          <w:rFonts w:ascii="Verdana" w:eastAsia="Calibri" w:hAnsi="Verdana" w:cs="Arial"/>
          <w:lang w:val="es-ES" w:eastAsia="es-ES"/>
        </w:rPr>
        <w:t>,</w:t>
      </w:r>
      <w:r w:rsidRPr="00DF2A21">
        <w:rPr>
          <w:rFonts w:ascii="Verdana" w:eastAsia="Calibri" w:hAnsi="Verdana" w:cs="Arial"/>
          <w:lang w:val="x-none" w:eastAsia="es-ES"/>
        </w:rPr>
        <w:t xml:space="preserve"> tomará los centavos de la Tasa de Cambio Representativa del Mercado (TRM), certificada por la Superintendencia Financiera de Colombia</w:t>
      </w:r>
      <w:r w:rsidRPr="00DF2A21">
        <w:rPr>
          <w:rFonts w:ascii="Verdana" w:eastAsia="Calibri" w:hAnsi="Verdana" w:cs="Arial"/>
          <w:color w:val="3A3A3A"/>
          <w:lang w:val="x-none" w:eastAsia="es-ES"/>
        </w:rPr>
        <w:t>.</w:t>
      </w:r>
      <w:r w:rsidRPr="00DF2A21">
        <w:rPr>
          <w:rFonts w:ascii="Verdana" w:eastAsia="Calibri" w:hAnsi="Verdana" w:cs="Arial"/>
          <w:lang w:val="x-none" w:eastAsia="es-ES"/>
        </w:rPr>
        <w:t xml:space="preserve"> Al respecto, el documento base señala lo siguiente:</w:t>
      </w:r>
    </w:p>
    <w:p w14:paraId="4F78DC12" w14:textId="77777777" w:rsidR="00DF2A21" w:rsidRPr="00DF2A21" w:rsidRDefault="00DF2A21" w:rsidP="00DF2A21">
      <w:pPr>
        <w:tabs>
          <w:tab w:val="left" w:pos="-142"/>
        </w:tabs>
        <w:autoSpaceDE w:val="0"/>
        <w:autoSpaceDN w:val="0"/>
        <w:adjustRightInd w:val="0"/>
        <w:spacing w:after="0" w:line="276" w:lineRule="auto"/>
        <w:ind w:left="720"/>
        <w:jc w:val="both"/>
        <w:outlineLvl w:val="2"/>
        <w:rPr>
          <w:rFonts w:ascii="Verdana" w:eastAsia="Calibri" w:hAnsi="Verdana" w:cs="Arial"/>
          <w:lang w:val="x-none" w:eastAsia="es-ES"/>
        </w:rPr>
      </w:pPr>
    </w:p>
    <w:p w14:paraId="6A9F7155"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lang w:val="es-MX"/>
        </w:rPr>
        <w:t>“La entidad seleccionará el método de ponderación de la propuesta económica de acuerdo con las siguientes alternativas:</w:t>
      </w:r>
    </w:p>
    <w:tbl>
      <w:tblPr>
        <w:tblStyle w:val="Tablaconcuadrcula"/>
        <w:tblW w:w="0" w:type="auto"/>
        <w:jc w:val="center"/>
        <w:tblLook w:val="04A0" w:firstRow="1" w:lastRow="0" w:firstColumn="1" w:lastColumn="0" w:noHBand="0" w:noVBand="1"/>
      </w:tblPr>
      <w:tblGrid>
        <w:gridCol w:w="1560"/>
        <w:gridCol w:w="1984"/>
      </w:tblGrid>
      <w:tr w:rsidR="00DF2A21" w:rsidRPr="00DF2A21" w14:paraId="0F43EA71" w14:textId="77777777" w:rsidTr="007319B1">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01CBBF12" w14:textId="77777777" w:rsidR="00DF2A21" w:rsidRPr="00DF2A21" w:rsidRDefault="00DF2A21" w:rsidP="00DF2A21">
            <w:pPr>
              <w:spacing w:line="276" w:lineRule="auto"/>
              <w:jc w:val="center"/>
              <w:rPr>
                <w:rFonts w:ascii="Verdana" w:eastAsia="Calibri" w:hAnsi="Verdana" w:cs="Arial"/>
                <w:b/>
                <w:bCs/>
                <w:color w:val="FFFFFF"/>
                <w:sz w:val="20"/>
                <w:szCs w:val="20"/>
              </w:rPr>
            </w:pPr>
            <w:bookmarkStart w:id="6" w:name="_Hlk511666058"/>
            <w:r w:rsidRPr="00DF2A21">
              <w:rPr>
                <w:rFonts w:ascii="Verdana" w:eastAsia="Calibri" w:hAnsi="Verdana" w:cs="Arial"/>
                <w:b/>
                <w:bCs/>
                <w:color w:val="FFFFFF"/>
                <w:sz w:val="20"/>
                <w:szCs w:val="20"/>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006DCC51" w14:textId="77777777" w:rsidR="00DF2A21" w:rsidRPr="00DF2A21" w:rsidRDefault="00DF2A21" w:rsidP="00DF2A21">
            <w:pPr>
              <w:spacing w:line="276" w:lineRule="auto"/>
              <w:jc w:val="center"/>
              <w:rPr>
                <w:rFonts w:ascii="Verdana" w:eastAsia="Calibri" w:hAnsi="Verdana" w:cs="Arial"/>
                <w:b/>
                <w:bCs/>
                <w:color w:val="FFFFFF"/>
                <w:sz w:val="20"/>
                <w:szCs w:val="20"/>
              </w:rPr>
            </w:pPr>
            <w:r w:rsidRPr="00DF2A21">
              <w:rPr>
                <w:rFonts w:ascii="Verdana" w:eastAsia="Calibri" w:hAnsi="Verdana" w:cs="Arial"/>
                <w:b/>
                <w:bCs/>
                <w:color w:val="FFFFFF"/>
                <w:sz w:val="20"/>
                <w:szCs w:val="20"/>
              </w:rPr>
              <w:t>Método</w:t>
            </w:r>
          </w:p>
        </w:tc>
      </w:tr>
      <w:tr w:rsidR="00DF2A21" w:rsidRPr="00DF2A21" w14:paraId="01CE92E2" w14:textId="77777777" w:rsidTr="007319B1">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3B859F34"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10395069"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Mediana con valor absoluto</w:t>
            </w:r>
          </w:p>
        </w:tc>
      </w:tr>
      <w:tr w:rsidR="00DF2A21" w:rsidRPr="00DF2A21" w14:paraId="26938CE5" w14:textId="77777777" w:rsidTr="007319B1">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CE58732"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3C80719E"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Media geométrica</w:t>
            </w:r>
          </w:p>
        </w:tc>
      </w:tr>
      <w:tr w:rsidR="00DF2A21" w:rsidRPr="00DF2A21" w14:paraId="29EF14EC" w14:textId="77777777" w:rsidTr="007319B1">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05910683"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3</w:t>
            </w:r>
          </w:p>
        </w:tc>
        <w:tc>
          <w:tcPr>
            <w:tcW w:w="1984" w:type="dxa"/>
            <w:tcBorders>
              <w:top w:val="single" w:sz="4" w:space="0" w:color="auto"/>
              <w:left w:val="single" w:sz="4" w:space="0" w:color="auto"/>
              <w:bottom w:val="single" w:sz="4" w:space="0" w:color="auto"/>
              <w:right w:val="double" w:sz="4" w:space="0" w:color="auto"/>
            </w:tcBorders>
            <w:vAlign w:val="center"/>
          </w:tcPr>
          <w:p w14:paraId="27B3707C"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Media aritmética baja</w:t>
            </w:r>
          </w:p>
        </w:tc>
      </w:tr>
      <w:tr w:rsidR="00DF2A21" w:rsidRPr="00DF2A21" w14:paraId="5A6D8311" w14:textId="77777777" w:rsidTr="007319B1">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54026D56"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4</w:t>
            </w:r>
          </w:p>
        </w:tc>
        <w:tc>
          <w:tcPr>
            <w:tcW w:w="1984" w:type="dxa"/>
            <w:tcBorders>
              <w:top w:val="single" w:sz="4" w:space="0" w:color="auto"/>
              <w:left w:val="single" w:sz="4" w:space="0" w:color="auto"/>
              <w:bottom w:val="double" w:sz="4" w:space="0" w:color="auto"/>
              <w:right w:val="double" w:sz="4" w:space="0" w:color="auto"/>
            </w:tcBorders>
            <w:vAlign w:val="center"/>
          </w:tcPr>
          <w:p w14:paraId="7C2960A5" w14:textId="77777777" w:rsidR="00DF2A21" w:rsidRPr="00DF2A21" w:rsidRDefault="00DF2A21" w:rsidP="00DF2A21">
            <w:pPr>
              <w:spacing w:line="276" w:lineRule="auto"/>
              <w:jc w:val="center"/>
              <w:rPr>
                <w:rFonts w:ascii="Verdana" w:eastAsia="Calibri" w:hAnsi="Verdana" w:cs="Arial"/>
                <w:sz w:val="20"/>
                <w:szCs w:val="20"/>
                <w:lang w:val="es-ES"/>
              </w:rPr>
            </w:pPr>
            <w:r w:rsidRPr="00DF2A21">
              <w:rPr>
                <w:rFonts w:ascii="Verdana" w:eastAsia="Calibri" w:hAnsi="Verdana" w:cs="Arial"/>
                <w:sz w:val="20"/>
                <w:szCs w:val="20"/>
                <w:lang w:val="es-ES"/>
              </w:rPr>
              <w:t>Menor valor</w:t>
            </w:r>
          </w:p>
        </w:tc>
      </w:tr>
      <w:bookmarkEnd w:id="6"/>
    </w:tbl>
    <w:p w14:paraId="3649F705" w14:textId="77777777" w:rsidR="00DF2A21" w:rsidRPr="00DF2A21" w:rsidRDefault="00DF2A21" w:rsidP="00DF2A21">
      <w:pPr>
        <w:ind w:right="709"/>
        <w:rPr>
          <w:rFonts w:ascii="Verdana" w:eastAsia="Calibri" w:hAnsi="Verdana" w:cs="Times New Roman"/>
          <w:sz w:val="21"/>
          <w:szCs w:val="21"/>
          <w:lang w:val="es-MX"/>
        </w:rPr>
      </w:pPr>
    </w:p>
    <w:p w14:paraId="4E965E78"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lang w:val="es-MX"/>
        </w:rPr>
        <w:t>Para determinar el método de ponderación, la entidad tomará los centavos de la Tasa de Cambio Representativa del Mercado (TRM), certificada por la Superintendencia Financiera de Colombia (en su sitio web: https://www.superfinanciera.gov.co/publicacion/60819).</w:t>
      </w:r>
    </w:p>
    <w:p w14:paraId="79B311C2"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rPr>
        <w:t xml:space="preserve">El día de la audiencia efectiva de adjudicación, la entidad iniciará respondiendo y resolviendo las observaciones presentadas al informe </w:t>
      </w:r>
      <w:r w:rsidRPr="00DF2A21">
        <w:rPr>
          <w:rFonts w:ascii="Verdana" w:eastAsia="Calibri" w:hAnsi="Verdana" w:cs="Times New Roman"/>
          <w:sz w:val="21"/>
          <w:szCs w:val="21"/>
        </w:rPr>
        <w:lastRenderedPageBreak/>
        <w:t>de evaluación, de conformidad con el numeral 2.6. Después, la entidad iniciará la apertura de los sobres de las ofertas económicas, verificará, si procede, determinará las correcciones aritméticas y solicitará la justificación de precios artificialmente bajos a que haya lugar, si es necesario, la entidad se pronunciará sobre las ofertas requeridas en los términos del numeral 4.1.3. Posteriormente, la entidad definirá el método de ponderación de las propuestas de acuerdo con las siguientes reglas:</w:t>
      </w:r>
      <w:r w:rsidRPr="00DF2A21">
        <w:rPr>
          <w:rFonts w:ascii="Verdana" w:eastAsia="Calibri" w:hAnsi="Verdana" w:cs="Times New Roman"/>
          <w:sz w:val="21"/>
          <w:szCs w:val="21"/>
          <w:lang w:val="es-MX"/>
        </w:rPr>
        <w:t> </w:t>
      </w:r>
    </w:p>
    <w:p w14:paraId="65BD3C74" w14:textId="77777777" w:rsidR="00DF2A21" w:rsidRPr="00DF2A21" w:rsidRDefault="00DF2A21" w:rsidP="00DF2A21">
      <w:pPr>
        <w:numPr>
          <w:ilvl w:val="0"/>
          <w:numId w:val="17"/>
        </w:numPr>
        <w:spacing w:after="0" w:line="240" w:lineRule="auto"/>
        <w:ind w:right="709"/>
        <w:contextualSpacing/>
        <w:jc w:val="both"/>
        <w:rPr>
          <w:rFonts w:ascii="Verdana" w:eastAsia="Calibri" w:hAnsi="Verdana" w:cs="Times New Roman"/>
          <w:sz w:val="21"/>
          <w:szCs w:val="21"/>
          <w:lang w:val="es-MX"/>
        </w:rPr>
      </w:pPr>
      <w:r w:rsidRPr="00DF2A21">
        <w:rPr>
          <w:rFonts w:ascii="Verdana" w:eastAsia="Calibri" w:hAnsi="Verdana" w:cs="Times New Roman"/>
          <w:sz w:val="21"/>
          <w:szCs w:val="21"/>
          <w:lang w:val="es-ES"/>
        </w:rPr>
        <w:t>Una vez agotado el procedimiento anterior, la Entidad deberá pronunciarse sobre las propuestas que han sido rechazadas y las que se encuentran validas. Si este pronunciamiento, se realiza hasta las 3:00 pm, la entidad tomará la TRM que rija para el día hábil siguiente.</w:t>
      </w:r>
      <w:r w:rsidRPr="00DF2A21" w:rsidDel="007C178D">
        <w:rPr>
          <w:rFonts w:ascii="Verdana" w:eastAsia="Calibri" w:hAnsi="Verdana" w:cs="Times New Roman"/>
          <w:sz w:val="21"/>
          <w:szCs w:val="21"/>
          <w:lang w:val="es-ES"/>
        </w:rPr>
        <w:t xml:space="preserve"> </w:t>
      </w:r>
      <w:r w:rsidRPr="00DF2A21">
        <w:rPr>
          <w:rFonts w:ascii="Verdana" w:eastAsia="Calibri" w:hAnsi="Verdana" w:cs="Times New Roman"/>
          <w:sz w:val="21"/>
          <w:szCs w:val="21"/>
          <w:lang w:val="es-ES"/>
        </w:rPr>
        <w:t>En caso contrario, cuando el pronunciamiento se dé después de las 3:00 pm, la entidad tomará la TRM que rija para el segundo día hábil siguiente.</w:t>
      </w:r>
    </w:p>
    <w:p w14:paraId="27C52D72" w14:textId="77777777" w:rsidR="00DF2A21" w:rsidRPr="00DF2A21" w:rsidRDefault="00DF2A21" w:rsidP="00DF2A21">
      <w:pPr>
        <w:spacing w:after="0" w:line="240" w:lineRule="auto"/>
        <w:ind w:left="1429" w:right="709"/>
        <w:contextualSpacing/>
        <w:jc w:val="both"/>
        <w:rPr>
          <w:rFonts w:ascii="Verdana" w:eastAsia="Calibri" w:hAnsi="Verdana" w:cs="Times New Roman"/>
          <w:sz w:val="21"/>
          <w:szCs w:val="21"/>
          <w:lang w:val="es-MX"/>
        </w:rPr>
      </w:pPr>
    </w:p>
    <w:p w14:paraId="526D3931"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rPr>
        <w:t>En este sentido, atendiendo a las circunstancias anteriores y las particularidades de cada caso, la entidad podrá optar por suspender la audiencia y reiniciarla cuando lo considere conveniente.</w:t>
      </w:r>
    </w:p>
    <w:p w14:paraId="4337F148"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rPr>
        <w:t>Una vez definido el método de ponderación de la oferta económica el mismo seguirá rigiendo aun cuando la entidad deba suspender la audiencia.</w:t>
      </w:r>
    </w:p>
    <w:p w14:paraId="543020E3"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rPr>
        <w:t>Al momento de definir o modificar el cronograma del Proceso de Contratación la entidad deberá verificar que el día hábil siguiente a la fecha de apertura de las ofertas económicas no corresponda a un día festivo en Estados Unidos, con el objetivo de no afectar el proceso de definición del método de ponderación de las propuestas.</w:t>
      </w:r>
      <w:r w:rsidRPr="00DF2A21">
        <w:rPr>
          <w:rFonts w:ascii="Verdana" w:eastAsia="Calibri" w:hAnsi="Verdana" w:cs="Times New Roman"/>
          <w:sz w:val="21"/>
          <w:szCs w:val="21"/>
          <w:lang w:val="es-MX"/>
        </w:rPr>
        <w:t> </w:t>
      </w:r>
    </w:p>
    <w:p w14:paraId="556A741D"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lang w:val="es-MX"/>
        </w:rPr>
        <w:t>El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3"/>
        <w:gridCol w:w="1109"/>
        <w:gridCol w:w="2503"/>
      </w:tblGrid>
      <w:tr w:rsidR="00DF2A21" w:rsidRPr="00DF2A21" w14:paraId="70674410" w14:textId="77777777" w:rsidTr="007319B1">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6FF55998" w14:textId="77777777" w:rsidR="00DF2A21" w:rsidRPr="00DF2A21" w:rsidRDefault="00DF2A21" w:rsidP="00DF2A21">
            <w:pPr>
              <w:spacing w:after="0" w:line="276" w:lineRule="auto"/>
              <w:jc w:val="center"/>
              <w:rPr>
                <w:rFonts w:ascii="Verdana" w:eastAsia="Arial,Calibri" w:hAnsi="Verdana" w:cs="Arial"/>
                <w:b/>
                <w:bCs/>
                <w:color w:val="FFFFFF"/>
                <w:sz w:val="20"/>
                <w:szCs w:val="20"/>
              </w:rPr>
            </w:pPr>
            <w:r w:rsidRPr="00DF2A21">
              <w:rPr>
                <w:rFonts w:ascii="Verdana" w:eastAsia="Calibri" w:hAnsi="Verdana" w:cs="Arial"/>
                <w:b/>
                <w:bCs/>
                <w:color w:val="FFFFFF"/>
                <w:sz w:val="20"/>
                <w:szCs w:val="20"/>
              </w:rPr>
              <w:t>Rango</w:t>
            </w:r>
            <w:r w:rsidRPr="00DF2A21">
              <w:rPr>
                <w:rFonts w:ascii="Verdana" w:eastAsia="Arial,Calibri" w:hAnsi="Verdana" w:cs="Arial"/>
                <w:b/>
                <w:bCs/>
                <w:color w:val="FFFFFF"/>
                <w:sz w:val="20"/>
                <w:szCs w:val="20"/>
              </w:rPr>
              <w:t xml:space="preserve"> </w:t>
            </w:r>
            <w:r w:rsidRPr="00DF2A21">
              <w:rPr>
                <w:rFonts w:ascii="Verdana" w:eastAsia="Calibri" w:hAnsi="Verdana" w:cs="Arial"/>
                <w:b/>
                <w:bCs/>
                <w:color w:val="FFFFFF"/>
                <w:sz w:val="20"/>
                <w:szCs w:val="20"/>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327B0CFD" w14:textId="77777777" w:rsidR="00DF2A21" w:rsidRPr="00DF2A21" w:rsidRDefault="00DF2A21" w:rsidP="00DF2A21">
            <w:pPr>
              <w:spacing w:after="0" w:line="276" w:lineRule="auto"/>
              <w:jc w:val="center"/>
              <w:rPr>
                <w:rFonts w:ascii="Verdana" w:eastAsia="Arial,Calibri" w:hAnsi="Verdana" w:cs="Arial"/>
                <w:b/>
                <w:bCs/>
                <w:color w:val="FFFFFF"/>
                <w:sz w:val="20"/>
                <w:szCs w:val="20"/>
              </w:rPr>
            </w:pPr>
            <w:r w:rsidRPr="00DF2A21">
              <w:rPr>
                <w:rFonts w:ascii="Verdana" w:eastAsia="Calibri" w:hAnsi="Verdana" w:cs="Arial"/>
                <w:b/>
                <w:bCs/>
                <w:color w:val="FFFFFF"/>
                <w:sz w:val="20"/>
                <w:szCs w:val="20"/>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35AE07A0" w14:textId="77777777" w:rsidR="00DF2A21" w:rsidRPr="00DF2A21" w:rsidRDefault="00DF2A21" w:rsidP="00DF2A21">
            <w:pPr>
              <w:spacing w:after="0" w:line="276" w:lineRule="auto"/>
              <w:jc w:val="center"/>
              <w:rPr>
                <w:rFonts w:ascii="Verdana" w:eastAsia="Arial,Calibri" w:hAnsi="Verdana" w:cs="Arial"/>
                <w:b/>
                <w:bCs/>
                <w:color w:val="FFFFFF"/>
                <w:sz w:val="20"/>
                <w:szCs w:val="20"/>
              </w:rPr>
            </w:pPr>
            <w:r w:rsidRPr="00DF2A21">
              <w:rPr>
                <w:rFonts w:ascii="Verdana" w:eastAsia="Calibri" w:hAnsi="Verdana" w:cs="Arial"/>
                <w:b/>
                <w:bCs/>
                <w:color w:val="FFFFFF"/>
                <w:sz w:val="20"/>
                <w:szCs w:val="20"/>
              </w:rPr>
              <w:t>Método</w:t>
            </w:r>
          </w:p>
        </w:tc>
      </w:tr>
      <w:tr w:rsidR="00DF2A21" w:rsidRPr="00DF2A21" w14:paraId="21069BEC" w14:textId="77777777" w:rsidTr="007319B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44AB09D5"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0A4F922" w14:textId="77777777" w:rsidR="00DF2A21" w:rsidRPr="00DF2A21" w:rsidRDefault="00DF2A21" w:rsidP="00DF2A21">
            <w:pPr>
              <w:spacing w:after="0" w:line="276" w:lineRule="auto"/>
              <w:jc w:val="center"/>
              <w:rPr>
                <w:rFonts w:ascii="Verdana" w:eastAsia="Arial,Times New Roman" w:hAnsi="Verdana" w:cs="Arial"/>
                <w:sz w:val="20"/>
                <w:szCs w:val="20"/>
                <w:lang w:val="es-ES" w:eastAsia="es-CO"/>
              </w:rPr>
            </w:pPr>
            <w:r w:rsidRPr="00DF2A21">
              <w:rPr>
                <w:rFonts w:ascii="Verdana" w:eastAsia="Calibri" w:hAnsi="Verdana"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03F67582" w14:textId="77777777" w:rsidR="00DF2A21" w:rsidRPr="00DF2A21" w:rsidRDefault="00DF2A21" w:rsidP="00DF2A21">
            <w:pPr>
              <w:spacing w:after="0" w:line="276" w:lineRule="auto"/>
              <w:jc w:val="center"/>
              <w:rPr>
                <w:rFonts w:ascii="Verdana" w:eastAsia="Arial,Times New Roman" w:hAnsi="Verdana" w:cs="Arial"/>
                <w:sz w:val="20"/>
                <w:szCs w:val="20"/>
                <w:lang w:val="es-ES" w:eastAsia="es-CO"/>
              </w:rPr>
            </w:pPr>
            <w:r w:rsidRPr="00DF2A21">
              <w:rPr>
                <w:rFonts w:ascii="Verdana" w:eastAsia="Calibri" w:hAnsi="Verdana" w:cs="Arial"/>
                <w:sz w:val="20"/>
                <w:szCs w:val="20"/>
                <w:lang w:val="es-ES" w:eastAsia="es-CO"/>
              </w:rPr>
              <w:t>Mediana con valor absoluto</w:t>
            </w:r>
          </w:p>
        </w:tc>
      </w:tr>
      <w:tr w:rsidR="00DF2A21" w:rsidRPr="00DF2A21" w14:paraId="221D133D" w14:textId="77777777" w:rsidTr="007319B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5988035"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167B3212" w14:textId="77777777" w:rsidR="00DF2A21" w:rsidRPr="00DF2A21" w:rsidRDefault="00DF2A21" w:rsidP="00DF2A21">
            <w:pPr>
              <w:spacing w:after="0" w:line="276" w:lineRule="auto"/>
              <w:jc w:val="center"/>
              <w:rPr>
                <w:rFonts w:ascii="Verdana" w:eastAsia="Arial,Times New Roman" w:hAnsi="Verdana" w:cs="Arial"/>
                <w:sz w:val="20"/>
                <w:szCs w:val="20"/>
                <w:lang w:val="es-ES" w:eastAsia="es-CO"/>
              </w:rPr>
            </w:pPr>
            <w:r w:rsidRPr="00DF2A21">
              <w:rPr>
                <w:rFonts w:ascii="Verdana" w:eastAsia="Arial,Times New Roman" w:hAnsi="Verdana"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0F3C9497" w14:textId="77777777" w:rsidR="00DF2A21" w:rsidRPr="00DF2A21" w:rsidRDefault="00DF2A21" w:rsidP="00DF2A21">
            <w:pPr>
              <w:spacing w:after="0" w:line="276" w:lineRule="auto"/>
              <w:jc w:val="center"/>
              <w:rPr>
                <w:rFonts w:ascii="Verdana" w:eastAsia="Arial,Times New Roman" w:hAnsi="Verdana" w:cs="Arial"/>
                <w:sz w:val="20"/>
                <w:szCs w:val="20"/>
                <w:lang w:val="es-ES" w:eastAsia="es-CO"/>
              </w:rPr>
            </w:pPr>
            <w:r w:rsidRPr="00DF2A21">
              <w:rPr>
                <w:rFonts w:ascii="Verdana" w:eastAsia="Calibri" w:hAnsi="Verdana" w:cs="Arial"/>
                <w:sz w:val="20"/>
                <w:szCs w:val="20"/>
                <w:lang w:val="es-ES" w:eastAsia="es-CO"/>
              </w:rPr>
              <w:t>Media geométrica</w:t>
            </w:r>
          </w:p>
        </w:tc>
      </w:tr>
      <w:tr w:rsidR="00DF2A21" w:rsidRPr="00DF2A21" w14:paraId="19462A01" w14:textId="77777777" w:rsidTr="007319B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5077CF58"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1F5A480D"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658ACF78"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Media aritmética baja</w:t>
            </w:r>
          </w:p>
        </w:tc>
      </w:tr>
      <w:tr w:rsidR="00DF2A21" w:rsidRPr="00DF2A21" w14:paraId="36BEBFA1" w14:textId="77777777" w:rsidTr="007319B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33C6220F"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53156E0B"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82B789B" w14:textId="77777777" w:rsidR="00DF2A21" w:rsidRPr="00DF2A21" w:rsidRDefault="00DF2A21" w:rsidP="00DF2A21">
            <w:pPr>
              <w:spacing w:after="0" w:line="276" w:lineRule="auto"/>
              <w:jc w:val="center"/>
              <w:rPr>
                <w:rFonts w:ascii="Verdana" w:eastAsia="Calibri" w:hAnsi="Verdana" w:cs="Arial"/>
                <w:sz w:val="20"/>
                <w:szCs w:val="20"/>
                <w:lang w:val="es-ES" w:eastAsia="es-CO"/>
              </w:rPr>
            </w:pPr>
            <w:r w:rsidRPr="00DF2A21">
              <w:rPr>
                <w:rFonts w:ascii="Verdana" w:eastAsia="Calibri" w:hAnsi="Verdana" w:cs="Arial"/>
                <w:sz w:val="20"/>
                <w:szCs w:val="20"/>
                <w:lang w:val="es-ES" w:eastAsia="es-CO"/>
              </w:rPr>
              <w:t>Menor valor</w:t>
            </w:r>
          </w:p>
        </w:tc>
      </w:tr>
    </w:tbl>
    <w:p w14:paraId="4ECA5DED" w14:textId="77777777" w:rsidR="00DF2A21" w:rsidRPr="00DF2A21" w:rsidRDefault="00DF2A21" w:rsidP="00DF2A21">
      <w:pPr>
        <w:ind w:right="709"/>
        <w:jc w:val="both"/>
        <w:rPr>
          <w:rFonts w:ascii="Verdana" w:eastAsia="Calibri" w:hAnsi="Verdana" w:cs="Times New Roman"/>
          <w:sz w:val="21"/>
          <w:szCs w:val="21"/>
          <w:lang w:val="es-MX"/>
        </w:rPr>
      </w:pPr>
    </w:p>
    <w:p w14:paraId="44823027"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lang w:val="es-MX"/>
        </w:rPr>
        <w:t>En todos los casos se tendrá en cuenta hasta el séptimo (7°) decimal del valor obtenido como puntaje y las fórmulas se aplicarán con las propuestas que no han sido rechazadas y se encuentran válidas.</w:t>
      </w:r>
    </w:p>
    <w:p w14:paraId="517E26F4" w14:textId="77777777" w:rsidR="00DF2A21" w:rsidRPr="00DF2A21" w:rsidRDefault="00DF2A21" w:rsidP="00DF2A21">
      <w:pPr>
        <w:spacing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highlight w:val="lightGray"/>
          <w:lang w:val="es-MX"/>
        </w:rPr>
        <w:t>[En los procesos de contratación estructurados por lotes, la TRM definirá el método con el cual se asignará el puntaje para el primer lote o segmento a adjudicar, según el orden definido por la entidad. Para la adjudicación del segundo lote o segmento se tomará el siguiente método de acuerdo con la tabla anterior, en orden ascendente de acuerdo con la numeración definida para los rangos, y así sucesivamente; teniendo en cuenta que se reiniciará desde el primer método en caso de agotarse el último método]</w:t>
      </w:r>
    </w:p>
    <w:p w14:paraId="6FA92FDC" w14:textId="77777777" w:rsidR="00DF2A21" w:rsidRPr="00DF2A21" w:rsidRDefault="00DF2A21" w:rsidP="00DF2A21">
      <w:pPr>
        <w:spacing w:after="0" w:line="240" w:lineRule="auto"/>
        <w:ind w:left="709" w:right="709"/>
        <w:jc w:val="both"/>
        <w:rPr>
          <w:rFonts w:ascii="Verdana" w:eastAsia="Calibri" w:hAnsi="Verdana" w:cs="Times New Roman"/>
          <w:sz w:val="21"/>
          <w:szCs w:val="21"/>
          <w:lang w:val="es-MX"/>
        </w:rPr>
      </w:pPr>
      <w:r w:rsidRPr="00DF2A21">
        <w:rPr>
          <w:rFonts w:ascii="Verdana" w:eastAsia="Calibri" w:hAnsi="Verdana" w:cs="Times New Roman"/>
          <w:sz w:val="21"/>
          <w:szCs w:val="21"/>
          <w:lang w:val="es-MX"/>
        </w:rPr>
        <w:t>Las propuestas que al aplicar las fórmulas obtengan puntajes negativos obtienen cero (0) puntos en la oferta económica”.</w:t>
      </w:r>
    </w:p>
    <w:p w14:paraId="489E073A" w14:textId="77777777" w:rsidR="00DF2A21" w:rsidRPr="00DF2A21" w:rsidRDefault="00DF2A21" w:rsidP="00DF2A21">
      <w:pPr>
        <w:spacing w:after="0"/>
        <w:ind w:left="709" w:right="709"/>
        <w:jc w:val="both"/>
        <w:rPr>
          <w:rFonts w:ascii="Verdana" w:eastAsia="Calibri" w:hAnsi="Verdana" w:cs="Times New Roman"/>
          <w:lang w:val="es-MX"/>
        </w:rPr>
      </w:pPr>
    </w:p>
    <w:p w14:paraId="71882318" w14:textId="77777777" w:rsidR="00DF2A21" w:rsidRPr="00DF2A21" w:rsidRDefault="00DF2A21" w:rsidP="00DF2A21">
      <w:pPr>
        <w:snapToGrid w:val="0"/>
        <w:spacing w:after="120" w:line="276" w:lineRule="auto"/>
        <w:ind w:firstLine="709"/>
        <w:jc w:val="both"/>
        <w:rPr>
          <w:rFonts w:ascii="Verdana" w:eastAsia="Calibri" w:hAnsi="Verdana" w:cs="Arial"/>
          <w:color w:val="000000"/>
          <w:lang w:val="es-ES_tradnl"/>
        </w:rPr>
      </w:pPr>
      <w:r w:rsidRPr="00DF2A21">
        <w:rPr>
          <w:rFonts w:ascii="Verdana" w:eastAsia="Calibri" w:hAnsi="Verdana" w:cs="Arial"/>
          <w:color w:val="000000"/>
          <w:lang w:val="es-ES_tradnl"/>
        </w:rPr>
        <w:t>La Tasa de Cambio Representativa del Mercado –TRM– “</w:t>
      </w:r>
      <w:r w:rsidRPr="00DF2A21">
        <w:rPr>
          <w:rFonts w:ascii="Verdana" w:eastAsia="Calibri" w:hAnsi="Verdana" w:cs="Arial"/>
          <w:lang w:val="es-ES"/>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DF2A21">
        <w:rPr>
          <w:rFonts w:ascii="Verdana" w:eastAsia="Calibri" w:hAnsi="Verdana" w:cs="Arial"/>
          <w:color w:val="000000"/>
          <w:lang w:val="es-ES_tradnl"/>
        </w:rPr>
        <w:t>”</w:t>
      </w:r>
      <w:r w:rsidRPr="00DF2A21">
        <w:rPr>
          <w:rFonts w:ascii="Verdana" w:eastAsia="Calibri" w:hAnsi="Verdana" w:cs="Times New Roman"/>
          <w:color w:val="000000"/>
          <w:vertAlign w:val="superscript"/>
          <w:lang w:val="es-ES_tradnl"/>
        </w:rPr>
        <w:footnoteReference w:id="1"/>
      </w:r>
      <w:r w:rsidRPr="00DF2A21">
        <w:rPr>
          <w:rFonts w:ascii="Verdana" w:eastAsia="Calibri" w:hAnsi="Verdana" w:cs="Arial"/>
          <w:color w:val="000000"/>
          <w:lang w:val="es-ES_tradnl"/>
        </w:rPr>
        <w:t>,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DF2A21">
        <w:rPr>
          <w:rFonts w:ascii="Verdana" w:eastAsia="Calibri" w:hAnsi="Verdana" w:cs="Times New Roman"/>
          <w:color w:val="000000"/>
          <w:vertAlign w:val="superscript"/>
          <w:lang w:val="es-ES_tradnl"/>
        </w:rPr>
        <w:footnoteReference w:id="2"/>
      </w:r>
      <w:r w:rsidRPr="00DF2A21">
        <w:rPr>
          <w:rFonts w:ascii="Verdana" w:eastAsia="Calibri" w:hAnsi="Verdana" w:cs="Arial"/>
          <w:color w:val="000000"/>
          <w:lang w:val="es-ES_tradnl"/>
        </w:rPr>
        <w:t xml:space="preserve">, de donde se desprende que la TRM es un valor que se origina en la fluctuación del mercado. </w:t>
      </w:r>
    </w:p>
    <w:p w14:paraId="0EB7468F"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 xml:space="preserve">De conformidad con lo anterior, se puede concluir que el método aleatorio para seleccionar la fórmula de ponderación de la oferta económica desestimula actos de corrupción, puesto que no es posible manipular la TRM para conocer con anticipación la fórmula aplicable y poder adjudicar al proponente por razones subjetivas. </w:t>
      </w:r>
    </w:p>
    <w:p w14:paraId="281A92B9"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lastRenderedPageBreak/>
        <w:t>Debe advertirse entonces que, el numeral 4.1.4 establece que el día de la audiencia efectiva de adjudicación, la entidad responderá y resolverá las observaciones presentadas al informe de evaluación y dará apertura de las ofertas económicas contenidas en los sobres No. 2. Además, “[…] verificará, si procede, determinará las correcciones aritméticas y solicitará la justificación de precios artificialmente bajos a que haya lugar, si es necesario, la entidad se pronunciará sobre las ofertas requeridas en los términos del numeral 4.1.3”.</w:t>
      </w:r>
    </w:p>
    <w:p w14:paraId="1E7B9495" w14:textId="77777777" w:rsidR="00DF2A21" w:rsidRPr="00DF2A21" w:rsidRDefault="00DF2A21" w:rsidP="00DF2A21">
      <w:pPr>
        <w:snapToGrid w:val="0"/>
        <w:spacing w:after="0" w:line="276" w:lineRule="auto"/>
        <w:ind w:firstLine="709"/>
        <w:rPr>
          <w:rFonts w:ascii="Verdana" w:eastAsia="Aptos" w:hAnsi="Verdana" w:cs="Times New Roman"/>
          <w:kern w:val="2"/>
          <w:lang w:val="es-MX"/>
          <w14:ligatures w14:val="standardContextual"/>
        </w:rPr>
      </w:pPr>
      <w:r w:rsidRPr="00DF2A21">
        <w:rPr>
          <w:rFonts w:ascii="Verdana" w:eastAsia="Times New Roman" w:hAnsi="Verdana" w:cs="Arial"/>
          <w:lang w:val="es-ES" w:eastAsia="es-CO"/>
        </w:rPr>
        <w:t xml:space="preserve">Hay que señalar que, conforme al numeral 4.1.2 del documento base, </w:t>
      </w:r>
      <w:r w:rsidRPr="00DF2A21">
        <w:rPr>
          <w:rFonts w:ascii="Verdana" w:eastAsia="Aptos" w:hAnsi="Verdana" w:cs="Times New Roman"/>
          <w:kern w:val="2"/>
          <w:lang w:val="es-MX"/>
          <w14:ligatures w14:val="standardContextual"/>
        </w:rPr>
        <w:t>la Entidad solo efectuará correcciones aritméticas originadas por:</w:t>
      </w:r>
    </w:p>
    <w:p w14:paraId="05FFD5A6" w14:textId="77777777" w:rsidR="00DF2A21" w:rsidRPr="00DF2A21" w:rsidRDefault="00DF2A21" w:rsidP="00DF2A21">
      <w:pPr>
        <w:snapToGrid w:val="0"/>
        <w:spacing w:after="0" w:line="276" w:lineRule="auto"/>
        <w:ind w:firstLine="709"/>
        <w:rPr>
          <w:rFonts w:ascii="Verdana" w:eastAsia="Aptos" w:hAnsi="Verdana" w:cs="Times New Roman"/>
          <w:kern w:val="2"/>
          <w:lang w:val="es-MX"/>
          <w14:ligatures w14:val="standardContextual"/>
        </w:rPr>
      </w:pPr>
    </w:p>
    <w:p w14:paraId="42B3F9A7" w14:textId="77777777" w:rsidR="00DF2A21" w:rsidRPr="00DF2A21" w:rsidRDefault="00DF2A21" w:rsidP="00DF2A21">
      <w:pPr>
        <w:spacing w:line="240" w:lineRule="auto"/>
        <w:ind w:left="709" w:right="709"/>
        <w:jc w:val="both"/>
        <w:rPr>
          <w:rFonts w:ascii="Verdana" w:eastAsia="Aptos" w:hAnsi="Verdana" w:cs="Arial"/>
          <w:kern w:val="2"/>
          <w:sz w:val="21"/>
          <w:szCs w:val="21"/>
          <w:lang w:val="es-MX"/>
          <w14:ligatures w14:val="standardContextual"/>
        </w:rPr>
      </w:pPr>
      <w:r w:rsidRPr="00DF2A21">
        <w:rPr>
          <w:rFonts w:ascii="Verdana" w:eastAsia="Aptos" w:hAnsi="Verdana" w:cs="Times New Roman"/>
          <w:kern w:val="2"/>
          <w:sz w:val="21"/>
          <w:szCs w:val="21"/>
          <w:lang w:val="es-MX"/>
          <w14:ligatures w14:val="standardContextual"/>
        </w:rPr>
        <w:t xml:space="preserve">“A. Las </w:t>
      </w:r>
      <w:r w:rsidRPr="00DF2A21">
        <w:rPr>
          <w:rFonts w:ascii="Verdana" w:eastAsia="Aptos" w:hAnsi="Verdana" w:cs="Arial"/>
          <w:kern w:val="2"/>
          <w:sz w:val="21"/>
          <w:szCs w:val="21"/>
          <w:lang w:val="es-ES_tradnl"/>
          <w14:ligatures w14:val="standardContextual"/>
        </w:rPr>
        <w:t>operaciones aritméticas a que haya lugar en la propuesta económica, cuando exista un error que surja de un cálculo meramente aritmético cuando la operación ha sido erróneamente realizada. </w:t>
      </w:r>
    </w:p>
    <w:p w14:paraId="0D7D45ED" w14:textId="77777777" w:rsidR="00DF2A21" w:rsidRPr="00DF2A21" w:rsidRDefault="00DF2A21" w:rsidP="00DF2A21">
      <w:pPr>
        <w:snapToGrid w:val="0"/>
        <w:spacing w:after="0" w:line="240" w:lineRule="auto"/>
        <w:ind w:left="709" w:right="709"/>
        <w:jc w:val="both"/>
        <w:rPr>
          <w:rFonts w:ascii="Verdana" w:eastAsia="Aptos" w:hAnsi="Verdana" w:cs="Arial"/>
          <w:i/>
          <w:iCs/>
          <w:kern w:val="2"/>
          <w:sz w:val="21"/>
          <w:szCs w:val="21"/>
          <w:lang w:val="es-ES_tradnl"/>
          <w14:ligatures w14:val="standardContextual"/>
        </w:rPr>
      </w:pPr>
      <w:r w:rsidRPr="00DF2A21">
        <w:rPr>
          <w:rFonts w:ascii="Verdana" w:eastAsia="Aptos" w:hAnsi="Verdana" w:cs="Times New Roman"/>
          <w:kern w:val="2"/>
          <w:sz w:val="21"/>
          <w:szCs w:val="21"/>
          <w:lang w:val="es-MX"/>
          <w14:ligatures w14:val="standardContextual"/>
        </w:rPr>
        <w:t xml:space="preserve">B. El ajuste </w:t>
      </w:r>
      <w:r w:rsidRPr="00DF2A21">
        <w:rPr>
          <w:rFonts w:ascii="Verdana" w:eastAsia="Aptos" w:hAnsi="Verdana" w:cs="Arial"/>
          <w:kern w:val="2"/>
          <w:sz w:val="21"/>
          <w:szCs w:val="21"/>
          <w:lang w:val="es-ES_tradnl"/>
          <w14:ligatures w14:val="standardContextual"/>
        </w:rPr>
        <w:t>ajuste al peso ya sea por exceso o por defecto de los precios unitarios contenidos en la propuesta económica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r w:rsidRPr="00DF2A21">
        <w:rPr>
          <w:rFonts w:ascii="Verdana" w:eastAsia="Aptos" w:hAnsi="Verdana" w:cs="Arial"/>
          <w:i/>
          <w:iCs/>
          <w:kern w:val="2"/>
          <w:sz w:val="21"/>
          <w:szCs w:val="21"/>
          <w:lang w:val="es-ES_tradnl"/>
          <w14:ligatures w14:val="standardContextual"/>
        </w:rPr>
        <w:t> </w:t>
      </w:r>
    </w:p>
    <w:p w14:paraId="19F048CD" w14:textId="77777777" w:rsidR="00DF2A21" w:rsidRPr="00DF2A21" w:rsidRDefault="00DF2A21" w:rsidP="00DF2A21">
      <w:pPr>
        <w:snapToGrid w:val="0"/>
        <w:spacing w:after="0" w:line="240" w:lineRule="auto"/>
        <w:ind w:left="709" w:right="709"/>
        <w:jc w:val="both"/>
        <w:rPr>
          <w:rFonts w:ascii="Verdana" w:eastAsia="Aptos" w:hAnsi="Verdana" w:cs="Times New Roman"/>
          <w:kern w:val="2"/>
          <w:lang w:val="es-MX"/>
          <w14:ligatures w14:val="standardContextual"/>
        </w:rPr>
      </w:pPr>
    </w:p>
    <w:p w14:paraId="3225A0B0" w14:textId="77777777" w:rsidR="00DF2A21" w:rsidRPr="00DF2A21" w:rsidRDefault="00DF2A21" w:rsidP="00DF2A21">
      <w:pPr>
        <w:snapToGrid w:val="0"/>
        <w:spacing w:after="120" w:line="276" w:lineRule="auto"/>
        <w:ind w:firstLine="709"/>
        <w:jc w:val="both"/>
        <w:rPr>
          <w:rFonts w:ascii="Verdana" w:eastAsia="Aptos" w:hAnsi="Verdana" w:cs="Times New Roman"/>
          <w:kern w:val="2"/>
          <w:lang w:val="es-MX"/>
          <w14:ligatures w14:val="standardContextual"/>
        </w:rPr>
      </w:pPr>
      <w:r w:rsidRPr="00DF2A21">
        <w:rPr>
          <w:rFonts w:ascii="Verdana" w:eastAsia="Aptos" w:hAnsi="Verdana" w:cs="Times New Roman"/>
          <w:kern w:val="2"/>
          <w:lang w:val="es-MX"/>
          <w14:ligatures w14:val="standardContextual"/>
        </w:rPr>
        <w:t>Así, la Entidad a partir del valor total corregido de las propuestas asignará el puntaje de conformidad con el proceso del numeral 4.1.4. A su vez, para evaluar la oferta económica, la Entidad tendrá en cuenta el valor total indicado en la propuesta económica o el obtenido de la corrección aritmética en alguno de los dos supuestos referidos en el numeral 4.1.2.</w:t>
      </w:r>
    </w:p>
    <w:p w14:paraId="68924CF6"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Agotado el procedimiento anterior, la entidad definirá el método de ponderación de las propuestas de acuerdo con las siguientes reglas:</w:t>
      </w:r>
    </w:p>
    <w:p w14:paraId="4F9F6F14"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Calibri" w:hAnsi="Verdana" w:cs="Times New Roman"/>
          <w:lang w:val="es-ES"/>
        </w:rPr>
        <w:t>i) Deberá pronunciarse sobre las propuestas que han sido rechazadas y las que se encuentran válidas.</w:t>
      </w:r>
    </w:p>
    <w:p w14:paraId="327539D1"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proofErr w:type="spellStart"/>
      <w:r w:rsidRPr="00DF2A21">
        <w:rPr>
          <w:rFonts w:ascii="Verdana" w:eastAsia="Calibri" w:hAnsi="Verdana" w:cs="Times New Roman"/>
          <w:lang w:val="es-ES"/>
        </w:rPr>
        <w:t>ii</w:t>
      </w:r>
      <w:proofErr w:type="spellEnd"/>
      <w:r w:rsidRPr="00DF2A21">
        <w:rPr>
          <w:rFonts w:ascii="Verdana" w:eastAsia="Calibri" w:hAnsi="Verdana" w:cs="Times New Roman"/>
          <w:lang w:val="es-ES"/>
        </w:rPr>
        <w:t>) Si este pronunciamiento se realiza hasta las 3:00 pm, la entidad tomará la TRM que rija para el día hábil siguiente.</w:t>
      </w:r>
    </w:p>
    <w:p w14:paraId="5637E1D0" w14:textId="77777777" w:rsidR="00DF2A21" w:rsidRPr="00DF2A21" w:rsidRDefault="00DF2A21" w:rsidP="00DF2A21">
      <w:pPr>
        <w:snapToGrid w:val="0"/>
        <w:spacing w:after="120" w:line="276" w:lineRule="auto"/>
        <w:ind w:firstLine="709"/>
        <w:jc w:val="both"/>
        <w:rPr>
          <w:rFonts w:ascii="Verdana" w:eastAsia="Calibri" w:hAnsi="Verdana" w:cs="Times New Roman"/>
          <w:lang w:val="es-MX"/>
        </w:rPr>
      </w:pPr>
      <w:proofErr w:type="spellStart"/>
      <w:r w:rsidRPr="00DF2A21">
        <w:rPr>
          <w:rFonts w:ascii="Verdana" w:eastAsia="Calibri" w:hAnsi="Verdana" w:cs="Times New Roman"/>
          <w:lang w:val="es-ES"/>
        </w:rPr>
        <w:t>iii</w:t>
      </w:r>
      <w:proofErr w:type="spellEnd"/>
      <w:r w:rsidRPr="00DF2A21">
        <w:rPr>
          <w:rFonts w:ascii="Verdana" w:eastAsia="Calibri" w:hAnsi="Verdana" w:cs="Times New Roman"/>
          <w:lang w:val="es-ES"/>
        </w:rPr>
        <w:t>) Si el pronunciamiento se da después de las 3:00 pm, la entidad tomará la TRM que rija para el segundo día hábil siguiente.</w:t>
      </w:r>
    </w:p>
    <w:p w14:paraId="38DECF11"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 xml:space="preserve">En este sentido, el numeral 4.1.4 al regular el mecanismo de escogencia del método de ponderación, dispone las reglas que debe seguir la entidad para </w:t>
      </w:r>
      <w:r w:rsidRPr="00DF2A21">
        <w:rPr>
          <w:rFonts w:ascii="Verdana" w:eastAsia="Calibri" w:hAnsi="Verdana" w:cs="Arial"/>
          <w:lang w:val="es-ES"/>
        </w:rPr>
        <w:lastRenderedPageBreak/>
        <w:t xml:space="preserve">determinarlo. Esto inicia con el pronunciamiento de la entidad sobre las propuestas u ofertas económicas rechazadas y las válidas. </w:t>
      </w:r>
    </w:p>
    <w:p w14:paraId="56BA853C"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Ahora bien, si este pronunciamiento se realiza antes de las 3:00 p.m., la regla contenida en el numeral 4.1.4 establece que se tomará la TRM vigente para el día hábil siguiente. De este modo, fijar una hora límite para el pronunciamiento garantiza que las entidades estatales no puedan conocer anticipadamente la TRM que determinará el método de ponderación, ya que esta es publicada por la Superfinanciera en un momento posterior al pronunciamiento, usualmente entre las 4:00 p.m. y las 6:00 p.m.</w:t>
      </w:r>
    </w:p>
    <w:p w14:paraId="4C962244" w14:textId="77777777" w:rsidR="00DF2A21" w:rsidRPr="00DF2A21" w:rsidRDefault="00DF2A21" w:rsidP="00DF2A21">
      <w:pPr>
        <w:snapToGrid w:val="0"/>
        <w:spacing w:after="120" w:line="276" w:lineRule="auto"/>
        <w:ind w:firstLine="709"/>
        <w:jc w:val="both"/>
        <w:rPr>
          <w:rFonts w:ascii="Verdana" w:eastAsia="Calibri" w:hAnsi="Verdana" w:cs="Arial"/>
          <w:lang w:val="es-ES"/>
        </w:rPr>
      </w:pPr>
      <w:r w:rsidRPr="00DF2A21">
        <w:rPr>
          <w:rFonts w:ascii="Verdana" w:eastAsia="Calibri" w:hAnsi="Verdana" w:cs="Arial"/>
          <w:lang w:val="es-ES"/>
        </w:rPr>
        <w:t>No obstante, si el pronunciamiento de la entidad sobre las propuestas rechazadas y válidas se realiza después de las 3:00 p.m., la regla establece que se tomará la TRM vigente para el segundo día hábil siguiente. Esta disposición busca evitar que la entidad conozca previamente la TRM que determinará el método de ponderación de las ofertas, dado que la Superintendencia la publicaría antes del pronunciamiento de la entidad.</w:t>
      </w:r>
    </w:p>
    <w:p w14:paraId="36AD71E1"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 xml:space="preserve">En ese orden de ideas, el numeral 4.1.4 establece que, para poder cumplir con estos supuestos, atendiendo a las particularidades de cada proceso, la entidad podrá suspender la audiencia y reiniciarla cuando lo estime conveniente. Además, señala que definido el método de ponderación de la oferta este seguirá rigiendo aun cuando se suspenda la audiencia. </w:t>
      </w:r>
    </w:p>
    <w:p w14:paraId="36F6A326"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Sin perjuicio de lo anterior, es importante precisar que, el literal A del numeral 4.1.4 del documento base de los documentos tipo en comento, dispone que, “[e]n el evento que solo exista una oferta habilitada respecto de la cual se vaya a realizar la apertura del sobre No 2, la Entidad podrá prescindir de la definición de la TRM y escogencia de método de ponderación de la oferta económica”.</w:t>
      </w:r>
    </w:p>
    <w:p w14:paraId="2EDDBD8D"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En ese sentido, cuando se trate de un único proponente habilitado, la entidad contratante podrá prescindir de la definición de la TRM y de la determinación del método de ponderación de la oferta económica, por lo que la asignación del puntaje se realizará, en su totalidad, frente a la oferta habilitada.</w:t>
      </w:r>
    </w:p>
    <w:p w14:paraId="0BBD8E69" w14:textId="77777777" w:rsidR="00DF2A21" w:rsidRPr="00DF2A21" w:rsidRDefault="00DF2A21" w:rsidP="00DF2A21">
      <w:pPr>
        <w:snapToGrid w:val="0"/>
        <w:spacing w:after="120" w:line="276" w:lineRule="auto"/>
        <w:ind w:firstLine="709"/>
        <w:jc w:val="both"/>
        <w:textAlignment w:val="baseline"/>
        <w:rPr>
          <w:rFonts w:ascii="Verdana" w:eastAsia="Times New Roman" w:hAnsi="Verdana" w:cs="Arial"/>
          <w:lang w:val="es-ES" w:eastAsia="es-CO"/>
        </w:rPr>
      </w:pPr>
      <w:r w:rsidRPr="00DF2A21">
        <w:rPr>
          <w:rFonts w:ascii="Verdana" w:eastAsia="Times New Roman" w:hAnsi="Verdana" w:cs="Arial"/>
          <w:lang w:val="es-ES" w:eastAsia="es-CO"/>
        </w:rPr>
        <w:t xml:space="preserve">En consecuencia, el anterior corresponde al procedimiento para determinar el método de ponderación de la propuesta económica en los documentos tipo de licitación pública de infraestructura de transporte – versión </w:t>
      </w:r>
      <w:r w:rsidRPr="00DF2A21">
        <w:rPr>
          <w:rFonts w:ascii="Verdana" w:eastAsia="Times New Roman" w:hAnsi="Verdana" w:cs="Arial"/>
          <w:lang w:val="es-ES" w:eastAsia="es-CO"/>
        </w:rPr>
        <w:lastRenderedPageBreak/>
        <w:t xml:space="preserve">4. Por lo tanto, cualquier situación particular o inobservancia </w:t>
      </w:r>
      <w:proofErr w:type="gramStart"/>
      <w:r w:rsidRPr="00DF2A21">
        <w:rPr>
          <w:rFonts w:ascii="Verdana" w:eastAsia="Times New Roman" w:hAnsi="Verdana" w:cs="Arial"/>
          <w:lang w:val="es-ES" w:eastAsia="es-CO"/>
        </w:rPr>
        <w:t>del mismo</w:t>
      </w:r>
      <w:proofErr w:type="gramEnd"/>
      <w:r w:rsidRPr="00DF2A21">
        <w:rPr>
          <w:rFonts w:ascii="Verdana" w:eastAsia="Times New Roman" w:hAnsi="Verdana" w:cs="Arial"/>
          <w:lang w:val="es-ES" w:eastAsia="es-CO"/>
        </w:rPr>
        <w:t xml:space="preserve"> se escapa de la órbita de competencia de Colombia Compra Eficiente.   </w:t>
      </w:r>
    </w:p>
    <w:p w14:paraId="020D10DD" w14:textId="77777777" w:rsidR="00DF2A21" w:rsidRPr="00DF2A21" w:rsidRDefault="00DF2A21" w:rsidP="00DF2A21">
      <w:pPr>
        <w:snapToGrid w:val="0"/>
        <w:spacing w:after="120" w:line="276" w:lineRule="auto"/>
        <w:ind w:firstLine="709"/>
        <w:jc w:val="both"/>
        <w:rPr>
          <w:rFonts w:ascii="Verdana" w:eastAsia="Aptos" w:hAnsi="Verdana" w:cs="Aptos"/>
          <w:kern w:val="2"/>
          <w:lang w:val="es-ES_tradnl"/>
          <w14:ligatures w14:val="standardContextual"/>
        </w:rPr>
      </w:pPr>
      <w:r w:rsidRPr="00DF2A21">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4A4CA309" w14:textId="77777777" w:rsidR="00DF2A21" w:rsidRPr="00DF2A21" w:rsidRDefault="00DF2A21" w:rsidP="00DF2A21">
      <w:pPr>
        <w:spacing w:after="0" w:line="276" w:lineRule="auto"/>
        <w:ind w:firstLine="709"/>
        <w:jc w:val="both"/>
        <w:rPr>
          <w:rFonts w:ascii="Verdana" w:eastAsia="Calibri" w:hAnsi="Verdana" w:cs="Arial"/>
          <w:bCs/>
          <w:color w:val="000000"/>
          <w:kern w:val="2"/>
          <w:lang w:val="es-ES_tradnl" w:eastAsia="es-MX"/>
          <w14:ligatures w14:val="standardContextual"/>
        </w:rPr>
      </w:pPr>
      <w:r w:rsidRPr="00DF2A21">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9176550" w14:textId="77777777" w:rsidR="00DF2A21" w:rsidRPr="00DF2A21" w:rsidRDefault="00DF2A21" w:rsidP="00DF2A21">
      <w:pPr>
        <w:spacing w:after="0" w:line="276" w:lineRule="auto"/>
        <w:contextualSpacing/>
        <w:rPr>
          <w:rFonts w:ascii="Verdana" w:eastAsia="Calibri" w:hAnsi="Verdana" w:cs="Arial"/>
          <w:lang w:val="es-ES_tradnl"/>
        </w:rPr>
      </w:pPr>
    </w:p>
    <w:p w14:paraId="1196A520" w14:textId="77777777" w:rsidR="00DF2A21" w:rsidRPr="00DF2A21" w:rsidRDefault="00DF2A21" w:rsidP="00DF2A21">
      <w:pPr>
        <w:widowControl w:val="0"/>
        <w:autoSpaceDE w:val="0"/>
        <w:autoSpaceDN w:val="0"/>
        <w:spacing w:after="0" w:line="240" w:lineRule="auto"/>
        <w:outlineLvl w:val="0"/>
        <w:rPr>
          <w:rFonts w:ascii="Verdana" w:eastAsia="Arial" w:hAnsi="Verdana" w:cs="Arial"/>
          <w:b/>
          <w:bCs/>
          <w:lang w:val="es-ES_tradnl"/>
        </w:rPr>
      </w:pPr>
      <w:r w:rsidRPr="00DF2A21">
        <w:rPr>
          <w:rFonts w:ascii="Verdana" w:eastAsia="Arial" w:hAnsi="Verdana" w:cs="Arial"/>
          <w:b/>
          <w:bCs/>
          <w:lang w:val="es-ES_tradnl"/>
        </w:rPr>
        <w:t>4.Referencias normativas, jurisprudenciales y otras fuentes:</w:t>
      </w:r>
    </w:p>
    <w:p w14:paraId="5B49883A" w14:textId="77777777" w:rsidR="00DF2A21" w:rsidRPr="00DF2A21" w:rsidRDefault="00DF2A21" w:rsidP="00DF2A21">
      <w:pPr>
        <w:widowControl w:val="0"/>
        <w:autoSpaceDE w:val="0"/>
        <w:autoSpaceDN w:val="0"/>
        <w:spacing w:after="0" w:line="276" w:lineRule="auto"/>
        <w:jc w:val="both"/>
        <w:rPr>
          <w:rFonts w:ascii="Verdana" w:eastAsia="Aptos"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2A21" w:rsidRPr="00DF2A21" w14:paraId="06AFCC86" w14:textId="77777777" w:rsidTr="007319B1">
        <w:trPr>
          <w:trHeight w:val="870"/>
        </w:trPr>
        <w:tc>
          <w:tcPr>
            <w:tcW w:w="8647" w:type="dxa"/>
          </w:tcPr>
          <w:p w14:paraId="2EFBFD7A" w14:textId="77777777" w:rsidR="00DF2A21" w:rsidRPr="00DF2A21" w:rsidRDefault="00DF2A21" w:rsidP="00DF2A21">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DF2A21">
              <w:rPr>
                <w:rFonts w:ascii="Verdana" w:eastAsia="Aptos" w:hAnsi="Verdana" w:cs="Arial"/>
                <w:lang w:val="es-ES_tradnl"/>
              </w:rPr>
              <w:t>Ley 80 de 1993, artículo 26.</w:t>
            </w:r>
          </w:p>
          <w:p w14:paraId="1437F416" w14:textId="77777777" w:rsidR="00DF2A21" w:rsidRPr="00DF2A21" w:rsidRDefault="00DF2A21" w:rsidP="00DF2A21">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DF2A21">
              <w:rPr>
                <w:rFonts w:ascii="Verdana" w:eastAsia="Aptos" w:hAnsi="Verdana" w:cs="Arial"/>
                <w:lang w:val="es-ES_tradnl"/>
              </w:rPr>
              <w:t>Ley 2022 de 2020, artículo 1.</w:t>
            </w:r>
          </w:p>
          <w:p w14:paraId="419B9D66" w14:textId="77777777" w:rsidR="00DF2A21" w:rsidRPr="00DF2A21" w:rsidRDefault="00DF2A21" w:rsidP="00DF2A21">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DF2A21">
              <w:rPr>
                <w:rFonts w:ascii="Verdana" w:eastAsia="Aptos" w:hAnsi="Verdana" w:cs="Arial"/>
                <w:lang w:val="es-ES_tradnl"/>
              </w:rPr>
              <w:t xml:space="preserve">Decreto 1082 de 2015, artículo </w:t>
            </w:r>
            <w:r w:rsidRPr="00DF2A21">
              <w:rPr>
                <w:rFonts w:ascii="Verdana" w:eastAsia="Aptos" w:hAnsi="Verdana" w:cs="Times New Roman"/>
                <w:lang w:val="es-ES_tradnl"/>
              </w:rPr>
              <w:t>2.2.1.1.2.2.4.</w:t>
            </w:r>
          </w:p>
          <w:p w14:paraId="09F22EBF" w14:textId="77777777" w:rsidR="00DF2A21" w:rsidRPr="00DF2A21" w:rsidRDefault="00DF2A21" w:rsidP="00DF2A21">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DF2A21">
              <w:rPr>
                <w:rFonts w:ascii="Verdana" w:eastAsia="Arial" w:hAnsi="Verdana" w:cs="Arial"/>
                <w:lang w:val="es-ES" w:eastAsia="es-ES" w:bidi="es-ES"/>
              </w:rPr>
              <w:t>Consejo de Estado, Sección Tercera, sentencia 4 de junio de 2008, radicado No. 17.783, M.P. Myriam Guerrero de Escobar.</w:t>
            </w:r>
          </w:p>
          <w:p w14:paraId="2AF7FCF3" w14:textId="77777777" w:rsidR="00DF2A21" w:rsidRPr="00DF2A21" w:rsidRDefault="00DF2A21" w:rsidP="00DF2A21">
            <w:pPr>
              <w:widowControl w:val="0"/>
              <w:numPr>
                <w:ilvl w:val="0"/>
                <w:numId w:val="16"/>
              </w:numPr>
              <w:autoSpaceDE w:val="0"/>
              <w:autoSpaceDN w:val="0"/>
              <w:snapToGrid w:val="0"/>
              <w:spacing w:after="120" w:line="276" w:lineRule="auto"/>
              <w:ind w:left="714" w:hanging="357"/>
              <w:jc w:val="both"/>
              <w:rPr>
                <w:rFonts w:ascii="Verdana" w:eastAsia="Aptos" w:hAnsi="Verdana" w:cs="Arial"/>
                <w:lang w:val="es-ES_tradnl"/>
              </w:rPr>
            </w:pPr>
            <w:r w:rsidRPr="00DF2A21">
              <w:rPr>
                <w:rFonts w:ascii="Verdana" w:eastAsia="Calibri" w:hAnsi="Verdana" w:cs="Arial"/>
              </w:rPr>
              <w:t xml:space="preserve">Guía para el manejo de ofertas artificialmente bajas en procesos de contratación expedida por la Agencia Nacional de Contratación Pública – Colombia Compra Eficiente. Disponible en: </w:t>
            </w:r>
            <w:hyperlink r:id="rId11" w:history="1">
              <w:r w:rsidRPr="00DF2A21">
                <w:rPr>
                  <w:rFonts w:ascii="Verdana" w:eastAsia="Calibri" w:hAnsi="Verdana" w:cs="Arial"/>
                  <w:color w:val="0000FF"/>
                  <w:u w:val="single"/>
                </w:rPr>
                <w:t>https://www.colombiacompra.gov.co/normativa-y-relatoria/guias-y-manuales</w:t>
              </w:r>
            </w:hyperlink>
            <w:r w:rsidRPr="00DF2A21">
              <w:rPr>
                <w:rFonts w:ascii="Verdana" w:eastAsia="Calibri" w:hAnsi="Verdana" w:cs="Arial"/>
              </w:rPr>
              <w:t xml:space="preserve">. </w:t>
            </w:r>
          </w:p>
        </w:tc>
      </w:tr>
    </w:tbl>
    <w:p w14:paraId="2145E6C8" w14:textId="77777777" w:rsidR="00DF2A21" w:rsidRPr="00DF2A21" w:rsidRDefault="00DF2A21" w:rsidP="00DF2A21">
      <w:pPr>
        <w:widowControl w:val="0"/>
        <w:autoSpaceDE w:val="0"/>
        <w:autoSpaceDN w:val="0"/>
        <w:spacing w:after="0" w:line="276" w:lineRule="auto"/>
        <w:jc w:val="both"/>
        <w:rPr>
          <w:rFonts w:ascii="Verdana" w:eastAsia="Aptos" w:hAnsi="Verdana" w:cs="Arial"/>
          <w:lang w:val="es-ES_tradnl"/>
        </w:rPr>
      </w:pPr>
    </w:p>
    <w:p w14:paraId="11B33FAE" w14:textId="77777777" w:rsidR="00DF2A21" w:rsidRPr="00DF2A21" w:rsidRDefault="00DF2A21" w:rsidP="00DF2A21">
      <w:pPr>
        <w:widowControl w:val="0"/>
        <w:autoSpaceDE w:val="0"/>
        <w:autoSpaceDN w:val="0"/>
        <w:spacing w:before="1" w:after="0" w:line="240" w:lineRule="auto"/>
        <w:outlineLvl w:val="0"/>
        <w:rPr>
          <w:rFonts w:ascii="Verdana" w:eastAsia="Arial" w:hAnsi="Verdana" w:cs="Arial"/>
          <w:b/>
          <w:bCs/>
          <w:lang w:val="es-ES_tradnl"/>
        </w:rPr>
      </w:pPr>
      <w:r w:rsidRPr="00DF2A21">
        <w:rPr>
          <w:rFonts w:ascii="Verdana" w:eastAsia="Arial" w:hAnsi="Verdana" w:cs="Arial"/>
          <w:b/>
          <w:bCs/>
          <w:lang w:val="es-ES_tradnl"/>
        </w:rPr>
        <w:lastRenderedPageBreak/>
        <w:t>5. Doctrina de la Agencia Nacional de Contratación Pública:</w:t>
      </w:r>
    </w:p>
    <w:p w14:paraId="249EB275" w14:textId="77777777" w:rsidR="00DF2A21" w:rsidRPr="00DF2A21" w:rsidRDefault="00DF2A21" w:rsidP="00DF2A21">
      <w:pPr>
        <w:widowControl w:val="0"/>
        <w:autoSpaceDE w:val="0"/>
        <w:autoSpaceDN w:val="0"/>
        <w:spacing w:after="0" w:line="276" w:lineRule="auto"/>
        <w:jc w:val="both"/>
        <w:rPr>
          <w:rFonts w:ascii="Verdana" w:eastAsia="Aptos" w:hAnsi="Verdana" w:cs="Arial"/>
          <w:lang w:val="es-ES_tradnl"/>
        </w:rPr>
      </w:pPr>
    </w:p>
    <w:p w14:paraId="7730E77A" w14:textId="77777777" w:rsidR="00DF2A21" w:rsidRPr="00DF2A21" w:rsidRDefault="00DF2A21" w:rsidP="00DF2A21">
      <w:pPr>
        <w:widowControl w:val="0"/>
        <w:autoSpaceDE w:val="0"/>
        <w:autoSpaceDN w:val="0"/>
        <w:spacing w:after="0" w:line="276" w:lineRule="auto"/>
        <w:jc w:val="both"/>
        <w:rPr>
          <w:rFonts w:ascii="Verdana" w:eastAsia="Times New Roman" w:hAnsi="Verdana" w:cs="Arial"/>
          <w:shd w:val="clear" w:color="auto" w:fill="FFFFFF"/>
          <w:lang w:val="es-ES_tradnl"/>
        </w:rPr>
      </w:pPr>
      <w:r w:rsidRPr="00DF2A21">
        <w:rPr>
          <w:rFonts w:ascii="Verdana" w:eastAsia="Calibri" w:hAnsi="Verdana" w:cs="Arial"/>
          <w:color w:val="000000"/>
          <w:kern w:val="2"/>
          <w:lang w:val="es-ES_tradnl"/>
          <w14:ligatures w14:val="standardContextual"/>
        </w:rPr>
        <w:t xml:space="preserve">La Agencia Nacional de Contratación Pública ‒ Colombia Compra Eficiente se </w:t>
      </w:r>
      <w:r w:rsidRPr="00DF2A21">
        <w:rPr>
          <w:rFonts w:ascii="Verdana" w:eastAsia="Calibri" w:hAnsi="Verdana" w:cs="Arial"/>
          <w:kern w:val="2"/>
          <w:sz w:val="24"/>
          <w:szCs w:val="24"/>
          <w:shd w:val="clear" w:color="auto" w:fill="FFFFFF"/>
          <w:lang w:val="es-ES"/>
          <w14:ligatures w14:val="standardContextual"/>
        </w:rPr>
        <w:t xml:space="preserve">pronunció sobre los métodos de ponderación en los documentos tipo, en los </w:t>
      </w:r>
      <w:r w:rsidRPr="00DF2A21">
        <w:rPr>
          <w:rFonts w:ascii="Verdana" w:eastAsia="Calibri" w:hAnsi="Verdana" w:cs="Arial"/>
          <w:kern w:val="2"/>
          <w:shd w:val="clear" w:color="auto" w:fill="FFFFFF"/>
          <w:lang w:val="es-ES_tradnl"/>
          <w14:ligatures w14:val="standardContextual"/>
        </w:rPr>
        <w:t>conceptos C-042 del 3 de marzo de 2021, C-174 del 26 de abril de 2021, C-402 y C-425 de 19 de agosto de 2021, C-209 del 02 de marzo de 2022, 20240322004912 del 22 de marzo de 2024, C-546 del 11 de octubre de 2024, C-555 del 25 de octubre de 2024, C-843 del 26 de diciembre de 2024, C-164 del 20 de marzo de 2025, C-497 del 5 de junio de 2025, C-850 del 8 de agosto de 2025 y C-1778 del 30 de diciembre de 2025</w:t>
      </w:r>
      <w:r w:rsidRPr="00DF2A21">
        <w:rPr>
          <w:rFonts w:ascii="Verdana" w:eastAsia="Calibri" w:hAnsi="Verdana" w:cs="Arial"/>
          <w:kern w:val="2"/>
          <w:shd w:val="clear" w:color="auto" w:fill="FFFFFF"/>
          <w:lang w:val="es-ES"/>
          <w14:ligatures w14:val="standardContextual"/>
        </w:rPr>
        <w:t xml:space="preserve">. </w:t>
      </w:r>
      <w:r w:rsidRPr="00DF2A21">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DF2A21">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DF2A21">
        <w:rPr>
          <w:rFonts w:ascii="Verdana" w:eastAsia="Aptos" w:hAnsi="Verdana" w:cs="Arial"/>
          <w:kern w:val="2"/>
          <w:shd w:val="clear" w:color="auto" w:fill="FFFFFF"/>
          <w:lang w:val="es-ES_tradnl"/>
          <w14:ligatures w14:val="standardContextual"/>
        </w:rPr>
        <w:t xml:space="preserve">. </w:t>
      </w:r>
      <w:r w:rsidRPr="00DF2A21">
        <w:rPr>
          <w:rFonts w:ascii="Verdana" w:eastAsia="Aptos" w:hAnsi="Verdana" w:cs="Arial"/>
          <w:color w:val="FF0000"/>
          <w:kern w:val="2"/>
          <w:shd w:val="clear" w:color="auto" w:fill="FFFFFF"/>
          <w:lang w:val="es-ES_tradnl"/>
          <w14:ligatures w14:val="standardContextual"/>
        </w:rPr>
        <w:t xml:space="preserve">  </w:t>
      </w:r>
    </w:p>
    <w:p w14:paraId="2A2D1D45" w14:textId="77777777" w:rsidR="00DF2A21" w:rsidRPr="00DF2A21" w:rsidRDefault="00DF2A21" w:rsidP="00DF2A21">
      <w:pPr>
        <w:spacing w:after="0" w:line="240" w:lineRule="auto"/>
        <w:jc w:val="both"/>
        <w:rPr>
          <w:rFonts w:ascii="Verdana" w:eastAsia="Calibri" w:hAnsi="Verdana" w:cs="Arial"/>
          <w:color w:val="000000"/>
          <w:shd w:val="clear" w:color="auto" w:fill="FFFFFF"/>
          <w:lang w:val="es-ES_tradnl"/>
        </w:rPr>
      </w:pPr>
    </w:p>
    <w:p w14:paraId="1FC8B3EA" w14:textId="77777777" w:rsidR="00DF2A21" w:rsidRPr="00DF2A21" w:rsidRDefault="00DF2A21" w:rsidP="00DF2A2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F2A21">
        <w:rPr>
          <w:rFonts w:ascii="Verdana" w:eastAsia="Calibri" w:hAnsi="Verdana" w:cs="Arial"/>
          <w:kern w:val="2"/>
          <w:shd w:val="clear" w:color="auto" w:fill="FFFFFF"/>
          <w:lang w:val="es-ES_tradnl"/>
          <w14:ligatures w14:val="standardContextual"/>
        </w:rPr>
        <w:t>La</w:t>
      </w:r>
      <w:r w:rsidRPr="00DF2A2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F2A2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F2A21">
        <w:rPr>
          <w:rFonts w:ascii="Verdana" w:eastAsia="Calibri" w:hAnsi="Verdana" w:cs="Arial"/>
          <w:b/>
          <w:bCs/>
          <w:kern w:val="2"/>
          <w:shd w:val="clear" w:color="auto" w:fill="FFFFFF"/>
          <w:lang w:val="es-ES_tradnl"/>
          <w14:ligatures w14:val="standardContextual"/>
        </w:rPr>
        <w:t>Documentos Tipo</w:t>
      </w:r>
      <w:r w:rsidRPr="00DF2A2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F2A21">
        <w:rPr>
          <w:rFonts w:ascii="Verdana" w:eastAsia="Calibri" w:hAnsi="Verdana" w:cs="Arial"/>
          <w:b/>
          <w:bCs/>
          <w:kern w:val="2"/>
          <w:shd w:val="clear" w:color="auto" w:fill="FFFFFF"/>
          <w:lang w:val="es-ES_tradnl"/>
          <w14:ligatures w14:val="standardContextual"/>
        </w:rPr>
        <w:t>transparencia</w:t>
      </w:r>
      <w:r w:rsidRPr="00DF2A21">
        <w:rPr>
          <w:rFonts w:ascii="Verdana" w:eastAsia="Calibri" w:hAnsi="Verdana" w:cs="Arial"/>
          <w:kern w:val="2"/>
          <w:shd w:val="clear" w:color="auto" w:fill="FFFFFF"/>
          <w:lang w:val="es-ES_tradnl"/>
          <w14:ligatures w14:val="standardContextual"/>
        </w:rPr>
        <w:t> y promover un proceso de </w:t>
      </w:r>
      <w:r w:rsidRPr="00DF2A21">
        <w:rPr>
          <w:rFonts w:ascii="Verdana" w:eastAsia="Calibri" w:hAnsi="Verdana" w:cs="Arial"/>
          <w:b/>
          <w:bCs/>
          <w:kern w:val="2"/>
          <w:shd w:val="clear" w:color="auto" w:fill="FFFFFF"/>
          <w:lang w:val="es-ES_tradnl"/>
          <w14:ligatures w14:val="standardContextual"/>
        </w:rPr>
        <w:t>selección objetiva</w:t>
      </w:r>
      <w:r w:rsidRPr="00DF2A2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1AAD54C" w14:textId="77777777" w:rsidR="00DF2A21" w:rsidRPr="00DF2A21" w:rsidRDefault="00DF2A21" w:rsidP="00DF2A2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1C5B4C7"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r w:rsidRPr="00DF2A21">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DF2A21">
        <w:rPr>
          <w:rFonts w:ascii="Verdana" w:eastAsia="Aptos" w:hAnsi="Verdana" w:cs="Times New Roman"/>
          <w:b/>
          <w:bCs/>
          <w:kern w:val="2"/>
          <w:lang w:val="es-ES_tradnl"/>
          <w14:ligatures w14:val="standardContextual"/>
        </w:rPr>
        <w:t>Guía para la Exigencia y Constitución de Garantías en los Procesos de Contratación</w:t>
      </w:r>
      <w:r w:rsidRPr="00DF2A21">
        <w:rPr>
          <w:rFonts w:ascii="Verdana" w:eastAsia="Aptos" w:hAnsi="Verdana" w:cs="Times New Roman"/>
          <w:kern w:val="2"/>
          <w:lang w:val="es-ES_tradnl"/>
          <w14:ligatures w14:val="standardContextual"/>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w:t>
      </w:r>
      <w:r w:rsidRPr="00DF2A21">
        <w:rPr>
          <w:rFonts w:ascii="Verdana" w:eastAsia="Aptos" w:hAnsi="Verdana" w:cs="Times New Roman"/>
          <w:kern w:val="2"/>
          <w:lang w:val="es-ES_tradnl"/>
          <w14:ligatures w14:val="standardContextual"/>
        </w:rPr>
        <w:lastRenderedPageBreak/>
        <w:t>aquí: </w:t>
      </w:r>
      <w:hyperlink r:id="rId13" w:tgtFrame="_blank" w:tooltip="Original URL: https://www.colombiacompra.gov.co/archivos/manual/guia-de-garantias-en-procesos-de-contratacion. Click or tap if you trust this link." w:history="1">
        <w:r w:rsidRPr="00DF2A21">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58B50CFC"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p>
    <w:p w14:paraId="34BFFF75"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r w:rsidRPr="00DF2A21">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DF2A21">
        <w:rPr>
          <w:rFonts w:ascii="Verdana" w:eastAsia="Aptos" w:hAnsi="Verdana" w:cs="Times New Roman"/>
          <w:b/>
          <w:bCs/>
          <w:kern w:val="2"/>
          <w:lang w:val="es-ES_tradnl"/>
          <w14:ligatures w14:val="standardContextual"/>
        </w:rPr>
        <w:t>Sistema Integral de Preferencias en favor de las personas con discapacidad</w:t>
      </w:r>
      <w:r w:rsidRPr="00DF2A21">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DF2A21">
        <w:rPr>
          <w:rFonts w:ascii="Verdana" w:eastAsia="Aptos" w:hAnsi="Verdana" w:cs="Times New Roman"/>
          <w:b/>
          <w:bCs/>
          <w:kern w:val="2"/>
          <w:lang w:val="es-ES_tradnl"/>
          <w14:ligatures w14:val="standardContextual"/>
        </w:rPr>
        <w:t>Circular Externa 003 del 12 de mayo de 2026, </w:t>
      </w:r>
      <w:r w:rsidRPr="00DF2A21">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DF2A21">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44B7F229"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p>
    <w:p w14:paraId="5FD1F3BF"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r w:rsidRPr="00DF2A21">
        <w:rPr>
          <w:rFonts w:ascii="Verdana" w:eastAsia="Aptos" w:hAnsi="Verdana" w:cs="Times New Roman"/>
          <w:kern w:val="2"/>
          <w:lang w:val="es-ES_tradnl"/>
          <w14:ligatures w14:val="standardContextual"/>
        </w:rPr>
        <w:t>Recuerde también que la</w:t>
      </w:r>
      <w:r w:rsidRPr="00DF2A21">
        <w:rPr>
          <w:rFonts w:ascii="Verdana" w:eastAsia="Aptos" w:hAnsi="Verdana" w:cs="Times New Roman"/>
          <w:b/>
          <w:bCs/>
          <w:kern w:val="2"/>
          <w:lang w:val="es-ES_tradnl"/>
          <w14:ligatures w14:val="standardContextual"/>
        </w:rPr>
        <w:t> información sobre sanciones e inhabilidades </w:t>
      </w:r>
      <w:r w:rsidRPr="00DF2A21">
        <w:rPr>
          <w:rFonts w:ascii="Verdana" w:eastAsia="Aptos" w:hAnsi="Verdana" w:cs="Times New Roman"/>
          <w:kern w:val="2"/>
          <w:lang w:val="es-ES_tradnl"/>
          <w14:ligatures w14:val="standardContextual"/>
        </w:rPr>
        <w:t>solo cumple su función preventiva si llega oportunamente a los registros públicos. Sobre este deber, esta Agencia expidió la </w:t>
      </w:r>
      <w:r w:rsidRPr="00DF2A21">
        <w:rPr>
          <w:rFonts w:ascii="Verdana" w:eastAsia="Aptos" w:hAnsi="Verdana" w:cs="Times New Roman"/>
          <w:b/>
          <w:bCs/>
          <w:kern w:val="2"/>
          <w:lang w:val="es-ES_tradnl"/>
          <w14:ligatures w14:val="standardContextual"/>
        </w:rPr>
        <w:t>Circular Externa 002 del 5 de mayo de 2026,</w:t>
      </w:r>
      <w:r w:rsidRPr="00DF2A21">
        <w:rPr>
          <w:rFonts w:ascii="Verdana" w:eastAsia="Aptos" w:hAnsi="Verdana" w:cs="Times New Roman"/>
          <w:kern w:val="2"/>
          <w:lang w:val="es-ES_tradnl"/>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DF2A21">
          <w:rPr>
            <w:rFonts w:ascii="Verdana" w:eastAsia="Aptos" w:hAnsi="Verdana" w:cs="Times New Roman"/>
            <w:color w:val="0000FF"/>
            <w:kern w:val="2"/>
            <w:u w:val="single"/>
            <w:lang w:val="es-ES_tradnl"/>
            <w14:ligatures w14:val="standardContextual"/>
          </w:rPr>
          <w:t>https://www.colombiacompra.gov.co/archivos/circular/circular-externa-002-de-2026</w:t>
        </w:r>
      </w:hyperlink>
    </w:p>
    <w:p w14:paraId="1480D2F6"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p>
    <w:p w14:paraId="2D29E26A" w14:textId="77777777" w:rsidR="00DF2A21" w:rsidRPr="00DF2A21" w:rsidRDefault="00DF2A21" w:rsidP="00DF2A21">
      <w:pPr>
        <w:spacing w:after="0" w:line="276" w:lineRule="auto"/>
        <w:jc w:val="both"/>
        <w:rPr>
          <w:rFonts w:ascii="Verdana" w:eastAsia="Aptos" w:hAnsi="Verdana" w:cs="Times New Roman"/>
          <w:kern w:val="2"/>
          <w:lang w:val="es-ES_tradnl"/>
          <w14:ligatures w14:val="standardContextual"/>
        </w:rPr>
      </w:pPr>
      <w:r w:rsidRPr="00DF2A21">
        <w:rPr>
          <w:rFonts w:ascii="Verdana" w:eastAsia="Aptos" w:hAnsi="Verdana" w:cs="Times New Roman"/>
          <w:kern w:val="2"/>
          <w:lang w:val="es-ES_tradnl"/>
          <w14:ligatures w14:val="standardContextual"/>
        </w:rPr>
        <w:t>Si quiere seguir de cerca la actividad de la Agencia, la tercera edición de 2026 del</w:t>
      </w:r>
      <w:r w:rsidRPr="00DF2A21">
        <w:rPr>
          <w:rFonts w:ascii="Verdana" w:eastAsia="Aptos" w:hAnsi="Verdana" w:cs="Times New Roman"/>
          <w:b/>
          <w:bCs/>
          <w:kern w:val="2"/>
          <w:lang w:val="es-ES_tradnl"/>
          <w14:ligatures w14:val="standardContextual"/>
        </w:rPr>
        <w:t> Radar de la Compra Pública</w:t>
      </w:r>
      <w:r w:rsidRPr="00DF2A21">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DF2A21">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3ADFB514" w14:textId="77777777" w:rsidR="00DF2A21" w:rsidRPr="00DF2A21" w:rsidRDefault="00DF2A21" w:rsidP="00DF2A21">
      <w:pPr>
        <w:widowControl w:val="0"/>
        <w:autoSpaceDE w:val="0"/>
        <w:autoSpaceDN w:val="0"/>
        <w:spacing w:after="0" w:line="276" w:lineRule="auto"/>
        <w:jc w:val="both"/>
        <w:rPr>
          <w:rFonts w:ascii="Verdana" w:eastAsia="Calibri" w:hAnsi="Verdana" w:cs="Arial"/>
          <w:shd w:val="clear" w:color="auto" w:fill="FFFFFF"/>
          <w:lang w:val="es-ES_tradnl"/>
        </w:rPr>
      </w:pPr>
    </w:p>
    <w:p w14:paraId="33329F6D" w14:textId="77777777" w:rsidR="00DF2A21" w:rsidRPr="00DF2A21" w:rsidRDefault="00DF2A21" w:rsidP="00DF2A21">
      <w:pPr>
        <w:spacing w:after="0" w:line="276" w:lineRule="auto"/>
        <w:jc w:val="both"/>
        <w:rPr>
          <w:rFonts w:ascii="Verdana" w:eastAsia="Calibri" w:hAnsi="Verdana" w:cs="Times New Roman"/>
          <w:lang w:val="es-ES_tradnl"/>
        </w:rPr>
      </w:pPr>
      <w:r w:rsidRPr="00DF2A21">
        <w:rPr>
          <w:rFonts w:ascii="Verdana" w:eastAsia="Calibri" w:hAnsi="Verdana" w:cs="Times New Roman"/>
          <w:lang w:val="es-ES_tradnl"/>
        </w:rPr>
        <w:lastRenderedPageBreak/>
        <w:t xml:space="preserve">Por último, los invitamos a seguirnos en las redes sociales, en las cuales se difunde información institucional: </w:t>
      </w:r>
    </w:p>
    <w:p w14:paraId="381AE64D" w14:textId="77777777" w:rsidR="00DF2A21" w:rsidRPr="00DF2A21" w:rsidRDefault="00DF2A21" w:rsidP="00DF2A21">
      <w:pPr>
        <w:spacing w:after="0" w:line="240" w:lineRule="auto"/>
        <w:jc w:val="both"/>
        <w:rPr>
          <w:rFonts w:ascii="Verdana" w:eastAsia="Calibri" w:hAnsi="Verdana" w:cs="Times New Roman"/>
          <w:kern w:val="2"/>
          <w:lang w:val="es-ES_tradnl"/>
          <w14:ligatures w14:val="standardContextual"/>
        </w:rPr>
      </w:pPr>
    </w:p>
    <w:p w14:paraId="7B01D94F" w14:textId="77777777" w:rsidR="00DF2A21" w:rsidRPr="00DF2A21" w:rsidRDefault="00DF2A21" w:rsidP="00DF2A21">
      <w:pPr>
        <w:spacing w:after="0" w:line="240" w:lineRule="auto"/>
        <w:jc w:val="both"/>
        <w:rPr>
          <w:rFonts w:ascii="Verdana" w:eastAsia="Calibri" w:hAnsi="Verdana" w:cs="Times New Roman"/>
          <w:kern w:val="2"/>
          <w:lang w:val="es-ES_tradnl"/>
          <w14:ligatures w14:val="standardContextual"/>
        </w:rPr>
      </w:pPr>
      <w:r w:rsidRPr="00DF2A21">
        <w:rPr>
          <w:rFonts w:ascii="Verdana" w:eastAsia="Calibri" w:hAnsi="Verdana" w:cs="Times New Roman"/>
          <w:kern w:val="2"/>
          <w:lang w:val="es-ES_tradnl"/>
          <w14:ligatures w14:val="standardContextual"/>
        </w:rPr>
        <w:t xml:space="preserve">X: </w:t>
      </w:r>
      <w:r w:rsidRPr="00DF2A21">
        <w:rPr>
          <w:rFonts w:ascii="Verdana" w:eastAsia="Calibri" w:hAnsi="Verdana" w:cs="Times New Roman"/>
          <w:kern w:val="2"/>
          <w:u w:val="single"/>
          <w:lang w:val="es-ES_tradnl"/>
          <w14:ligatures w14:val="standardContextual"/>
        </w:rPr>
        <w:t>@colombiacompra</w:t>
      </w:r>
      <w:r w:rsidRPr="00DF2A21">
        <w:rPr>
          <w:rFonts w:ascii="Verdana" w:eastAsia="Calibri" w:hAnsi="Verdana" w:cs="Times New Roman"/>
          <w:kern w:val="2"/>
          <w:lang w:val="es-ES_tradnl"/>
          <w14:ligatures w14:val="standardContextual"/>
        </w:rPr>
        <w:t xml:space="preserve"> </w:t>
      </w:r>
    </w:p>
    <w:p w14:paraId="10FA9487" w14:textId="77777777" w:rsidR="00DF2A21" w:rsidRPr="00DF2A21" w:rsidRDefault="00DF2A21" w:rsidP="00DF2A21">
      <w:pPr>
        <w:spacing w:after="0" w:line="240" w:lineRule="auto"/>
        <w:jc w:val="both"/>
        <w:rPr>
          <w:rFonts w:ascii="Verdana" w:eastAsia="Calibri" w:hAnsi="Verdana" w:cs="Times New Roman"/>
          <w:kern w:val="2"/>
          <w:lang w:val="es-ES"/>
          <w14:ligatures w14:val="standardContextual"/>
        </w:rPr>
      </w:pPr>
      <w:r w:rsidRPr="00DF2A21">
        <w:rPr>
          <w:rFonts w:ascii="Verdana" w:eastAsia="Calibri" w:hAnsi="Verdana" w:cs="Times New Roman"/>
          <w:kern w:val="2"/>
          <w:lang w:val="es-ES"/>
          <w14:ligatures w14:val="standardContextual"/>
        </w:rPr>
        <w:t xml:space="preserve">Facebook: </w:t>
      </w:r>
      <w:proofErr w:type="spellStart"/>
      <w:r w:rsidRPr="00DF2A21">
        <w:rPr>
          <w:rFonts w:ascii="Verdana" w:eastAsia="Calibri" w:hAnsi="Verdana" w:cs="Times New Roman"/>
          <w:kern w:val="2"/>
          <w:u w:val="single"/>
          <w:lang w:val="es-ES"/>
          <w14:ligatures w14:val="standardContextual"/>
        </w:rPr>
        <w:t>ColombiaCompraEficiente</w:t>
      </w:r>
      <w:proofErr w:type="spellEnd"/>
    </w:p>
    <w:p w14:paraId="7820B703" w14:textId="77777777" w:rsidR="00DF2A21" w:rsidRPr="00DF2A21" w:rsidRDefault="00DF2A21" w:rsidP="00DF2A21">
      <w:pPr>
        <w:spacing w:after="0" w:line="240" w:lineRule="auto"/>
        <w:jc w:val="both"/>
        <w:rPr>
          <w:rFonts w:ascii="Verdana" w:eastAsia="Calibri" w:hAnsi="Verdana" w:cs="Times New Roman"/>
          <w:kern w:val="2"/>
          <w:lang w:val="es-ES_tradnl"/>
          <w14:ligatures w14:val="standardContextual"/>
        </w:rPr>
      </w:pPr>
      <w:r w:rsidRPr="00DF2A21">
        <w:rPr>
          <w:rFonts w:ascii="Verdana" w:eastAsia="Calibri" w:hAnsi="Verdana" w:cs="Times New Roman"/>
          <w:kern w:val="2"/>
          <w:lang w:val="es-ES_tradnl"/>
          <w14:ligatures w14:val="standardContextual"/>
        </w:rPr>
        <w:t xml:space="preserve">LinkedIn: </w:t>
      </w:r>
      <w:r w:rsidRPr="00DF2A21">
        <w:rPr>
          <w:rFonts w:ascii="Verdana" w:eastAsia="Calibri" w:hAnsi="Verdana" w:cs="Times New Roman"/>
          <w:kern w:val="2"/>
          <w:u w:val="single"/>
          <w:lang w:val="es-ES_tradnl"/>
          <w14:ligatures w14:val="standardContextual"/>
        </w:rPr>
        <w:t>Agencia Nacional de Contratación Pública - Colombia Compra Eficiente</w:t>
      </w:r>
      <w:r w:rsidRPr="00DF2A21">
        <w:rPr>
          <w:rFonts w:ascii="Verdana" w:eastAsia="Calibri" w:hAnsi="Verdana" w:cs="Times New Roman"/>
          <w:kern w:val="2"/>
          <w:lang w:val="es-ES_tradnl"/>
          <w14:ligatures w14:val="standardContextual"/>
        </w:rPr>
        <w:t xml:space="preserve"> Instagram: </w:t>
      </w:r>
      <w:r w:rsidRPr="00DF2A21">
        <w:rPr>
          <w:rFonts w:ascii="Verdana" w:eastAsia="Calibri" w:hAnsi="Verdana" w:cs="Times New Roman"/>
          <w:kern w:val="2"/>
          <w:u w:val="single"/>
          <w:lang w:val="es-ES_tradnl"/>
          <w14:ligatures w14:val="standardContextual"/>
        </w:rPr>
        <w:t>@colombiacompraeficiente_cce</w:t>
      </w:r>
    </w:p>
    <w:p w14:paraId="1A19E23B" w14:textId="77777777" w:rsidR="00DF2A21" w:rsidRPr="00DF2A21" w:rsidRDefault="00DF2A21" w:rsidP="00DF2A2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6E08B9E3" w14:textId="77777777" w:rsidR="00DF2A21" w:rsidRPr="00DF2A21" w:rsidRDefault="00DF2A21" w:rsidP="00DF2A2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F2A21">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FD02C1B" w14:textId="77777777" w:rsidR="00DF2A21" w:rsidRPr="00DF2A21" w:rsidRDefault="00DF2A21" w:rsidP="00DF2A21">
      <w:pPr>
        <w:widowControl w:val="0"/>
        <w:autoSpaceDE w:val="0"/>
        <w:autoSpaceDN w:val="0"/>
        <w:spacing w:after="0" w:line="276" w:lineRule="auto"/>
        <w:jc w:val="both"/>
        <w:rPr>
          <w:rFonts w:ascii="Verdana" w:eastAsia="Aptos" w:hAnsi="Verdana" w:cs="Arial"/>
          <w:lang w:val="es-ES_tradnl"/>
        </w:rPr>
      </w:pPr>
    </w:p>
    <w:p w14:paraId="5038DE5A" w14:textId="77777777" w:rsidR="00DF2A21" w:rsidRPr="00DF2A21" w:rsidRDefault="00DF2A21" w:rsidP="00DF2A21">
      <w:pPr>
        <w:spacing w:after="0" w:line="240" w:lineRule="auto"/>
        <w:rPr>
          <w:rFonts w:ascii="Verdana" w:eastAsia="Aptos" w:hAnsi="Verdana" w:cs="Arial"/>
          <w:lang w:val="es-ES_tradnl" w:eastAsia="es-CO"/>
        </w:rPr>
      </w:pPr>
      <w:r w:rsidRPr="00DF2A21">
        <w:rPr>
          <w:rFonts w:ascii="Verdana" w:eastAsia="Times New Roman" w:hAnsi="Verdana" w:cs="Arial"/>
          <w:lang w:val="es-ES_tradnl" w:eastAsia="es-CO"/>
        </w:rPr>
        <w:t>Atentamente,</w:t>
      </w:r>
      <w:r w:rsidRPr="00DF2A21">
        <w:rPr>
          <w:rFonts w:ascii="Verdana" w:eastAsia="Aptos" w:hAnsi="Verdana" w:cs="Arial"/>
          <w:lang w:val="es-ES_tradnl" w:eastAsia="es-CO"/>
        </w:rPr>
        <w:t xml:space="preserve"> </w:t>
      </w:r>
    </w:p>
    <w:p w14:paraId="30B6F4AB" w14:textId="77777777" w:rsidR="00DF2A21" w:rsidRPr="00DF2A21" w:rsidRDefault="00DF2A21" w:rsidP="00DF2A21">
      <w:pPr>
        <w:spacing w:line="276" w:lineRule="auto"/>
        <w:jc w:val="center"/>
        <w:rPr>
          <w:rFonts w:ascii="Verdana" w:eastAsia="Aptos" w:hAnsi="Verdana" w:cs="Arial"/>
          <w:lang w:val="es-ES_tradnl" w:eastAsia="es-CO"/>
        </w:rPr>
      </w:pPr>
    </w:p>
    <w:p w14:paraId="75D51305" w14:textId="396486C0" w:rsidR="00DF2A21" w:rsidRPr="00DF2A21" w:rsidRDefault="00922908" w:rsidP="00DF2A21">
      <w:pPr>
        <w:spacing w:line="276" w:lineRule="auto"/>
        <w:jc w:val="center"/>
        <w:rPr>
          <w:rFonts w:ascii="Verdana" w:eastAsia="Aptos" w:hAnsi="Verdana" w:cs="Arial"/>
          <w:lang w:val="es-ES_tradnl" w:eastAsia="es-CO"/>
        </w:rPr>
      </w:pPr>
      <w:r w:rsidRPr="002C3AD6">
        <w:rPr>
          <w:rFonts w:ascii="Century Gothic" w:hAnsi="Century Gothic"/>
          <w:noProof/>
        </w:rPr>
        <w:drawing>
          <wp:inline distT="0" distB="0" distL="0" distR="0" wp14:anchorId="609255D4" wp14:editId="68F39D4D">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11"/>
        <w:tblpPr w:leftFromText="141" w:rightFromText="141" w:vertAnchor="text" w:horzAnchor="margin" w:tblpY="-19"/>
        <w:tblW w:w="0" w:type="auto"/>
        <w:tblLook w:val="04A0" w:firstRow="1" w:lastRow="0" w:firstColumn="1" w:lastColumn="0" w:noHBand="0" w:noVBand="1"/>
      </w:tblPr>
      <w:tblGrid>
        <w:gridCol w:w="901"/>
        <w:gridCol w:w="4769"/>
      </w:tblGrid>
      <w:tr w:rsidR="00DF2A21" w:rsidRPr="00DF2A21" w14:paraId="1464EAD0" w14:textId="77777777" w:rsidTr="007319B1">
        <w:trPr>
          <w:trHeight w:val="286"/>
        </w:trPr>
        <w:tc>
          <w:tcPr>
            <w:tcW w:w="901" w:type="dxa"/>
            <w:tcBorders>
              <w:top w:val="nil"/>
              <w:left w:val="nil"/>
              <w:bottom w:val="nil"/>
              <w:right w:val="nil"/>
            </w:tcBorders>
            <w:vAlign w:val="center"/>
            <w:hideMark/>
          </w:tcPr>
          <w:p w14:paraId="0A478AED"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Elaboró:</w:t>
            </w:r>
          </w:p>
        </w:tc>
        <w:tc>
          <w:tcPr>
            <w:tcW w:w="4769" w:type="dxa"/>
            <w:tcBorders>
              <w:top w:val="nil"/>
              <w:left w:val="nil"/>
              <w:bottom w:val="dotted" w:sz="4" w:space="0" w:color="7F7F7F"/>
              <w:right w:val="nil"/>
            </w:tcBorders>
            <w:vAlign w:val="center"/>
            <w:hideMark/>
          </w:tcPr>
          <w:p w14:paraId="75A94CFC"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Kevin Arlid Herrera Santa</w:t>
            </w:r>
          </w:p>
          <w:p w14:paraId="7AFB43CC"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Contratista de la Subdirección de Gestión Contractual</w:t>
            </w:r>
          </w:p>
        </w:tc>
      </w:tr>
      <w:tr w:rsidR="00DF2A21" w:rsidRPr="00DF2A21" w14:paraId="3A78DC56" w14:textId="77777777" w:rsidTr="007319B1">
        <w:trPr>
          <w:trHeight w:val="299"/>
        </w:trPr>
        <w:tc>
          <w:tcPr>
            <w:tcW w:w="901" w:type="dxa"/>
            <w:tcBorders>
              <w:top w:val="nil"/>
              <w:left w:val="nil"/>
              <w:bottom w:val="nil"/>
              <w:right w:val="nil"/>
            </w:tcBorders>
            <w:vAlign w:val="center"/>
          </w:tcPr>
          <w:p w14:paraId="7E90F138"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Revisó:</w:t>
            </w:r>
          </w:p>
        </w:tc>
        <w:tc>
          <w:tcPr>
            <w:tcW w:w="4769" w:type="dxa"/>
            <w:tcBorders>
              <w:top w:val="dotted" w:sz="4" w:space="0" w:color="7F7F7F"/>
              <w:left w:val="nil"/>
              <w:bottom w:val="dotted" w:sz="4" w:space="0" w:color="7F7F7F"/>
              <w:right w:val="nil"/>
            </w:tcBorders>
            <w:vAlign w:val="center"/>
          </w:tcPr>
          <w:p w14:paraId="1982F25F"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Martha Alicia Romero Vargas</w:t>
            </w:r>
          </w:p>
          <w:p w14:paraId="4F98F842"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Gestor T1-15 de la Subdirección de Gestión Contractual</w:t>
            </w:r>
          </w:p>
        </w:tc>
      </w:tr>
      <w:tr w:rsidR="00DF2A21" w:rsidRPr="00DF2A21" w14:paraId="764B266D" w14:textId="77777777" w:rsidTr="007319B1">
        <w:trPr>
          <w:trHeight w:val="272"/>
        </w:trPr>
        <w:tc>
          <w:tcPr>
            <w:tcW w:w="901" w:type="dxa"/>
            <w:tcBorders>
              <w:top w:val="nil"/>
              <w:left w:val="nil"/>
              <w:bottom w:val="nil"/>
              <w:right w:val="nil"/>
            </w:tcBorders>
            <w:vAlign w:val="center"/>
            <w:hideMark/>
          </w:tcPr>
          <w:p w14:paraId="49A99959"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Aprobó:</w:t>
            </w:r>
          </w:p>
        </w:tc>
        <w:tc>
          <w:tcPr>
            <w:tcW w:w="4769" w:type="dxa"/>
            <w:tcBorders>
              <w:top w:val="dotted" w:sz="4" w:space="0" w:color="7F7F7F"/>
              <w:left w:val="nil"/>
              <w:bottom w:val="dotted" w:sz="4" w:space="0" w:color="7F7F7F"/>
              <w:right w:val="nil"/>
            </w:tcBorders>
            <w:vAlign w:val="center"/>
            <w:hideMark/>
          </w:tcPr>
          <w:p w14:paraId="0A6CB776" w14:textId="77777777" w:rsidR="00DF2A21" w:rsidRPr="00DF2A21" w:rsidRDefault="00DF2A21" w:rsidP="00DF2A21">
            <w:pPr>
              <w:rPr>
                <w:rFonts w:ascii="Verdana" w:eastAsia="Aptos" w:hAnsi="Verdana" w:cs="Arial"/>
                <w:sz w:val="16"/>
                <w:szCs w:val="16"/>
                <w:lang w:val="es-ES" w:eastAsia="es-ES"/>
              </w:rPr>
            </w:pPr>
            <w:r w:rsidRPr="00DF2A21">
              <w:rPr>
                <w:rFonts w:ascii="Verdana" w:eastAsia="Aptos" w:hAnsi="Verdana" w:cs="Arial"/>
                <w:sz w:val="16"/>
                <w:szCs w:val="16"/>
                <w:lang w:val="es-ES" w:eastAsia="es-ES"/>
              </w:rPr>
              <w:t>Carolina Quintero Gacharná</w:t>
            </w:r>
          </w:p>
          <w:p w14:paraId="07C6F254" w14:textId="77777777" w:rsidR="00DF2A21" w:rsidRPr="00DF2A21" w:rsidRDefault="00DF2A21" w:rsidP="00DF2A21">
            <w:pPr>
              <w:rPr>
                <w:rFonts w:ascii="Verdana" w:eastAsia="Aptos" w:hAnsi="Verdana" w:cs="Arial"/>
                <w:sz w:val="16"/>
                <w:szCs w:val="16"/>
                <w:lang w:val="es-ES_tradnl" w:eastAsia="es-ES"/>
              </w:rPr>
            </w:pPr>
            <w:r w:rsidRPr="00DF2A21">
              <w:rPr>
                <w:rFonts w:ascii="Verdana" w:eastAsia="Aptos" w:hAnsi="Verdana" w:cs="Arial"/>
                <w:sz w:val="16"/>
                <w:szCs w:val="16"/>
                <w:lang w:val="es-ES_tradnl" w:eastAsia="es-ES"/>
              </w:rPr>
              <w:t>Subdirectora de Gestión Contractual ANCP – CCE</w:t>
            </w:r>
          </w:p>
        </w:tc>
      </w:tr>
    </w:tbl>
    <w:p w14:paraId="3C0E205B" w14:textId="77777777" w:rsidR="00DF2A21" w:rsidRPr="00DF2A21" w:rsidRDefault="00DF2A21" w:rsidP="00DF2A21">
      <w:pPr>
        <w:spacing w:after="0" w:line="240" w:lineRule="auto"/>
        <w:rPr>
          <w:rFonts w:ascii="Verdana" w:eastAsia="Times New Roman" w:hAnsi="Verdana" w:cs="Arial"/>
          <w:sz w:val="16"/>
          <w:szCs w:val="16"/>
          <w:lang w:val="es-ES_tradnl" w:eastAsia="es-ES"/>
        </w:rPr>
      </w:pPr>
    </w:p>
    <w:p w14:paraId="04FC072C" w14:textId="77777777" w:rsidR="00DF2A21" w:rsidRPr="00DF2A21" w:rsidRDefault="00DF2A21" w:rsidP="00DF2A21">
      <w:pPr>
        <w:rPr>
          <w:rFonts w:ascii="Verdana" w:eastAsia="Aptos" w:hAnsi="Verdana" w:cs="Times New Roman"/>
          <w:sz w:val="16"/>
          <w:szCs w:val="16"/>
          <w:lang w:val="es-ES_tradnl"/>
        </w:rPr>
      </w:pPr>
    </w:p>
    <w:p w14:paraId="53ABDABB" w14:textId="77777777" w:rsidR="00DF2A21" w:rsidRPr="00DF2A21" w:rsidRDefault="00DF2A21" w:rsidP="00DF2A21">
      <w:pPr>
        <w:rPr>
          <w:rFonts w:ascii="Verdana" w:eastAsia="Aptos" w:hAnsi="Verdana" w:cs="Times New Roman"/>
          <w:lang w:val="es-ES_tradnl"/>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121932C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BB4842" w14:textId="77777777" w:rsidR="001109C3" w:rsidRDefault="001109C3" w:rsidP="004A1847">
      <w:pPr>
        <w:spacing w:after="0" w:line="240" w:lineRule="auto"/>
      </w:pPr>
      <w:r>
        <w:separator/>
      </w:r>
    </w:p>
  </w:endnote>
  <w:endnote w:type="continuationSeparator" w:id="0">
    <w:p w14:paraId="007A3997" w14:textId="77777777" w:rsidR="001109C3" w:rsidRDefault="001109C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Calibri">
    <w:altName w:val="Times New Roman"/>
    <w:panose1 w:val="020B0604020202020204"/>
    <w:charset w:val="00"/>
    <w:family w:val="roman"/>
    <w:pitch w:val="default"/>
  </w:font>
  <w:font w:name="Arial,Times New Roman">
    <w:altName w:val="Arial"/>
    <w:panose1 w:val="020B0604020202020204"/>
    <w:charset w:val="00"/>
    <w:family w:val="roman"/>
    <w:pitch w:val="default"/>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A5DBDB" w14:textId="77777777" w:rsidR="001109C3" w:rsidRDefault="001109C3" w:rsidP="004A1847">
      <w:pPr>
        <w:spacing w:after="0" w:line="240" w:lineRule="auto"/>
      </w:pPr>
      <w:r>
        <w:separator/>
      </w:r>
    </w:p>
  </w:footnote>
  <w:footnote w:type="continuationSeparator" w:id="0">
    <w:p w14:paraId="38CF85D1" w14:textId="77777777" w:rsidR="001109C3" w:rsidRDefault="001109C3" w:rsidP="004A1847">
      <w:pPr>
        <w:spacing w:after="0" w:line="240" w:lineRule="auto"/>
      </w:pPr>
      <w:r>
        <w:continuationSeparator/>
      </w:r>
    </w:p>
  </w:footnote>
  <w:footnote w:id="1">
    <w:p w14:paraId="615B8636" w14:textId="77777777" w:rsidR="00DF2A21" w:rsidRPr="00B05F58" w:rsidRDefault="00DF2A21" w:rsidP="00DF2A21">
      <w:pPr>
        <w:pStyle w:val="Textonotapie"/>
        <w:ind w:firstLine="708"/>
        <w:jc w:val="both"/>
        <w:rPr>
          <w:rFonts w:ascii="Verdana" w:hAnsi="Verdana" w:cs="Arial"/>
          <w:color w:val="000000"/>
          <w:sz w:val="18"/>
          <w:szCs w:val="18"/>
        </w:rPr>
      </w:pPr>
      <w:r w:rsidRPr="00B05F58">
        <w:rPr>
          <w:rStyle w:val="Refdenotaalpie"/>
          <w:rFonts w:ascii="Verdana" w:hAnsi="Verdana" w:cs="Arial"/>
          <w:color w:val="000000"/>
          <w:sz w:val="18"/>
          <w:szCs w:val="18"/>
        </w:rPr>
        <w:footnoteRef/>
      </w:r>
      <w:r w:rsidRPr="00B05F58">
        <w:rPr>
          <w:rFonts w:ascii="Verdana" w:hAnsi="Verdana" w:cs="Arial"/>
          <w:color w:val="000000"/>
          <w:sz w:val="18"/>
          <w:szCs w:val="18"/>
        </w:rPr>
        <w:t xml:space="preserve"> Banco de la República. Circular Reglamentaria Externa – DOAM – 146 de 4 de noviembre de 2020.</w:t>
      </w:r>
    </w:p>
    <w:p w14:paraId="0F389F03" w14:textId="77777777" w:rsidR="00DF2A21" w:rsidRPr="00B05F58" w:rsidRDefault="00DF2A21" w:rsidP="00DF2A21">
      <w:pPr>
        <w:pStyle w:val="Textonotapie"/>
        <w:ind w:firstLine="708"/>
        <w:jc w:val="both"/>
        <w:rPr>
          <w:rFonts w:ascii="Verdana" w:hAnsi="Verdana" w:cs="Arial"/>
          <w:color w:val="000000"/>
          <w:sz w:val="18"/>
          <w:szCs w:val="18"/>
        </w:rPr>
      </w:pPr>
    </w:p>
  </w:footnote>
  <w:footnote w:id="2">
    <w:p w14:paraId="42A7A565" w14:textId="77777777" w:rsidR="00DF2A21" w:rsidRPr="00B05F58" w:rsidRDefault="00DF2A21" w:rsidP="00DF2A21">
      <w:pPr>
        <w:pStyle w:val="Textonotapie"/>
        <w:ind w:firstLine="708"/>
        <w:jc w:val="both"/>
        <w:rPr>
          <w:rFonts w:ascii="Verdana" w:hAnsi="Verdana" w:cs="Arial"/>
          <w:color w:val="000000"/>
          <w:sz w:val="18"/>
          <w:szCs w:val="18"/>
        </w:rPr>
      </w:pPr>
      <w:r w:rsidRPr="00B05F58">
        <w:rPr>
          <w:rStyle w:val="Refdenotaalpie"/>
          <w:rFonts w:ascii="Verdana" w:hAnsi="Verdana" w:cs="Arial"/>
          <w:color w:val="000000"/>
          <w:sz w:val="18"/>
          <w:szCs w:val="18"/>
        </w:rPr>
        <w:footnoteRef/>
      </w:r>
      <w:r w:rsidRPr="00B05F58">
        <w:rPr>
          <w:rFonts w:ascii="Verdana" w:hAnsi="Verdana" w:cs="Arial"/>
          <w:color w:val="000000"/>
          <w:sz w:val="18"/>
          <w:szCs w:val="18"/>
        </w:rPr>
        <w:t xml:space="preserve"> Banco de la República. Disponible en línea: </w:t>
      </w:r>
      <w:hyperlink r:id="rId1" w:history="1">
        <w:r w:rsidRPr="00B05F58">
          <w:rPr>
            <w:rStyle w:val="Hipervnculo"/>
            <w:rFonts w:ascii="Verdana" w:hAnsi="Verdana" w:cs="Arial"/>
            <w:color w:val="000000"/>
            <w:sz w:val="18"/>
            <w:szCs w:val="18"/>
          </w:rPr>
          <w:t>https://www.banrep.gov.co/es/estadisticas/trm</w:t>
        </w:r>
      </w:hyperlink>
      <w:r w:rsidRPr="00B05F58">
        <w:rPr>
          <w:rStyle w:val="Hipervnculo"/>
          <w:rFonts w:ascii="Verdana" w:hAnsi="Verdana" w:cs="Arial"/>
          <w:color w:val="000000"/>
          <w:sz w:val="18"/>
          <w:szCs w:val="18"/>
        </w:rPr>
        <w:t xml:space="preserve">. </w:t>
      </w:r>
      <w:r w:rsidRPr="00B05F58">
        <w:rPr>
          <w:rStyle w:val="Hipervnculo"/>
          <w:rFonts w:ascii="Verdana" w:hAnsi="Verdana" w:cs="Arial"/>
          <w:color w:val="000000"/>
          <w:sz w:val="18"/>
          <w:szCs w:val="18"/>
          <w:u w:val="none"/>
        </w:rPr>
        <w:t>Consultado el 5 de agosto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3C23E39"/>
    <w:multiLevelType w:val="hybridMultilevel"/>
    <w:tmpl w:val="A9BC1CE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679089576">
    <w:abstractNumId w:val="9"/>
  </w:num>
  <w:num w:numId="17" w16cid:durableId="46597803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54B9"/>
    <w:rsid w:val="000F6486"/>
    <w:rsid w:val="001109C3"/>
    <w:rsid w:val="00116940"/>
    <w:rsid w:val="00125105"/>
    <w:rsid w:val="00127233"/>
    <w:rsid w:val="0015699B"/>
    <w:rsid w:val="00175D30"/>
    <w:rsid w:val="001A33BF"/>
    <w:rsid w:val="001E4177"/>
    <w:rsid w:val="001F0B24"/>
    <w:rsid w:val="001F7DC6"/>
    <w:rsid w:val="0022400B"/>
    <w:rsid w:val="002421BB"/>
    <w:rsid w:val="0025796E"/>
    <w:rsid w:val="00266941"/>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1135"/>
    <w:rsid w:val="00646B9F"/>
    <w:rsid w:val="00665D70"/>
    <w:rsid w:val="006900D9"/>
    <w:rsid w:val="006B3172"/>
    <w:rsid w:val="00706C16"/>
    <w:rsid w:val="007340C3"/>
    <w:rsid w:val="0075235A"/>
    <w:rsid w:val="00756841"/>
    <w:rsid w:val="007618D8"/>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2908"/>
    <w:rsid w:val="00923275"/>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485B"/>
    <w:rsid w:val="00D361FD"/>
    <w:rsid w:val="00D423A2"/>
    <w:rsid w:val="00D44E26"/>
    <w:rsid w:val="00D520D8"/>
    <w:rsid w:val="00D63AC2"/>
    <w:rsid w:val="00D7383B"/>
    <w:rsid w:val="00D7788A"/>
    <w:rsid w:val="00DA231B"/>
    <w:rsid w:val="00DC39FC"/>
    <w:rsid w:val="00DF2A21"/>
    <w:rsid w:val="00DF5254"/>
    <w:rsid w:val="00E02524"/>
    <w:rsid w:val="00E16408"/>
    <w:rsid w:val="00E20894"/>
    <w:rsid w:val="00E245AB"/>
    <w:rsid w:val="00E2764C"/>
    <w:rsid w:val="00E27F2E"/>
    <w:rsid w:val="00E41629"/>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F2A21"/>
    <w:pPr>
      <w:spacing w:line="240" w:lineRule="exact"/>
    </w:pPr>
    <w:rPr>
      <w:vertAlign w:val="superscript"/>
    </w:rPr>
  </w:style>
  <w:style w:type="table" w:customStyle="1" w:styleId="Tablaconcuadrcula11">
    <w:name w:val="Tabla con cuadrícula11"/>
    <w:basedOn w:val="Tablanormal"/>
    <w:next w:val="Tablaconcuadrcula"/>
    <w:uiPriority w:val="59"/>
    <w:qFormat/>
    <w:rsid w:val="00DF2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guias-y-manuale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63D7B2-B0D2-4CC7-A686-28BECBAA58DA}"/>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16</Pages>
  <Words>5451</Words>
  <Characters>29986</Characters>
  <Application>Microsoft Office Word</Application>
  <DocSecurity>0</DocSecurity>
  <Lines>249</Lines>
  <Paragraphs>70</Paragraphs>
  <ScaleCrop>false</ScaleCrop>
  <Company/>
  <LinksUpToDate>false</LinksUpToDate>
  <CharactersWithSpaces>35367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2026-10-15T21:29:00Z</dcterms:created>
  <dcterms:modified xsi:type="dcterms:W3CDTF">2026-10-15T22:17:00Z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