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D990" w14:textId="77777777" w:rsidR="00E01724" w:rsidRPr="00C7000B" w:rsidRDefault="00E01724" w:rsidP="00E01724">
      <w:pPr>
        <w:spacing w:after="0"/>
        <w:rPr>
          <w:rFonts w:ascii="Verdana" w:eastAsia="Verdana" w:hAnsi="Verdana" w:cs="Verdana"/>
        </w:rPr>
      </w:pPr>
      <w:bookmarkStart w:id="0" w:name="_Hlk143780582"/>
      <w:r w:rsidRPr="0048565C">
        <w:rPr>
          <w:rFonts w:ascii="Verdana" w:eastAsia="Calibri" w:hAnsi="Verdana" w:cs="Arial"/>
          <w:b/>
          <w:bCs/>
          <w:lang w:val="es-MX"/>
        </w:rPr>
        <w:t xml:space="preserve">PRECIOS ARTIFICIALMENTE BAJOS </w:t>
      </w:r>
      <w:r w:rsidRPr="0048565C">
        <w:rPr>
          <w:rFonts w:ascii="Verdana" w:eastAsia="Calibri" w:hAnsi="Verdana" w:cs="Arial"/>
          <w:b/>
          <w:lang w:val="es-MX"/>
        </w:rPr>
        <w:t>–</w:t>
      </w:r>
      <w:r w:rsidRPr="0048565C">
        <w:rPr>
          <w:rFonts w:ascii="Verdana" w:eastAsia="Calibri" w:hAnsi="Verdana" w:cs="Arial"/>
          <w:b/>
          <w:bCs/>
          <w:lang w:val="es-MX"/>
        </w:rPr>
        <w:t xml:space="preserve"> Noción</w:t>
      </w:r>
    </w:p>
    <w:p w14:paraId="73D66042" w14:textId="77777777" w:rsidR="00E01724" w:rsidRPr="0048565C" w:rsidRDefault="00E01724" w:rsidP="00E01724">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ab/>
      </w:r>
    </w:p>
    <w:p w14:paraId="0237BE90" w14:textId="77777777" w:rsidR="00E01724" w:rsidRPr="0048565C" w:rsidRDefault="00E01724" w:rsidP="00E01724">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2F965415" w14:textId="77777777" w:rsidR="00E01724" w:rsidRPr="0048565C" w:rsidRDefault="00E01724" w:rsidP="00E01724">
      <w:pPr>
        <w:spacing w:after="0" w:line="240" w:lineRule="auto"/>
        <w:jc w:val="both"/>
        <w:rPr>
          <w:rFonts w:ascii="Verdana" w:eastAsia="Calibri" w:hAnsi="Verdana" w:cs="Arial"/>
          <w:sz w:val="20"/>
          <w:szCs w:val="20"/>
          <w:lang w:val="es-ES"/>
        </w:rPr>
      </w:pPr>
    </w:p>
    <w:p w14:paraId="35248532" w14:textId="77777777" w:rsidR="00E01724" w:rsidRDefault="00E01724" w:rsidP="00E01724">
      <w:pPr>
        <w:spacing w:after="0" w:line="240" w:lineRule="auto"/>
        <w:jc w:val="both"/>
        <w:rPr>
          <w:rFonts w:ascii="Verdana" w:eastAsia="Calibri" w:hAnsi="Verdana" w:cs="Arial"/>
          <w:b/>
          <w:lang w:val="es-MX"/>
        </w:rPr>
      </w:pPr>
      <w:r w:rsidRPr="0048565C">
        <w:rPr>
          <w:rFonts w:ascii="Verdana" w:eastAsia="Calibri" w:hAnsi="Verdana" w:cs="Arial"/>
          <w:b/>
          <w:bCs/>
          <w:lang w:val="es-MX"/>
        </w:rPr>
        <w:t xml:space="preserve">PRECIOS ARTIFICIALMENTE BAJOS </w:t>
      </w:r>
      <w:r w:rsidRPr="0048565C">
        <w:rPr>
          <w:rFonts w:ascii="Verdana" w:eastAsia="Calibri" w:hAnsi="Verdana" w:cs="Arial"/>
          <w:b/>
          <w:lang w:val="es-MX"/>
        </w:rPr>
        <w:t>–</w:t>
      </w:r>
      <w:r w:rsidRPr="0048565C">
        <w:rPr>
          <w:rFonts w:ascii="Verdana" w:eastAsia="Calibri" w:hAnsi="Verdana" w:cs="Arial"/>
          <w:b/>
          <w:bCs/>
          <w:lang w:val="es-MX"/>
        </w:rPr>
        <w:t xml:space="preserve"> </w:t>
      </w:r>
      <w:r>
        <w:rPr>
          <w:rFonts w:ascii="Verdana" w:eastAsia="Calibri" w:hAnsi="Verdana" w:cs="Arial"/>
          <w:b/>
          <w:bCs/>
          <w:lang w:val="es-MX"/>
        </w:rPr>
        <w:t xml:space="preserve">Etapa </w:t>
      </w:r>
      <w:r w:rsidRPr="0048565C">
        <w:rPr>
          <w:rFonts w:ascii="Verdana" w:eastAsia="Calibri" w:hAnsi="Verdana" w:cs="Arial"/>
          <w:b/>
          <w:lang w:val="es-MX"/>
        </w:rPr>
        <w:t xml:space="preserve">– </w:t>
      </w:r>
      <w:r>
        <w:rPr>
          <w:rFonts w:ascii="Verdana" w:eastAsia="Calibri" w:hAnsi="Verdana" w:cs="Arial"/>
          <w:b/>
          <w:lang w:val="es-MX"/>
        </w:rPr>
        <w:t>Planeación</w:t>
      </w:r>
    </w:p>
    <w:p w14:paraId="5516984B" w14:textId="77777777" w:rsidR="00E01724" w:rsidRPr="00733A07" w:rsidRDefault="00E01724" w:rsidP="00E01724">
      <w:pPr>
        <w:spacing w:after="0" w:line="240" w:lineRule="auto"/>
        <w:jc w:val="both"/>
        <w:rPr>
          <w:rFonts w:ascii="Verdana" w:eastAsia="Calibri" w:hAnsi="Verdana" w:cs="Arial"/>
          <w:b/>
          <w:sz w:val="20"/>
          <w:szCs w:val="20"/>
          <w:lang w:val="es-MX"/>
        </w:rPr>
      </w:pPr>
    </w:p>
    <w:p w14:paraId="5EDD59E0" w14:textId="77777777" w:rsidR="00E01724" w:rsidRPr="00733A07" w:rsidRDefault="00E01724" w:rsidP="00E01724">
      <w:pPr>
        <w:spacing w:line="240" w:lineRule="auto"/>
        <w:jc w:val="both"/>
        <w:rPr>
          <w:rFonts w:ascii="Verdana" w:hAnsi="Verdana" w:cs="Arial"/>
          <w:color w:val="000000" w:themeColor="text1"/>
          <w:sz w:val="20"/>
          <w:szCs w:val="20"/>
        </w:rPr>
      </w:pPr>
      <w:r w:rsidRPr="00733A07">
        <w:rPr>
          <w:rFonts w:ascii="Verdana" w:hAnsi="Verdana" w:cs="Arial"/>
          <w:color w:val="000000" w:themeColor="text1"/>
          <w:sz w:val="20"/>
          <w:szCs w:val="20"/>
        </w:rPr>
        <w:t>Por su parte, la “Guía para el manejo de ofertas artificialmente bajas en Procesos de Contratación”, establece que una oferta es artificialmente baja cuando, “a criterio de la Entidad Estatal, el precio ofertado no parece suficiente para garantizar la correcta ejecución del contrato. Esto,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de alcance, que permiten generar un bien o un servicio a menor costo que el resto de proveedores en el mercado”, según lo establece la guía antes mencionada.</w:t>
      </w:r>
    </w:p>
    <w:p w14:paraId="6CCDBE0A" w14:textId="77777777" w:rsidR="00E01724" w:rsidRPr="00733A07" w:rsidRDefault="00E01724" w:rsidP="00E01724">
      <w:pPr>
        <w:spacing w:line="240" w:lineRule="auto"/>
        <w:jc w:val="both"/>
        <w:rPr>
          <w:rFonts w:ascii="Verdana" w:hAnsi="Verdana" w:cs="Arial"/>
          <w:color w:val="000000" w:themeColor="text1"/>
          <w:sz w:val="20"/>
          <w:szCs w:val="20"/>
        </w:rPr>
      </w:pPr>
      <w:r w:rsidRPr="00733A07">
        <w:rPr>
          <w:rFonts w:ascii="Verdana" w:hAnsi="Verdana" w:cs="Arial"/>
          <w:color w:val="000000" w:themeColor="text1"/>
          <w:sz w:val="20"/>
          <w:szCs w:val="20"/>
        </w:rPr>
        <w:t>El artículo 2.2.1.1.2.2.4 del Decreto 1082 de 2015 regula el procedimiento a seguir en los eventos en que se presenten propuestas con valor artificialmente bajo: (…)</w:t>
      </w:r>
    </w:p>
    <w:p w14:paraId="2C007368" w14:textId="77777777" w:rsidR="00E01724" w:rsidRPr="00733A07" w:rsidRDefault="00E01724" w:rsidP="00E01724">
      <w:pPr>
        <w:spacing w:after="0" w:line="240" w:lineRule="auto"/>
        <w:jc w:val="both"/>
        <w:rPr>
          <w:rFonts w:ascii="Verdana" w:hAnsi="Verdana" w:cs="Arial"/>
          <w:color w:val="000000" w:themeColor="text1"/>
          <w:sz w:val="20"/>
          <w:szCs w:val="20"/>
        </w:rPr>
      </w:pPr>
      <w:r w:rsidRPr="00733A07">
        <w:rPr>
          <w:rFonts w:ascii="Verdana" w:hAnsi="Verdana" w:cs="Arial"/>
          <w:color w:val="000000" w:themeColor="text1"/>
          <w:sz w:val="20"/>
          <w:szCs w:val="20"/>
        </w:rPr>
        <w:t xml:space="preserve">De lo expuesto se desprende que, ante una propuesta artificialmente baja, la entidad estatal está obligada a: i) requerir al oferente para que explique las razones que sustentan el valor ofrecido; ii) analizar las explicaciones; y iii)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2858144E" w14:textId="77777777" w:rsidR="00E01724" w:rsidRPr="0048565C" w:rsidRDefault="00E01724" w:rsidP="00E01724">
      <w:pPr>
        <w:spacing w:after="0" w:line="240" w:lineRule="auto"/>
        <w:jc w:val="both"/>
        <w:rPr>
          <w:rFonts w:ascii="Verdana" w:eastAsia="Calibri" w:hAnsi="Verdana" w:cs="Arial"/>
          <w:sz w:val="20"/>
          <w:szCs w:val="20"/>
          <w:highlight w:val="yellow"/>
          <w:lang w:val="es-ES"/>
        </w:rPr>
      </w:pPr>
    </w:p>
    <w:p w14:paraId="560FBEAA" w14:textId="77777777" w:rsidR="00E01724" w:rsidRPr="0048565C" w:rsidRDefault="00E01724" w:rsidP="00E01724">
      <w:pPr>
        <w:spacing w:after="0" w:line="240" w:lineRule="auto"/>
        <w:jc w:val="both"/>
        <w:rPr>
          <w:rFonts w:ascii="Verdana" w:eastAsia="Calibri" w:hAnsi="Verdana" w:cs="Arial"/>
          <w:b/>
          <w:lang w:val="es-MX"/>
        </w:rPr>
      </w:pPr>
      <w:r w:rsidRPr="0048565C">
        <w:rPr>
          <w:rFonts w:ascii="Verdana" w:eastAsia="Calibri" w:hAnsi="Verdana" w:cs="Arial"/>
          <w:b/>
          <w:bCs/>
          <w:lang w:val="es-MX"/>
        </w:rPr>
        <w:t xml:space="preserve">GUÍA PARA EL MANEJO DE OFERTAS ARTIFICIALMENTE BAJAS </w:t>
      </w:r>
      <w:r w:rsidRPr="0048565C">
        <w:rPr>
          <w:rFonts w:ascii="Verdana" w:eastAsia="Calibri" w:hAnsi="Verdana" w:cs="Arial"/>
          <w:b/>
          <w:lang w:val="es-MX"/>
        </w:rPr>
        <w:t>– Identificación</w:t>
      </w:r>
    </w:p>
    <w:p w14:paraId="351260CA" w14:textId="77777777" w:rsidR="00E01724" w:rsidRPr="0048565C" w:rsidRDefault="00E01724" w:rsidP="00E01724">
      <w:pPr>
        <w:spacing w:after="0" w:line="240" w:lineRule="auto"/>
        <w:jc w:val="both"/>
        <w:rPr>
          <w:rFonts w:ascii="Verdana" w:eastAsia="Calibri" w:hAnsi="Verdana" w:cs="Arial"/>
          <w:sz w:val="20"/>
          <w:szCs w:val="20"/>
          <w:highlight w:val="yellow"/>
          <w:lang w:val="es-ES"/>
        </w:rPr>
      </w:pPr>
    </w:p>
    <w:p w14:paraId="1D1807D7" w14:textId="77777777" w:rsidR="00E01724" w:rsidRPr="0048565C" w:rsidRDefault="00E01724" w:rsidP="00E01724">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 xml:space="preserve">(…) la entidad puede emplear herramientas para identificar ofertas que pueden ser artíficamente bajas, tales como la comparación absoluta o la comparación relativa. La comparación absoluta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comparación relativa consiste en que la entidad contrasta la información que obtiene a partir del universo de ofertas que presentan los proponentes en el proceso de selección. </w:t>
      </w:r>
    </w:p>
    <w:p w14:paraId="3DF19082" w14:textId="77777777" w:rsidR="00E01724" w:rsidRPr="0048565C" w:rsidRDefault="00E01724" w:rsidP="00E01724">
      <w:pPr>
        <w:spacing w:after="0" w:line="240" w:lineRule="auto"/>
        <w:jc w:val="both"/>
        <w:rPr>
          <w:rFonts w:ascii="Verdana" w:eastAsia="Calibri" w:hAnsi="Verdana" w:cs="Arial"/>
          <w:sz w:val="20"/>
          <w:szCs w:val="20"/>
          <w:lang w:val="es-ES"/>
        </w:rPr>
      </w:pPr>
    </w:p>
    <w:p w14:paraId="7741970D" w14:textId="77777777" w:rsidR="00E01724" w:rsidRPr="0048565C" w:rsidRDefault="00E01724" w:rsidP="00E01724">
      <w:pPr>
        <w:spacing w:after="0" w:line="240" w:lineRule="auto"/>
        <w:jc w:val="both"/>
        <w:rPr>
          <w:rFonts w:ascii="Verdana" w:eastAsia="Calibri" w:hAnsi="Verdana" w:cs="Arial"/>
          <w:b/>
          <w:lang w:val="es-MX"/>
        </w:rPr>
      </w:pPr>
      <w:r w:rsidRPr="0048565C">
        <w:rPr>
          <w:rFonts w:ascii="Verdana" w:eastAsia="Calibri" w:hAnsi="Verdana" w:cs="Arial"/>
          <w:b/>
          <w:bCs/>
          <w:lang w:val="es-MX"/>
        </w:rPr>
        <w:t xml:space="preserve">GUÍA PARA EL MANEJO DE OFERTAS ARTIFICIALMENTE BAJAS </w:t>
      </w:r>
      <w:r w:rsidRPr="0048565C">
        <w:rPr>
          <w:rFonts w:ascii="Verdana" w:eastAsia="Calibri" w:hAnsi="Verdana" w:cs="Arial"/>
          <w:b/>
          <w:lang w:val="es-MX"/>
        </w:rPr>
        <w:t xml:space="preserve">– Manejo – Aclaraciones – Respuesta a solicitud </w:t>
      </w:r>
    </w:p>
    <w:p w14:paraId="2A4CC709" w14:textId="77777777" w:rsidR="00E01724" w:rsidRPr="0048565C" w:rsidRDefault="00E01724" w:rsidP="00E01724">
      <w:pPr>
        <w:spacing w:after="0" w:line="240" w:lineRule="auto"/>
        <w:jc w:val="both"/>
        <w:rPr>
          <w:rFonts w:ascii="Verdana" w:eastAsia="Calibri" w:hAnsi="Verdana" w:cs="Arial"/>
          <w:sz w:val="20"/>
          <w:szCs w:val="20"/>
          <w:highlight w:val="yellow"/>
          <w:lang w:val="es-ES"/>
        </w:rPr>
      </w:pPr>
    </w:p>
    <w:p w14:paraId="5E7C5ABE" w14:textId="77777777" w:rsidR="00E01724" w:rsidRPr="0048565C" w:rsidRDefault="00E01724" w:rsidP="00E01724">
      <w:pPr>
        <w:pStyle w:val="NormalWeb"/>
        <w:spacing w:before="0" w:beforeAutospacing="0" w:after="120" w:afterAutospacing="0"/>
        <w:jc w:val="both"/>
        <w:rPr>
          <w:rFonts w:ascii="Verdana" w:hAnsi="Verdana" w:cs="Arial"/>
          <w:color w:val="000000" w:themeColor="text1"/>
          <w:sz w:val="20"/>
          <w:szCs w:val="20"/>
          <w:lang w:val="es-ES"/>
        </w:rPr>
      </w:pPr>
      <w:r w:rsidRPr="0048565C">
        <w:rPr>
          <w:rFonts w:ascii="Verdana" w:hAnsi="Verdana" w:cs="Arial"/>
          <w:color w:val="000000" w:themeColor="text1"/>
          <w:sz w:val="20"/>
          <w:szCs w:val="20"/>
          <w:lang w:val="es-ES"/>
        </w:rPr>
        <w:t xml:space="preserve">Con todo, si las razones indicadas por el proponente en respuesta a la solicitud de aclaración no cumplen con la referida carga de claridad y objetividad, la entidad estatal deberá rechazar la oferta. En ese sentido, es importante tener en cuenta que </w:t>
      </w:r>
      <w:r w:rsidRPr="0048565C">
        <w:rPr>
          <w:rFonts w:ascii="Verdana" w:hAnsi="Verdana" w:cs="Arial"/>
          <w:color w:val="000000" w:themeColor="text1"/>
          <w:sz w:val="20"/>
          <w:szCs w:val="20"/>
        </w:rPr>
        <w:t xml:space="preserve">la respuesta a la solicitud de aclaración no es una oportunidad para que los proponentes modifiquen parcial ni totalmente sus ofertas, ni para que estos transgredan la conmutatividad del contrato estatal ofreciendo una contraprestación excesivamente reducida alejada de la realidad del mercado expresada en el análisis del sector, considerando que ello no solo podría afectar la ejecución del contrato, sino que podría dar cuenta de prácticas restrictivas a la competencia. </w:t>
      </w:r>
    </w:p>
    <w:p w14:paraId="63B206E2" w14:textId="77777777" w:rsidR="00E01724" w:rsidRPr="00BA2580" w:rsidRDefault="00E01724" w:rsidP="00E01724">
      <w:pPr>
        <w:spacing w:after="0" w:line="278" w:lineRule="auto"/>
        <w:jc w:val="both"/>
        <w:rPr>
          <w:rFonts w:ascii="Verdana" w:eastAsia="Aptos" w:hAnsi="Verdana" w:cs="Times New Roman"/>
          <w:kern w:val="2"/>
          <w14:ligatures w14:val="standardContextual"/>
        </w:rPr>
      </w:pPr>
    </w:p>
    <w:p w14:paraId="3FBF0077" w14:textId="77777777" w:rsidR="00E01724" w:rsidRPr="006263D8" w:rsidRDefault="00E01724" w:rsidP="00E01724">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1D81B272" w14:textId="77777777" w:rsidR="00E01724" w:rsidRDefault="00E01724" w:rsidP="00E01724">
      <w:pPr>
        <w:spacing w:after="0" w:line="240" w:lineRule="auto"/>
        <w:rPr>
          <w:rFonts w:ascii="Verdana" w:eastAsia="Geomanist Light" w:hAnsi="Verdana" w:cs="Arial"/>
          <w:color w:val="000000" w:themeColor="text1"/>
          <w:lang w:val="es-MX"/>
        </w:rPr>
      </w:pPr>
    </w:p>
    <w:p w14:paraId="13A77165" w14:textId="77777777" w:rsidR="00E01724" w:rsidRDefault="00E01724" w:rsidP="00E01724">
      <w:pPr>
        <w:spacing w:after="0" w:line="240" w:lineRule="auto"/>
        <w:rPr>
          <w:rFonts w:ascii="Verdana" w:eastAsia="Geomanist Light" w:hAnsi="Verdana" w:cs="Arial"/>
          <w:color w:val="000000" w:themeColor="text1"/>
          <w:lang w:val="es-MX"/>
        </w:rPr>
      </w:pPr>
    </w:p>
    <w:p w14:paraId="19B5E917" w14:textId="77777777" w:rsidR="00E01724" w:rsidRDefault="00E01724" w:rsidP="00E01724">
      <w:pPr>
        <w:spacing w:after="0" w:line="240" w:lineRule="auto"/>
        <w:rPr>
          <w:rFonts w:ascii="Verdana" w:eastAsia="Geomanist Light" w:hAnsi="Verdana" w:cs="Arial"/>
          <w:color w:val="000000" w:themeColor="text1"/>
          <w:lang w:val="es-MX"/>
        </w:rPr>
      </w:pPr>
    </w:p>
    <w:p w14:paraId="72BBD013" w14:textId="77777777" w:rsidR="00E01724" w:rsidRDefault="00E01724" w:rsidP="00E01724">
      <w:pPr>
        <w:spacing w:after="0" w:line="240" w:lineRule="auto"/>
        <w:rPr>
          <w:rFonts w:ascii="Verdana" w:eastAsia="Geomanist Light" w:hAnsi="Verdana" w:cs="Arial"/>
          <w:color w:val="000000" w:themeColor="text1"/>
          <w:lang w:val="es-MX"/>
        </w:rPr>
      </w:pPr>
    </w:p>
    <w:p w14:paraId="2A2A5600" w14:textId="77777777" w:rsidR="00E01724" w:rsidRDefault="00E01724" w:rsidP="00E01724">
      <w:pPr>
        <w:spacing w:after="0" w:line="240" w:lineRule="auto"/>
        <w:rPr>
          <w:rFonts w:ascii="Verdana" w:eastAsia="Geomanist Light" w:hAnsi="Verdana" w:cs="Arial"/>
          <w:color w:val="000000" w:themeColor="text1"/>
          <w:lang w:val="es-MX"/>
        </w:rPr>
      </w:pPr>
    </w:p>
    <w:p w14:paraId="35320376" w14:textId="77777777" w:rsidR="00E01724" w:rsidRDefault="00E01724" w:rsidP="00E01724">
      <w:pPr>
        <w:spacing w:after="0" w:line="240" w:lineRule="auto"/>
        <w:rPr>
          <w:rFonts w:ascii="Verdana" w:eastAsia="Geomanist Light" w:hAnsi="Verdana" w:cs="Arial"/>
          <w:color w:val="000000" w:themeColor="text1"/>
          <w:lang w:val="es-MX"/>
        </w:rPr>
      </w:pPr>
    </w:p>
    <w:p w14:paraId="5ABB87F4" w14:textId="77777777" w:rsidR="00E01724" w:rsidRDefault="00E01724" w:rsidP="00E01724">
      <w:pPr>
        <w:spacing w:after="0" w:line="240" w:lineRule="auto"/>
        <w:rPr>
          <w:rFonts w:ascii="Verdana" w:eastAsia="Geomanist Light" w:hAnsi="Verdana" w:cs="Arial"/>
          <w:color w:val="000000" w:themeColor="text1"/>
          <w:lang w:val="es-MX"/>
        </w:rPr>
      </w:pPr>
    </w:p>
    <w:p w14:paraId="675B7D6C" w14:textId="77777777" w:rsidR="00E01724" w:rsidRDefault="00E01724" w:rsidP="00E01724">
      <w:pPr>
        <w:spacing w:after="0" w:line="240" w:lineRule="auto"/>
        <w:rPr>
          <w:rFonts w:ascii="Verdana" w:eastAsia="Geomanist Light" w:hAnsi="Verdana" w:cs="Arial"/>
          <w:color w:val="000000" w:themeColor="text1"/>
          <w:lang w:val="es-MX"/>
        </w:rPr>
      </w:pPr>
    </w:p>
    <w:p w14:paraId="3BE773A6" w14:textId="77777777" w:rsidR="00E01724" w:rsidRDefault="00E01724" w:rsidP="00E01724">
      <w:pPr>
        <w:spacing w:after="0" w:line="240" w:lineRule="auto"/>
        <w:rPr>
          <w:rFonts w:ascii="Verdana" w:eastAsia="Geomanist Light" w:hAnsi="Verdana" w:cs="Arial"/>
          <w:color w:val="000000" w:themeColor="text1"/>
          <w:lang w:val="es-MX"/>
        </w:rPr>
      </w:pPr>
    </w:p>
    <w:p w14:paraId="394C71DC" w14:textId="77777777" w:rsidR="00E01724" w:rsidRDefault="00E01724" w:rsidP="00E01724">
      <w:pPr>
        <w:spacing w:after="0" w:line="240" w:lineRule="auto"/>
        <w:rPr>
          <w:rFonts w:ascii="Verdana" w:eastAsia="Geomanist Light" w:hAnsi="Verdana" w:cs="Arial"/>
          <w:color w:val="000000" w:themeColor="text1"/>
          <w:lang w:val="es-MX"/>
        </w:rPr>
      </w:pPr>
    </w:p>
    <w:p w14:paraId="44B8D47F" w14:textId="77777777" w:rsidR="00E01724" w:rsidRDefault="00E01724" w:rsidP="00E01724">
      <w:pPr>
        <w:spacing w:after="0" w:line="240" w:lineRule="auto"/>
        <w:rPr>
          <w:rFonts w:ascii="Verdana" w:eastAsia="Geomanist Light" w:hAnsi="Verdana" w:cs="Arial"/>
          <w:color w:val="000000" w:themeColor="text1"/>
          <w:lang w:val="es-MX"/>
        </w:rPr>
      </w:pPr>
    </w:p>
    <w:p w14:paraId="01BCE23C" w14:textId="77777777" w:rsidR="00E01724" w:rsidRDefault="00E01724" w:rsidP="00E01724">
      <w:pPr>
        <w:spacing w:after="0" w:line="240" w:lineRule="auto"/>
        <w:rPr>
          <w:rFonts w:ascii="Verdana" w:eastAsia="Geomanist Light" w:hAnsi="Verdana" w:cs="Arial"/>
          <w:color w:val="000000" w:themeColor="text1"/>
          <w:lang w:val="es-MX"/>
        </w:rPr>
      </w:pPr>
    </w:p>
    <w:p w14:paraId="463FBFF5" w14:textId="77777777" w:rsidR="00E01724" w:rsidRDefault="00E01724" w:rsidP="00E01724">
      <w:pPr>
        <w:spacing w:after="0" w:line="240" w:lineRule="auto"/>
        <w:rPr>
          <w:rFonts w:ascii="Verdana" w:eastAsia="Geomanist Light" w:hAnsi="Verdana" w:cs="Arial"/>
          <w:color w:val="000000" w:themeColor="text1"/>
          <w:lang w:val="es-MX"/>
        </w:rPr>
      </w:pPr>
    </w:p>
    <w:p w14:paraId="16B401A3" w14:textId="77777777" w:rsidR="00E01724" w:rsidRDefault="00E01724" w:rsidP="00E01724">
      <w:pPr>
        <w:spacing w:after="0" w:line="240" w:lineRule="auto"/>
        <w:rPr>
          <w:rFonts w:ascii="Verdana" w:eastAsia="Geomanist Light" w:hAnsi="Verdana" w:cs="Arial"/>
          <w:color w:val="000000" w:themeColor="text1"/>
          <w:lang w:val="es-MX"/>
        </w:rPr>
      </w:pPr>
    </w:p>
    <w:p w14:paraId="12AF765A" w14:textId="77777777" w:rsidR="00E01724" w:rsidRDefault="00E01724" w:rsidP="00E01724">
      <w:pPr>
        <w:spacing w:after="0" w:line="240" w:lineRule="auto"/>
        <w:rPr>
          <w:rFonts w:ascii="Verdana" w:eastAsia="Geomanist Light" w:hAnsi="Verdana" w:cs="Arial"/>
          <w:color w:val="000000" w:themeColor="text1"/>
          <w:lang w:val="es-MX"/>
        </w:rPr>
      </w:pPr>
    </w:p>
    <w:p w14:paraId="705C0DA5" w14:textId="77777777" w:rsidR="00E01724" w:rsidRDefault="00E01724" w:rsidP="00E01724">
      <w:pPr>
        <w:spacing w:after="0" w:line="240" w:lineRule="auto"/>
        <w:rPr>
          <w:rFonts w:ascii="Verdana" w:eastAsia="Geomanist Light" w:hAnsi="Verdana" w:cs="Arial"/>
          <w:color w:val="000000" w:themeColor="text1"/>
          <w:lang w:val="es-MX"/>
        </w:rPr>
      </w:pPr>
    </w:p>
    <w:p w14:paraId="16846090" w14:textId="77777777" w:rsidR="00E01724" w:rsidRDefault="00E01724" w:rsidP="00E01724">
      <w:pPr>
        <w:spacing w:after="0" w:line="240" w:lineRule="auto"/>
        <w:rPr>
          <w:rFonts w:ascii="Verdana" w:eastAsia="Geomanist Light" w:hAnsi="Verdana" w:cs="Arial"/>
          <w:color w:val="000000" w:themeColor="text1"/>
          <w:lang w:val="es-MX"/>
        </w:rPr>
      </w:pPr>
    </w:p>
    <w:p w14:paraId="6F794442" w14:textId="77777777" w:rsidR="00E01724" w:rsidRDefault="00E01724" w:rsidP="00E01724">
      <w:pPr>
        <w:spacing w:after="0" w:line="240" w:lineRule="auto"/>
        <w:rPr>
          <w:rFonts w:ascii="Verdana" w:eastAsia="Geomanist Light" w:hAnsi="Verdana" w:cs="Arial"/>
          <w:color w:val="000000" w:themeColor="text1"/>
          <w:lang w:val="es-MX"/>
        </w:rPr>
      </w:pPr>
    </w:p>
    <w:p w14:paraId="1A3C90EA" w14:textId="77777777" w:rsidR="00E01724" w:rsidRDefault="00E01724" w:rsidP="00E01724">
      <w:pPr>
        <w:spacing w:after="0" w:line="240" w:lineRule="auto"/>
        <w:rPr>
          <w:rFonts w:ascii="Verdana" w:eastAsia="Geomanist Light" w:hAnsi="Verdana" w:cs="Arial"/>
          <w:color w:val="000000" w:themeColor="text1"/>
          <w:lang w:val="es-MX"/>
        </w:rPr>
      </w:pPr>
    </w:p>
    <w:p w14:paraId="20901B14" w14:textId="77777777" w:rsidR="00E01724" w:rsidRDefault="00E01724" w:rsidP="00E01724">
      <w:pPr>
        <w:spacing w:after="0" w:line="240" w:lineRule="auto"/>
        <w:rPr>
          <w:rFonts w:ascii="Verdana" w:eastAsia="Geomanist Light" w:hAnsi="Verdana" w:cs="Arial"/>
          <w:color w:val="000000" w:themeColor="text1"/>
          <w:lang w:val="es-MX"/>
        </w:rPr>
      </w:pPr>
    </w:p>
    <w:p w14:paraId="536B9F56" w14:textId="77777777" w:rsidR="00E01724" w:rsidRDefault="00E01724" w:rsidP="00E01724">
      <w:pPr>
        <w:spacing w:after="0" w:line="240" w:lineRule="auto"/>
        <w:rPr>
          <w:rFonts w:ascii="Verdana" w:eastAsia="Geomanist Light" w:hAnsi="Verdana" w:cs="Arial"/>
          <w:color w:val="000000" w:themeColor="text1"/>
          <w:lang w:val="es-MX"/>
        </w:rPr>
      </w:pPr>
    </w:p>
    <w:p w14:paraId="62CC949C" w14:textId="77777777" w:rsidR="00E01724" w:rsidRDefault="00E01724" w:rsidP="00E01724">
      <w:pPr>
        <w:spacing w:after="0" w:line="240" w:lineRule="auto"/>
        <w:rPr>
          <w:rFonts w:ascii="Verdana" w:eastAsia="Geomanist Light" w:hAnsi="Verdana" w:cs="Arial"/>
          <w:color w:val="000000" w:themeColor="text1"/>
          <w:lang w:val="es-MX"/>
        </w:rPr>
      </w:pPr>
    </w:p>
    <w:p w14:paraId="5D6E13DD" w14:textId="77777777" w:rsidR="00E01724" w:rsidRDefault="00E01724" w:rsidP="00E01724">
      <w:pPr>
        <w:spacing w:after="0" w:line="240" w:lineRule="auto"/>
        <w:rPr>
          <w:rFonts w:ascii="Verdana" w:eastAsia="Geomanist Light" w:hAnsi="Verdana" w:cs="Arial"/>
          <w:color w:val="000000" w:themeColor="text1"/>
          <w:lang w:val="es-MX"/>
        </w:rPr>
      </w:pPr>
    </w:p>
    <w:p w14:paraId="62FCF467" w14:textId="77777777" w:rsidR="00E01724" w:rsidRDefault="00E01724" w:rsidP="00E01724">
      <w:pPr>
        <w:spacing w:after="0" w:line="240" w:lineRule="auto"/>
        <w:rPr>
          <w:rFonts w:ascii="Verdana" w:eastAsia="Geomanist Light" w:hAnsi="Verdana" w:cs="Arial"/>
          <w:color w:val="000000" w:themeColor="text1"/>
          <w:lang w:val="es-MX"/>
        </w:rPr>
      </w:pPr>
    </w:p>
    <w:p w14:paraId="1D38FB92" w14:textId="77777777" w:rsidR="00E01724" w:rsidRDefault="00E01724" w:rsidP="00E01724">
      <w:pPr>
        <w:spacing w:after="0" w:line="240" w:lineRule="auto"/>
        <w:rPr>
          <w:rFonts w:ascii="Verdana" w:eastAsia="Geomanist Light" w:hAnsi="Verdana" w:cs="Arial"/>
          <w:color w:val="000000" w:themeColor="text1"/>
          <w:lang w:val="es-MX"/>
        </w:rPr>
      </w:pPr>
    </w:p>
    <w:p w14:paraId="2E17D5F3" w14:textId="77777777" w:rsidR="00E01724" w:rsidRDefault="00E01724" w:rsidP="00E01724">
      <w:pPr>
        <w:spacing w:after="0" w:line="240" w:lineRule="auto"/>
        <w:rPr>
          <w:rFonts w:ascii="Verdana" w:eastAsia="Geomanist Light" w:hAnsi="Verdana" w:cs="Arial"/>
          <w:color w:val="000000" w:themeColor="text1"/>
          <w:lang w:val="es-MX"/>
        </w:rPr>
      </w:pPr>
    </w:p>
    <w:p w14:paraId="637790CF" w14:textId="77777777" w:rsidR="00E01724" w:rsidRDefault="00E01724" w:rsidP="00E01724">
      <w:pPr>
        <w:spacing w:after="0" w:line="240" w:lineRule="auto"/>
        <w:rPr>
          <w:rFonts w:ascii="Verdana" w:eastAsia="Geomanist Light" w:hAnsi="Verdana" w:cs="Arial"/>
          <w:color w:val="000000" w:themeColor="text1"/>
          <w:lang w:val="es-MX"/>
        </w:rPr>
      </w:pPr>
    </w:p>
    <w:p w14:paraId="7CFB449D" w14:textId="12B2B577" w:rsidR="00E01724" w:rsidRPr="00720AB3" w:rsidRDefault="00E01724" w:rsidP="00F86E8D">
      <w:pPr>
        <w:spacing w:after="0" w:line="240" w:lineRule="auto"/>
        <w:jc w:val="both"/>
        <w:rPr>
          <w:rFonts w:ascii="Verdana" w:eastAsia="Verdana" w:hAnsi="Verdana" w:cs="Verdana"/>
          <w:color w:val="000000" w:themeColor="text1"/>
          <w:lang w:val="es"/>
        </w:rPr>
      </w:pPr>
      <w:r w:rsidRPr="00720AB3">
        <w:rPr>
          <w:rFonts w:ascii="Verdana" w:eastAsia="Verdana" w:hAnsi="Verdana" w:cs="Verdana"/>
          <w:color w:val="000000" w:themeColor="text1"/>
          <w:lang w:val="es"/>
        </w:rPr>
        <w:lastRenderedPageBreak/>
        <w:t xml:space="preserve">Bogotá D.C., </w:t>
      </w:r>
      <w:r w:rsidR="00720AB3" w:rsidRPr="00720AB3">
        <w:rPr>
          <w:rFonts w:ascii="Verdana" w:eastAsia="Verdana" w:hAnsi="Verdana" w:cs="Verdana"/>
          <w:color w:val="000000" w:themeColor="text1"/>
          <w:lang w:val="es"/>
        </w:rPr>
        <w:t xml:space="preserve">15 </w:t>
      </w:r>
      <w:r w:rsidRPr="00720AB3">
        <w:rPr>
          <w:rFonts w:ascii="Verdana" w:eastAsia="Verdana" w:hAnsi="Verdana" w:cs="Verdana"/>
          <w:color w:val="000000" w:themeColor="text1"/>
          <w:lang w:val="es"/>
        </w:rPr>
        <w:t>de octubre de 2026</w:t>
      </w:r>
    </w:p>
    <w:p w14:paraId="4E843F0F" w14:textId="77777777" w:rsidR="00E01724" w:rsidRDefault="00E01724" w:rsidP="00720AB3">
      <w:pPr>
        <w:spacing w:after="0" w:line="240" w:lineRule="auto"/>
        <w:jc w:val="both"/>
        <w:textAlignment w:val="baseline"/>
        <w:rPr>
          <w:rFonts w:ascii="Verdana" w:eastAsia="Verdana" w:hAnsi="Verdana" w:cs="Verdana"/>
          <w:color w:val="000000" w:themeColor="text1"/>
          <w:lang w:val="es"/>
        </w:rPr>
      </w:pPr>
    </w:p>
    <w:p w14:paraId="4814B66F" w14:textId="66DFFDB0" w:rsidR="0002764A" w:rsidRDefault="0002764A" w:rsidP="0002764A">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6308158A" wp14:editId="3BAFEB3B">
            <wp:extent cx="2571750" cy="942975"/>
            <wp:effectExtent l="0" t="0" r="0" b="9525"/>
            <wp:docPr id="513953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942975"/>
                    </a:xfrm>
                    <a:prstGeom prst="rect">
                      <a:avLst/>
                    </a:prstGeom>
                    <a:noFill/>
                    <a:ln>
                      <a:noFill/>
                    </a:ln>
                  </pic:spPr>
                </pic:pic>
              </a:graphicData>
            </a:graphic>
          </wp:inline>
        </w:drawing>
      </w:r>
    </w:p>
    <w:p w14:paraId="7F9328CB" w14:textId="77777777" w:rsidR="0002764A" w:rsidRPr="00720AB3" w:rsidRDefault="0002764A" w:rsidP="00720AB3">
      <w:pPr>
        <w:spacing w:after="0" w:line="240" w:lineRule="auto"/>
        <w:jc w:val="both"/>
        <w:textAlignment w:val="baseline"/>
        <w:rPr>
          <w:rFonts w:ascii="Verdana" w:eastAsia="Verdana" w:hAnsi="Verdana" w:cs="Verdana"/>
          <w:color w:val="000000" w:themeColor="text1"/>
          <w:lang w:val="es"/>
        </w:rPr>
      </w:pPr>
    </w:p>
    <w:p w14:paraId="4273FE63" w14:textId="77777777" w:rsidR="00E01724" w:rsidRPr="00720AB3" w:rsidRDefault="00E01724" w:rsidP="00720AB3">
      <w:pPr>
        <w:spacing w:after="0" w:line="240" w:lineRule="auto"/>
        <w:jc w:val="both"/>
        <w:textAlignment w:val="baseline"/>
        <w:rPr>
          <w:rFonts w:ascii="Verdana" w:eastAsia="Verdana" w:hAnsi="Verdana" w:cs="Verdana"/>
          <w:color w:val="000000" w:themeColor="text1"/>
          <w:lang w:val="es"/>
        </w:rPr>
      </w:pPr>
      <w:r w:rsidRPr="00720AB3">
        <w:rPr>
          <w:rFonts w:ascii="Verdana" w:eastAsia="Verdana" w:hAnsi="Verdana" w:cs="Verdana"/>
          <w:color w:val="000000" w:themeColor="text1"/>
          <w:lang w:val="es"/>
        </w:rPr>
        <w:t>Señores</w:t>
      </w:r>
    </w:p>
    <w:p w14:paraId="76F2F0EE" w14:textId="77777777" w:rsidR="00E01724" w:rsidRPr="00720AB3" w:rsidRDefault="00E01724" w:rsidP="00720AB3">
      <w:pPr>
        <w:spacing w:after="0" w:line="240" w:lineRule="auto"/>
        <w:jc w:val="both"/>
        <w:textAlignment w:val="baseline"/>
        <w:rPr>
          <w:rFonts w:ascii="Verdana" w:hAnsi="Verdana"/>
        </w:rPr>
      </w:pPr>
      <w:hyperlink r:id="rId11" w:history="1">
        <w:r w:rsidRPr="00720AB3">
          <w:rPr>
            <w:rStyle w:val="Hipervnculo"/>
            <w:rFonts w:ascii="Verdana" w:hAnsi="Verdana"/>
          </w:rPr>
          <w:t>socintergerencia@gmail.com</w:t>
        </w:r>
      </w:hyperlink>
      <w:r w:rsidRPr="00720AB3">
        <w:rPr>
          <w:rFonts w:ascii="Verdana" w:hAnsi="Verdana"/>
        </w:rPr>
        <w:t xml:space="preserve">  </w:t>
      </w:r>
    </w:p>
    <w:p w14:paraId="6111D9EA" w14:textId="77777777" w:rsidR="00E01724" w:rsidRPr="00720AB3" w:rsidRDefault="00E01724" w:rsidP="00720AB3">
      <w:pPr>
        <w:spacing w:after="0" w:line="240" w:lineRule="auto"/>
        <w:jc w:val="both"/>
        <w:textAlignment w:val="baseline"/>
        <w:rPr>
          <w:rFonts w:ascii="Verdana" w:hAnsi="Verdana"/>
        </w:rPr>
      </w:pPr>
      <w:r w:rsidRPr="00720AB3">
        <w:rPr>
          <w:rFonts w:ascii="Verdana" w:hAnsi="Verdana"/>
        </w:rPr>
        <w:t>Bogotá D.C.</w:t>
      </w:r>
    </w:p>
    <w:p w14:paraId="04E1BECD" w14:textId="77777777" w:rsidR="00E01724" w:rsidRPr="00720AB3" w:rsidRDefault="00E01724" w:rsidP="00720AB3">
      <w:pPr>
        <w:spacing w:after="0" w:line="240" w:lineRule="auto"/>
        <w:jc w:val="both"/>
        <w:textAlignment w:val="baseline"/>
        <w:rPr>
          <w:rFonts w:ascii="Verdana" w:hAnsi="Verdana"/>
        </w:rPr>
      </w:pPr>
    </w:p>
    <w:p w14:paraId="1E32AA29" w14:textId="77777777" w:rsidR="00720AB3" w:rsidRPr="00720AB3" w:rsidRDefault="00720AB3" w:rsidP="00720AB3">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E01724" w:rsidRPr="00720AB3" w14:paraId="6A261FFF" w14:textId="77777777" w:rsidTr="0048249B">
        <w:trPr>
          <w:trHeight w:val="615"/>
        </w:trPr>
        <w:tc>
          <w:tcPr>
            <w:tcW w:w="2265" w:type="dxa"/>
            <w:shd w:val="clear" w:color="auto" w:fill="FFFFFF" w:themeFill="background1"/>
            <w:tcMar>
              <w:left w:w="108" w:type="dxa"/>
              <w:right w:w="108" w:type="dxa"/>
            </w:tcMar>
          </w:tcPr>
          <w:p w14:paraId="63617B50" w14:textId="77777777" w:rsidR="00E01724" w:rsidRPr="00720AB3" w:rsidRDefault="00E01724" w:rsidP="00720AB3">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2DC498C9" w14:textId="77777777" w:rsidR="00E01724" w:rsidRPr="00F86E8D" w:rsidRDefault="00E01724" w:rsidP="00720AB3">
            <w:pPr>
              <w:jc w:val="both"/>
              <w:rPr>
                <w:rFonts w:ascii="Verdana" w:hAnsi="Verdana"/>
              </w:rPr>
            </w:pPr>
            <w:r w:rsidRPr="00720AB3">
              <w:rPr>
                <w:rFonts w:ascii="Verdana" w:eastAsia="Verdana" w:hAnsi="Verdana" w:cs="Verdana"/>
                <w:b/>
                <w:bCs/>
                <w:color w:val="000000" w:themeColor="text1"/>
                <w:lang w:val="es"/>
              </w:rPr>
              <w:t>Concepto C- 1401 de 2026</w:t>
            </w:r>
          </w:p>
        </w:tc>
      </w:tr>
      <w:tr w:rsidR="00E01724" w:rsidRPr="00720AB3" w14:paraId="7D4D6C48" w14:textId="77777777" w:rsidTr="0048249B">
        <w:trPr>
          <w:trHeight w:val="1065"/>
        </w:trPr>
        <w:tc>
          <w:tcPr>
            <w:tcW w:w="2265" w:type="dxa"/>
            <w:shd w:val="clear" w:color="auto" w:fill="FFFFFF" w:themeFill="background1"/>
            <w:tcMar>
              <w:left w:w="108" w:type="dxa"/>
              <w:right w:w="108" w:type="dxa"/>
            </w:tcMar>
          </w:tcPr>
          <w:p w14:paraId="53A676B1" w14:textId="77777777" w:rsidR="00E01724" w:rsidRPr="00F86E8D" w:rsidRDefault="00E01724" w:rsidP="00720AB3">
            <w:pPr>
              <w:jc w:val="both"/>
              <w:rPr>
                <w:rFonts w:ascii="Verdana" w:hAnsi="Verdana"/>
              </w:rPr>
            </w:pPr>
            <w:r w:rsidRPr="00720AB3">
              <w:rPr>
                <w:rFonts w:ascii="Verdana" w:eastAsia="Verdana" w:hAnsi="Verdana" w:cs="Verdana"/>
                <w:b/>
                <w:bCs/>
                <w:color w:val="000000" w:themeColor="text1"/>
              </w:rPr>
              <w:t>Temas:</w:t>
            </w:r>
            <w:r w:rsidRPr="00720AB3">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4244436" w14:textId="77777777" w:rsidR="00E01724" w:rsidRPr="00720AB3" w:rsidRDefault="00E01724" w:rsidP="00F86E8D">
            <w:pPr>
              <w:jc w:val="both"/>
              <w:rPr>
                <w:rFonts w:ascii="Verdana" w:eastAsia="Calibri" w:hAnsi="Verdana" w:cs="Arial"/>
                <w:lang w:val="es-ES" w:eastAsia="es-ES"/>
              </w:rPr>
            </w:pPr>
            <w:r w:rsidRPr="00720AB3">
              <w:rPr>
                <w:rFonts w:ascii="Verdana" w:eastAsia="Calibri" w:hAnsi="Verdana" w:cs="Arial"/>
                <w:lang w:val="es-ES" w:eastAsia="es-ES"/>
              </w:rPr>
              <w:t xml:space="preserve">PRECIOS ARTIFICIALMENTE BAJOS – Noción / PRECIOS ARTIFICIALMENTE BAJOS – Etapa – Planeación / GUÍA PARA EL MANEJO DE OFERTAS ARTIFICIALMENTE BAJAS – Identificación / GUÍA PARA EL MANEJO DE OFERTAS ARTIFICIALMENTE BAJAS – Manejo – Aclaraciones – Respuesta a solicitud </w:t>
            </w:r>
          </w:p>
          <w:p w14:paraId="6E599246" w14:textId="77777777" w:rsidR="00E01724" w:rsidRPr="00F86E8D" w:rsidRDefault="00E01724" w:rsidP="00F86E8D">
            <w:pPr>
              <w:jc w:val="both"/>
              <w:rPr>
                <w:rFonts w:ascii="Verdana" w:hAnsi="Verdana"/>
                <w:highlight w:val="yellow"/>
              </w:rPr>
            </w:pPr>
          </w:p>
        </w:tc>
      </w:tr>
      <w:tr w:rsidR="00E01724" w:rsidRPr="00720AB3" w14:paraId="65EECB68" w14:textId="77777777" w:rsidTr="0048249B">
        <w:trPr>
          <w:trHeight w:val="660"/>
        </w:trPr>
        <w:tc>
          <w:tcPr>
            <w:tcW w:w="2265" w:type="dxa"/>
            <w:shd w:val="clear" w:color="auto" w:fill="FFFFFF" w:themeFill="background1"/>
            <w:tcMar>
              <w:left w:w="108" w:type="dxa"/>
              <w:right w:w="108" w:type="dxa"/>
            </w:tcMar>
          </w:tcPr>
          <w:p w14:paraId="1E3FF2E1" w14:textId="77777777" w:rsidR="00E01724" w:rsidRPr="00F86E8D" w:rsidRDefault="00E01724" w:rsidP="00720AB3">
            <w:pPr>
              <w:jc w:val="both"/>
              <w:rPr>
                <w:rFonts w:ascii="Verdana" w:hAnsi="Verdana"/>
              </w:rPr>
            </w:pPr>
            <w:r w:rsidRPr="00720AB3">
              <w:rPr>
                <w:rFonts w:ascii="Verdana" w:eastAsia="Verdana" w:hAnsi="Verdana" w:cs="Verdana"/>
                <w:b/>
                <w:bCs/>
                <w:color w:val="000000" w:themeColor="text1"/>
              </w:rPr>
              <w:t>Radicación:</w:t>
            </w:r>
            <w:r w:rsidRPr="00720AB3">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6556ACC" w14:textId="77777777" w:rsidR="00E01724" w:rsidRPr="00F86E8D" w:rsidRDefault="00E01724" w:rsidP="00720AB3">
            <w:pPr>
              <w:ind w:right="1"/>
              <w:jc w:val="both"/>
              <w:rPr>
                <w:rFonts w:ascii="Verdana" w:hAnsi="Verdana"/>
              </w:rPr>
            </w:pPr>
            <w:r w:rsidRPr="00720AB3">
              <w:rPr>
                <w:rFonts w:ascii="Verdana" w:eastAsia="Verdana" w:hAnsi="Verdana" w:cs="Verdana"/>
                <w:color w:val="000000" w:themeColor="text1"/>
              </w:rPr>
              <w:t>Respuesta a consulta con radicado N.º 1_2026_09_07_011832.</w:t>
            </w:r>
          </w:p>
        </w:tc>
      </w:tr>
    </w:tbl>
    <w:p w14:paraId="14FE3092" w14:textId="77777777" w:rsidR="00E01724" w:rsidRDefault="00E01724" w:rsidP="00720AB3">
      <w:pPr>
        <w:spacing w:after="0" w:line="240" w:lineRule="auto"/>
        <w:jc w:val="both"/>
        <w:textAlignment w:val="baseline"/>
        <w:rPr>
          <w:rFonts w:ascii="Verdana" w:eastAsia="Verdana" w:hAnsi="Verdana" w:cs="Verdana"/>
          <w:color w:val="000000" w:themeColor="text1"/>
          <w:lang w:val="es-ES"/>
        </w:rPr>
      </w:pPr>
    </w:p>
    <w:p w14:paraId="5DA6D0DF" w14:textId="77777777" w:rsidR="00720AB3" w:rsidRPr="00720AB3" w:rsidRDefault="00720AB3" w:rsidP="00F86E8D">
      <w:pPr>
        <w:spacing w:after="0" w:line="240" w:lineRule="auto"/>
        <w:jc w:val="both"/>
        <w:textAlignment w:val="baseline"/>
        <w:rPr>
          <w:rFonts w:ascii="Verdana" w:eastAsia="Verdana" w:hAnsi="Verdana" w:cs="Verdana"/>
          <w:color w:val="000000" w:themeColor="text1"/>
          <w:lang w:val="es-ES"/>
        </w:rPr>
      </w:pPr>
    </w:p>
    <w:p w14:paraId="769A1811" w14:textId="77777777" w:rsidR="00E01724" w:rsidRDefault="00E01724" w:rsidP="003A10EE">
      <w:pPr>
        <w:spacing w:after="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07</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0C114F46" w14:textId="77777777" w:rsidR="003A10EE" w:rsidRDefault="003A10EE" w:rsidP="00F86E8D">
      <w:pPr>
        <w:spacing w:after="0" w:line="276" w:lineRule="auto"/>
        <w:jc w:val="both"/>
        <w:textAlignment w:val="baseline"/>
        <w:rPr>
          <w:rFonts w:ascii="Verdana" w:eastAsia="Verdana" w:hAnsi="Verdana" w:cs="Verdana"/>
          <w:color w:val="000000" w:themeColor="text1"/>
          <w:lang w:val="es-ES"/>
        </w:rPr>
      </w:pPr>
    </w:p>
    <w:p w14:paraId="109A4BE0" w14:textId="77777777" w:rsidR="00E01724" w:rsidRDefault="00E01724" w:rsidP="003A10EE">
      <w:pPr>
        <w:spacing w:after="0" w:line="240" w:lineRule="auto"/>
        <w:ind w:left="709" w:right="709"/>
        <w:jc w:val="both"/>
        <w:rPr>
          <w:rFonts w:ascii="Verdana" w:hAnsi="Verdana"/>
          <w:sz w:val="20"/>
          <w:szCs w:val="20"/>
        </w:rPr>
      </w:pPr>
      <w:r w:rsidRPr="00F86E8D">
        <w:rPr>
          <w:rFonts w:ascii="Verdana" w:hAnsi="Verdana"/>
          <w:sz w:val="20"/>
          <w:szCs w:val="20"/>
        </w:rPr>
        <w:t>“¿puede una entidad, después de haberse pronunciado sobre las propuestas válidas y rechazadas antes de las 3:00 p. m. y una vez agotado el procedimiento de análisis y aceptación de un precio artificialmente bajo, reabrir dicho análisis con ocasión de una observación posterior presentada por otro oferente?”</w:t>
      </w:r>
    </w:p>
    <w:p w14:paraId="6360800A" w14:textId="77777777" w:rsidR="003A10EE" w:rsidRPr="00F86E8D" w:rsidRDefault="003A10EE" w:rsidP="00F86E8D">
      <w:pPr>
        <w:spacing w:after="0" w:line="276" w:lineRule="auto"/>
        <w:ind w:left="709" w:right="709"/>
        <w:jc w:val="both"/>
        <w:rPr>
          <w:rFonts w:ascii="Verdana" w:hAnsi="Verdana"/>
          <w:sz w:val="20"/>
          <w:szCs w:val="20"/>
        </w:rPr>
      </w:pPr>
    </w:p>
    <w:p w14:paraId="0A5D820E" w14:textId="77777777" w:rsidR="00E01724" w:rsidRPr="0015699B" w:rsidRDefault="00E01724" w:rsidP="00F86E8D">
      <w:pPr>
        <w:spacing w:after="120" w:line="276" w:lineRule="auto"/>
        <w:jc w:val="both"/>
        <w:rPr>
          <w:rFonts w:ascii="Calibri" w:eastAsia="Calibri" w:hAnsi="Calibri" w:cs="Calibri"/>
          <w:lang w:val="es"/>
        </w:rPr>
      </w:pPr>
      <w:r>
        <w:rPr>
          <w:rFonts w:ascii="Verdana" w:eastAsia="Verdana" w:hAnsi="Verdana" w:cs="Verdana"/>
          <w:color w:val="000000" w:themeColor="text1"/>
          <w:sz w:val="21"/>
          <w:szCs w:val="21"/>
        </w:rPr>
        <w:lastRenderedPageBreak/>
        <w:t xml:space="preserve">        </w:t>
      </w:r>
      <w:r w:rsidRPr="00C57436">
        <w:rPr>
          <w:rFonts w:ascii="Verdana" w:eastAsia="Verdana" w:hAnsi="Verdana" w:cs="Verdana"/>
          <w:color w:val="000000" w:themeColor="text1"/>
          <w:sz w:val="21"/>
          <w:szCs w:val="21"/>
        </w:rPr>
        <w:t xml:space="preserve"> </w:t>
      </w: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405316F9" w14:textId="77777777" w:rsidR="00E01724" w:rsidRPr="0015699B" w:rsidRDefault="00E01724" w:rsidP="00F86E8D">
      <w:pPr>
        <w:spacing w:after="0" w:line="276" w:lineRule="auto"/>
        <w:ind w:right="49" w:firstLine="708"/>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EA517A9" w14:textId="77777777" w:rsidR="00E01724" w:rsidRDefault="00E01724" w:rsidP="007257CB">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E8999FE" w14:textId="77777777" w:rsidR="00E01724" w:rsidRPr="0015699B" w:rsidRDefault="00E01724" w:rsidP="007257CB">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 </w:t>
      </w:r>
      <w:r w:rsidRPr="40A87941">
        <w:rPr>
          <w:rFonts w:ascii="Verdana" w:eastAsia="Verdana" w:hAnsi="Verdana" w:cs="Verdana"/>
          <w:b/>
          <w:bCs/>
          <w:color w:val="000000" w:themeColor="text1"/>
          <w:lang w:val="es"/>
        </w:rPr>
        <w:t>planteado:</w:t>
      </w:r>
    </w:p>
    <w:p w14:paraId="6FE578D1" w14:textId="77777777" w:rsidR="00E01724" w:rsidRPr="0015699B" w:rsidRDefault="00E01724" w:rsidP="007257CB">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158D812" w14:textId="77777777" w:rsidR="00E01724" w:rsidRDefault="00E01724" w:rsidP="007257CB">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AC5D87">
        <w:rPr>
          <w:rFonts w:ascii="Verdana" w:eastAsia="Verdana" w:hAnsi="Verdana" w:cs="Verdana"/>
          <w:color w:val="000000" w:themeColor="text1"/>
        </w:rPr>
        <w:t>¿</w:t>
      </w:r>
      <w:r w:rsidRPr="0019392A">
        <w:rPr>
          <w:rFonts w:ascii="Verdana" w:eastAsia="Verdana" w:hAnsi="Verdana" w:cs="Verdana"/>
          <w:color w:val="000000" w:themeColor="text1"/>
        </w:rPr>
        <w:t>Puede una entidad estatal reabrir el análisis de una oferta con precio artificialmente bajo después de haber agotado el procedimiento correspondiente y adoptado una decisión, con ocasión de una observación posterior?</w:t>
      </w:r>
    </w:p>
    <w:p w14:paraId="586604FA" w14:textId="77777777" w:rsidR="00E01724" w:rsidRDefault="00E01724" w:rsidP="007257CB">
      <w:pPr>
        <w:spacing w:after="0" w:line="276" w:lineRule="auto"/>
        <w:ind w:left="284"/>
        <w:jc w:val="both"/>
        <w:textAlignment w:val="baseline"/>
        <w:rPr>
          <w:rFonts w:ascii="Verdana" w:eastAsia="Verdana" w:hAnsi="Verdana" w:cs="Verdana"/>
          <w:color w:val="000000" w:themeColor="text1"/>
        </w:rPr>
      </w:pPr>
    </w:p>
    <w:p w14:paraId="5CD9CDE0" w14:textId="77777777" w:rsidR="00E01724" w:rsidRDefault="00E01724" w:rsidP="00F86E8D">
      <w:pPr>
        <w:pStyle w:val="Prrafodelista"/>
        <w:numPr>
          <w:ilvl w:val="0"/>
          <w:numId w:val="16"/>
        </w:numPr>
        <w:spacing w:after="0" w:line="276"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2ABBE929" w14:textId="77777777" w:rsidR="00E01724" w:rsidRPr="0015699B" w:rsidRDefault="00E01724" w:rsidP="00F86E8D">
      <w:pPr>
        <w:pStyle w:val="Prrafodelista"/>
        <w:spacing w:after="0" w:line="276"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E01724" w14:paraId="3795C15E" w14:textId="77777777" w:rsidTr="0048249B">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05EC9B1F" w14:textId="29F84D0B"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De manera preliminar es pertinente indicar</w:t>
            </w:r>
            <w:r w:rsidRPr="0019392A">
              <w:rPr>
                <w:rFonts w:ascii="Verdana" w:eastAsia="Verdana" w:hAnsi="Verdana" w:cs="Verdana"/>
              </w:rPr>
              <w:t xml:space="preserve"> que, en virtud del principio de selección objetiva previsto en el artículo 5 de la Ley 1150 de 2007, las entidades estatales deben seleccionar el ofrecimiento más favorable a sus intereses, de acuerdo con las reglas establecidas en la ley y en los documentos del proceso. A su vez, los principios de transparencia e igualdad, previstos en los artículos 23 y 24 de la Ley 80 de 1993, exigen que la evaluación de las ofertas se adelante con sujeción a las condiciones previamente establecidas, </w:t>
            </w:r>
            <w:r w:rsidRPr="0019392A">
              <w:rPr>
                <w:rFonts w:ascii="Verdana" w:eastAsia="Verdana" w:hAnsi="Verdana" w:cs="Verdana"/>
              </w:rPr>
              <w:lastRenderedPageBreak/>
              <w:t>sin otorgar ventajas indebidas a los proponentes ni modificar arbitrariamente las reglas del procedimiento de selección.</w:t>
            </w:r>
          </w:p>
          <w:p w14:paraId="6107A3D7"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En relación con las ofertas que presentan precios aparentemente artificialmente bajos, el artículo 2.2.1.1.2.2.4 del Decreto 1082 de 2015 establece el procedimiento que debe seguir la entidad estatal cuando, a partir de la información del estudio del sector económico, advierta que el valor de una oferta puede resultar artificialmente bajo. Para tal efecto, debe requerir al oferente para que explique las razones que sustentan el precio, analizar las explicaciones presentadas y, con fundamento en dicho análisis, determinar si procede continuar con la evaluación de la oferta o recomendar su rechazo.</w:t>
            </w:r>
          </w:p>
          <w:p w14:paraId="7D25560E"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 xml:space="preserve">Sobre el particular, en el Concepto C-1031 del 12 de agosto de 2026, </w:t>
            </w:r>
            <w:r>
              <w:rPr>
                <w:rFonts w:ascii="Verdana" w:eastAsia="Verdana" w:hAnsi="Verdana" w:cs="Verdana"/>
              </w:rPr>
              <w:t>proferido por esta Subdirección Contractual se</w:t>
            </w:r>
            <w:r w:rsidRPr="0019392A">
              <w:rPr>
                <w:rFonts w:ascii="Verdana" w:eastAsia="Verdana" w:hAnsi="Verdana" w:cs="Verdana"/>
              </w:rPr>
              <w:t xml:space="preserve"> reiteró que la identificación de una oferta aparentemente artificialmente baja no implica su rechazo automático, sino que exige agotar el procedimiento previsto en la disposición citada, a fin de establecer si las circunstancias objetivas que explican el precio permiten garantizar la adecuada ejecución del contrato.</w:t>
            </w:r>
          </w:p>
          <w:p w14:paraId="1C6346F5" w14:textId="77777777" w:rsidR="00E01724"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En ese sentido, el procedimiento de análisis del precio artificialmente bajo se integra a la etapa de evaluación de las ofertas y debe desarrollarse conforme a las reglas del pliego de condiciones o del documento tipo aplicable, según corresponda. Por consiguiente, la entidad debe valorar las explicaciones del oferente y adoptar una decisión motivada, sin que la sola presentación de un precio inferior al estimado o al de las demás propuestas determine su exclusión.</w:t>
            </w:r>
          </w:p>
          <w:p w14:paraId="27A5DFD3"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Ahora bien, debe distinguirse entre el procedimiento de análisis del precio artificialmente bajo y las actuaciones posteriores relacionadas con las observaciones formuladas a la evaluación. El artículo 2.2.1.1.2.2.4 del Decreto 1082 de 2015 regula el primero, pero no establece expresamente que la presentación de una observación posterior a la decisión de la entidad constituya, por sí misma, una causal para reabrir el procedimiento.</w:t>
            </w:r>
          </w:p>
          <w:p w14:paraId="21886BAF"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 xml:space="preserve">En consecuencia, cuando la entidad ya ha agotado el análisis del precio artificialmente bajo, ha evaluado las explicaciones del oferente y se ha pronunciado sobre las propuestas válidas y rechazadas dentro de la oportunidad prevista para ello, la presentación de una observación posterior no genera automáticamente la obligación de repetir el análisis. Para establecer </w:t>
            </w:r>
            <w:r w:rsidRPr="0019392A">
              <w:rPr>
                <w:rFonts w:ascii="Verdana" w:eastAsia="Verdana" w:hAnsi="Verdana" w:cs="Verdana"/>
              </w:rPr>
              <w:lastRenderedPageBreak/>
              <w:t>si procede una actuación adicional, la entidad debe examinar el contenido de la observación, su oportunidad, las reglas previstas en los documentos del proceso y la incidencia de los argumentos expuestos sobre la legalidad y consistencia de la evaluación realizada.</w:t>
            </w:r>
          </w:p>
          <w:p w14:paraId="0997DDBD"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En este punto, resulta pertinente considerar que, de acuerdo con el</w:t>
            </w:r>
            <w:r>
              <w:rPr>
                <w:rFonts w:ascii="Verdana" w:eastAsia="Verdana" w:hAnsi="Verdana" w:cs="Verdana"/>
              </w:rPr>
              <w:t xml:space="preserve"> mencionado</w:t>
            </w:r>
            <w:r w:rsidRPr="0019392A">
              <w:rPr>
                <w:rFonts w:ascii="Verdana" w:eastAsia="Verdana" w:hAnsi="Verdana" w:cs="Verdana"/>
              </w:rPr>
              <w:t xml:space="preserve"> Concepto C-1031 del 12 de agosto de 2026, el análisis de una oferta aparentemente artificialmente baja debe permitir determinar, a partir de circunstancias objetivas, si el precio ofertado es sostenible y si la propuesta puede continuar en el proceso de selección. Asimismo, dicho concepto explica que, una vez rechazada una oferta por esta causa, esta deja de integrar el conjunto de propuestas susceptibles de continuar en la evaluación económica, por lo que las actuaciones posteriores deben adelantarse respecto de las ofertas que permanezcan válidamente en el proceso y de conformidad con las reglas previamente establecidas.</w:t>
            </w:r>
          </w:p>
          <w:p w14:paraId="222241E0"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De esta manera, la exclusión de una oferta por precio artificialmente bajo y la eventual modificación del conjunto de propuestas evaluables no habilitan a la entidad para alterar los factores, fórmulas o criterios de evaluación previstos en los documentos del proceso. De igual forma, la entidad no puede confundir la recepción de una observación con la existencia de una razón jurídica suficiente para modificar una decisión previamente adoptada.</w:t>
            </w:r>
          </w:p>
          <w:p w14:paraId="1745FA48"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No obstante, lo anterior no significa que la entidad deba desatender, en todos los casos, una observación presentada con posterioridad. Si esta contiene información objetiva y relevante que permita advertir un error sustancial o una posible irregularidad en la evaluación, corresponde a la entidad determinar, mediante una valoración motivada, si resulta jurídicamente necesario verificar lo actuado y adoptar las medidas procedentes. Tal actuación deberá respetar los principios de transparencia, igualdad y selección objetiva, así como las reglas y oportunidades del procedimiento de selección, sin permitir que la revisión se convierta en una oportunidad para modificar las ofertas o conceder ventajas particulares a alguno de los participantes.</w:t>
            </w:r>
          </w:p>
          <w:p w14:paraId="729F4FB4" w14:textId="77777777" w:rsidR="00E01724" w:rsidRPr="0019392A" w:rsidRDefault="00E01724" w:rsidP="00A93B68">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 xml:space="preserve">En todo caso, una eventual revisión no puede utilizarse para modificar las condiciones económicas de las ofertas, introducir nuevos criterios de evaluación o alterar el procedimiento para favorecer o perjudicar a un </w:t>
            </w:r>
            <w:r w:rsidRPr="0019392A">
              <w:rPr>
                <w:rFonts w:ascii="Verdana" w:eastAsia="Verdana" w:hAnsi="Verdana" w:cs="Verdana"/>
              </w:rPr>
              <w:lastRenderedPageBreak/>
              <w:t>participante. Las actuaciones que se adelanten deben conservar correspondencia con las reglas inicialmente establecidas y con las exigencias del artículo 2.2.1.1.2.2.4 del Decreto 1082 de 2015.</w:t>
            </w:r>
          </w:p>
          <w:p w14:paraId="64C1AB64" w14:textId="77777777" w:rsidR="00E01724" w:rsidRDefault="00E01724" w:rsidP="00A93B68">
            <w:pPr>
              <w:spacing w:after="120" w:line="276" w:lineRule="auto"/>
              <w:jc w:val="both"/>
              <w:rPr>
                <w:rFonts w:ascii="Verdana" w:eastAsia="Verdana" w:hAnsi="Verdana" w:cs="Verdana"/>
              </w:rPr>
            </w:pPr>
            <w:r w:rsidRPr="007426DA">
              <w:rPr>
                <w:rFonts w:ascii="Verdana" w:eastAsia="Verdana" w:hAnsi="Verdana" w:cs="Verdana"/>
              </w:rPr>
              <w:t xml:space="preserve"> </w:t>
            </w:r>
          </w:p>
          <w:p w14:paraId="74D91708" w14:textId="77777777" w:rsidR="00E01724" w:rsidRDefault="00E01724" w:rsidP="00F86E8D">
            <w:pPr>
              <w:spacing w:after="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475589D6" w14:textId="77777777" w:rsidR="00E01724" w:rsidRPr="00F87343" w:rsidRDefault="00E01724" w:rsidP="00F86E8D">
            <w:pPr>
              <w:spacing w:after="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0727F8D6" w14:textId="77777777" w:rsidR="00E01724" w:rsidRPr="0015699B" w:rsidRDefault="00E01724" w:rsidP="00F777D0">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2381DA5F" w14:textId="77777777" w:rsidR="00E01724" w:rsidRDefault="00E01724" w:rsidP="00F777D0">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47A343EE" w14:textId="77777777" w:rsidR="00E01724" w:rsidRDefault="00E01724" w:rsidP="00F777D0">
      <w:pPr>
        <w:spacing w:after="0" w:line="276" w:lineRule="auto"/>
        <w:jc w:val="both"/>
        <w:textAlignment w:val="baseline"/>
        <w:rPr>
          <w:rFonts w:ascii="Verdana" w:eastAsia="Verdana" w:hAnsi="Verdana" w:cs="Verdana"/>
          <w:b/>
          <w:bCs/>
          <w:color w:val="000000" w:themeColor="text1"/>
          <w:lang w:val="es"/>
        </w:rPr>
      </w:pPr>
    </w:p>
    <w:p w14:paraId="5D71DDFF" w14:textId="77777777" w:rsidR="00E01724" w:rsidRPr="001E1DB9" w:rsidRDefault="00E01724" w:rsidP="00F777D0">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2A073127" w14:textId="6FB97BC5" w:rsidR="00A93B68" w:rsidRDefault="00A93B68" w:rsidP="00F777D0">
      <w:pPr>
        <w:spacing w:after="0" w:line="276" w:lineRule="auto"/>
        <w:jc w:val="both"/>
        <w:rPr>
          <w:rFonts w:ascii="Verdana" w:eastAsia="Calibri" w:hAnsi="Verdana" w:cs="Arial"/>
          <w:lang w:val="es-ES"/>
        </w:rPr>
      </w:pPr>
    </w:p>
    <w:p w14:paraId="647B7965" w14:textId="6B1F4782" w:rsidR="00E01724" w:rsidRPr="008A6A5E" w:rsidRDefault="00E01724" w:rsidP="00F777D0">
      <w:pPr>
        <w:spacing w:after="0" w:line="276" w:lineRule="auto"/>
        <w:jc w:val="both"/>
        <w:rPr>
          <w:rFonts w:ascii="Aptos" w:eastAsia="Aptos" w:hAnsi="Aptos" w:cs="Times New Roman"/>
          <w:kern w:val="2"/>
          <w:sz w:val="24"/>
          <w:szCs w:val="24"/>
          <w:lang w:val="es-ES"/>
          <w14:ligatures w14:val="standardContextual"/>
        </w:rPr>
      </w:pPr>
      <w:r w:rsidRPr="0048565C">
        <w:rPr>
          <w:rFonts w:ascii="Verdana" w:hAnsi="Verdana" w:cs="Arial"/>
          <w:color w:val="000000" w:themeColor="text1"/>
          <w:lang w:val="es-ES"/>
        </w:rPr>
        <w:t>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48565C">
        <w:rPr>
          <w:rFonts w:ascii="Verdana" w:hAnsi="Verdana" w:cs="Arial"/>
          <w:color w:val="000000" w:themeColor="text1"/>
        </w:rPr>
        <w:t>. Así lo señaló el Consejo de Estado en sentencia del 4 de junio de 2008, en los siguientes términos:</w:t>
      </w:r>
    </w:p>
    <w:p w14:paraId="6FECF37A" w14:textId="77777777" w:rsidR="00E01724" w:rsidRPr="0048565C" w:rsidRDefault="00E01724" w:rsidP="00F777D0">
      <w:pPr>
        <w:spacing w:after="0" w:line="276" w:lineRule="auto"/>
        <w:jc w:val="both"/>
        <w:rPr>
          <w:rFonts w:ascii="Verdana" w:hAnsi="Verdana" w:cs="Arial"/>
          <w:color w:val="000000" w:themeColor="text1"/>
        </w:rPr>
      </w:pPr>
    </w:p>
    <w:p w14:paraId="70457CB7" w14:textId="77777777" w:rsidR="00E01724" w:rsidRPr="00F86E8D" w:rsidRDefault="00E01724" w:rsidP="00E01724">
      <w:pPr>
        <w:spacing w:after="0" w:line="240" w:lineRule="auto"/>
        <w:ind w:left="708" w:right="709"/>
        <w:jc w:val="both"/>
        <w:rPr>
          <w:rFonts w:ascii="Verdana" w:hAnsi="Verdana" w:cs="Arial"/>
          <w:color w:val="000000" w:themeColor="text1"/>
          <w:sz w:val="20"/>
          <w:szCs w:val="20"/>
        </w:rPr>
      </w:pPr>
      <w:r w:rsidRPr="00F86E8D">
        <w:rPr>
          <w:rFonts w:ascii="Verdana" w:hAnsi="Verdana" w:cs="Arial"/>
          <w:color w:val="000000" w:themeColor="text1"/>
          <w:sz w:val="20"/>
          <w:szCs w:val="20"/>
        </w:rPr>
        <w:t xml:space="preserve">“El denominado ‘precio artificialmente bajo’ de que trata la Ley 80, es aquel que resulta artificioso o falso, disimulado, muy reducido o disminuido, pero además, que no encuentre sustentación o fundamento </w:t>
      </w:r>
      <w:r w:rsidRPr="00F86E8D">
        <w:rPr>
          <w:rFonts w:ascii="Verdana" w:hAnsi="Verdana" w:cs="Arial"/>
          <w:color w:val="000000" w:themeColor="text1"/>
          <w:sz w:val="20"/>
          <w:szCs w:val="20"/>
        </w:rPr>
        <w:lastRenderedPageBreak/>
        <w:t>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F86E8D">
        <w:rPr>
          <w:rStyle w:val="Refdenotaalpie"/>
          <w:rFonts w:ascii="Verdana" w:hAnsi="Verdana" w:cs="Arial"/>
          <w:color w:val="000000" w:themeColor="text1"/>
          <w:sz w:val="20"/>
          <w:szCs w:val="20"/>
        </w:rPr>
        <w:footnoteReference w:id="1"/>
      </w:r>
      <w:r w:rsidRPr="00F86E8D">
        <w:rPr>
          <w:rFonts w:ascii="Verdana" w:hAnsi="Verdana" w:cs="Arial"/>
          <w:color w:val="000000" w:themeColor="text1"/>
          <w:sz w:val="20"/>
          <w:szCs w:val="20"/>
        </w:rPr>
        <w:t>.</w:t>
      </w:r>
    </w:p>
    <w:p w14:paraId="34CE59D0" w14:textId="77777777" w:rsidR="00E01724" w:rsidRPr="0048565C" w:rsidRDefault="00E01724" w:rsidP="00E01724">
      <w:pPr>
        <w:spacing w:after="0" w:line="276" w:lineRule="auto"/>
        <w:ind w:left="709" w:right="709"/>
        <w:jc w:val="both"/>
        <w:rPr>
          <w:rFonts w:ascii="Verdana" w:hAnsi="Verdana" w:cs="Arial"/>
          <w:color w:val="000000" w:themeColor="text1"/>
        </w:rPr>
      </w:pPr>
    </w:p>
    <w:p w14:paraId="6B58589A" w14:textId="39EB4F49" w:rsidR="00E01724" w:rsidRPr="0048565C" w:rsidRDefault="00E01724" w:rsidP="00E01724">
      <w:pPr>
        <w:spacing w:line="276" w:lineRule="auto"/>
        <w:ind w:firstLine="709"/>
        <w:jc w:val="both"/>
        <w:rPr>
          <w:rFonts w:ascii="Verdana" w:hAnsi="Verdana" w:cs="Arial"/>
          <w:color w:val="000000" w:themeColor="text1"/>
        </w:rPr>
      </w:pPr>
      <w:r w:rsidRPr="0048565C">
        <w:rPr>
          <w:rFonts w:ascii="Verdana" w:hAnsi="Verdana" w:cs="Arial"/>
          <w:color w:val="000000" w:themeColor="text1"/>
        </w:rPr>
        <w:t>Por su parte, la “Guía para el manejo de ofertas artificialmente bajas en Procesos de Contratación”</w:t>
      </w:r>
      <w:r w:rsidRPr="0048565C">
        <w:rPr>
          <w:rStyle w:val="Refdenotaalpie"/>
          <w:rFonts w:ascii="Verdana" w:hAnsi="Verdana" w:cs="Arial"/>
          <w:color w:val="000000" w:themeColor="text1"/>
        </w:rPr>
        <w:footnoteReference w:id="2"/>
      </w:r>
      <w:r w:rsidR="007B242E">
        <w:rPr>
          <w:rFonts w:ascii="Verdana" w:hAnsi="Verdana" w:cs="Arial"/>
          <w:color w:val="000000" w:themeColor="text1"/>
        </w:rPr>
        <w:t xml:space="preserve"> emitida por esta Agencia</w:t>
      </w:r>
      <w:r w:rsidRPr="0048565C">
        <w:rPr>
          <w:rFonts w:ascii="Verdana" w:hAnsi="Verdana" w:cs="Arial"/>
          <w:color w:val="000000" w:themeColor="text1"/>
        </w:rPr>
        <w:t>, establece que una oferta es artificialmente baja cuando, “a criterio de la Entidad Estatal, el precio ofertado no parece suficiente para garantizar la correcta ejecución del contrato. Esto,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de alcance, que permiten generar un bien o un servicio a menor costo que el resto de proveedores en el mercado”, según lo establece la guía antes mencionada.</w:t>
      </w:r>
    </w:p>
    <w:p w14:paraId="374BF632" w14:textId="77777777" w:rsidR="00E01724" w:rsidRPr="0048565C" w:rsidRDefault="00E01724" w:rsidP="00E01724">
      <w:pPr>
        <w:spacing w:before="120" w:after="0" w:line="276" w:lineRule="auto"/>
        <w:ind w:firstLine="708"/>
        <w:jc w:val="both"/>
        <w:rPr>
          <w:rFonts w:ascii="Verdana" w:hAnsi="Verdana" w:cs="Arial"/>
          <w:color w:val="000000" w:themeColor="text1"/>
        </w:rPr>
      </w:pPr>
      <w:r>
        <w:rPr>
          <w:rFonts w:ascii="Verdana" w:hAnsi="Verdana" w:cs="Arial"/>
          <w:color w:val="000000" w:themeColor="text1"/>
        </w:rPr>
        <w:t>El</w:t>
      </w:r>
      <w:r w:rsidRPr="0048565C">
        <w:rPr>
          <w:rFonts w:ascii="Verdana" w:hAnsi="Verdana" w:cs="Arial"/>
          <w:color w:val="000000" w:themeColor="text1"/>
        </w:rPr>
        <w:t xml:space="preserve"> artículo 2.2.1.1.2.2.4 del Decreto 1082 de 2015 regula el procedimiento a seguir en los eventos en que se presenten propuestas con valor artificialmente bajo: </w:t>
      </w:r>
    </w:p>
    <w:p w14:paraId="7830A584" w14:textId="77777777" w:rsidR="00E01724" w:rsidRPr="0048565C" w:rsidRDefault="00E01724" w:rsidP="00E01724">
      <w:pPr>
        <w:spacing w:after="0" w:line="276" w:lineRule="auto"/>
        <w:ind w:firstLine="709"/>
        <w:jc w:val="both"/>
        <w:rPr>
          <w:rFonts w:ascii="Verdana" w:hAnsi="Verdana" w:cs="Arial"/>
          <w:color w:val="000000" w:themeColor="text1"/>
        </w:rPr>
      </w:pPr>
    </w:p>
    <w:p w14:paraId="7D4AB27C" w14:textId="77777777" w:rsidR="00E01724" w:rsidRDefault="00E01724" w:rsidP="00801A54">
      <w:pPr>
        <w:tabs>
          <w:tab w:val="left" w:pos="7230"/>
          <w:tab w:val="left" w:pos="7797"/>
          <w:tab w:val="left" w:pos="8080"/>
        </w:tabs>
        <w:spacing w:after="0" w:line="240" w:lineRule="auto"/>
        <w:ind w:left="709" w:right="709"/>
        <w:jc w:val="both"/>
        <w:rPr>
          <w:rFonts w:ascii="Verdana" w:hAnsi="Verdana" w:cs="Arial"/>
          <w:color w:val="000000" w:themeColor="text1"/>
          <w:sz w:val="20"/>
          <w:szCs w:val="20"/>
        </w:rPr>
      </w:pPr>
      <w:r w:rsidRPr="00F86E8D">
        <w:rPr>
          <w:rFonts w:ascii="Verdana" w:hAnsi="Verdana" w:cs="Arial"/>
          <w:color w:val="000000" w:themeColor="text1"/>
          <w:sz w:val="20"/>
          <w:szCs w:val="20"/>
        </w:rPr>
        <w:lastRenderedPageBreak/>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011A1E49" w14:textId="77777777" w:rsidR="00060E28" w:rsidRPr="00F86E8D" w:rsidRDefault="00060E28" w:rsidP="00F86E8D">
      <w:pPr>
        <w:tabs>
          <w:tab w:val="left" w:pos="7230"/>
          <w:tab w:val="left" w:pos="7797"/>
          <w:tab w:val="left" w:pos="8080"/>
        </w:tabs>
        <w:spacing w:after="0" w:line="240" w:lineRule="auto"/>
        <w:ind w:left="709" w:right="709"/>
        <w:jc w:val="both"/>
        <w:rPr>
          <w:rFonts w:ascii="Verdana" w:hAnsi="Verdana" w:cs="Arial"/>
          <w:color w:val="000000" w:themeColor="text1"/>
          <w:sz w:val="20"/>
          <w:szCs w:val="20"/>
        </w:rPr>
      </w:pPr>
    </w:p>
    <w:p w14:paraId="35AE30DD" w14:textId="77777777" w:rsidR="00E01724" w:rsidRDefault="00E01724" w:rsidP="00801A54">
      <w:pPr>
        <w:tabs>
          <w:tab w:val="left" w:pos="7230"/>
          <w:tab w:val="left" w:pos="7797"/>
          <w:tab w:val="left" w:pos="8080"/>
        </w:tabs>
        <w:spacing w:after="0" w:line="240" w:lineRule="auto"/>
        <w:ind w:left="709" w:right="709"/>
        <w:jc w:val="both"/>
        <w:rPr>
          <w:rFonts w:ascii="Verdana" w:hAnsi="Verdana" w:cs="Arial"/>
          <w:color w:val="000000" w:themeColor="text1"/>
          <w:sz w:val="20"/>
          <w:szCs w:val="20"/>
        </w:rPr>
      </w:pPr>
      <w:r w:rsidRPr="00F86E8D">
        <w:rPr>
          <w:rFonts w:ascii="Verdana" w:hAnsi="Verdana" w:cs="Arial"/>
          <w:color w:val="000000" w:themeColor="text1"/>
          <w:sz w:val="20"/>
          <w:szCs w:val="20"/>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7D34F822" w14:textId="77777777" w:rsidR="002F0534" w:rsidRPr="00F86E8D" w:rsidRDefault="002F0534" w:rsidP="00F86E8D">
      <w:pPr>
        <w:tabs>
          <w:tab w:val="left" w:pos="7230"/>
          <w:tab w:val="left" w:pos="7797"/>
          <w:tab w:val="left" w:pos="8080"/>
        </w:tabs>
        <w:spacing w:after="0" w:line="240" w:lineRule="auto"/>
        <w:ind w:left="709" w:right="709"/>
        <w:jc w:val="both"/>
        <w:rPr>
          <w:rFonts w:ascii="Verdana" w:hAnsi="Verdana" w:cs="Arial"/>
          <w:color w:val="000000" w:themeColor="text1"/>
          <w:sz w:val="20"/>
          <w:szCs w:val="20"/>
        </w:rPr>
      </w:pPr>
    </w:p>
    <w:p w14:paraId="769564D3" w14:textId="77777777" w:rsidR="00E01724" w:rsidRPr="00F86E8D" w:rsidRDefault="00E01724" w:rsidP="00801A54">
      <w:pPr>
        <w:tabs>
          <w:tab w:val="left" w:pos="7230"/>
          <w:tab w:val="left" w:pos="7797"/>
          <w:tab w:val="left" w:pos="8080"/>
        </w:tabs>
        <w:spacing w:after="0" w:line="240" w:lineRule="auto"/>
        <w:ind w:left="709" w:right="709"/>
        <w:jc w:val="both"/>
        <w:rPr>
          <w:rFonts w:ascii="Verdana" w:hAnsi="Verdana" w:cs="Arial"/>
          <w:color w:val="000000" w:themeColor="text1"/>
          <w:sz w:val="20"/>
          <w:szCs w:val="20"/>
        </w:rPr>
      </w:pPr>
      <w:r w:rsidRPr="00F86E8D">
        <w:rPr>
          <w:rFonts w:ascii="Verdana" w:hAnsi="Verdana" w:cs="Arial"/>
          <w:color w:val="000000" w:themeColor="text1"/>
          <w:sz w:val="20"/>
          <w:szCs w:val="20"/>
        </w:rPr>
        <w:t>En la subasta inversa esta disposición es aplicable sobre el precio obtenido al final de la misma”.</w:t>
      </w:r>
    </w:p>
    <w:p w14:paraId="5C49EAFC" w14:textId="77777777" w:rsidR="00E01724" w:rsidRPr="0048565C" w:rsidRDefault="00E01724" w:rsidP="00E01724">
      <w:pPr>
        <w:spacing w:after="0" w:line="276" w:lineRule="auto"/>
        <w:ind w:left="709" w:right="709"/>
        <w:jc w:val="both"/>
        <w:rPr>
          <w:rFonts w:ascii="Verdana" w:hAnsi="Verdana" w:cs="Arial"/>
          <w:color w:val="000000" w:themeColor="text1"/>
        </w:rPr>
      </w:pPr>
    </w:p>
    <w:p w14:paraId="1AC8BAF6" w14:textId="77777777" w:rsidR="00E01724" w:rsidRDefault="00E01724" w:rsidP="00F86E8D">
      <w:pPr>
        <w:spacing w:after="120" w:line="276" w:lineRule="auto"/>
        <w:ind w:firstLine="709"/>
        <w:jc w:val="both"/>
        <w:rPr>
          <w:rFonts w:ascii="Verdana" w:hAnsi="Verdana" w:cs="Arial"/>
          <w:color w:val="000000" w:themeColor="text1"/>
        </w:rPr>
      </w:pPr>
      <w:r w:rsidRPr="0048565C">
        <w:rPr>
          <w:rFonts w:ascii="Verdana" w:hAnsi="Verdana" w:cs="Arial"/>
          <w:color w:val="000000" w:themeColor="text1"/>
        </w:rPr>
        <w:t xml:space="preserve">De lo expuesto se desprende que, ante una propuesta artificialmente baja, la entidad estatal está obligada a: i) requerir al oferente para que explique las razones que sustentan el valor ofrecido; ii) analizar las explicaciones; y iii)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21B93B0C" w14:textId="77777777" w:rsidR="00E01724" w:rsidRPr="0048565C" w:rsidRDefault="00E01724" w:rsidP="00F86E8D">
      <w:pPr>
        <w:spacing w:after="120" w:line="276" w:lineRule="auto"/>
        <w:ind w:firstLine="709"/>
        <w:jc w:val="both"/>
        <w:rPr>
          <w:rFonts w:ascii="Verdana" w:hAnsi="Verdana" w:cs="Arial"/>
          <w:color w:val="000000" w:themeColor="text1"/>
        </w:rPr>
      </w:pPr>
      <w:r w:rsidRPr="0048565C">
        <w:rPr>
          <w:rFonts w:ascii="Verdana" w:hAnsi="Verdana" w:cs="Arial"/>
          <w:color w:val="000000" w:themeColor="text1"/>
        </w:rPr>
        <w:t xml:space="preserve">Por su parte, la “Guía para el manejo de ofertas artificialmente bajas en Procesos de Contratación” recomienda a las entidades estatales tener en cuenta la siguiente información para determinar si una oferta es artificialmente baja: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14:paraId="5A1B005E" w14:textId="0FE00444" w:rsidR="00E01724" w:rsidRPr="0048565C" w:rsidRDefault="00E01724" w:rsidP="00F86E8D">
      <w:pPr>
        <w:spacing w:after="120" w:line="276" w:lineRule="auto"/>
        <w:ind w:firstLine="709"/>
        <w:jc w:val="both"/>
        <w:rPr>
          <w:rFonts w:ascii="Verdana" w:hAnsi="Verdana" w:cs="Arial"/>
          <w:color w:val="000000" w:themeColor="text1"/>
        </w:rPr>
      </w:pPr>
      <w:r w:rsidRPr="0048565C">
        <w:rPr>
          <w:rFonts w:ascii="Verdana" w:hAnsi="Verdana" w:cs="Arial"/>
          <w:color w:val="000000" w:themeColor="text1"/>
        </w:rPr>
        <w:t xml:space="preserve">Con estos datos, la entidad puede emplear herramientas para identificar ofertas que pueden ser artíficamente bajas, tales como la comparación absoluta o la comparación relativa. La </w:t>
      </w:r>
      <w:r w:rsidRPr="0048565C">
        <w:rPr>
          <w:rFonts w:ascii="Verdana" w:hAnsi="Verdana" w:cs="Arial"/>
          <w:i/>
          <w:iCs/>
          <w:color w:val="000000" w:themeColor="text1"/>
        </w:rPr>
        <w:t>comparación absoluta</w:t>
      </w:r>
      <w:r w:rsidRPr="0048565C">
        <w:rPr>
          <w:rFonts w:ascii="Verdana" w:hAnsi="Verdana" w:cs="Arial"/>
          <w:color w:val="000000" w:themeColor="text1"/>
        </w:rPr>
        <w:t xml:space="preserve"> consiste en contrastar cada oferta con el costo estimado del bien o servicio, de acuerdo con el estudio del </w:t>
      </w:r>
      <w:r w:rsidRPr="0048565C">
        <w:rPr>
          <w:rFonts w:ascii="Verdana" w:hAnsi="Verdana" w:cs="Arial"/>
          <w:color w:val="000000" w:themeColor="text1"/>
        </w:rPr>
        <w:lastRenderedPageBreak/>
        <w:t xml:space="preserve">sector. En este caso, si se reciben menos de cinco (5) ofertas, se debe solicitar aclaración a los proponentes cuyas ofertas sean menores en un </w:t>
      </w:r>
      <w:r w:rsidR="00090ADC">
        <w:rPr>
          <w:rFonts w:ascii="Verdana" w:hAnsi="Verdana" w:cs="Arial"/>
          <w:color w:val="000000" w:themeColor="text1"/>
        </w:rPr>
        <w:t>veinte por ciento (</w:t>
      </w:r>
      <w:r w:rsidRPr="0048565C">
        <w:rPr>
          <w:rFonts w:ascii="Verdana" w:hAnsi="Verdana" w:cs="Arial"/>
          <w:color w:val="000000" w:themeColor="text1"/>
        </w:rPr>
        <w:t>20%</w:t>
      </w:r>
      <w:r w:rsidR="00090ADC">
        <w:rPr>
          <w:rFonts w:ascii="Verdana" w:hAnsi="Verdana" w:cs="Arial"/>
          <w:color w:val="000000" w:themeColor="text1"/>
        </w:rPr>
        <w:t>)</w:t>
      </w:r>
      <w:r w:rsidRPr="0048565C">
        <w:rPr>
          <w:rFonts w:ascii="Verdana" w:hAnsi="Verdana" w:cs="Arial"/>
          <w:color w:val="000000" w:themeColor="text1"/>
        </w:rPr>
        <w:t xml:space="preserve">, o un mayor porcentaje en relación con el costo estimado por la entidad estatal. La </w:t>
      </w:r>
      <w:r w:rsidRPr="0048565C">
        <w:rPr>
          <w:rFonts w:ascii="Verdana" w:hAnsi="Verdana" w:cs="Arial"/>
          <w:i/>
          <w:iCs/>
          <w:color w:val="000000" w:themeColor="text1"/>
        </w:rPr>
        <w:t>comparación relativa</w:t>
      </w:r>
      <w:r w:rsidRPr="0048565C">
        <w:rPr>
          <w:rFonts w:ascii="Verdana" w:hAnsi="Verdana" w:cs="Arial"/>
          <w:color w:val="000000" w:themeColor="text1"/>
        </w:rPr>
        <w:t xml:space="preserve"> consiste en que la entidad contrasta la información que obtiene a partir del universo de ofertas que presentan los proponentes en el proceso de selección. </w:t>
      </w:r>
    </w:p>
    <w:p w14:paraId="58E9FB27" w14:textId="0D04AE6E" w:rsidR="00E01724" w:rsidRPr="0048565C" w:rsidRDefault="00FA6C23" w:rsidP="00E01724">
      <w:pPr>
        <w:spacing w:before="120" w:after="0" w:line="276" w:lineRule="auto"/>
        <w:ind w:firstLine="708"/>
        <w:jc w:val="both"/>
        <w:rPr>
          <w:rFonts w:ascii="Verdana" w:hAnsi="Verdana" w:cs="Arial"/>
          <w:color w:val="000000" w:themeColor="text1"/>
        </w:rPr>
      </w:pPr>
      <w:r>
        <w:rPr>
          <w:rFonts w:ascii="Verdana" w:hAnsi="Verdana" w:cs="Arial"/>
          <w:color w:val="000000"/>
          <w:shd w:val="clear" w:color="auto" w:fill="FFFFFF"/>
        </w:rPr>
        <w:t xml:space="preserve">La Agencia Nacional de Contratación Pública – </w:t>
      </w:r>
      <w:r w:rsidR="00E01724" w:rsidRPr="0048565C">
        <w:rPr>
          <w:rFonts w:ascii="Verdana"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00E01724" w:rsidRPr="0048565C">
        <w:rPr>
          <w:rFonts w:ascii="Verdana" w:hAnsi="Verdana" w:cs="Arial"/>
          <w:color w:val="000000" w:themeColor="text1"/>
        </w:rPr>
        <w:t>:</w:t>
      </w:r>
    </w:p>
    <w:p w14:paraId="2354DB51" w14:textId="77777777" w:rsidR="00E01724" w:rsidRPr="0048565C" w:rsidRDefault="00E01724" w:rsidP="00E01724">
      <w:pPr>
        <w:spacing w:after="0" w:line="276" w:lineRule="auto"/>
        <w:jc w:val="both"/>
        <w:rPr>
          <w:rFonts w:ascii="Verdana" w:hAnsi="Verdana" w:cs="Arial"/>
          <w:color w:val="000000" w:themeColor="text1"/>
        </w:rPr>
      </w:pPr>
    </w:p>
    <w:p w14:paraId="096E653B" w14:textId="77777777" w:rsidR="00E01724" w:rsidRPr="0048565C" w:rsidRDefault="00E01724" w:rsidP="00E01724">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1. Primero deberá tomar el conjunto de ofertas a evaluar. </w:t>
      </w:r>
    </w:p>
    <w:p w14:paraId="6B2E41C0" w14:textId="77777777" w:rsidR="00E01724" w:rsidRPr="0048565C" w:rsidRDefault="00E01724" w:rsidP="00E01724">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2. Calcular la mediana, dependiendo de la dispersión de los datos el promedio del valor de cada oferta o de cada ítem dentro de la oferta.</w:t>
      </w:r>
    </w:p>
    <w:p w14:paraId="689D613A" w14:textId="77777777" w:rsidR="00E01724" w:rsidRPr="0048565C" w:rsidRDefault="00E01724" w:rsidP="00E01724">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3. Calcular la desviación estándar del conjunto. </w:t>
      </w:r>
    </w:p>
    <w:p w14:paraId="78A7DF49" w14:textId="77777777" w:rsidR="00E01724" w:rsidRPr="0048565C" w:rsidRDefault="00E01724" w:rsidP="00E01724">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4. Determinar el valor mínimo aceptable para la Entidad Estatal.</w:t>
      </w:r>
      <w:r w:rsidRPr="0048565C">
        <w:rPr>
          <w:rStyle w:val="Refdenotaalpie"/>
          <w:rFonts w:ascii="Verdana" w:hAnsi="Verdana" w:cs="Arial"/>
          <w:color w:val="000000" w:themeColor="text1"/>
          <w:sz w:val="21"/>
          <w:szCs w:val="21"/>
        </w:rPr>
        <w:footnoteReference w:id="3"/>
      </w:r>
    </w:p>
    <w:p w14:paraId="5B2DDEF7" w14:textId="77777777" w:rsidR="00E01724" w:rsidRPr="0048565C" w:rsidRDefault="00E01724" w:rsidP="00E01724">
      <w:pPr>
        <w:spacing w:after="0" w:line="276" w:lineRule="auto"/>
        <w:jc w:val="both"/>
        <w:rPr>
          <w:rFonts w:ascii="Verdana" w:hAnsi="Verdana" w:cs="Arial"/>
          <w:color w:val="000000" w:themeColor="text1"/>
        </w:rPr>
      </w:pPr>
    </w:p>
    <w:p w14:paraId="09CF95DB" w14:textId="77777777" w:rsidR="00E01724" w:rsidRPr="0048565C" w:rsidRDefault="00E01724" w:rsidP="00E01724">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w:t>
      </w:r>
      <w:r w:rsidRPr="0048565C">
        <w:rPr>
          <w:rFonts w:ascii="Verdana" w:hAnsi="Verdana" w:cs="Arial"/>
          <w:i/>
          <w:iCs/>
          <w:color w:val="000000" w:themeColor="text1"/>
        </w:rPr>
        <w:t>mediana</w:t>
      </w:r>
      <w:r w:rsidRPr="0048565C">
        <w:rPr>
          <w:rFonts w:ascii="Verdana" w:hAnsi="Verdana" w:cs="Arial"/>
          <w:color w:val="000000" w:themeColor="text1"/>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utilizando la siguiente fórmula, en la que el </w:t>
      </w:r>
      <w:r w:rsidRPr="0048565C">
        <w:rPr>
          <w:rFonts w:ascii="Verdana" w:eastAsia="Calibri" w:hAnsi="Verdana" w:cs="Arial"/>
          <w:color w:val="000000" w:themeColor="text1"/>
          <w:lang w:val="es-ES"/>
        </w:rPr>
        <w:t xml:space="preserve">valor </w:t>
      </w:r>
      <w:r w:rsidRPr="0048565C">
        <w:rPr>
          <w:rFonts w:ascii="Verdana" w:eastAsia="Calibri" w:hAnsi="Verdana" w:cs="Arial"/>
          <w:i/>
          <w:color w:val="000000" w:themeColor="text1"/>
          <w:lang w:val="es-ES"/>
        </w:rPr>
        <w:t>n</w:t>
      </w:r>
      <w:r w:rsidRPr="0048565C">
        <w:rPr>
          <w:rFonts w:ascii="Verdana" w:eastAsia="Calibri" w:hAnsi="Verdana" w:cs="Arial"/>
          <w:color w:val="000000" w:themeColor="text1"/>
          <w:lang w:val="es-ES"/>
        </w:rPr>
        <w:t xml:space="preserve"> es el número de ofertas</w:t>
      </w:r>
      <w:r w:rsidRPr="0048565C">
        <w:rPr>
          <w:rFonts w:ascii="Verdana" w:hAnsi="Verdana" w:cs="Arial"/>
          <w:color w:val="000000" w:themeColor="text1"/>
        </w:rPr>
        <w:t xml:space="preserve">: </w:t>
      </w:r>
    </w:p>
    <w:p w14:paraId="7BB4AA27" w14:textId="77777777" w:rsidR="00E01724" w:rsidRPr="0048565C" w:rsidRDefault="00E01724" w:rsidP="00E01724">
      <w:pPr>
        <w:spacing w:after="0" w:line="276" w:lineRule="auto"/>
        <w:ind w:firstLine="708"/>
        <w:jc w:val="both"/>
        <w:rPr>
          <w:rFonts w:ascii="Verdana" w:hAnsi="Verdana" w:cs="Arial"/>
          <w:color w:val="000000" w:themeColor="text1"/>
        </w:rPr>
      </w:pPr>
    </w:p>
    <w:p w14:paraId="5CF091D4" w14:textId="77777777" w:rsidR="00E01724" w:rsidRPr="0048565C" w:rsidRDefault="00E01724" w:rsidP="00E01724">
      <w:pPr>
        <w:spacing w:after="0" w:line="276" w:lineRule="auto"/>
        <w:jc w:val="center"/>
        <w:rPr>
          <w:rFonts w:ascii="Verdana" w:hAnsi="Verdana" w:cs="Arial"/>
          <w:color w:val="000000" w:themeColor="text1"/>
        </w:rPr>
      </w:pPr>
      <w:r w:rsidRPr="0048565C">
        <w:rPr>
          <w:rFonts w:ascii="Verdana" w:hAnsi="Verdana" w:cs="Arial"/>
          <w:noProof/>
          <w:color w:val="000000" w:themeColor="text1"/>
        </w:rPr>
        <w:drawing>
          <wp:inline distT="0" distB="0" distL="0" distR="0" wp14:anchorId="5250F173" wp14:editId="064BA039">
            <wp:extent cx="4113920" cy="614435"/>
            <wp:effectExtent l="0" t="0" r="1270" b="0"/>
            <wp:docPr id="902858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8878" name=""/>
                    <pic:cNvPicPr/>
                  </pic:nvPicPr>
                  <pic:blipFill>
                    <a:blip r:embed="rId12"/>
                    <a:stretch>
                      <a:fillRect/>
                    </a:stretch>
                  </pic:blipFill>
                  <pic:spPr>
                    <a:xfrm>
                      <a:off x="0" y="0"/>
                      <a:ext cx="4385526" cy="655001"/>
                    </a:xfrm>
                    <a:prstGeom prst="rect">
                      <a:avLst/>
                    </a:prstGeom>
                  </pic:spPr>
                </pic:pic>
              </a:graphicData>
            </a:graphic>
          </wp:inline>
        </w:drawing>
      </w:r>
    </w:p>
    <w:p w14:paraId="14174F01" w14:textId="77777777" w:rsidR="00E01724" w:rsidRPr="0048565C" w:rsidRDefault="00E01724" w:rsidP="00E01724">
      <w:pPr>
        <w:spacing w:after="0" w:line="276" w:lineRule="auto"/>
        <w:jc w:val="both"/>
        <w:rPr>
          <w:rFonts w:ascii="Verdana" w:hAnsi="Verdana" w:cs="Arial"/>
          <w:color w:val="000000" w:themeColor="text1"/>
        </w:rPr>
      </w:pPr>
    </w:p>
    <w:p w14:paraId="5D3E9CCC" w14:textId="77777777" w:rsidR="00E01724" w:rsidRPr="0048565C" w:rsidRDefault="00E01724" w:rsidP="00E01724">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Por último, el </w:t>
      </w:r>
      <w:r w:rsidRPr="0048565C">
        <w:rPr>
          <w:rFonts w:ascii="Verdana" w:hAnsi="Verdana" w:cs="Arial"/>
          <w:i/>
          <w:iCs/>
          <w:color w:val="000000" w:themeColor="text1"/>
        </w:rPr>
        <w:t>valor mínimo aceptable</w:t>
      </w:r>
      <w:r w:rsidRPr="0048565C">
        <w:rPr>
          <w:rFonts w:ascii="Verdana" w:hAnsi="Verdana" w:cs="Arial"/>
          <w:color w:val="000000" w:themeColor="text1"/>
        </w:rPr>
        <w:t xml:space="preserve">, será igual a la </w:t>
      </w:r>
      <w:r w:rsidRPr="0048565C">
        <w:rPr>
          <w:rFonts w:ascii="Verdana" w:hAnsi="Verdana" w:cs="Arial"/>
          <w:i/>
          <w:iCs/>
          <w:color w:val="000000" w:themeColor="text1"/>
        </w:rPr>
        <w:t>mediana</w:t>
      </w:r>
      <w:r w:rsidRPr="0048565C">
        <w:rPr>
          <w:rFonts w:ascii="Verdana" w:hAnsi="Verdana" w:cs="Arial"/>
          <w:color w:val="000000" w:themeColor="text1"/>
        </w:rPr>
        <w:t xml:space="preserve"> menos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48565C">
        <w:rPr>
          <w:rStyle w:val="normaltextrun"/>
          <w:rFonts w:ascii="Verdana" w:hAnsi="Verdana" w:cs="Arial"/>
          <w:color w:val="000000"/>
          <w:shd w:val="clear" w:color="auto" w:fill="FFFFFF"/>
        </w:rPr>
        <w:t>Esto es así porque l</w:t>
      </w:r>
      <w:r w:rsidRPr="0048565C">
        <w:rPr>
          <w:rStyle w:val="normaltextrun"/>
          <w:rFonts w:ascii="Verdana" w:hAnsi="Verdana" w:cs="Arial"/>
          <w:color w:val="000000"/>
          <w:shd w:val="clear" w:color="auto" w:fill="FFFFFF"/>
          <w:lang w:val="es-ES"/>
        </w:rPr>
        <w:t xml:space="preserve">as entidades pueden o no acoger la metodología explicada, </w:t>
      </w:r>
      <w:r w:rsidRPr="0048565C">
        <w:rPr>
          <w:rStyle w:val="normaltextrun"/>
          <w:rFonts w:ascii="Verdana" w:hAnsi="Verdana" w:cs="Arial"/>
          <w:color w:val="000000"/>
          <w:shd w:val="clear" w:color="auto" w:fill="FFFFFF"/>
          <w:lang w:val="es-ES"/>
        </w:rPr>
        <w:lastRenderedPageBreak/>
        <w:t>toda vez que la Guía no es de obligatorio cumplimiento para las entidades, pues sólo constituye una orientación o lineamiento para sus procesos de contratación</w:t>
      </w:r>
      <w:r w:rsidRPr="0048565C">
        <w:rPr>
          <w:rFonts w:ascii="Verdana" w:eastAsia="Calibri" w:hAnsi="Verdana" w:cs="Arial"/>
          <w:color w:val="000000" w:themeColor="text1"/>
          <w:lang w:val="es-ES"/>
        </w:rPr>
        <w:t>.</w:t>
      </w:r>
    </w:p>
    <w:p w14:paraId="46122A3B" w14:textId="77777777" w:rsidR="00E01724" w:rsidRPr="0048565C" w:rsidRDefault="00E01724" w:rsidP="00E01724">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La Guía también contempla los casos en los que el contratista se selecciona a través de </w:t>
      </w:r>
      <w:r w:rsidRPr="0048565C">
        <w:rPr>
          <w:rFonts w:ascii="Verdana" w:eastAsia="Calibri" w:hAnsi="Verdana" w:cs="Arial"/>
          <w:i/>
          <w:iCs/>
          <w:color w:val="000000" w:themeColor="text1"/>
          <w:lang w:val="es-ES"/>
        </w:rPr>
        <w:t>subasta inversa</w:t>
      </w:r>
      <w:r w:rsidRPr="0048565C">
        <w:rPr>
          <w:rFonts w:ascii="Verdana" w:eastAsia="Calibri" w:hAnsi="Verdana" w:cs="Arial"/>
          <w:color w:val="000000" w:themeColor="text1"/>
          <w:lang w:val="es-ES"/>
        </w:rPr>
        <w:t xml:space="preserve">, en los cuales el criterio de evaluación es el precio. En este evento, la Agencia recomienda tener especial cuidado, ya que es común que ofertas competitivas puedan parecer artificialmente bajas en el desarrollo de la subasta inversa. Sin embargo, dichas ofertas no siempre deben ser interpretadas como artificialmente bajas. En este sentido, en caso de presentarse dudas, la Guía sugiere llevar a cabo las siguientes actuaciones: </w:t>
      </w:r>
    </w:p>
    <w:p w14:paraId="41EAF765" w14:textId="77777777" w:rsidR="00E01724" w:rsidRPr="0048565C" w:rsidRDefault="00E01724" w:rsidP="00E01724">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i) Verificar la oferta y su componente económico, para así determinar si los precios tienen un componente extraño que no fue posible determinar al momento de realizar el Estudio del sector, en relación con los proveedores del bien, obra o servicio que se pretende contratar; ii) 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iii) Solicitar explicaciones a los proponentes cuyas ofertas sean menores en un 20%, o un mayor porcentaje, al costo total estimado por la Entidad Estatal (comparación absoluta, ver numeral 2.1.1); y iv) Analizar la información remitida por el proponente y considerar el rechazo de las ofertas que cumplan con alguna de las condiciones establecidas en el numeral 4.2 de la presente Guía. </w:t>
      </w:r>
      <w:r w:rsidRPr="0048565C">
        <w:rPr>
          <w:rStyle w:val="normaltextrun"/>
          <w:rFonts w:ascii="Verdana" w:hAnsi="Verdana"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48565C">
        <w:rPr>
          <w:rStyle w:val="eop"/>
          <w:rFonts w:ascii="Verdana" w:hAnsi="Verdana" w:cs="Arial"/>
          <w:color w:val="000000"/>
          <w:shd w:val="clear" w:color="auto" w:fill="FFFFFF"/>
        </w:rPr>
        <w:t> </w:t>
      </w:r>
      <w:r w:rsidRPr="0048565C">
        <w:rPr>
          <w:rFonts w:ascii="Verdana" w:eastAsia="Calibri" w:hAnsi="Verdana" w:cs="Arial"/>
          <w:color w:val="000000" w:themeColor="text1"/>
          <w:lang w:val="es-ES"/>
        </w:rPr>
        <w:t xml:space="preserve"> </w:t>
      </w:r>
    </w:p>
    <w:p w14:paraId="6E21AEFC" w14:textId="77777777" w:rsidR="00E01724" w:rsidRPr="0048565C" w:rsidRDefault="00E01724" w:rsidP="00E01724">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1D42FCD3" w14:textId="77777777" w:rsidR="00E01724" w:rsidRPr="0048565C" w:rsidRDefault="00E01724" w:rsidP="00E01724">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lastRenderedPageBreak/>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2DE9E71F" w14:textId="77777777" w:rsidR="00E01724" w:rsidRDefault="00E01724" w:rsidP="00E01724">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01545A25" w14:textId="77777777" w:rsidR="00E01724" w:rsidRPr="0048565C" w:rsidRDefault="00E01724" w:rsidP="00E01724">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w:t>
      </w:r>
    </w:p>
    <w:p w14:paraId="1C12F4AB" w14:textId="77777777" w:rsidR="00E01724" w:rsidRPr="0048565C" w:rsidRDefault="00E01724" w:rsidP="00E01724">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48565C">
        <w:rPr>
          <w:rFonts w:ascii="Verdana" w:hAnsi="Verdana"/>
          <w:vertAlign w:val="superscript"/>
        </w:rPr>
        <w:footnoteReference w:id="4"/>
      </w:r>
      <w:r w:rsidRPr="0048565C">
        <w:rPr>
          <w:rFonts w:ascii="Verdana" w:hAnsi="Verdana" w:cs="Arial"/>
          <w:color w:val="000000" w:themeColor="text1"/>
        </w:rPr>
        <w:t>.</w:t>
      </w:r>
    </w:p>
    <w:p w14:paraId="1E40F295" w14:textId="77777777" w:rsidR="00E01724" w:rsidRPr="0048565C" w:rsidRDefault="00E01724" w:rsidP="00E01724">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w:t>
      </w:r>
      <w:r w:rsidRPr="0048565C">
        <w:rPr>
          <w:rFonts w:ascii="Verdana" w:hAnsi="Verdana" w:cs="Arial"/>
          <w:color w:val="000000" w:themeColor="text1"/>
        </w:rPr>
        <w:lastRenderedPageBreak/>
        <w:t>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48565C">
        <w:rPr>
          <w:rStyle w:val="Refdenotaalpie"/>
          <w:rFonts w:ascii="Verdana" w:hAnsi="Verdana" w:cs="Arial"/>
          <w:color w:val="000000" w:themeColor="text1"/>
        </w:rPr>
        <w:footnoteReference w:id="5"/>
      </w:r>
      <w:r w:rsidRPr="0048565C">
        <w:rPr>
          <w:rFonts w:ascii="Verdana" w:hAnsi="Verdana" w:cs="Arial"/>
          <w:color w:val="000000" w:themeColor="text1"/>
        </w:rPr>
        <w:t xml:space="preserve">. </w:t>
      </w:r>
    </w:p>
    <w:p w14:paraId="3CA6EE6C" w14:textId="77777777" w:rsidR="00E01724" w:rsidRPr="0048565C" w:rsidRDefault="00E01724" w:rsidP="00E01724">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La doctrina foránea se ha pronunciado en similar sentido, al argumentar que la discrecionalidad administrativa tiene dos (2) limitantes: una, el respeto a la finalidad jurídica que justifica, que no es nada distinto a satisfacer el interés general; y otra, que el uso de la discrecionalidad sea necesario para cumplir el interés jurídico que se tutela. En estos términos, la entidad deberá adoptar una medida que esté acorde con el interés general</w:t>
      </w:r>
      <w:r w:rsidRPr="0048565C">
        <w:rPr>
          <w:rStyle w:val="Refdenotaalpie"/>
          <w:rFonts w:ascii="Verdana" w:hAnsi="Verdana" w:cs="Arial"/>
          <w:color w:val="000000" w:themeColor="text1"/>
        </w:rPr>
        <w:footnoteReference w:id="6"/>
      </w:r>
      <w:r w:rsidRPr="0048565C">
        <w:rPr>
          <w:rFonts w:ascii="Verdana" w:hAnsi="Verdana" w:cs="Arial"/>
          <w:color w:val="000000" w:themeColor="text1"/>
        </w:rPr>
        <w:t>.</w:t>
      </w:r>
    </w:p>
    <w:p w14:paraId="6B156E79" w14:textId="77777777" w:rsidR="00E01724" w:rsidRPr="0048565C" w:rsidRDefault="00E01724" w:rsidP="00E01724">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303C1A2F" w14:textId="77777777" w:rsidR="00E01724" w:rsidRPr="0048565C" w:rsidRDefault="00E01724" w:rsidP="00E01724">
      <w:pPr>
        <w:pStyle w:val="NormalWeb"/>
        <w:spacing w:before="12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Finalmente, verificada la información remitida por el proponente, la entidad debe definir si rechaza o no la oferta. En la “Guía para el manejo de ofertas artificialmente bajas en Procesos de Contratación”, la </w:t>
      </w:r>
      <w:r w:rsidRPr="0048565C">
        <w:rPr>
          <w:rFonts w:ascii="Verdana" w:hAnsi="Verdana" w:cs="Arial"/>
          <w:color w:val="000000" w:themeColor="text1"/>
          <w:sz w:val="22"/>
        </w:rPr>
        <w:t xml:space="preserve">Agencia Nacional de Contratación Pública </w:t>
      </w:r>
      <w:r w:rsidRPr="0048565C">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ii) “el proponente no envía parte o la totalidad de la información solicitada por la entidad estatal”, iii) “las aclaraciones del </w:t>
      </w:r>
      <w:r w:rsidRPr="0048565C">
        <w:rPr>
          <w:rFonts w:ascii="Verdana" w:hAnsi="Verdana" w:cs="Arial"/>
          <w:color w:val="000000" w:themeColor="text1"/>
          <w:sz w:val="22"/>
          <w:szCs w:val="22"/>
          <w:lang w:val="es-ES"/>
        </w:rPr>
        <w:lastRenderedPageBreak/>
        <w:t>proponente no son satisfactorias para garantizar la sostenibilidad de la oferta durante la ejecución del contrato” y iv) “las aclaraciones del proponente no desvirtúan la teoría de que está utilizando su oferta como parte de una estrategia colusoria o anticompetitiva durante el proceso de selección”. Lo anterior, sin perjuicio de los eventos señalados en el numeral 4.2 de la “Guía para el manejo de ofertas artificialmente bajas en Procesos de Contratación de Colombia Compra Eficiente”, los cuales, debe advertirse, son criterios orientadores para las entidades públicas y no causales de rechazo en estricto sentido.</w:t>
      </w:r>
    </w:p>
    <w:p w14:paraId="0CC54B3A" w14:textId="77777777" w:rsidR="00E01724" w:rsidRPr="0048565C" w:rsidRDefault="00E01724" w:rsidP="00E01724">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48565C">
        <w:rPr>
          <w:rFonts w:ascii="Verdana" w:hAnsi="Verdana" w:cs="Arial"/>
          <w:color w:val="000000" w:themeColor="text1"/>
          <w:sz w:val="22"/>
          <w:szCs w:val="22"/>
        </w:rPr>
        <w:t>i) técnicas diferenciadas de producción del bien o provisión del servicio; ii) cercanía al lugar de provisión o al lugar de abastecimiento de materias primas; iii) mejores condiciones contractuales con los proveedores de insumos; y iv) mayor diversificación de productos o servicios relacionados.</w:t>
      </w:r>
      <w:r w:rsidRPr="0048565C">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p>
    <w:p w14:paraId="07E3B4DC" w14:textId="66E322DC" w:rsidR="00E01724" w:rsidRPr="0019392A" w:rsidRDefault="00E01724" w:rsidP="00E01724">
      <w:pPr>
        <w:spacing w:after="120" w:line="276" w:lineRule="auto"/>
        <w:ind w:firstLine="708"/>
        <w:jc w:val="both"/>
        <w:rPr>
          <w:rFonts w:ascii="Verdana" w:eastAsia="Verdana" w:hAnsi="Verdana" w:cs="Verdana"/>
        </w:rPr>
      </w:pPr>
      <w:r>
        <w:rPr>
          <w:rFonts w:ascii="Verdana" w:eastAsia="Calibri" w:hAnsi="Verdana" w:cs="Arial"/>
          <w:lang w:val="es-ES"/>
        </w:rPr>
        <w:t>Ahora bien, en atención al problema jurídico planteado es de precisar que</w:t>
      </w:r>
      <w:r w:rsidR="00A91B7A">
        <w:rPr>
          <w:rFonts w:ascii="Verdana" w:eastAsia="Calibri" w:hAnsi="Verdana" w:cs="Arial"/>
          <w:lang w:val="es-ES"/>
        </w:rPr>
        <w:t>,</w:t>
      </w:r>
      <w:r>
        <w:rPr>
          <w:rFonts w:ascii="Verdana" w:eastAsia="Calibri" w:hAnsi="Verdana" w:cs="Arial"/>
          <w:lang w:val="es-ES"/>
        </w:rPr>
        <w:t xml:space="preserve"> en </w:t>
      </w:r>
      <w:r w:rsidRPr="0019392A">
        <w:rPr>
          <w:rFonts w:ascii="Verdana" w:eastAsia="Verdana" w:hAnsi="Verdana" w:cs="Verdana"/>
        </w:rPr>
        <w:t xml:space="preserve">el Concepto C-1031 del 12 de agosto de 2026, </w:t>
      </w:r>
      <w:r>
        <w:rPr>
          <w:rFonts w:ascii="Verdana" w:eastAsia="Verdana" w:hAnsi="Verdana" w:cs="Verdana"/>
        </w:rPr>
        <w:t>proferido por esta Subdirección Contractual, se</w:t>
      </w:r>
      <w:r w:rsidRPr="0019392A">
        <w:rPr>
          <w:rFonts w:ascii="Verdana" w:eastAsia="Verdana" w:hAnsi="Verdana" w:cs="Verdana"/>
        </w:rPr>
        <w:t xml:space="preserve"> reiteró que la identificación de una oferta aparentemente artificialmente baja no implica su rechazo automático, sino que exige agotar el procedimiento previsto en la disposición citada, a fin de establecer si las circunstancias objetivas que explican el precio permiten garantizar la adecuada ejecución del contrato.</w:t>
      </w:r>
    </w:p>
    <w:p w14:paraId="459E05A8" w14:textId="77777777" w:rsidR="00E01724" w:rsidRDefault="00E01724" w:rsidP="00E01724">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 xml:space="preserve">En ese sentido, el procedimiento de análisis del precio artificialmente bajo se integra a la etapa de evaluación de las ofertas y debe desarrollarse conforme a las reglas del pliego de condiciones o del documento tipo aplicable, según corresponda. Por consiguiente, la entidad debe valorar las explicaciones del </w:t>
      </w:r>
      <w:r w:rsidRPr="0019392A">
        <w:rPr>
          <w:rFonts w:ascii="Verdana" w:eastAsia="Verdana" w:hAnsi="Verdana" w:cs="Verdana"/>
        </w:rPr>
        <w:lastRenderedPageBreak/>
        <w:t>oferente y adoptar una decisión motivada, sin que la sola presentación de un precio inferior al estimado o al de las demás propuestas determine su exclusión.</w:t>
      </w:r>
    </w:p>
    <w:p w14:paraId="5A4BDE8A" w14:textId="77777777" w:rsidR="00E01724" w:rsidRPr="0019392A" w:rsidRDefault="00E01724" w:rsidP="00E01724">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Ahora bien, debe distinguirse entre el procedimiento de análisis del precio artificialmente bajo y las actuaciones posteriores relacionadas con las observaciones formuladas a la evaluación. El artículo 2.2.1.1.2.2.4 del Decreto 1082 de 2015 regula el primero, pero no establece expresamente que la presentación de una observación posterior a la decisión de la entidad constituya, por sí misma, una causal para reabrir el procedimiento.</w:t>
      </w:r>
    </w:p>
    <w:p w14:paraId="2BA52C2D" w14:textId="77777777" w:rsidR="00E01724" w:rsidRPr="0019392A" w:rsidRDefault="00E01724" w:rsidP="00E01724">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En consecuencia, cuando la entidad ya ha agotado el análisis del precio artificialmente bajo, ha evaluado las explicaciones del oferente y se ha pronunciado sobre las propuestas válidas y rechazadas dentro de la oportunidad prevista para ello, la presentación de una observación posterior no genera automáticamente la obligación de repetir el análisis. Para establecer si procede una actuación adicional, la entidad debe examinar el contenido de la observación, su oportunidad, las reglas previstas en los documentos del proceso y la incidencia de los argumentos expuestos sobre la legalidad y consistencia de la evaluación realizada.</w:t>
      </w:r>
    </w:p>
    <w:p w14:paraId="7A9C7E3B" w14:textId="77777777" w:rsidR="00E01724" w:rsidRPr="0019392A" w:rsidRDefault="00E01724" w:rsidP="00E01724">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En este punto, resulta pertinente considerar que, de acuerdo con el</w:t>
      </w:r>
      <w:r>
        <w:rPr>
          <w:rFonts w:ascii="Verdana" w:eastAsia="Verdana" w:hAnsi="Verdana" w:cs="Verdana"/>
        </w:rPr>
        <w:t xml:space="preserve"> mencionado</w:t>
      </w:r>
      <w:r w:rsidRPr="0019392A">
        <w:rPr>
          <w:rFonts w:ascii="Verdana" w:eastAsia="Verdana" w:hAnsi="Verdana" w:cs="Verdana"/>
        </w:rPr>
        <w:t xml:space="preserve"> Concepto C-1031 del 12 de agosto de 2026, el análisis de una oferta aparentemente artificialmente baja debe permitir determinar, a partir de circunstancias objetivas, si el precio ofertado es sostenible y si la propuesta puede continuar en el proceso de selección. Asimismo, dicho concepto explica que, una vez rechazada una oferta por esta causa, esta deja de integrar el conjunto de propuestas susceptibles de continuar en la evaluación económica, por lo que las actuaciones posteriores deben adelantarse respecto de las ofertas que permanezcan válidamente en el proceso y de conformidad con las reglas previamente establecidas.</w:t>
      </w:r>
    </w:p>
    <w:p w14:paraId="60A38D00" w14:textId="77777777" w:rsidR="00E01724" w:rsidRPr="0019392A" w:rsidRDefault="00E01724" w:rsidP="00E01724">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De esta manera, la exclusión de una oferta por precio artificialmente bajo y la eventual modificación del conjunto de propuestas evaluables no habilitan a la entidad para alterar los factores, fórmulas o criterios de evaluación previstos en los documentos del proceso. De igual forma, la entidad no puede confundir la recepción de una observación con la existencia de una razón jurídica suficiente para modificar una decisión previamente adoptada.</w:t>
      </w:r>
    </w:p>
    <w:p w14:paraId="7D6524AB" w14:textId="77777777" w:rsidR="00E01724" w:rsidRPr="0019392A" w:rsidRDefault="00E01724" w:rsidP="00E01724">
      <w:pPr>
        <w:spacing w:after="120" w:line="276" w:lineRule="auto"/>
        <w:jc w:val="both"/>
        <w:rPr>
          <w:rFonts w:ascii="Verdana" w:eastAsia="Verdana" w:hAnsi="Verdana" w:cs="Verdana"/>
        </w:rPr>
      </w:pPr>
      <w:r>
        <w:rPr>
          <w:rFonts w:ascii="Verdana" w:eastAsia="Verdana" w:hAnsi="Verdana" w:cs="Verdana"/>
        </w:rPr>
        <w:lastRenderedPageBreak/>
        <w:t xml:space="preserve">      </w:t>
      </w:r>
      <w:r w:rsidRPr="0019392A">
        <w:rPr>
          <w:rFonts w:ascii="Verdana" w:eastAsia="Verdana" w:hAnsi="Verdana" w:cs="Verdana"/>
        </w:rPr>
        <w:t>No obstante, lo anterior no significa que la entidad deba desatender, en todos los casos, una observación presentada con posterioridad. Si esta contiene información objetiva y relevante que permita advertir un error sustancial o una posible irregularidad en la evaluación, corresponde a la entidad determinar, mediante una valoración motivada, si resulta jurídicamente necesario verificar lo actuado y adoptar las medidas procedentes. Tal actuación deberá respetar los principios de transparencia, igualdad y selección objetiva, así como las reglas y oportunidades del procedimiento de selección, sin permitir que la revisión se convierta en una oportunidad para modificar las ofertas o conceder ventajas particulares a alguno de los participantes.</w:t>
      </w:r>
    </w:p>
    <w:p w14:paraId="2C3CB500" w14:textId="77777777" w:rsidR="00E01724" w:rsidRPr="0019392A" w:rsidRDefault="00E01724" w:rsidP="00E01724">
      <w:pPr>
        <w:spacing w:after="120" w:line="276" w:lineRule="auto"/>
        <w:jc w:val="both"/>
        <w:rPr>
          <w:rFonts w:ascii="Verdana" w:eastAsia="Verdana" w:hAnsi="Verdana" w:cs="Verdana"/>
        </w:rPr>
      </w:pPr>
      <w:r>
        <w:rPr>
          <w:rFonts w:ascii="Verdana" w:eastAsia="Verdana" w:hAnsi="Verdana" w:cs="Verdana"/>
        </w:rPr>
        <w:t xml:space="preserve">         </w:t>
      </w:r>
      <w:r w:rsidRPr="0019392A">
        <w:rPr>
          <w:rFonts w:ascii="Verdana" w:eastAsia="Verdana" w:hAnsi="Verdana" w:cs="Verdana"/>
        </w:rPr>
        <w:t>En todo caso, una eventual revisión no puede utilizarse para modificar las condiciones económicas de las ofertas, introducir nuevos criterios de evaluación o alterar el procedimiento para favorecer o perjudicar a un participante. Las actuaciones que se adelanten deben conservar correspondencia con las reglas inicialmente establecidas y con las exigencias del artículo 2.2.1.1.2.2.4 del Decreto 1082 de 2015.</w:t>
      </w:r>
    </w:p>
    <w:p w14:paraId="2FF884A9" w14:textId="77777777" w:rsidR="00E01724" w:rsidRPr="00BA2580" w:rsidRDefault="00E01724" w:rsidP="00E01724">
      <w:pPr>
        <w:spacing w:after="120" w:line="276" w:lineRule="auto"/>
        <w:ind w:firstLine="708"/>
        <w:jc w:val="both"/>
        <w:rPr>
          <w:rFonts w:ascii="Verdana" w:eastAsia="Aptos" w:hAnsi="Verdana" w:cs="Times New Roman"/>
          <w:kern w:val="2"/>
          <w14:ligatures w14:val="standardContextual"/>
        </w:rPr>
      </w:pPr>
      <w:bookmarkStart w:id="1" w:name="_Hlk35876968"/>
      <w:bookmarkStart w:id="2" w:name="_Hlk98159514"/>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C06220E" w14:textId="77777777" w:rsidR="00E01724" w:rsidRDefault="00E01724" w:rsidP="00E01724">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bookmarkEnd w:id="2"/>
    <w:p w14:paraId="42556B0C" w14:textId="77777777" w:rsidR="00E01724" w:rsidRPr="007B1159" w:rsidRDefault="00E01724" w:rsidP="007B1159">
      <w:pPr>
        <w:spacing w:after="0" w:line="276" w:lineRule="auto"/>
        <w:ind w:firstLine="357"/>
        <w:jc w:val="both"/>
        <w:rPr>
          <w:rFonts w:ascii="Verdana" w:eastAsia="Verdana" w:hAnsi="Verdana" w:cs="Verdana"/>
          <w:lang w:val="es"/>
        </w:rPr>
      </w:pPr>
      <w:r w:rsidRPr="007B1159">
        <w:rPr>
          <w:rFonts w:ascii="Verdana" w:hAnsi="Verdana"/>
        </w:rPr>
        <w:lastRenderedPageBreak/>
        <w:t xml:space="preserve">      </w:t>
      </w:r>
      <w:r w:rsidRPr="007B1159">
        <w:rPr>
          <w:rFonts w:ascii="Verdana" w:eastAsia="Verdana" w:hAnsi="Verdana" w:cs="Verdana"/>
          <w:lang w:val="es"/>
        </w:rPr>
        <w:t xml:space="preserve"> </w:t>
      </w:r>
    </w:p>
    <w:p w14:paraId="61F87DDB" w14:textId="77777777" w:rsidR="00E01724" w:rsidRPr="007B1159" w:rsidRDefault="00E01724" w:rsidP="00F86E8D">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lang w:val="es"/>
        </w:rPr>
      </w:pPr>
      <w:r w:rsidRPr="007B1159">
        <w:rPr>
          <w:rFonts w:ascii="Verdana" w:eastAsia="Verdana" w:hAnsi="Verdana" w:cs="Verdana"/>
          <w:b/>
          <w:bCs/>
          <w:lang w:val="es"/>
        </w:rPr>
        <w:t>Referencias normativas, jurisprudenciales y otras fuentes:</w:t>
      </w:r>
    </w:p>
    <w:p w14:paraId="150113E0" w14:textId="77777777" w:rsidR="00E01724" w:rsidRPr="007B1159" w:rsidRDefault="00E01724" w:rsidP="007B1159">
      <w:pPr>
        <w:spacing w:after="0" w:line="276" w:lineRule="auto"/>
        <w:jc w:val="both"/>
        <w:textAlignment w:val="baseline"/>
        <w:rPr>
          <w:rFonts w:ascii="Verdana" w:eastAsia="Verdana" w:hAnsi="Verdana" w:cs="Verdana"/>
          <w:lang w:val="es"/>
        </w:rPr>
      </w:pPr>
      <w:r w:rsidRPr="007B1159">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83"/>
      </w:tblGrid>
      <w:tr w:rsidR="00E01724" w:rsidRPr="007B1159" w14:paraId="62DEEB16" w14:textId="77777777" w:rsidTr="0048249B">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65643FA1" w14:textId="77777777" w:rsidR="00E01724" w:rsidRPr="007B1159" w:rsidRDefault="00E01724" w:rsidP="00F86E8D">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B1159">
              <w:rPr>
                <w:rFonts w:ascii="Verdana" w:hAnsi="Verdana" w:cs="Arial"/>
              </w:rPr>
              <w:t>Ley 80 de 1993, artículos 5, 26 y 41.</w:t>
            </w:r>
          </w:p>
          <w:p w14:paraId="51E9F9B9" w14:textId="77777777" w:rsidR="00E01724" w:rsidRPr="007B1159" w:rsidRDefault="00E01724" w:rsidP="00F86E8D">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B1159">
              <w:rPr>
                <w:rFonts w:ascii="Verdana" w:hAnsi="Verdana" w:cs="Arial"/>
              </w:rPr>
              <w:t xml:space="preserve">Decreto 1082 de 2015, artículo </w:t>
            </w:r>
            <w:r w:rsidRPr="007B1159">
              <w:rPr>
                <w:rFonts w:ascii="Verdana" w:hAnsi="Verdana" w:cs="Arial"/>
                <w:lang w:val="es-CO"/>
              </w:rPr>
              <w:t>2.2.1.1.1.6.1 y 2.2.1.1.2.2.4.</w:t>
            </w:r>
            <w:r w:rsidRPr="007B1159">
              <w:rPr>
                <w:rFonts w:ascii="Verdana" w:hAnsi="Verdana" w:cs="Arial"/>
              </w:rPr>
              <w:t xml:space="preserve"> </w:t>
            </w:r>
          </w:p>
          <w:p w14:paraId="56C51C63" w14:textId="4D127CAA" w:rsidR="00E01724" w:rsidRPr="00F86E8D" w:rsidRDefault="00E01724" w:rsidP="00F86E8D">
            <w:pPr>
              <w:pStyle w:val="Prrafodelista"/>
              <w:widowControl w:val="0"/>
              <w:numPr>
                <w:ilvl w:val="0"/>
                <w:numId w:val="17"/>
              </w:numPr>
              <w:autoSpaceDE w:val="0"/>
              <w:autoSpaceDN w:val="0"/>
              <w:spacing w:line="276" w:lineRule="auto"/>
              <w:contextualSpacing w:val="0"/>
              <w:jc w:val="both"/>
              <w:rPr>
                <w:rFonts w:ascii="Verdana" w:eastAsia="Verdana" w:hAnsi="Verdana" w:cs="Verdana"/>
                <w:lang w:val="es"/>
              </w:rPr>
            </w:pPr>
            <w:r w:rsidRPr="007B1159">
              <w:rPr>
                <w:rFonts w:ascii="Verdana" w:hAnsi="Verdana" w:cs="Arial"/>
                <w:lang w:val="es-CO"/>
              </w:rPr>
              <w:t xml:space="preserve">Guía para el manejo de ofertas artificialmente bajas en Procesos de Contratación de </w:t>
            </w:r>
            <w:r w:rsidRPr="007B1159">
              <w:rPr>
                <w:rFonts w:ascii="Verdana" w:hAnsi="Verdana" w:cs="Arial"/>
              </w:rPr>
              <w:t xml:space="preserve">la Agencia Nacional de Contratación Pública – Colombia Compra Eficiente. </w:t>
            </w:r>
            <w:r w:rsidRPr="007B1159">
              <w:rPr>
                <w:rFonts w:ascii="Verdana" w:hAnsi="Verdana" w:cs="Arial"/>
                <w:lang w:val="es-CO"/>
              </w:rPr>
              <w:t xml:space="preserve">Disponible en: </w:t>
            </w:r>
            <w:hyperlink r:id="rId13" w:history="1">
              <w:r w:rsidRPr="007B1159">
                <w:rPr>
                  <w:rStyle w:val="Hipervnculo"/>
                  <w:rFonts w:ascii="Verdana" w:hAnsi="Verdana" w:cs="Arial"/>
                  <w:lang w:val="es-CO"/>
                </w:rPr>
                <w:t>https://colombiacompra.gov.co/sites/cce_public/files/cce_documents/cce_guia_artificialmente_bajas.pdf</w:t>
              </w:r>
            </w:hyperlink>
            <w:r w:rsidRPr="007B1159">
              <w:rPr>
                <w:rFonts w:ascii="Verdana" w:hAnsi="Verdana" w:cs="Arial"/>
                <w:lang w:val="es-CO"/>
              </w:rPr>
              <w:t xml:space="preserve">. </w:t>
            </w:r>
          </w:p>
        </w:tc>
      </w:tr>
    </w:tbl>
    <w:p w14:paraId="1CEDA521" w14:textId="77777777" w:rsidR="00E01724" w:rsidRPr="007B1159" w:rsidRDefault="00E01724" w:rsidP="007B1159">
      <w:pPr>
        <w:spacing w:after="0" w:line="276" w:lineRule="auto"/>
        <w:jc w:val="both"/>
        <w:textAlignment w:val="baseline"/>
        <w:rPr>
          <w:rFonts w:ascii="Verdana" w:eastAsia="Verdana" w:hAnsi="Verdana" w:cs="Verdana"/>
          <w:lang w:val="es"/>
        </w:rPr>
      </w:pPr>
      <w:r w:rsidRPr="007B1159">
        <w:rPr>
          <w:rFonts w:ascii="Verdana" w:eastAsia="Verdana" w:hAnsi="Verdana" w:cs="Verdana"/>
          <w:lang w:val="es"/>
        </w:rPr>
        <w:t xml:space="preserve"> </w:t>
      </w:r>
    </w:p>
    <w:p w14:paraId="63E4994F" w14:textId="77777777" w:rsidR="00E01724" w:rsidRPr="007B1159" w:rsidRDefault="00E01724" w:rsidP="00F86E8D">
      <w:pPr>
        <w:pStyle w:val="Prrafodelista"/>
        <w:numPr>
          <w:ilvl w:val="0"/>
          <w:numId w:val="16"/>
        </w:numPr>
        <w:spacing w:after="0" w:line="276" w:lineRule="auto"/>
        <w:contextualSpacing w:val="0"/>
        <w:jc w:val="both"/>
        <w:textAlignment w:val="baseline"/>
        <w:rPr>
          <w:rFonts w:ascii="Verdana" w:eastAsia="Verdana" w:hAnsi="Verdana" w:cs="Verdana"/>
          <w:b/>
          <w:bCs/>
          <w:lang w:val="es"/>
        </w:rPr>
      </w:pPr>
      <w:r w:rsidRPr="007B1159">
        <w:rPr>
          <w:rFonts w:ascii="Verdana" w:eastAsia="Verdana" w:hAnsi="Verdana" w:cs="Verdana"/>
          <w:b/>
          <w:bCs/>
          <w:lang w:val="es"/>
        </w:rPr>
        <w:t>Doctrina de la Agencia Nacional de Contratación Pública:</w:t>
      </w:r>
    </w:p>
    <w:p w14:paraId="53DA5FFD" w14:textId="77777777" w:rsidR="00E01724" w:rsidRPr="007B1159" w:rsidRDefault="00E01724" w:rsidP="00F86E8D">
      <w:pPr>
        <w:pStyle w:val="Prrafodelista"/>
        <w:spacing w:after="0" w:line="276" w:lineRule="auto"/>
        <w:contextualSpacing w:val="0"/>
        <w:jc w:val="both"/>
        <w:textAlignment w:val="baseline"/>
        <w:rPr>
          <w:rFonts w:ascii="Verdana" w:eastAsia="Verdana" w:hAnsi="Verdana" w:cs="Verdana"/>
          <w:b/>
          <w:bCs/>
          <w:lang w:val="es"/>
        </w:rPr>
      </w:pPr>
    </w:p>
    <w:p w14:paraId="7BA14326" w14:textId="77777777" w:rsidR="00E01724" w:rsidRPr="007B1159" w:rsidRDefault="00E01724" w:rsidP="00F86E8D">
      <w:pPr>
        <w:widowControl w:val="0"/>
        <w:autoSpaceDE w:val="0"/>
        <w:autoSpaceDN w:val="0"/>
        <w:spacing w:after="0" w:line="276" w:lineRule="auto"/>
        <w:jc w:val="both"/>
        <w:rPr>
          <w:rStyle w:val="normaltextrun"/>
          <w:rFonts w:ascii="Verdana" w:hAnsi="Verdana" w:cs="Arial"/>
          <w:shd w:val="clear" w:color="auto" w:fill="FFFFFF"/>
          <w:lang w:val="es-ES"/>
        </w:rPr>
      </w:pPr>
      <w:r w:rsidRPr="007B1159">
        <w:rPr>
          <w:rStyle w:val="normaltextrun"/>
          <w:rFonts w:ascii="Verdana" w:hAnsi="Verdana" w:cs="Arial"/>
          <w:shd w:val="clear" w:color="auto" w:fill="FFFFFF"/>
          <w:lang w:val="es-ES"/>
        </w:rPr>
        <w:t xml:space="preserve">Esta Subdirección se ha pronunciado sobre los precios artificialmente bajos en </w:t>
      </w:r>
      <w:r w:rsidRPr="007B1159">
        <w:rPr>
          <w:rFonts w:ascii="Verdana" w:hAnsi="Verdana" w:cs="Arial"/>
          <w:shd w:val="clear" w:color="auto" w:fill="FFFFFF"/>
        </w:rPr>
        <w:t>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de abril de 2020, C-299 del 16 de julio de 2020, C-429 del 24 de julio de 2020, C-473 del 13 de julio de 2020, C-496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 C-165 del 2 de junio de 2023</w:t>
      </w:r>
      <w:r w:rsidRPr="007B1159">
        <w:rPr>
          <w:rStyle w:val="normaltextrun"/>
          <w:rFonts w:ascii="Verdana" w:hAnsi="Verdana" w:cs="Arial"/>
          <w:shd w:val="clear" w:color="auto" w:fill="FFFFFF"/>
          <w:lang w:val="es-ES"/>
        </w:rPr>
        <w:t xml:space="preserve">, C-507 del 23 de agosto de 2024, C-408 del 13 de mayo de 2025, C-482 del 22 de mayo de 2025 y C-1794 del 31 de diciembre de 2025. </w:t>
      </w:r>
    </w:p>
    <w:p w14:paraId="749A0BA0" w14:textId="77777777" w:rsidR="00E01724" w:rsidRPr="007B1159" w:rsidRDefault="00E01724" w:rsidP="00F86E8D">
      <w:pPr>
        <w:spacing w:after="0" w:line="276" w:lineRule="auto"/>
        <w:jc w:val="both"/>
        <w:rPr>
          <w:rFonts w:ascii="Verdana" w:eastAsia="Calibri" w:hAnsi="Verdana" w:cs="Arial"/>
          <w:kern w:val="2"/>
          <w:lang w:val="es-ES" w:eastAsia="es-ES"/>
          <w14:ligatures w14:val="standardContextual"/>
        </w:rPr>
      </w:pPr>
      <w:r w:rsidRPr="007B1159">
        <w:rPr>
          <w:rStyle w:val="normaltextrun"/>
          <w:rFonts w:ascii="Verdana" w:hAnsi="Verdana" w:cs="Arial"/>
          <w:shd w:val="clear" w:color="auto" w:fill="FFFFFF"/>
          <w:lang w:val="es-ES"/>
        </w:rPr>
        <w:t xml:space="preserve">Por su parte, la Agencia Nacional de Contratación Pública – Colombia Compra Eficiente se pronunció sobre el precio artificialmente bajo y las causales de rechazo en los siguientes conceptos: C-473 del 13 de julio de 2020, C-496 del 24 de julio de 2020, C-679 del 23 de noviembre de 2020, C-112 del 7 de abril de 2021, C-069 del </w:t>
      </w:r>
      <w:r w:rsidRPr="007B1159">
        <w:rPr>
          <w:rFonts w:ascii="Verdana" w:eastAsia="Calibri" w:hAnsi="Verdana" w:cs="Vrinda"/>
        </w:rPr>
        <w:t>19 de febrero de 2026 y C-1031 del 12 de agosto de 2026</w:t>
      </w:r>
      <w:r w:rsidRPr="007B1159">
        <w:rPr>
          <w:rFonts w:ascii="Verdana" w:eastAsia="Calibri" w:hAnsi="Verdana" w:cs="Arial"/>
          <w:kern w:val="2"/>
          <w:lang w:val="es-ES" w:eastAsia="es-ES"/>
          <w14:ligatures w14:val="standardContextual"/>
        </w:rPr>
        <w:t>.</w:t>
      </w:r>
    </w:p>
    <w:p w14:paraId="54BCFF05" w14:textId="77777777" w:rsidR="00E01724" w:rsidRPr="007B1159" w:rsidRDefault="00E01724" w:rsidP="007B1159">
      <w:pPr>
        <w:spacing w:after="0" w:line="276" w:lineRule="auto"/>
        <w:jc w:val="both"/>
        <w:rPr>
          <w:rStyle w:val="normaltextrun"/>
          <w:rFonts w:ascii="Verdana" w:hAnsi="Verdana" w:cs="Arial"/>
          <w:shd w:val="clear" w:color="auto" w:fill="FFFFFF"/>
          <w:lang w:val="es-ES"/>
        </w:rPr>
      </w:pPr>
    </w:p>
    <w:p w14:paraId="7190536E" w14:textId="77777777" w:rsidR="00E01724" w:rsidRPr="007B1159" w:rsidRDefault="00E01724" w:rsidP="007B1159">
      <w:pPr>
        <w:spacing w:after="0" w:line="276" w:lineRule="auto"/>
        <w:jc w:val="both"/>
        <w:rPr>
          <w:rStyle w:val="normaltextrun"/>
          <w:rFonts w:ascii="Verdana" w:hAnsi="Verdana" w:cs="Arial"/>
          <w:bCs/>
          <w:shd w:val="clear" w:color="auto" w:fill="FFFFFF"/>
        </w:rPr>
      </w:pPr>
      <w:r w:rsidRPr="007B1159">
        <w:rPr>
          <w:rStyle w:val="normaltextrun"/>
          <w:rFonts w:ascii="Verdana" w:hAnsi="Verdana" w:cs="Arial"/>
          <w:shd w:val="clear" w:color="auto" w:fill="FFFFFF"/>
          <w:lang w:val="es-ES"/>
        </w:rPr>
        <w:t>Es</w:t>
      </w:r>
      <w:r w:rsidRPr="007B1159">
        <w:rPr>
          <w:rFonts w:ascii="Verdana" w:hAnsi="Verdana"/>
        </w:rPr>
        <w:t>tos y otros conceptos se encuentran disponibles para consulta en el Sistema de relatoría de la Agencia, al cual se puede acceder a través del siguiente enlace:</w:t>
      </w:r>
      <w:r w:rsidRPr="007B1159">
        <w:rPr>
          <w:rStyle w:val="normaltextrun"/>
          <w:rFonts w:ascii="Verdana" w:hAnsi="Verdana" w:cs="Arial"/>
          <w:shd w:val="clear" w:color="auto" w:fill="FFFFFF"/>
          <w:lang w:val="es-ES"/>
        </w:rPr>
        <w:t xml:space="preserve"> </w:t>
      </w:r>
      <w:hyperlink r:id="rId14" w:history="1">
        <w:r w:rsidRPr="007B1159">
          <w:rPr>
            <w:rStyle w:val="Hipervnculo"/>
            <w:rFonts w:ascii="Verdana" w:hAnsi="Verdana" w:cs="Arial"/>
            <w:shd w:val="clear" w:color="auto" w:fill="FFFFFF"/>
            <w:lang w:val="es-ES"/>
          </w:rPr>
          <w:t>https://relatoria.colombiacompra.gov.co/busqueda/conceptos</w:t>
        </w:r>
      </w:hyperlink>
      <w:r w:rsidRPr="007B1159">
        <w:rPr>
          <w:rStyle w:val="normaltextrun"/>
          <w:rFonts w:ascii="Verdana" w:hAnsi="Verdana" w:cs="Arial"/>
          <w:color w:val="FF0000"/>
          <w:shd w:val="clear" w:color="auto" w:fill="FFFFFF"/>
          <w:lang w:val="es-ES"/>
        </w:rPr>
        <w:t xml:space="preserve">. </w:t>
      </w:r>
    </w:p>
    <w:p w14:paraId="48DDA363" w14:textId="77777777" w:rsidR="00E01724" w:rsidRPr="007B1159" w:rsidRDefault="00E01724" w:rsidP="007B1159">
      <w:pPr>
        <w:spacing w:after="0" w:line="276" w:lineRule="auto"/>
        <w:jc w:val="both"/>
        <w:textAlignment w:val="baseline"/>
        <w:rPr>
          <w:rFonts w:ascii="Verdana" w:eastAsia="Verdana" w:hAnsi="Verdana" w:cs="Verdana"/>
        </w:rPr>
      </w:pPr>
    </w:p>
    <w:p w14:paraId="79D1F3B0" w14:textId="77777777" w:rsidR="00E01724" w:rsidRPr="007B1159" w:rsidRDefault="00E01724" w:rsidP="007B1159">
      <w:pPr>
        <w:spacing w:after="0" w:line="276" w:lineRule="auto"/>
        <w:jc w:val="both"/>
        <w:textAlignment w:val="baseline"/>
        <w:rPr>
          <w:rFonts w:ascii="Verdana" w:eastAsia="Verdana" w:hAnsi="Verdana" w:cs="Verdana"/>
          <w:color w:val="FF0000"/>
          <w:lang w:val="es"/>
        </w:rPr>
      </w:pPr>
      <w:r w:rsidRPr="007B1159">
        <w:rPr>
          <w:rFonts w:ascii="Verdana" w:eastAsia="Verdana" w:hAnsi="Verdana" w:cs="Verdana"/>
        </w:rPr>
        <w:t>Estos se encuentran disponibles para consulta en el Sistema de relatoría de la Agencia, al cual puede accederse a través del siguiente enlace:</w:t>
      </w:r>
      <w:hyperlink r:id="rId15">
        <w:r w:rsidRPr="007B1159">
          <w:rPr>
            <w:rStyle w:val="Hipervnculo"/>
            <w:rFonts w:ascii="Verdana" w:hAnsi="Verdana"/>
            <w:lang w:val="es"/>
          </w:rPr>
          <w:t>https://relatoria.colombiacompra.gov.co/busqueda/conceptos</w:t>
        </w:r>
      </w:hyperlink>
      <w:r w:rsidRPr="007B1159">
        <w:rPr>
          <w:rFonts w:ascii="Verdana" w:eastAsia="Verdana" w:hAnsi="Verdana" w:cs="Verdana"/>
          <w:color w:val="000000" w:themeColor="text1"/>
          <w:lang w:val="es"/>
        </w:rPr>
        <w:t xml:space="preserve">. </w:t>
      </w:r>
      <w:r w:rsidRPr="007B1159">
        <w:rPr>
          <w:rFonts w:ascii="Verdana" w:eastAsia="Verdana" w:hAnsi="Verdana" w:cs="Verdana"/>
          <w:color w:val="FF0000"/>
          <w:lang w:val="es"/>
        </w:rPr>
        <w:t xml:space="preserve"> </w:t>
      </w:r>
    </w:p>
    <w:p w14:paraId="067EA845" w14:textId="77777777" w:rsidR="00E01724" w:rsidRPr="007B1159" w:rsidRDefault="00E01724" w:rsidP="007B1159">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 xml:space="preserve">  </w:t>
      </w:r>
    </w:p>
    <w:p w14:paraId="4409FFF6" w14:textId="77777777" w:rsidR="00E01724" w:rsidRPr="007B1159" w:rsidRDefault="00E01724" w:rsidP="00F86E8D">
      <w:pPr>
        <w:shd w:val="clear" w:color="auto" w:fill="FFFFFF" w:themeFill="background1"/>
        <w:spacing w:after="0" w:line="276" w:lineRule="auto"/>
        <w:jc w:val="both"/>
        <w:rPr>
          <w:rFonts w:ascii="Verdana" w:eastAsia="Verdana" w:hAnsi="Verdana" w:cs="Verdana"/>
        </w:rPr>
      </w:pPr>
      <w:r w:rsidRPr="007B1159">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B1159">
        <w:rPr>
          <w:rFonts w:ascii="Verdana" w:eastAsia="Verdana" w:hAnsi="Verdana" w:cs="Verdana"/>
          <w:b/>
          <w:bCs/>
          <w:color w:val="000000" w:themeColor="text1"/>
        </w:rPr>
        <w:t>Guía para la Exigencia y Constitución de Garantías en los Procesos de Contratación</w:t>
      </w:r>
      <w:r w:rsidRPr="007B1159">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r w:rsidRPr="007B1159">
          <w:rPr>
            <w:rStyle w:val="Hipervnculo"/>
            <w:rFonts w:ascii="Verdana" w:eastAsia="Verdana" w:hAnsi="Verdana" w:cs="Verdana"/>
            <w:color w:val="000000" w:themeColor="text1"/>
          </w:rPr>
          <w:t>https://www.colombiacompra.gov.co/archivos/manual/guia-de-garantias-en-procesos-de-contratacion</w:t>
        </w:r>
      </w:hyperlink>
    </w:p>
    <w:p w14:paraId="4EAD503D" w14:textId="77777777" w:rsidR="00E01724" w:rsidRPr="007B1159" w:rsidRDefault="00E01724" w:rsidP="00F86E8D">
      <w:pPr>
        <w:shd w:val="clear" w:color="auto" w:fill="FFFFFF" w:themeFill="background1"/>
        <w:spacing w:after="0" w:line="276" w:lineRule="auto"/>
        <w:jc w:val="both"/>
        <w:rPr>
          <w:rFonts w:ascii="Verdana" w:eastAsia="Verdana" w:hAnsi="Verdana" w:cs="Verdana"/>
        </w:rPr>
      </w:pPr>
      <w:r w:rsidRPr="007B1159">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07B1159">
        <w:rPr>
          <w:rFonts w:ascii="Verdana" w:eastAsia="Verdana" w:hAnsi="Verdana" w:cs="Verdana"/>
          <w:b/>
          <w:bCs/>
          <w:color w:val="000000" w:themeColor="text1"/>
        </w:rPr>
        <w:t>Sistema Integral de Preferencias en favor de las personas con discapacidad</w:t>
      </w:r>
      <w:r w:rsidRPr="007B1159">
        <w:rPr>
          <w:rFonts w:ascii="Verdana" w:eastAsia="Verdana" w:hAnsi="Verdana" w:cs="Verdana"/>
          <w:color w:val="000000" w:themeColor="text1"/>
        </w:rPr>
        <w:t xml:space="preserve">, en cumplimiento del artículo 13 de la Ley Estatutaria 1618 de 2013. Para orientar su aplicación, esta Agencia expidió la </w:t>
      </w:r>
      <w:r w:rsidRPr="007B1159">
        <w:rPr>
          <w:rFonts w:ascii="Verdana" w:eastAsia="Verdana" w:hAnsi="Verdana" w:cs="Verdana"/>
          <w:b/>
          <w:bCs/>
          <w:color w:val="000000" w:themeColor="text1"/>
        </w:rPr>
        <w:t xml:space="preserve">Circular Externa 003 del 12 de mayo de 2026, </w:t>
      </w:r>
      <w:r w:rsidRPr="007B1159">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7">
        <w:r w:rsidRPr="007B1159">
          <w:rPr>
            <w:rStyle w:val="Hipervnculo"/>
            <w:rFonts w:ascii="Verdana" w:eastAsia="Verdana" w:hAnsi="Verdana" w:cs="Verdana"/>
            <w:color w:val="000000" w:themeColor="text1"/>
          </w:rPr>
          <w:t>https://www.colombiacompra.gov.co/archivos/circular/circular-externa-003-de-2026</w:t>
        </w:r>
      </w:hyperlink>
    </w:p>
    <w:p w14:paraId="69EC2620" w14:textId="77777777" w:rsidR="00E01724" w:rsidRPr="007B1159" w:rsidRDefault="00E01724" w:rsidP="00F86E8D">
      <w:pPr>
        <w:shd w:val="clear" w:color="auto" w:fill="FFFFFF" w:themeFill="background1"/>
        <w:spacing w:after="0" w:line="276" w:lineRule="auto"/>
        <w:jc w:val="both"/>
        <w:rPr>
          <w:rFonts w:ascii="Verdana" w:eastAsia="Verdana" w:hAnsi="Verdana" w:cs="Verdana"/>
        </w:rPr>
      </w:pPr>
      <w:r w:rsidRPr="007B1159">
        <w:rPr>
          <w:rFonts w:ascii="Verdana" w:eastAsia="Verdana" w:hAnsi="Verdana" w:cs="Verdana"/>
          <w:color w:val="000000" w:themeColor="text1"/>
        </w:rPr>
        <w:t>Recuerda también que la</w:t>
      </w:r>
      <w:r w:rsidRPr="007B1159">
        <w:rPr>
          <w:rFonts w:ascii="Verdana" w:eastAsia="Verdana" w:hAnsi="Verdana" w:cs="Verdana"/>
          <w:b/>
          <w:bCs/>
          <w:color w:val="000000" w:themeColor="text1"/>
        </w:rPr>
        <w:t xml:space="preserve"> información sobre sanciones e inhabilidades </w:t>
      </w:r>
      <w:r w:rsidRPr="007B1159">
        <w:rPr>
          <w:rFonts w:ascii="Verdana" w:eastAsia="Verdana" w:hAnsi="Verdana" w:cs="Verdana"/>
          <w:color w:val="000000" w:themeColor="text1"/>
        </w:rPr>
        <w:t xml:space="preserve">solo cumple su función preventiva si llega oportunamente a los registros públicos. Sobre este deber, esta Agencia expidió la </w:t>
      </w:r>
      <w:r w:rsidRPr="007B1159">
        <w:rPr>
          <w:rFonts w:ascii="Verdana" w:eastAsia="Verdana" w:hAnsi="Verdana" w:cs="Verdana"/>
          <w:b/>
          <w:bCs/>
          <w:color w:val="000000" w:themeColor="text1"/>
        </w:rPr>
        <w:t>Circular Externa 002 del 5 de mayo de 2026,</w:t>
      </w:r>
      <w:r w:rsidRPr="007B1159">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w:t>
      </w:r>
      <w:r w:rsidRPr="007B1159">
        <w:rPr>
          <w:rFonts w:ascii="Verdana" w:eastAsia="Verdana" w:hAnsi="Verdana" w:cs="Verdana"/>
          <w:color w:val="000000" w:themeColor="text1"/>
        </w:rPr>
        <w:lastRenderedPageBreak/>
        <w:t xml:space="preserve">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r w:rsidRPr="007B1159">
          <w:rPr>
            <w:rStyle w:val="Hipervnculo"/>
            <w:rFonts w:ascii="Verdana" w:eastAsia="Verdana" w:hAnsi="Verdana" w:cs="Verdana"/>
            <w:color w:val="000000" w:themeColor="text1"/>
          </w:rPr>
          <w:t>https://www.colombiacompra.gov.co/archivos/circular/circular-externa-002-de-2026</w:t>
        </w:r>
      </w:hyperlink>
    </w:p>
    <w:p w14:paraId="237F7E08" w14:textId="77777777" w:rsidR="00E01724" w:rsidRPr="007B1159" w:rsidRDefault="00E01724" w:rsidP="00F86E8D">
      <w:pPr>
        <w:shd w:val="clear" w:color="auto" w:fill="FFFFFF" w:themeFill="background1"/>
        <w:spacing w:after="0" w:line="276" w:lineRule="auto"/>
        <w:jc w:val="both"/>
        <w:rPr>
          <w:rFonts w:ascii="Verdana" w:eastAsia="Verdana" w:hAnsi="Verdana" w:cs="Verdana"/>
          <w:color w:val="000000" w:themeColor="text1"/>
        </w:rPr>
      </w:pPr>
      <w:r w:rsidRPr="007B1159">
        <w:rPr>
          <w:rFonts w:ascii="Verdana" w:eastAsia="Verdana" w:hAnsi="Verdana" w:cs="Verdana"/>
          <w:color w:val="000000" w:themeColor="text1"/>
        </w:rPr>
        <w:t>Finalmente, si quieres seguir de cerca la actividad de la Agencia, la tercera edición de 2026 del</w:t>
      </w:r>
      <w:r w:rsidRPr="007B1159">
        <w:rPr>
          <w:rFonts w:ascii="Verdana" w:eastAsia="Verdana" w:hAnsi="Verdana" w:cs="Verdana"/>
          <w:b/>
          <w:bCs/>
          <w:color w:val="000000" w:themeColor="text1"/>
        </w:rPr>
        <w:t xml:space="preserve"> Radar de la Compra Pública</w:t>
      </w:r>
      <w:r w:rsidRPr="007B1159">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r w:rsidRPr="007B1159">
          <w:rPr>
            <w:rStyle w:val="Hipervnculo"/>
            <w:rFonts w:ascii="Verdana" w:eastAsia="Verdana" w:hAnsi="Verdana" w:cs="Verdana"/>
            <w:color w:val="000000" w:themeColor="text1"/>
          </w:rPr>
          <w:t>https://www.colombiacompra.gov.co/archivos/boletin/boletin-edicion-n-3-de-2026-radar-de-la-compra-publica</w:t>
        </w:r>
      </w:hyperlink>
    </w:p>
    <w:p w14:paraId="6D12BBAA" w14:textId="77777777" w:rsidR="00E01724" w:rsidRPr="007B1159" w:rsidRDefault="00E01724" w:rsidP="00F86E8D">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 xml:space="preserve">Lo invitamos a seguirnos en las redes sociales en las cuales se difunde información institucional: </w:t>
      </w:r>
    </w:p>
    <w:p w14:paraId="02B662E5" w14:textId="77777777" w:rsidR="00E01724" w:rsidRPr="007B1159" w:rsidRDefault="00E01724" w:rsidP="00F86E8D">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 xml:space="preserve"> </w:t>
      </w:r>
    </w:p>
    <w:p w14:paraId="29FCA1AA" w14:textId="77777777" w:rsidR="00E01724" w:rsidRPr="007B1159" w:rsidRDefault="00E01724" w:rsidP="00F86E8D">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 xml:space="preserve">Twitter: </w:t>
      </w:r>
      <w:r w:rsidRPr="007B1159">
        <w:rPr>
          <w:rFonts w:ascii="Verdana" w:eastAsia="Verdana" w:hAnsi="Verdana" w:cs="Verdana"/>
          <w:color w:val="000000" w:themeColor="text1"/>
          <w:u w:val="single"/>
          <w:lang w:val="es"/>
        </w:rPr>
        <w:t>@colombiacompra</w:t>
      </w:r>
      <w:r w:rsidRPr="007B1159">
        <w:rPr>
          <w:rFonts w:ascii="Verdana" w:eastAsia="Verdana" w:hAnsi="Verdana" w:cs="Verdana"/>
          <w:color w:val="000000" w:themeColor="text1"/>
          <w:lang w:val="es"/>
        </w:rPr>
        <w:t xml:space="preserve"> </w:t>
      </w:r>
    </w:p>
    <w:p w14:paraId="5BD2D29F" w14:textId="77777777" w:rsidR="00E01724" w:rsidRPr="007B1159" w:rsidRDefault="00E01724" w:rsidP="00F86E8D">
      <w:pPr>
        <w:spacing w:after="0" w:line="276" w:lineRule="auto"/>
        <w:jc w:val="both"/>
        <w:textAlignment w:val="baseline"/>
        <w:rPr>
          <w:rFonts w:ascii="Verdana" w:eastAsia="Verdana" w:hAnsi="Verdana" w:cs="Verdana"/>
          <w:color w:val="000000" w:themeColor="text1"/>
          <w:u w:val="single"/>
          <w:lang w:val="es-ES"/>
        </w:rPr>
      </w:pPr>
      <w:r w:rsidRPr="007B1159">
        <w:rPr>
          <w:rFonts w:ascii="Verdana" w:eastAsia="Verdana" w:hAnsi="Verdana" w:cs="Verdana"/>
          <w:color w:val="000000" w:themeColor="text1"/>
          <w:lang w:val="es-ES"/>
        </w:rPr>
        <w:t xml:space="preserve">Facebook: </w:t>
      </w:r>
      <w:proofErr w:type="spellStart"/>
      <w:r w:rsidRPr="007B1159">
        <w:rPr>
          <w:rFonts w:ascii="Verdana" w:eastAsia="Verdana" w:hAnsi="Verdana" w:cs="Verdana"/>
          <w:color w:val="000000" w:themeColor="text1"/>
          <w:u w:val="single"/>
          <w:lang w:val="es-ES"/>
        </w:rPr>
        <w:t>ColombiaCompraEficiente</w:t>
      </w:r>
      <w:proofErr w:type="spellEnd"/>
    </w:p>
    <w:p w14:paraId="41E702C4" w14:textId="77777777" w:rsidR="00E01724" w:rsidRPr="007B1159" w:rsidRDefault="00E01724" w:rsidP="00F86E8D">
      <w:pPr>
        <w:spacing w:after="0" w:line="276" w:lineRule="auto"/>
        <w:jc w:val="both"/>
        <w:textAlignment w:val="baseline"/>
        <w:rPr>
          <w:rFonts w:ascii="Verdana" w:eastAsia="Verdana" w:hAnsi="Verdana" w:cs="Verdana"/>
          <w:color w:val="000000" w:themeColor="text1"/>
          <w:u w:val="single"/>
          <w:lang w:val="es"/>
        </w:rPr>
      </w:pPr>
      <w:r w:rsidRPr="007B1159">
        <w:rPr>
          <w:rFonts w:ascii="Verdana" w:eastAsia="Verdana" w:hAnsi="Verdana" w:cs="Verdana"/>
          <w:color w:val="000000" w:themeColor="text1"/>
          <w:lang w:val="es"/>
        </w:rPr>
        <w:t xml:space="preserve">LinkedIn: </w:t>
      </w:r>
      <w:r w:rsidRPr="007B1159">
        <w:rPr>
          <w:rFonts w:ascii="Verdana" w:eastAsia="Verdana" w:hAnsi="Verdana" w:cs="Verdana"/>
          <w:color w:val="000000" w:themeColor="text1"/>
          <w:u w:val="single"/>
          <w:lang w:val="es"/>
        </w:rPr>
        <w:t>Agencia Nacional de Contratación Pública - Colombia Compra Eficiente</w:t>
      </w:r>
      <w:r w:rsidRPr="007B1159">
        <w:rPr>
          <w:rFonts w:ascii="Verdana" w:eastAsia="Verdana" w:hAnsi="Verdana" w:cs="Verdana"/>
          <w:color w:val="000000" w:themeColor="text1"/>
          <w:lang w:val="es"/>
        </w:rPr>
        <w:t xml:space="preserve"> Instagram: </w:t>
      </w:r>
      <w:r w:rsidRPr="007B1159">
        <w:rPr>
          <w:rFonts w:ascii="Verdana" w:eastAsia="Verdana" w:hAnsi="Verdana" w:cs="Verdana"/>
          <w:color w:val="000000" w:themeColor="text1"/>
          <w:u w:val="single"/>
          <w:lang w:val="es"/>
        </w:rPr>
        <w:t>@colombiacompraeficiente_cce</w:t>
      </w:r>
    </w:p>
    <w:p w14:paraId="5661ED59" w14:textId="77777777" w:rsidR="00E01724" w:rsidRPr="007B1159" w:rsidRDefault="00E01724" w:rsidP="007B1159">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 xml:space="preserve"> </w:t>
      </w:r>
    </w:p>
    <w:p w14:paraId="05DB4880" w14:textId="77777777" w:rsidR="00E01724" w:rsidRPr="007B1159" w:rsidRDefault="00E01724" w:rsidP="007B1159">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8790FD2" w14:textId="77777777" w:rsidR="00E01724" w:rsidRPr="007B1159" w:rsidRDefault="00E01724" w:rsidP="00F86E8D">
      <w:pPr>
        <w:spacing w:after="0" w:line="276" w:lineRule="auto"/>
        <w:jc w:val="both"/>
        <w:textAlignment w:val="baseline"/>
        <w:rPr>
          <w:rFonts w:ascii="Verdana" w:eastAsia="Verdana" w:hAnsi="Verdana" w:cs="Verdana"/>
          <w:color w:val="000000" w:themeColor="text1"/>
          <w:lang w:val="es"/>
        </w:rPr>
      </w:pPr>
      <w:r w:rsidRPr="007B1159">
        <w:rPr>
          <w:rFonts w:ascii="Verdana" w:eastAsia="Verdana" w:hAnsi="Verdana" w:cs="Verdana"/>
          <w:color w:val="000000" w:themeColor="text1"/>
          <w:lang w:val="es"/>
        </w:rPr>
        <w:t xml:space="preserve"> </w:t>
      </w:r>
    </w:p>
    <w:p w14:paraId="6760C367" w14:textId="77777777" w:rsidR="00E01724" w:rsidRPr="00F86E8D" w:rsidRDefault="00E01724" w:rsidP="00F86E8D">
      <w:pPr>
        <w:spacing w:after="0" w:line="276" w:lineRule="auto"/>
        <w:jc w:val="both"/>
        <w:textAlignment w:val="baseline"/>
        <w:rPr>
          <w:rFonts w:ascii="Verdana" w:hAnsi="Verdana"/>
        </w:rPr>
      </w:pPr>
      <w:r w:rsidRPr="007B1159">
        <w:rPr>
          <w:rFonts w:ascii="Verdana" w:eastAsia="Verdana" w:hAnsi="Verdana" w:cs="Verdana"/>
          <w:color w:val="000000" w:themeColor="text1"/>
          <w:lang w:val="es"/>
        </w:rPr>
        <w:t xml:space="preserve"> Atentamente, </w:t>
      </w:r>
    </w:p>
    <w:p w14:paraId="063537A3" w14:textId="043275AF" w:rsidR="00E01724" w:rsidRDefault="00E01724" w:rsidP="00E01724">
      <w:pPr>
        <w:spacing w:after="0" w:line="240" w:lineRule="auto"/>
        <w:ind w:left="2340"/>
        <w:jc w:val="both"/>
        <w:rPr>
          <w:noProof/>
        </w:rPr>
      </w:pPr>
    </w:p>
    <w:p w14:paraId="15F27F50" w14:textId="041E0E7F" w:rsidR="0017696B" w:rsidRDefault="0017696B" w:rsidP="0017696B">
      <w:pPr>
        <w:spacing w:after="0" w:line="240" w:lineRule="auto"/>
        <w:jc w:val="center"/>
        <w:rPr>
          <w:noProof/>
        </w:rPr>
      </w:pPr>
      <w:r>
        <w:rPr>
          <w:noProof/>
        </w:rPr>
        <w:lastRenderedPageBreak/>
        <w:drawing>
          <wp:inline distT="0" distB="0" distL="0" distR="0" wp14:anchorId="7E88977D" wp14:editId="775471EA">
            <wp:extent cx="3640455" cy="1562784"/>
            <wp:effectExtent l="0" t="0" r="0" b="0"/>
            <wp:docPr id="17636839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0766" cy="1571503"/>
                    </a:xfrm>
                    <a:prstGeom prst="rect">
                      <a:avLst/>
                    </a:prstGeom>
                    <a:noFill/>
                    <a:ln>
                      <a:noFill/>
                    </a:ln>
                  </pic:spPr>
                </pic:pic>
              </a:graphicData>
            </a:graphic>
          </wp:inline>
        </w:drawing>
      </w:r>
    </w:p>
    <w:p w14:paraId="1B04DAD3" w14:textId="77777777" w:rsidR="0017696B" w:rsidRDefault="0017696B" w:rsidP="00E01724">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E01724" w14:paraId="7EF4ADB4" w14:textId="77777777" w:rsidTr="0048249B">
        <w:trPr>
          <w:trHeight w:val="307"/>
        </w:trPr>
        <w:tc>
          <w:tcPr>
            <w:tcW w:w="858" w:type="dxa"/>
            <w:tcBorders>
              <w:top w:val="nil"/>
              <w:bottom w:val="nil"/>
              <w:right w:val="nil"/>
            </w:tcBorders>
            <w:tcMar>
              <w:left w:w="108" w:type="dxa"/>
              <w:right w:w="108" w:type="dxa"/>
            </w:tcMar>
            <w:vAlign w:val="center"/>
          </w:tcPr>
          <w:p w14:paraId="42A42D4D" w14:textId="77777777" w:rsidR="00E01724" w:rsidRDefault="00E01724" w:rsidP="0048249B">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2F6AA895" w14:textId="77777777" w:rsidR="00E01724" w:rsidRDefault="00E01724" w:rsidP="0048249B">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29D22C27" w14:textId="77777777" w:rsidR="00E01724" w:rsidRDefault="00E01724" w:rsidP="0048249B">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01724" w14:paraId="6B62A2A2" w14:textId="77777777" w:rsidTr="0048249B">
        <w:trPr>
          <w:trHeight w:val="321"/>
        </w:trPr>
        <w:tc>
          <w:tcPr>
            <w:tcW w:w="858" w:type="dxa"/>
            <w:tcBorders>
              <w:top w:val="nil"/>
              <w:bottom w:val="nil"/>
              <w:right w:val="nil"/>
            </w:tcBorders>
            <w:tcMar>
              <w:left w:w="108" w:type="dxa"/>
              <w:right w:w="108" w:type="dxa"/>
            </w:tcMar>
            <w:vAlign w:val="center"/>
          </w:tcPr>
          <w:p w14:paraId="0BB8D4EB" w14:textId="77777777" w:rsidR="00E01724" w:rsidRDefault="00E01724" w:rsidP="0048249B">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4CCCFF08" w14:textId="77777777" w:rsidR="00E01724" w:rsidRDefault="00E01724" w:rsidP="0048249B">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Diana Lucia Saavedra</w:t>
            </w:r>
          </w:p>
          <w:p w14:paraId="6F60B091" w14:textId="77777777" w:rsidR="00E01724" w:rsidRDefault="00E01724" w:rsidP="0048249B">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E01724" w14:paraId="7BB886E4" w14:textId="77777777" w:rsidTr="0048249B">
        <w:trPr>
          <w:trHeight w:val="292"/>
        </w:trPr>
        <w:tc>
          <w:tcPr>
            <w:tcW w:w="858" w:type="dxa"/>
            <w:tcBorders>
              <w:top w:val="nil"/>
              <w:bottom w:val="nil"/>
              <w:right w:val="nil"/>
            </w:tcBorders>
            <w:tcMar>
              <w:left w:w="108" w:type="dxa"/>
              <w:right w:w="108" w:type="dxa"/>
            </w:tcMar>
            <w:vAlign w:val="center"/>
          </w:tcPr>
          <w:p w14:paraId="420619B6" w14:textId="77777777" w:rsidR="00E01724" w:rsidRDefault="00E01724" w:rsidP="0048249B">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7F153481" w14:textId="77777777" w:rsidR="00E01724" w:rsidRDefault="00E01724" w:rsidP="0048249B">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Carolina Quintero Gacharná</w:t>
            </w:r>
          </w:p>
          <w:p w14:paraId="6B8C2D73" w14:textId="77777777" w:rsidR="00E01724" w:rsidRDefault="00E01724" w:rsidP="0048249B">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Contractual ANCP – CCE</w:t>
            </w:r>
          </w:p>
        </w:tc>
      </w:tr>
    </w:tbl>
    <w:p w14:paraId="1006A388" w14:textId="061F920B"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62D33B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7B4D" w14:textId="77777777" w:rsidR="009C592F" w:rsidRDefault="009C592F" w:rsidP="004A1847">
      <w:pPr>
        <w:spacing w:after="0" w:line="240" w:lineRule="auto"/>
      </w:pPr>
      <w:r>
        <w:separator/>
      </w:r>
    </w:p>
  </w:endnote>
  <w:endnote w:type="continuationSeparator" w:id="0">
    <w:p w14:paraId="074302D3" w14:textId="77777777" w:rsidR="009C592F" w:rsidRDefault="009C592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055EF" w14:textId="77777777" w:rsidR="009C592F" w:rsidRDefault="009C592F" w:rsidP="004A1847">
      <w:pPr>
        <w:spacing w:after="0" w:line="240" w:lineRule="auto"/>
      </w:pPr>
      <w:r>
        <w:separator/>
      </w:r>
    </w:p>
  </w:footnote>
  <w:footnote w:type="continuationSeparator" w:id="0">
    <w:p w14:paraId="30D1FA06" w14:textId="77777777" w:rsidR="009C592F" w:rsidRDefault="009C592F" w:rsidP="004A1847">
      <w:pPr>
        <w:spacing w:after="0" w:line="240" w:lineRule="auto"/>
      </w:pPr>
      <w:r>
        <w:continuationSeparator/>
      </w:r>
    </w:p>
  </w:footnote>
  <w:footnote w:id="1">
    <w:p w14:paraId="1362D233" w14:textId="77777777" w:rsidR="00E01724" w:rsidRPr="00537AC4" w:rsidRDefault="00E01724" w:rsidP="00E01724">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Consejo de Estado. Sección Tercera. Sentencia del 4 de junio de 2008. Exp. No. 17.783. C.P. Myriam Guerrero de Escobar.</w:t>
      </w:r>
    </w:p>
  </w:footnote>
  <w:footnote w:id="2">
    <w:p w14:paraId="5126B7E2" w14:textId="77777777" w:rsidR="00E01724" w:rsidRPr="00537AC4" w:rsidRDefault="00E01724" w:rsidP="00E01724">
      <w:pPr>
        <w:snapToGrid w:val="0"/>
        <w:spacing w:before="120" w:after="120" w:line="240" w:lineRule="auto"/>
        <w:ind w:firstLine="708"/>
        <w:jc w:val="both"/>
        <w:rPr>
          <w:rFonts w:ascii="Verdana" w:hAnsi="Verdana" w:cs="Arial"/>
          <w:color w:val="000000" w:themeColor="text1"/>
          <w:sz w:val="18"/>
          <w:szCs w:val="18"/>
        </w:rPr>
      </w:pPr>
      <w:r w:rsidRPr="00537AC4">
        <w:rPr>
          <w:rStyle w:val="Refdenotaalpie"/>
          <w:rFonts w:ascii="Verdana" w:hAnsi="Verdana"/>
          <w:sz w:val="18"/>
          <w:szCs w:val="18"/>
        </w:rPr>
        <w:footnoteRef/>
      </w:r>
      <w:r w:rsidRPr="00537AC4">
        <w:rPr>
          <w:rFonts w:ascii="Verdana" w:hAnsi="Verdana"/>
          <w:sz w:val="18"/>
          <w:szCs w:val="18"/>
        </w:rPr>
        <w:t xml:space="preserve"> </w:t>
      </w:r>
      <w:r w:rsidRPr="00537AC4">
        <w:rPr>
          <w:rFonts w:ascii="Verdana" w:hAnsi="Verdana" w:cs="Arial"/>
          <w:color w:val="000000" w:themeColor="text1"/>
          <w:sz w:val="18"/>
          <w:szCs w:val="18"/>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De acuerdo con la parte introductoria de la Guía, esta brinda pautas a los participantes de la contratación pública, en cumplimiento del objetivo y funciones de esta Agencia que, de acuerdo con el artículo 3 Decreto Ley 4170 de 2011, desarrolla implementar y difunde políticas, planes, programas, normas instrumentos y herramientas que facilitan la contratación pública. </w:t>
      </w:r>
    </w:p>
    <w:p w14:paraId="55692C45" w14:textId="77777777" w:rsidR="00E01724" w:rsidRPr="00282147" w:rsidRDefault="00E01724" w:rsidP="00E01724">
      <w:pPr>
        <w:snapToGrid w:val="0"/>
        <w:spacing w:before="120" w:after="120" w:line="240" w:lineRule="auto"/>
        <w:ind w:firstLine="708"/>
        <w:jc w:val="both"/>
        <w:rPr>
          <w:rFonts w:ascii="Verdana" w:hAnsi="Verdana" w:cs="Arial"/>
          <w:color w:val="000000" w:themeColor="text1"/>
          <w:sz w:val="18"/>
          <w:szCs w:val="18"/>
        </w:rPr>
      </w:pPr>
      <w:r w:rsidRPr="00537AC4">
        <w:rPr>
          <w:rFonts w:ascii="Verdana" w:hAnsi="Verdana" w:cs="Arial"/>
          <w:color w:val="000000" w:themeColor="text1"/>
          <w:sz w:val="18"/>
          <w:szCs w:val="18"/>
        </w:rPr>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footnote>
  <w:footnote w:id="3">
    <w:p w14:paraId="3ED444BC" w14:textId="77777777" w:rsidR="00E01724" w:rsidRPr="00537AC4" w:rsidRDefault="00E01724" w:rsidP="00E01724">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Guía para el manejo de ofertas artificialmente bajas en Procesos de Contratación. p. 10.</w:t>
      </w:r>
    </w:p>
  </w:footnote>
  <w:footnote w:id="4">
    <w:p w14:paraId="705DA8D3" w14:textId="77777777" w:rsidR="00E01724" w:rsidRPr="00537AC4" w:rsidRDefault="00E01724" w:rsidP="00E01724">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5">
    <w:p w14:paraId="5422A043" w14:textId="77777777" w:rsidR="00E01724" w:rsidRPr="00537AC4" w:rsidRDefault="00E01724" w:rsidP="00E01724">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w:t>
      </w:r>
      <w:r w:rsidRPr="00537AC4">
        <w:rPr>
          <w:rFonts w:ascii="Verdana" w:hAnsi="Verdana" w:cs="Arial"/>
          <w:color w:val="000000" w:themeColor="text1"/>
          <w:sz w:val="18"/>
          <w:szCs w:val="18"/>
          <w:lang w:val="es-ES"/>
        </w:rPr>
        <w:t>Consejo de Estado. Sección Segunda. Sentencia del 10 de junio de 1992. Exp. No. 4.249. C.P. Álvaro Lecompte Luna.</w:t>
      </w:r>
    </w:p>
  </w:footnote>
  <w:footnote w:id="6">
    <w:p w14:paraId="4F6AFCAF" w14:textId="77777777" w:rsidR="00E01724" w:rsidRPr="00537AC4" w:rsidRDefault="00E01724" w:rsidP="00E01724">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7249638">
    <w:abstractNumId w:val="5"/>
  </w:num>
  <w:num w:numId="2" w16cid:durableId="1218320884">
    <w:abstractNumId w:val="1"/>
  </w:num>
  <w:num w:numId="3" w16cid:durableId="539320306">
    <w:abstractNumId w:val="3"/>
  </w:num>
  <w:num w:numId="4" w16cid:durableId="16981170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1267159">
    <w:abstractNumId w:val="1"/>
  </w:num>
  <w:num w:numId="6" w16cid:durableId="1904826242">
    <w:abstractNumId w:val="13"/>
  </w:num>
  <w:num w:numId="7" w16cid:durableId="1632324750">
    <w:abstractNumId w:val="4"/>
  </w:num>
  <w:num w:numId="8" w16cid:durableId="1069226278">
    <w:abstractNumId w:val="12"/>
  </w:num>
  <w:num w:numId="9" w16cid:durableId="218253362">
    <w:abstractNumId w:val="6"/>
  </w:num>
  <w:num w:numId="10" w16cid:durableId="193814185">
    <w:abstractNumId w:val="11"/>
  </w:num>
  <w:num w:numId="11" w16cid:durableId="921598071">
    <w:abstractNumId w:val="7"/>
  </w:num>
  <w:num w:numId="12" w16cid:durableId="301351350">
    <w:abstractNumId w:val="0"/>
  </w:num>
  <w:num w:numId="13" w16cid:durableId="1160804669">
    <w:abstractNumId w:val="2"/>
  </w:num>
  <w:num w:numId="14" w16cid:durableId="1379813589">
    <w:abstractNumId w:val="14"/>
  </w:num>
  <w:num w:numId="15" w16cid:durableId="855996874">
    <w:abstractNumId w:val="10"/>
  </w:num>
  <w:num w:numId="16" w16cid:durableId="960459979">
    <w:abstractNumId w:val="9"/>
  </w:num>
  <w:num w:numId="17" w16cid:durableId="17231681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64A"/>
    <w:rsid w:val="000368B3"/>
    <w:rsid w:val="00046945"/>
    <w:rsid w:val="00060E28"/>
    <w:rsid w:val="00061B2A"/>
    <w:rsid w:val="00082362"/>
    <w:rsid w:val="00090ADC"/>
    <w:rsid w:val="000A683E"/>
    <w:rsid w:val="000B19B9"/>
    <w:rsid w:val="000D0334"/>
    <w:rsid w:val="000D5DA7"/>
    <w:rsid w:val="000F6486"/>
    <w:rsid w:val="00116940"/>
    <w:rsid w:val="00125105"/>
    <w:rsid w:val="00127233"/>
    <w:rsid w:val="0015699B"/>
    <w:rsid w:val="0017696B"/>
    <w:rsid w:val="001A33BF"/>
    <w:rsid w:val="001E4177"/>
    <w:rsid w:val="001F0B24"/>
    <w:rsid w:val="001F435A"/>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0534"/>
    <w:rsid w:val="002F7155"/>
    <w:rsid w:val="0030657A"/>
    <w:rsid w:val="00322A85"/>
    <w:rsid w:val="00324168"/>
    <w:rsid w:val="00330834"/>
    <w:rsid w:val="003448F4"/>
    <w:rsid w:val="00374F5E"/>
    <w:rsid w:val="00377E3E"/>
    <w:rsid w:val="003A10EE"/>
    <w:rsid w:val="003A779E"/>
    <w:rsid w:val="003D0F4D"/>
    <w:rsid w:val="003D5B0D"/>
    <w:rsid w:val="003E0499"/>
    <w:rsid w:val="003E4F80"/>
    <w:rsid w:val="003E6439"/>
    <w:rsid w:val="003F3941"/>
    <w:rsid w:val="00406575"/>
    <w:rsid w:val="00414C74"/>
    <w:rsid w:val="0042722E"/>
    <w:rsid w:val="0044528D"/>
    <w:rsid w:val="00466E39"/>
    <w:rsid w:val="00484E74"/>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20AB3"/>
    <w:rsid w:val="007257CB"/>
    <w:rsid w:val="007340C3"/>
    <w:rsid w:val="0075235A"/>
    <w:rsid w:val="00756841"/>
    <w:rsid w:val="007649AB"/>
    <w:rsid w:val="00771D0C"/>
    <w:rsid w:val="007744AC"/>
    <w:rsid w:val="007833AC"/>
    <w:rsid w:val="007B1159"/>
    <w:rsid w:val="007B242E"/>
    <w:rsid w:val="007B268C"/>
    <w:rsid w:val="007B7171"/>
    <w:rsid w:val="007C0C0F"/>
    <w:rsid w:val="007C3DC2"/>
    <w:rsid w:val="007E5497"/>
    <w:rsid w:val="00801A54"/>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592F"/>
    <w:rsid w:val="009C71FA"/>
    <w:rsid w:val="009C72E7"/>
    <w:rsid w:val="009C7F7E"/>
    <w:rsid w:val="009D3058"/>
    <w:rsid w:val="009F3A13"/>
    <w:rsid w:val="00A122D3"/>
    <w:rsid w:val="00A14468"/>
    <w:rsid w:val="00A17F13"/>
    <w:rsid w:val="00A20739"/>
    <w:rsid w:val="00A23AF9"/>
    <w:rsid w:val="00A33C78"/>
    <w:rsid w:val="00A91B7A"/>
    <w:rsid w:val="00A93B6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3CAC"/>
    <w:rsid w:val="00DF5254"/>
    <w:rsid w:val="00E0172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777D0"/>
    <w:rsid w:val="00F86E8D"/>
    <w:rsid w:val="00FA47C0"/>
    <w:rsid w:val="00FA6C23"/>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1724"/>
    <w:pPr>
      <w:spacing w:line="240" w:lineRule="exact"/>
    </w:pPr>
    <w:rPr>
      <w:vertAlign w:val="superscript"/>
    </w:rPr>
  </w:style>
  <w:style w:type="character" w:customStyle="1" w:styleId="NormalWebCar">
    <w:name w:val="Normal (Web) Car"/>
    <w:link w:val="NormalWeb"/>
    <w:uiPriority w:val="99"/>
    <w:locked/>
    <w:rsid w:val="00E01724"/>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01724"/>
    <w:rPr>
      <w:rFonts w:ascii="Geomanist Light" w:hAnsi="Geomanist Light"/>
      <w:lang w:val="es-ES"/>
    </w:rPr>
  </w:style>
  <w:style w:type="paragraph" w:styleId="Textodeglobo">
    <w:name w:val="Balloon Text"/>
    <w:basedOn w:val="Normal"/>
    <w:link w:val="TextodegloboCar"/>
    <w:uiPriority w:val="99"/>
    <w:semiHidden/>
    <w:unhideWhenUsed/>
    <w:rsid w:val="00F86E8D"/>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F86E8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sites/cce_public/files/cce_documents/cce_guia_artificialmente_bajas.pdf" TargetMode="External"/><Relationship Id="rId18"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cintergerencia@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D40A5CC-D635-449E-95FC-7643E654ABD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6590</Words>
  <Characters>36251</Characters>
  <Application>Microsoft Office Word</Application>
  <DocSecurity>0</DocSecurity>
  <Lines>302</Lines>
  <Paragraphs>85</Paragraphs>
  <ScaleCrop>false</ScaleCrop>
  <Company/>
  <LinksUpToDate>false</LinksUpToDate>
  <CharactersWithSpaces>42756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2026-10-16T19:10:00Z</dcterms:created>
  <dcterms:modified xsi:type="dcterms:W3CDTF">2026-10-16T19:19:00Z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