
<file path=[Content_Types].xml><?xml version="1.0" encoding="utf-8"?>
<Types xmlns="http://schemas.openxmlformats.org/package/2006/content-types">
  <Default Extension="emf" ContentType="image/x-emf"/>
  <Default Extension="gif" ContentType="image/gi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6" Type="http://schemas.microsoft.com/office/2020/02/relationships/classificationlabels" Target="docMetadata/LabelInfo.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01883FE" w14:textId="77777777" w:rsidR="007915F2" w:rsidRPr="00B53D4E" w:rsidRDefault="007915F2" w:rsidP="007915F2">
      <w:pPr>
        <w:spacing w:after="0" w:line="240" w:lineRule="auto"/>
        <w:jc w:val="both"/>
        <w:rPr>
          <w:rFonts w:ascii="Verdana" w:eastAsia="Calibri" w:hAnsi="Verdana" w:cs="Arial"/>
          <w:b/>
          <w:bCs/>
        </w:rPr>
      </w:pPr>
      <w:bookmarkStart w:id="0" w:name="_Hlk143780582"/>
      <w:r>
        <w:rPr>
          <w:rFonts w:ascii="Verdana" w:eastAsia="Calibri" w:hAnsi="Verdana" w:cs="Arial"/>
          <w:b/>
          <w:bCs/>
        </w:rPr>
        <w:t>INFORMACIÓN CONTRACTUAL</w:t>
      </w:r>
      <w:r w:rsidRPr="00B53D4E">
        <w:rPr>
          <w:rFonts w:ascii="Verdana" w:eastAsia="Calibri" w:hAnsi="Verdana" w:cs="Arial"/>
          <w:b/>
          <w:bCs/>
        </w:rPr>
        <w:t xml:space="preserve"> – </w:t>
      </w:r>
      <w:r>
        <w:rPr>
          <w:rFonts w:ascii="Verdana" w:eastAsia="Calibri" w:hAnsi="Verdana" w:cs="Arial"/>
          <w:b/>
          <w:bCs/>
        </w:rPr>
        <w:t xml:space="preserve">Publicidad – Alcance </w:t>
      </w:r>
      <w:r w:rsidRPr="00B53D4E">
        <w:rPr>
          <w:rFonts w:ascii="Verdana" w:eastAsia="Calibri" w:hAnsi="Verdana" w:cs="Arial"/>
          <w:b/>
          <w:bCs/>
        </w:rPr>
        <w:t xml:space="preserve"> </w:t>
      </w:r>
    </w:p>
    <w:p w14:paraId="078C8FCD" w14:textId="77777777" w:rsidR="007915F2" w:rsidRPr="00B53D4E" w:rsidRDefault="007915F2" w:rsidP="007915F2">
      <w:pPr>
        <w:spacing w:after="0" w:line="240" w:lineRule="auto"/>
        <w:jc w:val="both"/>
        <w:rPr>
          <w:rFonts w:ascii="Verdana" w:eastAsia="Calibri" w:hAnsi="Verdana" w:cs="Arial"/>
          <w:sz w:val="20"/>
          <w:szCs w:val="20"/>
        </w:rPr>
      </w:pPr>
    </w:p>
    <w:p w14:paraId="36756DDC" w14:textId="77777777" w:rsidR="007915F2" w:rsidRDefault="007915F2" w:rsidP="007915F2">
      <w:pPr>
        <w:spacing w:after="0" w:line="240" w:lineRule="auto"/>
        <w:jc w:val="both"/>
        <w:rPr>
          <w:rFonts w:ascii="Verdana" w:eastAsia="Calibri" w:hAnsi="Verdana" w:cs="Arial"/>
          <w:sz w:val="20"/>
          <w:szCs w:val="20"/>
        </w:rPr>
      </w:pPr>
      <w:r>
        <w:rPr>
          <w:rFonts w:ascii="Verdana" w:eastAsia="Calibri" w:hAnsi="Verdana" w:cs="Arial"/>
          <w:sz w:val="20"/>
          <w:szCs w:val="20"/>
        </w:rPr>
        <w:t xml:space="preserve">[…] </w:t>
      </w:r>
      <w:r w:rsidRPr="00FA226F">
        <w:rPr>
          <w:rFonts w:ascii="Verdana" w:eastAsia="Calibri" w:hAnsi="Verdana" w:cs="Arial"/>
          <w:sz w:val="20"/>
          <w:szCs w:val="20"/>
        </w:rPr>
        <w:t>las entidades estatales, conforme al artículo 2.2.1.1.1.7.1 del Decreto 1082 de 2015, tienen la obligación de publicar en el SECOP “[…] los Documentos del Proceso y los actos administrativos del Proceso de Contratación […]”. La expresión Documentos del Proceso está definida en el artículo 2.2.1.1.1.3.1 del Decreto 1082 de 2015, donde se establece que son “(a) los estudios y documentos previos; (b) el aviso de convocatoria; (c) los pliegos de condiciones o la invitación; (d) las adendas; (e) la oferta; (f) el informe de evaluación; (g) el contrato; y cualquier otro documento expedido por la Entidad Estatal durante el Proceso de Contratación”.</w:t>
      </w:r>
    </w:p>
    <w:p w14:paraId="52046836" w14:textId="77777777" w:rsidR="007915F2" w:rsidRDefault="007915F2" w:rsidP="007915F2">
      <w:pPr>
        <w:spacing w:after="0" w:line="240" w:lineRule="auto"/>
        <w:jc w:val="both"/>
        <w:rPr>
          <w:rFonts w:ascii="Verdana" w:eastAsia="Calibri" w:hAnsi="Verdana" w:cs="Arial"/>
          <w:sz w:val="20"/>
          <w:szCs w:val="20"/>
        </w:rPr>
      </w:pPr>
    </w:p>
    <w:p w14:paraId="0E1ED0EA" w14:textId="77777777" w:rsidR="007915F2" w:rsidRDefault="007915F2" w:rsidP="007915F2">
      <w:pPr>
        <w:spacing w:after="0" w:line="240" w:lineRule="auto"/>
        <w:jc w:val="both"/>
        <w:rPr>
          <w:rFonts w:ascii="Verdana" w:eastAsia="Calibri" w:hAnsi="Verdana" w:cs="Arial"/>
          <w:sz w:val="20"/>
          <w:szCs w:val="20"/>
        </w:rPr>
      </w:pPr>
      <w:r>
        <w:rPr>
          <w:rFonts w:ascii="Verdana" w:eastAsia="Calibri" w:hAnsi="Verdana" w:cs="Arial"/>
          <w:sz w:val="20"/>
          <w:szCs w:val="20"/>
        </w:rPr>
        <w:t xml:space="preserve">[…] </w:t>
      </w:r>
    </w:p>
    <w:p w14:paraId="4F4146B2" w14:textId="77777777" w:rsidR="007915F2" w:rsidRPr="00FA226F" w:rsidRDefault="007915F2" w:rsidP="007915F2">
      <w:pPr>
        <w:spacing w:after="0" w:line="240" w:lineRule="auto"/>
        <w:jc w:val="both"/>
        <w:rPr>
          <w:rFonts w:ascii="Verdana" w:eastAsia="Calibri" w:hAnsi="Verdana" w:cs="Arial"/>
          <w:sz w:val="20"/>
          <w:szCs w:val="20"/>
        </w:rPr>
      </w:pPr>
    </w:p>
    <w:p w14:paraId="16420284" w14:textId="77777777" w:rsidR="007915F2" w:rsidRDefault="007915F2" w:rsidP="007915F2">
      <w:pPr>
        <w:spacing w:after="0" w:line="240" w:lineRule="auto"/>
        <w:jc w:val="both"/>
        <w:rPr>
          <w:rFonts w:ascii="Verdana" w:eastAsia="Calibri" w:hAnsi="Verdana" w:cs="Arial"/>
          <w:sz w:val="20"/>
          <w:szCs w:val="20"/>
        </w:rPr>
      </w:pPr>
      <w:r w:rsidRPr="00FA226F">
        <w:rPr>
          <w:rFonts w:ascii="Verdana" w:eastAsia="Calibri" w:hAnsi="Verdana" w:cs="Arial"/>
          <w:sz w:val="20"/>
          <w:szCs w:val="20"/>
        </w:rPr>
        <w:t>Adicionalmente, el deber de publicar la actividad contractual de las entidades estatales no solo está regulado en el artículo 3 de la Ley 1150 de 2007 y en el artículo 2.2.1.1.1.7.1 del Decreto 1082 de 2015, sino también en la Ley 1712 de 2014 y en el Decreto 1081 de 2015. Estas normas no solo refuerzan y complementan al régimen de contratación estatal en cuanto a la publicidad, sino que lo amplía, para incluir la publicación de los “procedimientos” y la información relativa a la “gestión contractual”, sin el condicionamiento de tratarse exclusivamente de los Documentos del Proceso expedidos por la “entidad estatal”</w:t>
      </w:r>
      <w:r w:rsidRPr="00B53D4E">
        <w:rPr>
          <w:rFonts w:ascii="Verdana" w:eastAsia="Calibri" w:hAnsi="Verdana" w:cs="Arial"/>
          <w:sz w:val="20"/>
          <w:szCs w:val="20"/>
        </w:rPr>
        <w:t>.</w:t>
      </w:r>
    </w:p>
    <w:p w14:paraId="7D675259" w14:textId="77777777" w:rsidR="007915F2" w:rsidRPr="00B53D4E" w:rsidRDefault="007915F2" w:rsidP="007915F2">
      <w:pPr>
        <w:spacing w:after="0" w:line="240" w:lineRule="auto"/>
        <w:jc w:val="both"/>
        <w:rPr>
          <w:rFonts w:ascii="Verdana" w:eastAsia="Calibri" w:hAnsi="Verdana" w:cs="Arial"/>
          <w:sz w:val="20"/>
          <w:szCs w:val="20"/>
        </w:rPr>
      </w:pPr>
    </w:p>
    <w:p w14:paraId="7FCF1CB6" w14:textId="77777777" w:rsidR="007915F2" w:rsidRPr="00C95729" w:rsidRDefault="007915F2" w:rsidP="007915F2">
      <w:pPr>
        <w:pStyle w:val="s16"/>
        <w:spacing w:before="0" w:beforeAutospacing="0" w:after="0" w:afterAutospacing="0"/>
        <w:jc w:val="both"/>
        <w:rPr>
          <w:rFonts w:ascii="Verdana" w:hAnsi="Verdana" w:cs="Arial"/>
          <w:b/>
          <w:bCs/>
          <w:color w:val="000000"/>
          <w:sz w:val="22"/>
          <w:szCs w:val="22"/>
        </w:rPr>
      </w:pPr>
      <w:r w:rsidRPr="00134C8E">
        <w:rPr>
          <w:rStyle w:val="s15"/>
          <w:rFonts w:ascii="Verdana" w:hAnsi="Verdana" w:cs="Arial"/>
          <w:b/>
          <w:bCs/>
          <w:color w:val="000000"/>
          <w:sz w:val="22"/>
          <w:szCs w:val="22"/>
        </w:rPr>
        <w:t>SISTEMA ELECTRÓNICO PARA LA CONTRATACIÓN PÚBLICA</w:t>
      </w:r>
      <w:r>
        <w:rPr>
          <w:rStyle w:val="s15"/>
          <w:rFonts w:ascii="Verdana" w:hAnsi="Verdana" w:cs="Arial"/>
          <w:b/>
          <w:bCs/>
          <w:color w:val="000000"/>
          <w:sz w:val="22"/>
          <w:szCs w:val="22"/>
        </w:rPr>
        <w:t xml:space="preserve"> – Componentes</w:t>
      </w:r>
      <w:r w:rsidRPr="00B53D4E">
        <w:rPr>
          <w:rStyle w:val="s15"/>
          <w:rFonts w:ascii="Verdana" w:hAnsi="Verdana" w:cs="Arial"/>
          <w:b/>
          <w:bCs/>
          <w:color w:val="000000"/>
          <w:sz w:val="22"/>
          <w:szCs w:val="22"/>
        </w:rPr>
        <w:t xml:space="preserve"> – </w:t>
      </w:r>
      <w:r>
        <w:rPr>
          <w:rStyle w:val="s15"/>
          <w:rFonts w:ascii="Verdana" w:hAnsi="Verdana" w:cs="Arial"/>
          <w:b/>
          <w:bCs/>
          <w:color w:val="000000"/>
          <w:sz w:val="22"/>
          <w:szCs w:val="22"/>
        </w:rPr>
        <w:t xml:space="preserve">SECOP II </w:t>
      </w:r>
      <w:r w:rsidRPr="00C95729">
        <w:rPr>
          <w:rStyle w:val="s15"/>
          <w:rFonts w:ascii="Verdana" w:hAnsi="Verdana" w:cs="Arial"/>
          <w:b/>
          <w:bCs/>
          <w:color w:val="000000"/>
          <w:sz w:val="22"/>
          <w:szCs w:val="22"/>
        </w:rPr>
        <w:t xml:space="preserve">– </w:t>
      </w:r>
      <w:r w:rsidRPr="00C95729">
        <w:rPr>
          <w:rFonts w:ascii="Verdana" w:eastAsia="Calibri" w:hAnsi="Verdana" w:cs="Arial"/>
          <w:b/>
          <w:bCs/>
          <w:sz w:val="22"/>
          <w:szCs w:val="22"/>
          <w:lang w:val="es-ES" w:eastAsia="es-ES"/>
        </w:rPr>
        <w:t>Deber de publicar – Documentos del proceso</w:t>
      </w:r>
      <w:r w:rsidRPr="00C95729">
        <w:rPr>
          <w:rStyle w:val="s15"/>
          <w:rFonts w:ascii="Verdana" w:hAnsi="Verdana" w:cs="Arial"/>
          <w:b/>
          <w:bCs/>
          <w:color w:val="000000"/>
          <w:sz w:val="22"/>
          <w:szCs w:val="22"/>
        </w:rPr>
        <w:t xml:space="preserve"> </w:t>
      </w:r>
    </w:p>
    <w:p w14:paraId="478D6009" w14:textId="77777777" w:rsidR="007915F2" w:rsidRDefault="007915F2" w:rsidP="007915F2">
      <w:pPr>
        <w:pStyle w:val="s17"/>
        <w:spacing w:before="0" w:beforeAutospacing="0" w:after="0" w:afterAutospacing="0"/>
        <w:jc w:val="both"/>
        <w:rPr>
          <w:rFonts w:ascii="Verdana" w:hAnsi="Verdana" w:cs="Arial"/>
          <w:color w:val="000000"/>
          <w:sz w:val="20"/>
          <w:szCs w:val="20"/>
        </w:rPr>
      </w:pPr>
    </w:p>
    <w:p w14:paraId="15AA2518" w14:textId="77777777" w:rsidR="007915F2" w:rsidRDefault="007915F2" w:rsidP="007915F2">
      <w:pPr>
        <w:pStyle w:val="s17"/>
        <w:spacing w:before="0" w:beforeAutospacing="0" w:after="0" w:afterAutospacing="0"/>
        <w:jc w:val="both"/>
        <w:rPr>
          <w:rFonts w:ascii="Verdana" w:hAnsi="Verdana" w:cs="Arial"/>
          <w:bCs/>
          <w:color w:val="000000"/>
          <w:sz w:val="20"/>
          <w:szCs w:val="20"/>
        </w:rPr>
      </w:pPr>
      <w:r>
        <w:rPr>
          <w:rFonts w:ascii="Verdana" w:hAnsi="Verdana" w:cs="Arial"/>
          <w:color w:val="000000"/>
          <w:sz w:val="20"/>
          <w:szCs w:val="20"/>
        </w:rPr>
        <w:t>E</w:t>
      </w:r>
      <w:r w:rsidRPr="00134C8E">
        <w:rPr>
          <w:rFonts w:ascii="Verdana" w:hAnsi="Verdana" w:cs="Arial"/>
          <w:color w:val="000000"/>
          <w:sz w:val="20"/>
          <w:szCs w:val="20"/>
        </w:rPr>
        <w:t>n los términos de la Circular Externa Única de la ANCP – CCE</w:t>
      </w:r>
      <w:r>
        <w:rPr>
          <w:rFonts w:ascii="Verdana" w:hAnsi="Verdana" w:cs="Arial"/>
          <w:color w:val="000000"/>
          <w:sz w:val="20"/>
          <w:szCs w:val="20"/>
        </w:rPr>
        <w:t>,</w:t>
      </w:r>
      <w:r w:rsidRPr="00134C8E">
        <w:rPr>
          <w:rFonts w:ascii="Verdana" w:hAnsi="Verdana" w:cs="Arial"/>
          <w:color w:val="000000"/>
          <w:sz w:val="20"/>
          <w:szCs w:val="20"/>
        </w:rPr>
        <w:t xml:space="preserve"> </w:t>
      </w:r>
      <w:r>
        <w:rPr>
          <w:rFonts w:ascii="Verdana" w:hAnsi="Verdana" w:cs="Arial"/>
          <w:color w:val="000000"/>
          <w:sz w:val="20"/>
          <w:szCs w:val="20"/>
        </w:rPr>
        <w:t>e</w:t>
      </w:r>
      <w:r w:rsidRPr="00134C8E">
        <w:rPr>
          <w:rFonts w:ascii="Verdana" w:hAnsi="Verdana" w:cs="Arial"/>
          <w:bCs/>
          <w:color w:val="000000"/>
          <w:sz w:val="20"/>
          <w:szCs w:val="20"/>
        </w:rPr>
        <w:t xml:space="preserve">l SECOP I solo funciona como medio de publicidad, es decir, no tiene carácter transaccional. Esto significa que el procedimiento contractual se adelanta fuera de la plataforma a través de un expediente físico. No obstante, las actuaciones y los documentos se convierten en electrónicos para cargarse posteriormente a la plataforma por quien tenga la función dentro de la entidad. </w:t>
      </w:r>
    </w:p>
    <w:p w14:paraId="3B5DCBCE" w14:textId="77777777" w:rsidR="007915F2" w:rsidRPr="00134C8E" w:rsidRDefault="007915F2" w:rsidP="007915F2">
      <w:pPr>
        <w:pStyle w:val="s17"/>
        <w:spacing w:before="0" w:beforeAutospacing="0" w:after="0" w:afterAutospacing="0"/>
        <w:jc w:val="both"/>
        <w:rPr>
          <w:rFonts w:ascii="Verdana" w:hAnsi="Verdana" w:cs="Arial"/>
          <w:color w:val="000000"/>
          <w:sz w:val="20"/>
          <w:szCs w:val="20"/>
        </w:rPr>
      </w:pPr>
    </w:p>
    <w:p w14:paraId="18607F9F" w14:textId="77777777" w:rsidR="007915F2" w:rsidRDefault="007915F2" w:rsidP="007915F2">
      <w:pPr>
        <w:pStyle w:val="s17"/>
        <w:spacing w:before="0" w:beforeAutospacing="0" w:after="0" w:afterAutospacing="0"/>
        <w:jc w:val="both"/>
        <w:rPr>
          <w:rStyle w:val="s18"/>
          <w:rFonts w:ascii="Verdana" w:hAnsi="Verdana" w:cs="Arial"/>
          <w:color w:val="000000"/>
          <w:sz w:val="20"/>
          <w:szCs w:val="20"/>
        </w:rPr>
      </w:pPr>
      <w:r w:rsidRPr="00134C8E">
        <w:rPr>
          <w:rFonts w:ascii="Verdana" w:hAnsi="Verdana" w:cs="Arial"/>
          <w:bCs/>
          <w:color w:val="000000"/>
          <w:sz w:val="20"/>
          <w:szCs w:val="20"/>
        </w:rPr>
        <w:t xml:space="preserve">En contraste, el SECOP II permite generar contratos en línea y realizar la firma electrónica de los mismos. Tiene funciones que permiten al proveedor presentar garantías y facturas; y a la entidad estatal, realizar la revisión y aprobación de ambos tipos de documentos en línea. Además, el módulo permite hacer modificaciones contractuales, tanto unilaterales como bilaterales –estas últimas son enviadas para aprobación del proveedor antes de la publicación por parte de la entidad estatal–. Para registrar el seguimiento al avance de la ejecución, el módulo de gestión contractual habilita el registro de planes de ejecución por porcentaje de avance y el cargue de documentos tanto a proveedor como a la entidad estatal, la cual puede crear usuarios para que los supervisores de los contratos carguen la información pertinente. Finalmente, la liquidación y el cierre de los expedientes contractuales también puede realizarse a través del SECOP II. Es de destacar que la plataforma tiene un módulo de búsqueda pública que permite a los ciudadanos y entes de control revisar el avance en </w:t>
      </w:r>
      <w:r w:rsidRPr="00134C8E">
        <w:rPr>
          <w:rFonts w:ascii="Verdana" w:hAnsi="Verdana" w:cs="Arial"/>
          <w:bCs/>
          <w:color w:val="000000"/>
          <w:sz w:val="20"/>
          <w:szCs w:val="20"/>
        </w:rPr>
        <w:lastRenderedPageBreak/>
        <w:t>tiempo real de cualquier contrato realizado a través del SECOP II, sin necesidad de tener usuarios creados en la plataforma</w:t>
      </w:r>
      <w:r>
        <w:rPr>
          <w:rFonts w:ascii="Verdana" w:hAnsi="Verdana" w:cs="Arial"/>
          <w:color w:val="000000"/>
          <w:sz w:val="20"/>
          <w:szCs w:val="20"/>
        </w:rPr>
        <w:t>.</w:t>
      </w:r>
      <w:r w:rsidRPr="00977908">
        <w:rPr>
          <w:rStyle w:val="s18"/>
          <w:rFonts w:ascii="Verdana" w:hAnsi="Verdana" w:cs="Arial"/>
          <w:color w:val="000000"/>
          <w:sz w:val="20"/>
          <w:szCs w:val="20"/>
        </w:rPr>
        <w:t xml:space="preserve"> </w:t>
      </w:r>
    </w:p>
    <w:p w14:paraId="490CABD0" w14:textId="77777777" w:rsidR="007915F2" w:rsidRDefault="007915F2" w:rsidP="007915F2">
      <w:pPr>
        <w:spacing w:after="0" w:line="240" w:lineRule="auto"/>
        <w:jc w:val="both"/>
        <w:rPr>
          <w:rFonts w:ascii="Verdana" w:hAnsi="Verdana"/>
        </w:rPr>
      </w:pPr>
    </w:p>
    <w:p w14:paraId="0628151F" w14:textId="77777777" w:rsidR="007915F2" w:rsidRDefault="007915F2" w:rsidP="007915F2">
      <w:pPr>
        <w:spacing w:after="0" w:line="240" w:lineRule="auto"/>
        <w:jc w:val="both"/>
        <w:rPr>
          <w:rFonts w:ascii="Verdana" w:hAnsi="Verdana"/>
        </w:rPr>
      </w:pPr>
    </w:p>
    <w:p w14:paraId="66230BA9" w14:textId="77777777" w:rsidR="004B41BD" w:rsidRDefault="004B41BD">
      <w:pPr>
        <w:rPr>
          <w:rFonts w:ascii="Verdana" w:eastAsia="Verdana" w:hAnsi="Verdana" w:cs="Verdana"/>
        </w:rPr>
      </w:pPr>
      <w:r>
        <w:rPr>
          <w:rFonts w:ascii="Verdana" w:eastAsia="Verdana" w:hAnsi="Verdana" w:cs="Verdana"/>
        </w:rPr>
        <w:br w:type="page"/>
      </w:r>
    </w:p>
    <w:p w14:paraId="1468C46D" w14:textId="4CD3653D" w:rsidR="00C15139" w:rsidRPr="0024624F" w:rsidRDefault="000C0035" w:rsidP="30821638">
      <w:pPr>
        <w:spacing w:after="0"/>
        <w:rPr>
          <w:rFonts w:ascii="Verdana" w:eastAsia="Verdana" w:hAnsi="Verdana" w:cs="Verdana"/>
        </w:rPr>
      </w:pPr>
      <w:r w:rsidRPr="000C0035">
        <w:rPr>
          <w:noProof/>
        </w:rPr>
        <w:drawing>
          <wp:anchor distT="0" distB="0" distL="114300" distR="114300" simplePos="0" relativeHeight="251659264" behindDoc="1" locked="0" layoutInCell="1" allowOverlap="1" wp14:anchorId="1136179D" wp14:editId="65E630EC">
            <wp:simplePos x="0" y="0"/>
            <wp:positionH relativeFrom="column">
              <wp:posOffset>3563261</wp:posOffset>
            </wp:positionH>
            <wp:positionV relativeFrom="paragraph">
              <wp:posOffset>1270</wp:posOffset>
            </wp:positionV>
            <wp:extent cx="2534920" cy="747395"/>
            <wp:effectExtent l="0" t="0" r="0" b="0"/>
            <wp:wrapTight wrapText="bothSides">
              <wp:wrapPolygon edited="0">
                <wp:start x="0" y="0"/>
                <wp:lineTo x="0" y="20921"/>
                <wp:lineTo x="21427" y="20921"/>
                <wp:lineTo x="21427" y="0"/>
                <wp:lineTo x="0" y="0"/>
              </wp:wrapPolygon>
            </wp:wrapTight>
            <wp:docPr id="1073479187"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2534920" cy="747395"/>
                    </a:xfrm>
                    <a:prstGeom prst="rect">
                      <a:avLst/>
                    </a:prstGeom>
                    <a:noFill/>
                    <a:ln>
                      <a:noFill/>
                    </a:ln>
                  </pic:spPr>
                </pic:pic>
              </a:graphicData>
            </a:graphic>
            <wp14:sizeRelV relativeFrom="margin">
              <wp14:pctHeight>0</wp14:pctHeight>
            </wp14:sizeRelV>
          </wp:anchor>
        </w:drawing>
      </w:r>
      <w:r w:rsidR="00C15139" w:rsidRPr="30821638">
        <w:rPr>
          <w:rFonts w:ascii="Verdana" w:eastAsia="Verdana" w:hAnsi="Verdana" w:cs="Verdana"/>
        </w:rPr>
        <w:t>Bogotá D.C.,</w:t>
      </w:r>
      <w:r>
        <w:rPr>
          <w:rFonts w:ascii="Verdana" w:eastAsia="Verdana" w:hAnsi="Verdana" w:cs="Verdana"/>
        </w:rPr>
        <w:t xml:space="preserve"> 28 septiembre 2026</w:t>
      </w:r>
      <w:r w:rsidR="00C15139">
        <w:tab/>
      </w:r>
    </w:p>
    <w:p w14:paraId="12443EE0" w14:textId="77777777" w:rsidR="00C15139" w:rsidRPr="0024624F" w:rsidRDefault="00C15139" w:rsidP="30821638">
      <w:pPr>
        <w:spacing w:after="0"/>
        <w:rPr>
          <w:rFonts w:ascii="Verdana" w:eastAsia="Verdana" w:hAnsi="Verdana" w:cs="Verdana"/>
        </w:rPr>
      </w:pPr>
    </w:p>
    <w:p w14:paraId="4EED72CF" w14:textId="3CD42983" w:rsidR="00C15139" w:rsidRDefault="00C15139" w:rsidP="00395BBC">
      <w:pPr>
        <w:spacing w:after="0"/>
        <w:rPr>
          <w:rFonts w:ascii="Verdana" w:eastAsia="Verdana" w:hAnsi="Verdana" w:cs="Verdana"/>
          <w:lang w:val="es-MX"/>
        </w:rPr>
      </w:pPr>
      <w:r w:rsidRPr="30821638">
        <w:rPr>
          <w:rFonts w:ascii="Verdana" w:eastAsia="Verdana" w:hAnsi="Verdana" w:cs="Verdana"/>
          <w:lang w:val="es-MX"/>
        </w:rPr>
        <w:t>Señor</w:t>
      </w:r>
      <w:r w:rsidR="00395BBC">
        <w:rPr>
          <w:rFonts w:ascii="Verdana" w:eastAsia="Verdana" w:hAnsi="Verdana" w:cs="Verdana"/>
          <w:lang w:val="es-MX"/>
        </w:rPr>
        <w:t xml:space="preserve">a </w:t>
      </w:r>
    </w:p>
    <w:p w14:paraId="417E6ABB" w14:textId="19632FC5" w:rsidR="00395BBC" w:rsidRPr="00FE1E87" w:rsidRDefault="00395BBC" w:rsidP="00395BBC">
      <w:pPr>
        <w:spacing w:after="0"/>
        <w:rPr>
          <w:rFonts w:ascii="Verdana" w:eastAsia="Verdana" w:hAnsi="Verdana" w:cs="Verdana"/>
          <w:b/>
          <w:bCs/>
          <w:lang w:val="es-MX"/>
        </w:rPr>
      </w:pPr>
      <w:r w:rsidRPr="00FE1E87">
        <w:rPr>
          <w:rFonts w:ascii="Verdana" w:eastAsia="Verdana" w:hAnsi="Verdana" w:cs="Verdana"/>
          <w:b/>
          <w:bCs/>
          <w:lang w:val="es-MX"/>
        </w:rPr>
        <w:t>María Alejandra Bustos Castro</w:t>
      </w:r>
    </w:p>
    <w:p w14:paraId="7981DBBD" w14:textId="4B0EF03A" w:rsidR="00395BBC" w:rsidRDefault="00FE1E87" w:rsidP="00395BBC">
      <w:pPr>
        <w:spacing w:after="0"/>
        <w:rPr>
          <w:rFonts w:ascii="Verdana" w:eastAsia="Verdana" w:hAnsi="Verdana" w:cs="Verdana"/>
          <w:lang w:val="es-MX"/>
        </w:rPr>
      </w:pPr>
      <w:hyperlink r:id="rId11" w:history="1">
        <w:r w:rsidRPr="00B80780">
          <w:rPr>
            <w:rStyle w:val="Hipervnculo"/>
            <w:rFonts w:ascii="Verdana" w:eastAsia="Verdana" w:hAnsi="Verdana" w:cs="Verdana"/>
            <w:lang w:val="es-MX"/>
          </w:rPr>
          <w:t>mabustos@gobernaciondecaldas.gov.co</w:t>
        </w:r>
      </w:hyperlink>
      <w:r>
        <w:rPr>
          <w:rFonts w:ascii="Verdana" w:eastAsia="Verdana" w:hAnsi="Verdana" w:cs="Verdana"/>
          <w:lang w:val="es-MX"/>
        </w:rPr>
        <w:t xml:space="preserve"> </w:t>
      </w:r>
    </w:p>
    <w:p w14:paraId="500B9FAE" w14:textId="43425804" w:rsidR="00FE1E87" w:rsidRPr="000E2B93" w:rsidRDefault="00FE1E87" w:rsidP="00395BBC">
      <w:pPr>
        <w:spacing w:after="0"/>
        <w:rPr>
          <w:rFonts w:ascii="Verdana" w:eastAsia="Verdana" w:hAnsi="Verdana" w:cs="Verdana"/>
        </w:rPr>
      </w:pPr>
      <w:r>
        <w:rPr>
          <w:rFonts w:ascii="Verdana" w:eastAsia="Verdana" w:hAnsi="Verdana" w:cs="Verdana"/>
          <w:lang w:val="es-MX"/>
        </w:rPr>
        <w:t>Manizales, Caldas</w:t>
      </w:r>
    </w:p>
    <w:p w14:paraId="4B03230F" w14:textId="77777777" w:rsidR="00E245AB" w:rsidRPr="00E02524" w:rsidRDefault="00E245AB" w:rsidP="30821638">
      <w:pPr>
        <w:spacing w:after="0"/>
        <w:rPr>
          <w:rFonts w:ascii="Verdana" w:eastAsia="Verdana" w:hAnsi="Verdana" w:cs="Verdana"/>
        </w:rPr>
      </w:pPr>
    </w:p>
    <w:p w14:paraId="0A5D742F" w14:textId="77777777" w:rsidR="00653AAF" w:rsidRPr="00CB0A13" w:rsidRDefault="00653AAF" w:rsidP="00653AAF">
      <w:pPr>
        <w:spacing w:after="0" w:line="240" w:lineRule="auto"/>
        <w:jc w:val="both"/>
        <w:rPr>
          <w:rFonts w:ascii="Verdana" w:eastAsia="Calibri" w:hAnsi="Verdana" w:cs="Arial"/>
          <w:bCs/>
          <w:lang w:eastAsia="es-ES_tradnl"/>
        </w:rPr>
      </w:pPr>
    </w:p>
    <w:p w14:paraId="3E3ED477" w14:textId="77777777" w:rsidR="00653AAF" w:rsidRPr="005B4C57" w:rsidRDefault="00653AAF" w:rsidP="00653AAF">
      <w:pPr>
        <w:spacing w:after="0" w:line="240" w:lineRule="auto"/>
        <w:jc w:val="both"/>
        <w:rPr>
          <w:rFonts w:ascii="Verdana" w:eastAsia="Calibri" w:hAnsi="Verdana" w:cs="Arial"/>
          <w:b/>
          <w:bCs/>
          <w:color w:val="000000"/>
          <w:lang w:val="it-CH" w:eastAsia="es-ES_tradnl"/>
        </w:rPr>
      </w:pPr>
    </w:p>
    <w:tbl>
      <w:tblPr>
        <w:tblStyle w:val="Tablaconcuadrcula"/>
        <w:tblW w:w="878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3119"/>
        <w:gridCol w:w="5670"/>
      </w:tblGrid>
      <w:tr w:rsidR="00653AAF" w:rsidRPr="002842E0" w14:paraId="30D3D571" w14:textId="77777777" w:rsidTr="004C36D1">
        <w:trPr>
          <w:trHeight w:val="162"/>
        </w:trPr>
        <w:tc>
          <w:tcPr>
            <w:tcW w:w="3119" w:type="dxa"/>
          </w:tcPr>
          <w:p w14:paraId="0B69A536" w14:textId="77777777" w:rsidR="00653AAF" w:rsidRPr="005B4C57" w:rsidRDefault="00653AAF" w:rsidP="004C36D1">
            <w:pPr>
              <w:jc w:val="both"/>
              <w:rPr>
                <w:rFonts w:ascii="Verdana" w:eastAsia="Calibri" w:hAnsi="Verdana" w:cs="Arial"/>
                <w:b/>
                <w:bCs/>
                <w:color w:val="7030A0"/>
                <w:lang w:val="it-CH" w:eastAsia="es-ES_tradnl"/>
              </w:rPr>
            </w:pPr>
          </w:p>
        </w:tc>
        <w:tc>
          <w:tcPr>
            <w:tcW w:w="5670" w:type="dxa"/>
          </w:tcPr>
          <w:p w14:paraId="6EF3C322" w14:textId="15627365" w:rsidR="00653AAF" w:rsidRPr="00801462" w:rsidRDefault="00653AAF" w:rsidP="004C36D1">
            <w:pPr>
              <w:jc w:val="both"/>
              <w:rPr>
                <w:rFonts w:ascii="Verdana" w:eastAsia="Calibri" w:hAnsi="Verdana" w:cs="Arial"/>
                <w:b/>
                <w:bCs/>
                <w:lang w:eastAsia="es-ES"/>
              </w:rPr>
            </w:pPr>
            <w:r w:rsidRPr="00083AB6">
              <w:rPr>
                <w:rFonts w:ascii="Verdana" w:eastAsia="Calibri" w:hAnsi="Verdana" w:cs="Arial"/>
                <w:b/>
                <w:bCs/>
                <w:lang w:eastAsia="es-ES"/>
              </w:rPr>
              <w:t xml:space="preserve">Concepto C- </w:t>
            </w:r>
            <w:r>
              <w:rPr>
                <w:rFonts w:ascii="Verdana" w:eastAsia="Calibri" w:hAnsi="Verdana" w:cs="Arial"/>
                <w:b/>
                <w:bCs/>
                <w:lang w:eastAsia="es-ES"/>
              </w:rPr>
              <w:t>1</w:t>
            </w:r>
            <w:r w:rsidR="009F1255">
              <w:rPr>
                <w:rFonts w:ascii="Verdana" w:eastAsia="Calibri" w:hAnsi="Verdana" w:cs="Arial"/>
                <w:b/>
                <w:bCs/>
                <w:lang w:eastAsia="es-ES"/>
              </w:rPr>
              <w:t>40</w:t>
            </w:r>
            <w:r>
              <w:rPr>
                <w:rFonts w:ascii="Verdana" w:eastAsia="Calibri" w:hAnsi="Verdana" w:cs="Arial"/>
                <w:b/>
                <w:bCs/>
                <w:lang w:eastAsia="es-ES"/>
              </w:rPr>
              <w:t>2 de 2026</w:t>
            </w:r>
          </w:p>
          <w:p w14:paraId="1891EA3D" w14:textId="77777777" w:rsidR="00653AAF" w:rsidRPr="00801462" w:rsidRDefault="00653AAF" w:rsidP="004C36D1">
            <w:pPr>
              <w:jc w:val="both"/>
              <w:rPr>
                <w:rFonts w:ascii="Verdana" w:eastAsia="Calibri" w:hAnsi="Verdana" w:cs="Arial"/>
                <w:b/>
                <w:bCs/>
                <w:color w:val="7030A0"/>
                <w:lang w:eastAsia="es-ES"/>
              </w:rPr>
            </w:pPr>
          </w:p>
        </w:tc>
      </w:tr>
      <w:tr w:rsidR="00653AAF" w:rsidRPr="002842E0" w14:paraId="148A751C" w14:textId="77777777" w:rsidTr="004C36D1">
        <w:trPr>
          <w:trHeight w:val="884"/>
        </w:trPr>
        <w:tc>
          <w:tcPr>
            <w:tcW w:w="3119" w:type="dxa"/>
          </w:tcPr>
          <w:p w14:paraId="49B01B21" w14:textId="77777777" w:rsidR="00653AAF" w:rsidRPr="00801462" w:rsidRDefault="00653AAF" w:rsidP="004C36D1">
            <w:pPr>
              <w:jc w:val="both"/>
              <w:rPr>
                <w:rFonts w:ascii="Verdana" w:eastAsia="Calibri" w:hAnsi="Verdana" w:cs="Arial"/>
                <w:color w:val="000000"/>
                <w:lang w:eastAsia="es-ES_tradnl"/>
              </w:rPr>
            </w:pPr>
            <w:r w:rsidRPr="00801462">
              <w:rPr>
                <w:rFonts w:ascii="Verdana" w:eastAsia="Calibri" w:hAnsi="Verdana" w:cs="Arial"/>
                <w:b/>
                <w:color w:val="000000"/>
                <w:lang w:eastAsia="es-ES_tradnl"/>
              </w:rPr>
              <w:t>Temas:</w:t>
            </w:r>
            <w:r w:rsidRPr="00801462">
              <w:rPr>
                <w:rFonts w:ascii="Verdana" w:eastAsia="Calibri" w:hAnsi="Verdana" w:cs="Arial"/>
                <w:color w:val="000000"/>
                <w:lang w:eastAsia="es-ES_tradnl"/>
              </w:rPr>
              <w:t xml:space="preserve">                   </w:t>
            </w:r>
          </w:p>
        </w:tc>
        <w:tc>
          <w:tcPr>
            <w:tcW w:w="5670" w:type="dxa"/>
          </w:tcPr>
          <w:p w14:paraId="040D9AFB" w14:textId="77777777" w:rsidR="00653AAF" w:rsidRPr="00A11406" w:rsidRDefault="00653AAF" w:rsidP="004C36D1">
            <w:pPr>
              <w:spacing w:line="276" w:lineRule="auto"/>
              <w:jc w:val="both"/>
              <w:rPr>
                <w:rFonts w:ascii="Verdana" w:eastAsia="Calibri" w:hAnsi="Verdana" w:cs="Arial"/>
                <w:lang w:val="es-ES" w:eastAsia="es-ES"/>
              </w:rPr>
            </w:pPr>
            <w:r w:rsidRPr="00134C8E">
              <w:rPr>
                <w:rFonts w:ascii="Verdana" w:eastAsia="Calibri" w:hAnsi="Verdana" w:cs="Arial"/>
                <w:lang w:val="es-ES" w:eastAsia="es-ES"/>
              </w:rPr>
              <w:t>INFORMACIÓN CONTRACTUAL – Publicidad – Alcance</w:t>
            </w:r>
            <w:r>
              <w:rPr>
                <w:rFonts w:ascii="Verdana" w:eastAsia="Calibri" w:hAnsi="Verdana" w:cs="Arial"/>
                <w:lang w:val="es-ES" w:eastAsia="es-ES"/>
              </w:rPr>
              <w:t xml:space="preserve"> / </w:t>
            </w:r>
            <w:r w:rsidRPr="00134C8E">
              <w:rPr>
                <w:rFonts w:ascii="Verdana" w:eastAsia="Calibri" w:hAnsi="Verdana" w:cs="Arial"/>
                <w:lang w:val="es-ES" w:eastAsia="es-ES"/>
              </w:rPr>
              <w:t xml:space="preserve">SISTEMA ELECTRÓNICO PARA LA CONTRATACIÓN PÚBLICA – Componentes – SECOP II – </w:t>
            </w:r>
            <w:r>
              <w:rPr>
                <w:rFonts w:ascii="Verdana" w:eastAsia="Calibri" w:hAnsi="Verdana" w:cs="Arial"/>
                <w:lang w:val="es-ES" w:eastAsia="es-ES"/>
              </w:rPr>
              <w:t xml:space="preserve">Deber de publicar – Documentos del proceso </w:t>
            </w:r>
          </w:p>
          <w:p w14:paraId="18FF486E" w14:textId="77777777" w:rsidR="00653AAF" w:rsidRPr="00AF7DE2" w:rsidRDefault="00653AAF" w:rsidP="004C36D1">
            <w:pPr>
              <w:jc w:val="both"/>
              <w:rPr>
                <w:rFonts w:ascii="Verdana" w:eastAsia="Calibri" w:hAnsi="Verdana" w:cs="Arial"/>
                <w:lang w:val="es-ES" w:eastAsia="es-ES"/>
              </w:rPr>
            </w:pPr>
          </w:p>
        </w:tc>
      </w:tr>
      <w:tr w:rsidR="00653AAF" w:rsidRPr="002842E0" w14:paraId="7540E741" w14:textId="77777777" w:rsidTr="004C36D1">
        <w:tc>
          <w:tcPr>
            <w:tcW w:w="3119" w:type="dxa"/>
          </w:tcPr>
          <w:p w14:paraId="1EBB8226" w14:textId="77777777" w:rsidR="00653AAF" w:rsidRPr="00801462" w:rsidRDefault="00653AAF" w:rsidP="004C36D1">
            <w:pPr>
              <w:jc w:val="both"/>
              <w:rPr>
                <w:rFonts w:ascii="Verdana" w:eastAsia="Calibri" w:hAnsi="Verdana" w:cs="Arial"/>
                <w:b/>
                <w:lang w:eastAsia="es-ES_tradnl"/>
              </w:rPr>
            </w:pPr>
            <w:r w:rsidRPr="00801462">
              <w:rPr>
                <w:rFonts w:ascii="Verdana" w:eastAsia="Calibri" w:hAnsi="Verdana" w:cs="Arial"/>
                <w:b/>
                <w:lang w:eastAsia="es-ES_tradnl"/>
              </w:rPr>
              <w:t>Radicación:</w:t>
            </w:r>
            <w:r w:rsidRPr="00801462">
              <w:rPr>
                <w:rFonts w:ascii="Verdana" w:eastAsia="Calibri" w:hAnsi="Verdana" w:cs="Arial"/>
                <w:lang w:eastAsia="es-ES_tradnl"/>
              </w:rPr>
              <w:t xml:space="preserve">               </w:t>
            </w:r>
          </w:p>
        </w:tc>
        <w:tc>
          <w:tcPr>
            <w:tcW w:w="5670" w:type="dxa"/>
          </w:tcPr>
          <w:p w14:paraId="35BFCE60" w14:textId="51CD4B7C" w:rsidR="00616AFA" w:rsidRPr="00616AFA" w:rsidRDefault="00653AAF" w:rsidP="00616AFA">
            <w:pPr>
              <w:jc w:val="both"/>
              <w:rPr>
                <w:rFonts w:ascii="Verdana" w:eastAsia="Calibri" w:hAnsi="Verdana" w:cs="Arial"/>
                <w:color w:val="000000" w:themeColor="text1"/>
                <w:lang w:eastAsia="es-ES_tradnl"/>
              </w:rPr>
            </w:pPr>
            <w:r w:rsidRPr="00E135CA">
              <w:rPr>
                <w:rFonts w:ascii="Verdana" w:eastAsia="Calibri" w:hAnsi="Verdana" w:cs="Arial"/>
                <w:lang w:eastAsia="es-ES_tradnl"/>
              </w:rPr>
              <w:t xml:space="preserve">Respuesta a consulta con radicado </w:t>
            </w:r>
            <w:r w:rsidR="00616AFA">
              <w:rPr>
                <w:rFonts w:ascii="Verdana" w:hAnsi="Verdana" w:cs="Calibri"/>
              </w:rPr>
              <w:t>1_2026_09_07_011853</w:t>
            </w:r>
          </w:p>
          <w:p w14:paraId="1A7CB084" w14:textId="54D8F0E7" w:rsidR="00653AAF" w:rsidRPr="00E135CA" w:rsidRDefault="00653AAF" w:rsidP="004C36D1">
            <w:pPr>
              <w:jc w:val="both"/>
              <w:rPr>
                <w:rFonts w:ascii="Verdana" w:eastAsia="Calibri" w:hAnsi="Verdana" w:cs="Arial"/>
                <w:color w:val="000000" w:themeColor="text1"/>
                <w:lang w:eastAsia="es-ES_tradnl"/>
              </w:rPr>
            </w:pPr>
          </w:p>
          <w:p w14:paraId="3C8C8115" w14:textId="77777777" w:rsidR="00653AAF" w:rsidRPr="00E135CA" w:rsidRDefault="00653AAF" w:rsidP="004C36D1">
            <w:pPr>
              <w:jc w:val="both"/>
              <w:rPr>
                <w:rFonts w:ascii="Verdana" w:eastAsia="Calibri" w:hAnsi="Verdana" w:cs="Arial"/>
                <w:color w:val="000000" w:themeColor="text1"/>
                <w:lang w:eastAsia="es-ES_tradnl"/>
              </w:rPr>
            </w:pPr>
          </w:p>
        </w:tc>
      </w:tr>
    </w:tbl>
    <w:p w14:paraId="55F4A6A4" w14:textId="77777777" w:rsidR="00653AAF" w:rsidRDefault="00653AAF" w:rsidP="00653AAF">
      <w:pPr>
        <w:spacing w:after="0" w:line="276" w:lineRule="auto"/>
        <w:jc w:val="both"/>
        <w:rPr>
          <w:rFonts w:ascii="Verdana" w:eastAsia="Calibri" w:hAnsi="Verdana" w:cs="Arial"/>
          <w:lang w:eastAsia="es-ES_tradnl"/>
        </w:rPr>
      </w:pPr>
    </w:p>
    <w:p w14:paraId="25A9CF80" w14:textId="69826413" w:rsidR="00653AAF" w:rsidRPr="008E4F36" w:rsidRDefault="00653AAF" w:rsidP="00653AAF">
      <w:pPr>
        <w:spacing w:after="0" w:line="276" w:lineRule="auto"/>
        <w:jc w:val="both"/>
        <w:rPr>
          <w:rFonts w:ascii="Verdana" w:eastAsia="Calibri" w:hAnsi="Verdana" w:cs="Arial"/>
          <w:lang w:eastAsia="es-ES"/>
        </w:rPr>
      </w:pPr>
      <w:r w:rsidRPr="00083AB6">
        <w:rPr>
          <w:rFonts w:ascii="Verdana" w:eastAsia="Calibri" w:hAnsi="Verdana" w:cs="Arial"/>
          <w:lang w:eastAsia="es-ES"/>
        </w:rPr>
        <w:t>Estimad</w:t>
      </w:r>
      <w:r>
        <w:rPr>
          <w:rFonts w:ascii="Verdana" w:eastAsia="Calibri" w:hAnsi="Verdana" w:cs="Arial"/>
          <w:lang w:eastAsia="es-ES"/>
        </w:rPr>
        <w:t xml:space="preserve">a </w:t>
      </w:r>
      <w:r w:rsidRPr="00083AB6">
        <w:rPr>
          <w:rFonts w:ascii="Verdana" w:eastAsia="Calibri" w:hAnsi="Verdana" w:cs="Arial"/>
          <w:lang w:eastAsia="es-ES"/>
        </w:rPr>
        <w:t>señor</w:t>
      </w:r>
      <w:r>
        <w:rPr>
          <w:rFonts w:ascii="Verdana" w:eastAsia="Calibri" w:hAnsi="Verdana" w:cs="Arial"/>
          <w:lang w:eastAsia="es-ES"/>
        </w:rPr>
        <w:t xml:space="preserve">a </w:t>
      </w:r>
      <w:r w:rsidR="00616AFA">
        <w:rPr>
          <w:rFonts w:ascii="Verdana" w:eastAsia="Calibri" w:hAnsi="Verdana" w:cs="Arial"/>
          <w:bCs/>
          <w:lang w:eastAsia="es-ES_tradnl"/>
        </w:rPr>
        <w:t>Bustos</w:t>
      </w:r>
      <w:r w:rsidRPr="00083AB6">
        <w:rPr>
          <w:rFonts w:ascii="Verdana" w:eastAsia="Calibri" w:hAnsi="Verdana" w:cs="Arial"/>
          <w:lang w:eastAsia="es-ES"/>
        </w:rPr>
        <w:t>:</w:t>
      </w:r>
      <w:r w:rsidRPr="008E4F36">
        <w:rPr>
          <w:rFonts w:ascii="Verdana" w:eastAsia="Calibri" w:hAnsi="Verdana" w:cs="Arial"/>
          <w:lang w:eastAsia="es-ES"/>
        </w:rPr>
        <w:t xml:space="preserve"> </w:t>
      </w:r>
    </w:p>
    <w:p w14:paraId="7E8A26E1" w14:textId="77777777" w:rsidR="00653AAF" w:rsidRDefault="00653AAF" w:rsidP="00653AAF">
      <w:pPr>
        <w:tabs>
          <w:tab w:val="left" w:pos="3768"/>
        </w:tabs>
        <w:spacing w:after="0" w:line="240" w:lineRule="auto"/>
        <w:jc w:val="both"/>
        <w:rPr>
          <w:rFonts w:ascii="Verdana" w:eastAsia="Calibri" w:hAnsi="Verdana" w:cs="Arial"/>
          <w:lang w:eastAsia="es-ES"/>
        </w:rPr>
      </w:pPr>
    </w:p>
    <w:p w14:paraId="15028D96" w14:textId="2F750F28" w:rsidR="00653AAF" w:rsidRPr="008E4F36" w:rsidRDefault="00653AAF" w:rsidP="00653AAF">
      <w:pPr>
        <w:tabs>
          <w:tab w:val="left" w:pos="3768"/>
        </w:tabs>
        <w:spacing w:after="0" w:line="276" w:lineRule="auto"/>
        <w:jc w:val="both"/>
        <w:rPr>
          <w:rFonts w:ascii="Verdana" w:eastAsia="Calibri" w:hAnsi="Verdana" w:cs="Arial"/>
          <w:lang w:eastAsia="es-ES"/>
        </w:rPr>
      </w:pPr>
      <w:r w:rsidRPr="000F2158">
        <w:rPr>
          <w:rFonts w:ascii="Verdana" w:eastAsia="Calibri" w:hAnsi="Verdana" w:cs="Arial"/>
          <w:lang w:eastAsia="es-ES"/>
        </w:rPr>
        <w:t xml:space="preserve">En ejercicio de la competencia otorgada por los artículos 3, numeral 5º, y 11, numeral 8º, del Decreto Ley 4170 de 2011, así como lo establecido en la Resolución </w:t>
      </w:r>
      <w:r>
        <w:rPr>
          <w:rFonts w:ascii="Verdana" w:eastAsia="Calibri" w:hAnsi="Verdana" w:cs="Arial"/>
          <w:lang w:eastAsia="es-ES"/>
        </w:rPr>
        <w:t>469 de 2025</w:t>
      </w:r>
      <w:r w:rsidRPr="000F2158">
        <w:rPr>
          <w:rFonts w:ascii="Verdana" w:eastAsia="Calibri" w:hAnsi="Verdana" w:cs="Arial"/>
          <w:lang w:eastAsia="es-ES"/>
        </w:rPr>
        <w:t xml:space="preserve"> expedida por esta Entidad, la Agencia Nacional de Contratación Pública – Colombia Compra Eficiente– responde su solicitud de consulta de fecha </w:t>
      </w:r>
      <w:r w:rsidR="00616AFA">
        <w:rPr>
          <w:rFonts w:ascii="Verdana" w:eastAsia="Calibri" w:hAnsi="Verdana" w:cs="Arial"/>
          <w:lang w:eastAsia="es-ES"/>
        </w:rPr>
        <w:t>7 de septiembre</w:t>
      </w:r>
      <w:r w:rsidRPr="00AF6D58">
        <w:rPr>
          <w:rFonts w:ascii="Verdana" w:eastAsia="Calibri" w:hAnsi="Verdana" w:cs="Arial"/>
          <w:lang w:eastAsia="es-ES"/>
        </w:rPr>
        <w:t xml:space="preserve"> de 202</w:t>
      </w:r>
      <w:r>
        <w:rPr>
          <w:rFonts w:ascii="Verdana" w:eastAsia="Calibri" w:hAnsi="Verdana" w:cs="Arial"/>
          <w:lang w:eastAsia="es-ES"/>
        </w:rPr>
        <w:t>6</w:t>
      </w:r>
      <w:r w:rsidRPr="00AF6D58">
        <w:rPr>
          <w:rFonts w:ascii="Verdana" w:eastAsia="Calibri" w:hAnsi="Verdana" w:cs="Arial"/>
          <w:lang w:eastAsia="es-ES"/>
        </w:rPr>
        <w:t>,</w:t>
      </w:r>
      <w:r w:rsidRPr="000F2158">
        <w:rPr>
          <w:rFonts w:ascii="Verdana" w:eastAsia="Calibri" w:hAnsi="Verdana" w:cs="Arial"/>
          <w:lang w:eastAsia="es-ES"/>
        </w:rPr>
        <w:t xml:space="preserve"> en la cual manifiesta lo siguiente:</w:t>
      </w:r>
    </w:p>
    <w:p w14:paraId="1DFE731C" w14:textId="77777777" w:rsidR="00653AAF" w:rsidRPr="006C098A" w:rsidRDefault="00653AAF" w:rsidP="00653AAF">
      <w:pPr>
        <w:spacing w:line="240" w:lineRule="auto"/>
        <w:ind w:left="709" w:right="709"/>
        <w:jc w:val="both"/>
        <w:rPr>
          <w:rFonts w:ascii="Verdana" w:eastAsia="Calibri" w:hAnsi="Verdana" w:cs="Arial"/>
          <w:color w:val="000000" w:themeColor="text1"/>
          <w:sz w:val="21"/>
          <w:szCs w:val="21"/>
        </w:rPr>
      </w:pPr>
    </w:p>
    <w:p w14:paraId="7F7978CB" w14:textId="78431E1B" w:rsidR="00653AAF" w:rsidRPr="006C098A" w:rsidRDefault="00653AAF" w:rsidP="00616AFA">
      <w:pPr>
        <w:spacing w:line="240" w:lineRule="auto"/>
        <w:ind w:left="709" w:right="709"/>
        <w:jc w:val="both"/>
        <w:rPr>
          <w:rFonts w:ascii="Verdana" w:eastAsia="Calibri" w:hAnsi="Verdana" w:cs="Arial"/>
          <w:i/>
          <w:iCs/>
          <w:color w:val="000000" w:themeColor="text1"/>
          <w:sz w:val="21"/>
          <w:szCs w:val="21"/>
        </w:rPr>
      </w:pPr>
      <w:bookmarkStart w:id="1" w:name="_Hlk192699624"/>
      <w:bookmarkStart w:id="2" w:name="_Hlk199394899"/>
      <w:r w:rsidRPr="006C098A">
        <w:rPr>
          <w:rFonts w:ascii="Verdana" w:eastAsia="Calibri" w:hAnsi="Verdana" w:cs="Arial"/>
          <w:i/>
          <w:iCs/>
          <w:color w:val="000000" w:themeColor="text1"/>
          <w:sz w:val="21"/>
          <w:szCs w:val="21"/>
        </w:rPr>
        <w:t>“</w:t>
      </w:r>
      <w:bookmarkEnd w:id="1"/>
      <w:bookmarkEnd w:id="2"/>
      <w:r w:rsidR="007201FC" w:rsidRPr="006C098A">
        <w:rPr>
          <w:rFonts w:ascii="Verdana" w:eastAsia="Calibri" w:hAnsi="Verdana" w:cs="Arial"/>
          <w:i/>
          <w:iCs/>
          <w:color w:val="000000" w:themeColor="text1"/>
          <w:sz w:val="21"/>
          <w:szCs w:val="21"/>
        </w:rPr>
        <w:t xml:space="preserve">Solicito orientación sobre la aplicación del art. 2.2.1.1.1.7.1 del </w:t>
      </w:r>
      <w:r w:rsidR="004A58D5" w:rsidRPr="006C098A">
        <w:rPr>
          <w:rFonts w:ascii="Verdana" w:eastAsia="Calibri" w:hAnsi="Verdana" w:cs="Arial"/>
          <w:i/>
          <w:iCs/>
          <w:color w:val="000000" w:themeColor="text1"/>
          <w:sz w:val="21"/>
          <w:szCs w:val="21"/>
        </w:rPr>
        <w:t>Decreto 1082 de 2015, que establece la publicación en SECOP de los Documentos del Proceso y actos administrativos dentro de los 3 días siguientes a su expedición, contratos de prestación de servicios con PN</w:t>
      </w:r>
      <w:r w:rsidR="004655DC" w:rsidRPr="006C098A">
        <w:rPr>
          <w:rFonts w:ascii="Verdana" w:eastAsia="Calibri" w:hAnsi="Verdana" w:cs="Arial"/>
          <w:i/>
          <w:iCs/>
          <w:color w:val="000000" w:themeColor="text1"/>
          <w:sz w:val="21"/>
          <w:szCs w:val="21"/>
        </w:rPr>
        <w:t>, mediante contratación directa, la Gobernación de Caldas maneja en Etapa Precontractual</w:t>
      </w:r>
      <w:r w:rsidR="00FD3807" w:rsidRPr="006C098A">
        <w:rPr>
          <w:rFonts w:ascii="Verdana" w:eastAsia="Calibri" w:hAnsi="Verdana" w:cs="Arial"/>
          <w:i/>
          <w:iCs/>
          <w:color w:val="000000" w:themeColor="text1"/>
          <w:sz w:val="21"/>
          <w:szCs w:val="21"/>
        </w:rPr>
        <w:t xml:space="preserve">: Solicitud de contrato, certificación de insuficiencia de personal, estudios precios, </w:t>
      </w:r>
      <w:r w:rsidR="00B15EBE" w:rsidRPr="006C098A">
        <w:rPr>
          <w:rFonts w:ascii="Verdana" w:eastAsia="Calibri" w:hAnsi="Verdana" w:cs="Arial"/>
          <w:i/>
          <w:iCs/>
          <w:color w:val="000000" w:themeColor="text1"/>
          <w:sz w:val="21"/>
          <w:szCs w:val="21"/>
        </w:rPr>
        <w:t>análisis</w:t>
      </w:r>
      <w:r w:rsidR="00FD3807" w:rsidRPr="006C098A">
        <w:rPr>
          <w:rFonts w:ascii="Verdana" w:eastAsia="Calibri" w:hAnsi="Verdana" w:cs="Arial"/>
          <w:i/>
          <w:iCs/>
          <w:color w:val="000000" w:themeColor="text1"/>
          <w:sz w:val="21"/>
          <w:szCs w:val="21"/>
        </w:rPr>
        <w:t xml:space="preserve"> del sector, CDP</w:t>
      </w:r>
      <w:r w:rsidR="00192D4D" w:rsidRPr="006C098A">
        <w:rPr>
          <w:rFonts w:ascii="Verdana" w:eastAsia="Calibri" w:hAnsi="Verdana" w:cs="Arial"/>
          <w:i/>
          <w:iCs/>
          <w:color w:val="000000" w:themeColor="text1"/>
          <w:sz w:val="21"/>
          <w:szCs w:val="21"/>
        </w:rPr>
        <w:t xml:space="preserve">, compatibilidad del gasto/BPIN, aceptación/invitación y documentos </w:t>
      </w:r>
      <w:r w:rsidR="001A67EB" w:rsidRPr="006C098A">
        <w:rPr>
          <w:rFonts w:ascii="Verdana" w:eastAsia="Calibri" w:hAnsi="Verdana" w:cs="Arial"/>
          <w:i/>
          <w:iCs/>
          <w:color w:val="000000" w:themeColor="text1"/>
          <w:sz w:val="21"/>
          <w:szCs w:val="21"/>
        </w:rPr>
        <w:t>del contratista (SIGEP, estudios, experiencia, idoneidad</w:t>
      </w:r>
      <w:r w:rsidR="00B15EBE" w:rsidRPr="006C098A">
        <w:rPr>
          <w:rFonts w:ascii="Verdana" w:eastAsia="Calibri" w:hAnsi="Verdana" w:cs="Arial"/>
          <w:i/>
          <w:iCs/>
          <w:color w:val="000000" w:themeColor="text1"/>
          <w:sz w:val="21"/>
          <w:szCs w:val="21"/>
        </w:rPr>
        <w:t>, antecedentes</w:t>
      </w:r>
      <w:r w:rsidR="003A3E5E" w:rsidRPr="006C098A">
        <w:rPr>
          <w:rFonts w:ascii="Verdana" w:eastAsia="Calibri" w:hAnsi="Verdana" w:cs="Arial"/>
          <w:i/>
          <w:iCs/>
          <w:color w:val="000000" w:themeColor="text1"/>
          <w:sz w:val="21"/>
          <w:szCs w:val="21"/>
        </w:rPr>
        <w:t>, REDAM, cédula, RUT, seguridad social, aptitud ocupacional, certificado bancario, bienes y rentas, etc</w:t>
      </w:r>
      <w:r w:rsidR="00A718A0" w:rsidRPr="006C098A">
        <w:rPr>
          <w:rFonts w:ascii="Verdana" w:eastAsia="Calibri" w:hAnsi="Verdana" w:cs="Arial"/>
          <w:i/>
          <w:iCs/>
          <w:color w:val="000000" w:themeColor="text1"/>
          <w:sz w:val="21"/>
          <w:szCs w:val="21"/>
        </w:rPr>
        <w:t>). En relación: ARL, garantía</w:t>
      </w:r>
      <w:r w:rsidR="00F21092" w:rsidRPr="006C098A">
        <w:rPr>
          <w:rFonts w:ascii="Verdana" w:eastAsia="Calibri" w:hAnsi="Verdana" w:cs="Arial"/>
          <w:i/>
          <w:iCs/>
          <w:color w:val="000000" w:themeColor="text1"/>
          <w:sz w:val="21"/>
          <w:szCs w:val="21"/>
        </w:rPr>
        <w:t>s, acta de inici</w:t>
      </w:r>
      <w:r w:rsidR="00602DA6" w:rsidRPr="006C098A">
        <w:rPr>
          <w:rFonts w:ascii="Verdana" w:eastAsia="Calibri" w:hAnsi="Verdana" w:cs="Arial"/>
          <w:i/>
          <w:iCs/>
          <w:color w:val="000000" w:themeColor="text1"/>
          <w:sz w:val="21"/>
          <w:szCs w:val="21"/>
        </w:rPr>
        <w:t>o, RPC, informes de supervisión/actividades, ordenación del gasto</w:t>
      </w:r>
      <w:r w:rsidR="005279D2" w:rsidRPr="006C098A">
        <w:rPr>
          <w:rFonts w:ascii="Verdana" w:eastAsia="Calibri" w:hAnsi="Verdana" w:cs="Arial"/>
          <w:i/>
          <w:iCs/>
          <w:color w:val="000000" w:themeColor="text1"/>
          <w:sz w:val="21"/>
          <w:szCs w:val="21"/>
        </w:rPr>
        <w:t xml:space="preserve"> y modificaciones. En </w:t>
      </w:r>
      <w:r w:rsidR="00804964" w:rsidRPr="006C098A">
        <w:rPr>
          <w:rFonts w:ascii="Verdana" w:eastAsia="Calibri" w:hAnsi="Verdana" w:cs="Arial"/>
          <w:i/>
          <w:iCs/>
          <w:color w:val="000000" w:themeColor="text1"/>
          <w:sz w:val="21"/>
          <w:szCs w:val="21"/>
        </w:rPr>
        <w:t>liquidación</w:t>
      </w:r>
      <w:r w:rsidR="0020338C" w:rsidRPr="006C098A">
        <w:rPr>
          <w:rFonts w:ascii="Verdana" w:eastAsia="Calibri" w:hAnsi="Verdana" w:cs="Arial"/>
          <w:i/>
          <w:iCs/>
          <w:color w:val="000000" w:themeColor="text1"/>
          <w:sz w:val="21"/>
          <w:szCs w:val="21"/>
        </w:rPr>
        <w:t>: acta de liquidación e informe final de supervisión. ¿Cuáles son los documentos del proceso o AA y cuales deben publicarse dentro de los 3 días?”.</w:t>
      </w:r>
    </w:p>
    <w:p w14:paraId="721BF975" w14:textId="77777777" w:rsidR="00653AAF" w:rsidRDefault="00653AAF" w:rsidP="00653AAF">
      <w:pPr>
        <w:spacing w:before="120" w:after="0" w:line="276" w:lineRule="auto"/>
        <w:ind w:firstLine="709"/>
        <w:jc w:val="both"/>
        <w:rPr>
          <w:rFonts w:ascii="Verdana" w:eastAsia="Calibri" w:hAnsi="Verdana" w:cs="Arial"/>
          <w:color w:val="000000"/>
          <w:szCs w:val="24"/>
          <w:lang w:eastAsia="es-ES_tradnl"/>
        </w:rPr>
      </w:pPr>
      <w:r w:rsidRPr="008E4F36">
        <w:rPr>
          <w:rFonts w:ascii="Verdana" w:eastAsia="Calibri" w:hAnsi="Verdana" w:cs="Arial"/>
          <w:color w:val="000000"/>
          <w:lang w:eastAsia="es-ES"/>
        </w:rPr>
        <w:t xml:space="preserve">De manera preliminar, resulta necesario acotar que esta entidad solo tiene competencia para responder consultas sobre la aplicación de normas de carácter general en materia de compras y contratación pública. En ese sentido, resolver casos particulares desborda las atribuciones asignadas por el legislador extraordinario que no concibió a Colombia Compra Eficiente como una autoridad para solucionar problemas jurídicos particulares de todos los partícipes del sistema de compra pública. La competencia de esta entidad se fija con límites claros, con el objeto de evitar que la Agencia actúe como una instancia de validación de las actuaciones de las entidades sujetas a la Ley 80 de 1993 o de los demás participantes de la contratación pública. Esta competencia de interpretación de normas generales, por definición, no puede extenderse a la resolución de controversias, ni a brindar asesorías sobre casos puntuales. </w:t>
      </w:r>
    </w:p>
    <w:p w14:paraId="363DE521" w14:textId="77777777" w:rsidR="00653AAF" w:rsidRPr="00054383" w:rsidRDefault="00653AAF" w:rsidP="00653AAF">
      <w:pPr>
        <w:spacing w:before="120" w:after="0" w:line="276" w:lineRule="auto"/>
        <w:ind w:firstLine="709"/>
        <w:jc w:val="both"/>
        <w:rPr>
          <w:rFonts w:ascii="Verdana" w:eastAsia="Calibri" w:hAnsi="Verdana" w:cs="Arial"/>
          <w:color w:val="000000"/>
          <w:szCs w:val="24"/>
          <w:lang w:eastAsia="es-ES_tradnl"/>
        </w:rPr>
      </w:pPr>
      <w:r w:rsidRPr="008E4F36">
        <w:rPr>
          <w:rFonts w:ascii="Verdana" w:eastAsia="Calibri" w:hAnsi="Verdana" w:cs="Arial"/>
          <w:color w:val="000000"/>
          <w:lang w:eastAsia="es-ES"/>
        </w:rPr>
        <w:t xml:space="preserve">Conforme lo expuesto, en aras de garantizar el derecho fundamental de petición, se resolverá su petición dentro de los límites de la referida competencia consultiva, esto es, haciendo abstracción del caso particular y concreto señalado en su petición, pero señalando algunas consideraciones sobre las normas generales relacionadas </w:t>
      </w:r>
      <w:r w:rsidRPr="002975A0">
        <w:rPr>
          <w:rFonts w:ascii="Verdana" w:eastAsia="Calibri" w:hAnsi="Verdana" w:cs="Arial"/>
          <w:color w:val="000000"/>
          <w:lang w:eastAsia="es-ES"/>
        </w:rPr>
        <w:t xml:space="preserve">con </w:t>
      </w:r>
      <w:r>
        <w:rPr>
          <w:rFonts w:ascii="Verdana" w:eastAsia="Calibri" w:hAnsi="Verdana" w:cs="Arial"/>
          <w:color w:val="000000"/>
          <w:lang w:eastAsia="es-ES"/>
        </w:rPr>
        <w:t xml:space="preserve">el </w:t>
      </w:r>
      <w:r w:rsidRPr="002975A0">
        <w:rPr>
          <w:rFonts w:ascii="Verdana" w:eastAsia="Calibri" w:hAnsi="Verdana" w:cs="Arial"/>
          <w:color w:val="000000"/>
          <w:lang w:eastAsia="es-ES"/>
        </w:rPr>
        <w:t>problema jurídico de su consulta.</w:t>
      </w:r>
      <w:r w:rsidRPr="008E4F36">
        <w:rPr>
          <w:rFonts w:ascii="Verdana" w:eastAsia="Calibri" w:hAnsi="Verdana" w:cs="Arial"/>
          <w:color w:val="000000"/>
          <w:lang w:eastAsia="es-ES"/>
        </w:rPr>
        <w:t xml:space="preserve">  </w:t>
      </w:r>
    </w:p>
    <w:p w14:paraId="7F8C04EA" w14:textId="77777777" w:rsidR="00653AAF" w:rsidRPr="008E4F36" w:rsidRDefault="00653AAF" w:rsidP="00653AAF">
      <w:pPr>
        <w:spacing w:after="0"/>
        <w:ind w:firstLine="709"/>
        <w:jc w:val="both"/>
        <w:rPr>
          <w:rFonts w:ascii="Verdana" w:eastAsia="Calibri" w:hAnsi="Verdana" w:cs="Arial"/>
          <w:color w:val="000000"/>
          <w:lang w:eastAsia="es-ES"/>
        </w:rPr>
      </w:pPr>
    </w:p>
    <w:p w14:paraId="39A594B9" w14:textId="174CB27F" w:rsidR="00653AAF" w:rsidRPr="00DF1C7C" w:rsidRDefault="00DF1C7C" w:rsidP="00DF1C7C">
      <w:pPr>
        <w:tabs>
          <w:tab w:val="left" w:pos="142"/>
          <w:tab w:val="left" w:pos="284"/>
        </w:tabs>
        <w:spacing w:after="0" w:line="276" w:lineRule="auto"/>
        <w:jc w:val="both"/>
        <w:rPr>
          <w:rFonts w:ascii="Verdana" w:eastAsia="Century Gothic" w:hAnsi="Verdana" w:cs="Century Gothic"/>
          <w:b/>
          <w:bCs/>
        </w:rPr>
      </w:pPr>
      <w:r>
        <w:rPr>
          <w:rFonts w:ascii="Verdana" w:eastAsia="Century Gothic" w:hAnsi="Verdana" w:cs="Century Gothic"/>
          <w:b/>
          <w:bCs/>
        </w:rPr>
        <w:t xml:space="preserve">I. </w:t>
      </w:r>
      <w:r w:rsidR="00653AAF" w:rsidRPr="00DF1C7C">
        <w:rPr>
          <w:rFonts w:ascii="Verdana" w:eastAsia="Century Gothic" w:hAnsi="Verdana" w:cs="Century Gothic"/>
          <w:b/>
          <w:bCs/>
        </w:rPr>
        <w:t>Problema planteado:</w:t>
      </w:r>
    </w:p>
    <w:p w14:paraId="20473FAC" w14:textId="77777777" w:rsidR="00653AAF" w:rsidRDefault="00653AAF" w:rsidP="00653AAF">
      <w:pPr>
        <w:spacing w:after="0" w:line="276" w:lineRule="auto"/>
        <w:jc w:val="both"/>
        <w:rPr>
          <w:rFonts w:ascii="Verdana" w:eastAsia="Calibri" w:hAnsi="Verdana" w:cs="Arial"/>
          <w:color w:val="000000"/>
          <w:highlight w:val="yellow"/>
          <w:lang w:eastAsia="es-ES"/>
        </w:rPr>
      </w:pPr>
    </w:p>
    <w:p w14:paraId="68626161" w14:textId="6654C9F8" w:rsidR="00653AAF" w:rsidRPr="0004750F" w:rsidRDefault="00653AAF" w:rsidP="00653AAF">
      <w:pPr>
        <w:spacing w:after="0" w:line="276" w:lineRule="auto"/>
        <w:jc w:val="both"/>
        <w:rPr>
          <w:rFonts w:ascii="Verdana" w:eastAsia="Calibri" w:hAnsi="Verdana" w:cs="Arial"/>
          <w:color w:val="000000"/>
          <w:lang w:eastAsia="es-ES"/>
        </w:rPr>
      </w:pPr>
      <w:r w:rsidRPr="00005FE3">
        <w:rPr>
          <w:rFonts w:ascii="Verdana" w:eastAsia="Calibri" w:hAnsi="Verdana" w:cs="Arial"/>
          <w:color w:val="000000"/>
          <w:lang w:eastAsia="es-ES"/>
        </w:rPr>
        <w:t xml:space="preserve">De acuerdo con el contenido de su solicitud, esta Agencia resolverá </w:t>
      </w:r>
      <w:r>
        <w:rPr>
          <w:rFonts w:ascii="Verdana" w:eastAsia="Calibri" w:hAnsi="Verdana" w:cs="Arial"/>
          <w:color w:val="000000"/>
          <w:lang w:eastAsia="es-ES"/>
        </w:rPr>
        <w:t>el siguiente</w:t>
      </w:r>
      <w:r w:rsidRPr="00005FE3">
        <w:rPr>
          <w:rFonts w:ascii="Verdana" w:eastAsia="Calibri" w:hAnsi="Verdana" w:cs="Arial"/>
          <w:color w:val="000000"/>
          <w:lang w:eastAsia="es-ES"/>
        </w:rPr>
        <w:t xml:space="preserve"> problema jurídico:</w:t>
      </w:r>
      <w:r w:rsidR="005B7449">
        <w:rPr>
          <w:rFonts w:ascii="Verdana" w:eastAsia="Calibri" w:hAnsi="Verdana" w:cs="Arial"/>
          <w:color w:val="000000"/>
          <w:lang w:eastAsia="es-ES"/>
        </w:rPr>
        <w:t xml:space="preserve"> </w:t>
      </w:r>
      <w:r w:rsidR="00DF1C7C">
        <w:rPr>
          <w:rFonts w:ascii="Verdana" w:eastAsia="Calibri" w:hAnsi="Verdana" w:cs="Arial"/>
          <w:color w:val="000000"/>
          <w:lang w:eastAsia="es-ES"/>
        </w:rPr>
        <w:t>¿Cuáles son los D</w:t>
      </w:r>
      <w:r w:rsidR="00DF1C7C" w:rsidRPr="009A40E0">
        <w:rPr>
          <w:rFonts w:ascii="Verdana" w:eastAsia="Calibri" w:hAnsi="Verdana" w:cs="Arial"/>
          <w:color w:val="000000"/>
          <w:lang w:eastAsia="es-ES"/>
        </w:rPr>
        <w:t>ocumentos</w:t>
      </w:r>
      <w:r w:rsidRPr="009A40E0">
        <w:rPr>
          <w:rFonts w:ascii="Verdana" w:eastAsia="Calibri" w:hAnsi="Verdana" w:cs="Arial"/>
          <w:color w:val="000000"/>
          <w:lang w:eastAsia="es-ES"/>
        </w:rPr>
        <w:t xml:space="preserve"> </w:t>
      </w:r>
      <w:r w:rsidR="00DF1C7C">
        <w:rPr>
          <w:rFonts w:ascii="Verdana" w:eastAsia="Calibri" w:hAnsi="Verdana" w:cs="Arial"/>
          <w:color w:val="000000"/>
          <w:lang w:eastAsia="es-ES"/>
        </w:rPr>
        <w:t xml:space="preserve">del Proceso que </w:t>
      </w:r>
      <w:r w:rsidRPr="009A40E0">
        <w:rPr>
          <w:rFonts w:ascii="Verdana" w:eastAsia="Calibri" w:hAnsi="Verdana" w:cs="Arial"/>
          <w:color w:val="000000"/>
          <w:lang w:eastAsia="es-ES"/>
        </w:rPr>
        <w:t xml:space="preserve">deben ser </w:t>
      </w:r>
      <w:r w:rsidR="00DF1C7C" w:rsidRPr="009A40E0">
        <w:rPr>
          <w:rFonts w:ascii="Verdana" w:eastAsia="Calibri" w:hAnsi="Verdana" w:cs="Arial"/>
          <w:color w:val="000000"/>
          <w:lang w:eastAsia="es-ES"/>
        </w:rPr>
        <w:t>publicados en SECOP</w:t>
      </w:r>
      <w:r w:rsidRPr="009A40E0">
        <w:rPr>
          <w:rFonts w:ascii="Verdana" w:eastAsia="Calibri" w:hAnsi="Verdana" w:cs="Arial"/>
          <w:color w:val="000000"/>
          <w:lang w:eastAsia="es-ES"/>
        </w:rPr>
        <w:t xml:space="preserve"> y cuáles están exceptuados de dicha obligación?  </w:t>
      </w:r>
    </w:p>
    <w:p w14:paraId="213EB369" w14:textId="77777777" w:rsidR="00653AAF" w:rsidRPr="0004750F" w:rsidRDefault="00653AAF" w:rsidP="00653AAF">
      <w:pPr>
        <w:spacing w:after="0" w:line="276" w:lineRule="auto"/>
        <w:jc w:val="both"/>
        <w:rPr>
          <w:rFonts w:ascii="Verdana" w:eastAsia="Calibri" w:hAnsi="Verdana" w:cs="Times New Roman"/>
          <w:lang w:val="es-ES"/>
        </w:rPr>
      </w:pPr>
    </w:p>
    <w:p w14:paraId="7D758F91" w14:textId="55D76FB4" w:rsidR="00653AAF" w:rsidRPr="008E4F36" w:rsidRDefault="00DF1C7C" w:rsidP="00653AAF">
      <w:pPr>
        <w:spacing w:after="0" w:line="276" w:lineRule="auto"/>
        <w:jc w:val="both"/>
        <w:rPr>
          <w:rFonts w:ascii="Verdana" w:eastAsia="Century Gothic" w:hAnsi="Verdana" w:cs="Century Gothic"/>
          <w:b/>
          <w:bCs/>
        </w:rPr>
      </w:pPr>
      <w:r>
        <w:rPr>
          <w:rFonts w:ascii="Verdana" w:eastAsia="Century Gothic" w:hAnsi="Verdana" w:cs="Century Gothic"/>
          <w:b/>
          <w:bCs/>
        </w:rPr>
        <w:t>II</w:t>
      </w:r>
      <w:r w:rsidR="00653AAF" w:rsidRPr="008E4F36">
        <w:rPr>
          <w:rFonts w:ascii="Verdana" w:eastAsia="Century Gothic" w:hAnsi="Verdana" w:cs="Century Gothic"/>
          <w:b/>
          <w:bCs/>
        </w:rPr>
        <w:t>. Respuesta:</w:t>
      </w:r>
    </w:p>
    <w:p w14:paraId="2211B85F" w14:textId="77777777" w:rsidR="00653AAF" w:rsidRPr="008E4F36" w:rsidRDefault="00653AAF" w:rsidP="00653AAF">
      <w:pPr>
        <w:tabs>
          <w:tab w:val="left" w:pos="142"/>
          <w:tab w:val="left" w:pos="284"/>
        </w:tabs>
        <w:spacing w:after="0" w:line="276" w:lineRule="auto"/>
        <w:jc w:val="both"/>
        <w:rPr>
          <w:rFonts w:ascii="Verdana" w:eastAsia="Century Gothic" w:hAnsi="Verdana" w:cs="Century Gothic"/>
          <w:b/>
          <w:bCs/>
        </w:rPr>
      </w:pPr>
    </w:p>
    <w:tbl>
      <w:tblPr>
        <w:tblStyle w:val="Tablaconcuadrcula"/>
        <w:tblW w:w="0" w:type="auto"/>
        <w:tblLook w:val="04A0" w:firstRow="1" w:lastRow="0" w:firstColumn="1" w:lastColumn="0" w:noHBand="0" w:noVBand="1"/>
      </w:tblPr>
      <w:tblGrid>
        <w:gridCol w:w="8828"/>
      </w:tblGrid>
      <w:tr w:rsidR="00653AAF" w:rsidRPr="008E4F36" w14:paraId="4D197FD3" w14:textId="77777777" w:rsidTr="004C36D1">
        <w:tc>
          <w:tcPr>
            <w:tcW w:w="8828" w:type="dxa"/>
          </w:tcPr>
          <w:p w14:paraId="759AE240" w14:textId="646DC6B9" w:rsidR="00653AAF" w:rsidRDefault="00653AAF" w:rsidP="003D25FD">
            <w:pPr>
              <w:spacing w:after="120" w:line="276" w:lineRule="auto"/>
              <w:ind w:firstLine="709"/>
              <w:jc w:val="both"/>
              <w:rPr>
                <w:rFonts w:ascii="Verdana" w:hAnsi="Verdana" w:cs="Arial"/>
                <w:color w:val="000000" w:themeColor="text1"/>
              </w:rPr>
            </w:pPr>
            <w:r w:rsidRPr="00E36B10">
              <w:rPr>
                <w:rFonts w:ascii="Verdana" w:hAnsi="Verdana" w:cs="Arial"/>
                <w:color w:val="000000" w:themeColor="text1"/>
              </w:rPr>
              <w:t xml:space="preserve"> Para</w:t>
            </w:r>
            <w:r w:rsidR="008C3191">
              <w:rPr>
                <w:rFonts w:ascii="Verdana" w:hAnsi="Verdana" w:cs="Arial"/>
                <w:color w:val="000000" w:themeColor="text1"/>
              </w:rPr>
              <w:t xml:space="preserve"> dar</w:t>
            </w:r>
            <w:r w:rsidRPr="00E36B10">
              <w:rPr>
                <w:rFonts w:ascii="Verdana" w:hAnsi="Verdana" w:cs="Arial"/>
                <w:color w:val="000000" w:themeColor="text1"/>
              </w:rPr>
              <w:t xml:space="preserve"> respuesta</w:t>
            </w:r>
            <w:r w:rsidR="008C3191">
              <w:rPr>
                <w:rFonts w:ascii="Verdana" w:hAnsi="Verdana" w:cs="Arial"/>
                <w:color w:val="000000" w:themeColor="text1"/>
              </w:rPr>
              <w:t xml:space="preserve"> al problema jurídico planteado</w:t>
            </w:r>
            <w:r w:rsidRPr="00E36B10">
              <w:rPr>
                <w:rFonts w:ascii="Verdana" w:hAnsi="Verdana" w:cs="Arial"/>
                <w:color w:val="000000" w:themeColor="text1"/>
              </w:rPr>
              <w:t>, es necesario señalar que</w:t>
            </w:r>
            <w:r w:rsidR="008C3191">
              <w:rPr>
                <w:rFonts w:ascii="Verdana" w:hAnsi="Verdana" w:cs="Arial"/>
                <w:color w:val="000000" w:themeColor="text1"/>
              </w:rPr>
              <w:t xml:space="preserve"> </w:t>
            </w:r>
            <w:r w:rsidRPr="00154DCF">
              <w:rPr>
                <w:rFonts w:ascii="Verdana" w:hAnsi="Verdana" w:cs="Arial"/>
                <w:color w:val="000000" w:themeColor="text1"/>
              </w:rPr>
              <w:t>los documentos derivados de la ejecución contractual que deben ser publicados, la regla general es que las entidades estatales sometidas al Estatuto General de Contratación de la Administración Pública deben publicar en el SECOP los documentos y actuaciones producidos durante las etapas precontractual, contractual y postcontractual, de conformidad con el artículo 2.2.1.1.1.7.1 del Decreto 1082 de 2015, en concordancia con los artículos 3 de la Ley 1150 de 2007 y 5 y 11 de la Ley 1712 de 2014. Esta obligación comprende, entre otros, las actas de inicio, suspensión, reinicio, recibo parcial y final, mayores y menores cantidades de obra, informes de supervisión o interventoría, garantías y sus modificaciones, facturas y documentos relacionados con los pagos, modificaciones, adiciones, prórrogas, cesiones, actas de terminación y liquidación, así como los demás documentos expedidos durante la ejecución que permitan acreditar o conocer el desarrollo del contrato. Lo anterior se fundamenta en que la definición de “Documentos del Proceso” prevista en el artículo 2.2.1.1.1.3.1 del Decreto 1082 de 2015 no establece un listado taxativo, pues incluye “cualquier otro documento expedido por la Entidad Estatal durante el Proceso de Contratación”, entendido este como el conjunto de actos y actividades adelantados desde la planeación hasta el vencimiento de las garantías o del plazo, según corresponda. Por tanto, la obligación de publicidad no se limita a los documentos que modifiquen el valor, plazo u otras condiciones esenciales del contrato, sino que comprende los documentos relacionados con su ejecución y seguimiento.</w:t>
            </w:r>
          </w:p>
          <w:p w14:paraId="51E69893" w14:textId="77777777" w:rsidR="00653AAF" w:rsidRDefault="00653AAF" w:rsidP="003D25FD">
            <w:pPr>
              <w:spacing w:after="120" w:line="276" w:lineRule="auto"/>
              <w:ind w:firstLine="709"/>
              <w:jc w:val="both"/>
              <w:rPr>
                <w:rFonts w:ascii="Verdana" w:hAnsi="Verdana" w:cs="Arial"/>
                <w:color w:val="000000" w:themeColor="text1"/>
              </w:rPr>
            </w:pPr>
            <w:r w:rsidRPr="00154DCF">
              <w:rPr>
                <w:rFonts w:ascii="Verdana" w:hAnsi="Verdana" w:cs="Arial"/>
                <w:color w:val="000000" w:themeColor="text1"/>
              </w:rPr>
              <w:t>Las excepciones expresamente previstas por el artículo 2.2.1.1.1.7.1 del Decreto 1082 de 2015 corresponden principalmente a las ofertas de los proponentes no adjudicatarios y a los documentos de las operaciones realizadas en bolsa de productos. Adicionalmente, respecto de las entidades estatales sometidas a un régimen contractual exceptuado, el artículo 53 de la Ley 2195 de 2022, que adicionó el artículo 13 de la Ley 1150 de 2007, establece un deber de publicidad aún más amplio, al exigir la publicación en el SECOP II de los documentos, contratos, actos e información generada por oferentes, contratistas, contratantes, supervisores o interventores durante las etapas precontractual, contractual y postcontractual. En consecuencia, salvo que exista una excepción legal expresa, los documentos que documenten la ejecución contractual deben ser publicados en el SECOP correspondiente.</w:t>
            </w:r>
            <w:r>
              <w:rPr>
                <w:rFonts w:ascii="Verdana" w:hAnsi="Verdana" w:cs="Arial"/>
                <w:color w:val="000000" w:themeColor="text1"/>
              </w:rPr>
              <w:t xml:space="preserve"> </w:t>
            </w:r>
          </w:p>
          <w:p w14:paraId="0245DC1A" w14:textId="6922960B" w:rsidR="00653AAF" w:rsidRPr="00B70775" w:rsidRDefault="00653AAF" w:rsidP="004C36D1">
            <w:pPr>
              <w:spacing w:after="120" w:line="276" w:lineRule="auto"/>
              <w:ind w:firstLine="709"/>
              <w:jc w:val="both"/>
              <w:rPr>
                <w:rFonts w:ascii="Verdana" w:hAnsi="Verdana" w:cs="Arial"/>
                <w:color w:val="000000" w:themeColor="text1"/>
              </w:rPr>
            </w:pPr>
          </w:p>
        </w:tc>
      </w:tr>
    </w:tbl>
    <w:p w14:paraId="6649AC33" w14:textId="77777777" w:rsidR="00653AAF" w:rsidRDefault="00653AAF" w:rsidP="00653AAF">
      <w:pPr>
        <w:tabs>
          <w:tab w:val="left" w:pos="142"/>
          <w:tab w:val="left" w:pos="284"/>
        </w:tabs>
        <w:spacing w:after="0" w:line="276" w:lineRule="auto"/>
        <w:jc w:val="both"/>
        <w:rPr>
          <w:rFonts w:ascii="Verdana" w:eastAsia="Century Gothic" w:hAnsi="Verdana" w:cs="Century Gothic"/>
          <w:b/>
          <w:bCs/>
        </w:rPr>
      </w:pPr>
    </w:p>
    <w:p w14:paraId="33601C9C" w14:textId="634470C3" w:rsidR="00653AAF" w:rsidRPr="008E4F36" w:rsidRDefault="00DF1C7C" w:rsidP="00653AAF">
      <w:pPr>
        <w:tabs>
          <w:tab w:val="left" w:pos="142"/>
          <w:tab w:val="left" w:pos="284"/>
        </w:tabs>
        <w:spacing w:after="0" w:line="276" w:lineRule="auto"/>
        <w:jc w:val="both"/>
        <w:rPr>
          <w:rFonts w:ascii="Verdana" w:eastAsia="Century Gothic" w:hAnsi="Verdana" w:cs="Century Gothic"/>
          <w:b/>
          <w:bCs/>
        </w:rPr>
      </w:pPr>
      <w:r>
        <w:rPr>
          <w:rFonts w:ascii="Verdana" w:eastAsia="Century Gothic" w:hAnsi="Verdana" w:cs="Century Gothic"/>
          <w:b/>
          <w:bCs/>
        </w:rPr>
        <w:t>III</w:t>
      </w:r>
      <w:r w:rsidR="00653AAF" w:rsidRPr="008E4F36">
        <w:rPr>
          <w:rFonts w:ascii="Verdana" w:eastAsia="Century Gothic" w:hAnsi="Verdana" w:cs="Century Gothic"/>
          <w:b/>
          <w:bCs/>
        </w:rPr>
        <w:t>. Razones de la respuesta:</w:t>
      </w:r>
    </w:p>
    <w:p w14:paraId="09365EB9" w14:textId="77777777" w:rsidR="00653AAF" w:rsidRDefault="00653AAF" w:rsidP="00653AAF">
      <w:pPr>
        <w:pStyle w:val="Prrafodelista"/>
        <w:tabs>
          <w:tab w:val="left" w:pos="142"/>
          <w:tab w:val="left" w:pos="284"/>
        </w:tabs>
        <w:spacing w:after="0" w:line="276" w:lineRule="auto"/>
        <w:ind w:left="0"/>
        <w:contextualSpacing w:val="0"/>
        <w:jc w:val="both"/>
        <w:rPr>
          <w:rFonts w:ascii="Verdana" w:eastAsia="Calibri" w:hAnsi="Verdana" w:cs="Arial"/>
        </w:rPr>
      </w:pPr>
    </w:p>
    <w:p w14:paraId="05DC8EB7" w14:textId="77777777" w:rsidR="00653AAF" w:rsidRDefault="00653AAF" w:rsidP="00653AAF">
      <w:pPr>
        <w:pStyle w:val="Prrafodelista"/>
        <w:tabs>
          <w:tab w:val="left" w:pos="142"/>
          <w:tab w:val="left" w:pos="284"/>
        </w:tabs>
        <w:spacing w:after="0" w:line="276" w:lineRule="auto"/>
        <w:ind w:left="0"/>
        <w:contextualSpacing w:val="0"/>
        <w:jc w:val="both"/>
        <w:rPr>
          <w:rFonts w:ascii="Verdana" w:eastAsia="Calibri" w:hAnsi="Verdana" w:cs="Arial"/>
        </w:rPr>
      </w:pPr>
      <w:r w:rsidRPr="008E4F36">
        <w:rPr>
          <w:rFonts w:ascii="Verdana" w:eastAsia="Calibri" w:hAnsi="Verdana" w:cs="Arial"/>
        </w:rPr>
        <w:t xml:space="preserve">Lo anterior se sustenta en las siguientes consideraciones: </w:t>
      </w:r>
    </w:p>
    <w:p w14:paraId="0AFF734B" w14:textId="77777777" w:rsidR="003D25FD" w:rsidRDefault="003D25FD" w:rsidP="00653AAF">
      <w:pPr>
        <w:widowControl w:val="0"/>
        <w:tabs>
          <w:tab w:val="left" w:pos="728"/>
        </w:tabs>
        <w:autoSpaceDE w:val="0"/>
        <w:autoSpaceDN w:val="0"/>
        <w:spacing w:after="120" w:line="276" w:lineRule="auto"/>
        <w:jc w:val="both"/>
        <w:rPr>
          <w:rFonts w:ascii="Verdana" w:eastAsia="Calibri" w:hAnsi="Verdana" w:cs="Arial"/>
          <w:color w:val="000000"/>
          <w:shd w:val="clear" w:color="auto" w:fill="FFFFFF"/>
          <w:lang w:val="es-ES"/>
        </w:rPr>
      </w:pPr>
      <w:bookmarkStart w:id="3" w:name="_Hlk204856061"/>
      <w:bookmarkStart w:id="4" w:name="_Hlk78820161"/>
      <w:bookmarkStart w:id="5" w:name="_Hlk204854194"/>
    </w:p>
    <w:p w14:paraId="4F4BFF12" w14:textId="2A6F4D91" w:rsidR="00653AAF" w:rsidRPr="00F16D2E" w:rsidRDefault="00653AAF" w:rsidP="003D25FD">
      <w:pPr>
        <w:widowControl w:val="0"/>
        <w:tabs>
          <w:tab w:val="left" w:pos="728"/>
        </w:tabs>
        <w:autoSpaceDE w:val="0"/>
        <w:autoSpaceDN w:val="0"/>
        <w:spacing w:after="120" w:line="276" w:lineRule="auto"/>
        <w:ind w:firstLine="709"/>
        <w:jc w:val="both"/>
        <w:rPr>
          <w:rFonts w:ascii="Verdana" w:eastAsia="Arial" w:hAnsi="Verdana" w:cs="Arial"/>
          <w:lang w:val="es-ES"/>
        </w:rPr>
      </w:pPr>
      <w:r w:rsidRPr="00F16D2E">
        <w:rPr>
          <w:rFonts w:ascii="Verdana" w:eastAsia="Arial" w:hAnsi="Verdana" w:cs="Arial"/>
          <w:lang w:val="es-ES"/>
        </w:rPr>
        <w:t xml:space="preserve">El principio de publicidad impone a las autoridades administrativas el deber de dar a conocer sus actos, contratos y decisiones, para que se divulguen y eventualmente se controlen las actuaciones. El literal c) del artículo 3 de la Ley 1150 de 2007 dispone que el Sistema Electrónico para la Contratación Pública –SECOP– “contará con la información oficial de la contratación realizada con dineros públicos, para lo cual establecerá los patrones a que haya lugar y se encargará de su difusión a través de canales electrónicos”. </w:t>
      </w:r>
    </w:p>
    <w:p w14:paraId="31853646" w14:textId="77777777" w:rsidR="00653AAF" w:rsidRPr="00F16D2E" w:rsidRDefault="00653AAF" w:rsidP="003D25FD">
      <w:pPr>
        <w:widowControl w:val="0"/>
        <w:tabs>
          <w:tab w:val="left" w:pos="728"/>
        </w:tabs>
        <w:autoSpaceDE w:val="0"/>
        <w:autoSpaceDN w:val="0"/>
        <w:spacing w:after="120" w:line="276" w:lineRule="auto"/>
        <w:ind w:firstLine="709"/>
        <w:jc w:val="both"/>
        <w:rPr>
          <w:rFonts w:ascii="Verdana" w:eastAsia="Arial" w:hAnsi="Verdana" w:cs="Arial"/>
          <w:lang w:val="es-ES"/>
        </w:rPr>
      </w:pPr>
      <w:r w:rsidRPr="00F16D2E">
        <w:rPr>
          <w:rFonts w:ascii="Verdana" w:eastAsia="Arial" w:hAnsi="Verdana" w:cs="Arial"/>
          <w:lang w:val="es-ES"/>
        </w:rPr>
        <w:tab/>
        <w:t xml:space="preserve">De otra parte, la Ley 1712 de 2014 identifica como principios que orientan el acceso a la información pública el de máxima publicidad y el de transparencia en la información. El primero establece que toda información en posesión, bajo control o custodia de un sujeto obligado es pública y no podrá ser reservada o limitada sino por disposición constitucional o legal. Por su parte, el segundo alude al deber de los sujetos de proporcionar y facilitar el acceso a la misma en los términos más amplios posibles, y a través de los medios y procedimientos que establezca la ley. </w:t>
      </w:r>
    </w:p>
    <w:p w14:paraId="5E7FE203" w14:textId="77777777" w:rsidR="00653AAF" w:rsidRPr="00F16D2E" w:rsidRDefault="00653AAF" w:rsidP="003D25FD">
      <w:pPr>
        <w:widowControl w:val="0"/>
        <w:tabs>
          <w:tab w:val="left" w:pos="728"/>
        </w:tabs>
        <w:autoSpaceDE w:val="0"/>
        <w:autoSpaceDN w:val="0"/>
        <w:spacing w:after="120" w:line="276" w:lineRule="auto"/>
        <w:ind w:firstLine="709"/>
        <w:jc w:val="both"/>
        <w:rPr>
          <w:rFonts w:ascii="Verdana" w:eastAsia="Arial" w:hAnsi="Verdana" w:cs="Arial"/>
          <w:lang w:val="es-ES"/>
        </w:rPr>
      </w:pPr>
      <w:r w:rsidRPr="00F16D2E">
        <w:rPr>
          <w:rFonts w:ascii="Verdana" w:eastAsia="Arial" w:hAnsi="Verdana" w:cs="Arial"/>
          <w:lang w:val="es-ES"/>
        </w:rPr>
        <w:tab/>
        <w:t xml:space="preserve">La ley citada dispone, en el literal </w:t>
      </w:r>
      <w:r>
        <w:rPr>
          <w:rFonts w:ascii="Verdana" w:eastAsia="Arial" w:hAnsi="Verdana" w:cs="Arial"/>
          <w:lang w:val="es-ES"/>
        </w:rPr>
        <w:t>a</w:t>
      </w:r>
      <w:r w:rsidRPr="00F16D2E">
        <w:rPr>
          <w:rFonts w:ascii="Verdana" w:eastAsia="Arial" w:hAnsi="Verdana" w:cs="Arial"/>
          <w:lang w:val="es-ES"/>
        </w:rPr>
        <w:t xml:space="preserve">) del artículo </w:t>
      </w:r>
      <w:r>
        <w:rPr>
          <w:rFonts w:ascii="Verdana" w:eastAsia="Arial" w:hAnsi="Verdana" w:cs="Arial"/>
          <w:lang w:val="es-ES"/>
        </w:rPr>
        <w:t>5</w:t>
      </w:r>
      <w:r w:rsidRPr="00F16D2E">
        <w:rPr>
          <w:rFonts w:ascii="Verdana" w:eastAsia="Arial" w:hAnsi="Verdana" w:cs="Arial"/>
          <w:lang w:val="es-ES"/>
        </w:rPr>
        <w:t>, que los sujetos obligados, que son todas las entidades públicas</w:t>
      </w:r>
      <w:r w:rsidRPr="00F16D2E">
        <w:rPr>
          <w:rFonts w:ascii="Verdana" w:eastAsia="Arial" w:hAnsi="Verdana" w:cs="Arial"/>
          <w:vertAlign w:val="superscript"/>
          <w:lang w:val="es-ES"/>
        </w:rPr>
        <w:footnoteReference w:id="1"/>
      </w:r>
      <w:r w:rsidRPr="00F16D2E">
        <w:rPr>
          <w:rFonts w:ascii="Verdana" w:eastAsia="Arial" w:hAnsi="Verdana" w:cs="Arial"/>
          <w:lang w:val="es-ES"/>
        </w:rPr>
        <w:t>, deben publicar la información relativa a su contratación. Esta obligación fue en principio desarrollada por el Decreto 103 de 2015, compilado en el Decreto 1081 de 2015, el cual dispuso que la publicación de la información contractual de los sujetos obligados, que contratan con cargo a recursos públicos, debe hacerse en el Sistema Electrónico de Contratación Pública –SECOP–</w:t>
      </w:r>
      <w:r w:rsidRPr="00F16D2E">
        <w:rPr>
          <w:rFonts w:ascii="Verdana" w:eastAsia="Arial" w:hAnsi="Verdana" w:cs="Arial"/>
          <w:vertAlign w:val="superscript"/>
          <w:lang w:val="es-ES"/>
        </w:rPr>
        <w:footnoteReference w:id="2"/>
      </w:r>
      <w:r w:rsidRPr="00F16D2E">
        <w:rPr>
          <w:rFonts w:ascii="Verdana" w:eastAsia="Arial" w:hAnsi="Verdana" w:cs="Arial"/>
          <w:lang w:val="es-ES"/>
        </w:rPr>
        <w:t>.</w:t>
      </w:r>
    </w:p>
    <w:p w14:paraId="6B0E6AF9" w14:textId="77777777" w:rsidR="00653AAF" w:rsidRPr="00F16D2E" w:rsidRDefault="00653AAF" w:rsidP="003D25FD">
      <w:pPr>
        <w:widowControl w:val="0"/>
        <w:tabs>
          <w:tab w:val="left" w:pos="728"/>
        </w:tabs>
        <w:autoSpaceDE w:val="0"/>
        <w:autoSpaceDN w:val="0"/>
        <w:spacing w:after="120" w:line="276" w:lineRule="auto"/>
        <w:ind w:firstLine="709"/>
        <w:jc w:val="both"/>
        <w:rPr>
          <w:rFonts w:ascii="Verdana" w:eastAsia="Arial" w:hAnsi="Verdana" w:cs="Arial"/>
          <w:lang w:val="es-ES"/>
        </w:rPr>
      </w:pPr>
      <w:r w:rsidRPr="00F16D2E">
        <w:rPr>
          <w:rFonts w:ascii="Verdana" w:eastAsia="Arial" w:hAnsi="Verdana" w:cs="Arial"/>
          <w:lang w:val="es-ES"/>
        </w:rPr>
        <w:tab/>
        <w:t xml:space="preserve">Asimismo, de acuerdo con el literal g) del artículo 11 de la misma Ley, todos los destinatarios de la ley de transparencia deben garantizar la publicidad de “sus procedimientos, lineamientos, políticas en materia de adquisiciones y compras, así como todos los datos de adjudicación y ejecución de contratos, incluidos concursos y licitaciones”, y esta información también debe estar en el SECOP. </w:t>
      </w:r>
    </w:p>
    <w:p w14:paraId="232AC327" w14:textId="77777777" w:rsidR="00653AAF" w:rsidRPr="00F16D2E" w:rsidRDefault="00653AAF" w:rsidP="003D25FD">
      <w:pPr>
        <w:widowControl w:val="0"/>
        <w:tabs>
          <w:tab w:val="left" w:pos="728"/>
        </w:tabs>
        <w:autoSpaceDE w:val="0"/>
        <w:autoSpaceDN w:val="0"/>
        <w:spacing w:after="120" w:line="276" w:lineRule="auto"/>
        <w:ind w:firstLine="709"/>
        <w:jc w:val="both"/>
        <w:rPr>
          <w:rFonts w:ascii="Verdana" w:hAnsi="Verdana" w:cs="Arial"/>
          <w:lang w:val="es-ES"/>
        </w:rPr>
      </w:pPr>
      <w:r w:rsidRPr="00F16D2E">
        <w:rPr>
          <w:rFonts w:ascii="Verdana" w:eastAsia="Arial" w:hAnsi="Verdana" w:cs="Arial"/>
          <w:lang w:val="es-ES"/>
        </w:rPr>
        <w:tab/>
      </w:r>
      <w:r w:rsidRPr="00F16D2E">
        <w:rPr>
          <w:rFonts w:ascii="Verdana" w:hAnsi="Verdana" w:cs="Arial"/>
          <w:lang w:val="es-ES"/>
        </w:rPr>
        <w:t>El deber de publicidad que se desprende del artículo 3 de la Ley 1150 de 2007 está reglamentado por el artículo 2.2.1.1.1.7.1 del Decreto 1082 de 2015, el cual dispone los documentos que deben publicarse y al SECOP como medio de publicación</w:t>
      </w:r>
      <w:r w:rsidRPr="00F16D2E">
        <w:rPr>
          <w:rFonts w:ascii="Verdana" w:hAnsi="Verdana" w:cs="Arial"/>
          <w:vertAlign w:val="superscript"/>
          <w:lang w:val="es-ES"/>
        </w:rPr>
        <w:footnoteReference w:id="3"/>
      </w:r>
      <w:r w:rsidRPr="00F16D2E">
        <w:rPr>
          <w:rFonts w:ascii="Verdana" w:hAnsi="Verdana" w:cs="Arial"/>
          <w:lang w:val="es-ES"/>
        </w:rPr>
        <w:t>. De acuerdo con esto, las entidades deben cumplir con el principio de publicidad respecto de su actividad contractual como garantía para los administrados, para conocer las actuaciones y participar en el control de estas, siendo el SECOP la herramienta que dispuso el Estado para que las entidades cumplan el principio de publicidad.</w:t>
      </w:r>
    </w:p>
    <w:p w14:paraId="3A8D69D6" w14:textId="77777777" w:rsidR="00653AAF" w:rsidRDefault="00653AAF" w:rsidP="003D25FD">
      <w:pPr>
        <w:widowControl w:val="0"/>
        <w:tabs>
          <w:tab w:val="left" w:pos="728"/>
        </w:tabs>
        <w:autoSpaceDE w:val="0"/>
        <w:autoSpaceDN w:val="0"/>
        <w:spacing w:after="120" w:line="276" w:lineRule="auto"/>
        <w:ind w:firstLine="709"/>
        <w:jc w:val="both"/>
        <w:rPr>
          <w:rFonts w:ascii="Verdana" w:hAnsi="Verdana" w:cs="Arial"/>
          <w:lang w:val="es-ES"/>
        </w:rPr>
      </w:pPr>
      <w:r w:rsidRPr="00F16D2E">
        <w:rPr>
          <w:rFonts w:ascii="Verdana" w:hAnsi="Verdana" w:cs="Arial"/>
          <w:lang w:val="es-ES"/>
        </w:rPr>
        <w:tab/>
        <w:t>Ahora bien, las entidades estatales, conforme al artículo 2.2.1.1.1.7.1 del Decreto 1082 de 2015, tienen la obligación de publicar en el SECOP “[…] los Documentos del Proceso y los actos administrativos del Proceso de Contratación […]”. La expresión Documentos del Proceso está definida en el artículo 2.2.1.1.1.3.1 del Decreto 1082 de 2015, donde se establece que son “(a) los estudios y documentos previos; (b) el aviso de convocatoria; (c) los pliegos de condiciones o la invitación; (d) las adendas; (e) la oferta; (f) el informe de evaluación; (g) el contrato; y cualquier otro documento expedido por la Entidad Estatal durante el Proceso de Contratación”.</w:t>
      </w:r>
    </w:p>
    <w:p w14:paraId="5E221932" w14:textId="77777777" w:rsidR="00653AAF" w:rsidRPr="00F16D2E" w:rsidRDefault="00653AAF" w:rsidP="003D25FD">
      <w:pPr>
        <w:widowControl w:val="0"/>
        <w:autoSpaceDE w:val="0"/>
        <w:autoSpaceDN w:val="0"/>
        <w:spacing w:after="120" w:line="276" w:lineRule="auto"/>
        <w:ind w:firstLine="709"/>
        <w:jc w:val="both"/>
        <w:rPr>
          <w:rFonts w:ascii="Verdana" w:eastAsia="Arial" w:hAnsi="Verdana" w:cs="Arial"/>
          <w:lang w:val="es-ES"/>
        </w:rPr>
      </w:pPr>
      <w:r w:rsidRPr="00F16D2E">
        <w:rPr>
          <w:rFonts w:ascii="Verdana" w:eastAsia="Arial" w:hAnsi="Verdana" w:cs="Arial"/>
          <w:lang w:val="es-ES"/>
        </w:rPr>
        <w:t xml:space="preserve">No obstante, para identificar los documentos que deben publicarse, es necesario realizar una interpretación sistemática de las disposiciones del Decreto 1082 del 2015, comoquiera que el anterior no es un listado taxativo, sino enunciativo. En efecto, además de los documentos enlistados, el artículo 2.2.1.1.1.3.1 </w:t>
      </w:r>
      <w:r w:rsidRPr="00F16D2E">
        <w:rPr>
          <w:rFonts w:ascii="Verdana" w:eastAsia="Arial" w:hAnsi="Verdana" w:cs="Arial"/>
          <w:i/>
          <w:iCs/>
          <w:lang w:val="es-ES"/>
        </w:rPr>
        <w:t>Ibídem</w:t>
      </w:r>
      <w:r w:rsidRPr="00F16D2E">
        <w:rPr>
          <w:rFonts w:ascii="Verdana" w:eastAsia="Arial" w:hAnsi="Verdana" w:cs="Arial"/>
          <w:lang w:val="es-ES"/>
        </w:rPr>
        <w:t xml:space="preserve"> recoge en la noción de </w:t>
      </w:r>
      <w:r w:rsidRPr="00F16D2E">
        <w:rPr>
          <w:rFonts w:ascii="Verdana" w:eastAsia="Arial" w:hAnsi="Verdana" w:cs="Arial"/>
          <w:i/>
          <w:iCs/>
          <w:lang w:val="es-ES"/>
        </w:rPr>
        <w:t>Documentos del Proceso</w:t>
      </w:r>
      <w:r w:rsidRPr="00F16D2E">
        <w:rPr>
          <w:rFonts w:ascii="Verdana" w:eastAsia="Arial" w:hAnsi="Verdana" w:cs="Arial"/>
          <w:lang w:val="es-ES"/>
        </w:rPr>
        <w:t xml:space="preserve"> “cualquier otro documento expedido por la Entidad Estatal durante el </w:t>
      </w:r>
      <w:r w:rsidRPr="00F16D2E">
        <w:rPr>
          <w:rFonts w:ascii="Verdana" w:eastAsia="Arial" w:hAnsi="Verdana" w:cs="Arial"/>
          <w:i/>
          <w:iCs/>
          <w:lang w:val="es-ES"/>
        </w:rPr>
        <w:t>Proceso de Contratación”</w:t>
      </w:r>
      <w:r w:rsidRPr="00F16D2E">
        <w:rPr>
          <w:rFonts w:ascii="Verdana" w:eastAsia="Arial" w:hAnsi="Verdana" w:cs="Arial"/>
          <w:lang w:val="es-ES"/>
        </w:rPr>
        <w:t xml:space="preserve">. Este mismo artículo define la expresión </w:t>
      </w:r>
      <w:r w:rsidRPr="00F16D2E">
        <w:rPr>
          <w:rFonts w:ascii="Verdana" w:eastAsia="Arial" w:hAnsi="Verdana" w:cs="Arial"/>
          <w:i/>
          <w:iCs/>
          <w:lang w:val="es-ES"/>
        </w:rPr>
        <w:t>Proceso de Contratación</w:t>
      </w:r>
      <w:r w:rsidRPr="00F16D2E">
        <w:rPr>
          <w:rFonts w:ascii="Verdana" w:eastAsia="Arial" w:hAnsi="Verdana" w:cs="Arial"/>
          <w:lang w:val="es-ES"/>
        </w:rPr>
        <w:t xml:space="preserve"> como el “Conjunto de actos y actividades, y su secuencia, adelantadas por la Entidad Estatal desde la planeación hasta el vencimiento de las garantías de calidad, estabilidad y mantenimiento, o las condiciones de disposición final o recuperación ambiental de las obras o bienes o el vencimiento del plazo, lo que ocurra más tarde”. </w:t>
      </w:r>
    </w:p>
    <w:p w14:paraId="5D2D86ED" w14:textId="77777777" w:rsidR="00653AAF" w:rsidRDefault="00653AAF" w:rsidP="003D25FD">
      <w:pPr>
        <w:widowControl w:val="0"/>
        <w:autoSpaceDE w:val="0"/>
        <w:autoSpaceDN w:val="0"/>
        <w:spacing w:after="120" w:line="276" w:lineRule="auto"/>
        <w:ind w:firstLine="709"/>
        <w:jc w:val="both"/>
        <w:rPr>
          <w:rFonts w:ascii="Verdana" w:eastAsia="Arial" w:hAnsi="Verdana" w:cs="Arial"/>
          <w:lang w:val="es-ES"/>
        </w:rPr>
      </w:pPr>
      <w:r w:rsidRPr="00F16D2E">
        <w:rPr>
          <w:rFonts w:ascii="Verdana" w:eastAsia="Arial" w:hAnsi="Verdana" w:cs="Arial"/>
          <w:lang w:val="es-ES"/>
        </w:rPr>
        <w:t xml:space="preserve">En todo caso, de conformidad con la segunda parte del inciso primero del artículo 2.2.1.1.1.7.1 </w:t>
      </w:r>
      <w:r w:rsidRPr="00F16D2E">
        <w:rPr>
          <w:rFonts w:ascii="Verdana" w:eastAsia="Arial" w:hAnsi="Verdana" w:cs="Arial"/>
          <w:i/>
          <w:iCs/>
          <w:lang w:val="es-ES"/>
        </w:rPr>
        <w:t>Ibidem</w:t>
      </w:r>
      <w:r w:rsidRPr="00F16D2E">
        <w:rPr>
          <w:rFonts w:ascii="Verdana" w:eastAsia="Arial" w:hAnsi="Verdana" w:cs="Arial"/>
          <w:lang w:val="es-ES"/>
        </w:rPr>
        <w:t xml:space="preserve">, el deber de publicar las actuaciones realizadas en el marco del proceso de contratación, en lo referente a las ofertas presentadas, solo se predica de la propuesta del adjudicatario, así que no es necesario publicar las demás. </w:t>
      </w:r>
      <w:r w:rsidRPr="00F16D2E">
        <w:rPr>
          <w:rFonts w:ascii="Verdana" w:eastAsia="Arial" w:hAnsi="Verdana" w:cs="Arial"/>
          <w:i/>
          <w:iCs/>
          <w:lang w:val="es-ES"/>
        </w:rPr>
        <w:t xml:space="preserve"> </w:t>
      </w:r>
      <w:r w:rsidRPr="00F16D2E">
        <w:rPr>
          <w:rFonts w:ascii="Verdana" w:eastAsia="Arial" w:hAnsi="Verdana" w:cs="Arial"/>
          <w:lang w:val="es-ES"/>
        </w:rPr>
        <w:t>Del deber de publicidad, de conformidad con la tercera parte del inciso primero de la referida norma, también se encuentran exentos los documentos de las operaciones que se realicen en bolsa de productos.</w:t>
      </w:r>
    </w:p>
    <w:p w14:paraId="369E244A" w14:textId="77777777" w:rsidR="00653AAF" w:rsidRPr="00F16D2E" w:rsidRDefault="00653AAF" w:rsidP="003D25FD">
      <w:pPr>
        <w:widowControl w:val="0"/>
        <w:autoSpaceDE w:val="0"/>
        <w:autoSpaceDN w:val="0"/>
        <w:spacing w:after="120" w:line="276" w:lineRule="auto"/>
        <w:ind w:firstLine="709"/>
        <w:jc w:val="both"/>
        <w:rPr>
          <w:rFonts w:ascii="Verdana" w:eastAsia="Arial" w:hAnsi="Verdana" w:cs="Arial"/>
          <w:lang w:val="es-ES"/>
        </w:rPr>
      </w:pPr>
      <w:r w:rsidRPr="00F16D2E">
        <w:rPr>
          <w:rFonts w:ascii="Verdana" w:eastAsia="Arial" w:hAnsi="Verdana" w:cs="Arial"/>
          <w:lang w:val="es-ES"/>
        </w:rPr>
        <w:t xml:space="preserve">De lo anterior puede concluirse que, en virtud de lo dispuesto en el artículo 3 de la Ley 1150 de 2007, desarrollado por el artículo 2.2.1.1.1.7.1. del Decreto 1082 de 2015, las entidades están obligadas a publicar en el SECOP todos los documentos relacionados con el </w:t>
      </w:r>
      <w:r w:rsidRPr="00F16D2E">
        <w:rPr>
          <w:rFonts w:ascii="Verdana" w:eastAsia="Arial" w:hAnsi="Verdana" w:cs="Arial"/>
          <w:i/>
          <w:iCs/>
          <w:lang w:val="es-ES"/>
        </w:rPr>
        <w:t>Proceso de Contratación</w:t>
      </w:r>
      <w:r w:rsidRPr="00F16D2E">
        <w:rPr>
          <w:rFonts w:ascii="Verdana" w:eastAsia="Arial" w:hAnsi="Verdana" w:cs="Arial"/>
          <w:lang w:val="es-ES"/>
        </w:rPr>
        <w:t xml:space="preserve"> expedidos durante las etapas precontractual, de ejecución y postcontractual. Este deber aplica a todas las modalidades de selección y entidades regidas por el Estatuto General de Contratación de la Administración Pública, y solo se encuentran excluidas las ofertas perdedoras y los documentos expedidos en el marco de operaciones de bolsa de productos. </w:t>
      </w:r>
    </w:p>
    <w:p w14:paraId="6BE2FDD3" w14:textId="77777777" w:rsidR="00653AAF" w:rsidRDefault="00653AAF" w:rsidP="003D25FD">
      <w:pPr>
        <w:spacing w:after="120" w:line="276" w:lineRule="auto"/>
        <w:ind w:firstLine="709"/>
        <w:jc w:val="both"/>
        <w:rPr>
          <w:rFonts w:ascii="Verdana" w:eastAsia="Arial" w:hAnsi="Verdana" w:cs="Arial"/>
          <w:lang w:val="es-ES"/>
        </w:rPr>
      </w:pPr>
      <w:r w:rsidRPr="00F16D2E">
        <w:rPr>
          <w:rFonts w:ascii="Verdana" w:eastAsia="Calibri" w:hAnsi="Verdana" w:cs="Arial"/>
          <w:lang w:val="es-ES"/>
        </w:rPr>
        <w:t xml:space="preserve">Adicionalmente, el deber de publicar la actividad contractual de las entidades estatales no solo está regulado en el artículo 3 de la Ley 1150 de 2007 y en el </w:t>
      </w:r>
      <w:r w:rsidRPr="00F16D2E">
        <w:rPr>
          <w:rFonts w:ascii="Verdana" w:eastAsia="Arial" w:hAnsi="Verdana" w:cs="Arial"/>
          <w:lang w:val="es-ES"/>
        </w:rPr>
        <w:t xml:space="preserve">artículo 2.2.1.1.1.7.1 del Decreto 1082 de 2015, sino también en la Ley 1712 de 2014 y en el Decreto 1081 de 2015. Estas normas no solo refuerzan y complementan al régimen de contratación estatal en cuanto a la publicidad, sino que lo amplía, para incluir la publicación de los “procedimientos” y la información relativa a la “gestión contractual”, sin el condicionamiento de tratarse exclusivamente de los </w:t>
      </w:r>
      <w:r w:rsidRPr="00F16D2E">
        <w:rPr>
          <w:rFonts w:ascii="Verdana" w:eastAsia="Arial" w:hAnsi="Verdana" w:cs="Arial"/>
          <w:i/>
          <w:iCs/>
          <w:lang w:val="es-ES"/>
        </w:rPr>
        <w:t xml:space="preserve">Documentos del Proceso </w:t>
      </w:r>
      <w:r w:rsidRPr="00F16D2E">
        <w:rPr>
          <w:rFonts w:ascii="Verdana" w:eastAsia="Arial" w:hAnsi="Verdana" w:cs="Arial"/>
          <w:lang w:val="es-ES"/>
        </w:rPr>
        <w:t xml:space="preserve">expedidos por la “entidad estatal”. </w:t>
      </w:r>
    </w:p>
    <w:p w14:paraId="7E308AC6" w14:textId="77777777" w:rsidR="00653AAF" w:rsidRDefault="00653AAF" w:rsidP="003D25FD">
      <w:pPr>
        <w:spacing w:after="120" w:line="276" w:lineRule="auto"/>
        <w:ind w:firstLine="709"/>
        <w:jc w:val="both"/>
        <w:rPr>
          <w:rFonts w:ascii="Verdana" w:eastAsia="Arial" w:hAnsi="Verdana" w:cs="Arial"/>
          <w:lang w:val="es-ES"/>
        </w:rPr>
      </w:pPr>
      <w:r w:rsidRPr="00F16D2E">
        <w:rPr>
          <w:rFonts w:ascii="Verdana" w:eastAsia="Arial" w:hAnsi="Verdana" w:cs="Arial"/>
          <w:lang w:val="es-ES"/>
        </w:rPr>
        <w:t xml:space="preserve">Es necesario tener en cuenta que la Ley de Transparencia define el concepto de información pública. Por un lado, el literal a) del artículo 6 de la Ley 1712 de 2014 dispone que la </w:t>
      </w:r>
      <w:r w:rsidRPr="00F16D2E">
        <w:rPr>
          <w:rFonts w:ascii="Verdana" w:eastAsia="Arial" w:hAnsi="Verdana" w:cs="Arial"/>
          <w:i/>
          <w:iCs/>
          <w:lang w:val="es-ES"/>
        </w:rPr>
        <w:t>información</w:t>
      </w:r>
      <w:r w:rsidRPr="00F16D2E">
        <w:rPr>
          <w:rFonts w:ascii="Verdana" w:eastAsia="Arial" w:hAnsi="Verdana" w:cs="Arial"/>
          <w:lang w:val="es-ES"/>
        </w:rPr>
        <w:t xml:space="preserve"> se “Se refiere a un conjunto organizado de datos contenido en cualquier documento que los sujetos obligados generen, obtengan, adquieran, transformen o controlen”. Además, el literal b) </w:t>
      </w:r>
      <w:r w:rsidRPr="00F16D2E">
        <w:rPr>
          <w:rFonts w:ascii="Verdana" w:eastAsia="Arial" w:hAnsi="Verdana" w:cs="Arial"/>
          <w:i/>
          <w:iCs/>
          <w:lang w:val="es-ES"/>
        </w:rPr>
        <w:t>ibidem</w:t>
      </w:r>
      <w:r w:rsidRPr="00F16D2E">
        <w:rPr>
          <w:rFonts w:ascii="Verdana" w:eastAsia="Arial" w:hAnsi="Verdana" w:cs="Arial"/>
          <w:lang w:val="es-ES"/>
        </w:rPr>
        <w:t xml:space="preserve"> define la </w:t>
      </w:r>
      <w:r w:rsidRPr="00F16D2E">
        <w:rPr>
          <w:rFonts w:ascii="Verdana" w:eastAsia="Arial" w:hAnsi="Verdana" w:cs="Arial"/>
          <w:i/>
          <w:iCs/>
          <w:lang w:val="es-ES"/>
        </w:rPr>
        <w:t>información pública</w:t>
      </w:r>
      <w:r w:rsidRPr="00F16D2E">
        <w:rPr>
          <w:rFonts w:ascii="Verdana" w:eastAsia="Arial" w:hAnsi="Verdana" w:cs="Arial"/>
          <w:lang w:val="es-ES"/>
        </w:rPr>
        <w:t xml:space="preserve"> como “[…] toda información que un sujeto obligado </w:t>
      </w:r>
      <w:proofErr w:type="gramStart"/>
      <w:r w:rsidRPr="00F16D2E">
        <w:rPr>
          <w:rFonts w:ascii="Verdana" w:eastAsia="Arial" w:hAnsi="Verdana" w:cs="Arial"/>
          <w:lang w:val="es-ES"/>
        </w:rPr>
        <w:t>genere,</w:t>
      </w:r>
      <w:proofErr w:type="gramEnd"/>
      <w:r w:rsidRPr="00F16D2E">
        <w:rPr>
          <w:rFonts w:ascii="Verdana" w:eastAsia="Arial" w:hAnsi="Verdana" w:cs="Arial"/>
          <w:lang w:val="es-ES"/>
        </w:rPr>
        <w:t xml:space="preserve"> obtenga, adquiera, o controle en su calidad de tal”.</w:t>
      </w:r>
    </w:p>
    <w:p w14:paraId="2748C957" w14:textId="77777777" w:rsidR="00653AAF" w:rsidRPr="00F16D2E" w:rsidRDefault="00653AAF" w:rsidP="003D25FD">
      <w:pPr>
        <w:spacing w:after="120" w:line="276" w:lineRule="auto"/>
        <w:ind w:firstLine="709"/>
        <w:jc w:val="both"/>
        <w:rPr>
          <w:rFonts w:ascii="Verdana" w:eastAsia="Calibri" w:hAnsi="Verdana" w:cs="Arial"/>
          <w:lang w:val="es-ES"/>
        </w:rPr>
      </w:pPr>
      <w:r w:rsidRPr="00F16D2E">
        <w:rPr>
          <w:rFonts w:ascii="Verdana" w:eastAsia="Calibri" w:hAnsi="Verdana" w:cs="Arial"/>
          <w:lang w:val="es-ES"/>
        </w:rPr>
        <w:t xml:space="preserve">Las publicaciones que corresponde efectuar a las entidades estatales, como sujetos obligados por la normativa de la transparencia y acceso a la información pública, antes que una derogación o subrogación del contenido del deber de publicidad regulado por el EGCAP, suponen una ampliación de su alcance, que lo extiende de la simple publicación de la información “producida por la entidad estatal” asociada a la noción de </w:t>
      </w:r>
      <w:r w:rsidRPr="00F16D2E">
        <w:rPr>
          <w:rFonts w:ascii="Verdana" w:eastAsia="Calibri" w:hAnsi="Verdana" w:cs="Arial"/>
          <w:i/>
          <w:iCs/>
          <w:lang w:val="es-ES"/>
        </w:rPr>
        <w:t>Documentos del Proceso</w:t>
      </w:r>
      <w:r w:rsidRPr="00F16D2E">
        <w:rPr>
          <w:rFonts w:ascii="Verdana" w:eastAsia="Calibri" w:hAnsi="Verdana" w:cs="Arial"/>
          <w:lang w:val="es-ES"/>
        </w:rPr>
        <w:t xml:space="preserve">. Esto implica que la publicación que corresponde a las entidades estatales, como sujetos obligados en el marco de la Ley 1712 de 2014, se extiende a todo el desarrollo del procedimiento, desde la etapa de planeación hasta el vencimiento de las garantías, incluyendo cada actuación que se produzca en ese lapso.  </w:t>
      </w:r>
    </w:p>
    <w:p w14:paraId="2E60C860" w14:textId="77777777" w:rsidR="00653AAF" w:rsidRPr="00F16D2E" w:rsidRDefault="00653AAF" w:rsidP="003D25FD">
      <w:pPr>
        <w:spacing w:after="120" w:line="276" w:lineRule="auto"/>
        <w:ind w:firstLine="709"/>
        <w:contextualSpacing/>
        <w:jc w:val="both"/>
        <w:rPr>
          <w:rFonts w:ascii="Verdana" w:eastAsia="Calibri" w:hAnsi="Verdana" w:cs="Arial"/>
          <w:lang w:val="es-ES_tradnl" w:eastAsia="es-ES_tradnl"/>
        </w:rPr>
      </w:pPr>
      <w:r w:rsidRPr="00F16D2E">
        <w:rPr>
          <w:rFonts w:ascii="Verdana" w:hAnsi="Verdana" w:cs="Arial"/>
          <w:lang w:val="es-ES"/>
        </w:rPr>
        <w:t xml:space="preserve">Para los contratos de régimen exceptuado, el deber de publicidad y transparencia </w:t>
      </w:r>
      <w:bookmarkStart w:id="6" w:name="_Hlk114572097"/>
      <w:bookmarkStart w:id="7" w:name="_Hlk112856043"/>
      <w:bookmarkStart w:id="8" w:name="_Hlk112245356"/>
      <w:r w:rsidRPr="00F16D2E">
        <w:rPr>
          <w:rFonts w:ascii="Verdana" w:hAnsi="Verdana" w:cs="Arial"/>
          <w:lang w:val="es-ES"/>
        </w:rPr>
        <w:t>fue complementado</w:t>
      </w:r>
      <w:r w:rsidRPr="00F16D2E">
        <w:rPr>
          <w:rFonts w:ascii="Verdana" w:hAnsi="Verdana" w:cs="Arial"/>
        </w:rPr>
        <w:t xml:space="preserve"> con la Ley 2195 de 2022. </w:t>
      </w:r>
      <w:r w:rsidRPr="00F16D2E">
        <w:rPr>
          <w:rFonts w:ascii="Verdana" w:eastAsia="Calibri" w:hAnsi="Verdana" w:cs="Arial"/>
          <w:lang w:val="es-ES_tradnl" w:eastAsia="es-ES_tradnl"/>
        </w:rPr>
        <w:t>Según el artículo 1, esta Ley “</w:t>
      </w:r>
      <w:r w:rsidRPr="00F16D2E">
        <w:rPr>
          <w:rFonts w:ascii="Verdana" w:eastAsia="Times New Roman" w:hAnsi="Verdana" w:cs="Arial"/>
          <w:lang w:val="es-ES_tradnl" w:eastAsia="es-ES_tradnl"/>
        </w:rPr>
        <w:t xml:space="preserve">[…] </w:t>
      </w:r>
      <w:r w:rsidRPr="00F16D2E">
        <w:rPr>
          <w:rFonts w:ascii="Verdana" w:eastAsia="Calibri" w:hAnsi="Verdana" w:cs="Arial"/>
          <w:lang w:val="es-ES_tradnl" w:eastAsia="es-ES_tradnl"/>
        </w:rPr>
        <w:t xml:space="preserve">tiene por objeto adoptar disposiciones tendientes a prevenir los actos de corrupción, a reforzar la articulación y coordinación de las entidades del Estado y a recuperar los daños ocasionados por dichos actos con el fin de asegurar promover la cultura de la legalidad e integridad y recuperar la confianza ciudadana y el respeto por lo público”. </w:t>
      </w:r>
    </w:p>
    <w:p w14:paraId="51F3E670" w14:textId="77777777" w:rsidR="00653AAF" w:rsidRPr="00F16D2E" w:rsidRDefault="00653AAF" w:rsidP="003D25FD">
      <w:pPr>
        <w:spacing w:after="120" w:line="276" w:lineRule="auto"/>
        <w:ind w:firstLine="709"/>
        <w:contextualSpacing/>
        <w:jc w:val="both"/>
        <w:rPr>
          <w:rFonts w:ascii="Verdana" w:eastAsia="Calibri" w:hAnsi="Verdana" w:cs="Arial"/>
          <w:sz w:val="12"/>
          <w:szCs w:val="12"/>
          <w:lang w:val="es-ES_tradnl" w:eastAsia="es-ES_tradnl"/>
        </w:rPr>
      </w:pPr>
    </w:p>
    <w:p w14:paraId="14DC2F2E" w14:textId="77777777" w:rsidR="00653AAF" w:rsidRPr="00F16D2E" w:rsidRDefault="00653AAF" w:rsidP="003D25FD">
      <w:pPr>
        <w:spacing w:after="120" w:line="276" w:lineRule="auto"/>
        <w:ind w:firstLine="709"/>
        <w:contextualSpacing/>
        <w:jc w:val="both"/>
        <w:rPr>
          <w:rFonts w:ascii="Verdana" w:hAnsi="Verdana" w:cs="Arial"/>
        </w:rPr>
      </w:pPr>
      <w:r w:rsidRPr="00F16D2E">
        <w:rPr>
          <w:rFonts w:ascii="Verdana" w:eastAsia="Calibri" w:hAnsi="Verdana" w:cs="Arial"/>
          <w:lang w:val="es-ES_tradnl" w:eastAsia="es-ES_tradnl"/>
        </w:rPr>
        <w:t xml:space="preserve">Dentro del capítulo VIII, por el cual se expiden “Disposiciones en materia contractual para la moralización y la transparencia”, se ubica </w:t>
      </w:r>
      <w:r w:rsidRPr="00F16D2E">
        <w:rPr>
          <w:rFonts w:ascii="Verdana" w:hAnsi="Verdana" w:cs="Arial"/>
        </w:rPr>
        <w:t>el artículo 53. Este adiciona el artículo 13 de la Ley 1150 de 2007, y obliga a las entidades estatales que por disposición legal cuenten con un régimen contractual excepcional al del Estatuto General de Contratación de la Administración Pública a publicar los documentos relacionados con su actividad contractual en el Sistema Electrónico para la Contratación Pública –SECOP II– o la plataforma transaccional que haga sus veces.</w:t>
      </w:r>
      <w:bookmarkEnd w:id="6"/>
      <w:r w:rsidRPr="00F16D2E">
        <w:rPr>
          <w:rFonts w:ascii="Verdana" w:hAnsi="Verdana" w:cs="Arial"/>
        </w:rPr>
        <w:t xml:space="preserve"> </w:t>
      </w:r>
      <w:bookmarkEnd w:id="7"/>
      <w:bookmarkEnd w:id="8"/>
      <w:r w:rsidRPr="00F16D2E">
        <w:rPr>
          <w:rFonts w:ascii="Verdana" w:hAnsi="Verdana" w:cs="Arial"/>
        </w:rPr>
        <w:t>Al respecto, la norma citada dispone lo siguiente:</w:t>
      </w:r>
    </w:p>
    <w:p w14:paraId="5E0ABF0B" w14:textId="77777777" w:rsidR="00653AAF" w:rsidRPr="00F16D2E" w:rsidRDefault="00653AAF" w:rsidP="00653AAF">
      <w:pPr>
        <w:spacing w:line="276" w:lineRule="auto"/>
        <w:ind w:firstLine="301"/>
        <w:contextualSpacing/>
        <w:rPr>
          <w:rFonts w:ascii="Verdana" w:hAnsi="Verdana" w:cs="Arial"/>
        </w:rPr>
      </w:pPr>
    </w:p>
    <w:p w14:paraId="5D4FDFD6" w14:textId="77777777" w:rsidR="00653AAF" w:rsidRPr="00F16D2E" w:rsidRDefault="00653AAF" w:rsidP="003D25FD">
      <w:pPr>
        <w:spacing w:after="0" w:line="240" w:lineRule="auto"/>
        <w:ind w:left="709" w:right="709"/>
        <w:contextualSpacing/>
        <w:jc w:val="both"/>
        <w:rPr>
          <w:rFonts w:ascii="Verdana" w:eastAsia="Calibri" w:hAnsi="Verdana" w:cs="Arial"/>
          <w:sz w:val="21"/>
          <w:szCs w:val="21"/>
        </w:rPr>
      </w:pPr>
      <w:r w:rsidRPr="00F16D2E">
        <w:rPr>
          <w:rFonts w:ascii="Verdana" w:eastAsia="Calibri" w:hAnsi="Verdana" w:cs="Arial"/>
          <w:sz w:val="21"/>
          <w:szCs w:val="21"/>
        </w:rPr>
        <w:t>“Adiciónese los siguientes incisos al artículo 13 de la Ley 1150 de 2007, el cual quedará así:</w:t>
      </w:r>
    </w:p>
    <w:p w14:paraId="5C4B0296" w14:textId="77777777" w:rsidR="00653AAF" w:rsidRPr="00F16D2E" w:rsidRDefault="00653AAF" w:rsidP="003D25FD">
      <w:pPr>
        <w:spacing w:after="0" w:line="240" w:lineRule="auto"/>
        <w:ind w:left="709" w:right="709"/>
        <w:contextualSpacing/>
        <w:jc w:val="both"/>
        <w:rPr>
          <w:rFonts w:ascii="Verdana" w:eastAsia="Calibri" w:hAnsi="Verdana" w:cs="Arial"/>
          <w:sz w:val="12"/>
          <w:szCs w:val="12"/>
        </w:rPr>
      </w:pPr>
    </w:p>
    <w:p w14:paraId="44AF1945" w14:textId="77777777" w:rsidR="00653AAF" w:rsidRPr="00F16D2E" w:rsidRDefault="00653AAF" w:rsidP="003D25FD">
      <w:pPr>
        <w:spacing w:after="0" w:line="240" w:lineRule="auto"/>
        <w:ind w:left="709" w:right="709"/>
        <w:contextualSpacing/>
        <w:jc w:val="both"/>
        <w:rPr>
          <w:rFonts w:ascii="Verdana" w:eastAsia="Calibri" w:hAnsi="Verdana" w:cs="Arial"/>
          <w:sz w:val="21"/>
          <w:szCs w:val="21"/>
        </w:rPr>
      </w:pPr>
      <w:r w:rsidRPr="00F16D2E">
        <w:rPr>
          <w:rFonts w:ascii="Verdana" w:eastAsia="Calibri" w:hAnsi="Verdana" w:cs="Arial"/>
          <w:sz w:val="21"/>
          <w:szCs w:val="21"/>
        </w:rPr>
        <w:t>Artículo 13. PRINCIPIOS GENERALES DE LA ACTIVIDAD CONTRACTUAL PARA ENTIDADES NO SOMETIDAS AL ESTATUTO GENERAL DE CONTRATACIÓN DE LA ADMINISTRACIÓN PÚBLICA. Las entidades estatales que por disposición legal cuenten con un régimen contractual excepcional al del Estatuto General de Contratación de la Administración Pública, aplicarán en desarrollo de su actividad contractual, acorde con su régimen legal especial, los principios de la función administrativa y de la gestión fiscal de que tratan los artículos 209 y 267 de la Constitución Política, respectivamente según sea el caso y estarán sometidas al régimen de inhabilidades e incompatibilidades previsto legalmente para la contratación estatal.</w:t>
      </w:r>
    </w:p>
    <w:p w14:paraId="0C6951AC" w14:textId="77777777" w:rsidR="00653AAF" w:rsidRPr="00F16D2E" w:rsidRDefault="00653AAF" w:rsidP="003D25FD">
      <w:pPr>
        <w:spacing w:after="0" w:line="240" w:lineRule="auto"/>
        <w:ind w:left="709" w:right="709"/>
        <w:contextualSpacing/>
        <w:jc w:val="both"/>
        <w:rPr>
          <w:rFonts w:ascii="Verdana" w:eastAsia="Calibri" w:hAnsi="Verdana" w:cs="Arial"/>
          <w:sz w:val="12"/>
          <w:szCs w:val="12"/>
        </w:rPr>
      </w:pPr>
    </w:p>
    <w:p w14:paraId="3F6EF2A6" w14:textId="77777777" w:rsidR="00653AAF" w:rsidRPr="00F16D2E" w:rsidRDefault="00653AAF" w:rsidP="003D25FD">
      <w:pPr>
        <w:spacing w:after="0" w:line="240" w:lineRule="auto"/>
        <w:ind w:left="709" w:right="709"/>
        <w:contextualSpacing/>
        <w:jc w:val="both"/>
        <w:rPr>
          <w:rFonts w:ascii="Verdana" w:eastAsia="Calibri" w:hAnsi="Verdana" w:cs="Arial"/>
          <w:i/>
          <w:iCs/>
          <w:sz w:val="21"/>
          <w:szCs w:val="21"/>
        </w:rPr>
      </w:pPr>
      <w:r w:rsidRPr="00F16D2E">
        <w:rPr>
          <w:rFonts w:ascii="Verdana" w:eastAsia="Calibri" w:hAnsi="Verdana" w:cs="Arial"/>
          <w:i/>
          <w:iCs/>
          <w:sz w:val="21"/>
          <w:szCs w:val="21"/>
        </w:rPr>
        <w:t>En desarrollo de los anteriores principios, deberán publicar los documentos relacionados con su actividad contractual en el Sistema Electrónico para la Contratación Pública –SECOP II– o la plataforma transaccional que haga sus veces. Para los efectos de este artículo, se entiende por actividad contractual los documentos, contratos, actos e información generada por oferentes, contratista, contratante, supervisor o interventor, tanto en la etapa precontractual, como en la contractual y la postcontractual.</w:t>
      </w:r>
    </w:p>
    <w:p w14:paraId="1E5FA8DE" w14:textId="77777777" w:rsidR="00653AAF" w:rsidRPr="00F16D2E" w:rsidRDefault="00653AAF" w:rsidP="003D25FD">
      <w:pPr>
        <w:spacing w:after="0" w:line="240" w:lineRule="auto"/>
        <w:ind w:left="709" w:right="709"/>
        <w:contextualSpacing/>
        <w:jc w:val="both"/>
        <w:rPr>
          <w:rFonts w:ascii="Verdana" w:eastAsia="Calibri" w:hAnsi="Verdana" w:cs="Arial"/>
          <w:i/>
          <w:iCs/>
          <w:sz w:val="12"/>
          <w:szCs w:val="12"/>
        </w:rPr>
      </w:pPr>
    </w:p>
    <w:p w14:paraId="56DE08F7" w14:textId="77777777" w:rsidR="00653AAF" w:rsidRPr="00F16D2E" w:rsidRDefault="00653AAF" w:rsidP="003D25FD">
      <w:pPr>
        <w:spacing w:after="0" w:line="240" w:lineRule="auto"/>
        <w:ind w:left="709" w:right="709"/>
        <w:contextualSpacing/>
        <w:jc w:val="both"/>
        <w:rPr>
          <w:rFonts w:ascii="Verdana" w:eastAsia="Calibri" w:hAnsi="Verdana" w:cs="Arial"/>
          <w:sz w:val="21"/>
          <w:szCs w:val="21"/>
        </w:rPr>
      </w:pPr>
      <w:r w:rsidRPr="00F16D2E">
        <w:rPr>
          <w:rFonts w:ascii="Verdana" w:eastAsia="Calibri" w:hAnsi="Verdana" w:cs="Arial"/>
          <w:sz w:val="21"/>
          <w:szCs w:val="21"/>
        </w:rPr>
        <w:t>A partir de la entrada en vigencia de la presente Ley, se establecerá un periodo de transición de seis (6) meses, para que las entidades den cumplimiento efectivo a lo aquí establecido” (Énfasis fuera de texto).</w:t>
      </w:r>
    </w:p>
    <w:p w14:paraId="1F0ACE0A" w14:textId="77777777" w:rsidR="00653AAF" w:rsidRPr="00F16D2E" w:rsidRDefault="00653AAF" w:rsidP="003D25FD">
      <w:pPr>
        <w:spacing w:after="0" w:line="240" w:lineRule="auto"/>
        <w:ind w:left="709" w:right="709" w:firstLine="709"/>
        <w:contextualSpacing/>
        <w:jc w:val="both"/>
        <w:rPr>
          <w:rFonts w:ascii="Verdana" w:eastAsia="Calibri" w:hAnsi="Verdana" w:cs="Arial"/>
          <w:lang w:val="es-ES_tradnl"/>
        </w:rPr>
      </w:pPr>
    </w:p>
    <w:p w14:paraId="7C8F1518" w14:textId="77777777" w:rsidR="00653AAF" w:rsidRPr="00F16D2E" w:rsidRDefault="00653AAF" w:rsidP="00081207">
      <w:pPr>
        <w:spacing w:after="120" w:line="276" w:lineRule="auto"/>
        <w:ind w:firstLine="709"/>
        <w:jc w:val="both"/>
        <w:rPr>
          <w:rFonts w:ascii="Verdana" w:eastAsia="Calibri" w:hAnsi="Verdana" w:cs="Arial"/>
          <w:lang w:val="es-ES_tradnl" w:eastAsia="es-ES_tradnl"/>
        </w:rPr>
      </w:pPr>
      <w:r w:rsidRPr="00F16D2E">
        <w:rPr>
          <w:rFonts w:ascii="Verdana" w:eastAsia="Calibri" w:hAnsi="Verdana" w:cs="Arial"/>
          <w:lang w:val="es-ES_tradnl"/>
        </w:rPr>
        <w:t xml:space="preserve">Cabe destacar que cuando la norma trascrita hace referencia a que el mencionado deber de publicidad debe cumplirse en el SECOP II o </w:t>
      </w:r>
      <w:r w:rsidRPr="00F16D2E">
        <w:rPr>
          <w:rFonts w:ascii="Verdana" w:hAnsi="Verdana" w:cs="Arial"/>
        </w:rPr>
        <w:t>“</w:t>
      </w:r>
      <w:r w:rsidRPr="00F16D2E">
        <w:rPr>
          <w:rFonts w:ascii="Verdana" w:eastAsia="Calibri" w:hAnsi="Verdana" w:cs="Arial"/>
          <w:lang w:val="es-ES_tradnl"/>
        </w:rPr>
        <w:t xml:space="preserve">la plataforma transaccional que haga sus veces”, esta expresión debe interpretarse bajo el entendido de que si bien el SECOP II es la plataforma oficial que actualmente se utiliza como mecanismo transaccional, en caso de que dicha plataforma sea remplazada por otra que tenga una denominación distinta, las entidades que tienen un régimen exceptuado deben continuar publicando la documentación de su actividad contractual en la nueva plataforma. En ese sentido, la locución </w:t>
      </w:r>
      <w:r w:rsidRPr="00F16D2E">
        <w:rPr>
          <w:rFonts w:ascii="Verdana" w:hAnsi="Verdana" w:cs="Arial"/>
        </w:rPr>
        <w:t>“</w:t>
      </w:r>
      <w:r w:rsidRPr="00F16D2E">
        <w:rPr>
          <w:rFonts w:ascii="Verdana" w:eastAsia="Calibri" w:hAnsi="Verdana" w:cs="Arial"/>
          <w:lang w:val="es-ES_tradnl"/>
        </w:rPr>
        <w:t>la plataforma que haga sus veces</w:t>
      </w:r>
      <w:r w:rsidRPr="00F16D2E">
        <w:rPr>
          <w:rFonts w:ascii="Verdana" w:hAnsi="Verdana" w:cs="Arial"/>
        </w:rPr>
        <w:t>”</w:t>
      </w:r>
      <w:r w:rsidRPr="00F16D2E">
        <w:rPr>
          <w:rFonts w:ascii="Verdana" w:eastAsia="Calibri" w:hAnsi="Verdana" w:cs="Arial"/>
          <w:lang w:val="es-ES_tradnl"/>
        </w:rPr>
        <w:t xml:space="preserve"> no puede interpretarse como una autorización para que las entidades obligadas en virtud del artículo 53 de la Ley 2195 de 2022 puedan emplear sus páginas web o sus propios portales electrónicos para cumplir con el deber de publicidad que les asiste. </w:t>
      </w:r>
      <w:r w:rsidRPr="00F16D2E">
        <w:rPr>
          <w:rFonts w:ascii="Verdana" w:eastAsia="Calibri" w:hAnsi="Verdana" w:cs="Arial"/>
          <w:lang w:val="es-ES_tradnl" w:eastAsia="es-ES_tradnl"/>
        </w:rPr>
        <w:t>Con esto se logra que la ciudadanía pueda encontrar en un mismo sistema la gestión de la actividad contractual del Estado, garantizándose en mayor grado la transparencia y el acceso a la información y documentación pública.</w:t>
      </w:r>
    </w:p>
    <w:p w14:paraId="18293428" w14:textId="77777777" w:rsidR="00653AAF" w:rsidRPr="00E62340" w:rsidRDefault="00653AAF" w:rsidP="00081207">
      <w:pPr>
        <w:spacing w:after="120" w:line="276" w:lineRule="auto"/>
        <w:ind w:firstLine="709"/>
        <w:jc w:val="both"/>
        <w:rPr>
          <w:rFonts w:ascii="Verdana" w:eastAsia="Calibri" w:hAnsi="Verdana" w:cs="Arial"/>
          <w:lang w:val="es-ES_tradnl"/>
        </w:rPr>
      </w:pPr>
      <w:bookmarkStart w:id="9" w:name="_Hlk109111956"/>
      <w:bookmarkStart w:id="10" w:name="_Hlk112245392"/>
      <w:r w:rsidRPr="00F16D2E">
        <w:rPr>
          <w:rFonts w:ascii="Verdana" w:eastAsia="Calibri" w:hAnsi="Verdana" w:cs="Arial"/>
          <w:lang w:val="es-ES_tradnl"/>
        </w:rPr>
        <w:t xml:space="preserve">En cuanto a los documentos que deben publicarse en el SECOP II, la norma citada hace referencia a los documentos relacionados con su </w:t>
      </w:r>
      <w:r w:rsidRPr="00F16D2E">
        <w:rPr>
          <w:rFonts w:ascii="Verdana" w:eastAsia="Calibri" w:hAnsi="Verdana" w:cs="Arial"/>
          <w:i/>
          <w:iCs/>
          <w:lang w:val="es-ES_tradnl"/>
        </w:rPr>
        <w:t>actividad contractual,</w:t>
      </w:r>
      <w:r w:rsidRPr="00F16D2E">
        <w:rPr>
          <w:rFonts w:ascii="Verdana" w:eastAsia="Calibri" w:hAnsi="Verdana" w:cs="Arial"/>
          <w:lang w:val="es-ES_tradnl"/>
        </w:rPr>
        <w:t xml:space="preserve"> es decir, “[…] los documentos, contratos, actos e información generada por oferentes, contratista, contratante, supervisor o interventor, tanto en la etapa precontractual, como en la contractual y la postcontractual”. En ese sentido, el artículo 53 de la Ley 2195 de 2022 establece el deber de publicar toda aquella información relacionada con el respectivo contrato, sin incluir ninguna excepción relacionada con la naturaleza u objeto. Por </w:t>
      </w:r>
      <w:bookmarkEnd w:id="9"/>
      <w:r w:rsidRPr="00F16D2E">
        <w:rPr>
          <w:rFonts w:ascii="Verdana" w:eastAsia="Calibri" w:hAnsi="Verdana" w:cs="Arial"/>
          <w:lang w:val="es-ES_tradnl"/>
        </w:rPr>
        <w:t xml:space="preserve">lo tanto, la publicidad de los contratos exceptuados del Estatuto General de que trata el artículo 53 de la Ley 2195 de 2022, requiere que se publique en el SECOP II todo documento expedido durante las diferentes etapas del proceso contractual, abarcando desde la fase previa a su celebración, pasando por la ejecución y hasta la fase posterior a su ejecución. </w:t>
      </w:r>
      <w:r w:rsidRPr="00F16D2E">
        <w:rPr>
          <w:rFonts w:ascii="Verdana" w:eastAsia="Calibri" w:hAnsi="Verdana" w:cs="Arial"/>
          <w:lang w:val="es-ES"/>
        </w:rPr>
        <w:t xml:space="preserve"> </w:t>
      </w:r>
      <w:bookmarkEnd w:id="10"/>
    </w:p>
    <w:p w14:paraId="7FC28E83" w14:textId="77777777" w:rsidR="00653AAF" w:rsidRDefault="00653AAF" w:rsidP="00081207">
      <w:pPr>
        <w:spacing w:after="120" w:line="276" w:lineRule="auto"/>
        <w:ind w:firstLine="709"/>
        <w:jc w:val="both"/>
        <w:rPr>
          <w:rFonts w:ascii="Verdana" w:eastAsia="Calibri" w:hAnsi="Verdana" w:cs="Arial"/>
          <w:lang w:val="es-ES_tradnl"/>
        </w:rPr>
      </w:pPr>
    </w:p>
    <w:p w14:paraId="65E22954" w14:textId="77777777" w:rsidR="00653AAF" w:rsidRPr="00F95B1D" w:rsidRDefault="00653AAF" w:rsidP="00081207">
      <w:pPr>
        <w:spacing w:after="120" w:line="276" w:lineRule="auto"/>
        <w:ind w:firstLine="709"/>
        <w:jc w:val="both"/>
        <w:rPr>
          <w:rFonts w:ascii="Verdana" w:eastAsia="Calibri" w:hAnsi="Verdana" w:cs="Arial"/>
          <w:color w:val="000000" w:themeColor="text1"/>
          <w:lang w:val="es-ES"/>
        </w:rPr>
      </w:pPr>
      <w:r w:rsidRPr="7EF3A662">
        <w:rPr>
          <w:rFonts w:ascii="Verdana" w:eastAsia="Calibri" w:hAnsi="Verdana" w:cs="Arial"/>
          <w:lang w:val="es-ES"/>
        </w:rPr>
        <w:t xml:space="preserve">ii. </w:t>
      </w:r>
      <w:r w:rsidRPr="7EF3A662">
        <w:rPr>
          <w:rFonts w:ascii="Verdana" w:eastAsia="Calibri" w:hAnsi="Verdana" w:cs="Arial"/>
          <w:color w:val="000000" w:themeColor="text1"/>
          <w:lang w:val="es-ES"/>
        </w:rPr>
        <w:t xml:space="preserve">Hace varios años el Estado tiende a la eliminación de los trámites innecesarios relacionados con las actuaciones que se adelantan ante las </w:t>
      </w:r>
      <w:proofErr w:type="gramStart"/>
      <w:r w:rsidRPr="7EF3A662">
        <w:rPr>
          <w:rFonts w:ascii="Verdana" w:eastAsia="Calibri" w:hAnsi="Verdana" w:cs="Arial"/>
          <w:color w:val="000000" w:themeColor="text1"/>
          <w:lang w:val="es-ES"/>
        </w:rPr>
        <w:t>autoridades públicas</w:t>
      </w:r>
      <w:proofErr w:type="gramEnd"/>
      <w:r w:rsidRPr="7EF3A662">
        <w:rPr>
          <w:rFonts w:ascii="Verdana" w:eastAsia="Calibri" w:hAnsi="Verdana" w:cs="Arial"/>
          <w:color w:val="000000" w:themeColor="text1"/>
          <w:lang w:val="es-ES"/>
        </w:rPr>
        <w:t>, buscando que las personas tengan una mejor calidad de vida, de manera que puedan utilizar el tiempo en otras actividades. Anteriormente las actuaciones oficiales, es decir, las que se realizan ante las entidades públicas, debían surtirse de manera presencial o a través del envío de documentación física, muchas veces cumpliendo con el requisito de la presentación personal. En la actualidad, se produce una inversión en la lógica que rige la relación de los ciudadanos con el Estado: i) en lugar de la presencialidad, se ha comenzado a privilegiar la virtualidad y ii) del reconocimiento de validez y autenticidad, exclusivamente, a la documentación física, se ha pasado a admitir dichos atributos respecto de la documentación electrónica.</w:t>
      </w:r>
    </w:p>
    <w:p w14:paraId="30587187" w14:textId="77777777" w:rsidR="00653AAF" w:rsidRPr="00F95B1D" w:rsidRDefault="00653AAF" w:rsidP="00081207">
      <w:pPr>
        <w:spacing w:after="120" w:line="276" w:lineRule="auto"/>
        <w:ind w:firstLine="709"/>
        <w:jc w:val="both"/>
        <w:rPr>
          <w:rFonts w:ascii="Verdana" w:eastAsia="Calibri" w:hAnsi="Verdana" w:cs="Arial"/>
          <w:color w:val="000000" w:themeColor="text1"/>
          <w:lang w:val="es-ES"/>
        </w:rPr>
      </w:pPr>
      <w:r w:rsidRPr="7EF3A662">
        <w:rPr>
          <w:rFonts w:ascii="Verdana" w:eastAsia="Calibri" w:hAnsi="Verdana" w:cs="Arial"/>
          <w:color w:val="000000" w:themeColor="text1"/>
          <w:lang w:val="es-ES"/>
        </w:rPr>
        <w:t>En este cambio de paradigma, la función de las normas “antitrámites” –como la Ley 962 de 2005, el Decreto Ley 019 de 2012, así como el Decreto 2106 de 2019– ha sido decisiva. Pero no solo estas disposiciones han permitido o exigido el uso de medios electrónicos en las actuaciones administrativas. También lo han hecho la Ley 527 de 1999, la Ley 1150 de 2007 y la Ley 1437 de 2011.</w:t>
      </w:r>
    </w:p>
    <w:p w14:paraId="4C08251A" w14:textId="77777777" w:rsidR="00653AAF" w:rsidRPr="00F95B1D" w:rsidRDefault="00653AAF" w:rsidP="00081207">
      <w:pPr>
        <w:spacing w:after="120" w:line="276" w:lineRule="auto"/>
        <w:ind w:firstLine="709"/>
        <w:jc w:val="both"/>
        <w:rPr>
          <w:rFonts w:ascii="Verdana" w:eastAsia="Calibri" w:hAnsi="Verdana" w:cs="Arial"/>
          <w:color w:val="000000" w:themeColor="text1"/>
          <w:lang w:val="es-ES_tradnl"/>
        </w:rPr>
      </w:pPr>
      <w:r w:rsidRPr="00F95B1D">
        <w:rPr>
          <w:rFonts w:ascii="Verdana" w:eastAsia="Calibri" w:hAnsi="Verdana" w:cs="Arial"/>
          <w:color w:val="000000" w:themeColor="text1"/>
          <w:lang w:val="es-ES_tradnl"/>
        </w:rPr>
        <w:t xml:space="preserve">En efecto, </w:t>
      </w:r>
      <w:bookmarkStart w:id="11" w:name="_Hlk56157243"/>
      <w:r w:rsidRPr="00F95B1D">
        <w:rPr>
          <w:rFonts w:ascii="Verdana" w:eastAsia="Calibri" w:hAnsi="Verdana" w:cs="Arial"/>
          <w:color w:val="000000" w:themeColor="text1"/>
          <w:lang w:val="es-ES_tradnl"/>
        </w:rPr>
        <w:t xml:space="preserve">el artículo 10 de la Ley 527 de 1999, “Por medio de la cual se define y reglamenta el acceso y uso de los mensajes de datos, del comercio electrónico y de las firmas digitales, y se establecen las entidades de certificación y se dictan otras disposiciones”, dispone que, “En toda actuación administrativa o judicial, no se negará eficacia, validez o fuerza obligatoria y probatoria a todo tipo de información en forma de un mensaje de datos, por el sólo hecho que se trate de un mensaje de datos o en razón de no haber sido presentado en su forma original”. </w:t>
      </w:r>
    </w:p>
    <w:p w14:paraId="6F844736" w14:textId="77777777" w:rsidR="00653AAF" w:rsidRPr="00F95B1D" w:rsidRDefault="00653AAF" w:rsidP="00081207">
      <w:pPr>
        <w:spacing w:after="120" w:line="276" w:lineRule="auto"/>
        <w:ind w:firstLine="709"/>
        <w:jc w:val="both"/>
        <w:rPr>
          <w:rFonts w:ascii="Verdana" w:eastAsia="Calibri" w:hAnsi="Verdana" w:cs="Arial"/>
          <w:color w:val="000000" w:themeColor="text1"/>
          <w:lang w:val="es-ES"/>
        </w:rPr>
      </w:pPr>
      <w:r w:rsidRPr="7EF3A662">
        <w:rPr>
          <w:rFonts w:ascii="Verdana" w:eastAsia="Calibri" w:hAnsi="Verdana" w:cs="Arial"/>
          <w:color w:val="000000" w:themeColor="text1"/>
          <w:lang w:val="es-ES"/>
        </w:rPr>
        <w:t>De igual manera, el artículo 2 define el “mensaje de datos” como “La información generada, enviada, recibida, almacenada o comunicada por medios electrónicos, ópticos o similares, como pudieran ser, entre otros, el Intercambio Electrónico de Datos (EDI), Internet, el correo electrónico, el telegrama, el télex o el telefax” –</w:t>
      </w:r>
      <w:proofErr w:type="spellStart"/>
      <w:r w:rsidRPr="7EF3A662">
        <w:rPr>
          <w:rFonts w:ascii="Verdana" w:eastAsia="Calibri" w:hAnsi="Verdana" w:cs="Arial"/>
          <w:color w:val="000000" w:themeColor="text1"/>
          <w:lang w:val="es-ES"/>
        </w:rPr>
        <w:t>lit.</w:t>
      </w:r>
      <w:proofErr w:type="spellEnd"/>
      <w:r w:rsidRPr="7EF3A662">
        <w:rPr>
          <w:rFonts w:ascii="Verdana" w:eastAsia="Calibri" w:hAnsi="Verdana" w:cs="Arial"/>
          <w:color w:val="000000" w:themeColor="text1"/>
          <w:lang w:val="es-ES"/>
        </w:rPr>
        <w:t xml:space="preserve"> a)– y “sistema de información” como “todo sistema utilizado para generar, enviar, recibir, archivar o procesar de alguna otra forma mensajes de datos” –</w:t>
      </w:r>
      <w:proofErr w:type="spellStart"/>
      <w:r w:rsidRPr="7EF3A662">
        <w:rPr>
          <w:rFonts w:ascii="Verdana" w:eastAsia="Calibri" w:hAnsi="Verdana" w:cs="Arial"/>
          <w:color w:val="000000" w:themeColor="text1"/>
          <w:lang w:val="es-ES"/>
        </w:rPr>
        <w:t>lit.</w:t>
      </w:r>
      <w:proofErr w:type="spellEnd"/>
      <w:r w:rsidRPr="7EF3A662">
        <w:rPr>
          <w:rFonts w:ascii="Verdana" w:eastAsia="Calibri" w:hAnsi="Verdana" w:cs="Arial"/>
          <w:color w:val="000000" w:themeColor="text1"/>
          <w:lang w:val="es-ES"/>
        </w:rPr>
        <w:t xml:space="preserve"> f)–. Bajo este entendido, las aplicaciones web, que posibilitan el envío de mensajes de datos escritos o audiovisuales, como </w:t>
      </w:r>
      <w:r w:rsidRPr="7EF3A662">
        <w:rPr>
          <w:rFonts w:ascii="Verdana" w:eastAsia="Calibri" w:hAnsi="Verdana" w:cs="Arial"/>
          <w:i/>
          <w:color w:val="000000" w:themeColor="text1"/>
          <w:lang w:val="es-ES"/>
        </w:rPr>
        <w:t>Skype</w:t>
      </w:r>
      <w:r w:rsidRPr="7EF3A662">
        <w:rPr>
          <w:rFonts w:ascii="Verdana" w:eastAsia="Calibri" w:hAnsi="Verdana" w:cs="Arial"/>
          <w:color w:val="000000" w:themeColor="text1"/>
          <w:lang w:val="es-ES"/>
        </w:rPr>
        <w:t xml:space="preserve">, </w:t>
      </w:r>
      <w:r w:rsidRPr="7EF3A662">
        <w:rPr>
          <w:rFonts w:ascii="Verdana" w:eastAsia="Calibri" w:hAnsi="Verdana" w:cs="Arial"/>
          <w:i/>
          <w:color w:val="000000" w:themeColor="text1"/>
          <w:lang w:val="es-ES"/>
        </w:rPr>
        <w:t>Facetime</w:t>
      </w:r>
      <w:r w:rsidRPr="7EF3A662">
        <w:rPr>
          <w:rFonts w:ascii="Verdana" w:eastAsia="Calibri" w:hAnsi="Verdana" w:cs="Arial"/>
          <w:color w:val="000000" w:themeColor="text1"/>
          <w:lang w:val="es-ES"/>
        </w:rPr>
        <w:t xml:space="preserve">, </w:t>
      </w:r>
      <w:r w:rsidRPr="7EF3A662">
        <w:rPr>
          <w:rFonts w:ascii="Verdana" w:eastAsia="Calibri" w:hAnsi="Verdana" w:cs="Arial"/>
          <w:i/>
          <w:color w:val="000000" w:themeColor="text1"/>
          <w:lang w:val="es-ES"/>
        </w:rPr>
        <w:t>Whatsapp</w:t>
      </w:r>
      <w:r w:rsidRPr="7EF3A662">
        <w:rPr>
          <w:rFonts w:ascii="Verdana" w:eastAsia="Calibri" w:hAnsi="Verdana" w:cs="Arial"/>
          <w:color w:val="000000" w:themeColor="text1"/>
          <w:lang w:val="es-ES"/>
        </w:rPr>
        <w:t xml:space="preserve">, </w:t>
      </w:r>
      <w:r w:rsidRPr="7EF3A662">
        <w:rPr>
          <w:rFonts w:ascii="Verdana" w:eastAsia="Calibri" w:hAnsi="Verdana" w:cs="Arial"/>
          <w:i/>
          <w:color w:val="000000" w:themeColor="text1"/>
          <w:lang w:val="es-ES"/>
        </w:rPr>
        <w:t>Teams</w:t>
      </w:r>
      <w:r w:rsidRPr="7EF3A662">
        <w:rPr>
          <w:rFonts w:ascii="Verdana" w:eastAsia="Calibri" w:hAnsi="Verdana" w:cs="Arial"/>
          <w:color w:val="000000" w:themeColor="text1"/>
          <w:lang w:val="es-ES"/>
        </w:rPr>
        <w:t>, entre otras, constituyen sistemas de información, permitidos por el legislador en las actuaciones administrativas.</w:t>
      </w:r>
    </w:p>
    <w:p w14:paraId="40ACCA9E" w14:textId="77777777" w:rsidR="00653AAF" w:rsidRPr="00F95B1D" w:rsidRDefault="00653AAF" w:rsidP="00081207">
      <w:pPr>
        <w:spacing w:after="120" w:line="276" w:lineRule="auto"/>
        <w:ind w:firstLine="709"/>
        <w:jc w:val="both"/>
        <w:rPr>
          <w:rFonts w:ascii="Verdana" w:eastAsia="Calibri" w:hAnsi="Verdana" w:cs="Arial"/>
          <w:color w:val="000000" w:themeColor="text1"/>
          <w:lang w:val="es-ES_tradnl"/>
        </w:rPr>
      </w:pPr>
      <w:r w:rsidRPr="00F95B1D">
        <w:rPr>
          <w:rFonts w:ascii="Verdana" w:eastAsia="Calibri" w:hAnsi="Verdana" w:cs="Arial"/>
          <w:color w:val="000000" w:themeColor="text1"/>
          <w:lang w:val="es-ES_tradnl"/>
        </w:rPr>
        <w:t>Adicionalmente, la Ley 1150 de 2007, “Por medio de la cual se introducen medidas para la eficiencia y la transparencia en la Ley 80 de 1993 y se dictan otras disposiciones generales sobre la contratación con Recursos Públicos”, incorporó la posibilidad de utilizar dichos sistemas de información y en general los medios electrónicos en las actuaciones contractuales</w:t>
      </w:r>
      <w:bookmarkEnd w:id="11"/>
      <w:r w:rsidRPr="00F95B1D">
        <w:rPr>
          <w:rFonts w:ascii="Verdana" w:eastAsia="Calibri" w:hAnsi="Verdana" w:cs="Arial"/>
          <w:color w:val="000000" w:themeColor="text1"/>
          <w:lang w:val="es-ES_tradnl"/>
        </w:rPr>
        <w:t>. Así se infiere del artículo 3, el cual dispone lo siguiente:</w:t>
      </w:r>
    </w:p>
    <w:p w14:paraId="3FE5EDBC" w14:textId="77777777" w:rsidR="00653AAF" w:rsidRPr="00F95B1D" w:rsidRDefault="00653AAF" w:rsidP="00081207">
      <w:pPr>
        <w:spacing w:after="120" w:line="276" w:lineRule="auto"/>
        <w:ind w:firstLine="709"/>
        <w:jc w:val="both"/>
        <w:rPr>
          <w:rFonts w:ascii="Verdana" w:eastAsia="Calibri" w:hAnsi="Verdana" w:cs="Arial"/>
          <w:color w:val="000000" w:themeColor="text1"/>
          <w:sz w:val="21"/>
          <w:szCs w:val="21"/>
          <w:lang w:val="es-ES_tradnl"/>
        </w:rPr>
      </w:pPr>
    </w:p>
    <w:p w14:paraId="72DE1312" w14:textId="77777777" w:rsidR="00653AAF" w:rsidRPr="00F95B1D" w:rsidRDefault="00653AAF" w:rsidP="00081207">
      <w:pPr>
        <w:spacing w:after="0" w:line="240" w:lineRule="auto"/>
        <w:ind w:left="709" w:right="709"/>
        <w:jc w:val="both"/>
        <w:rPr>
          <w:rFonts w:ascii="Verdana" w:eastAsia="Calibri" w:hAnsi="Verdana" w:cs="Arial"/>
          <w:color w:val="000000" w:themeColor="text1"/>
          <w:sz w:val="21"/>
          <w:szCs w:val="21"/>
          <w:lang w:val="es-ES"/>
        </w:rPr>
      </w:pPr>
      <w:bookmarkStart w:id="12" w:name="_Hlk56071452"/>
      <w:r w:rsidRPr="7EF3A662">
        <w:rPr>
          <w:rFonts w:ascii="Verdana" w:eastAsia="Calibri" w:hAnsi="Verdana" w:cs="Arial"/>
          <w:color w:val="000000" w:themeColor="text1"/>
          <w:sz w:val="21"/>
          <w:szCs w:val="21"/>
          <w:lang w:val="es-ES"/>
        </w:rPr>
        <w:t>De conformidad con lo dispuesto en la Ley 527 de 1999, la sustanciación de las actuaciones, la expedición de los actos administrativos, los documentos, contratos y en general los actos derivados de la actividad precontractual y contractual, podrán tener lugar por medios electrónicos</w:t>
      </w:r>
      <w:bookmarkEnd w:id="12"/>
      <w:r w:rsidRPr="7EF3A662">
        <w:rPr>
          <w:rFonts w:ascii="Verdana" w:eastAsia="Calibri" w:hAnsi="Verdana" w:cs="Arial"/>
          <w:color w:val="000000" w:themeColor="text1"/>
          <w:sz w:val="21"/>
          <w:szCs w:val="21"/>
          <w:lang w:val="es-ES"/>
        </w:rPr>
        <w:t>. Para el trámite, notificación y publicación de tales actos, podrán utilizarse soportes, medios y aplicaciones electrónicas. Los mecanismos e instrumentos por medio de los cuales las entidades cumplirán con las obligaciones de publicidad del proceso contractual serán señalados por el Gobierno Nacional.</w:t>
      </w:r>
    </w:p>
    <w:p w14:paraId="4C8E8835" w14:textId="77777777" w:rsidR="00653AAF" w:rsidRPr="00F95B1D" w:rsidRDefault="00653AAF" w:rsidP="00081207">
      <w:pPr>
        <w:spacing w:after="0" w:line="240" w:lineRule="auto"/>
        <w:ind w:left="709" w:right="709"/>
        <w:jc w:val="both"/>
        <w:rPr>
          <w:rFonts w:ascii="Verdana" w:eastAsia="Calibri" w:hAnsi="Verdana" w:cs="Arial"/>
          <w:color w:val="000000" w:themeColor="text1"/>
          <w:sz w:val="21"/>
          <w:szCs w:val="21"/>
          <w:lang w:val="es-ES_tradnl"/>
        </w:rPr>
      </w:pPr>
      <w:r w:rsidRPr="00F95B1D">
        <w:rPr>
          <w:rFonts w:ascii="Verdana" w:eastAsia="Calibri" w:hAnsi="Verdana" w:cs="Arial"/>
          <w:color w:val="000000" w:themeColor="text1"/>
          <w:sz w:val="21"/>
          <w:szCs w:val="21"/>
          <w:lang w:val="es-ES_tradnl"/>
        </w:rPr>
        <w:t>Lo anterior, sin perjuicio de las publicaciones previstas en el numeral 3 del artículo 30 de la Ley 80 de 1993.</w:t>
      </w:r>
    </w:p>
    <w:p w14:paraId="130C3E09" w14:textId="77777777" w:rsidR="00653AAF" w:rsidRPr="00F95B1D" w:rsidRDefault="00653AAF" w:rsidP="00081207">
      <w:pPr>
        <w:spacing w:after="0" w:line="240" w:lineRule="auto"/>
        <w:ind w:left="709" w:right="709"/>
        <w:jc w:val="both"/>
        <w:rPr>
          <w:rFonts w:ascii="Verdana" w:eastAsia="Calibri" w:hAnsi="Verdana" w:cs="Arial"/>
          <w:color w:val="000000" w:themeColor="text1"/>
          <w:sz w:val="21"/>
          <w:szCs w:val="21"/>
          <w:lang w:val="es-ES"/>
        </w:rPr>
      </w:pPr>
      <w:r w:rsidRPr="7EF3A662">
        <w:rPr>
          <w:rFonts w:ascii="Verdana" w:eastAsia="Calibri" w:hAnsi="Verdana" w:cs="Arial"/>
          <w:color w:val="000000" w:themeColor="text1"/>
          <w:sz w:val="21"/>
          <w:szCs w:val="21"/>
          <w:lang w:val="es-ES"/>
        </w:rPr>
        <w:t xml:space="preserve">Con el fin de materializar los objetivos a que se refiere el inciso anterior, el Gobierno Nacional desarrollará el </w:t>
      </w:r>
      <w:bookmarkStart w:id="13" w:name="_Hlk55988851"/>
      <w:r w:rsidRPr="7EF3A662">
        <w:rPr>
          <w:rFonts w:ascii="Verdana" w:eastAsia="Calibri" w:hAnsi="Verdana" w:cs="Arial"/>
          <w:color w:val="000000" w:themeColor="text1"/>
          <w:sz w:val="21"/>
          <w:szCs w:val="21"/>
          <w:lang w:val="es-ES"/>
        </w:rPr>
        <w:t>Sistema Electrónico para la Contratación Pública</w:t>
      </w:r>
      <w:bookmarkEnd w:id="13"/>
      <w:r w:rsidRPr="7EF3A662">
        <w:rPr>
          <w:rFonts w:ascii="Verdana" w:eastAsia="Calibri" w:hAnsi="Verdana" w:cs="Arial"/>
          <w:color w:val="000000" w:themeColor="text1"/>
          <w:sz w:val="21"/>
          <w:szCs w:val="21"/>
          <w:lang w:val="es-ES"/>
        </w:rPr>
        <w:t>, Secop, el cual:</w:t>
      </w:r>
    </w:p>
    <w:p w14:paraId="57B49E82" w14:textId="77777777" w:rsidR="00653AAF" w:rsidRPr="00F95B1D" w:rsidRDefault="00653AAF" w:rsidP="00081207">
      <w:pPr>
        <w:spacing w:after="0" w:line="240" w:lineRule="auto"/>
        <w:ind w:left="709" w:right="709"/>
        <w:jc w:val="both"/>
        <w:rPr>
          <w:rFonts w:ascii="Verdana" w:eastAsia="Calibri" w:hAnsi="Verdana" w:cs="Arial"/>
          <w:color w:val="000000" w:themeColor="text1"/>
          <w:sz w:val="21"/>
          <w:szCs w:val="21"/>
          <w:lang w:val="es-ES_tradnl"/>
        </w:rPr>
      </w:pPr>
      <w:r w:rsidRPr="00F95B1D">
        <w:rPr>
          <w:rFonts w:ascii="Verdana" w:eastAsia="Calibri" w:hAnsi="Verdana" w:cs="Arial"/>
          <w:color w:val="000000" w:themeColor="text1"/>
          <w:sz w:val="21"/>
          <w:szCs w:val="21"/>
          <w:lang w:val="es-ES_tradnl"/>
        </w:rPr>
        <w:t>a) Dispondrá de las funcionalidades tecnológicas para realizar procesos de contratación electrónicos bajo los métodos de selección señalados en el artículo 2o de la presente ley según lo defina el reglamento;</w:t>
      </w:r>
    </w:p>
    <w:p w14:paraId="4731C6C1" w14:textId="77777777" w:rsidR="00653AAF" w:rsidRPr="00F95B1D" w:rsidRDefault="00653AAF" w:rsidP="00081207">
      <w:pPr>
        <w:spacing w:after="0" w:line="240" w:lineRule="auto"/>
        <w:ind w:left="709" w:right="709"/>
        <w:jc w:val="both"/>
        <w:rPr>
          <w:rFonts w:ascii="Verdana" w:eastAsia="Calibri" w:hAnsi="Verdana" w:cs="Arial"/>
          <w:color w:val="000000" w:themeColor="text1"/>
          <w:sz w:val="21"/>
          <w:szCs w:val="21"/>
          <w:lang w:val="es-ES_tradnl"/>
        </w:rPr>
      </w:pPr>
      <w:r w:rsidRPr="00F95B1D">
        <w:rPr>
          <w:rFonts w:ascii="Verdana" w:eastAsia="Calibri" w:hAnsi="Verdana" w:cs="Arial"/>
          <w:color w:val="000000" w:themeColor="text1"/>
          <w:sz w:val="21"/>
          <w:szCs w:val="21"/>
          <w:lang w:val="es-ES_tradnl"/>
        </w:rPr>
        <w:t>b) Servirá de punto único de ingreso de información y de generación de reportes para las entidades estatales y la ciudadanía;</w:t>
      </w:r>
    </w:p>
    <w:p w14:paraId="5BA2B8AC" w14:textId="77777777" w:rsidR="00653AAF" w:rsidRPr="00F95B1D" w:rsidRDefault="00653AAF" w:rsidP="00081207">
      <w:pPr>
        <w:spacing w:after="0" w:line="240" w:lineRule="auto"/>
        <w:ind w:left="709" w:right="709"/>
        <w:jc w:val="both"/>
        <w:rPr>
          <w:rFonts w:ascii="Verdana" w:eastAsia="Calibri" w:hAnsi="Verdana" w:cs="Arial"/>
          <w:color w:val="000000" w:themeColor="text1"/>
          <w:sz w:val="21"/>
          <w:szCs w:val="21"/>
          <w:lang w:val="es-ES_tradnl"/>
        </w:rPr>
      </w:pPr>
      <w:r w:rsidRPr="00F95B1D">
        <w:rPr>
          <w:rFonts w:ascii="Verdana" w:eastAsia="Calibri" w:hAnsi="Verdana" w:cs="Arial"/>
          <w:color w:val="000000" w:themeColor="text1"/>
          <w:sz w:val="21"/>
          <w:szCs w:val="21"/>
          <w:lang w:val="es-ES_tradnl"/>
        </w:rPr>
        <w:t>c) Contará con la información oficial de la contratación realizada con dineros públicos, para lo cual establecerá los patrones a que haya lugar y se encargará de su difusión a través de canales electrónicos y;</w:t>
      </w:r>
    </w:p>
    <w:p w14:paraId="0C93812B" w14:textId="77777777" w:rsidR="00653AAF" w:rsidRPr="00F95B1D" w:rsidRDefault="00653AAF" w:rsidP="00081207">
      <w:pPr>
        <w:spacing w:after="0" w:line="240" w:lineRule="auto"/>
        <w:ind w:left="709" w:right="709"/>
        <w:jc w:val="both"/>
        <w:rPr>
          <w:rFonts w:ascii="Verdana" w:eastAsia="Calibri" w:hAnsi="Verdana" w:cs="Arial"/>
          <w:color w:val="000000" w:themeColor="text1"/>
          <w:sz w:val="21"/>
          <w:szCs w:val="21"/>
          <w:lang w:val="es-ES"/>
        </w:rPr>
      </w:pPr>
      <w:r w:rsidRPr="7EF3A662">
        <w:rPr>
          <w:rFonts w:ascii="Verdana" w:eastAsia="Calibri" w:hAnsi="Verdana" w:cs="Arial"/>
          <w:color w:val="000000" w:themeColor="text1"/>
          <w:sz w:val="21"/>
          <w:szCs w:val="21"/>
          <w:lang w:val="es-ES"/>
        </w:rPr>
        <w:t>d) Integrará el Registro Único Empresarial de las Cámaras de Comercio, el Diario Único de Contratación Estatal y los demás sistemas que involucren la gestión contractual pública. Así mismo, se articulará con el Sistema de Información para la Vigilancia de la Contratación Estatal, SICE, creado por la Ley 598 de 2000, sin que este pierda su autonomía para el ejercicio del control fiscal a la contratación pública.</w:t>
      </w:r>
    </w:p>
    <w:p w14:paraId="11CF0A91" w14:textId="77777777" w:rsidR="00653AAF" w:rsidRPr="00F95B1D" w:rsidRDefault="00653AAF" w:rsidP="00081207">
      <w:pPr>
        <w:spacing w:after="0" w:line="240" w:lineRule="auto"/>
        <w:ind w:left="709" w:right="709"/>
        <w:jc w:val="both"/>
        <w:rPr>
          <w:rFonts w:ascii="Verdana" w:eastAsia="Calibri" w:hAnsi="Verdana" w:cs="Arial"/>
          <w:color w:val="000000" w:themeColor="text1"/>
          <w:sz w:val="21"/>
          <w:szCs w:val="21"/>
          <w:lang w:val="es-ES"/>
        </w:rPr>
      </w:pPr>
      <w:r w:rsidRPr="7EF3A662">
        <w:rPr>
          <w:rFonts w:ascii="Verdana" w:eastAsia="Calibri" w:hAnsi="Verdana" w:cs="Arial"/>
          <w:color w:val="000000" w:themeColor="text1"/>
          <w:sz w:val="21"/>
          <w:szCs w:val="21"/>
          <w:lang w:val="es-ES"/>
        </w:rPr>
        <w:t>PARÁGRAFO 1o. En ningún caso la administración del Secop supondrá la creación de una nueva entidad.</w:t>
      </w:r>
    </w:p>
    <w:p w14:paraId="4ED51C24" w14:textId="77777777" w:rsidR="00653AAF" w:rsidRPr="00F95B1D" w:rsidRDefault="00653AAF" w:rsidP="00081207">
      <w:pPr>
        <w:spacing w:after="0" w:line="240" w:lineRule="auto"/>
        <w:ind w:left="709" w:right="709"/>
        <w:jc w:val="both"/>
        <w:rPr>
          <w:rFonts w:ascii="Verdana" w:eastAsia="Calibri" w:hAnsi="Verdana" w:cs="Arial"/>
          <w:color w:val="000000" w:themeColor="text1"/>
          <w:sz w:val="21"/>
          <w:szCs w:val="21"/>
          <w:lang w:val="es-ES"/>
        </w:rPr>
      </w:pPr>
      <w:r w:rsidRPr="7EF3A662">
        <w:rPr>
          <w:rFonts w:ascii="Verdana" w:eastAsia="Calibri" w:hAnsi="Verdana" w:cs="Arial"/>
          <w:color w:val="000000" w:themeColor="text1"/>
          <w:sz w:val="21"/>
          <w:szCs w:val="21"/>
          <w:lang w:val="es-ES"/>
        </w:rPr>
        <w:t>El Secop será administrado por el organismo que designe el Gobierno Nacional, sin perjuicio de la autonomía que respecto del SICE confiere la Ley 598 de 2000 a la Contraloría General de la República.</w:t>
      </w:r>
    </w:p>
    <w:p w14:paraId="60A56525" w14:textId="77777777" w:rsidR="00653AAF" w:rsidRPr="00F95B1D" w:rsidRDefault="00653AAF" w:rsidP="00653AAF">
      <w:pPr>
        <w:spacing w:after="0" w:line="276" w:lineRule="auto"/>
        <w:ind w:firstLine="709"/>
        <w:jc w:val="both"/>
        <w:rPr>
          <w:rFonts w:ascii="Verdana" w:eastAsia="Calibri" w:hAnsi="Verdana" w:cs="Arial"/>
          <w:color w:val="000000" w:themeColor="text1"/>
          <w:szCs w:val="24"/>
          <w:lang w:val="es-ES_tradnl"/>
        </w:rPr>
      </w:pPr>
    </w:p>
    <w:p w14:paraId="44263500" w14:textId="77777777" w:rsidR="00653AAF" w:rsidRPr="00F95B1D" w:rsidRDefault="00653AAF" w:rsidP="00081207">
      <w:pPr>
        <w:spacing w:after="120" w:line="276" w:lineRule="auto"/>
        <w:ind w:firstLine="709"/>
        <w:jc w:val="both"/>
        <w:rPr>
          <w:rFonts w:ascii="Verdana" w:eastAsia="Calibri" w:hAnsi="Verdana" w:cs="Arial"/>
          <w:color w:val="000000" w:themeColor="text1"/>
          <w:lang w:val="es-ES_tradnl"/>
        </w:rPr>
      </w:pPr>
      <w:bookmarkStart w:id="14" w:name="_Hlk56157422"/>
      <w:r w:rsidRPr="00F95B1D">
        <w:rPr>
          <w:rFonts w:ascii="Verdana" w:eastAsia="Calibri" w:hAnsi="Verdana" w:cs="Arial"/>
          <w:color w:val="000000" w:themeColor="text1"/>
          <w:lang w:val="es-ES_tradnl"/>
        </w:rPr>
        <w:t>Como se observa, la norma citada introduce en la contratación estatal la regulación contenida en la Ley 527 de 1999, permitiendo que el trámite de los procedimientos contractuales se realice por medios electrónicos; medios en los que cabe, como se indicó, el uso de sistemas de información para el envío de mensajes de datos</w:t>
      </w:r>
      <w:bookmarkEnd w:id="14"/>
      <w:r w:rsidRPr="00F95B1D">
        <w:rPr>
          <w:rFonts w:ascii="Verdana" w:eastAsia="Calibri" w:hAnsi="Verdana" w:cs="Arial"/>
          <w:color w:val="000000" w:themeColor="text1"/>
          <w:lang w:val="es-ES_tradnl"/>
        </w:rPr>
        <w:t>.</w:t>
      </w:r>
    </w:p>
    <w:p w14:paraId="08CC24CF" w14:textId="77777777" w:rsidR="00653AAF" w:rsidRPr="00F95B1D" w:rsidRDefault="00653AAF" w:rsidP="00081207">
      <w:pPr>
        <w:spacing w:after="120" w:line="276" w:lineRule="auto"/>
        <w:ind w:firstLine="709"/>
        <w:jc w:val="both"/>
        <w:rPr>
          <w:rFonts w:ascii="Verdana" w:eastAsia="Calibri" w:hAnsi="Verdana" w:cs="Arial"/>
          <w:color w:val="000000" w:themeColor="text1"/>
          <w:lang w:val="es-ES_tradnl"/>
        </w:rPr>
      </w:pPr>
      <w:r w:rsidRPr="00F95B1D">
        <w:rPr>
          <w:rFonts w:ascii="Verdana" w:eastAsia="Calibri" w:hAnsi="Verdana" w:cs="Arial"/>
          <w:color w:val="000000" w:themeColor="text1"/>
          <w:lang w:val="es-ES_tradnl"/>
        </w:rPr>
        <w:t xml:space="preserve">Incluso, la Ley 1437 de 2011, “Por la cual se expide el Código de Procedimiento Administrativo y de lo Contencioso Administrativo” continúan la línea explicada, consistente en el reconocimiento de validez a las actuaciones realizadas en sede virtual, y dedica un capítulo completo a la utilización de medios electrónicos en el procedimiento administrativo. En efecto, el artículo 5º, numeral 1, consagra, como derecho de las personas ante las autoridades, el de presentar peticiones y adelantar o promover estas actuaciones “por cualquier medio tecnológico o electrónico disponible en la entidad, aún por fuera de las horas de atención al público”; derecho al que le es correlativo el deber de las autoridades de “Tramitar las peticiones que lleguen vía fax o por medios electrónicos”, previsto en el artículo 7º, numeral 6. </w:t>
      </w:r>
    </w:p>
    <w:p w14:paraId="1AACCA94" w14:textId="77777777" w:rsidR="00653AAF" w:rsidRPr="00F95B1D" w:rsidRDefault="00653AAF" w:rsidP="00081207">
      <w:pPr>
        <w:spacing w:after="120" w:line="276" w:lineRule="auto"/>
        <w:ind w:firstLine="709"/>
        <w:jc w:val="both"/>
        <w:rPr>
          <w:rFonts w:ascii="Verdana" w:eastAsia="Calibri" w:hAnsi="Verdana" w:cs="Arial"/>
          <w:lang w:val="es-ES"/>
        </w:rPr>
      </w:pPr>
      <w:r w:rsidRPr="7EF3A662">
        <w:rPr>
          <w:rFonts w:ascii="Verdana" w:eastAsia="Calibri" w:hAnsi="Verdana" w:cs="Arial"/>
          <w:color w:val="000000" w:themeColor="text1"/>
          <w:lang w:val="es-ES"/>
        </w:rPr>
        <w:t xml:space="preserve">Asimismo, el artículo 35 establece que “Los procedimientos administrativos se adelantarán por escrito, verbalmente, o por medios electrónicos de conformidad con lo dispuesto en este Código o la ley”; en tanto que los artículos 53 al 64 regulan: i) la posibilidad de adelantar las actuaciones administrativas por medios electrónicos, ii) el registro para el uso de medios electrónicos, iii) el documento público por medio electrónico, </w:t>
      </w:r>
      <w:proofErr w:type="spellStart"/>
      <w:r w:rsidRPr="7EF3A662">
        <w:rPr>
          <w:rFonts w:ascii="Verdana" w:eastAsia="Calibri" w:hAnsi="Verdana" w:cs="Arial"/>
          <w:color w:val="000000" w:themeColor="text1"/>
          <w:lang w:val="es-ES"/>
        </w:rPr>
        <w:t>iv</w:t>
      </w:r>
      <w:proofErr w:type="spellEnd"/>
      <w:r w:rsidRPr="7EF3A662">
        <w:rPr>
          <w:rFonts w:ascii="Verdana" w:eastAsia="Calibri" w:hAnsi="Verdana" w:cs="Arial"/>
          <w:color w:val="000000" w:themeColor="text1"/>
          <w:lang w:val="es-ES"/>
        </w:rPr>
        <w:t xml:space="preserve">) la notificación electrónica, v) el acto administrativo electrónico, vi) el archivo electrónico de documentos, vii) el expediente electrónico, viii) la sede electrónica, </w:t>
      </w:r>
      <w:proofErr w:type="spellStart"/>
      <w:r w:rsidRPr="7EF3A662">
        <w:rPr>
          <w:rFonts w:ascii="Verdana" w:eastAsia="Calibri" w:hAnsi="Verdana" w:cs="Arial"/>
          <w:color w:val="000000" w:themeColor="text1"/>
          <w:lang w:val="es-ES"/>
        </w:rPr>
        <w:t>ix</w:t>
      </w:r>
      <w:proofErr w:type="spellEnd"/>
      <w:r w:rsidRPr="7EF3A662">
        <w:rPr>
          <w:rFonts w:ascii="Verdana" w:eastAsia="Calibri" w:hAnsi="Verdana" w:cs="Arial"/>
          <w:color w:val="000000" w:themeColor="text1"/>
          <w:lang w:val="es-ES"/>
        </w:rPr>
        <w:t xml:space="preserve">) la recepción de documentos electrónicos por parte de las autoridades, x) la prueba de recepción en envío de mensajes de datos por la autoridad, xi) las sesiones virtuales y </w:t>
      </w:r>
      <w:proofErr w:type="spellStart"/>
      <w:r w:rsidRPr="7EF3A662">
        <w:rPr>
          <w:rFonts w:ascii="Verdana" w:eastAsia="Calibri" w:hAnsi="Verdana" w:cs="Arial"/>
          <w:color w:val="000000" w:themeColor="text1"/>
          <w:lang w:val="es-ES"/>
        </w:rPr>
        <w:t>xii</w:t>
      </w:r>
      <w:proofErr w:type="spellEnd"/>
      <w:r w:rsidRPr="7EF3A662">
        <w:rPr>
          <w:rFonts w:ascii="Verdana" w:eastAsia="Calibri" w:hAnsi="Verdana" w:cs="Arial"/>
          <w:color w:val="000000" w:themeColor="text1"/>
          <w:lang w:val="es-ES"/>
        </w:rPr>
        <w:t xml:space="preserve">) los estándares y protocolos. </w:t>
      </w:r>
      <w:r w:rsidRPr="7EF3A662">
        <w:rPr>
          <w:rFonts w:ascii="Verdana" w:eastAsia="Calibri" w:hAnsi="Verdana" w:cs="Arial"/>
          <w:lang w:val="es-ES"/>
        </w:rPr>
        <w:t>La utilización de los medios electrónicos regulados en la Ley 1437 de 2011 en la contratación estatal es posible, a partir de la remisión del artículo 77 de la Ley 80 de 1993 a las normas del CPACA</w:t>
      </w:r>
      <w:r w:rsidRPr="7EF3A662">
        <w:rPr>
          <w:rStyle w:val="Refdenotaalpie"/>
          <w:rFonts w:ascii="Verdana" w:eastAsia="Calibri" w:hAnsi="Verdana" w:cs="Arial"/>
          <w:lang w:val="es-ES"/>
        </w:rPr>
        <w:footnoteReference w:id="4"/>
      </w:r>
      <w:r w:rsidRPr="7EF3A662">
        <w:rPr>
          <w:rFonts w:ascii="Verdana" w:eastAsia="Calibri" w:hAnsi="Verdana" w:cs="Arial"/>
          <w:lang w:val="es-ES"/>
        </w:rPr>
        <w:t xml:space="preserve">, que a su vez, como se indicó, remite a las disposiciones de la Ley 527 de 1999. </w:t>
      </w:r>
    </w:p>
    <w:p w14:paraId="71E45E23" w14:textId="77777777" w:rsidR="00653AAF" w:rsidRPr="00F95B1D" w:rsidRDefault="00653AAF" w:rsidP="00081207">
      <w:pPr>
        <w:spacing w:after="120" w:line="276" w:lineRule="auto"/>
        <w:ind w:firstLine="709"/>
        <w:jc w:val="both"/>
        <w:rPr>
          <w:rFonts w:ascii="Verdana" w:eastAsia="Calibri" w:hAnsi="Verdana" w:cs="Arial"/>
          <w:lang w:val="es-ES_tradnl"/>
        </w:rPr>
      </w:pPr>
      <w:r w:rsidRPr="00F95B1D">
        <w:rPr>
          <w:rFonts w:ascii="Verdana" w:eastAsia="Calibri" w:hAnsi="Verdana" w:cs="Arial"/>
          <w:lang w:val="es-ES_tradnl"/>
        </w:rPr>
        <w:t xml:space="preserve">Concretamente, el precitado artículo 3 de la Ley 1150 de 2007 crea </w:t>
      </w:r>
      <w:bookmarkStart w:id="15" w:name="_Hlk56073112"/>
      <w:r w:rsidRPr="00F95B1D">
        <w:rPr>
          <w:rFonts w:ascii="Verdana" w:eastAsia="Calibri" w:hAnsi="Verdana" w:cs="Arial"/>
          <w:lang w:val="es-ES_tradnl"/>
        </w:rPr>
        <w:t>el Sistema Electrónico para la Contratación Pública</w:t>
      </w:r>
      <w:bookmarkEnd w:id="15"/>
      <w:r w:rsidRPr="00F95B1D">
        <w:rPr>
          <w:rFonts w:ascii="Verdana" w:eastAsia="Calibri" w:hAnsi="Verdana" w:cs="Arial"/>
          <w:lang w:val="es-ES_tradnl"/>
        </w:rPr>
        <w:t xml:space="preserve">, el cual –de conformidad con el artículo 3.8 del Decreto 4170 de 2011– es administrado por esta Agencia. Esta plataforma no solo es un canal de publicidad de la gestión contractual de las entidades públicas, pues también es un medio transaccional para la suscripción de contratos electrónicos. A estas dos (2) facetas del SECOP se refiere la ley citada cuando dispone, respectivamente, que “De conformidad con lo dispuesto en la Ley 527 de 1999, […] la expedición de los […] contratos y en general los actos derivados de la actividad precontractual y contractual, podrán tener lugar por medios electrónicos” y que “Contará con la información oficial de la contratación realizada con dineros públicos, para lo cual establecerá los patrones a que haya lugar y se encargará de su difusión a través de canales electrónicos”. </w:t>
      </w:r>
    </w:p>
    <w:p w14:paraId="60FC64C4" w14:textId="77777777" w:rsidR="00653AAF" w:rsidRPr="00F95B1D" w:rsidRDefault="00653AAF" w:rsidP="00081207">
      <w:pPr>
        <w:spacing w:after="120" w:line="276" w:lineRule="auto"/>
        <w:ind w:firstLine="709"/>
        <w:jc w:val="both"/>
        <w:rPr>
          <w:rFonts w:ascii="Verdana" w:eastAsia="Calibri" w:hAnsi="Verdana" w:cs="Arial"/>
          <w:bCs/>
          <w:color w:val="000000" w:themeColor="text1"/>
          <w:lang w:val="es-ES_tradnl"/>
        </w:rPr>
      </w:pPr>
      <w:r w:rsidRPr="00F95B1D">
        <w:rPr>
          <w:rFonts w:ascii="Verdana" w:eastAsia="Calibri" w:hAnsi="Verdana" w:cs="Arial"/>
          <w:lang w:val="es-ES_tradnl"/>
        </w:rPr>
        <w:tab/>
        <w:t xml:space="preserve">El numeral 1.2 </w:t>
      </w:r>
      <w:r w:rsidRPr="00F95B1D">
        <w:rPr>
          <w:rFonts w:ascii="Verdana" w:eastAsia="Calibri" w:hAnsi="Verdana" w:cs="Arial"/>
        </w:rPr>
        <w:t>de la Circular Externa Única de la Agencia Nacional de Contratación Pública – Colombia Compra Eficiente dispone que el Sistema Electrónico para la Contratación Pública</w:t>
      </w:r>
      <w:r w:rsidRPr="00F95B1D">
        <w:rPr>
          <w:rFonts w:ascii="Verdana" w:eastAsia="Calibri" w:hAnsi="Verdana" w:cs="Arial"/>
          <w:lang w:val="es-ES_tradnl"/>
        </w:rPr>
        <w:t xml:space="preserve"> está compuesto por el SECOP I, el SECOP II y la Tienda Virtual del Estado Colombiano. Conforme a lo explicado en el párrafo precedente</w:t>
      </w:r>
      <w:r w:rsidRPr="00F95B1D">
        <w:rPr>
          <w:rFonts w:ascii="Verdana" w:eastAsia="Calibri" w:hAnsi="Verdana" w:cs="Arial"/>
          <w:bCs/>
          <w:color w:val="000000" w:themeColor="text1"/>
          <w:lang w:val="es-ES_tradnl"/>
        </w:rPr>
        <w:t xml:space="preserve">, el SECOP I solo funciona como medio de publicidad, es decir, no tiene carácter transaccional. Esto significa que el procedimiento contractual se adelanta fuera de la plataforma a través de un expediente físico. No obstante, las actuaciones y los documentos se convierten en electrónicos para cargarse posteriormente a la plataforma por quien tenga la función dentro de la entidad. </w:t>
      </w:r>
    </w:p>
    <w:p w14:paraId="4DB29D60" w14:textId="77777777" w:rsidR="00653AAF" w:rsidRDefault="00653AAF" w:rsidP="00081207">
      <w:pPr>
        <w:spacing w:after="120" w:line="276" w:lineRule="auto"/>
        <w:ind w:firstLine="709"/>
        <w:jc w:val="both"/>
        <w:rPr>
          <w:rFonts w:ascii="Verdana" w:eastAsia="Calibri" w:hAnsi="Verdana" w:cs="Arial"/>
          <w:color w:val="000000" w:themeColor="text1"/>
          <w:lang w:val="es-ES"/>
        </w:rPr>
      </w:pPr>
      <w:r w:rsidRPr="7EF3A662">
        <w:rPr>
          <w:rFonts w:ascii="Verdana" w:eastAsia="Calibri" w:hAnsi="Verdana" w:cs="Arial"/>
          <w:color w:val="000000" w:themeColor="text1"/>
          <w:lang w:val="es-ES"/>
        </w:rPr>
        <w:t>En contraste, el SECOP II permite generar contratos en línea y realizar la firma electrónica de los mismos. Tiene funciones que permiten al proveedor presentar garantías y facturas; y a la entidad estatal, realizar la revisión y aprobación de ambos tipos de documentos en línea. Además, el módulo permite hacer modificaciones contractuales, tanto unilaterales como bilaterales –estas últimas son enviadas para aprobación del proveedor antes de la publicación por parte de la entidad estatal–. Para registrar el seguimiento al avance de la ejecución, el módulo de gestión contractual habilita el registro de planes de ejecución por porcentaje de avance y el cargue de documentos tanto a proveedor como a la entidad estatal, la cual puede crear usuarios para que los supervisores de los contratos carguen la información pertinente. Finalmente, la liquidación y el cierre de los expedientes contractuales también puede realizarse a través del SECOP II. Es de destacar que la plataforma tiene un módulo de búsqueda pública que permite a los ciudadanos y entes de control revisar el avance en tiempo real de cualquier contrato realizado a través del SECOP II, sin necesidad de tener usuarios creados en la plataforma.</w:t>
      </w:r>
    </w:p>
    <w:p w14:paraId="6D4753E5" w14:textId="77777777" w:rsidR="00D0631E" w:rsidRDefault="00653AAF" w:rsidP="00D0631E">
      <w:pPr>
        <w:spacing w:after="120" w:line="276" w:lineRule="auto"/>
        <w:ind w:firstLine="709"/>
        <w:jc w:val="both"/>
        <w:rPr>
          <w:rFonts w:ascii="Verdana" w:eastAsia="Calibri" w:hAnsi="Verdana" w:cs="Arial"/>
          <w:bCs/>
          <w:color w:val="000000" w:themeColor="text1"/>
          <w:lang w:val="es-ES_tradnl"/>
        </w:rPr>
      </w:pPr>
      <w:r>
        <w:rPr>
          <w:rFonts w:ascii="Verdana" w:eastAsia="Calibri" w:hAnsi="Verdana" w:cs="Arial"/>
          <w:bCs/>
          <w:color w:val="000000" w:themeColor="text1"/>
          <w:lang w:val="es-ES_tradnl"/>
        </w:rPr>
        <w:t xml:space="preserve">Para estos efectos, la Circular Externa Única dispone que “[…] </w:t>
      </w:r>
      <w:r w:rsidRPr="00F95B1D">
        <w:rPr>
          <w:rFonts w:ascii="Verdana" w:eastAsia="Calibri" w:hAnsi="Verdana" w:cs="Arial"/>
          <w:bCs/>
          <w:color w:val="000000" w:themeColor="text1"/>
          <w:lang w:val="es-ES_tradnl"/>
        </w:rPr>
        <w:t>Toda la etapa de gestión</w:t>
      </w:r>
      <w:r>
        <w:rPr>
          <w:rFonts w:ascii="Verdana" w:eastAsia="Calibri" w:hAnsi="Verdana" w:cs="Arial"/>
          <w:bCs/>
          <w:color w:val="000000" w:themeColor="text1"/>
          <w:lang w:val="es-ES_tradnl"/>
        </w:rPr>
        <w:t xml:space="preserve"> </w:t>
      </w:r>
      <w:r w:rsidRPr="00F95B1D">
        <w:rPr>
          <w:rFonts w:ascii="Verdana" w:eastAsia="Calibri" w:hAnsi="Verdana" w:cs="Arial"/>
          <w:bCs/>
          <w:color w:val="000000" w:themeColor="text1"/>
          <w:lang w:val="es-ES_tradnl"/>
        </w:rPr>
        <w:t>contractual está contenida en la plataforma, lo que significa que la</w:t>
      </w:r>
      <w:r>
        <w:rPr>
          <w:rFonts w:ascii="Verdana" w:eastAsia="Calibri" w:hAnsi="Verdana" w:cs="Arial"/>
          <w:bCs/>
          <w:color w:val="000000" w:themeColor="text1"/>
          <w:lang w:val="es-ES_tradnl"/>
        </w:rPr>
        <w:t xml:space="preserve"> </w:t>
      </w:r>
      <w:r w:rsidRPr="00F95B1D">
        <w:rPr>
          <w:rFonts w:ascii="Verdana" w:eastAsia="Calibri" w:hAnsi="Verdana" w:cs="Arial"/>
          <w:bCs/>
          <w:color w:val="000000" w:themeColor="text1"/>
          <w:lang w:val="es-ES_tradnl"/>
        </w:rPr>
        <w:t>Entidad y el Proveedor deben incluir en el SECOP II la información</w:t>
      </w:r>
      <w:r>
        <w:rPr>
          <w:rFonts w:ascii="Verdana" w:eastAsia="Calibri" w:hAnsi="Verdana" w:cs="Arial"/>
          <w:bCs/>
          <w:color w:val="000000" w:themeColor="text1"/>
          <w:lang w:val="es-ES_tradnl"/>
        </w:rPr>
        <w:t xml:space="preserve"> </w:t>
      </w:r>
      <w:r w:rsidRPr="00F95B1D">
        <w:rPr>
          <w:rFonts w:ascii="Verdana" w:eastAsia="Calibri" w:hAnsi="Verdana" w:cs="Arial"/>
          <w:bCs/>
          <w:color w:val="000000" w:themeColor="text1"/>
          <w:lang w:val="es-ES_tradnl"/>
        </w:rPr>
        <w:t>correspondiente que no se genere en línea (garantías, facturas, informes</w:t>
      </w:r>
      <w:r>
        <w:rPr>
          <w:rFonts w:ascii="Verdana" w:eastAsia="Calibri" w:hAnsi="Verdana" w:cs="Arial"/>
          <w:bCs/>
          <w:color w:val="000000" w:themeColor="text1"/>
          <w:lang w:val="es-ES_tradnl"/>
        </w:rPr>
        <w:t xml:space="preserve"> </w:t>
      </w:r>
      <w:r w:rsidRPr="00F95B1D">
        <w:rPr>
          <w:rFonts w:ascii="Verdana" w:eastAsia="Calibri" w:hAnsi="Verdana" w:cs="Arial"/>
          <w:bCs/>
          <w:color w:val="000000" w:themeColor="text1"/>
          <w:lang w:val="es-ES_tradnl"/>
        </w:rPr>
        <w:t>de supervisión, modificaciones, etc.)</w:t>
      </w:r>
      <w:r>
        <w:rPr>
          <w:rFonts w:ascii="Verdana" w:eastAsia="Calibri" w:hAnsi="Verdana" w:cs="Arial"/>
          <w:bCs/>
          <w:color w:val="000000" w:themeColor="text1"/>
          <w:lang w:val="es-ES_tradnl"/>
        </w:rPr>
        <w:t xml:space="preserve">”. Esto significa que, a diferencia de SECOP I, en SECOP II no es necesario un expediente físico paralelo con la gestión contractual de los procesos adelantados. No obstante, el numeral 2 de la Circular precisa que “[…] </w:t>
      </w:r>
      <w:r w:rsidRPr="00F95B1D">
        <w:rPr>
          <w:rFonts w:ascii="Verdana" w:eastAsia="Calibri" w:hAnsi="Verdana" w:cs="Arial"/>
          <w:bCs/>
          <w:color w:val="000000" w:themeColor="text1"/>
          <w:lang w:val="es-ES_tradnl"/>
        </w:rPr>
        <w:t>En los casos en que el documento original haya sido producido en formato físico,</w:t>
      </w:r>
      <w:r>
        <w:rPr>
          <w:rFonts w:ascii="Verdana" w:eastAsia="Calibri" w:hAnsi="Verdana" w:cs="Arial"/>
          <w:bCs/>
          <w:color w:val="000000" w:themeColor="text1"/>
          <w:lang w:val="es-ES_tradnl"/>
        </w:rPr>
        <w:t xml:space="preserve"> </w:t>
      </w:r>
      <w:r w:rsidRPr="00F95B1D">
        <w:rPr>
          <w:rFonts w:ascii="Verdana" w:eastAsia="Calibri" w:hAnsi="Verdana" w:cs="Arial"/>
          <w:bCs/>
          <w:color w:val="000000" w:themeColor="text1"/>
          <w:lang w:val="es-ES_tradnl"/>
        </w:rPr>
        <w:t>la Entidad Estatal debe conservar su original por el tiempo que indiquen las Tablas</w:t>
      </w:r>
      <w:r>
        <w:rPr>
          <w:rFonts w:ascii="Verdana" w:eastAsia="Calibri" w:hAnsi="Verdana" w:cs="Arial"/>
          <w:bCs/>
          <w:color w:val="000000" w:themeColor="text1"/>
          <w:lang w:val="es-ES_tradnl"/>
        </w:rPr>
        <w:t xml:space="preserve"> </w:t>
      </w:r>
      <w:r w:rsidRPr="00F95B1D">
        <w:rPr>
          <w:rFonts w:ascii="Verdana" w:eastAsia="Calibri" w:hAnsi="Verdana" w:cs="Arial"/>
          <w:bCs/>
          <w:color w:val="000000" w:themeColor="text1"/>
          <w:lang w:val="es-ES_tradnl"/>
        </w:rPr>
        <w:t>de Retención Documental - TRD, e incorporar una copia digitalizada dentro del</w:t>
      </w:r>
      <w:r>
        <w:rPr>
          <w:rFonts w:ascii="Verdana" w:eastAsia="Calibri" w:hAnsi="Verdana" w:cs="Arial"/>
          <w:bCs/>
          <w:color w:val="000000" w:themeColor="text1"/>
          <w:lang w:val="es-ES_tradnl"/>
        </w:rPr>
        <w:t xml:space="preserve"> </w:t>
      </w:r>
      <w:r w:rsidRPr="00F95B1D">
        <w:rPr>
          <w:rFonts w:ascii="Verdana" w:eastAsia="Calibri" w:hAnsi="Verdana" w:cs="Arial"/>
          <w:bCs/>
          <w:color w:val="000000" w:themeColor="text1"/>
          <w:lang w:val="es-ES_tradnl"/>
        </w:rPr>
        <w:t>proceso de contratación en el SECOP II en cumplimiento de la obligación de</w:t>
      </w:r>
      <w:r>
        <w:rPr>
          <w:rFonts w:ascii="Verdana" w:eastAsia="Calibri" w:hAnsi="Verdana" w:cs="Arial"/>
          <w:bCs/>
          <w:color w:val="000000" w:themeColor="text1"/>
          <w:lang w:val="es-ES_tradnl"/>
        </w:rPr>
        <w:t xml:space="preserve"> </w:t>
      </w:r>
      <w:r w:rsidRPr="00F95B1D">
        <w:rPr>
          <w:rFonts w:ascii="Verdana" w:eastAsia="Calibri" w:hAnsi="Verdana" w:cs="Arial"/>
          <w:bCs/>
          <w:color w:val="000000" w:themeColor="text1"/>
          <w:lang w:val="es-ES_tradnl"/>
        </w:rPr>
        <w:t>publicidad</w:t>
      </w:r>
      <w:r>
        <w:rPr>
          <w:rFonts w:ascii="Verdana" w:eastAsia="Calibri" w:hAnsi="Verdana" w:cs="Arial"/>
          <w:bCs/>
          <w:color w:val="000000" w:themeColor="text1"/>
          <w:lang w:val="es-ES_tradnl"/>
        </w:rPr>
        <w:t>”</w:t>
      </w:r>
      <w:r w:rsidRPr="00F95B1D">
        <w:rPr>
          <w:rFonts w:ascii="Verdana" w:eastAsia="Calibri" w:hAnsi="Verdana" w:cs="Arial"/>
          <w:bCs/>
          <w:color w:val="000000" w:themeColor="text1"/>
          <w:lang w:val="es-ES_tradnl"/>
        </w:rPr>
        <w:t xml:space="preserve">.  </w:t>
      </w:r>
    </w:p>
    <w:p w14:paraId="6BE7E104" w14:textId="3DFEA687" w:rsidR="00653AAF" w:rsidRPr="00D0631E" w:rsidRDefault="00653AAF" w:rsidP="00D0631E">
      <w:pPr>
        <w:spacing w:after="120" w:line="276" w:lineRule="auto"/>
        <w:ind w:firstLine="709"/>
        <w:jc w:val="both"/>
        <w:rPr>
          <w:rFonts w:ascii="Verdana" w:eastAsia="Calibri" w:hAnsi="Verdana" w:cs="Arial"/>
          <w:bCs/>
          <w:color w:val="000000" w:themeColor="text1"/>
          <w:lang w:val="es-ES_tradnl"/>
        </w:rPr>
      </w:pPr>
      <w:r>
        <w:rPr>
          <w:rFonts w:ascii="Verdana" w:eastAsia="Calibri" w:hAnsi="Verdana" w:cs="Arial"/>
          <w:bCs/>
          <w:color w:val="000000" w:themeColor="text1"/>
        </w:rPr>
        <w:t xml:space="preserve"> </w:t>
      </w:r>
      <w:r w:rsidRPr="00E853DE">
        <w:rPr>
          <w:rFonts w:ascii="Verdana" w:eastAsia="Calibri" w:hAnsi="Verdana" w:cs="Arial"/>
          <w:bCs/>
          <w:color w:val="000000" w:themeColor="text1"/>
        </w:rPr>
        <w:t>Al margen de la explicación precedente debe advertirse que el análisis requerido para resolver problemas específicos en torno a la gestión contractual de las entidades públicas debe ser realizado por quienes tengan interés en ello, de acuerdo con lo explicado la aclaración preliminar del presente oficio. De esta manera, las afirmaciones aquí realizadas no pueden ser interpretadas como juicios de valor sobre circunstancias concretas relacionadas con los hechos que motivan la consulta. Por lo anterior, previo concepto de sus asesores, la solución de situaciones particulares corresponde a los interesados adoptar la decisión correspondiente y, en caso de conflicto, a las autoridades judiciales, fiscales y disciplinarias.</w:t>
      </w:r>
    </w:p>
    <w:p w14:paraId="39B0481F" w14:textId="77777777" w:rsidR="00653AAF" w:rsidRPr="00C40879" w:rsidRDefault="00653AAF" w:rsidP="00081207">
      <w:pPr>
        <w:spacing w:after="120" w:line="276" w:lineRule="auto"/>
        <w:ind w:firstLine="709"/>
        <w:jc w:val="both"/>
        <w:rPr>
          <w:rFonts w:ascii="Verdana" w:eastAsia="Calibri" w:hAnsi="Verdana" w:cs="Arial"/>
          <w:bCs/>
          <w:color w:val="000000" w:themeColor="text1"/>
        </w:rPr>
      </w:pPr>
      <w:r w:rsidRPr="00E853DE">
        <w:rPr>
          <w:rFonts w:ascii="Verdana" w:eastAsia="Calibri" w:hAnsi="Verdana" w:cs="Arial"/>
          <w:bCs/>
          <w:color w:val="000000" w:themeColor="text1"/>
        </w:rPr>
        <w:t>Dentro de este marco, la entidad contratante definirá en cada caso concreto lo relacionado con</w:t>
      </w:r>
      <w:r>
        <w:rPr>
          <w:rFonts w:ascii="Verdana" w:eastAsia="Calibri" w:hAnsi="Verdana" w:cs="Arial"/>
          <w:bCs/>
          <w:color w:val="000000" w:themeColor="text1"/>
        </w:rPr>
        <w:t xml:space="preserve"> los aspectos puntuales d</w:t>
      </w:r>
      <w:r w:rsidRPr="00E853DE">
        <w:rPr>
          <w:rFonts w:ascii="Verdana" w:eastAsia="Calibri" w:hAnsi="Verdana" w:cs="Arial"/>
          <w:bCs/>
          <w:color w:val="000000" w:themeColor="text1"/>
        </w:rPr>
        <w:t>el tema objeto de consulta. Al tratarse de un análisis que debe realizarse en el procedimiento contractual específico, la Agencia no puede definir un criterio universal y absoluto por vía consultiva, sino que brinda elementos de carácter general para que los partícipes del sistema de compras y contratación pública adopten la decisión que corresponda, lo cual es acorde con el principio de juridicidad. Así, cada entidad definirá la forma de adelantar su gestión contractual, sin que sea atribución de Colombia Compra Eficiente validar sus actuaciones.</w:t>
      </w:r>
      <w:r w:rsidRPr="00185EE9">
        <w:rPr>
          <w:rFonts w:ascii="Verdana" w:eastAsia="Calibri" w:hAnsi="Verdana" w:cs="Arial"/>
          <w:bCs/>
          <w:color w:val="000000" w:themeColor="text1"/>
        </w:rPr>
        <w:t xml:space="preserve"> </w:t>
      </w:r>
    </w:p>
    <w:p w14:paraId="3ACBACCC" w14:textId="77777777" w:rsidR="00653AAF" w:rsidRPr="00C54887" w:rsidRDefault="00653AAF" w:rsidP="00653AAF">
      <w:pPr>
        <w:widowControl w:val="0"/>
        <w:autoSpaceDE w:val="0"/>
        <w:autoSpaceDN w:val="0"/>
        <w:spacing w:after="0" w:line="276" w:lineRule="auto"/>
        <w:ind w:firstLine="708"/>
        <w:jc w:val="both"/>
        <w:rPr>
          <w:rFonts w:ascii="Verdana" w:hAnsi="Verdana" w:cs="Arial"/>
          <w:lang w:eastAsia="es-ES"/>
        </w:rPr>
      </w:pPr>
    </w:p>
    <w:bookmarkEnd w:id="3"/>
    <w:bookmarkEnd w:id="4"/>
    <w:p w14:paraId="32B0D84A" w14:textId="77777777" w:rsidR="00653AAF" w:rsidRPr="001F283D" w:rsidRDefault="00653AAF" w:rsidP="00653AAF">
      <w:pPr>
        <w:tabs>
          <w:tab w:val="left" w:pos="142"/>
          <w:tab w:val="left" w:pos="284"/>
        </w:tabs>
        <w:spacing w:after="0" w:line="276" w:lineRule="auto"/>
        <w:rPr>
          <w:rFonts w:ascii="Verdana" w:eastAsia="Century Gothic" w:hAnsi="Verdana" w:cs="Century Gothic"/>
          <w:b/>
          <w:bCs/>
        </w:rPr>
      </w:pPr>
      <w:r>
        <w:rPr>
          <w:rFonts w:ascii="Verdana" w:eastAsia="Century Gothic" w:hAnsi="Verdana" w:cs="Century Gothic"/>
          <w:b/>
          <w:bCs/>
        </w:rPr>
        <w:t xml:space="preserve">4. </w:t>
      </w:r>
      <w:r w:rsidRPr="001F283D">
        <w:rPr>
          <w:rFonts w:ascii="Verdana" w:eastAsia="Century Gothic" w:hAnsi="Verdana" w:cs="Century Gothic"/>
          <w:b/>
          <w:bCs/>
        </w:rPr>
        <w:t>Referencias normativas:</w:t>
      </w:r>
    </w:p>
    <w:bookmarkEnd w:id="5"/>
    <w:p w14:paraId="456661FA" w14:textId="77777777" w:rsidR="00653AAF" w:rsidRPr="00593A5F" w:rsidRDefault="00653AAF" w:rsidP="00653AAF">
      <w:pPr>
        <w:widowControl w:val="0"/>
        <w:autoSpaceDE w:val="0"/>
        <w:autoSpaceDN w:val="0"/>
        <w:spacing w:after="0" w:line="276" w:lineRule="auto"/>
        <w:jc w:val="both"/>
        <w:rPr>
          <w:rFonts w:ascii="Verdana" w:hAnsi="Verdana" w:cs="Arial"/>
        </w:rPr>
      </w:pPr>
    </w:p>
    <w:tbl>
      <w:tblPr>
        <w:tblStyle w:val="Tablaconcuadrcula"/>
        <w:tblW w:w="8647" w:type="dxa"/>
        <w:jc w:val="center"/>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Look w:val="04A0" w:firstRow="1" w:lastRow="0" w:firstColumn="1" w:lastColumn="0" w:noHBand="0" w:noVBand="1"/>
      </w:tblPr>
      <w:tblGrid>
        <w:gridCol w:w="8647"/>
      </w:tblGrid>
      <w:tr w:rsidR="00653AAF" w:rsidRPr="002407CE" w14:paraId="2DD68F2A" w14:textId="77777777" w:rsidTr="004C36D1">
        <w:trPr>
          <w:trHeight w:val="870"/>
          <w:jc w:val="center"/>
        </w:trPr>
        <w:tc>
          <w:tcPr>
            <w:tcW w:w="8647" w:type="dxa"/>
          </w:tcPr>
          <w:p w14:paraId="03C99E86" w14:textId="77777777" w:rsidR="00653AAF" w:rsidRDefault="00653AAF" w:rsidP="00653AAF">
            <w:pPr>
              <w:pStyle w:val="Prrafodelista"/>
              <w:widowControl w:val="0"/>
              <w:numPr>
                <w:ilvl w:val="0"/>
                <w:numId w:val="17"/>
              </w:numPr>
              <w:autoSpaceDE w:val="0"/>
              <w:autoSpaceDN w:val="0"/>
              <w:spacing w:after="120" w:line="276" w:lineRule="auto"/>
              <w:ind w:left="714" w:hanging="357"/>
              <w:contextualSpacing w:val="0"/>
              <w:jc w:val="both"/>
              <w:rPr>
                <w:rFonts w:ascii="Verdana" w:hAnsi="Verdana" w:cs="Arial"/>
                <w:color w:val="000000" w:themeColor="text1"/>
                <w:lang w:val="es-ES_tradnl"/>
              </w:rPr>
            </w:pPr>
            <w:r>
              <w:rPr>
                <w:rFonts w:ascii="Verdana" w:hAnsi="Verdana" w:cs="Arial"/>
                <w:color w:val="000000" w:themeColor="text1"/>
                <w:lang w:val="es-ES_tradnl"/>
              </w:rPr>
              <w:t>Ley 80 de 1993, artículo 77.</w:t>
            </w:r>
          </w:p>
          <w:p w14:paraId="68D320F7" w14:textId="77777777" w:rsidR="00653AAF" w:rsidRPr="00686372" w:rsidRDefault="00653AAF" w:rsidP="00653AAF">
            <w:pPr>
              <w:pStyle w:val="Prrafodelista"/>
              <w:widowControl w:val="0"/>
              <w:numPr>
                <w:ilvl w:val="0"/>
                <w:numId w:val="17"/>
              </w:numPr>
              <w:autoSpaceDE w:val="0"/>
              <w:autoSpaceDN w:val="0"/>
              <w:spacing w:after="120" w:line="276" w:lineRule="auto"/>
              <w:ind w:left="714" w:hanging="357"/>
              <w:contextualSpacing w:val="0"/>
              <w:jc w:val="both"/>
              <w:rPr>
                <w:rFonts w:ascii="Verdana" w:hAnsi="Verdana" w:cs="Arial"/>
                <w:color w:val="000000" w:themeColor="text1"/>
                <w:lang w:val="es-ES_tradnl"/>
              </w:rPr>
            </w:pPr>
            <w:r>
              <w:rPr>
                <w:rFonts w:ascii="Verdana" w:hAnsi="Verdana" w:cs="Arial"/>
                <w:color w:val="000000" w:themeColor="text1"/>
                <w:lang w:val="es-ES_tradnl"/>
              </w:rPr>
              <w:t>Ley 527 de 1999, artículos 2 y 10.</w:t>
            </w:r>
          </w:p>
          <w:p w14:paraId="06A49CF8" w14:textId="77777777" w:rsidR="00653AAF" w:rsidRPr="00686372" w:rsidRDefault="00653AAF" w:rsidP="00653AAF">
            <w:pPr>
              <w:pStyle w:val="Prrafodelista"/>
              <w:widowControl w:val="0"/>
              <w:numPr>
                <w:ilvl w:val="0"/>
                <w:numId w:val="17"/>
              </w:numPr>
              <w:autoSpaceDE w:val="0"/>
              <w:autoSpaceDN w:val="0"/>
              <w:spacing w:after="120" w:line="276" w:lineRule="auto"/>
              <w:ind w:left="714" w:hanging="357"/>
              <w:contextualSpacing w:val="0"/>
              <w:jc w:val="both"/>
              <w:rPr>
                <w:rFonts w:ascii="Verdana" w:hAnsi="Verdana" w:cs="Arial"/>
                <w:color w:val="000000" w:themeColor="text1"/>
                <w:lang w:val="es-ES_tradnl"/>
              </w:rPr>
            </w:pPr>
            <w:r>
              <w:rPr>
                <w:rFonts w:ascii="Verdana" w:hAnsi="Verdana" w:cs="Arial"/>
              </w:rPr>
              <w:t xml:space="preserve">Ley 1150 de 2007, artículos 3 y 13. </w:t>
            </w:r>
          </w:p>
          <w:p w14:paraId="74268585" w14:textId="77777777" w:rsidR="00653AAF" w:rsidRPr="00FF09AA" w:rsidRDefault="00653AAF" w:rsidP="00653AAF">
            <w:pPr>
              <w:pStyle w:val="Prrafodelista"/>
              <w:widowControl w:val="0"/>
              <w:numPr>
                <w:ilvl w:val="0"/>
                <w:numId w:val="17"/>
              </w:numPr>
              <w:autoSpaceDE w:val="0"/>
              <w:autoSpaceDN w:val="0"/>
              <w:spacing w:after="120" w:line="276" w:lineRule="auto"/>
              <w:ind w:left="714" w:hanging="357"/>
              <w:contextualSpacing w:val="0"/>
              <w:jc w:val="both"/>
              <w:rPr>
                <w:rFonts w:ascii="Verdana" w:hAnsi="Verdana" w:cs="Arial"/>
                <w:color w:val="000000" w:themeColor="text1"/>
                <w:lang w:val="es-ES_tradnl"/>
              </w:rPr>
            </w:pPr>
            <w:r>
              <w:rPr>
                <w:rFonts w:ascii="Verdana" w:hAnsi="Verdana" w:cs="Arial"/>
              </w:rPr>
              <w:t>Ley 1437 de 2011, artículos 5, 7, 35, 53 a 64.</w:t>
            </w:r>
          </w:p>
          <w:p w14:paraId="04DD3EB3" w14:textId="77777777" w:rsidR="00653AAF" w:rsidRDefault="00653AAF" w:rsidP="00653AAF">
            <w:pPr>
              <w:pStyle w:val="Prrafodelista"/>
              <w:widowControl w:val="0"/>
              <w:numPr>
                <w:ilvl w:val="0"/>
                <w:numId w:val="17"/>
              </w:numPr>
              <w:autoSpaceDE w:val="0"/>
              <w:autoSpaceDN w:val="0"/>
              <w:spacing w:after="120" w:line="276" w:lineRule="auto"/>
              <w:ind w:left="714" w:hanging="357"/>
              <w:contextualSpacing w:val="0"/>
              <w:jc w:val="both"/>
              <w:rPr>
                <w:rFonts w:ascii="Verdana" w:hAnsi="Verdana" w:cs="Arial"/>
                <w:color w:val="000000" w:themeColor="text1"/>
                <w:lang w:val="es-ES_tradnl"/>
              </w:rPr>
            </w:pPr>
            <w:r>
              <w:rPr>
                <w:rFonts w:ascii="Verdana" w:hAnsi="Verdana" w:cs="Arial"/>
                <w:color w:val="000000" w:themeColor="text1"/>
                <w:lang w:val="es-ES_tradnl"/>
              </w:rPr>
              <w:t>Ley 1712 de 2014, artículos 5, 6 y 11.</w:t>
            </w:r>
          </w:p>
          <w:p w14:paraId="36BB0469" w14:textId="77777777" w:rsidR="00653AAF" w:rsidRDefault="00653AAF" w:rsidP="00653AAF">
            <w:pPr>
              <w:pStyle w:val="Prrafodelista"/>
              <w:widowControl w:val="0"/>
              <w:numPr>
                <w:ilvl w:val="0"/>
                <w:numId w:val="17"/>
              </w:numPr>
              <w:autoSpaceDE w:val="0"/>
              <w:autoSpaceDN w:val="0"/>
              <w:spacing w:after="120" w:line="276" w:lineRule="auto"/>
              <w:ind w:left="714" w:hanging="357"/>
              <w:contextualSpacing w:val="0"/>
              <w:jc w:val="both"/>
              <w:rPr>
                <w:rFonts w:ascii="Verdana" w:hAnsi="Verdana" w:cs="Arial"/>
                <w:color w:val="000000" w:themeColor="text1"/>
                <w:lang w:val="es-ES_tradnl"/>
              </w:rPr>
            </w:pPr>
            <w:r>
              <w:rPr>
                <w:rFonts w:ascii="Verdana" w:hAnsi="Verdana" w:cs="Arial"/>
                <w:color w:val="000000" w:themeColor="text1"/>
                <w:lang w:val="es-ES_tradnl"/>
              </w:rPr>
              <w:t>Ley 2195 de 2022, artículo 53.</w:t>
            </w:r>
          </w:p>
          <w:p w14:paraId="3FA51081" w14:textId="77777777" w:rsidR="00653AAF" w:rsidRDefault="00653AAF" w:rsidP="00653AAF">
            <w:pPr>
              <w:pStyle w:val="Prrafodelista"/>
              <w:widowControl w:val="0"/>
              <w:numPr>
                <w:ilvl w:val="0"/>
                <w:numId w:val="17"/>
              </w:numPr>
              <w:autoSpaceDE w:val="0"/>
              <w:autoSpaceDN w:val="0"/>
              <w:spacing w:after="120" w:line="276" w:lineRule="auto"/>
              <w:ind w:left="714" w:hanging="357"/>
              <w:contextualSpacing w:val="0"/>
              <w:jc w:val="both"/>
              <w:rPr>
                <w:rFonts w:ascii="Verdana" w:hAnsi="Verdana" w:cs="Arial"/>
                <w:color w:val="000000" w:themeColor="text1"/>
                <w:lang w:val="es-ES_tradnl"/>
              </w:rPr>
            </w:pPr>
            <w:r>
              <w:rPr>
                <w:rFonts w:ascii="Verdana" w:hAnsi="Verdana" w:cs="Arial"/>
                <w:color w:val="000000" w:themeColor="text1"/>
                <w:lang w:val="es-ES_tradnl"/>
              </w:rPr>
              <w:t xml:space="preserve">Decreto 1081 de 2015, artículo </w:t>
            </w:r>
            <w:r w:rsidRPr="00454E5F">
              <w:rPr>
                <w:rFonts w:ascii="Verdana" w:hAnsi="Verdana" w:cs="Arial"/>
                <w:color w:val="000000" w:themeColor="text1"/>
                <w:lang w:val="es-ES_tradnl"/>
              </w:rPr>
              <w:t>2.1.1.2.1.7</w:t>
            </w:r>
            <w:r>
              <w:rPr>
                <w:rFonts w:ascii="Verdana" w:hAnsi="Verdana" w:cs="Arial"/>
                <w:color w:val="000000" w:themeColor="text1"/>
                <w:lang w:val="es-ES_tradnl"/>
              </w:rPr>
              <w:t>.</w:t>
            </w:r>
          </w:p>
          <w:p w14:paraId="3A76EEF8" w14:textId="77777777" w:rsidR="00653AAF" w:rsidRPr="00686372" w:rsidRDefault="00653AAF" w:rsidP="00653AAF">
            <w:pPr>
              <w:pStyle w:val="Prrafodelista"/>
              <w:widowControl w:val="0"/>
              <w:numPr>
                <w:ilvl w:val="0"/>
                <w:numId w:val="17"/>
              </w:numPr>
              <w:autoSpaceDE w:val="0"/>
              <w:autoSpaceDN w:val="0"/>
              <w:spacing w:after="120" w:line="276" w:lineRule="auto"/>
              <w:ind w:left="714" w:hanging="357"/>
              <w:contextualSpacing w:val="0"/>
              <w:jc w:val="both"/>
              <w:rPr>
                <w:rFonts w:ascii="Verdana" w:hAnsi="Verdana" w:cs="Arial"/>
                <w:color w:val="000000" w:themeColor="text1"/>
                <w:lang w:val="es-ES_tradnl"/>
              </w:rPr>
            </w:pPr>
            <w:r>
              <w:rPr>
                <w:rFonts w:ascii="Verdana" w:hAnsi="Verdana" w:cs="Arial"/>
                <w:color w:val="000000" w:themeColor="text1"/>
                <w:lang w:val="es-ES_tradnl"/>
              </w:rPr>
              <w:t xml:space="preserve">Decreto 1082 de 2015, artículos </w:t>
            </w:r>
            <w:r w:rsidRPr="00BB3117">
              <w:rPr>
                <w:rFonts w:ascii="Verdana" w:hAnsi="Verdana" w:cs="Arial"/>
                <w:color w:val="000000" w:themeColor="text1"/>
                <w:lang w:val="es-ES_tradnl"/>
              </w:rPr>
              <w:t>2.2.1.1.1.3.1</w:t>
            </w:r>
            <w:r>
              <w:rPr>
                <w:rFonts w:ascii="Verdana" w:hAnsi="Verdana" w:cs="Arial"/>
                <w:color w:val="000000" w:themeColor="text1"/>
                <w:lang w:val="es-ES_tradnl"/>
              </w:rPr>
              <w:t xml:space="preserve"> y </w:t>
            </w:r>
            <w:r w:rsidRPr="00F16D2E">
              <w:rPr>
                <w:rFonts w:ascii="Verdana" w:hAnsi="Verdana" w:cs="Arial"/>
              </w:rPr>
              <w:t>2.2.1.1.1.7.1</w:t>
            </w:r>
            <w:r>
              <w:rPr>
                <w:rFonts w:ascii="Verdana" w:hAnsi="Verdana" w:cs="Arial"/>
              </w:rPr>
              <w:t>.</w:t>
            </w:r>
          </w:p>
          <w:p w14:paraId="7FBA6C38" w14:textId="77777777" w:rsidR="00653AAF" w:rsidRPr="00A57FA0" w:rsidRDefault="00653AAF" w:rsidP="00653AAF">
            <w:pPr>
              <w:pStyle w:val="NormalWeb"/>
              <w:numPr>
                <w:ilvl w:val="0"/>
                <w:numId w:val="17"/>
              </w:numPr>
              <w:spacing w:before="120" w:beforeAutospacing="0" w:after="0" w:afterAutospacing="0" w:line="276" w:lineRule="auto"/>
              <w:jc w:val="both"/>
              <w:rPr>
                <w:rFonts w:ascii="Verdana" w:hAnsi="Verdana" w:cs="Arial"/>
                <w:color w:val="000000" w:themeColor="text1"/>
                <w:sz w:val="22"/>
                <w:szCs w:val="22"/>
              </w:rPr>
            </w:pPr>
            <w:r w:rsidRPr="005615D6">
              <w:rPr>
                <w:rFonts w:ascii="Verdana" w:hAnsi="Verdana" w:cs="Arial"/>
                <w:color w:val="000000" w:themeColor="text1"/>
                <w:lang w:val="es-ES_tradnl"/>
              </w:rPr>
              <w:t xml:space="preserve">Circular Externa Única del 27 de diciembre de 2023. Disponible en: </w:t>
            </w:r>
            <w:hyperlink r:id="rId12" w:history="1">
              <w:r w:rsidRPr="0097369A">
                <w:rPr>
                  <w:rStyle w:val="Hipervnculo"/>
                  <w:rFonts w:ascii="Verdana" w:hAnsi="Verdana" w:cs="Arial"/>
                  <w:lang w:val="es-ES_tradnl"/>
                </w:rPr>
                <w:t>https://www.colombiacompra.gov.co/wp-content/uploads/2024/08/circular_externa_unica_version_3_vf49.pdf</w:t>
              </w:r>
            </w:hyperlink>
            <w:r>
              <w:rPr>
                <w:rFonts w:ascii="Verdana" w:hAnsi="Verdana" w:cs="Arial"/>
                <w:color w:val="000000" w:themeColor="text1"/>
                <w:lang w:val="es-ES_tradnl"/>
              </w:rPr>
              <w:t>.</w:t>
            </w:r>
          </w:p>
        </w:tc>
      </w:tr>
    </w:tbl>
    <w:p w14:paraId="1B3F0A9D" w14:textId="77777777" w:rsidR="00653AAF" w:rsidRPr="00277E26" w:rsidRDefault="00653AAF" w:rsidP="00653AAF">
      <w:pPr>
        <w:widowControl w:val="0"/>
        <w:autoSpaceDE w:val="0"/>
        <w:autoSpaceDN w:val="0"/>
        <w:spacing w:after="0" w:line="276" w:lineRule="auto"/>
        <w:jc w:val="both"/>
        <w:rPr>
          <w:rFonts w:ascii="Verdana" w:hAnsi="Verdana" w:cs="Arial"/>
        </w:rPr>
      </w:pPr>
    </w:p>
    <w:p w14:paraId="5C86E008" w14:textId="77777777" w:rsidR="00653AAF" w:rsidRPr="001F283D" w:rsidRDefault="00653AAF" w:rsidP="00653AAF">
      <w:pPr>
        <w:tabs>
          <w:tab w:val="left" w:pos="142"/>
          <w:tab w:val="left" w:pos="284"/>
        </w:tabs>
        <w:spacing w:after="0" w:line="276" w:lineRule="auto"/>
        <w:jc w:val="both"/>
        <w:rPr>
          <w:rFonts w:ascii="Verdana" w:eastAsia="Century Gothic" w:hAnsi="Verdana" w:cs="Century Gothic"/>
          <w:b/>
          <w:bCs/>
        </w:rPr>
      </w:pPr>
      <w:r>
        <w:rPr>
          <w:rFonts w:ascii="Verdana" w:eastAsia="Century Gothic" w:hAnsi="Verdana" w:cs="Century Gothic"/>
          <w:b/>
          <w:bCs/>
        </w:rPr>
        <w:t xml:space="preserve">5. </w:t>
      </w:r>
      <w:r w:rsidRPr="001F283D">
        <w:rPr>
          <w:rFonts w:ascii="Verdana" w:eastAsia="Century Gothic" w:hAnsi="Verdana" w:cs="Century Gothic"/>
          <w:b/>
          <w:bCs/>
        </w:rPr>
        <w:t>Doctrina de la Agencia Nacional de Contratación Pública:</w:t>
      </w:r>
    </w:p>
    <w:p w14:paraId="3D4D792F" w14:textId="77777777" w:rsidR="00653AAF" w:rsidRDefault="00653AAF" w:rsidP="00653AAF">
      <w:pPr>
        <w:widowControl w:val="0"/>
        <w:autoSpaceDE w:val="0"/>
        <w:autoSpaceDN w:val="0"/>
        <w:spacing w:after="0" w:line="240" w:lineRule="auto"/>
        <w:jc w:val="both"/>
        <w:rPr>
          <w:rStyle w:val="normaltextrun"/>
          <w:rFonts w:ascii="Verdana" w:hAnsi="Verdana" w:cs="Arial"/>
          <w:highlight w:val="yellow"/>
          <w:shd w:val="clear" w:color="auto" w:fill="FFFFFF"/>
          <w:lang w:val="es-ES"/>
        </w:rPr>
      </w:pPr>
    </w:p>
    <w:p w14:paraId="5F42561E" w14:textId="77777777" w:rsidR="00A42EB0" w:rsidRDefault="00653AAF" w:rsidP="00653AAF">
      <w:pPr>
        <w:widowControl w:val="0"/>
        <w:autoSpaceDE w:val="0"/>
        <w:autoSpaceDN w:val="0"/>
        <w:spacing w:after="0" w:line="276" w:lineRule="auto"/>
        <w:jc w:val="both"/>
        <w:rPr>
          <w:rStyle w:val="normaltextrun"/>
          <w:rFonts w:ascii="Verdana" w:hAnsi="Verdana" w:cs="Arial"/>
          <w:color w:val="FF0000"/>
          <w:shd w:val="clear" w:color="auto" w:fill="FFFFFF"/>
          <w:lang w:val="es-ES"/>
        </w:rPr>
      </w:pPr>
      <w:r w:rsidRPr="00003886">
        <w:rPr>
          <w:rFonts w:ascii="Verdana" w:hAnsi="Verdana" w:cs="Arial"/>
          <w:shd w:val="clear" w:color="auto" w:fill="FFFFFF"/>
        </w:rPr>
        <w:t xml:space="preserve">Esta Subdirección </w:t>
      </w:r>
      <w:r w:rsidRPr="00FF112F">
        <w:rPr>
          <w:rFonts w:ascii="Verdana" w:hAnsi="Verdana" w:cs="Arial"/>
          <w:shd w:val="clear" w:color="auto" w:fill="FFFFFF"/>
        </w:rPr>
        <w:t>se ha pronunciado sobre los fundamentos normativos del deber de publicar la documentación contractual en las Sistema Electrónico de Contratación Pública–SECOP–, han sido materia de estudio de la doctrina de esta Subdirección en los Conceptos CU-003 del 15 de enero de 2020 y CU-367 del 23 de julio de 2020, reiterado</w:t>
      </w:r>
      <w:r>
        <w:rPr>
          <w:rFonts w:ascii="Verdana" w:hAnsi="Verdana" w:cs="Arial"/>
          <w:shd w:val="clear" w:color="auto" w:fill="FFFFFF"/>
        </w:rPr>
        <w:t>s</w:t>
      </w:r>
      <w:r w:rsidRPr="00FF112F">
        <w:rPr>
          <w:rFonts w:ascii="Verdana" w:hAnsi="Verdana" w:cs="Arial"/>
          <w:shd w:val="clear" w:color="auto" w:fill="FFFFFF"/>
        </w:rPr>
        <w:t xml:space="preserve"> en los Conceptos C-433 de 24 de julio de 2020, C-468 del 24 de julio de 2020, C-474 de 24 de julio de 2020, C-488 del 28 de julio de 2020, C-544 del 21 de agosto de 2020, C-575 del 27 de agosto de 2020, C-643 del 26 de octubre de 2020, C-661 del 17 de noviembre de 2020, C-094 del 13 de abril de 2021, C-068 del 22 de abril de 2021, C-185 del 29 de abril de 2021, C-472 del 6 de septiembre de 2021, C-074 del 10 de marzo de 2022, C-083 del 18 de marzo de 2022, C-124 del 22 de marzo de 2022, C-457 del 24 de octubre de 2023, C-460 del 30 de noviembre de 2023 y C-592 del 7 de octubre de 2024</w:t>
      </w:r>
      <w:r>
        <w:rPr>
          <w:rFonts w:ascii="Verdana" w:hAnsi="Verdana"/>
        </w:rPr>
        <w:t xml:space="preserve">. </w:t>
      </w:r>
      <w:r w:rsidRPr="00DD0AFF">
        <w:rPr>
          <w:rFonts w:ascii="Verdana" w:hAnsi="Verdana" w:cs="Arial"/>
          <w:shd w:val="clear" w:color="auto" w:fill="FFFFFF"/>
        </w:rPr>
        <w:t>Est</w:t>
      </w:r>
      <w:r>
        <w:rPr>
          <w:rFonts w:ascii="Verdana" w:hAnsi="Verdana" w:cs="Arial"/>
          <w:shd w:val="clear" w:color="auto" w:fill="FFFFFF"/>
        </w:rPr>
        <w:t>os</w:t>
      </w:r>
      <w:r w:rsidRPr="00DD0AFF">
        <w:rPr>
          <w:rFonts w:ascii="Verdana" w:hAnsi="Verdana" w:cs="Arial"/>
          <w:shd w:val="clear" w:color="auto" w:fill="FFFFFF"/>
        </w:rPr>
        <w:t xml:space="preserve"> y otros </w:t>
      </w:r>
      <w:r w:rsidRPr="008D0AB0">
        <w:rPr>
          <w:rStyle w:val="normaltextrun"/>
          <w:rFonts w:ascii="Verdana" w:hAnsi="Verdana" w:cs="Arial"/>
          <w:shd w:val="clear" w:color="auto" w:fill="FFFFFF"/>
        </w:rPr>
        <w:t xml:space="preserve">se encuentran disponibles para consulta en el Sistema de relatoría de la Agencia, al cual puede accederse a través del siguiente enlace: </w:t>
      </w:r>
      <w:hyperlink r:id="rId13" w:history="1">
        <w:r w:rsidRPr="00186F77">
          <w:rPr>
            <w:rStyle w:val="Hipervnculo"/>
            <w:rFonts w:ascii="Verdana" w:hAnsi="Verdana" w:cs="Arial"/>
            <w:shd w:val="clear" w:color="auto" w:fill="FFFFFF"/>
          </w:rPr>
          <w:t>https://relatoria.colombiacompra.gov.co/busqueda/conceptos</w:t>
        </w:r>
      </w:hyperlink>
      <w:r>
        <w:rPr>
          <w:rStyle w:val="normaltextrun"/>
          <w:rFonts w:ascii="Verdana" w:hAnsi="Verdana" w:cs="Arial"/>
          <w:shd w:val="clear" w:color="auto" w:fill="FFFFFF"/>
        </w:rPr>
        <w:t>.</w:t>
      </w:r>
      <w:r w:rsidRPr="008D0AB0">
        <w:rPr>
          <w:rStyle w:val="normaltextrun"/>
          <w:rFonts w:ascii="Verdana" w:hAnsi="Verdana" w:cs="Arial"/>
          <w:shd w:val="clear" w:color="auto" w:fill="FFFFFF"/>
        </w:rPr>
        <w:t xml:space="preserve"> </w:t>
      </w:r>
      <w:r>
        <w:rPr>
          <w:rStyle w:val="normaltextrun"/>
          <w:rFonts w:ascii="Verdana" w:hAnsi="Verdana" w:cs="Arial"/>
          <w:color w:val="FF0000"/>
          <w:shd w:val="clear" w:color="auto" w:fill="FFFFFF"/>
          <w:lang w:val="es-ES"/>
        </w:rPr>
        <w:t xml:space="preserve">  </w:t>
      </w:r>
    </w:p>
    <w:p w14:paraId="762A3383" w14:textId="77777777" w:rsidR="00A42EB0" w:rsidRDefault="00A42EB0" w:rsidP="00653AAF">
      <w:pPr>
        <w:widowControl w:val="0"/>
        <w:autoSpaceDE w:val="0"/>
        <w:autoSpaceDN w:val="0"/>
        <w:spacing w:after="0" w:line="276" w:lineRule="auto"/>
        <w:jc w:val="both"/>
        <w:rPr>
          <w:rStyle w:val="normaltextrun"/>
          <w:rFonts w:ascii="Verdana" w:hAnsi="Verdana" w:cs="Arial"/>
          <w:color w:val="FF0000"/>
          <w:shd w:val="clear" w:color="auto" w:fill="FFFFFF"/>
          <w:lang w:val="es-ES"/>
        </w:rPr>
      </w:pPr>
    </w:p>
    <w:p w14:paraId="4C072CB0" w14:textId="77777777" w:rsidR="00A42EB0" w:rsidRDefault="00A42EB0" w:rsidP="00A42EB0">
      <w:pPr>
        <w:spacing w:after="0" w:line="256" w:lineRule="auto"/>
        <w:jc w:val="both"/>
        <w:rPr>
          <w:rFonts w:ascii="Verdana" w:eastAsia="Calibri" w:hAnsi="Verdana" w:cs="Times New Roman"/>
        </w:rPr>
      </w:pPr>
      <w:r w:rsidRPr="00C16EE5">
        <w:rPr>
          <w:rFonts w:ascii="Verdana" w:eastAsia="Calibri" w:hAnsi="Verdana" w:cs="Times New Roman"/>
        </w:rPr>
        <w:t>"Las garantías no son un requisito formal: son el instrumento con el que se protege el patrimonio público frente a los riesgos del contrato. Por ello, la Agencia Nacional de Contratación Pública –Colombia Compra Eficiente– te invita a consultar la nueva versión de la </w:t>
      </w:r>
      <w:r w:rsidRPr="00C16EE5">
        <w:rPr>
          <w:rFonts w:ascii="Verdana" w:eastAsia="Calibri" w:hAnsi="Verdana" w:cs="Times New Roman"/>
          <w:b/>
          <w:bCs/>
        </w:rPr>
        <w:t>Guía para la Exigencia y Constitución de Garantías en los Procesos de Contratación</w:t>
      </w:r>
      <w:r w:rsidRPr="00C16EE5">
        <w:rPr>
          <w:rFonts w:ascii="Verdana" w:eastAsia="Calibri" w:hAnsi="Verdana" w:cs="Times New Roman"/>
        </w:rPr>
        <w:t>, dirigida a las entidades sometidas al EGCAP y a las de regímenes exceptuados, así como a proveedores y órganos de control. Encontrarás orientaciones sobre las clases de garantías admisibles, la correspondencia entre riesgos asignados y amparos exigidos, su suficiencia y vigencia, y el procedimiento para hacerlas efectivas. Consúltala aquí: </w:t>
      </w:r>
      <w:hyperlink r:id="rId14" w:tgtFrame="_blank" w:tooltip="Dirección URL original: https://www.colombiacompra.gov.co/archivos/manual/guia-de-garantias-en-procesos-de-contratacion. Haga clic o pulse si confía en este vínculo." w:history="1">
        <w:r w:rsidRPr="00C16EE5">
          <w:rPr>
            <w:rStyle w:val="Hipervnculo"/>
            <w:rFonts w:ascii="Verdana" w:eastAsia="Calibri" w:hAnsi="Verdana" w:cs="Times New Roman"/>
          </w:rPr>
          <w:t>https://www.colombiacompra.gov.co/archivos/manual/guia-de-garantias-en-procesos-de-contratacion</w:t>
        </w:r>
      </w:hyperlink>
    </w:p>
    <w:p w14:paraId="4A4A3EC5" w14:textId="77777777" w:rsidR="00A42EB0" w:rsidRPr="00C16EE5" w:rsidRDefault="00A42EB0" w:rsidP="00A42EB0">
      <w:pPr>
        <w:spacing w:after="0" w:line="256" w:lineRule="auto"/>
        <w:jc w:val="both"/>
        <w:rPr>
          <w:rFonts w:ascii="Verdana" w:eastAsia="Calibri" w:hAnsi="Verdana" w:cs="Times New Roman"/>
        </w:rPr>
      </w:pPr>
    </w:p>
    <w:p w14:paraId="1D56D573" w14:textId="77777777" w:rsidR="00A42EB0" w:rsidRPr="00C16EE5" w:rsidRDefault="00A42EB0" w:rsidP="00A42EB0">
      <w:pPr>
        <w:spacing w:after="0" w:line="256" w:lineRule="auto"/>
        <w:jc w:val="both"/>
        <w:rPr>
          <w:rFonts w:ascii="Verdana" w:eastAsia="Calibri" w:hAnsi="Verdana" w:cs="Times New Roman"/>
        </w:rPr>
      </w:pPr>
      <w:r w:rsidRPr="00C16EE5">
        <w:rPr>
          <w:rFonts w:ascii="Verdana" w:eastAsia="Calibri" w:hAnsi="Verdana" w:cs="Times New Roman"/>
        </w:rPr>
        <w:t>De otro lado, te contamos que el Decreto 287 del 19 de marzo de 2026 sustituyó los artículos 2.2.1.2.4.2.6., 2.2.1.2.4.2.7. y 2.2.1.2.4.2.8. del Decreto 1082 de 2015 y estructuró el </w:t>
      </w:r>
      <w:r w:rsidRPr="00C16EE5">
        <w:rPr>
          <w:rFonts w:ascii="Verdana" w:eastAsia="Calibri" w:hAnsi="Verdana" w:cs="Times New Roman"/>
          <w:b/>
          <w:bCs/>
        </w:rPr>
        <w:t>Sistema Integral de Preferencias en favor de las personas con discapacidad</w:t>
      </w:r>
      <w:r w:rsidRPr="00C16EE5">
        <w:rPr>
          <w:rFonts w:ascii="Verdana" w:eastAsia="Calibri" w:hAnsi="Verdana" w:cs="Times New Roman"/>
        </w:rPr>
        <w:t>, en cumplimiento del artículo 13 de la Ley Estatutaria 1618 de 2013. Para orientar su aplicación, esta Agencia expidió la </w:t>
      </w:r>
      <w:r w:rsidRPr="00C16EE5">
        <w:rPr>
          <w:rFonts w:ascii="Verdana" w:eastAsia="Calibri" w:hAnsi="Verdana" w:cs="Times New Roman"/>
          <w:b/>
          <w:bCs/>
        </w:rPr>
        <w:t>Circular Externa 003 del 12 de mayo de 2026, </w:t>
      </w:r>
      <w:r w:rsidRPr="00C16EE5">
        <w:rPr>
          <w:rFonts w:ascii="Verdana" w:eastAsia="Calibri" w:hAnsi="Verdana" w:cs="Times New Roman"/>
        </w:rPr>
        <w:t>en la que precisa quiénes son los beneficiarios, las cinco medidas que integran el sistema y su obligatoriedad según la modalidad de selección, y el régimen de transición aplicable a los procesos en curso. Consúltala aquí: </w:t>
      </w:r>
      <w:hyperlink r:id="rId15" w:tgtFrame="_blank" w:tooltip="Dirección URL original: https://www.colombiacompra.gov.co/archivos/circular/circular-externa-003-de-2026. Haga clic o pulse si confía en este vínculo." w:history="1">
        <w:r w:rsidRPr="00C16EE5">
          <w:rPr>
            <w:rStyle w:val="Hipervnculo"/>
            <w:rFonts w:ascii="Verdana" w:eastAsia="Calibri" w:hAnsi="Verdana" w:cs="Times New Roman"/>
          </w:rPr>
          <w:t>https://www.colombiacompra.gov.co/archivos/circular/circular-externa-003-de-2026</w:t>
        </w:r>
      </w:hyperlink>
    </w:p>
    <w:p w14:paraId="27475400" w14:textId="77777777" w:rsidR="00A42EB0" w:rsidRPr="00C16EE5" w:rsidRDefault="00A42EB0" w:rsidP="00A42EB0">
      <w:pPr>
        <w:spacing w:after="0" w:line="256" w:lineRule="auto"/>
        <w:jc w:val="both"/>
        <w:rPr>
          <w:rFonts w:ascii="Verdana" w:eastAsia="Calibri" w:hAnsi="Verdana" w:cs="Times New Roman"/>
        </w:rPr>
      </w:pPr>
      <w:r w:rsidRPr="00C16EE5">
        <w:rPr>
          <w:rFonts w:ascii="Verdana" w:eastAsia="Calibri" w:hAnsi="Verdana" w:cs="Times New Roman"/>
        </w:rPr>
        <w:t>Recuerda también que la</w:t>
      </w:r>
      <w:r w:rsidRPr="00C16EE5">
        <w:rPr>
          <w:rFonts w:ascii="Verdana" w:eastAsia="Calibri" w:hAnsi="Verdana" w:cs="Times New Roman"/>
          <w:b/>
          <w:bCs/>
        </w:rPr>
        <w:t> información sobre sanciones e inhabilidades </w:t>
      </w:r>
      <w:r w:rsidRPr="00C16EE5">
        <w:rPr>
          <w:rFonts w:ascii="Verdana" w:eastAsia="Calibri" w:hAnsi="Verdana" w:cs="Times New Roman"/>
        </w:rPr>
        <w:t>solo cumple su función preventiva si llega oportunamente a los registros públicos. Sobre este deber, esta Agencia expidió la </w:t>
      </w:r>
      <w:r w:rsidRPr="00C16EE5">
        <w:rPr>
          <w:rFonts w:ascii="Verdana" w:eastAsia="Calibri" w:hAnsi="Verdana" w:cs="Times New Roman"/>
          <w:b/>
          <w:bCs/>
        </w:rPr>
        <w:t>Circular Externa 002 del 5 de mayo de 2026,</w:t>
      </w:r>
      <w:r w:rsidRPr="00C16EE5">
        <w:rPr>
          <w:rFonts w:ascii="Verdana" w:eastAsia="Calibri" w:hAnsi="Verdana" w:cs="Times New Roman"/>
        </w:rPr>
        <w:t> dirigida a todas las entidades del Estado sin distinción de su régimen contractual, en la que reitera la obligatoriedad de reportar caducidades, multas, sanciones, declaratorias de incumplimiento e inhabilidades ante las Cámaras de Comercio, la Procuraduría General de la Nación y el SECOP, e indica los responsables, los portales dispuestos para el efecto y las consecuencias disciplinarias de omitir este deber. Consúltala aquí: </w:t>
      </w:r>
      <w:hyperlink r:id="rId16" w:tgtFrame="_blank" w:tooltip="Dirección URL original: https://www.colombiacompra.gov.co/archivos/circular/circular-externa-002-de-2026. Haga clic o pulse si confía en este vínculo." w:history="1">
        <w:r w:rsidRPr="00C16EE5">
          <w:rPr>
            <w:rStyle w:val="Hipervnculo"/>
            <w:rFonts w:ascii="Verdana" w:eastAsia="Calibri" w:hAnsi="Verdana" w:cs="Times New Roman"/>
          </w:rPr>
          <w:t>https://www.colombiacompra.gov.co/archivos/circular/circular-externa-002-de-2026</w:t>
        </w:r>
      </w:hyperlink>
    </w:p>
    <w:p w14:paraId="766E58D1" w14:textId="77777777" w:rsidR="00A42EB0" w:rsidRPr="00C16EE5" w:rsidRDefault="00A42EB0" w:rsidP="00A42EB0">
      <w:pPr>
        <w:spacing w:after="0" w:line="256" w:lineRule="auto"/>
        <w:jc w:val="both"/>
        <w:rPr>
          <w:rFonts w:ascii="Verdana" w:eastAsia="Calibri" w:hAnsi="Verdana" w:cs="Times New Roman"/>
        </w:rPr>
      </w:pPr>
      <w:r w:rsidRPr="00C16EE5">
        <w:rPr>
          <w:rFonts w:ascii="Verdana" w:eastAsia="Calibri" w:hAnsi="Verdana" w:cs="Times New Roman"/>
        </w:rPr>
        <w:t>Finalmente, si quieres seguir de cerca la actividad de la Agencia, la tercera edición de 2026 del</w:t>
      </w:r>
      <w:r w:rsidRPr="00C16EE5">
        <w:rPr>
          <w:rFonts w:ascii="Verdana" w:eastAsia="Calibri" w:hAnsi="Verdana" w:cs="Times New Roman"/>
          <w:b/>
          <w:bCs/>
        </w:rPr>
        <w:t> Radar de la Compra Pública</w:t>
      </w:r>
      <w:r w:rsidRPr="00C16EE5">
        <w:rPr>
          <w:rFonts w:ascii="Verdana" w:eastAsia="Calibri" w:hAnsi="Verdana" w:cs="Times New Roman"/>
        </w:rPr>
        <w:t> reúne, entre otros contenidos, la Circular Externa 003 de 2026, el Decreto 552 de 2026, un estudio sobre inteligencia artificial en la compra pública, los avances de la Relatoría, análisis jurisprudencial, conceptos jurídicos destacados y la oferta de la Escuela Virtual ANCP-CCE. Descárgalo aquí: </w:t>
      </w:r>
      <w:hyperlink r:id="rId17" w:tgtFrame="_blank" w:tooltip="Dirección URL original: https://www.colombiacompra.gov.co/archivos/boletin/boletin-edicion-n-3-de-2026-radar-de-la-compra-publica. Haga clic o pulse si confía en este vínculo." w:history="1">
        <w:r w:rsidRPr="00C16EE5">
          <w:rPr>
            <w:rStyle w:val="Hipervnculo"/>
            <w:rFonts w:ascii="Verdana" w:eastAsia="Calibri" w:hAnsi="Verdana" w:cs="Times New Roman"/>
          </w:rPr>
          <w:t>https://www.colombiacompra.gov.co/archivos/boletin/boletin-edicion-n-3-de-2026-radar-de-la-compra-publica</w:t>
        </w:r>
      </w:hyperlink>
      <w:r w:rsidRPr="00C16EE5">
        <w:rPr>
          <w:rFonts w:ascii="Verdana" w:eastAsia="Calibri" w:hAnsi="Verdana" w:cs="Times New Roman"/>
        </w:rPr>
        <w:t>"</w:t>
      </w:r>
    </w:p>
    <w:p w14:paraId="02523B72" w14:textId="77777777" w:rsidR="00A42EB0" w:rsidRPr="00C16EE5" w:rsidRDefault="00A42EB0" w:rsidP="00A42EB0">
      <w:pPr>
        <w:spacing w:after="0" w:line="256" w:lineRule="auto"/>
        <w:jc w:val="both"/>
        <w:rPr>
          <w:rFonts w:ascii="Verdana" w:eastAsia="Calibri" w:hAnsi="Verdana" w:cs="Times New Roman"/>
          <w:u w:val="single"/>
        </w:rPr>
      </w:pPr>
    </w:p>
    <w:p w14:paraId="27BF3F16" w14:textId="77777777" w:rsidR="00A42EB0" w:rsidRPr="00C16EE5" w:rsidRDefault="00A42EB0" w:rsidP="00A42EB0">
      <w:pPr>
        <w:spacing w:after="0" w:line="256" w:lineRule="auto"/>
        <w:jc w:val="both"/>
        <w:rPr>
          <w:rFonts w:ascii="Verdana" w:eastAsia="Calibri" w:hAnsi="Verdana" w:cs="Times New Roman"/>
        </w:rPr>
      </w:pPr>
      <w:r w:rsidRPr="00C16EE5">
        <w:rPr>
          <w:rFonts w:ascii="Verdana" w:eastAsia="Calibri" w:hAnsi="Verdana" w:cs="Times New Roman"/>
        </w:rPr>
        <w:t xml:space="preserve">Aprovechamos la oportunidad de manifestar la entera disposición de la Agencia Nacional de Contratación Pública –Colombia Compra Eficiente– para atender las peticiones o solicitudes, así como para brindar el apoyo que se requiera en el marco de nuestras funciones a través de nuestros diferentes canales de atención: </w:t>
      </w:r>
    </w:p>
    <w:p w14:paraId="6EE3EB16" w14:textId="77777777" w:rsidR="00A42EB0" w:rsidRPr="00C16EE5" w:rsidRDefault="00A42EB0" w:rsidP="00A42EB0">
      <w:pPr>
        <w:spacing w:after="0" w:line="256" w:lineRule="auto"/>
        <w:jc w:val="both"/>
        <w:rPr>
          <w:rFonts w:ascii="Verdana" w:eastAsia="Calibri" w:hAnsi="Verdana" w:cs="Times New Roman"/>
        </w:rPr>
      </w:pPr>
    </w:p>
    <w:p w14:paraId="38BE8F66" w14:textId="77777777" w:rsidR="00A42EB0" w:rsidRPr="00C16EE5" w:rsidRDefault="00A42EB0" w:rsidP="00A42EB0">
      <w:pPr>
        <w:numPr>
          <w:ilvl w:val="0"/>
          <w:numId w:val="19"/>
        </w:numPr>
        <w:spacing w:after="0" w:line="256" w:lineRule="auto"/>
        <w:jc w:val="both"/>
        <w:rPr>
          <w:rFonts w:ascii="Verdana" w:eastAsia="Calibri" w:hAnsi="Verdana" w:cs="Times New Roman"/>
          <w:u w:val="single"/>
          <w:lang w:val="es-MX"/>
        </w:rPr>
      </w:pPr>
      <w:r w:rsidRPr="00C16EE5">
        <w:rPr>
          <w:rFonts w:ascii="Verdana" w:eastAsia="Calibri" w:hAnsi="Verdana" w:cs="Times New Roman"/>
          <w:lang w:val="es-MX"/>
        </w:rPr>
        <w:t xml:space="preserve">Línea nacional gratuita o servicio a la ciudadanía (Mesa de servicio): </w:t>
      </w:r>
      <w:r w:rsidRPr="00C16EE5">
        <w:rPr>
          <w:rFonts w:ascii="Verdana" w:eastAsia="Calibri" w:hAnsi="Verdana" w:cs="Times New Roman"/>
          <w:u w:val="single"/>
          <w:lang w:val="es-ES"/>
        </w:rPr>
        <w:t>01800 0520808</w:t>
      </w:r>
    </w:p>
    <w:p w14:paraId="018FFED2" w14:textId="77777777" w:rsidR="00A42EB0" w:rsidRPr="00C16EE5" w:rsidRDefault="00A42EB0" w:rsidP="00A42EB0">
      <w:pPr>
        <w:numPr>
          <w:ilvl w:val="0"/>
          <w:numId w:val="19"/>
        </w:numPr>
        <w:spacing w:after="0" w:line="256" w:lineRule="auto"/>
        <w:jc w:val="both"/>
        <w:rPr>
          <w:rFonts w:ascii="Verdana" w:eastAsia="Calibri" w:hAnsi="Verdana" w:cs="Times New Roman"/>
          <w:u w:val="single"/>
          <w:lang w:val="es-MX"/>
        </w:rPr>
      </w:pPr>
      <w:r w:rsidRPr="00C16EE5">
        <w:rPr>
          <w:rFonts w:ascii="Verdana" w:eastAsia="Calibri" w:hAnsi="Verdana" w:cs="Times New Roman"/>
          <w:lang w:val="es-MX"/>
        </w:rPr>
        <w:t>Línea en Bogotá (Mesa de servicio</w:t>
      </w:r>
      <w:proofErr w:type="gramStart"/>
      <w:r w:rsidRPr="00C16EE5">
        <w:rPr>
          <w:rFonts w:ascii="Verdana" w:eastAsia="Calibri" w:hAnsi="Verdana" w:cs="Times New Roman"/>
          <w:lang w:val="es-MX"/>
        </w:rPr>
        <w:t>):</w:t>
      </w:r>
      <w:r w:rsidRPr="00C16EE5">
        <w:rPr>
          <w:rFonts w:ascii="Verdana" w:eastAsia="Calibri" w:hAnsi="Verdana" w:cs="Times New Roman"/>
          <w:u w:val="single"/>
          <w:lang w:val="es-ES"/>
        </w:rPr>
        <w:t>+</w:t>
      </w:r>
      <w:proofErr w:type="gramEnd"/>
      <w:r w:rsidRPr="00C16EE5">
        <w:rPr>
          <w:rFonts w:ascii="Verdana" w:eastAsia="Calibri" w:hAnsi="Verdana" w:cs="Times New Roman"/>
          <w:u w:val="single"/>
          <w:lang w:val="es-ES"/>
        </w:rPr>
        <w:t>57 601 7456788</w:t>
      </w:r>
    </w:p>
    <w:p w14:paraId="0C2F6BB3" w14:textId="77777777" w:rsidR="00A42EB0" w:rsidRPr="00C16EE5" w:rsidRDefault="00A42EB0" w:rsidP="00A42EB0">
      <w:pPr>
        <w:numPr>
          <w:ilvl w:val="0"/>
          <w:numId w:val="19"/>
        </w:numPr>
        <w:spacing w:after="0" w:line="256" w:lineRule="auto"/>
        <w:jc w:val="both"/>
        <w:rPr>
          <w:rFonts w:ascii="Verdana" w:eastAsia="Calibri" w:hAnsi="Verdana" w:cs="Times New Roman"/>
          <w:u w:val="single"/>
          <w:lang w:val="es-MX"/>
        </w:rPr>
      </w:pPr>
      <w:r w:rsidRPr="00C16EE5">
        <w:rPr>
          <w:rFonts w:ascii="Verdana" w:eastAsia="Calibri" w:hAnsi="Verdana" w:cs="Times New Roman"/>
          <w:lang w:val="es-MX"/>
        </w:rPr>
        <w:t xml:space="preserve">Correo de radicación de correspondencia: </w:t>
      </w:r>
      <w:hyperlink r:id="rId18" w:history="1">
        <w:r w:rsidRPr="00C16EE5">
          <w:rPr>
            <w:rStyle w:val="Hipervnculo"/>
            <w:rFonts w:ascii="Verdana" w:eastAsia="Calibri" w:hAnsi="Verdana" w:cs="Times New Roman"/>
            <w:lang w:val="es-MX"/>
          </w:rPr>
          <w:t>ventanilladeradicacion@colombiacompra.gov.co</w:t>
        </w:r>
      </w:hyperlink>
    </w:p>
    <w:p w14:paraId="1243685B" w14:textId="77777777" w:rsidR="00A42EB0" w:rsidRPr="00C16EE5" w:rsidRDefault="00A42EB0" w:rsidP="00A42EB0">
      <w:pPr>
        <w:numPr>
          <w:ilvl w:val="0"/>
          <w:numId w:val="19"/>
        </w:numPr>
        <w:spacing w:after="0" w:line="256" w:lineRule="auto"/>
        <w:jc w:val="both"/>
        <w:rPr>
          <w:rFonts w:ascii="Verdana" w:eastAsia="Calibri" w:hAnsi="Verdana" w:cs="Times New Roman"/>
          <w:u w:val="single"/>
          <w:lang w:val="es-MX"/>
        </w:rPr>
      </w:pPr>
      <w:r w:rsidRPr="00C16EE5">
        <w:rPr>
          <w:rFonts w:ascii="Verdana" w:eastAsia="Calibri" w:hAnsi="Verdana" w:cs="Times New Roman"/>
          <w:lang w:val="es-ES"/>
        </w:rPr>
        <w:t xml:space="preserve">Formulario web para PQRSD: </w:t>
      </w:r>
      <w:hyperlink r:id="rId19" w:history="1">
        <w:r w:rsidRPr="00C16EE5">
          <w:rPr>
            <w:rStyle w:val="Hipervnculo"/>
            <w:rFonts w:ascii="Verdana" w:eastAsia="Calibri" w:hAnsi="Verdana" w:cs="Times New Roman"/>
            <w:lang w:val="es-MX"/>
          </w:rPr>
          <w:t>https://www.colombiacompra.gov.co/pqrsd/informacion-importante-antes-de-formular-una-pqrsd</w:t>
        </w:r>
      </w:hyperlink>
    </w:p>
    <w:p w14:paraId="3F071E1F" w14:textId="77777777" w:rsidR="00A42EB0" w:rsidRPr="00C16EE5" w:rsidRDefault="00A42EB0" w:rsidP="00A42EB0">
      <w:pPr>
        <w:spacing w:after="0" w:line="256" w:lineRule="auto"/>
        <w:jc w:val="both"/>
        <w:rPr>
          <w:rFonts w:ascii="Verdana" w:eastAsia="Calibri" w:hAnsi="Verdana" w:cs="Times New Roman"/>
        </w:rPr>
      </w:pPr>
    </w:p>
    <w:p w14:paraId="0F1B7028" w14:textId="77777777" w:rsidR="00A42EB0" w:rsidRPr="00C16EE5" w:rsidRDefault="00A42EB0" w:rsidP="00A42EB0">
      <w:pPr>
        <w:spacing w:after="0" w:line="256" w:lineRule="auto"/>
        <w:jc w:val="both"/>
        <w:rPr>
          <w:rFonts w:ascii="Verdana" w:eastAsia="Calibri" w:hAnsi="Verdana" w:cs="Times New Roman"/>
        </w:rPr>
      </w:pPr>
      <w:r w:rsidRPr="00C16EE5">
        <w:rPr>
          <w:rFonts w:ascii="Verdana" w:eastAsia="Calibri" w:hAnsi="Verdana" w:cs="Times New Roman"/>
        </w:rPr>
        <w:t xml:space="preserve">Evalúa el servicio que ofrece la Agencia por el canal de atención de PQRSD en el siguiente </w:t>
      </w:r>
      <w:proofErr w:type="gramStart"/>
      <w:r w:rsidRPr="00C16EE5">
        <w:rPr>
          <w:rFonts w:ascii="Verdana" w:eastAsia="Calibri" w:hAnsi="Verdana" w:cs="Times New Roman"/>
        </w:rPr>
        <w:t>enlace :</w:t>
      </w:r>
      <w:proofErr w:type="gramEnd"/>
      <w:hyperlink r:id="rId20" w:tgtFrame="_blank" w:tooltip="https://forms.office.com/r/pphywvs2sz" w:history="1">
        <w:r w:rsidRPr="00C16EE5">
          <w:rPr>
            <w:rStyle w:val="Hipervnculo"/>
            <w:rFonts w:ascii="Verdana" w:eastAsia="Calibri" w:hAnsi="Verdana" w:cs="Times New Roman"/>
          </w:rPr>
          <w:t>https://forms.office.com/r/pPHyWVs2SZ</w:t>
        </w:r>
      </w:hyperlink>
      <w:r w:rsidRPr="00C16EE5">
        <w:rPr>
          <w:rFonts w:ascii="Verdana" w:eastAsia="Calibri" w:hAnsi="Verdana" w:cs="Times New Roman"/>
        </w:rPr>
        <w:t xml:space="preserve"> .¡Ayúdanos a mejorar porque el compromiso es de todos!</w:t>
      </w:r>
    </w:p>
    <w:p w14:paraId="2AAA6515" w14:textId="77777777" w:rsidR="00A42EB0" w:rsidRPr="00C16EE5" w:rsidRDefault="00A42EB0" w:rsidP="00A42EB0">
      <w:pPr>
        <w:spacing w:after="0" w:line="256" w:lineRule="auto"/>
        <w:jc w:val="both"/>
        <w:rPr>
          <w:rFonts w:ascii="Verdana" w:eastAsia="Calibri" w:hAnsi="Verdana" w:cs="Times New Roman"/>
        </w:rPr>
      </w:pPr>
    </w:p>
    <w:p w14:paraId="65F49318" w14:textId="77777777" w:rsidR="00A42EB0" w:rsidRPr="00C16EE5" w:rsidRDefault="00A42EB0" w:rsidP="00A42EB0">
      <w:pPr>
        <w:spacing w:after="0" w:line="256" w:lineRule="auto"/>
        <w:jc w:val="both"/>
        <w:rPr>
          <w:rFonts w:ascii="Verdana" w:eastAsia="Calibri" w:hAnsi="Verdana" w:cs="Times New Roman"/>
        </w:rPr>
      </w:pPr>
      <w:r w:rsidRPr="00C16EE5">
        <w:rPr>
          <w:rFonts w:ascii="Verdana" w:eastAsia="Calibri" w:hAnsi="Verdana" w:cs="Times New Roman"/>
        </w:rPr>
        <w:t xml:space="preserve">Por último, lo invitamos a seguirnos en las redes sociales en las cuales se difunde información institucional: </w:t>
      </w:r>
    </w:p>
    <w:p w14:paraId="72BBEFF5" w14:textId="77777777" w:rsidR="00A42EB0" w:rsidRPr="00C16EE5" w:rsidRDefault="00A42EB0" w:rsidP="00A42EB0">
      <w:pPr>
        <w:spacing w:after="0" w:line="256" w:lineRule="auto"/>
        <w:jc w:val="both"/>
        <w:rPr>
          <w:rFonts w:ascii="Verdana" w:eastAsia="Calibri" w:hAnsi="Verdana" w:cs="Times New Roman"/>
        </w:rPr>
      </w:pPr>
    </w:p>
    <w:p w14:paraId="2EF18DF4" w14:textId="77777777" w:rsidR="00A42EB0" w:rsidRPr="00C16EE5" w:rsidRDefault="00A42EB0" w:rsidP="00A42EB0">
      <w:pPr>
        <w:spacing w:after="0" w:line="256" w:lineRule="auto"/>
        <w:jc w:val="both"/>
        <w:rPr>
          <w:rFonts w:ascii="Verdana" w:eastAsia="Calibri" w:hAnsi="Verdana" w:cs="Times New Roman"/>
        </w:rPr>
      </w:pPr>
      <w:r w:rsidRPr="00C16EE5">
        <w:rPr>
          <w:rFonts w:ascii="Verdana" w:eastAsia="Calibri" w:hAnsi="Verdana" w:cs="Times New Roman"/>
        </w:rPr>
        <w:t xml:space="preserve">Twitter: </w:t>
      </w:r>
      <w:r w:rsidRPr="00C16EE5">
        <w:rPr>
          <w:rFonts w:ascii="Verdana" w:eastAsia="Calibri" w:hAnsi="Verdana" w:cs="Times New Roman"/>
          <w:u w:val="single"/>
        </w:rPr>
        <w:t>@colombiacompra</w:t>
      </w:r>
      <w:r w:rsidRPr="00C16EE5">
        <w:rPr>
          <w:rFonts w:ascii="Verdana" w:eastAsia="Calibri" w:hAnsi="Verdana" w:cs="Times New Roman"/>
        </w:rPr>
        <w:t xml:space="preserve"> </w:t>
      </w:r>
    </w:p>
    <w:p w14:paraId="03DF9E8A" w14:textId="77777777" w:rsidR="00A42EB0" w:rsidRPr="00C16EE5" w:rsidRDefault="00A42EB0" w:rsidP="00A42EB0">
      <w:pPr>
        <w:spacing w:after="0" w:line="256" w:lineRule="auto"/>
        <w:jc w:val="both"/>
        <w:rPr>
          <w:rFonts w:ascii="Verdana" w:eastAsia="Calibri" w:hAnsi="Verdana" w:cs="Times New Roman"/>
        </w:rPr>
      </w:pPr>
      <w:r w:rsidRPr="00C16EE5">
        <w:rPr>
          <w:rFonts w:ascii="Verdana" w:eastAsia="Calibri" w:hAnsi="Verdana" w:cs="Times New Roman"/>
        </w:rPr>
        <w:t xml:space="preserve">Facebook: </w:t>
      </w:r>
      <w:proofErr w:type="spellStart"/>
      <w:r w:rsidRPr="00C16EE5">
        <w:rPr>
          <w:rFonts w:ascii="Verdana" w:eastAsia="Calibri" w:hAnsi="Verdana" w:cs="Times New Roman"/>
          <w:u w:val="single"/>
        </w:rPr>
        <w:t>ColombiaCompraEficiente</w:t>
      </w:r>
      <w:proofErr w:type="spellEnd"/>
    </w:p>
    <w:p w14:paraId="34D1BFE4" w14:textId="77777777" w:rsidR="00A42EB0" w:rsidRPr="00C16EE5" w:rsidRDefault="00A42EB0" w:rsidP="00A42EB0">
      <w:pPr>
        <w:spacing w:after="0" w:line="256" w:lineRule="auto"/>
        <w:jc w:val="both"/>
        <w:rPr>
          <w:rFonts w:ascii="Verdana" w:eastAsia="Calibri" w:hAnsi="Verdana" w:cs="Times New Roman"/>
        </w:rPr>
      </w:pPr>
      <w:r w:rsidRPr="00C16EE5">
        <w:rPr>
          <w:rFonts w:ascii="Verdana" w:eastAsia="Calibri" w:hAnsi="Verdana" w:cs="Times New Roman"/>
        </w:rPr>
        <w:t xml:space="preserve">LinkedIn: </w:t>
      </w:r>
      <w:r w:rsidRPr="00C16EE5">
        <w:rPr>
          <w:rFonts w:ascii="Verdana" w:eastAsia="Calibri" w:hAnsi="Verdana" w:cs="Times New Roman"/>
          <w:u w:val="single"/>
        </w:rPr>
        <w:t>Agencia Nacional de Contratación Pública - Colombia Compra Eficiente</w:t>
      </w:r>
      <w:r w:rsidRPr="00C16EE5">
        <w:rPr>
          <w:rFonts w:ascii="Verdana" w:eastAsia="Calibri" w:hAnsi="Verdana" w:cs="Times New Roman"/>
        </w:rPr>
        <w:t xml:space="preserve"> Instagram: </w:t>
      </w:r>
      <w:r w:rsidRPr="00C16EE5">
        <w:rPr>
          <w:rFonts w:ascii="Verdana" w:eastAsia="Calibri" w:hAnsi="Verdana" w:cs="Times New Roman"/>
          <w:u w:val="single"/>
        </w:rPr>
        <w:t>@colombiacompraeficiente_cce</w:t>
      </w:r>
    </w:p>
    <w:p w14:paraId="6DBB6AA9" w14:textId="77777777" w:rsidR="00A42EB0" w:rsidRPr="00C16EE5" w:rsidRDefault="00A42EB0" w:rsidP="00A42EB0">
      <w:pPr>
        <w:spacing w:after="0" w:line="256" w:lineRule="auto"/>
        <w:jc w:val="both"/>
        <w:rPr>
          <w:rFonts w:ascii="Verdana" w:eastAsia="Calibri" w:hAnsi="Verdana" w:cs="Times New Roman"/>
          <w:lang w:val="es-ES_tradnl"/>
        </w:rPr>
      </w:pPr>
      <w:r w:rsidRPr="00C16EE5">
        <w:rPr>
          <w:rFonts w:ascii="Verdana" w:eastAsia="Calibri" w:hAnsi="Verdana" w:cs="Times New Roman"/>
          <w:lang w:val="es-ES_tradnl"/>
        </w:rPr>
        <w:t xml:space="preserve">        </w:t>
      </w:r>
    </w:p>
    <w:p w14:paraId="49F7D79F" w14:textId="77777777" w:rsidR="00A42EB0" w:rsidRPr="00C16EE5" w:rsidRDefault="00A42EB0" w:rsidP="00A42EB0">
      <w:pPr>
        <w:spacing w:after="0" w:line="256" w:lineRule="auto"/>
        <w:jc w:val="both"/>
        <w:rPr>
          <w:rFonts w:ascii="Verdana" w:eastAsia="Calibri" w:hAnsi="Verdana" w:cs="Times New Roman"/>
          <w:lang w:val="es-ES_tradnl"/>
        </w:rPr>
      </w:pPr>
      <w:r w:rsidRPr="00C16EE5">
        <w:rPr>
          <w:rFonts w:ascii="Verdana" w:eastAsia="Calibri" w:hAnsi="Verdana" w:cs="Times New Roman"/>
        </w:rPr>
        <w:t xml:space="preserve">Este concepto tiene el alcance previsto en el artículo 28 del Código de Procedimiento Administrativo y de lo Contencioso Administrativo </w:t>
      </w:r>
      <w:r w:rsidRPr="00C16EE5">
        <w:rPr>
          <w:rFonts w:ascii="Verdana" w:eastAsia="Calibri" w:hAnsi="Verdana" w:cs="Times New Roman"/>
          <w:lang w:val="es-ES_tradnl"/>
        </w:rPr>
        <w:t>y las expresiones aquí utilizadas con mayúscula inicial deben ser entendidas con el significado que les otorga el artículo 2.2.1.1.1.3.1. del Decreto 1082 de 2015.</w:t>
      </w:r>
    </w:p>
    <w:p w14:paraId="4417BCE9" w14:textId="77777777" w:rsidR="00A42EB0" w:rsidRPr="00C16EE5" w:rsidRDefault="00A42EB0" w:rsidP="00A42EB0">
      <w:pPr>
        <w:spacing w:after="0" w:line="256" w:lineRule="auto"/>
        <w:jc w:val="both"/>
        <w:rPr>
          <w:rFonts w:ascii="Verdana" w:eastAsia="Calibri" w:hAnsi="Verdana" w:cs="Times New Roman"/>
          <w:lang w:val="es-MX"/>
        </w:rPr>
      </w:pPr>
    </w:p>
    <w:p w14:paraId="5DB721CA" w14:textId="1013F7E2" w:rsidR="00A42EB0" w:rsidRPr="00C16EE5" w:rsidRDefault="00B06D81" w:rsidP="00A42EB0">
      <w:pPr>
        <w:spacing w:after="0" w:line="256" w:lineRule="auto"/>
        <w:jc w:val="both"/>
        <w:rPr>
          <w:rFonts w:ascii="Verdana" w:eastAsia="Calibri" w:hAnsi="Verdana" w:cs="Times New Roman"/>
        </w:rPr>
      </w:pPr>
      <w:r w:rsidRPr="00285BF7">
        <w:rPr>
          <w:noProof/>
        </w:rPr>
        <w:drawing>
          <wp:anchor distT="0" distB="0" distL="114300" distR="114300" simplePos="0" relativeHeight="251660288" behindDoc="1" locked="0" layoutInCell="1" allowOverlap="1" wp14:anchorId="2306B7E8" wp14:editId="5C2FEC1F">
            <wp:simplePos x="0" y="0"/>
            <wp:positionH relativeFrom="column">
              <wp:posOffset>1256941</wp:posOffset>
            </wp:positionH>
            <wp:positionV relativeFrom="paragraph">
              <wp:posOffset>131997</wp:posOffset>
            </wp:positionV>
            <wp:extent cx="3295015" cy="1414145"/>
            <wp:effectExtent l="0" t="0" r="635" b="0"/>
            <wp:wrapTight wrapText="bothSides">
              <wp:wrapPolygon edited="0">
                <wp:start x="0" y="0"/>
                <wp:lineTo x="0" y="21241"/>
                <wp:lineTo x="21479" y="21241"/>
                <wp:lineTo x="21479" y="0"/>
                <wp:lineTo x="0" y="0"/>
              </wp:wrapPolygon>
            </wp:wrapTight>
            <wp:docPr id="793497692"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3295015" cy="1414145"/>
                    </a:xfrm>
                    <a:prstGeom prst="rect">
                      <a:avLst/>
                    </a:prstGeom>
                    <a:noFill/>
                    <a:ln>
                      <a:noFill/>
                    </a:ln>
                  </pic:spPr>
                </pic:pic>
              </a:graphicData>
            </a:graphic>
          </wp:anchor>
        </w:drawing>
      </w:r>
      <w:r w:rsidR="00A42EB0" w:rsidRPr="00C16EE5">
        <w:rPr>
          <w:rFonts w:ascii="Verdana" w:eastAsia="Calibri" w:hAnsi="Verdana" w:cs="Times New Roman"/>
          <w:lang w:val="es-MX"/>
        </w:rPr>
        <w:t>Cordialmente,</w:t>
      </w:r>
      <w:r w:rsidR="00A42EB0" w:rsidRPr="00C16EE5">
        <w:rPr>
          <w:rFonts w:ascii="Verdana" w:eastAsia="Calibri" w:hAnsi="Verdana" w:cs="Times New Roman"/>
        </w:rPr>
        <w:t> </w:t>
      </w:r>
    </w:p>
    <w:p w14:paraId="559838D8" w14:textId="2D6B7FD6" w:rsidR="00A42EB0" w:rsidRDefault="00A42EB0" w:rsidP="00A42EB0">
      <w:pPr>
        <w:spacing w:after="0" w:line="256" w:lineRule="auto"/>
        <w:jc w:val="both"/>
        <w:rPr>
          <w:rFonts w:ascii="Verdana" w:eastAsia="Calibri" w:hAnsi="Verdana" w:cs="Times New Roman"/>
        </w:rPr>
      </w:pPr>
    </w:p>
    <w:p w14:paraId="4BC996FA" w14:textId="77777777" w:rsidR="00A42EB0" w:rsidRPr="001D36FE" w:rsidRDefault="00A42EB0" w:rsidP="00A42EB0">
      <w:pPr>
        <w:spacing w:after="0" w:line="256" w:lineRule="auto"/>
        <w:jc w:val="center"/>
        <w:rPr>
          <w:noProof/>
        </w:rPr>
      </w:pPr>
    </w:p>
    <w:p w14:paraId="0FB1CCDD" w14:textId="77777777" w:rsidR="00A42EB0" w:rsidRDefault="00A42EB0" w:rsidP="00A42EB0">
      <w:pPr>
        <w:spacing w:after="0"/>
        <w:rPr>
          <w:rFonts w:ascii="Verdana" w:hAnsi="Verdana"/>
        </w:rPr>
      </w:pPr>
    </w:p>
    <w:p w14:paraId="330CFE2C" w14:textId="77777777" w:rsidR="00A42EB0" w:rsidRDefault="00A42EB0" w:rsidP="00A42EB0">
      <w:pPr>
        <w:spacing w:after="0"/>
        <w:rPr>
          <w:rFonts w:ascii="Verdana" w:hAnsi="Verdana"/>
        </w:rPr>
      </w:pPr>
    </w:p>
    <w:p w14:paraId="147FA731" w14:textId="77777777" w:rsidR="00A42EB0" w:rsidRDefault="00A42EB0" w:rsidP="00A42EB0">
      <w:pPr>
        <w:spacing w:after="0"/>
        <w:rPr>
          <w:rFonts w:ascii="Verdana" w:hAnsi="Verdana"/>
        </w:rPr>
      </w:pPr>
    </w:p>
    <w:p w14:paraId="003DC80A" w14:textId="77777777" w:rsidR="00A42EB0" w:rsidRDefault="00A42EB0" w:rsidP="00A42EB0">
      <w:pPr>
        <w:spacing w:after="0"/>
        <w:rPr>
          <w:rFonts w:ascii="Verdana" w:hAnsi="Verdana"/>
        </w:rPr>
      </w:pPr>
    </w:p>
    <w:p w14:paraId="5D2FD4D0" w14:textId="77777777" w:rsidR="00A42EB0" w:rsidRDefault="00A42EB0" w:rsidP="00A42EB0">
      <w:pPr>
        <w:spacing w:after="0"/>
        <w:rPr>
          <w:rFonts w:ascii="Verdana" w:hAnsi="Verdana"/>
        </w:rPr>
      </w:pPr>
    </w:p>
    <w:p w14:paraId="0F041DB6" w14:textId="77777777" w:rsidR="00A42EB0" w:rsidRDefault="00A42EB0" w:rsidP="00A42EB0">
      <w:pPr>
        <w:spacing w:after="0"/>
        <w:rPr>
          <w:rFonts w:ascii="Verdana" w:hAnsi="Verdana"/>
        </w:rPr>
      </w:pPr>
    </w:p>
    <w:tbl>
      <w:tblPr>
        <w:tblStyle w:val="Tablaconcuadrcula"/>
        <w:tblW w:w="652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93"/>
        <w:gridCol w:w="5628"/>
      </w:tblGrid>
      <w:tr w:rsidR="00A42EB0" w:rsidRPr="002423D6" w14:paraId="084890B8" w14:textId="77777777" w:rsidTr="004C36D1">
        <w:trPr>
          <w:trHeight w:val="315"/>
        </w:trPr>
        <w:tc>
          <w:tcPr>
            <w:tcW w:w="893" w:type="dxa"/>
            <w:vAlign w:val="center"/>
            <w:hideMark/>
          </w:tcPr>
          <w:p w14:paraId="2BF4916E" w14:textId="77777777" w:rsidR="00A42EB0" w:rsidRPr="002423D6" w:rsidRDefault="00A42EB0" w:rsidP="004C36D1">
            <w:pPr>
              <w:contextualSpacing/>
              <w:rPr>
                <w:rFonts w:ascii="Verdana" w:hAnsi="Verdana" w:cs="Arial"/>
                <w:color w:val="000000" w:themeColor="text1"/>
                <w:sz w:val="16"/>
                <w:szCs w:val="16"/>
                <w:lang w:val="es-ES" w:eastAsia="es-ES"/>
              </w:rPr>
            </w:pPr>
            <w:r w:rsidRPr="002423D6">
              <w:rPr>
                <w:rFonts w:ascii="Verdana" w:hAnsi="Verdana" w:cs="Arial"/>
                <w:color w:val="000000" w:themeColor="text1"/>
                <w:sz w:val="16"/>
                <w:szCs w:val="16"/>
                <w:lang w:val="es-ES" w:eastAsia="es-ES"/>
              </w:rPr>
              <w:t>Elaboró:</w:t>
            </w:r>
          </w:p>
        </w:tc>
        <w:tc>
          <w:tcPr>
            <w:tcW w:w="5628" w:type="dxa"/>
            <w:tcBorders>
              <w:top w:val="nil"/>
              <w:left w:val="nil"/>
              <w:bottom w:val="dotted" w:sz="4" w:space="0" w:color="7F7F7F" w:themeColor="text1" w:themeTint="80"/>
              <w:right w:val="nil"/>
            </w:tcBorders>
            <w:vAlign w:val="center"/>
            <w:hideMark/>
          </w:tcPr>
          <w:p w14:paraId="607BF948" w14:textId="77777777" w:rsidR="00A42EB0" w:rsidRPr="002423D6" w:rsidRDefault="00A42EB0" w:rsidP="004C36D1">
            <w:pPr>
              <w:contextualSpacing/>
              <w:rPr>
                <w:rFonts w:ascii="Verdana" w:eastAsia="Arial" w:hAnsi="Verdana" w:cs="Arial"/>
                <w:color w:val="000000" w:themeColor="text1"/>
                <w:sz w:val="16"/>
                <w:szCs w:val="16"/>
              </w:rPr>
            </w:pPr>
            <w:r>
              <w:rPr>
                <w:rFonts w:ascii="Verdana" w:eastAsia="Arial" w:hAnsi="Verdana" w:cs="Arial"/>
                <w:color w:val="000000" w:themeColor="text1"/>
                <w:sz w:val="16"/>
                <w:szCs w:val="16"/>
              </w:rPr>
              <w:t>Kelmis Yirama Brugés Alvarado</w:t>
            </w:r>
          </w:p>
          <w:p w14:paraId="0F173492" w14:textId="77777777" w:rsidR="00A42EB0" w:rsidRPr="002423D6" w:rsidRDefault="00A42EB0" w:rsidP="004C36D1">
            <w:pPr>
              <w:contextualSpacing/>
              <w:rPr>
                <w:rFonts w:ascii="Verdana" w:eastAsia="Arial" w:hAnsi="Verdana" w:cs="Arial"/>
                <w:color w:val="000000" w:themeColor="text1"/>
                <w:sz w:val="16"/>
                <w:szCs w:val="16"/>
              </w:rPr>
            </w:pPr>
            <w:r w:rsidRPr="002423D6">
              <w:rPr>
                <w:rStyle w:val="normaltextrun"/>
                <w:rFonts w:ascii="Verdana" w:eastAsia="Arial" w:hAnsi="Verdana" w:cs="Arial"/>
                <w:color w:val="000000" w:themeColor="text1"/>
                <w:sz w:val="16"/>
                <w:szCs w:val="16"/>
              </w:rPr>
              <w:t>Analista T2-0</w:t>
            </w:r>
            <w:r>
              <w:rPr>
                <w:rStyle w:val="normaltextrun"/>
                <w:rFonts w:ascii="Verdana" w:eastAsia="Arial" w:hAnsi="Verdana" w:cs="Arial"/>
                <w:color w:val="000000" w:themeColor="text1"/>
                <w:sz w:val="16"/>
                <w:szCs w:val="16"/>
              </w:rPr>
              <w:t>4</w:t>
            </w:r>
            <w:r w:rsidRPr="002423D6">
              <w:rPr>
                <w:rStyle w:val="normaltextrun"/>
                <w:rFonts w:ascii="Verdana" w:eastAsia="Arial" w:hAnsi="Verdana" w:cs="Arial"/>
                <w:color w:val="000000" w:themeColor="text1"/>
                <w:sz w:val="16"/>
                <w:szCs w:val="16"/>
              </w:rPr>
              <w:t xml:space="preserve"> de la Subdirección de Gestión Contractual</w:t>
            </w:r>
          </w:p>
        </w:tc>
      </w:tr>
      <w:tr w:rsidR="00A42EB0" w:rsidRPr="002423D6" w14:paraId="1B6B8ABA" w14:textId="77777777" w:rsidTr="004C36D1">
        <w:trPr>
          <w:trHeight w:val="330"/>
        </w:trPr>
        <w:tc>
          <w:tcPr>
            <w:tcW w:w="893" w:type="dxa"/>
            <w:vAlign w:val="center"/>
            <w:hideMark/>
          </w:tcPr>
          <w:p w14:paraId="62E4A7DA" w14:textId="77777777" w:rsidR="00A42EB0" w:rsidRPr="002423D6" w:rsidRDefault="00A42EB0" w:rsidP="004C36D1">
            <w:pPr>
              <w:contextualSpacing/>
              <w:rPr>
                <w:rFonts w:ascii="Verdana" w:hAnsi="Verdana" w:cs="Arial"/>
                <w:color w:val="000000" w:themeColor="text1"/>
                <w:sz w:val="16"/>
                <w:szCs w:val="16"/>
                <w:lang w:val="es-ES" w:eastAsia="es-ES"/>
              </w:rPr>
            </w:pPr>
            <w:r w:rsidRPr="002423D6">
              <w:rPr>
                <w:rFonts w:ascii="Verdana" w:hAnsi="Verdana" w:cs="Arial"/>
                <w:color w:val="000000" w:themeColor="text1"/>
                <w:sz w:val="16"/>
                <w:szCs w:val="16"/>
                <w:lang w:val="es-ES" w:eastAsia="es-ES"/>
              </w:rPr>
              <w:t>Revisó:</w:t>
            </w:r>
          </w:p>
        </w:tc>
        <w:tc>
          <w:tcPr>
            <w:tcW w:w="5628" w:type="dxa"/>
            <w:tcBorders>
              <w:top w:val="dotted" w:sz="4" w:space="0" w:color="7F7F7F" w:themeColor="text1" w:themeTint="80"/>
              <w:left w:val="nil"/>
              <w:bottom w:val="dotted" w:sz="4" w:space="0" w:color="7F7F7F" w:themeColor="text1" w:themeTint="80"/>
              <w:right w:val="nil"/>
            </w:tcBorders>
            <w:vAlign w:val="center"/>
            <w:hideMark/>
          </w:tcPr>
          <w:p w14:paraId="79083B32" w14:textId="77777777" w:rsidR="00A42EB0" w:rsidRPr="00A11861" w:rsidRDefault="00A42EB0" w:rsidP="004C36D1">
            <w:pPr>
              <w:contextualSpacing/>
              <w:rPr>
                <w:rFonts w:ascii="Verdana" w:eastAsia="Arial" w:hAnsi="Verdana" w:cs="Arial"/>
                <w:color w:val="000000" w:themeColor="text1"/>
                <w:sz w:val="16"/>
                <w:szCs w:val="16"/>
              </w:rPr>
            </w:pPr>
            <w:r>
              <w:rPr>
                <w:rFonts w:ascii="Verdana" w:eastAsia="Arial" w:hAnsi="Verdana" w:cs="Arial"/>
                <w:color w:val="000000" w:themeColor="text1"/>
                <w:sz w:val="16"/>
                <w:szCs w:val="16"/>
              </w:rPr>
              <w:t xml:space="preserve">Adriana López Rodríguez  </w:t>
            </w:r>
          </w:p>
          <w:p w14:paraId="4BD3E7AC" w14:textId="77777777" w:rsidR="00A42EB0" w:rsidRPr="002423D6" w:rsidRDefault="00A42EB0" w:rsidP="004C36D1">
            <w:pPr>
              <w:pStyle w:val="paragraph"/>
              <w:spacing w:before="0" w:beforeAutospacing="0" w:after="0" w:afterAutospacing="0"/>
              <w:contextualSpacing/>
              <w:textAlignment w:val="baseline"/>
              <w:rPr>
                <w:rFonts w:ascii="Verdana" w:hAnsi="Verdana" w:cs="Segoe UI"/>
                <w:color w:val="000000" w:themeColor="text1"/>
                <w:sz w:val="16"/>
                <w:szCs w:val="16"/>
              </w:rPr>
            </w:pPr>
            <w:r w:rsidRPr="002423D6">
              <w:rPr>
                <w:rStyle w:val="normaltextrun"/>
                <w:rFonts w:ascii="Verdana" w:hAnsi="Verdana" w:cs="Arial"/>
                <w:color w:val="000000" w:themeColor="text1"/>
                <w:sz w:val="16"/>
                <w:szCs w:val="16"/>
                <w:lang w:val="es-ES"/>
              </w:rPr>
              <w:t>Contratista de la Subdirección de Gestión Contractual</w:t>
            </w:r>
            <w:r w:rsidRPr="002423D6">
              <w:rPr>
                <w:rStyle w:val="eop"/>
                <w:rFonts w:ascii="Verdana" w:hAnsi="Verdana" w:cs="Arial"/>
                <w:color w:val="000000" w:themeColor="text1"/>
                <w:sz w:val="16"/>
                <w:szCs w:val="16"/>
              </w:rPr>
              <w:t> </w:t>
            </w:r>
          </w:p>
        </w:tc>
      </w:tr>
      <w:tr w:rsidR="00A42EB0" w:rsidRPr="002423D6" w14:paraId="6F08B781" w14:textId="77777777" w:rsidTr="004C36D1">
        <w:trPr>
          <w:trHeight w:val="300"/>
        </w:trPr>
        <w:tc>
          <w:tcPr>
            <w:tcW w:w="893" w:type="dxa"/>
            <w:vAlign w:val="center"/>
          </w:tcPr>
          <w:p w14:paraId="07B5C1DD" w14:textId="77777777" w:rsidR="00A42EB0" w:rsidRPr="002423D6" w:rsidRDefault="00A42EB0" w:rsidP="004C36D1">
            <w:pPr>
              <w:contextualSpacing/>
              <w:rPr>
                <w:rFonts w:ascii="Verdana" w:hAnsi="Verdana" w:cs="Arial"/>
                <w:color w:val="000000" w:themeColor="text1"/>
                <w:sz w:val="16"/>
                <w:szCs w:val="16"/>
                <w:lang w:val="es-ES" w:eastAsia="es-ES"/>
              </w:rPr>
            </w:pPr>
            <w:r w:rsidRPr="002423D6">
              <w:rPr>
                <w:rFonts w:ascii="Verdana" w:hAnsi="Verdana" w:cs="Arial"/>
                <w:color w:val="000000" w:themeColor="text1"/>
                <w:sz w:val="16"/>
                <w:szCs w:val="16"/>
                <w:lang w:val="es-ES" w:eastAsia="es-ES"/>
              </w:rPr>
              <w:t>Aprobó:</w:t>
            </w:r>
          </w:p>
        </w:tc>
        <w:tc>
          <w:tcPr>
            <w:tcW w:w="5628" w:type="dxa"/>
            <w:tcBorders>
              <w:top w:val="dotted" w:sz="4" w:space="0" w:color="7F7F7F" w:themeColor="text1" w:themeTint="80"/>
              <w:left w:val="nil"/>
              <w:bottom w:val="dotted" w:sz="4" w:space="0" w:color="7F7F7F" w:themeColor="text1" w:themeTint="80"/>
              <w:right w:val="nil"/>
            </w:tcBorders>
            <w:vAlign w:val="center"/>
          </w:tcPr>
          <w:p w14:paraId="62DAE8EA" w14:textId="77777777" w:rsidR="00A42EB0" w:rsidRPr="002423D6" w:rsidRDefault="00A42EB0" w:rsidP="004C36D1">
            <w:pPr>
              <w:contextualSpacing/>
              <w:rPr>
                <w:rFonts w:ascii="Verdana" w:eastAsia="Calibri" w:hAnsi="Verdana" w:cs="Arial"/>
                <w:color w:val="000000" w:themeColor="text1"/>
                <w:sz w:val="16"/>
                <w:szCs w:val="16"/>
                <w:lang w:val="pt-BR" w:eastAsia="es-ES"/>
              </w:rPr>
            </w:pPr>
            <w:r w:rsidRPr="002423D6">
              <w:rPr>
                <w:rFonts w:ascii="Verdana" w:eastAsia="Calibri" w:hAnsi="Verdana" w:cs="Arial"/>
                <w:color w:val="000000" w:themeColor="text1"/>
                <w:sz w:val="16"/>
                <w:szCs w:val="16"/>
                <w:lang w:val="pt-BR" w:eastAsia="es-ES"/>
              </w:rPr>
              <w:t>Carolina Quintero Gacharná</w:t>
            </w:r>
          </w:p>
          <w:p w14:paraId="03264A9A" w14:textId="77777777" w:rsidR="00A42EB0" w:rsidRPr="002423D6" w:rsidRDefault="00A42EB0" w:rsidP="004C36D1">
            <w:pPr>
              <w:contextualSpacing/>
              <w:rPr>
                <w:rFonts w:ascii="Verdana" w:eastAsia="Calibri" w:hAnsi="Verdana" w:cs="Arial"/>
                <w:color w:val="000000" w:themeColor="text1"/>
                <w:sz w:val="16"/>
                <w:szCs w:val="16"/>
                <w:lang w:val="pt-BR" w:eastAsia="es-ES"/>
              </w:rPr>
            </w:pPr>
            <w:r w:rsidRPr="002423D6">
              <w:rPr>
                <w:rFonts w:ascii="Verdana" w:eastAsia="Calibri" w:hAnsi="Verdana" w:cs="Arial"/>
                <w:color w:val="000000" w:themeColor="text1"/>
                <w:sz w:val="16"/>
                <w:szCs w:val="16"/>
                <w:lang w:eastAsia="es-ES"/>
              </w:rPr>
              <w:t>Subdirectora</w:t>
            </w:r>
            <w:r w:rsidRPr="002423D6">
              <w:rPr>
                <w:rFonts w:ascii="Verdana" w:eastAsia="Calibri" w:hAnsi="Verdana" w:cs="Arial"/>
                <w:color w:val="000000" w:themeColor="text1"/>
                <w:sz w:val="16"/>
                <w:szCs w:val="16"/>
                <w:lang w:val="pt-BR" w:eastAsia="es-ES"/>
              </w:rPr>
              <w:t xml:space="preserve"> de Gestión Contratual ANCP – CCE</w:t>
            </w:r>
          </w:p>
        </w:tc>
      </w:tr>
    </w:tbl>
    <w:p w14:paraId="1006A388" w14:textId="7AA586E5" w:rsidR="00C15139" w:rsidRPr="00A42EB0" w:rsidRDefault="00C15139" w:rsidP="00A42EB0">
      <w:pPr>
        <w:widowControl w:val="0"/>
        <w:autoSpaceDE w:val="0"/>
        <w:autoSpaceDN w:val="0"/>
        <w:spacing w:after="0" w:line="276" w:lineRule="auto"/>
        <w:jc w:val="both"/>
        <w:rPr>
          <w:rFonts w:ascii="Verdana" w:hAnsi="Verdana" w:cs="Arial"/>
          <w:shd w:val="clear" w:color="auto" w:fill="FFFFFF"/>
        </w:rPr>
      </w:pPr>
    </w:p>
    <w:p w14:paraId="69BC4D14" w14:textId="4AEFAEFE" w:rsidR="00C15139" w:rsidRPr="000E2B93" w:rsidRDefault="00C15139" w:rsidP="30821638">
      <w:pPr>
        <w:spacing w:after="0" w:line="240" w:lineRule="auto"/>
        <w:textAlignment w:val="baseline"/>
        <w:rPr>
          <w:rFonts w:ascii="Verdana" w:eastAsia="Verdana" w:hAnsi="Verdana" w:cs="Verdana"/>
          <w:lang w:eastAsia="es-CO"/>
        </w:rPr>
      </w:pPr>
      <w:r w:rsidRPr="30821638">
        <w:rPr>
          <w:rFonts w:ascii="Verdana" w:eastAsia="Verdana" w:hAnsi="Verdana" w:cs="Verdana"/>
          <w:lang w:eastAsia="es-CO"/>
        </w:rPr>
        <w:t> </w:t>
      </w:r>
      <w:bookmarkEnd w:id="0"/>
    </w:p>
    <w:sectPr w:rsidR="00C15139" w:rsidRPr="000E2B93" w:rsidSect="007C0C0F">
      <w:headerReference w:type="default" r:id="rId22"/>
      <w:footerReference w:type="default" r:id="rId23"/>
      <w:pgSz w:w="12240" w:h="15840" w:code="1"/>
      <w:pgMar w:top="1417" w:right="1701" w:bottom="1417"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C6A75FF" w14:textId="77777777" w:rsidR="00654AD1" w:rsidRDefault="00654AD1" w:rsidP="004A1847">
      <w:pPr>
        <w:spacing w:after="0" w:line="240" w:lineRule="auto"/>
      </w:pPr>
      <w:r>
        <w:separator/>
      </w:r>
    </w:p>
  </w:endnote>
  <w:endnote w:type="continuationSeparator" w:id="0">
    <w:p w14:paraId="05057B5B" w14:textId="77777777" w:rsidR="00654AD1" w:rsidRDefault="00654AD1" w:rsidP="004A184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Geomanist Light">
    <w:altName w:val="Calibri"/>
    <w:panose1 w:val="00000000000000000000"/>
    <w:charset w:val="00"/>
    <w:family w:val="modern"/>
    <w:notTrueType/>
    <w:pitch w:val="variable"/>
    <w:sig w:usb0="A000002F" w:usb1="1000004A" w:usb2="00000000" w:usb3="00000000" w:csb0="00000193" w:csb1="00000000"/>
  </w:font>
  <w:font w:name="Geomanist">
    <w:altName w:val="Calibri"/>
    <w:panose1 w:val="00000000000000000000"/>
    <w:charset w:val="00"/>
    <w:family w:val="modern"/>
    <w:notTrueType/>
    <w:pitch w:val="variable"/>
    <w:sig w:usb0="A000002F" w:usb1="1000004A" w:usb2="00000000" w:usb3="00000000" w:csb0="00000193" w:csb1="00000000"/>
  </w:font>
  <w:font w:name="Verdana">
    <w:panose1 w:val="020B0604030504040204"/>
    <w:charset w:val="00"/>
    <w:family w:val="swiss"/>
    <w:pitch w:val="variable"/>
    <w:sig w:usb0="A00006FF" w:usb1="4000205B" w:usb2="00000010" w:usb3="00000000" w:csb0="0000019F" w:csb1="00000000"/>
  </w:font>
  <w:font w:name="Century Gothic">
    <w:panose1 w:val="020B0502020202020204"/>
    <w:charset w:val="00"/>
    <w:family w:val="swiss"/>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Geomanist Bold">
    <w:altName w:val="Calibri"/>
    <w:panose1 w:val="00000000000000000000"/>
    <w:charset w:val="00"/>
    <w:family w:val="modern"/>
    <w:notTrueType/>
    <w:pitch w:val="variable"/>
    <w:sig w:usb0="A000002F" w:usb1="1000004A" w:usb2="00000000" w:usb3="00000000" w:csb0="00000193" w:csb1="00000000"/>
  </w:font>
  <w:font w:name="Geo">
    <w:altName w:val="Calibri"/>
    <w:charset w:val="00"/>
    <w:family w:val="auto"/>
    <w:pitch w:val="variable"/>
    <w:sig w:usb0="8000002F" w:usb1="40000048" w:usb2="00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911A32" w14:textId="6CE791A4" w:rsidR="004A1847" w:rsidRDefault="004A1847">
    <w:pPr>
      <w:pStyle w:val="Piedepgina"/>
    </w:pPr>
  </w:p>
  <w:p w14:paraId="594D6D9F" w14:textId="77777777" w:rsidR="00D520D8" w:rsidRPr="00174B77" w:rsidRDefault="07C73DD1" w:rsidP="07C73DD1">
    <w:pPr>
      <w:pBdr>
        <w:top w:val="single" w:sz="4" w:space="1" w:color="000000"/>
      </w:pBdr>
      <w:spacing w:after="0"/>
      <w:rPr>
        <w:rFonts w:ascii="Verdana" w:eastAsia="Verdana" w:hAnsi="Verdana" w:cs="Verdana"/>
        <w:b/>
        <w:bCs/>
        <w:sz w:val="18"/>
        <w:szCs w:val="18"/>
      </w:rPr>
    </w:pPr>
    <w:r w:rsidRPr="07C73DD1">
      <w:rPr>
        <w:rFonts w:ascii="Verdana" w:eastAsia="Verdana" w:hAnsi="Verdana" w:cs="Verdana"/>
        <w:b/>
        <w:bCs/>
        <w:sz w:val="18"/>
        <w:szCs w:val="18"/>
      </w:rPr>
      <w:t xml:space="preserve">Agencia Nacional de Contratación Pública                                              </w:t>
    </w:r>
    <w:r w:rsidRPr="07C73DD1">
      <w:rPr>
        <w:rFonts w:ascii="Verdana" w:eastAsia="Verdana" w:hAnsi="Verdana" w:cs="Verdana"/>
        <w:b/>
        <w:bCs/>
        <w:sz w:val="18"/>
        <w:szCs w:val="18"/>
        <w:lang w:val="es-ES"/>
      </w:rPr>
      <w:t xml:space="preserve">pág. </w:t>
    </w:r>
    <w:r w:rsidR="00D520D8" w:rsidRPr="07C73DD1">
      <w:rPr>
        <w:rFonts w:ascii="Verdana" w:eastAsia="Verdana" w:hAnsi="Verdana" w:cs="Verdana"/>
        <w:b/>
        <w:bCs/>
        <w:sz w:val="18"/>
        <w:szCs w:val="18"/>
      </w:rPr>
      <w:fldChar w:fldCharType="begin"/>
    </w:r>
    <w:r w:rsidR="00D520D8" w:rsidRPr="07C73DD1">
      <w:rPr>
        <w:rFonts w:ascii="Verdana" w:hAnsi="Verdana"/>
        <w:b/>
        <w:bCs/>
        <w:sz w:val="16"/>
        <w:szCs w:val="16"/>
      </w:rPr>
      <w:instrText>PAGE    \* MERGEFORMAT</w:instrText>
    </w:r>
    <w:r w:rsidR="00D520D8" w:rsidRPr="07C73DD1">
      <w:rPr>
        <w:rFonts w:ascii="Verdana" w:eastAsiaTheme="minorEastAsia" w:hAnsi="Verdana"/>
        <w:b/>
        <w:bCs/>
        <w:sz w:val="16"/>
        <w:szCs w:val="16"/>
      </w:rPr>
      <w:fldChar w:fldCharType="separate"/>
    </w:r>
    <w:r w:rsidRPr="07C73DD1">
      <w:rPr>
        <w:rFonts w:ascii="Verdana" w:eastAsia="Verdana" w:hAnsi="Verdana" w:cs="Verdana"/>
        <w:b/>
        <w:bCs/>
        <w:sz w:val="18"/>
        <w:szCs w:val="18"/>
      </w:rPr>
      <w:t>1</w:t>
    </w:r>
    <w:r w:rsidR="00D520D8" w:rsidRPr="07C73DD1">
      <w:rPr>
        <w:rFonts w:ascii="Verdana" w:eastAsia="Verdana" w:hAnsi="Verdana" w:cs="Verdana"/>
        <w:b/>
        <w:bCs/>
        <w:sz w:val="18"/>
        <w:szCs w:val="18"/>
      </w:rPr>
      <w:fldChar w:fldCharType="end"/>
    </w:r>
    <w:r w:rsidRPr="07C73DD1">
      <w:rPr>
        <w:rFonts w:ascii="Verdana" w:eastAsia="Verdana" w:hAnsi="Verdana" w:cs="Verdana"/>
        <w:b/>
        <w:bCs/>
        <w:sz w:val="18"/>
        <w:szCs w:val="18"/>
      </w:rPr>
      <w:t xml:space="preserve">              Colombia Compra Eficiente         </w:t>
    </w:r>
    <w:r w:rsidRPr="07C73DD1">
      <w:rPr>
        <w:rFonts w:ascii="Verdana" w:eastAsia="Verdana" w:hAnsi="Verdana" w:cs="Verdana"/>
        <w:b/>
        <w:bCs/>
        <w:sz w:val="18"/>
        <w:szCs w:val="18"/>
        <w:lang w:val="es-ES"/>
      </w:rPr>
      <w:t xml:space="preserve"> </w:t>
    </w:r>
    <w:r w:rsidRPr="07C73DD1">
      <w:rPr>
        <w:rFonts w:ascii="Verdana" w:eastAsia="Verdana" w:hAnsi="Verdana" w:cs="Verdana"/>
        <w:b/>
        <w:bCs/>
        <w:sz w:val="18"/>
        <w:szCs w:val="18"/>
      </w:rPr>
      <w:t xml:space="preserve">                                                  </w:t>
    </w:r>
  </w:p>
  <w:p w14:paraId="0A735DD5" w14:textId="77777777" w:rsidR="00D520D8" w:rsidRDefault="07C73DD1" w:rsidP="07C73DD1">
    <w:pPr>
      <w:spacing w:after="0"/>
      <w:jc w:val="both"/>
      <w:rPr>
        <w:rFonts w:ascii="Verdana" w:eastAsia="Verdana" w:hAnsi="Verdana" w:cs="Verdana"/>
        <w:sz w:val="18"/>
        <w:szCs w:val="18"/>
      </w:rPr>
    </w:pPr>
    <w:r w:rsidRPr="07C73DD1">
      <w:rPr>
        <w:rFonts w:ascii="Verdana" w:eastAsia="Verdana" w:hAnsi="Verdana" w:cs="Verdana"/>
        <w:sz w:val="18"/>
        <w:szCs w:val="18"/>
      </w:rPr>
      <w:t>Dirección: Carrera 7 # 26 – 20 - Bogotá, Colombia</w:t>
    </w:r>
  </w:p>
  <w:p w14:paraId="06E36B88" w14:textId="77777777" w:rsidR="00D520D8" w:rsidRPr="00E41027" w:rsidRDefault="07C73DD1" w:rsidP="07C73DD1">
    <w:pPr>
      <w:spacing w:after="0"/>
      <w:jc w:val="both"/>
      <w:rPr>
        <w:rFonts w:ascii="Verdana" w:eastAsia="Verdana" w:hAnsi="Verdana" w:cs="Verdana"/>
        <w:sz w:val="18"/>
        <w:szCs w:val="18"/>
      </w:rPr>
    </w:pPr>
    <w:r w:rsidRPr="07C73DD1">
      <w:rPr>
        <w:rFonts w:ascii="Verdana" w:eastAsia="Verdana" w:hAnsi="Verdana" w:cs="Verdana"/>
        <w:sz w:val="18"/>
        <w:szCs w:val="18"/>
      </w:rPr>
      <w:t>Mesa de servicio: (+57) 601 7456788</w:t>
    </w:r>
  </w:p>
  <w:p w14:paraId="744661F5" w14:textId="22B9E88F" w:rsidR="006219F8" w:rsidRDefault="07C73DD1" w:rsidP="07C73DD1">
    <w:pPr>
      <w:pBdr>
        <w:top w:val="nil"/>
        <w:left w:val="nil"/>
        <w:bottom w:val="nil"/>
        <w:right w:val="nil"/>
        <w:between w:val="nil"/>
      </w:pBdr>
      <w:tabs>
        <w:tab w:val="center" w:pos="4419"/>
        <w:tab w:val="right" w:pos="8838"/>
        <w:tab w:val="center" w:pos="5400"/>
      </w:tabs>
      <w:spacing w:after="0"/>
      <w:jc w:val="right"/>
      <w:rPr>
        <w:rFonts w:ascii="Verdana" w:eastAsia="Verdana" w:hAnsi="Verdana" w:cs="Verdana"/>
        <w:sz w:val="18"/>
        <w:szCs w:val="18"/>
        <w:lang w:eastAsia="es-CO"/>
      </w:rPr>
    </w:pPr>
    <w:r w:rsidRPr="07C73DD1">
      <w:rPr>
        <w:rFonts w:ascii="Verdana" w:eastAsia="Verdana" w:hAnsi="Verdana" w:cs="Verdana"/>
        <w:b/>
        <w:bCs/>
        <w:color w:val="000000" w:themeColor="text1"/>
        <w:sz w:val="18"/>
        <w:szCs w:val="18"/>
        <w:lang w:eastAsia="es-CO"/>
      </w:rPr>
      <w:t xml:space="preserve">Código: </w:t>
    </w:r>
    <w:r w:rsidRPr="07C73DD1">
      <w:rPr>
        <w:rFonts w:ascii="Verdana" w:eastAsia="Verdana" w:hAnsi="Verdana" w:cs="Verdana"/>
        <w:color w:val="000000" w:themeColor="text1"/>
        <w:sz w:val="18"/>
        <w:szCs w:val="18"/>
        <w:lang w:eastAsia="es-CO"/>
      </w:rPr>
      <w:t xml:space="preserve">CCE-REC-FM-17 </w:t>
    </w:r>
    <w:r w:rsidRPr="07C73DD1">
      <w:rPr>
        <w:rFonts w:ascii="Verdana" w:eastAsia="Verdana" w:hAnsi="Verdana" w:cs="Verdana"/>
        <w:b/>
        <w:bCs/>
        <w:color w:val="000000" w:themeColor="text1"/>
        <w:sz w:val="18"/>
        <w:szCs w:val="18"/>
        <w:lang w:eastAsia="es-CO"/>
      </w:rPr>
      <w:t xml:space="preserve">V: </w:t>
    </w:r>
    <w:r w:rsidRPr="07C73DD1">
      <w:rPr>
        <w:rFonts w:ascii="Verdana" w:eastAsia="Verdana" w:hAnsi="Verdana" w:cs="Verdana"/>
        <w:sz w:val="18"/>
        <w:szCs w:val="18"/>
        <w:lang w:eastAsia="es-CO"/>
      </w:rPr>
      <w:t>03 Fecha: 21-10-2025</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171BDA2" w14:textId="77777777" w:rsidR="00654AD1" w:rsidRDefault="00654AD1" w:rsidP="004A1847">
      <w:pPr>
        <w:spacing w:after="0" w:line="240" w:lineRule="auto"/>
      </w:pPr>
      <w:r>
        <w:separator/>
      </w:r>
    </w:p>
  </w:footnote>
  <w:footnote w:type="continuationSeparator" w:id="0">
    <w:p w14:paraId="14E4A363" w14:textId="77777777" w:rsidR="00654AD1" w:rsidRDefault="00654AD1" w:rsidP="004A1847">
      <w:pPr>
        <w:spacing w:after="0" w:line="240" w:lineRule="auto"/>
      </w:pPr>
      <w:r>
        <w:continuationSeparator/>
      </w:r>
    </w:p>
  </w:footnote>
  <w:footnote w:id="1">
    <w:p w14:paraId="00119BB1" w14:textId="77777777" w:rsidR="00653AAF" w:rsidRPr="00F16D2E" w:rsidRDefault="00653AAF" w:rsidP="00653AAF">
      <w:pPr>
        <w:pStyle w:val="Textonotapie"/>
        <w:ind w:right="49" w:firstLine="709"/>
        <w:jc w:val="both"/>
        <w:rPr>
          <w:rFonts w:ascii="Verdana" w:hAnsi="Verdana" w:cs="Arial"/>
          <w:color w:val="000000" w:themeColor="text1"/>
          <w:sz w:val="16"/>
          <w:szCs w:val="16"/>
        </w:rPr>
      </w:pPr>
      <w:r w:rsidRPr="00F16D2E">
        <w:rPr>
          <w:rStyle w:val="Refdenotaalpie"/>
          <w:rFonts w:ascii="Verdana" w:hAnsi="Verdana" w:cs="Arial"/>
          <w:color w:val="000000" w:themeColor="text1"/>
          <w:sz w:val="16"/>
          <w:szCs w:val="16"/>
        </w:rPr>
        <w:footnoteRef/>
      </w:r>
      <w:r w:rsidRPr="00F16D2E">
        <w:rPr>
          <w:rFonts w:ascii="Verdana" w:hAnsi="Verdana" w:cs="Arial"/>
          <w:color w:val="000000" w:themeColor="text1"/>
          <w:sz w:val="16"/>
          <w:szCs w:val="16"/>
        </w:rPr>
        <w:t xml:space="preserve"> Ley 1712 de 2014: “Artículo 5. Ámbito de aplicación. Las disposiciones de esta ley serán aplicables a las siguientes personas en calidad de sujetos obligados: </w:t>
      </w:r>
    </w:p>
    <w:p w14:paraId="3E8E94FE" w14:textId="77777777" w:rsidR="00653AAF" w:rsidRPr="00F16D2E" w:rsidRDefault="00653AAF" w:rsidP="00653AAF">
      <w:pPr>
        <w:pStyle w:val="Textonotapie"/>
        <w:ind w:right="49" w:firstLine="709"/>
        <w:jc w:val="both"/>
        <w:rPr>
          <w:rFonts w:ascii="Verdana" w:hAnsi="Verdana" w:cs="Arial"/>
          <w:color w:val="000000" w:themeColor="text1"/>
          <w:sz w:val="16"/>
          <w:szCs w:val="16"/>
        </w:rPr>
      </w:pPr>
      <w:r w:rsidRPr="00F16D2E">
        <w:rPr>
          <w:rFonts w:ascii="Verdana" w:hAnsi="Verdana" w:cs="Arial"/>
          <w:color w:val="000000" w:themeColor="text1"/>
          <w:sz w:val="16"/>
          <w:szCs w:val="16"/>
        </w:rPr>
        <w:t>a) Toda entidad pública, incluyendo las pertenecientes a todas las Ramas del Poder Público, en todos los niveles de la estructura estatal, central o descentralizada por servicios o territorialmente, en los órdenes nacional, departamental, municipal y distrital”. Obsérvese que este artículo no efectúa distinción alguna sobre el régimen jurídico aplicable a los sujetos obligados.</w:t>
      </w:r>
    </w:p>
  </w:footnote>
  <w:footnote w:id="2">
    <w:p w14:paraId="7EF696E2" w14:textId="77777777" w:rsidR="00653AAF" w:rsidRPr="00F16D2E" w:rsidRDefault="00653AAF" w:rsidP="00653AAF">
      <w:pPr>
        <w:pStyle w:val="Textonotapie"/>
        <w:ind w:right="49" w:firstLine="709"/>
        <w:jc w:val="both"/>
        <w:rPr>
          <w:rFonts w:ascii="Verdana" w:hAnsi="Verdana" w:cs="Arial"/>
          <w:color w:val="000000" w:themeColor="text1"/>
          <w:sz w:val="16"/>
          <w:szCs w:val="16"/>
        </w:rPr>
      </w:pPr>
      <w:r w:rsidRPr="00F16D2E">
        <w:rPr>
          <w:rFonts w:ascii="Verdana" w:hAnsi="Verdana" w:cs="Arial"/>
          <w:color w:val="000000" w:themeColor="text1"/>
          <w:sz w:val="16"/>
          <w:szCs w:val="16"/>
          <w:vertAlign w:val="superscript"/>
          <w:lang w:val="es-ES" w:eastAsia="es-ES"/>
        </w:rPr>
        <w:footnoteRef/>
      </w:r>
      <w:r w:rsidRPr="00F16D2E">
        <w:rPr>
          <w:rFonts w:ascii="Verdana" w:hAnsi="Verdana" w:cs="Arial"/>
          <w:color w:val="000000" w:themeColor="text1"/>
          <w:sz w:val="16"/>
          <w:szCs w:val="16"/>
          <w:vertAlign w:val="superscript"/>
          <w:lang w:val="es-ES" w:eastAsia="es-ES"/>
        </w:rPr>
        <w:t xml:space="preserve"> </w:t>
      </w:r>
      <w:r w:rsidRPr="00F16D2E">
        <w:rPr>
          <w:rFonts w:ascii="Verdana" w:hAnsi="Verdana" w:cs="Arial"/>
          <w:color w:val="000000" w:themeColor="text1"/>
          <w:sz w:val="16"/>
          <w:szCs w:val="16"/>
          <w:lang w:val="es-ES" w:eastAsia="es-ES"/>
        </w:rPr>
        <w:t>“</w:t>
      </w:r>
      <w:r w:rsidRPr="00F16D2E">
        <w:rPr>
          <w:rFonts w:ascii="Verdana" w:hAnsi="Verdana" w:cs="Arial"/>
          <w:color w:val="000000" w:themeColor="text1"/>
          <w:sz w:val="16"/>
          <w:szCs w:val="16"/>
        </w:rPr>
        <w:t xml:space="preserve">Artículo 2.1.1.2.1.7. Publicación de la información contractual. De conformidad con el literal (c) del artículo 3° de la Ley 1150 de 2007, el sistema de información del Estado en el cual los sujetos obligados que contratan con cargo a recursos públicos deben cumplir la obligación de publicar la información de su gestión contractual es el Sistema Electrónico para la Contratación Pública [SECOP] </w:t>
      </w:r>
    </w:p>
    <w:p w14:paraId="550755EF" w14:textId="77777777" w:rsidR="00653AAF" w:rsidRPr="00F16D2E" w:rsidRDefault="00653AAF" w:rsidP="00653AAF">
      <w:pPr>
        <w:pStyle w:val="Textonotapie"/>
        <w:ind w:right="49" w:firstLine="709"/>
        <w:jc w:val="both"/>
        <w:rPr>
          <w:rFonts w:ascii="Verdana" w:hAnsi="Verdana" w:cs="Arial"/>
          <w:color w:val="000000" w:themeColor="text1"/>
          <w:sz w:val="16"/>
          <w:szCs w:val="16"/>
          <w:lang w:val="es-ES" w:eastAsia="es-ES"/>
        </w:rPr>
      </w:pPr>
      <w:r w:rsidRPr="00F16D2E">
        <w:rPr>
          <w:rFonts w:ascii="Verdana" w:hAnsi="Verdana" w:cs="Arial"/>
          <w:color w:val="000000" w:themeColor="text1"/>
          <w:sz w:val="16"/>
          <w:szCs w:val="16"/>
        </w:rPr>
        <w:t>[…].</w:t>
      </w:r>
    </w:p>
    <w:p w14:paraId="15789927" w14:textId="77777777" w:rsidR="00653AAF" w:rsidRPr="00F16D2E" w:rsidRDefault="00653AAF" w:rsidP="00653AAF">
      <w:pPr>
        <w:pStyle w:val="Textonotapie"/>
        <w:ind w:right="49" w:firstLine="709"/>
        <w:jc w:val="both"/>
        <w:rPr>
          <w:rFonts w:ascii="Verdana" w:hAnsi="Verdana" w:cs="Arial"/>
          <w:color w:val="000000" w:themeColor="text1"/>
          <w:sz w:val="16"/>
          <w:szCs w:val="16"/>
          <w:lang w:val="es-ES" w:eastAsia="es-ES"/>
        </w:rPr>
      </w:pPr>
      <w:r w:rsidRPr="00F16D2E">
        <w:rPr>
          <w:rFonts w:ascii="Verdana" w:hAnsi="Verdana" w:cs="Arial"/>
          <w:color w:val="000000" w:themeColor="text1"/>
          <w:sz w:val="16"/>
          <w:szCs w:val="16"/>
          <w:lang w:val="es-ES" w:eastAsia="es-ES"/>
        </w:rPr>
        <w:t>Los sujetos obligados que contratan con recursos públicos y recursos privados, deben publicar la información de su gestión contractual con cargo a recursos públicos en el Sistema Electrónico para la Contratación Pública [SECOP]”.</w:t>
      </w:r>
    </w:p>
  </w:footnote>
  <w:footnote w:id="3">
    <w:p w14:paraId="4E983327" w14:textId="77777777" w:rsidR="00653AAF" w:rsidRPr="00F16D2E" w:rsidRDefault="00653AAF" w:rsidP="00653AAF">
      <w:pPr>
        <w:pStyle w:val="Textonotapie"/>
        <w:ind w:right="49" w:firstLine="708"/>
        <w:jc w:val="both"/>
        <w:rPr>
          <w:rFonts w:ascii="Verdana" w:hAnsi="Verdana" w:cs="Arial"/>
          <w:color w:val="000000" w:themeColor="text1"/>
          <w:sz w:val="16"/>
          <w:szCs w:val="16"/>
        </w:rPr>
      </w:pPr>
      <w:r w:rsidRPr="00F16D2E">
        <w:rPr>
          <w:rStyle w:val="Refdenotaalpie"/>
          <w:rFonts w:ascii="Verdana" w:hAnsi="Verdana" w:cs="Arial"/>
          <w:color w:val="000000" w:themeColor="text1"/>
          <w:sz w:val="16"/>
          <w:szCs w:val="16"/>
        </w:rPr>
        <w:footnoteRef/>
      </w:r>
      <w:r w:rsidRPr="00F16D2E">
        <w:rPr>
          <w:rFonts w:ascii="Verdana" w:hAnsi="Verdana" w:cs="Arial"/>
          <w:color w:val="000000" w:themeColor="text1"/>
          <w:sz w:val="16"/>
          <w:szCs w:val="16"/>
        </w:rPr>
        <w:t xml:space="preserve"> Decreto 1082 de 2015: “Artículo 2.2.1.1.1.7.1. Publicidad en el SECOP. La Entidad Estatal está obligada a publicar en el SECOP los Documentos del Proceso y los actos administrativos del Proceso de Contratación, dentro de los tres (3) días siguientes a su expedición. La oferta que debe ser publicada es la del adjudicatario del Proceso de Contratación. Los documentos de las operaciones que se realicen en bolsa de productos no tienen que ser publicados en el SECOP.</w:t>
      </w:r>
    </w:p>
    <w:p w14:paraId="3FEF2BAC" w14:textId="77777777" w:rsidR="00653AAF" w:rsidRPr="00F16D2E" w:rsidRDefault="00653AAF" w:rsidP="00653AAF">
      <w:pPr>
        <w:pStyle w:val="Textonotapie"/>
        <w:ind w:right="49" w:firstLine="708"/>
        <w:jc w:val="both"/>
        <w:rPr>
          <w:rFonts w:ascii="Verdana" w:hAnsi="Verdana" w:cs="Arial"/>
          <w:color w:val="000000" w:themeColor="text1"/>
          <w:sz w:val="16"/>
          <w:szCs w:val="16"/>
          <w:lang w:val="es-ES"/>
        </w:rPr>
      </w:pPr>
      <w:r w:rsidRPr="00F16D2E">
        <w:rPr>
          <w:rFonts w:ascii="Verdana" w:hAnsi="Verdana" w:cs="Arial"/>
          <w:color w:val="000000" w:themeColor="text1"/>
          <w:sz w:val="16"/>
          <w:szCs w:val="16"/>
        </w:rPr>
        <w:t>La Entidad Estatal está obligada a publicar oportunamente el aviso de convocatoria o la invitación en los Procesos de Contratación de mínima cuantía y el proyecto de pliegos de condiciones en el SECOP para que los interesados en el Proceso de Contratación puedan presentar observaciones o solicitar aclaraciones en el término previsto para el efecto en el artículo 2.2.1.1.2.1.4 del presente decreto”.</w:t>
      </w:r>
    </w:p>
  </w:footnote>
  <w:footnote w:id="4">
    <w:p w14:paraId="556B2A6B" w14:textId="77777777" w:rsidR="00653AAF" w:rsidRPr="00CE0BDF" w:rsidRDefault="00653AAF" w:rsidP="00653AAF">
      <w:pPr>
        <w:pStyle w:val="Textonotapie"/>
        <w:ind w:firstLine="709"/>
        <w:jc w:val="both"/>
        <w:rPr>
          <w:rFonts w:ascii="Arial" w:hAnsi="Arial" w:cs="Arial"/>
          <w:sz w:val="18"/>
          <w:szCs w:val="18"/>
        </w:rPr>
      </w:pPr>
      <w:r w:rsidRPr="00CE0BDF">
        <w:rPr>
          <w:rStyle w:val="Refdenotaalpie"/>
          <w:rFonts w:ascii="Arial" w:hAnsi="Arial" w:cs="Arial"/>
          <w:sz w:val="18"/>
          <w:szCs w:val="18"/>
        </w:rPr>
        <w:footnoteRef/>
      </w:r>
      <w:r w:rsidRPr="00CE0BDF">
        <w:rPr>
          <w:rFonts w:ascii="Arial" w:hAnsi="Arial" w:cs="Arial"/>
          <w:sz w:val="18"/>
          <w:szCs w:val="18"/>
        </w:rPr>
        <w:t xml:space="preserve"> El artículo 77 de la Ley 80 de 1993 dispone: “En cuanto sean compatibles con la finalidad y los principios de esta ley, las normas que rigen los procedimientos y actuaciones en la función administrativa serán aplicables en las actuaciones contractuales. A falta de éstas, regirán las disposiciones del Código de Procedimiento Civil.</w:t>
      </w:r>
    </w:p>
    <w:p w14:paraId="0B4728E9" w14:textId="77777777" w:rsidR="00653AAF" w:rsidRPr="00CE0BDF" w:rsidRDefault="00653AAF" w:rsidP="00653AAF">
      <w:pPr>
        <w:pStyle w:val="Textonotapie"/>
        <w:ind w:firstLine="709"/>
        <w:jc w:val="both"/>
        <w:rPr>
          <w:rFonts w:ascii="Arial" w:hAnsi="Arial" w:cs="Arial"/>
          <w:sz w:val="18"/>
          <w:szCs w:val="18"/>
        </w:rPr>
      </w:pPr>
      <w:r w:rsidRPr="00CE0BDF">
        <w:rPr>
          <w:rFonts w:ascii="Arial" w:hAnsi="Arial" w:cs="Arial"/>
          <w:sz w:val="18"/>
          <w:szCs w:val="18"/>
        </w:rPr>
        <w:t>Los actos administrativos que se produzcan con motivo u ocasión de la actividad contractual sólo serán susceptibles de recurso de reposición y del ejercicio de la acción contractual, de acuerdo con las reglas del Código Contencioso Administrativo.</w:t>
      </w:r>
    </w:p>
    <w:p w14:paraId="43F9248C" w14:textId="77777777" w:rsidR="00653AAF" w:rsidRDefault="00653AAF" w:rsidP="00653AAF">
      <w:pPr>
        <w:pStyle w:val="Textonotapie"/>
        <w:ind w:firstLine="709"/>
        <w:jc w:val="both"/>
        <w:rPr>
          <w:rFonts w:ascii="Arial" w:hAnsi="Arial" w:cs="Arial"/>
          <w:sz w:val="19"/>
          <w:szCs w:val="19"/>
        </w:rPr>
      </w:pPr>
      <w:r w:rsidRPr="00CE0BDF">
        <w:rPr>
          <w:rFonts w:ascii="Arial" w:hAnsi="Arial" w:cs="Arial"/>
          <w:sz w:val="18"/>
          <w:szCs w:val="18"/>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5F4D03" w14:textId="0903BF04" w:rsidR="00756841" w:rsidRDefault="009D3058" w:rsidP="00844AE9">
    <w:pPr>
      <w:pStyle w:val="Encabezado"/>
      <w:spacing w:line="120" w:lineRule="auto"/>
    </w:pPr>
    <w:r>
      <w:rPr>
        <w:rFonts w:ascii="Geomanist Bold" w:hAnsi="Geomanist Bold"/>
        <w:b/>
        <w:bCs/>
        <w:noProof/>
        <w:color w:val="002060"/>
        <w:sz w:val="24"/>
        <w:szCs w:val="24"/>
      </w:rPr>
      <w:drawing>
        <wp:anchor distT="0" distB="0" distL="114300" distR="114300" simplePos="0" relativeHeight="251658241" behindDoc="1" locked="0" layoutInCell="1" allowOverlap="1" wp14:anchorId="6FC3B35F" wp14:editId="51872E67">
          <wp:simplePos x="0" y="0"/>
          <wp:positionH relativeFrom="margin">
            <wp:align>center</wp:align>
          </wp:positionH>
          <wp:positionV relativeFrom="paragraph">
            <wp:posOffset>-256388</wp:posOffset>
          </wp:positionV>
          <wp:extent cx="1924050" cy="856004"/>
          <wp:effectExtent l="0" t="0" r="0" b="1270"/>
          <wp:wrapNone/>
          <wp:docPr id="1309089902" name="Imagen 1" descr="Imagen que contiene Interfaz de usuario gráfic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9089902" name="Imagen 1" descr="Imagen que contiene Interfaz de usuario gráfica&#10;&#10;Descripción generada automáticamente"/>
                  <pic:cNvPicPr/>
                </pic:nvPicPr>
                <pic:blipFill>
                  <a:blip r:embed="rId1">
                    <a:extLst>
                      <a:ext uri="{28A0092B-C50C-407E-A947-70E740481C1C}">
                        <a14:useLocalDpi xmlns:a14="http://schemas.microsoft.com/office/drawing/2010/main" val="0"/>
                      </a:ext>
                    </a:extLst>
                  </a:blip>
                  <a:stretch>
                    <a:fillRect/>
                  </a:stretch>
                </pic:blipFill>
                <pic:spPr>
                  <a:xfrm>
                    <a:off x="0" y="0"/>
                    <a:ext cx="1924050" cy="856004"/>
                  </a:xfrm>
                  <a:prstGeom prst="rect">
                    <a:avLst/>
                  </a:prstGeom>
                </pic:spPr>
              </pic:pic>
            </a:graphicData>
          </a:graphic>
          <wp14:sizeRelH relativeFrom="margin">
            <wp14:pctWidth>0</wp14:pctWidth>
          </wp14:sizeRelH>
          <wp14:sizeRelV relativeFrom="margin">
            <wp14:pctHeight>0</wp14:pctHeight>
          </wp14:sizeRelV>
        </wp:anchor>
      </w:drawing>
    </w:r>
    <w:r w:rsidR="00E90F6B">
      <w:rPr>
        <w:rFonts w:ascii="Geomanist Bold" w:hAnsi="Geomanist Bold"/>
        <w:b/>
        <w:bCs/>
        <w:noProof/>
        <w:color w:val="002060"/>
        <w:sz w:val="24"/>
        <w:szCs w:val="24"/>
      </w:rPr>
      <w:drawing>
        <wp:anchor distT="0" distB="0" distL="114300" distR="114300" simplePos="0" relativeHeight="251658240" behindDoc="0" locked="0" layoutInCell="1" allowOverlap="1" wp14:anchorId="4F745D08" wp14:editId="02405FCC">
          <wp:simplePos x="0" y="0"/>
          <wp:positionH relativeFrom="margin">
            <wp:posOffset>8420100</wp:posOffset>
          </wp:positionH>
          <wp:positionV relativeFrom="margin">
            <wp:posOffset>-1377950</wp:posOffset>
          </wp:positionV>
          <wp:extent cx="665480" cy="3098800"/>
          <wp:effectExtent l="0" t="0" r="0" b="0"/>
          <wp:wrapThrough wrapText="bothSides">
            <wp:wrapPolygon edited="0">
              <wp:start x="6183" y="0"/>
              <wp:lineTo x="0" y="1416"/>
              <wp:lineTo x="5359" y="2833"/>
              <wp:lineTo x="2061" y="4249"/>
              <wp:lineTo x="412" y="4780"/>
              <wp:lineTo x="824" y="5134"/>
              <wp:lineTo x="3298" y="5666"/>
              <wp:lineTo x="4534" y="7082"/>
              <wp:lineTo x="412" y="7967"/>
              <wp:lineTo x="0" y="8233"/>
              <wp:lineTo x="5771" y="9915"/>
              <wp:lineTo x="0" y="11508"/>
              <wp:lineTo x="0" y="11685"/>
              <wp:lineTo x="4122" y="12748"/>
              <wp:lineTo x="2061" y="14164"/>
              <wp:lineTo x="0" y="14872"/>
              <wp:lineTo x="0" y="15049"/>
              <wp:lineTo x="2061" y="15580"/>
              <wp:lineTo x="4534" y="16997"/>
              <wp:lineTo x="0" y="18059"/>
              <wp:lineTo x="0" y="18413"/>
              <wp:lineTo x="10718" y="21246"/>
              <wp:lineTo x="12366" y="21511"/>
              <wp:lineTo x="14427" y="21511"/>
              <wp:lineTo x="14840" y="21511"/>
              <wp:lineTo x="17313" y="20980"/>
              <wp:lineTo x="20611" y="20007"/>
              <wp:lineTo x="20198" y="19830"/>
              <wp:lineTo x="13603" y="18413"/>
              <wp:lineTo x="21023" y="16643"/>
              <wp:lineTo x="16489" y="15580"/>
              <wp:lineTo x="17313" y="14164"/>
              <wp:lineTo x="21023" y="13279"/>
              <wp:lineTo x="18962" y="12748"/>
              <wp:lineTo x="15664" y="11331"/>
              <wp:lineTo x="21023" y="10003"/>
              <wp:lineTo x="21023" y="9826"/>
              <wp:lineTo x="18137" y="9207"/>
              <wp:lineTo x="15664" y="8498"/>
              <wp:lineTo x="19374" y="7082"/>
              <wp:lineTo x="21023" y="6639"/>
              <wp:lineTo x="21023" y="6374"/>
              <wp:lineTo x="18137" y="5666"/>
              <wp:lineTo x="16901" y="4249"/>
              <wp:lineTo x="21023" y="3275"/>
              <wp:lineTo x="21023" y="3098"/>
              <wp:lineTo x="20611" y="2833"/>
              <wp:lineTo x="8244" y="0"/>
              <wp:lineTo x="6183" y="0"/>
            </wp:wrapPolygon>
          </wp:wrapThrough>
          <wp:docPr id="962149914" name="Imagen 9621499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7974706" name="Imagen 1987974706"/>
                  <pic:cNvPicPr/>
                </pic:nvPicPr>
                <pic:blipFill>
                  <a:blip r:embed="rId2" cstate="print">
                    <a:extLst>
                      <a:ext uri="{28A0092B-C50C-407E-A947-70E740481C1C}">
                        <a14:useLocalDpi xmlns:a14="http://schemas.microsoft.com/office/drawing/2010/main" val="0"/>
                      </a:ext>
                    </a:extLst>
                  </a:blip>
                  <a:stretch>
                    <a:fillRect/>
                  </a:stretch>
                </pic:blipFill>
                <pic:spPr>
                  <a:xfrm>
                    <a:off x="0" y="0"/>
                    <a:ext cx="665480" cy="3098800"/>
                  </a:xfrm>
                  <a:prstGeom prst="rect">
                    <a:avLst/>
                  </a:prstGeom>
                </pic:spPr>
              </pic:pic>
            </a:graphicData>
          </a:graphic>
          <wp14:sizeRelH relativeFrom="margin">
            <wp14:pctWidth>0</wp14:pctWidth>
          </wp14:sizeRelH>
          <wp14:sizeRelV relativeFrom="margin">
            <wp14:pctHeight>0</wp14:pctHeight>
          </wp14:sizeRelV>
        </wp:anchor>
      </w:drawing>
    </w:r>
  </w:p>
  <w:p w14:paraId="1BE2B9AE" w14:textId="4B94DB3B" w:rsidR="00756841" w:rsidRDefault="00756841">
    <w:pPr>
      <w:pStyle w:val="Encabezado"/>
    </w:pPr>
  </w:p>
  <w:p w14:paraId="5E18350A" w14:textId="705F7B76" w:rsidR="004A305D" w:rsidRPr="004A305D" w:rsidRDefault="004A305D" w:rsidP="00B01B1A">
    <w:pPr>
      <w:spacing w:after="0" w:line="120" w:lineRule="auto"/>
      <w:rPr>
        <w:rFonts w:ascii="Century Gothic" w:eastAsia="Geo" w:hAnsi="Century Gothic" w:cs="Geo"/>
        <w:sz w:val="16"/>
        <w:szCs w:val="16"/>
        <w:lang w:eastAsia="es-CO"/>
      </w:rPr>
    </w:pPr>
  </w:p>
  <w:p w14:paraId="211B7F5D" w14:textId="77777777" w:rsidR="00C925AC" w:rsidRDefault="00C925AC" w:rsidP="00844AE9">
    <w:pPr>
      <w:spacing w:after="0" w:line="240" w:lineRule="auto"/>
      <w:rPr>
        <w:rFonts w:ascii="Verdana" w:hAnsi="Verdana"/>
        <w:sz w:val="24"/>
        <w:szCs w:val="24"/>
      </w:rPr>
    </w:pPr>
  </w:p>
  <w:p w14:paraId="5A0054B1" w14:textId="77777777" w:rsidR="00A14468" w:rsidRPr="00C925AC" w:rsidRDefault="00A14468" w:rsidP="00844AE9">
    <w:pPr>
      <w:spacing w:after="0" w:line="240" w:lineRule="auto"/>
      <w:rPr>
        <w:rFonts w:ascii="Verdana" w:hAnsi="Verdana"/>
        <w:sz w:val="24"/>
        <w:szCs w:val="24"/>
      </w:rPr>
    </w:pPr>
  </w:p>
  <w:p w14:paraId="1FD1C243" w14:textId="37C5500A" w:rsidR="008A446D" w:rsidRPr="00C925AC" w:rsidRDefault="00C925AC" w:rsidP="000D5DA7">
    <w:pPr>
      <w:spacing w:after="0" w:line="480" w:lineRule="auto"/>
      <w:rPr>
        <w:rFonts w:ascii="Verdana" w:hAnsi="Verdana"/>
        <w:b/>
        <w:bCs/>
        <w:sz w:val="24"/>
        <w:szCs w:val="24"/>
      </w:rPr>
    </w:pPr>
    <w:r w:rsidRPr="00C925AC">
      <w:rPr>
        <w:rFonts w:ascii="Verdana" w:hAnsi="Verdana"/>
        <w:b/>
        <w:bCs/>
        <w:sz w:val="24"/>
        <w:szCs w:val="24"/>
      </w:rPr>
      <w:t>FORMATO</w:t>
    </w:r>
    <w:r w:rsidR="00BF7425">
      <w:rPr>
        <w:rFonts w:ascii="Verdana" w:hAnsi="Verdana"/>
        <w:b/>
        <w:bCs/>
        <w:sz w:val="24"/>
        <w:szCs w:val="24"/>
      </w:rPr>
      <w:t xml:space="preserve"> DE RESPUESTA </w:t>
    </w:r>
    <w:r w:rsidRPr="00C925AC">
      <w:rPr>
        <w:rFonts w:ascii="Verdana" w:hAnsi="Verdana"/>
        <w:b/>
        <w:bCs/>
        <w:sz w:val="24"/>
        <w:szCs w:val="24"/>
      </w:rPr>
      <w:t>PQRSD</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2pt;height:12pt" o:bullet="t">
        <v:imagedata r:id="rId1" o:title="mso1B13"/>
      </v:shape>
    </w:pict>
  </w:numPicBullet>
  <w:abstractNum w:abstractNumId="0" w15:restartNumberingAfterBreak="0">
    <w:nsid w:val="01C06310"/>
    <w:multiLevelType w:val="multilevel"/>
    <w:tmpl w:val="25FEEF8E"/>
    <w:lvl w:ilvl="0">
      <w:start w:val="1"/>
      <w:numFmt w:val="decimal"/>
      <w:lvlText w:val="%1."/>
      <w:lvlJc w:val="left"/>
      <w:pPr>
        <w:ind w:left="360" w:hanging="360"/>
      </w:pPr>
      <w:rPr>
        <w:b/>
        <w:color w:val="000000" w:themeColor="text1"/>
      </w:rPr>
    </w:lvl>
    <w:lvl w:ilvl="1">
      <w:start w:val="2"/>
      <w:numFmt w:val="decimal"/>
      <w:isLgl/>
      <w:lvlText w:val="%1.%2"/>
      <w:lvlJc w:val="left"/>
      <w:pPr>
        <w:ind w:left="6241" w:hanging="360"/>
      </w:pPr>
    </w:lvl>
    <w:lvl w:ilvl="2">
      <w:start w:val="1"/>
      <w:numFmt w:val="decimal"/>
      <w:isLgl/>
      <w:lvlText w:val="%1.%2.%3"/>
      <w:lvlJc w:val="left"/>
      <w:pPr>
        <w:ind w:left="6961" w:hanging="720"/>
      </w:pPr>
    </w:lvl>
    <w:lvl w:ilvl="3">
      <w:start w:val="1"/>
      <w:numFmt w:val="decimal"/>
      <w:isLgl/>
      <w:lvlText w:val="%1.%2.%3.%4"/>
      <w:lvlJc w:val="left"/>
      <w:pPr>
        <w:ind w:left="6961" w:hanging="720"/>
      </w:pPr>
    </w:lvl>
    <w:lvl w:ilvl="4">
      <w:start w:val="1"/>
      <w:numFmt w:val="decimal"/>
      <w:isLgl/>
      <w:lvlText w:val="%1.%2.%3.%4.%5"/>
      <w:lvlJc w:val="left"/>
      <w:pPr>
        <w:ind w:left="7321" w:hanging="1080"/>
      </w:pPr>
    </w:lvl>
    <w:lvl w:ilvl="5">
      <w:start w:val="1"/>
      <w:numFmt w:val="decimal"/>
      <w:isLgl/>
      <w:lvlText w:val="%1.%2.%3.%4.%5.%6"/>
      <w:lvlJc w:val="left"/>
      <w:pPr>
        <w:ind w:left="7321" w:hanging="1080"/>
      </w:pPr>
    </w:lvl>
    <w:lvl w:ilvl="6">
      <w:start w:val="1"/>
      <w:numFmt w:val="decimal"/>
      <w:isLgl/>
      <w:lvlText w:val="%1.%2.%3.%4.%5.%6.%7"/>
      <w:lvlJc w:val="left"/>
      <w:pPr>
        <w:ind w:left="7681" w:hanging="1440"/>
      </w:pPr>
    </w:lvl>
    <w:lvl w:ilvl="7">
      <w:start w:val="1"/>
      <w:numFmt w:val="decimal"/>
      <w:isLgl/>
      <w:lvlText w:val="%1.%2.%3.%4.%5.%6.%7.%8"/>
      <w:lvlJc w:val="left"/>
      <w:pPr>
        <w:ind w:left="7681" w:hanging="1440"/>
      </w:pPr>
    </w:lvl>
    <w:lvl w:ilvl="8">
      <w:start w:val="1"/>
      <w:numFmt w:val="decimal"/>
      <w:isLgl/>
      <w:lvlText w:val="%1.%2.%3.%4.%5.%6.%7.%8.%9"/>
      <w:lvlJc w:val="left"/>
      <w:pPr>
        <w:ind w:left="8041" w:hanging="1800"/>
      </w:pPr>
    </w:lvl>
  </w:abstractNum>
  <w:abstractNum w:abstractNumId="1" w15:restartNumberingAfterBreak="0">
    <w:nsid w:val="0337782A"/>
    <w:multiLevelType w:val="multilevel"/>
    <w:tmpl w:val="90D242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06D30BDC"/>
    <w:multiLevelType w:val="hybridMultilevel"/>
    <w:tmpl w:val="734ED3EC"/>
    <w:lvl w:ilvl="0" w:tplc="834431CA">
      <w:numFmt w:val="bullet"/>
      <w:lvlText w:val="-"/>
      <w:lvlJc w:val="left"/>
      <w:pPr>
        <w:ind w:left="1080" w:hanging="360"/>
      </w:pPr>
      <w:rPr>
        <w:rFonts w:ascii="Arial" w:eastAsia="Times New Roman" w:hAnsi="Arial" w:cs="Arial" w:hint="default"/>
        <w:b/>
      </w:rPr>
    </w:lvl>
    <w:lvl w:ilvl="1" w:tplc="0C0A0003" w:tentative="1">
      <w:start w:val="1"/>
      <w:numFmt w:val="bullet"/>
      <w:lvlText w:val="o"/>
      <w:lvlJc w:val="left"/>
      <w:pPr>
        <w:ind w:left="1800" w:hanging="360"/>
      </w:pPr>
      <w:rPr>
        <w:rFonts w:ascii="Courier New" w:hAnsi="Courier New" w:cs="Courier New" w:hint="default"/>
      </w:rPr>
    </w:lvl>
    <w:lvl w:ilvl="2" w:tplc="0C0A0005" w:tentative="1">
      <w:start w:val="1"/>
      <w:numFmt w:val="bullet"/>
      <w:lvlText w:val=""/>
      <w:lvlJc w:val="left"/>
      <w:pPr>
        <w:ind w:left="2520" w:hanging="360"/>
      </w:pPr>
      <w:rPr>
        <w:rFonts w:ascii="Wingdings" w:hAnsi="Wingdings" w:hint="default"/>
      </w:rPr>
    </w:lvl>
    <w:lvl w:ilvl="3" w:tplc="0C0A0001" w:tentative="1">
      <w:start w:val="1"/>
      <w:numFmt w:val="bullet"/>
      <w:lvlText w:val=""/>
      <w:lvlJc w:val="left"/>
      <w:pPr>
        <w:ind w:left="3240" w:hanging="360"/>
      </w:pPr>
      <w:rPr>
        <w:rFonts w:ascii="Symbol" w:hAnsi="Symbol" w:hint="default"/>
      </w:rPr>
    </w:lvl>
    <w:lvl w:ilvl="4" w:tplc="0C0A0003" w:tentative="1">
      <w:start w:val="1"/>
      <w:numFmt w:val="bullet"/>
      <w:lvlText w:val="o"/>
      <w:lvlJc w:val="left"/>
      <w:pPr>
        <w:ind w:left="3960" w:hanging="360"/>
      </w:pPr>
      <w:rPr>
        <w:rFonts w:ascii="Courier New" w:hAnsi="Courier New" w:cs="Courier New" w:hint="default"/>
      </w:rPr>
    </w:lvl>
    <w:lvl w:ilvl="5" w:tplc="0C0A0005" w:tentative="1">
      <w:start w:val="1"/>
      <w:numFmt w:val="bullet"/>
      <w:lvlText w:val=""/>
      <w:lvlJc w:val="left"/>
      <w:pPr>
        <w:ind w:left="4680" w:hanging="360"/>
      </w:pPr>
      <w:rPr>
        <w:rFonts w:ascii="Wingdings" w:hAnsi="Wingdings" w:hint="default"/>
      </w:rPr>
    </w:lvl>
    <w:lvl w:ilvl="6" w:tplc="0C0A0001" w:tentative="1">
      <w:start w:val="1"/>
      <w:numFmt w:val="bullet"/>
      <w:lvlText w:val=""/>
      <w:lvlJc w:val="left"/>
      <w:pPr>
        <w:ind w:left="5400" w:hanging="360"/>
      </w:pPr>
      <w:rPr>
        <w:rFonts w:ascii="Symbol" w:hAnsi="Symbol" w:hint="default"/>
      </w:rPr>
    </w:lvl>
    <w:lvl w:ilvl="7" w:tplc="0C0A0003" w:tentative="1">
      <w:start w:val="1"/>
      <w:numFmt w:val="bullet"/>
      <w:lvlText w:val="o"/>
      <w:lvlJc w:val="left"/>
      <w:pPr>
        <w:ind w:left="6120" w:hanging="360"/>
      </w:pPr>
      <w:rPr>
        <w:rFonts w:ascii="Courier New" w:hAnsi="Courier New" w:cs="Courier New" w:hint="default"/>
      </w:rPr>
    </w:lvl>
    <w:lvl w:ilvl="8" w:tplc="0C0A0005" w:tentative="1">
      <w:start w:val="1"/>
      <w:numFmt w:val="bullet"/>
      <w:lvlText w:val=""/>
      <w:lvlJc w:val="left"/>
      <w:pPr>
        <w:ind w:left="6840" w:hanging="360"/>
      </w:pPr>
      <w:rPr>
        <w:rFonts w:ascii="Wingdings" w:hAnsi="Wingdings" w:hint="default"/>
      </w:rPr>
    </w:lvl>
  </w:abstractNum>
  <w:abstractNum w:abstractNumId="3" w15:restartNumberingAfterBreak="0">
    <w:nsid w:val="25352E86"/>
    <w:multiLevelType w:val="multilevel"/>
    <w:tmpl w:val="E81277DA"/>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31280020"/>
    <w:multiLevelType w:val="hybridMultilevel"/>
    <w:tmpl w:val="DA8CAD24"/>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5" w15:restartNumberingAfterBreak="0">
    <w:nsid w:val="320B0C74"/>
    <w:multiLevelType w:val="multilevel"/>
    <w:tmpl w:val="FCE0A7DE"/>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33614460"/>
    <w:multiLevelType w:val="hybridMultilevel"/>
    <w:tmpl w:val="7FC88522"/>
    <w:lvl w:ilvl="0" w:tplc="A22AAB2E">
      <w:start w:val="1"/>
      <w:numFmt w:val="decimal"/>
      <w:lvlText w:val="%1)"/>
      <w:lvlJc w:val="left"/>
      <w:pPr>
        <w:ind w:left="720" w:hanging="360"/>
      </w:pPr>
      <w:rPr>
        <w:rFonts w:hint="default"/>
        <w:b/>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7" w15:restartNumberingAfterBreak="0">
    <w:nsid w:val="370F0516"/>
    <w:multiLevelType w:val="multilevel"/>
    <w:tmpl w:val="BAD28BB2"/>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37D933EA"/>
    <w:multiLevelType w:val="multilevel"/>
    <w:tmpl w:val="8BFCD550"/>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39D726F5"/>
    <w:multiLevelType w:val="hybridMultilevel"/>
    <w:tmpl w:val="7BDC1A10"/>
    <w:lvl w:ilvl="0" w:tplc="040A0001">
      <w:start w:val="1"/>
      <w:numFmt w:val="bullet"/>
      <w:lvlText w:val=""/>
      <w:lvlJc w:val="left"/>
      <w:pPr>
        <w:ind w:left="720" w:hanging="360"/>
      </w:pPr>
      <w:rPr>
        <w:rFonts w:ascii="Symbol" w:hAnsi="Symbol" w:hint="default"/>
      </w:rPr>
    </w:lvl>
    <w:lvl w:ilvl="1" w:tplc="040A0003" w:tentative="1">
      <w:start w:val="1"/>
      <w:numFmt w:val="bullet"/>
      <w:lvlText w:val="o"/>
      <w:lvlJc w:val="left"/>
      <w:pPr>
        <w:ind w:left="1440" w:hanging="360"/>
      </w:pPr>
      <w:rPr>
        <w:rFonts w:ascii="Courier New" w:hAnsi="Courier New" w:cs="Courier New" w:hint="default"/>
      </w:rPr>
    </w:lvl>
    <w:lvl w:ilvl="2" w:tplc="040A0005" w:tentative="1">
      <w:start w:val="1"/>
      <w:numFmt w:val="bullet"/>
      <w:lvlText w:val=""/>
      <w:lvlJc w:val="left"/>
      <w:pPr>
        <w:ind w:left="2160" w:hanging="360"/>
      </w:pPr>
      <w:rPr>
        <w:rFonts w:ascii="Wingdings" w:hAnsi="Wingdings" w:hint="default"/>
      </w:rPr>
    </w:lvl>
    <w:lvl w:ilvl="3" w:tplc="040A0001" w:tentative="1">
      <w:start w:val="1"/>
      <w:numFmt w:val="bullet"/>
      <w:lvlText w:val=""/>
      <w:lvlJc w:val="left"/>
      <w:pPr>
        <w:ind w:left="2880" w:hanging="360"/>
      </w:pPr>
      <w:rPr>
        <w:rFonts w:ascii="Symbol" w:hAnsi="Symbol" w:hint="default"/>
      </w:rPr>
    </w:lvl>
    <w:lvl w:ilvl="4" w:tplc="040A0003" w:tentative="1">
      <w:start w:val="1"/>
      <w:numFmt w:val="bullet"/>
      <w:lvlText w:val="o"/>
      <w:lvlJc w:val="left"/>
      <w:pPr>
        <w:ind w:left="3600" w:hanging="360"/>
      </w:pPr>
      <w:rPr>
        <w:rFonts w:ascii="Courier New" w:hAnsi="Courier New" w:cs="Courier New" w:hint="default"/>
      </w:rPr>
    </w:lvl>
    <w:lvl w:ilvl="5" w:tplc="040A0005" w:tentative="1">
      <w:start w:val="1"/>
      <w:numFmt w:val="bullet"/>
      <w:lvlText w:val=""/>
      <w:lvlJc w:val="left"/>
      <w:pPr>
        <w:ind w:left="4320" w:hanging="360"/>
      </w:pPr>
      <w:rPr>
        <w:rFonts w:ascii="Wingdings" w:hAnsi="Wingdings" w:hint="default"/>
      </w:rPr>
    </w:lvl>
    <w:lvl w:ilvl="6" w:tplc="040A0001" w:tentative="1">
      <w:start w:val="1"/>
      <w:numFmt w:val="bullet"/>
      <w:lvlText w:val=""/>
      <w:lvlJc w:val="left"/>
      <w:pPr>
        <w:ind w:left="5040" w:hanging="360"/>
      </w:pPr>
      <w:rPr>
        <w:rFonts w:ascii="Symbol" w:hAnsi="Symbol" w:hint="default"/>
      </w:rPr>
    </w:lvl>
    <w:lvl w:ilvl="7" w:tplc="040A0003" w:tentative="1">
      <w:start w:val="1"/>
      <w:numFmt w:val="bullet"/>
      <w:lvlText w:val="o"/>
      <w:lvlJc w:val="left"/>
      <w:pPr>
        <w:ind w:left="5760" w:hanging="360"/>
      </w:pPr>
      <w:rPr>
        <w:rFonts w:ascii="Courier New" w:hAnsi="Courier New" w:cs="Courier New" w:hint="default"/>
      </w:rPr>
    </w:lvl>
    <w:lvl w:ilvl="8" w:tplc="040A0005" w:tentative="1">
      <w:start w:val="1"/>
      <w:numFmt w:val="bullet"/>
      <w:lvlText w:val=""/>
      <w:lvlJc w:val="left"/>
      <w:pPr>
        <w:ind w:left="6480" w:hanging="360"/>
      </w:pPr>
      <w:rPr>
        <w:rFonts w:ascii="Wingdings" w:hAnsi="Wingdings" w:hint="default"/>
      </w:rPr>
    </w:lvl>
  </w:abstractNum>
  <w:abstractNum w:abstractNumId="10" w15:restartNumberingAfterBreak="0">
    <w:nsid w:val="636C03B0"/>
    <w:multiLevelType w:val="hybridMultilevel"/>
    <w:tmpl w:val="53AC8484"/>
    <w:lvl w:ilvl="0" w:tplc="1F14B5D2">
      <w:start w:val="1"/>
      <w:numFmt w:val="bullet"/>
      <w:lvlText w:val="·"/>
      <w:lvlJc w:val="left"/>
      <w:pPr>
        <w:ind w:left="785" w:hanging="360"/>
      </w:pPr>
      <w:rPr>
        <w:rFonts w:ascii="Symbol" w:hAnsi="Symbol" w:hint="default"/>
        <w:color w:val="auto"/>
      </w:rPr>
    </w:lvl>
    <w:lvl w:ilvl="1" w:tplc="240A0003" w:tentative="1">
      <w:start w:val="1"/>
      <w:numFmt w:val="bullet"/>
      <w:lvlText w:val="o"/>
      <w:lvlJc w:val="left"/>
      <w:pPr>
        <w:ind w:left="1505" w:hanging="360"/>
      </w:pPr>
      <w:rPr>
        <w:rFonts w:ascii="Courier New" w:hAnsi="Courier New" w:cs="Courier New" w:hint="default"/>
      </w:rPr>
    </w:lvl>
    <w:lvl w:ilvl="2" w:tplc="240A0005" w:tentative="1">
      <w:start w:val="1"/>
      <w:numFmt w:val="bullet"/>
      <w:lvlText w:val=""/>
      <w:lvlJc w:val="left"/>
      <w:pPr>
        <w:ind w:left="2225" w:hanging="360"/>
      </w:pPr>
      <w:rPr>
        <w:rFonts w:ascii="Wingdings" w:hAnsi="Wingdings" w:hint="default"/>
      </w:rPr>
    </w:lvl>
    <w:lvl w:ilvl="3" w:tplc="240A0001" w:tentative="1">
      <w:start w:val="1"/>
      <w:numFmt w:val="bullet"/>
      <w:lvlText w:val=""/>
      <w:lvlJc w:val="left"/>
      <w:pPr>
        <w:ind w:left="2945" w:hanging="360"/>
      </w:pPr>
      <w:rPr>
        <w:rFonts w:ascii="Symbol" w:hAnsi="Symbol" w:hint="default"/>
      </w:rPr>
    </w:lvl>
    <w:lvl w:ilvl="4" w:tplc="240A0003" w:tentative="1">
      <w:start w:val="1"/>
      <w:numFmt w:val="bullet"/>
      <w:lvlText w:val="o"/>
      <w:lvlJc w:val="left"/>
      <w:pPr>
        <w:ind w:left="3665" w:hanging="360"/>
      </w:pPr>
      <w:rPr>
        <w:rFonts w:ascii="Courier New" w:hAnsi="Courier New" w:cs="Courier New" w:hint="default"/>
      </w:rPr>
    </w:lvl>
    <w:lvl w:ilvl="5" w:tplc="240A0005" w:tentative="1">
      <w:start w:val="1"/>
      <w:numFmt w:val="bullet"/>
      <w:lvlText w:val=""/>
      <w:lvlJc w:val="left"/>
      <w:pPr>
        <w:ind w:left="4385" w:hanging="360"/>
      </w:pPr>
      <w:rPr>
        <w:rFonts w:ascii="Wingdings" w:hAnsi="Wingdings" w:hint="default"/>
      </w:rPr>
    </w:lvl>
    <w:lvl w:ilvl="6" w:tplc="240A0001" w:tentative="1">
      <w:start w:val="1"/>
      <w:numFmt w:val="bullet"/>
      <w:lvlText w:val=""/>
      <w:lvlJc w:val="left"/>
      <w:pPr>
        <w:ind w:left="5105" w:hanging="360"/>
      </w:pPr>
      <w:rPr>
        <w:rFonts w:ascii="Symbol" w:hAnsi="Symbol" w:hint="default"/>
      </w:rPr>
    </w:lvl>
    <w:lvl w:ilvl="7" w:tplc="240A0003" w:tentative="1">
      <w:start w:val="1"/>
      <w:numFmt w:val="bullet"/>
      <w:lvlText w:val="o"/>
      <w:lvlJc w:val="left"/>
      <w:pPr>
        <w:ind w:left="5825" w:hanging="360"/>
      </w:pPr>
      <w:rPr>
        <w:rFonts w:ascii="Courier New" w:hAnsi="Courier New" w:cs="Courier New" w:hint="default"/>
      </w:rPr>
    </w:lvl>
    <w:lvl w:ilvl="8" w:tplc="240A0005" w:tentative="1">
      <w:start w:val="1"/>
      <w:numFmt w:val="bullet"/>
      <w:lvlText w:val=""/>
      <w:lvlJc w:val="left"/>
      <w:pPr>
        <w:ind w:left="6545" w:hanging="360"/>
      </w:pPr>
      <w:rPr>
        <w:rFonts w:ascii="Wingdings" w:hAnsi="Wingdings" w:hint="default"/>
      </w:rPr>
    </w:lvl>
  </w:abstractNum>
  <w:abstractNum w:abstractNumId="11" w15:restartNumberingAfterBreak="0">
    <w:nsid w:val="6BF97060"/>
    <w:multiLevelType w:val="multilevel"/>
    <w:tmpl w:val="B3E004E0"/>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6C3C082A"/>
    <w:multiLevelType w:val="multilevel"/>
    <w:tmpl w:val="A80420EA"/>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6F4922CE"/>
    <w:multiLevelType w:val="multilevel"/>
    <w:tmpl w:val="E5E6373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6FB367B7"/>
    <w:multiLevelType w:val="multilevel"/>
    <w:tmpl w:val="4E0EF642"/>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703F7329"/>
    <w:multiLevelType w:val="hybridMultilevel"/>
    <w:tmpl w:val="327AFF7E"/>
    <w:lvl w:ilvl="0" w:tplc="CB3A0CBE">
      <w:start w:val="1"/>
      <w:numFmt w:val="decimal"/>
      <w:lvlText w:val="%1."/>
      <w:lvlJc w:val="left"/>
      <w:pPr>
        <w:ind w:left="1144" w:hanging="360"/>
      </w:pPr>
      <w:rPr>
        <w:rFonts w:hint="default"/>
      </w:rPr>
    </w:lvl>
    <w:lvl w:ilvl="1" w:tplc="240A0019" w:tentative="1">
      <w:start w:val="1"/>
      <w:numFmt w:val="lowerLetter"/>
      <w:lvlText w:val="%2."/>
      <w:lvlJc w:val="left"/>
      <w:pPr>
        <w:ind w:left="1864" w:hanging="360"/>
      </w:pPr>
    </w:lvl>
    <w:lvl w:ilvl="2" w:tplc="240A001B" w:tentative="1">
      <w:start w:val="1"/>
      <w:numFmt w:val="lowerRoman"/>
      <w:lvlText w:val="%3."/>
      <w:lvlJc w:val="right"/>
      <w:pPr>
        <w:ind w:left="2584" w:hanging="180"/>
      </w:pPr>
    </w:lvl>
    <w:lvl w:ilvl="3" w:tplc="240A000F" w:tentative="1">
      <w:start w:val="1"/>
      <w:numFmt w:val="decimal"/>
      <w:lvlText w:val="%4."/>
      <w:lvlJc w:val="left"/>
      <w:pPr>
        <w:ind w:left="3304" w:hanging="360"/>
      </w:pPr>
    </w:lvl>
    <w:lvl w:ilvl="4" w:tplc="240A0019" w:tentative="1">
      <w:start w:val="1"/>
      <w:numFmt w:val="lowerLetter"/>
      <w:lvlText w:val="%5."/>
      <w:lvlJc w:val="left"/>
      <w:pPr>
        <w:ind w:left="4024" w:hanging="360"/>
      </w:pPr>
    </w:lvl>
    <w:lvl w:ilvl="5" w:tplc="240A001B" w:tentative="1">
      <w:start w:val="1"/>
      <w:numFmt w:val="lowerRoman"/>
      <w:lvlText w:val="%6."/>
      <w:lvlJc w:val="right"/>
      <w:pPr>
        <w:ind w:left="4744" w:hanging="180"/>
      </w:pPr>
    </w:lvl>
    <w:lvl w:ilvl="6" w:tplc="240A000F" w:tentative="1">
      <w:start w:val="1"/>
      <w:numFmt w:val="decimal"/>
      <w:lvlText w:val="%7."/>
      <w:lvlJc w:val="left"/>
      <w:pPr>
        <w:ind w:left="5464" w:hanging="360"/>
      </w:pPr>
    </w:lvl>
    <w:lvl w:ilvl="7" w:tplc="240A0019" w:tentative="1">
      <w:start w:val="1"/>
      <w:numFmt w:val="lowerLetter"/>
      <w:lvlText w:val="%8."/>
      <w:lvlJc w:val="left"/>
      <w:pPr>
        <w:ind w:left="6184" w:hanging="360"/>
      </w:pPr>
    </w:lvl>
    <w:lvl w:ilvl="8" w:tplc="240A001B" w:tentative="1">
      <w:start w:val="1"/>
      <w:numFmt w:val="lowerRoman"/>
      <w:lvlText w:val="%9."/>
      <w:lvlJc w:val="right"/>
      <w:pPr>
        <w:ind w:left="6904" w:hanging="180"/>
      </w:pPr>
    </w:lvl>
  </w:abstractNum>
  <w:num w:numId="1" w16cid:durableId="948779781">
    <w:abstractNumId w:val="6"/>
  </w:num>
  <w:num w:numId="2" w16cid:durableId="19822139">
    <w:abstractNumId w:val="2"/>
  </w:num>
  <w:num w:numId="3" w16cid:durableId="876742304">
    <w:abstractNumId w:val="4"/>
  </w:num>
  <w:num w:numId="4" w16cid:durableId="245186406">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2049721115">
    <w:abstractNumId w:val="2"/>
  </w:num>
  <w:num w:numId="6" w16cid:durableId="316692925">
    <w:abstractNumId w:val="13"/>
  </w:num>
  <w:num w:numId="7" w16cid:durableId="1946422806">
    <w:abstractNumId w:val="5"/>
  </w:num>
  <w:num w:numId="8" w16cid:durableId="152644682">
    <w:abstractNumId w:val="12"/>
  </w:num>
  <w:num w:numId="9" w16cid:durableId="1317221377">
    <w:abstractNumId w:val="7"/>
  </w:num>
  <w:num w:numId="10" w16cid:durableId="1471245386">
    <w:abstractNumId w:val="11"/>
  </w:num>
  <w:num w:numId="11" w16cid:durableId="289172385">
    <w:abstractNumId w:val="8"/>
  </w:num>
  <w:num w:numId="12" w16cid:durableId="1470781324">
    <w:abstractNumId w:val="1"/>
  </w:num>
  <w:num w:numId="13" w16cid:durableId="1512908409">
    <w:abstractNumId w:val="3"/>
  </w:num>
  <w:num w:numId="14" w16cid:durableId="895897244">
    <w:abstractNumId w:val="14"/>
  </w:num>
  <w:num w:numId="15" w16cid:durableId="390349800">
    <w:abstractNumId w:val="10"/>
  </w:num>
  <w:num w:numId="16" w16cid:durableId="341274352">
    <w:abstractNumId w:val="0"/>
  </w:num>
  <w:num w:numId="17" w16cid:durableId="679089576">
    <w:abstractNumId w:val="9"/>
  </w:num>
  <w:num w:numId="18" w16cid:durableId="1969387246">
    <w:abstractNumId w:val="15"/>
  </w:num>
  <w:num w:numId="19" w16cid:durableId="206602178">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08"/>
  <w:hyphenationZone w:val="425"/>
  <w:characterSpacingControl w:val="doNotCompress"/>
  <w:savePreviewPicture/>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A1847"/>
    <w:rsid w:val="00016F78"/>
    <w:rsid w:val="00036A44"/>
    <w:rsid w:val="00046945"/>
    <w:rsid w:val="00061B2A"/>
    <w:rsid w:val="00081207"/>
    <w:rsid w:val="00082362"/>
    <w:rsid w:val="000A683E"/>
    <w:rsid w:val="000B19B9"/>
    <w:rsid w:val="000C0035"/>
    <w:rsid w:val="000D0334"/>
    <w:rsid w:val="000D5DA7"/>
    <w:rsid w:val="000F6486"/>
    <w:rsid w:val="00116940"/>
    <w:rsid w:val="00125105"/>
    <w:rsid w:val="00127233"/>
    <w:rsid w:val="0015699B"/>
    <w:rsid w:val="001834E9"/>
    <w:rsid w:val="00192D4D"/>
    <w:rsid w:val="001A33BF"/>
    <w:rsid w:val="001A67EB"/>
    <w:rsid w:val="001E4177"/>
    <w:rsid w:val="001F0B24"/>
    <w:rsid w:val="001F7DC6"/>
    <w:rsid w:val="0020338C"/>
    <w:rsid w:val="0022400B"/>
    <w:rsid w:val="002421BB"/>
    <w:rsid w:val="0025796E"/>
    <w:rsid w:val="002707A2"/>
    <w:rsid w:val="002951A0"/>
    <w:rsid w:val="002962BC"/>
    <w:rsid w:val="002A093D"/>
    <w:rsid w:val="002A0DD0"/>
    <w:rsid w:val="002A49AC"/>
    <w:rsid w:val="002A64FD"/>
    <w:rsid w:val="002C7A84"/>
    <w:rsid w:val="002E2BF8"/>
    <w:rsid w:val="002E4FD9"/>
    <w:rsid w:val="0030657A"/>
    <w:rsid w:val="00322A85"/>
    <w:rsid w:val="00324168"/>
    <w:rsid w:val="00330834"/>
    <w:rsid w:val="003448F4"/>
    <w:rsid w:val="00374F5E"/>
    <w:rsid w:val="00377E3E"/>
    <w:rsid w:val="00395BBC"/>
    <w:rsid w:val="003A3E5E"/>
    <w:rsid w:val="003A779E"/>
    <w:rsid w:val="003D0F4D"/>
    <w:rsid w:val="003D25FD"/>
    <w:rsid w:val="003D5B0D"/>
    <w:rsid w:val="003E0499"/>
    <w:rsid w:val="003E4F80"/>
    <w:rsid w:val="003E6439"/>
    <w:rsid w:val="003F3941"/>
    <w:rsid w:val="00406575"/>
    <w:rsid w:val="0041166A"/>
    <w:rsid w:val="00414C74"/>
    <w:rsid w:val="0041506D"/>
    <w:rsid w:val="0042722E"/>
    <w:rsid w:val="0044528D"/>
    <w:rsid w:val="004655DC"/>
    <w:rsid w:val="00466E39"/>
    <w:rsid w:val="004A1847"/>
    <w:rsid w:val="004A305D"/>
    <w:rsid w:val="004A58D5"/>
    <w:rsid w:val="004B41BD"/>
    <w:rsid w:val="004F21C4"/>
    <w:rsid w:val="004F685F"/>
    <w:rsid w:val="005279D2"/>
    <w:rsid w:val="005566E8"/>
    <w:rsid w:val="00574867"/>
    <w:rsid w:val="00591460"/>
    <w:rsid w:val="005A65E0"/>
    <w:rsid w:val="005B7449"/>
    <w:rsid w:val="005C3777"/>
    <w:rsid w:val="005C5CDC"/>
    <w:rsid w:val="005D476C"/>
    <w:rsid w:val="00602DA6"/>
    <w:rsid w:val="00616AFA"/>
    <w:rsid w:val="006200BF"/>
    <w:rsid w:val="006219F8"/>
    <w:rsid w:val="006302F7"/>
    <w:rsid w:val="00646B9F"/>
    <w:rsid w:val="00653AAF"/>
    <w:rsid w:val="00654AD1"/>
    <w:rsid w:val="00665D70"/>
    <w:rsid w:val="006900D9"/>
    <w:rsid w:val="006C098A"/>
    <w:rsid w:val="00706C16"/>
    <w:rsid w:val="007201FC"/>
    <w:rsid w:val="007340C3"/>
    <w:rsid w:val="0075235A"/>
    <w:rsid w:val="00756841"/>
    <w:rsid w:val="007649AB"/>
    <w:rsid w:val="00771D0C"/>
    <w:rsid w:val="007833AC"/>
    <w:rsid w:val="007915F2"/>
    <w:rsid w:val="007B268C"/>
    <w:rsid w:val="007B7171"/>
    <w:rsid w:val="007C0C0F"/>
    <w:rsid w:val="007C3DC2"/>
    <w:rsid w:val="007E5497"/>
    <w:rsid w:val="00804964"/>
    <w:rsid w:val="00806F5F"/>
    <w:rsid w:val="00820278"/>
    <w:rsid w:val="008258C9"/>
    <w:rsid w:val="00844AE9"/>
    <w:rsid w:val="00867F95"/>
    <w:rsid w:val="0087011C"/>
    <w:rsid w:val="008843B6"/>
    <w:rsid w:val="00891928"/>
    <w:rsid w:val="008A446D"/>
    <w:rsid w:val="008B25F1"/>
    <w:rsid w:val="008C3191"/>
    <w:rsid w:val="008D180B"/>
    <w:rsid w:val="008F0EA7"/>
    <w:rsid w:val="00923EEF"/>
    <w:rsid w:val="009419F9"/>
    <w:rsid w:val="0095685E"/>
    <w:rsid w:val="00961B09"/>
    <w:rsid w:val="00965334"/>
    <w:rsid w:val="0097093E"/>
    <w:rsid w:val="009A0DFA"/>
    <w:rsid w:val="009A1C6F"/>
    <w:rsid w:val="009B2D26"/>
    <w:rsid w:val="009C71FA"/>
    <w:rsid w:val="009C72E7"/>
    <w:rsid w:val="009C7F7E"/>
    <w:rsid w:val="009D3058"/>
    <w:rsid w:val="009F1255"/>
    <w:rsid w:val="009F3A13"/>
    <w:rsid w:val="00A122D3"/>
    <w:rsid w:val="00A14468"/>
    <w:rsid w:val="00A17F13"/>
    <w:rsid w:val="00A20739"/>
    <w:rsid w:val="00A23AF9"/>
    <w:rsid w:val="00A33C78"/>
    <w:rsid w:val="00A42EB0"/>
    <w:rsid w:val="00A718A0"/>
    <w:rsid w:val="00AB0ADB"/>
    <w:rsid w:val="00B00C0E"/>
    <w:rsid w:val="00B01B1A"/>
    <w:rsid w:val="00B0381D"/>
    <w:rsid w:val="00B06D81"/>
    <w:rsid w:val="00B15EBE"/>
    <w:rsid w:val="00B44A47"/>
    <w:rsid w:val="00B72CD3"/>
    <w:rsid w:val="00B72FFF"/>
    <w:rsid w:val="00BC3D36"/>
    <w:rsid w:val="00BD54A6"/>
    <w:rsid w:val="00BD7F72"/>
    <w:rsid w:val="00BF7425"/>
    <w:rsid w:val="00C04FB3"/>
    <w:rsid w:val="00C11D8B"/>
    <w:rsid w:val="00C15139"/>
    <w:rsid w:val="00C330EB"/>
    <w:rsid w:val="00C50D69"/>
    <w:rsid w:val="00C5365C"/>
    <w:rsid w:val="00C754BE"/>
    <w:rsid w:val="00C76B1C"/>
    <w:rsid w:val="00C925AC"/>
    <w:rsid w:val="00CB6357"/>
    <w:rsid w:val="00CC1B26"/>
    <w:rsid w:val="00CF0316"/>
    <w:rsid w:val="00D0631E"/>
    <w:rsid w:val="00D361FD"/>
    <w:rsid w:val="00D423A2"/>
    <w:rsid w:val="00D44E26"/>
    <w:rsid w:val="00D520D8"/>
    <w:rsid w:val="00D63AC2"/>
    <w:rsid w:val="00D7383B"/>
    <w:rsid w:val="00D7788A"/>
    <w:rsid w:val="00DA231B"/>
    <w:rsid w:val="00DC39FC"/>
    <w:rsid w:val="00DE612C"/>
    <w:rsid w:val="00DF1C7C"/>
    <w:rsid w:val="00DF5254"/>
    <w:rsid w:val="00E02524"/>
    <w:rsid w:val="00E16408"/>
    <w:rsid w:val="00E20894"/>
    <w:rsid w:val="00E245AB"/>
    <w:rsid w:val="00E2764C"/>
    <w:rsid w:val="00E27F2E"/>
    <w:rsid w:val="00E50AFE"/>
    <w:rsid w:val="00E622ED"/>
    <w:rsid w:val="00E75C92"/>
    <w:rsid w:val="00E771DC"/>
    <w:rsid w:val="00E8772A"/>
    <w:rsid w:val="00E90F6B"/>
    <w:rsid w:val="00E92C27"/>
    <w:rsid w:val="00EA0E3D"/>
    <w:rsid w:val="00EC38A7"/>
    <w:rsid w:val="00EE1AA8"/>
    <w:rsid w:val="00F21092"/>
    <w:rsid w:val="00F23FEA"/>
    <w:rsid w:val="00F31EDC"/>
    <w:rsid w:val="00F462B3"/>
    <w:rsid w:val="00F5664F"/>
    <w:rsid w:val="00F666C4"/>
    <w:rsid w:val="00F76AFC"/>
    <w:rsid w:val="00FA47C0"/>
    <w:rsid w:val="00FB5DD1"/>
    <w:rsid w:val="00FC2B5D"/>
    <w:rsid w:val="00FD3807"/>
    <w:rsid w:val="00FE1E87"/>
    <w:rsid w:val="00FF1449"/>
    <w:rsid w:val="00FF7963"/>
    <w:rsid w:val="071B8F93"/>
    <w:rsid w:val="07C73DD1"/>
    <w:rsid w:val="09908A09"/>
    <w:rsid w:val="0E0AF0F4"/>
    <w:rsid w:val="0EFE6349"/>
    <w:rsid w:val="0FF4CCA8"/>
    <w:rsid w:val="13CFC91B"/>
    <w:rsid w:val="19A2EC2C"/>
    <w:rsid w:val="21779BE6"/>
    <w:rsid w:val="2859CA1B"/>
    <w:rsid w:val="2C4D2425"/>
    <w:rsid w:val="2EE1E026"/>
    <w:rsid w:val="2F44F38F"/>
    <w:rsid w:val="30821638"/>
    <w:rsid w:val="32A4F9CF"/>
    <w:rsid w:val="33A1FF93"/>
    <w:rsid w:val="356CEDFD"/>
    <w:rsid w:val="3C591AFD"/>
    <w:rsid w:val="42183F0A"/>
    <w:rsid w:val="545B112A"/>
    <w:rsid w:val="5BEB1497"/>
    <w:rsid w:val="69614A15"/>
    <w:rsid w:val="74BA017B"/>
    <w:rsid w:val="7677286E"/>
    <w:rsid w:val="79A64A20"/>
    <w:rsid w:val="7BB183BC"/>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79607BD"/>
  <w15:chartTrackingRefBased/>
  <w15:docId w15:val="{AA18BD11-F4B5-4A67-BA3F-63EFCCB41A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245AB"/>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4A1847"/>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4A1847"/>
  </w:style>
  <w:style w:type="paragraph" w:styleId="Piedepgina">
    <w:name w:val="footer"/>
    <w:basedOn w:val="Normal"/>
    <w:link w:val="PiedepginaCar"/>
    <w:uiPriority w:val="99"/>
    <w:unhideWhenUsed/>
    <w:rsid w:val="004A1847"/>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4A1847"/>
  </w:style>
  <w:style w:type="paragraph" w:customStyle="1" w:styleId="Default">
    <w:name w:val="Default"/>
    <w:rsid w:val="006219F8"/>
    <w:pPr>
      <w:autoSpaceDE w:val="0"/>
      <w:autoSpaceDN w:val="0"/>
      <w:adjustRightInd w:val="0"/>
      <w:spacing w:after="0" w:line="240" w:lineRule="auto"/>
    </w:pPr>
    <w:rPr>
      <w:rFonts w:ascii="Arial" w:hAnsi="Arial" w:cs="Arial"/>
      <w:color w:val="000000"/>
      <w:sz w:val="24"/>
      <w:szCs w:val="24"/>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6219F8"/>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fn,Car"/>
    <w:basedOn w:val="Normal"/>
    <w:link w:val="TextonotapieCar"/>
    <w:uiPriority w:val="99"/>
    <w:unhideWhenUsed/>
    <w:qFormat/>
    <w:rsid w:val="006219F8"/>
    <w:pPr>
      <w:spacing w:after="0" w:line="240" w:lineRule="auto"/>
    </w:pPr>
    <w:rPr>
      <w:sz w:val="20"/>
      <w:szCs w:val="20"/>
      <w:lang w:val="es-MX"/>
    </w:rPr>
  </w:style>
  <w:style w:type="character" w:customStyle="1" w:styleId="TextonotapieCar1">
    <w:name w:val="Texto nota pie Car1"/>
    <w:basedOn w:val="Fuentedeprrafopredeter"/>
    <w:uiPriority w:val="99"/>
    <w:semiHidden/>
    <w:rsid w:val="006219F8"/>
    <w:rPr>
      <w:sz w:val="20"/>
      <w:szCs w:val="20"/>
    </w:rPr>
  </w:style>
  <w:style w:type="character" w:styleId="Refdenotaalpie">
    <w:name w:val="footnote reference"/>
    <w:aliases w:val="Ref. de nota al pie 2,Ref,de nota al pie,FC,Appel note de bas de p,f,4_G,16 Point,Superscript 6 Point,Texto nota al pie,Pie de Página,Texto de nota al pi,Nota de pie,Texto de nota al p,Footnote Reference Char3,Texto nota pie Car2,F,R"/>
    <w:basedOn w:val="Fuentedeprrafopredeter"/>
    <w:link w:val="Appelnotedebasde"/>
    <w:uiPriority w:val="99"/>
    <w:unhideWhenUsed/>
    <w:qFormat/>
    <w:rsid w:val="006219F8"/>
    <w:rPr>
      <w:vertAlign w:val="superscript"/>
    </w:rPr>
  </w:style>
  <w:style w:type="character" w:customStyle="1" w:styleId="normaltextrun">
    <w:name w:val="normaltextrun"/>
    <w:basedOn w:val="Fuentedeprrafopredeter"/>
    <w:rsid w:val="006219F8"/>
  </w:style>
  <w:style w:type="table" w:styleId="Tablaconcuadrcula">
    <w:name w:val="Table Grid"/>
    <w:basedOn w:val="Tablanormal"/>
    <w:uiPriority w:val="39"/>
    <w:qFormat/>
    <w:rsid w:val="006219F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Foot,List Paragraph"/>
    <w:basedOn w:val="Normal"/>
    <w:link w:val="PrrafodelistaCar"/>
    <w:uiPriority w:val="1"/>
    <w:qFormat/>
    <w:rsid w:val="005566E8"/>
    <w:pPr>
      <w:ind w:left="720"/>
      <w:contextualSpacing/>
    </w:pPr>
    <w:rPr>
      <w:rFonts w:ascii="Geomanist Light" w:hAnsi="Geomanist Light"/>
      <w:lang w:val="es-ES"/>
    </w:rPr>
  </w:style>
  <w:style w:type="paragraph" w:styleId="Ttulo">
    <w:name w:val="Title"/>
    <w:basedOn w:val="Normal"/>
    <w:next w:val="Normal"/>
    <w:link w:val="TtuloCar"/>
    <w:uiPriority w:val="10"/>
    <w:qFormat/>
    <w:rsid w:val="005566E8"/>
    <w:pPr>
      <w:spacing w:after="0" w:line="240" w:lineRule="auto"/>
      <w:contextualSpacing/>
    </w:pPr>
    <w:rPr>
      <w:rFonts w:ascii="Geomanist" w:eastAsiaTheme="majorEastAsia" w:hAnsi="Geomanist" w:cstheme="majorBidi"/>
      <w:spacing w:val="-10"/>
      <w:kern w:val="28"/>
      <w:szCs w:val="56"/>
      <w:lang w:val="es-ES"/>
    </w:rPr>
  </w:style>
  <w:style w:type="character" w:customStyle="1" w:styleId="TtuloCar">
    <w:name w:val="Título Car"/>
    <w:basedOn w:val="Fuentedeprrafopredeter"/>
    <w:link w:val="Ttulo"/>
    <w:uiPriority w:val="10"/>
    <w:rsid w:val="005566E8"/>
    <w:rPr>
      <w:rFonts w:ascii="Geomanist" w:eastAsiaTheme="majorEastAsia" w:hAnsi="Geomanist" w:cstheme="majorBidi"/>
      <w:spacing w:val="-10"/>
      <w:kern w:val="28"/>
      <w:szCs w:val="56"/>
      <w:lang w:val="es-ES"/>
    </w:rPr>
  </w:style>
  <w:style w:type="character" w:customStyle="1" w:styleId="ui-provider">
    <w:name w:val="ui-provider"/>
    <w:basedOn w:val="Fuentedeprrafopredeter"/>
    <w:rsid w:val="00DA231B"/>
  </w:style>
  <w:style w:type="character" w:styleId="Hipervnculo">
    <w:name w:val="Hyperlink"/>
    <w:basedOn w:val="Fuentedeprrafopredeter"/>
    <w:uiPriority w:val="99"/>
    <w:unhideWhenUsed/>
    <w:rsid w:val="00125105"/>
    <w:rPr>
      <w:color w:val="0000FF"/>
      <w:u w:val="single"/>
    </w:rPr>
  </w:style>
  <w:style w:type="character" w:styleId="Hipervnculovisitado">
    <w:name w:val="FollowedHyperlink"/>
    <w:basedOn w:val="Fuentedeprrafopredeter"/>
    <w:uiPriority w:val="99"/>
    <w:semiHidden/>
    <w:unhideWhenUsed/>
    <w:rsid w:val="00125105"/>
    <w:rPr>
      <w:color w:val="954F72" w:themeColor="followedHyperlink"/>
      <w:u w:val="single"/>
    </w:rPr>
  </w:style>
  <w:style w:type="paragraph" w:customStyle="1" w:styleId="paragraph">
    <w:name w:val="paragraph"/>
    <w:basedOn w:val="Normal"/>
    <w:rsid w:val="00322A85"/>
    <w:pPr>
      <w:spacing w:before="100" w:beforeAutospacing="1" w:after="100" w:afterAutospacing="1" w:line="240" w:lineRule="auto"/>
    </w:pPr>
    <w:rPr>
      <w:rFonts w:ascii="Times New Roman" w:eastAsia="Times New Roman" w:hAnsi="Times New Roman" w:cs="Times New Roman"/>
      <w:sz w:val="24"/>
      <w:szCs w:val="24"/>
      <w:lang w:eastAsia="es-CO"/>
    </w:rPr>
  </w:style>
  <w:style w:type="character" w:customStyle="1" w:styleId="tabchar">
    <w:name w:val="tabchar"/>
    <w:basedOn w:val="Fuentedeprrafopredeter"/>
    <w:rsid w:val="00322A85"/>
  </w:style>
  <w:style w:type="character" w:customStyle="1" w:styleId="eop">
    <w:name w:val="eop"/>
    <w:basedOn w:val="Fuentedeprrafopredeter"/>
    <w:rsid w:val="00322A85"/>
  </w:style>
  <w:style w:type="character" w:styleId="Mencinsinresolver">
    <w:name w:val="Unresolved Mention"/>
    <w:basedOn w:val="Fuentedeprrafopredeter"/>
    <w:uiPriority w:val="99"/>
    <w:semiHidden/>
    <w:unhideWhenUsed/>
    <w:rsid w:val="001F7DC6"/>
    <w:rPr>
      <w:color w:val="605E5C"/>
      <w:shd w:val="clear" w:color="auto" w:fill="E1DFDD"/>
    </w:rPr>
  </w:style>
  <w:style w:type="paragraph" w:styleId="NormalWeb">
    <w:name w:val="Normal (Web)"/>
    <w:basedOn w:val="Normal"/>
    <w:link w:val="NormalWebCar"/>
    <w:uiPriority w:val="99"/>
    <w:unhideWhenUsed/>
    <w:rsid w:val="00DF5254"/>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customStyle="1" w:styleId="blanco">
    <w:name w:val="blanco"/>
    <w:basedOn w:val="Normal"/>
    <w:rsid w:val="00C76B1C"/>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styleId="Revisin">
    <w:name w:val="Revision"/>
    <w:hidden/>
    <w:uiPriority w:val="99"/>
    <w:semiHidden/>
    <w:rsid w:val="009F3A13"/>
    <w:pPr>
      <w:spacing w:after="0" w:line="240" w:lineRule="auto"/>
    </w:pPr>
  </w:style>
  <w:style w:type="character" w:customStyle="1" w:styleId="PrrafodelistaCar">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1"/>
    <w:qFormat/>
    <w:locked/>
    <w:rsid w:val="00653AAF"/>
    <w:rPr>
      <w:rFonts w:ascii="Geomanist Light" w:hAnsi="Geomanist Light"/>
      <w:lang w:val="es-ES"/>
    </w:rPr>
  </w:style>
  <w:style w:type="character" w:customStyle="1" w:styleId="NormalWebCar">
    <w:name w:val="Normal (Web) Car"/>
    <w:link w:val="NormalWeb"/>
    <w:uiPriority w:val="99"/>
    <w:locked/>
    <w:rsid w:val="00653AAF"/>
    <w:rPr>
      <w:rFonts w:ascii="Times New Roman" w:eastAsia="Times New Roman" w:hAnsi="Times New Roman" w:cs="Times New Roman"/>
      <w:sz w:val="24"/>
      <w:szCs w:val="24"/>
      <w:lang w:eastAsia="es-CO"/>
    </w:rPr>
  </w:style>
  <w:style w:type="paragraph" w:customStyle="1" w:styleId="Appelnotedebasde">
    <w:name w:val="Appel note de bas de..."/>
    <w:basedOn w:val="Normal"/>
    <w:link w:val="Refdenotaalpie"/>
    <w:uiPriority w:val="99"/>
    <w:rsid w:val="00653AAF"/>
    <w:pPr>
      <w:spacing w:line="240" w:lineRule="exact"/>
    </w:pPr>
    <w:rPr>
      <w:vertAlign w:val="superscript"/>
    </w:rPr>
  </w:style>
  <w:style w:type="character" w:customStyle="1" w:styleId="s15">
    <w:name w:val="s15"/>
    <w:basedOn w:val="Fuentedeprrafopredeter"/>
    <w:rsid w:val="007915F2"/>
  </w:style>
  <w:style w:type="paragraph" w:customStyle="1" w:styleId="s16">
    <w:name w:val="s16"/>
    <w:basedOn w:val="Normal"/>
    <w:rsid w:val="007915F2"/>
    <w:pPr>
      <w:spacing w:before="100" w:beforeAutospacing="1" w:after="100" w:afterAutospacing="1" w:line="240" w:lineRule="auto"/>
    </w:pPr>
    <w:rPr>
      <w:rFonts w:ascii="Times New Roman" w:eastAsia="Times New Roman" w:hAnsi="Times New Roman" w:cs="Times New Roman"/>
      <w:sz w:val="24"/>
      <w:szCs w:val="24"/>
      <w:lang w:eastAsia="es-MX"/>
    </w:rPr>
  </w:style>
  <w:style w:type="paragraph" w:customStyle="1" w:styleId="s17">
    <w:name w:val="s17"/>
    <w:basedOn w:val="Normal"/>
    <w:rsid w:val="007915F2"/>
    <w:pPr>
      <w:spacing w:before="100" w:beforeAutospacing="1" w:after="100" w:afterAutospacing="1" w:line="240" w:lineRule="auto"/>
    </w:pPr>
    <w:rPr>
      <w:rFonts w:ascii="Times New Roman" w:eastAsia="Times New Roman" w:hAnsi="Times New Roman" w:cs="Times New Roman"/>
      <w:sz w:val="24"/>
      <w:szCs w:val="24"/>
      <w:lang w:eastAsia="es-MX"/>
    </w:rPr>
  </w:style>
  <w:style w:type="character" w:customStyle="1" w:styleId="s18">
    <w:name w:val="s18"/>
    <w:basedOn w:val="Fuentedeprrafopredeter"/>
    <w:rsid w:val="007915F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21767828">
      <w:bodyDiv w:val="1"/>
      <w:marLeft w:val="0"/>
      <w:marRight w:val="0"/>
      <w:marTop w:val="0"/>
      <w:marBottom w:val="0"/>
      <w:divBdr>
        <w:top w:val="none" w:sz="0" w:space="0" w:color="auto"/>
        <w:left w:val="none" w:sz="0" w:space="0" w:color="auto"/>
        <w:bottom w:val="none" w:sz="0" w:space="0" w:color="auto"/>
        <w:right w:val="none" w:sz="0" w:space="0" w:color="auto"/>
      </w:divBdr>
    </w:div>
    <w:div w:id="755788902">
      <w:bodyDiv w:val="1"/>
      <w:marLeft w:val="0"/>
      <w:marRight w:val="0"/>
      <w:marTop w:val="0"/>
      <w:marBottom w:val="0"/>
      <w:divBdr>
        <w:top w:val="none" w:sz="0" w:space="0" w:color="auto"/>
        <w:left w:val="none" w:sz="0" w:space="0" w:color="auto"/>
        <w:bottom w:val="none" w:sz="0" w:space="0" w:color="auto"/>
        <w:right w:val="none" w:sz="0" w:space="0" w:color="auto"/>
      </w:divBdr>
    </w:div>
    <w:div w:id="953437986">
      <w:marLeft w:val="0"/>
      <w:marRight w:val="0"/>
      <w:marTop w:val="0"/>
      <w:marBottom w:val="0"/>
      <w:divBdr>
        <w:top w:val="none" w:sz="0" w:space="0" w:color="auto"/>
        <w:left w:val="none" w:sz="0" w:space="0" w:color="auto"/>
        <w:bottom w:val="none" w:sz="0" w:space="0" w:color="auto"/>
        <w:right w:val="none" w:sz="0" w:space="0" w:color="auto"/>
      </w:divBdr>
    </w:div>
    <w:div w:id="1132796275">
      <w:bodyDiv w:val="1"/>
      <w:marLeft w:val="0"/>
      <w:marRight w:val="0"/>
      <w:marTop w:val="0"/>
      <w:marBottom w:val="0"/>
      <w:divBdr>
        <w:top w:val="none" w:sz="0" w:space="0" w:color="auto"/>
        <w:left w:val="none" w:sz="0" w:space="0" w:color="auto"/>
        <w:bottom w:val="none" w:sz="0" w:space="0" w:color="auto"/>
        <w:right w:val="none" w:sz="0" w:space="0" w:color="auto"/>
      </w:divBdr>
    </w:div>
    <w:div w:id="1270429918">
      <w:bodyDiv w:val="1"/>
      <w:marLeft w:val="0"/>
      <w:marRight w:val="0"/>
      <w:marTop w:val="0"/>
      <w:marBottom w:val="0"/>
      <w:divBdr>
        <w:top w:val="none" w:sz="0" w:space="0" w:color="auto"/>
        <w:left w:val="none" w:sz="0" w:space="0" w:color="auto"/>
        <w:bottom w:val="none" w:sz="0" w:space="0" w:color="auto"/>
        <w:right w:val="none" w:sz="0" w:space="0" w:color="auto"/>
      </w:divBdr>
    </w:div>
    <w:div w:id="1291863859">
      <w:bodyDiv w:val="1"/>
      <w:marLeft w:val="0"/>
      <w:marRight w:val="0"/>
      <w:marTop w:val="0"/>
      <w:marBottom w:val="0"/>
      <w:divBdr>
        <w:top w:val="none" w:sz="0" w:space="0" w:color="auto"/>
        <w:left w:val="none" w:sz="0" w:space="0" w:color="auto"/>
        <w:bottom w:val="none" w:sz="0" w:space="0" w:color="auto"/>
        <w:right w:val="none" w:sz="0" w:space="0" w:color="auto"/>
      </w:divBdr>
      <w:divsChild>
        <w:div w:id="1814251553">
          <w:marLeft w:val="0"/>
          <w:marRight w:val="0"/>
          <w:marTop w:val="0"/>
          <w:marBottom w:val="0"/>
          <w:divBdr>
            <w:top w:val="none" w:sz="0" w:space="0" w:color="auto"/>
            <w:left w:val="none" w:sz="0" w:space="0" w:color="auto"/>
            <w:bottom w:val="none" w:sz="0" w:space="0" w:color="auto"/>
            <w:right w:val="none" w:sz="0" w:space="0" w:color="auto"/>
          </w:divBdr>
        </w:div>
        <w:div w:id="1098216012">
          <w:marLeft w:val="0"/>
          <w:marRight w:val="0"/>
          <w:marTop w:val="0"/>
          <w:marBottom w:val="0"/>
          <w:divBdr>
            <w:top w:val="none" w:sz="0" w:space="0" w:color="auto"/>
            <w:left w:val="none" w:sz="0" w:space="0" w:color="auto"/>
            <w:bottom w:val="none" w:sz="0" w:space="0" w:color="auto"/>
            <w:right w:val="none" w:sz="0" w:space="0" w:color="auto"/>
          </w:divBdr>
        </w:div>
        <w:div w:id="2036272205">
          <w:marLeft w:val="0"/>
          <w:marRight w:val="0"/>
          <w:marTop w:val="0"/>
          <w:marBottom w:val="0"/>
          <w:divBdr>
            <w:top w:val="none" w:sz="0" w:space="0" w:color="auto"/>
            <w:left w:val="none" w:sz="0" w:space="0" w:color="auto"/>
            <w:bottom w:val="none" w:sz="0" w:space="0" w:color="auto"/>
            <w:right w:val="none" w:sz="0" w:space="0" w:color="auto"/>
          </w:divBdr>
        </w:div>
        <w:div w:id="1963534490">
          <w:marLeft w:val="0"/>
          <w:marRight w:val="0"/>
          <w:marTop w:val="0"/>
          <w:marBottom w:val="0"/>
          <w:divBdr>
            <w:top w:val="none" w:sz="0" w:space="0" w:color="auto"/>
            <w:left w:val="none" w:sz="0" w:space="0" w:color="auto"/>
            <w:bottom w:val="none" w:sz="0" w:space="0" w:color="auto"/>
            <w:right w:val="none" w:sz="0" w:space="0" w:color="auto"/>
          </w:divBdr>
        </w:div>
        <w:div w:id="1009718320">
          <w:marLeft w:val="0"/>
          <w:marRight w:val="0"/>
          <w:marTop w:val="0"/>
          <w:marBottom w:val="0"/>
          <w:divBdr>
            <w:top w:val="none" w:sz="0" w:space="0" w:color="auto"/>
            <w:left w:val="none" w:sz="0" w:space="0" w:color="auto"/>
            <w:bottom w:val="none" w:sz="0" w:space="0" w:color="auto"/>
            <w:right w:val="none" w:sz="0" w:space="0" w:color="auto"/>
          </w:divBdr>
        </w:div>
        <w:div w:id="2075656958">
          <w:marLeft w:val="0"/>
          <w:marRight w:val="0"/>
          <w:marTop w:val="0"/>
          <w:marBottom w:val="0"/>
          <w:divBdr>
            <w:top w:val="none" w:sz="0" w:space="0" w:color="auto"/>
            <w:left w:val="none" w:sz="0" w:space="0" w:color="auto"/>
            <w:bottom w:val="none" w:sz="0" w:space="0" w:color="auto"/>
            <w:right w:val="none" w:sz="0" w:space="0" w:color="auto"/>
          </w:divBdr>
        </w:div>
        <w:div w:id="1227495006">
          <w:marLeft w:val="0"/>
          <w:marRight w:val="0"/>
          <w:marTop w:val="0"/>
          <w:marBottom w:val="0"/>
          <w:divBdr>
            <w:top w:val="none" w:sz="0" w:space="0" w:color="auto"/>
            <w:left w:val="none" w:sz="0" w:space="0" w:color="auto"/>
            <w:bottom w:val="none" w:sz="0" w:space="0" w:color="auto"/>
            <w:right w:val="none" w:sz="0" w:space="0" w:color="auto"/>
          </w:divBdr>
        </w:div>
        <w:div w:id="390231839">
          <w:marLeft w:val="0"/>
          <w:marRight w:val="0"/>
          <w:marTop w:val="0"/>
          <w:marBottom w:val="0"/>
          <w:divBdr>
            <w:top w:val="none" w:sz="0" w:space="0" w:color="auto"/>
            <w:left w:val="none" w:sz="0" w:space="0" w:color="auto"/>
            <w:bottom w:val="none" w:sz="0" w:space="0" w:color="auto"/>
            <w:right w:val="none" w:sz="0" w:space="0" w:color="auto"/>
          </w:divBdr>
        </w:div>
        <w:div w:id="117142684">
          <w:marLeft w:val="0"/>
          <w:marRight w:val="0"/>
          <w:marTop w:val="0"/>
          <w:marBottom w:val="0"/>
          <w:divBdr>
            <w:top w:val="none" w:sz="0" w:space="0" w:color="auto"/>
            <w:left w:val="none" w:sz="0" w:space="0" w:color="auto"/>
            <w:bottom w:val="none" w:sz="0" w:space="0" w:color="auto"/>
            <w:right w:val="none" w:sz="0" w:space="0" w:color="auto"/>
          </w:divBdr>
        </w:div>
        <w:div w:id="882060613">
          <w:marLeft w:val="0"/>
          <w:marRight w:val="0"/>
          <w:marTop w:val="0"/>
          <w:marBottom w:val="0"/>
          <w:divBdr>
            <w:top w:val="none" w:sz="0" w:space="0" w:color="auto"/>
            <w:left w:val="none" w:sz="0" w:space="0" w:color="auto"/>
            <w:bottom w:val="none" w:sz="0" w:space="0" w:color="auto"/>
            <w:right w:val="none" w:sz="0" w:space="0" w:color="auto"/>
          </w:divBdr>
        </w:div>
        <w:div w:id="1343312156">
          <w:marLeft w:val="0"/>
          <w:marRight w:val="0"/>
          <w:marTop w:val="0"/>
          <w:marBottom w:val="0"/>
          <w:divBdr>
            <w:top w:val="none" w:sz="0" w:space="0" w:color="auto"/>
            <w:left w:val="none" w:sz="0" w:space="0" w:color="auto"/>
            <w:bottom w:val="none" w:sz="0" w:space="0" w:color="auto"/>
            <w:right w:val="none" w:sz="0" w:space="0" w:color="auto"/>
          </w:divBdr>
        </w:div>
        <w:div w:id="807745514">
          <w:marLeft w:val="0"/>
          <w:marRight w:val="0"/>
          <w:marTop w:val="0"/>
          <w:marBottom w:val="0"/>
          <w:divBdr>
            <w:top w:val="none" w:sz="0" w:space="0" w:color="auto"/>
            <w:left w:val="none" w:sz="0" w:space="0" w:color="auto"/>
            <w:bottom w:val="none" w:sz="0" w:space="0" w:color="auto"/>
            <w:right w:val="none" w:sz="0" w:space="0" w:color="auto"/>
          </w:divBdr>
        </w:div>
        <w:div w:id="688798703">
          <w:marLeft w:val="0"/>
          <w:marRight w:val="0"/>
          <w:marTop w:val="0"/>
          <w:marBottom w:val="0"/>
          <w:divBdr>
            <w:top w:val="none" w:sz="0" w:space="0" w:color="auto"/>
            <w:left w:val="none" w:sz="0" w:space="0" w:color="auto"/>
            <w:bottom w:val="none" w:sz="0" w:space="0" w:color="auto"/>
            <w:right w:val="none" w:sz="0" w:space="0" w:color="auto"/>
          </w:divBdr>
        </w:div>
        <w:div w:id="1324310022">
          <w:marLeft w:val="0"/>
          <w:marRight w:val="0"/>
          <w:marTop w:val="0"/>
          <w:marBottom w:val="0"/>
          <w:divBdr>
            <w:top w:val="none" w:sz="0" w:space="0" w:color="auto"/>
            <w:left w:val="none" w:sz="0" w:space="0" w:color="auto"/>
            <w:bottom w:val="none" w:sz="0" w:space="0" w:color="auto"/>
            <w:right w:val="none" w:sz="0" w:space="0" w:color="auto"/>
          </w:divBdr>
        </w:div>
        <w:div w:id="715542045">
          <w:marLeft w:val="0"/>
          <w:marRight w:val="0"/>
          <w:marTop w:val="0"/>
          <w:marBottom w:val="0"/>
          <w:divBdr>
            <w:top w:val="none" w:sz="0" w:space="0" w:color="auto"/>
            <w:left w:val="none" w:sz="0" w:space="0" w:color="auto"/>
            <w:bottom w:val="none" w:sz="0" w:space="0" w:color="auto"/>
            <w:right w:val="none" w:sz="0" w:space="0" w:color="auto"/>
          </w:divBdr>
        </w:div>
        <w:div w:id="1065952338">
          <w:marLeft w:val="0"/>
          <w:marRight w:val="0"/>
          <w:marTop w:val="0"/>
          <w:marBottom w:val="0"/>
          <w:divBdr>
            <w:top w:val="none" w:sz="0" w:space="0" w:color="auto"/>
            <w:left w:val="none" w:sz="0" w:space="0" w:color="auto"/>
            <w:bottom w:val="none" w:sz="0" w:space="0" w:color="auto"/>
            <w:right w:val="none" w:sz="0" w:space="0" w:color="auto"/>
          </w:divBdr>
        </w:div>
        <w:div w:id="2092659859">
          <w:marLeft w:val="0"/>
          <w:marRight w:val="0"/>
          <w:marTop w:val="0"/>
          <w:marBottom w:val="0"/>
          <w:divBdr>
            <w:top w:val="none" w:sz="0" w:space="0" w:color="auto"/>
            <w:left w:val="none" w:sz="0" w:space="0" w:color="auto"/>
            <w:bottom w:val="none" w:sz="0" w:space="0" w:color="auto"/>
            <w:right w:val="none" w:sz="0" w:space="0" w:color="auto"/>
          </w:divBdr>
        </w:div>
        <w:div w:id="1134103737">
          <w:marLeft w:val="0"/>
          <w:marRight w:val="0"/>
          <w:marTop w:val="0"/>
          <w:marBottom w:val="0"/>
          <w:divBdr>
            <w:top w:val="none" w:sz="0" w:space="0" w:color="auto"/>
            <w:left w:val="none" w:sz="0" w:space="0" w:color="auto"/>
            <w:bottom w:val="none" w:sz="0" w:space="0" w:color="auto"/>
            <w:right w:val="none" w:sz="0" w:space="0" w:color="auto"/>
          </w:divBdr>
        </w:div>
        <w:div w:id="511727059">
          <w:marLeft w:val="0"/>
          <w:marRight w:val="0"/>
          <w:marTop w:val="0"/>
          <w:marBottom w:val="0"/>
          <w:divBdr>
            <w:top w:val="none" w:sz="0" w:space="0" w:color="auto"/>
            <w:left w:val="none" w:sz="0" w:space="0" w:color="auto"/>
            <w:bottom w:val="none" w:sz="0" w:space="0" w:color="auto"/>
            <w:right w:val="none" w:sz="0" w:space="0" w:color="auto"/>
          </w:divBdr>
        </w:div>
        <w:div w:id="860240521">
          <w:marLeft w:val="0"/>
          <w:marRight w:val="0"/>
          <w:marTop w:val="0"/>
          <w:marBottom w:val="0"/>
          <w:divBdr>
            <w:top w:val="none" w:sz="0" w:space="0" w:color="auto"/>
            <w:left w:val="none" w:sz="0" w:space="0" w:color="auto"/>
            <w:bottom w:val="none" w:sz="0" w:space="0" w:color="auto"/>
            <w:right w:val="none" w:sz="0" w:space="0" w:color="auto"/>
          </w:divBdr>
        </w:div>
        <w:div w:id="892691556">
          <w:marLeft w:val="0"/>
          <w:marRight w:val="0"/>
          <w:marTop w:val="0"/>
          <w:marBottom w:val="0"/>
          <w:divBdr>
            <w:top w:val="none" w:sz="0" w:space="0" w:color="auto"/>
            <w:left w:val="none" w:sz="0" w:space="0" w:color="auto"/>
            <w:bottom w:val="none" w:sz="0" w:space="0" w:color="auto"/>
            <w:right w:val="none" w:sz="0" w:space="0" w:color="auto"/>
          </w:divBdr>
        </w:div>
        <w:div w:id="24454764">
          <w:marLeft w:val="0"/>
          <w:marRight w:val="0"/>
          <w:marTop w:val="0"/>
          <w:marBottom w:val="0"/>
          <w:divBdr>
            <w:top w:val="none" w:sz="0" w:space="0" w:color="auto"/>
            <w:left w:val="none" w:sz="0" w:space="0" w:color="auto"/>
            <w:bottom w:val="none" w:sz="0" w:space="0" w:color="auto"/>
            <w:right w:val="none" w:sz="0" w:space="0" w:color="auto"/>
          </w:divBdr>
        </w:div>
        <w:div w:id="541678020">
          <w:marLeft w:val="0"/>
          <w:marRight w:val="0"/>
          <w:marTop w:val="0"/>
          <w:marBottom w:val="0"/>
          <w:divBdr>
            <w:top w:val="none" w:sz="0" w:space="0" w:color="auto"/>
            <w:left w:val="none" w:sz="0" w:space="0" w:color="auto"/>
            <w:bottom w:val="none" w:sz="0" w:space="0" w:color="auto"/>
            <w:right w:val="none" w:sz="0" w:space="0" w:color="auto"/>
          </w:divBdr>
        </w:div>
        <w:div w:id="1404261026">
          <w:marLeft w:val="0"/>
          <w:marRight w:val="0"/>
          <w:marTop w:val="0"/>
          <w:marBottom w:val="0"/>
          <w:divBdr>
            <w:top w:val="none" w:sz="0" w:space="0" w:color="auto"/>
            <w:left w:val="none" w:sz="0" w:space="0" w:color="auto"/>
            <w:bottom w:val="none" w:sz="0" w:space="0" w:color="auto"/>
            <w:right w:val="none" w:sz="0" w:space="0" w:color="auto"/>
          </w:divBdr>
        </w:div>
        <w:div w:id="638808706">
          <w:marLeft w:val="0"/>
          <w:marRight w:val="0"/>
          <w:marTop w:val="0"/>
          <w:marBottom w:val="0"/>
          <w:divBdr>
            <w:top w:val="none" w:sz="0" w:space="0" w:color="auto"/>
            <w:left w:val="none" w:sz="0" w:space="0" w:color="auto"/>
            <w:bottom w:val="none" w:sz="0" w:space="0" w:color="auto"/>
            <w:right w:val="none" w:sz="0" w:space="0" w:color="auto"/>
          </w:divBdr>
        </w:div>
        <w:div w:id="238516275">
          <w:marLeft w:val="0"/>
          <w:marRight w:val="0"/>
          <w:marTop w:val="0"/>
          <w:marBottom w:val="0"/>
          <w:divBdr>
            <w:top w:val="none" w:sz="0" w:space="0" w:color="auto"/>
            <w:left w:val="none" w:sz="0" w:space="0" w:color="auto"/>
            <w:bottom w:val="none" w:sz="0" w:space="0" w:color="auto"/>
            <w:right w:val="none" w:sz="0" w:space="0" w:color="auto"/>
          </w:divBdr>
        </w:div>
        <w:div w:id="1694109704">
          <w:marLeft w:val="0"/>
          <w:marRight w:val="0"/>
          <w:marTop w:val="0"/>
          <w:marBottom w:val="0"/>
          <w:divBdr>
            <w:top w:val="none" w:sz="0" w:space="0" w:color="auto"/>
            <w:left w:val="none" w:sz="0" w:space="0" w:color="auto"/>
            <w:bottom w:val="none" w:sz="0" w:space="0" w:color="auto"/>
            <w:right w:val="none" w:sz="0" w:space="0" w:color="auto"/>
          </w:divBdr>
        </w:div>
        <w:div w:id="2120836280">
          <w:marLeft w:val="0"/>
          <w:marRight w:val="0"/>
          <w:marTop w:val="0"/>
          <w:marBottom w:val="0"/>
          <w:divBdr>
            <w:top w:val="none" w:sz="0" w:space="0" w:color="auto"/>
            <w:left w:val="none" w:sz="0" w:space="0" w:color="auto"/>
            <w:bottom w:val="none" w:sz="0" w:space="0" w:color="auto"/>
            <w:right w:val="none" w:sz="0" w:space="0" w:color="auto"/>
          </w:divBdr>
        </w:div>
        <w:div w:id="455296425">
          <w:marLeft w:val="0"/>
          <w:marRight w:val="0"/>
          <w:marTop w:val="0"/>
          <w:marBottom w:val="0"/>
          <w:divBdr>
            <w:top w:val="none" w:sz="0" w:space="0" w:color="auto"/>
            <w:left w:val="none" w:sz="0" w:space="0" w:color="auto"/>
            <w:bottom w:val="none" w:sz="0" w:space="0" w:color="auto"/>
            <w:right w:val="none" w:sz="0" w:space="0" w:color="auto"/>
          </w:divBdr>
        </w:div>
        <w:div w:id="1932930429">
          <w:marLeft w:val="0"/>
          <w:marRight w:val="0"/>
          <w:marTop w:val="0"/>
          <w:marBottom w:val="0"/>
          <w:divBdr>
            <w:top w:val="none" w:sz="0" w:space="0" w:color="auto"/>
            <w:left w:val="none" w:sz="0" w:space="0" w:color="auto"/>
            <w:bottom w:val="none" w:sz="0" w:space="0" w:color="auto"/>
            <w:right w:val="none" w:sz="0" w:space="0" w:color="auto"/>
          </w:divBdr>
        </w:div>
        <w:div w:id="538082317">
          <w:marLeft w:val="0"/>
          <w:marRight w:val="0"/>
          <w:marTop w:val="0"/>
          <w:marBottom w:val="0"/>
          <w:divBdr>
            <w:top w:val="none" w:sz="0" w:space="0" w:color="auto"/>
            <w:left w:val="none" w:sz="0" w:space="0" w:color="auto"/>
            <w:bottom w:val="none" w:sz="0" w:space="0" w:color="auto"/>
            <w:right w:val="none" w:sz="0" w:space="0" w:color="auto"/>
          </w:divBdr>
        </w:div>
        <w:div w:id="679356651">
          <w:marLeft w:val="0"/>
          <w:marRight w:val="0"/>
          <w:marTop w:val="0"/>
          <w:marBottom w:val="0"/>
          <w:divBdr>
            <w:top w:val="none" w:sz="0" w:space="0" w:color="auto"/>
            <w:left w:val="none" w:sz="0" w:space="0" w:color="auto"/>
            <w:bottom w:val="none" w:sz="0" w:space="0" w:color="auto"/>
            <w:right w:val="none" w:sz="0" w:space="0" w:color="auto"/>
          </w:divBdr>
        </w:div>
        <w:div w:id="1638532409">
          <w:marLeft w:val="0"/>
          <w:marRight w:val="0"/>
          <w:marTop w:val="0"/>
          <w:marBottom w:val="0"/>
          <w:divBdr>
            <w:top w:val="none" w:sz="0" w:space="0" w:color="auto"/>
            <w:left w:val="none" w:sz="0" w:space="0" w:color="auto"/>
            <w:bottom w:val="none" w:sz="0" w:space="0" w:color="auto"/>
            <w:right w:val="none" w:sz="0" w:space="0" w:color="auto"/>
          </w:divBdr>
        </w:div>
        <w:div w:id="1464275602">
          <w:marLeft w:val="0"/>
          <w:marRight w:val="0"/>
          <w:marTop w:val="0"/>
          <w:marBottom w:val="0"/>
          <w:divBdr>
            <w:top w:val="none" w:sz="0" w:space="0" w:color="auto"/>
            <w:left w:val="none" w:sz="0" w:space="0" w:color="auto"/>
            <w:bottom w:val="none" w:sz="0" w:space="0" w:color="auto"/>
            <w:right w:val="none" w:sz="0" w:space="0" w:color="auto"/>
          </w:divBdr>
        </w:div>
        <w:div w:id="1916237550">
          <w:marLeft w:val="0"/>
          <w:marRight w:val="0"/>
          <w:marTop w:val="0"/>
          <w:marBottom w:val="0"/>
          <w:divBdr>
            <w:top w:val="none" w:sz="0" w:space="0" w:color="auto"/>
            <w:left w:val="none" w:sz="0" w:space="0" w:color="auto"/>
            <w:bottom w:val="none" w:sz="0" w:space="0" w:color="auto"/>
            <w:right w:val="none" w:sz="0" w:space="0" w:color="auto"/>
          </w:divBdr>
        </w:div>
        <w:div w:id="2095541977">
          <w:marLeft w:val="0"/>
          <w:marRight w:val="0"/>
          <w:marTop w:val="0"/>
          <w:marBottom w:val="0"/>
          <w:divBdr>
            <w:top w:val="none" w:sz="0" w:space="0" w:color="auto"/>
            <w:left w:val="none" w:sz="0" w:space="0" w:color="auto"/>
            <w:bottom w:val="none" w:sz="0" w:space="0" w:color="auto"/>
            <w:right w:val="none" w:sz="0" w:space="0" w:color="auto"/>
          </w:divBdr>
          <w:divsChild>
            <w:div w:id="1488938398">
              <w:marLeft w:val="-75"/>
              <w:marRight w:val="0"/>
              <w:marTop w:val="30"/>
              <w:marBottom w:val="30"/>
              <w:divBdr>
                <w:top w:val="none" w:sz="0" w:space="0" w:color="auto"/>
                <w:left w:val="none" w:sz="0" w:space="0" w:color="auto"/>
                <w:bottom w:val="none" w:sz="0" w:space="0" w:color="auto"/>
                <w:right w:val="none" w:sz="0" w:space="0" w:color="auto"/>
              </w:divBdr>
              <w:divsChild>
                <w:div w:id="283007184">
                  <w:marLeft w:val="0"/>
                  <w:marRight w:val="0"/>
                  <w:marTop w:val="0"/>
                  <w:marBottom w:val="0"/>
                  <w:divBdr>
                    <w:top w:val="none" w:sz="0" w:space="0" w:color="auto"/>
                    <w:left w:val="none" w:sz="0" w:space="0" w:color="auto"/>
                    <w:bottom w:val="none" w:sz="0" w:space="0" w:color="auto"/>
                    <w:right w:val="none" w:sz="0" w:space="0" w:color="auto"/>
                  </w:divBdr>
                  <w:divsChild>
                    <w:div w:id="928538327">
                      <w:marLeft w:val="0"/>
                      <w:marRight w:val="0"/>
                      <w:marTop w:val="0"/>
                      <w:marBottom w:val="0"/>
                      <w:divBdr>
                        <w:top w:val="none" w:sz="0" w:space="0" w:color="auto"/>
                        <w:left w:val="none" w:sz="0" w:space="0" w:color="auto"/>
                        <w:bottom w:val="none" w:sz="0" w:space="0" w:color="auto"/>
                        <w:right w:val="none" w:sz="0" w:space="0" w:color="auto"/>
                      </w:divBdr>
                    </w:div>
                  </w:divsChild>
                </w:div>
                <w:div w:id="1080567943">
                  <w:marLeft w:val="0"/>
                  <w:marRight w:val="0"/>
                  <w:marTop w:val="0"/>
                  <w:marBottom w:val="0"/>
                  <w:divBdr>
                    <w:top w:val="none" w:sz="0" w:space="0" w:color="auto"/>
                    <w:left w:val="none" w:sz="0" w:space="0" w:color="auto"/>
                    <w:bottom w:val="none" w:sz="0" w:space="0" w:color="auto"/>
                    <w:right w:val="none" w:sz="0" w:space="0" w:color="auto"/>
                  </w:divBdr>
                  <w:divsChild>
                    <w:div w:id="1112624978">
                      <w:marLeft w:val="0"/>
                      <w:marRight w:val="0"/>
                      <w:marTop w:val="0"/>
                      <w:marBottom w:val="0"/>
                      <w:divBdr>
                        <w:top w:val="none" w:sz="0" w:space="0" w:color="auto"/>
                        <w:left w:val="none" w:sz="0" w:space="0" w:color="auto"/>
                        <w:bottom w:val="none" w:sz="0" w:space="0" w:color="auto"/>
                        <w:right w:val="none" w:sz="0" w:space="0" w:color="auto"/>
                      </w:divBdr>
                    </w:div>
                    <w:div w:id="539319864">
                      <w:marLeft w:val="0"/>
                      <w:marRight w:val="0"/>
                      <w:marTop w:val="0"/>
                      <w:marBottom w:val="0"/>
                      <w:divBdr>
                        <w:top w:val="none" w:sz="0" w:space="0" w:color="auto"/>
                        <w:left w:val="none" w:sz="0" w:space="0" w:color="auto"/>
                        <w:bottom w:val="none" w:sz="0" w:space="0" w:color="auto"/>
                        <w:right w:val="none" w:sz="0" w:space="0" w:color="auto"/>
                      </w:divBdr>
                    </w:div>
                  </w:divsChild>
                </w:div>
                <w:div w:id="344208591">
                  <w:marLeft w:val="0"/>
                  <w:marRight w:val="0"/>
                  <w:marTop w:val="0"/>
                  <w:marBottom w:val="0"/>
                  <w:divBdr>
                    <w:top w:val="none" w:sz="0" w:space="0" w:color="auto"/>
                    <w:left w:val="none" w:sz="0" w:space="0" w:color="auto"/>
                    <w:bottom w:val="none" w:sz="0" w:space="0" w:color="auto"/>
                    <w:right w:val="none" w:sz="0" w:space="0" w:color="auto"/>
                  </w:divBdr>
                  <w:divsChild>
                    <w:div w:id="1723020549">
                      <w:marLeft w:val="0"/>
                      <w:marRight w:val="0"/>
                      <w:marTop w:val="0"/>
                      <w:marBottom w:val="0"/>
                      <w:divBdr>
                        <w:top w:val="none" w:sz="0" w:space="0" w:color="auto"/>
                        <w:left w:val="none" w:sz="0" w:space="0" w:color="auto"/>
                        <w:bottom w:val="none" w:sz="0" w:space="0" w:color="auto"/>
                        <w:right w:val="none" w:sz="0" w:space="0" w:color="auto"/>
                      </w:divBdr>
                    </w:div>
                  </w:divsChild>
                </w:div>
                <w:div w:id="233929418">
                  <w:marLeft w:val="0"/>
                  <w:marRight w:val="0"/>
                  <w:marTop w:val="0"/>
                  <w:marBottom w:val="0"/>
                  <w:divBdr>
                    <w:top w:val="none" w:sz="0" w:space="0" w:color="auto"/>
                    <w:left w:val="none" w:sz="0" w:space="0" w:color="auto"/>
                    <w:bottom w:val="none" w:sz="0" w:space="0" w:color="auto"/>
                    <w:right w:val="none" w:sz="0" w:space="0" w:color="auto"/>
                  </w:divBdr>
                  <w:divsChild>
                    <w:div w:id="193542531">
                      <w:marLeft w:val="0"/>
                      <w:marRight w:val="0"/>
                      <w:marTop w:val="0"/>
                      <w:marBottom w:val="0"/>
                      <w:divBdr>
                        <w:top w:val="none" w:sz="0" w:space="0" w:color="auto"/>
                        <w:left w:val="none" w:sz="0" w:space="0" w:color="auto"/>
                        <w:bottom w:val="none" w:sz="0" w:space="0" w:color="auto"/>
                        <w:right w:val="none" w:sz="0" w:space="0" w:color="auto"/>
                      </w:divBdr>
                    </w:div>
                    <w:div w:id="2029217062">
                      <w:marLeft w:val="0"/>
                      <w:marRight w:val="0"/>
                      <w:marTop w:val="0"/>
                      <w:marBottom w:val="0"/>
                      <w:divBdr>
                        <w:top w:val="none" w:sz="0" w:space="0" w:color="auto"/>
                        <w:left w:val="none" w:sz="0" w:space="0" w:color="auto"/>
                        <w:bottom w:val="none" w:sz="0" w:space="0" w:color="auto"/>
                        <w:right w:val="none" w:sz="0" w:space="0" w:color="auto"/>
                      </w:divBdr>
                    </w:div>
                  </w:divsChild>
                </w:div>
                <w:div w:id="231042282">
                  <w:marLeft w:val="0"/>
                  <w:marRight w:val="0"/>
                  <w:marTop w:val="0"/>
                  <w:marBottom w:val="0"/>
                  <w:divBdr>
                    <w:top w:val="none" w:sz="0" w:space="0" w:color="auto"/>
                    <w:left w:val="none" w:sz="0" w:space="0" w:color="auto"/>
                    <w:bottom w:val="none" w:sz="0" w:space="0" w:color="auto"/>
                    <w:right w:val="none" w:sz="0" w:space="0" w:color="auto"/>
                  </w:divBdr>
                  <w:divsChild>
                    <w:div w:id="1200582818">
                      <w:marLeft w:val="0"/>
                      <w:marRight w:val="0"/>
                      <w:marTop w:val="0"/>
                      <w:marBottom w:val="0"/>
                      <w:divBdr>
                        <w:top w:val="none" w:sz="0" w:space="0" w:color="auto"/>
                        <w:left w:val="none" w:sz="0" w:space="0" w:color="auto"/>
                        <w:bottom w:val="none" w:sz="0" w:space="0" w:color="auto"/>
                        <w:right w:val="none" w:sz="0" w:space="0" w:color="auto"/>
                      </w:divBdr>
                    </w:div>
                  </w:divsChild>
                </w:div>
                <w:div w:id="431166015">
                  <w:marLeft w:val="0"/>
                  <w:marRight w:val="0"/>
                  <w:marTop w:val="0"/>
                  <w:marBottom w:val="0"/>
                  <w:divBdr>
                    <w:top w:val="none" w:sz="0" w:space="0" w:color="auto"/>
                    <w:left w:val="none" w:sz="0" w:space="0" w:color="auto"/>
                    <w:bottom w:val="none" w:sz="0" w:space="0" w:color="auto"/>
                    <w:right w:val="none" w:sz="0" w:space="0" w:color="auto"/>
                  </w:divBdr>
                  <w:divsChild>
                    <w:div w:id="633837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16871884">
          <w:marLeft w:val="0"/>
          <w:marRight w:val="0"/>
          <w:marTop w:val="0"/>
          <w:marBottom w:val="0"/>
          <w:divBdr>
            <w:top w:val="none" w:sz="0" w:space="0" w:color="auto"/>
            <w:left w:val="none" w:sz="0" w:space="0" w:color="auto"/>
            <w:bottom w:val="none" w:sz="0" w:space="0" w:color="auto"/>
            <w:right w:val="none" w:sz="0" w:space="0" w:color="auto"/>
          </w:divBdr>
        </w:div>
        <w:div w:id="1002320289">
          <w:marLeft w:val="0"/>
          <w:marRight w:val="0"/>
          <w:marTop w:val="0"/>
          <w:marBottom w:val="0"/>
          <w:divBdr>
            <w:top w:val="none" w:sz="0" w:space="0" w:color="auto"/>
            <w:left w:val="none" w:sz="0" w:space="0" w:color="auto"/>
            <w:bottom w:val="none" w:sz="0" w:space="0" w:color="auto"/>
            <w:right w:val="none" w:sz="0" w:space="0" w:color="auto"/>
          </w:divBdr>
        </w:div>
        <w:div w:id="2033648475">
          <w:marLeft w:val="0"/>
          <w:marRight w:val="0"/>
          <w:marTop w:val="0"/>
          <w:marBottom w:val="0"/>
          <w:divBdr>
            <w:top w:val="none" w:sz="0" w:space="0" w:color="auto"/>
            <w:left w:val="none" w:sz="0" w:space="0" w:color="auto"/>
            <w:bottom w:val="none" w:sz="0" w:space="0" w:color="auto"/>
            <w:right w:val="none" w:sz="0" w:space="0" w:color="auto"/>
          </w:divBdr>
        </w:div>
        <w:div w:id="1053582647">
          <w:marLeft w:val="0"/>
          <w:marRight w:val="0"/>
          <w:marTop w:val="0"/>
          <w:marBottom w:val="0"/>
          <w:divBdr>
            <w:top w:val="none" w:sz="0" w:space="0" w:color="auto"/>
            <w:left w:val="none" w:sz="0" w:space="0" w:color="auto"/>
            <w:bottom w:val="none" w:sz="0" w:space="0" w:color="auto"/>
            <w:right w:val="none" w:sz="0" w:space="0" w:color="auto"/>
          </w:divBdr>
        </w:div>
        <w:div w:id="165822881">
          <w:marLeft w:val="0"/>
          <w:marRight w:val="0"/>
          <w:marTop w:val="0"/>
          <w:marBottom w:val="0"/>
          <w:divBdr>
            <w:top w:val="none" w:sz="0" w:space="0" w:color="auto"/>
            <w:left w:val="none" w:sz="0" w:space="0" w:color="auto"/>
            <w:bottom w:val="none" w:sz="0" w:space="0" w:color="auto"/>
            <w:right w:val="none" w:sz="0" w:space="0" w:color="auto"/>
          </w:divBdr>
        </w:div>
        <w:div w:id="1919947877">
          <w:marLeft w:val="0"/>
          <w:marRight w:val="0"/>
          <w:marTop w:val="0"/>
          <w:marBottom w:val="0"/>
          <w:divBdr>
            <w:top w:val="none" w:sz="0" w:space="0" w:color="auto"/>
            <w:left w:val="none" w:sz="0" w:space="0" w:color="auto"/>
            <w:bottom w:val="none" w:sz="0" w:space="0" w:color="auto"/>
            <w:right w:val="none" w:sz="0" w:space="0" w:color="auto"/>
          </w:divBdr>
          <w:divsChild>
            <w:div w:id="1192113255">
              <w:marLeft w:val="0"/>
              <w:marRight w:val="0"/>
              <w:marTop w:val="0"/>
              <w:marBottom w:val="0"/>
              <w:divBdr>
                <w:top w:val="none" w:sz="0" w:space="0" w:color="auto"/>
                <w:left w:val="none" w:sz="0" w:space="0" w:color="auto"/>
                <w:bottom w:val="none" w:sz="0" w:space="0" w:color="auto"/>
                <w:right w:val="none" w:sz="0" w:space="0" w:color="auto"/>
              </w:divBdr>
            </w:div>
            <w:div w:id="524707673">
              <w:marLeft w:val="0"/>
              <w:marRight w:val="0"/>
              <w:marTop w:val="0"/>
              <w:marBottom w:val="0"/>
              <w:divBdr>
                <w:top w:val="none" w:sz="0" w:space="0" w:color="auto"/>
                <w:left w:val="none" w:sz="0" w:space="0" w:color="auto"/>
                <w:bottom w:val="none" w:sz="0" w:space="0" w:color="auto"/>
                <w:right w:val="none" w:sz="0" w:space="0" w:color="auto"/>
              </w:divBdr>
            </w:div>
            <w:div w:id="1477457551">
              <w:marLeft w:val="0"/>
              <w:marRight w:val="0"/>
              <w:marTop w:val="0"/>
              <w:marBottom w:val="0"/>
              <w:divBdr>
                <w:top w:val="none" w:sz="0" w:space="0" w:color="auto"/>
                <w:left w:val="none" w:sz="0" w:space="0" w:color="auto"/>
                <w:bottom w:val="none" w:sz="0" w:space="0" w:color="auto"/>
                <w:right w:val="none" w:sz="0" w:space="0" w:color="auto"/>
              </w:divBdr>
            </w:div>
            <w:div w:id="1905212490">
              <w:marLeft w:val="0"/>
              <w:marRight w:val="0"/>
              <w:marTop w:val="0"/>
              <w:marBottom w:val="0"/>
              <w:divBdr>
                <w:top w:val="none" w:sz="0" w:space="0" w:color="auto"/>
                <w:left w:val="none" w:sz="0" w:space="0" w:color="auto"/>
                <w:bottom w:val="none" w:sz="0" w:space="0" w:color="auto"/>
                <w:right w:val="none" w:sz="0" w:space="0" w:color="auto"/>
              </w:divBdr>
            </w:div>
            <w:div w:id="1960529064">
              <w:marLeft w:val="0"/>
              <w:marRight w:val="0"/>
              <w:marTop w:val="0"/>
              <w:marBottom w:val="0"/>
              <w:divBdr>
                <w:top w:val="none" w:sz="0" w:space="0" w:color="auto"/>
                <w:left w:val="none" w:sz="0" w:space="0" w:color="auto"/>
                <w:bottom w:val="none" w:sz="0" w:space="0" w:color="auto"/>
                <w:right w:val="none" w:sz="0" w:space="0" w:color="auto"/>
              </w:divBdr>
            </w:div>
          </w:divsChild>
        </w:div>
        <w:div w:id="1791318772">
          <w:marLeft w:val="0"/>
          <w:marRight w:val="0"/>
          <w:marTop w:val="0"/>
          <w:marBottom w:val="0"/>
          <w:divBdr>
            <w:top w:val="none" w:sz="0" w:space="0" w:color="auto"/>
            <w:left w:val="none" w:sz="0" w:space="0" w:color="auto"/>
            <w:bottom w:val="none" w:sz="0" w:space="0" w:color="auto"/>
            <w:right w:val="none" w:sz="0" w:space="0" w:color="auto"/>
          </w:divBdr>
        </w:div>
        <w:div w:id="1672679863">
          <w:marLeft w:val="0"/>
          <w:marRight w:val="0"/>
          <w:marTop w:val="0"/>
          <w:marBottom w:val="0"/>
          <w:divBdr>
            <w:top w:val="none" w:sz="0" w:space="0" w:color="auto"/>
            <w:left w:val="none" w:sz="0" w:space="0" w:color="auto"/>
            <w:bottom w:val="none" w:sz="0" w:space="0" w:color="auto"/>
            <w:right w:val="none" w:sz="0" w:space="0" w:color="auto"/>
          </w:divBdr>
        </w:div>
        <w:div w:id="896629501">
          <w:marLeft w:val="0"/>
          <w:marRight w:val="0"/>
          <w:marTop w:val="0"/>
          <w:marBottom w:val="0"/>
          <w:divBdr>
            <w:top w:val="none" w:sz="0" w:space="0" w:color="auto"/>
            <w:left w:val="none" w:sz="0" w:space="0" w:color="auto"/>
            <w:bottom w:val="none" w:sz="0" w:space="0" w:color="auto"/>
            <w:right w:val="none" w:sz="0" w:space="0" w:color="auto"/>
          </w:divBdr>
        </w:div>
        <w:div w:id="1492059971">
          <w:marLeft w:val="0"/>
          <w:marRight w:val="0"/>
          <w:marTop w:val="0"/>
          <w:marBottom w:val="0"/>
          <w:divBdr>
            <w:top w:val="none" w:sz="0" w:space="0" w:color="auto"/>
            <w:left w:val="none" w:sz="0" w:space="0" w:color="auto"/>
            <w:bottom w:val="none" w:sz="0" w:space="0" w:color="auto"/>
            <w:right w:val="none" w:sz="0" w:space="0" w:color="auto"/>
          </w:divBdr>
        </w:div>
        <w:div w:id="743262102">
          <w:marLeft w:val="0"/>
          <w:marRight w:val="0"/>
          <w:marTop w:val="0"/>
          <w:marBottom w:val="0"/>
          <w:divBdr>
            <w:top w:val="none" w:sz="0" w:space="0" w:color="auto"/>
            <w:left w:val="none" w:sz="0" w:space="0" w:color="auto"/>
            <w:bottom w:val="none" w:sz="0" w:space="0" w:color="auto"/>
            <w:right w:val="none" w:sz="0" w:space="0" w:color="auto"/>
          </w:divBdr>
        </w:div>
        <w:div w:id="1966614619">
          <w:marLeft w:val="0"/>
          <w:marRight w:val="0"/>
          <w:marTop w:val="0"/>
          <w:marBottom w:val="0"/>
          <w:divBdr>
            <w:top w:val="none" w:sz="0" w:space="0" w:color="auto"/>
            <w:left w:val="none" w:sz="0" w:space="0" w:color="auto"/>
            <w:bottom w:val="none" w:sz="0" w:space="0" w:color="auto"/>
            <w:right w:val="none" w:sz="0" w:space="0" w:color="auto"/>
          </w:divBdr>
          <w:divsChild>
            <w:div w:id="1375154655">
              <w:marLeft w:val="0"/>
              <w:marRight w:val="0"/>
              <w:marTop w:val="0"/>
              <w:marBottom w:val="0"/>
              <w:divBdr>
                <w:top w:val="none" w:sz="0" w:space="0" w:color="auto"/>
                <w:left w:val="none" w:sz="0" w:space="0" w:color="auto"/>
                <w:bottom w:val="none" w:sz="0" w:space="0" w:color="auto"/>
                <w:right w:val="none" w:sz="0" w:space="0" w:color="auto"/>
              </w:divBdr>
            </w:div>
            <w:div w:id="1193155926">
              <w:marLeft w:val="0"/>
              <w:marRight w:val="0"/>
              <w:marTop w:val="0"/>
              <w:marBottom w:val="0"/>
              <w:divBdr>
                <w:top w:val="none" w:sz="0" w:space="0" w:color="auto"/>
                <w:left w:val="none" w:sz="0" w:space="0" w:color="auto"/>
                <w:bottom w:val="none" w:sz="0" w:space="0" w:color="auto"/>
                <w:right w:val="none" w:sz="0" w:space="0" w:color="auto"/>
              </w:divBdr>
            </w:div>
            <w:div w:id="152644634">
              <w:marLeft w:val="0"/>
              <w:marRight w:val="0"/>
              <w:marTop w:val="0"/>
              <w:marBottom w:val="0"/>
              <w:divBdr>
                <w:top w:val="none" w:sz="0" w:space="0" w:color="auto"/>
                <w:left w:val="none" w:sz="0" w:space="0" w:color="auto"/>
                <w:bottom w:val="none" w:sz="0" w:space="0" w:color="auto"/>
                <w:right w:val="none" w:sz="0" w:space="0" w:color="auto"/>
              </w:divBdr>
            </w:div>
            <w:div w:id="1745906066">
              <w:marLeft w:val="0"/>
              <w:marRight w:val="0"/>
              <w:marTop w:val="0"/>
              <w:marBottom w:val="0"/>
              <w:divBdr>
                <w:top w:val="none" w:sz="0" w:space="0" w:color="auto"/>
                <w:left w:val="none" w:sz="0" w:space="0" w:color="auto"/>
                <w:bottom w:val="none" w:sz="0" w:space="0" w:color="auto"/>
                <w:right w:val="none" w:sz="0" w:space="0" w:color="auto"/>
              </w:divBdr>
            </w:div>
            <w:div w:id="293171294">
              <w:marLeft w:val="0"/>
              <w:marRight w:val="0"/>
              <w:marTop w:val="0"/>
              <w:marBottom w:val="0"/>
              <w:divBdr>
                <w:top w:val="none" w:sz="0" w:space="0" w:color="auto"/>
                <w:left w:val="none" w:sz="0" w:space="0" w:color="auto"/>
                <w:bottom w:val="none" w:sz="0" w:space="0" w:color="auto"/>
                <w:right w:val="none" w:sz="0" w:space="0" w:color="auto"/>
              </w:divBdr>
            </w:div>
          </w:divsChild>
        </w:div>
        <w:div w:id="1836526458">
          <w:marLeft w:val="0"/>
          <w:marRight w:val="0"/>
          <w:marTop w:val="0"/>
          <w:marBottom w:val="0"/>
          <w:divBdr>
            <w:top w:val="none" w:sz="0" w:space="0" w:color="auto"/>
            <w:left w:val="none" w:sz="0" w:space="0" w:color="auto"/>
            <w:bottom w:val="none" w:sz="0" w:space="0" w:color="auto"/>
            <w:right w:val="none" w:sz="0" w:space="0" w:color="auto"/>
          </w:divBdr>
          <w:divsChild>
            <w:div w:id="1153059618">
              <w:marLeft w:val="0"/>
              <w:marRight w:val="0"/>
              <w:marTop w:val="0"/>
              <w:marBottom w:val="0"/>
              <w:divBdr>
                <w:top w:val="none" w:sz="0" w:space="0" w:color="auto"/>
                <w:left w:val="none" w:sz="0" w:space="0" w:color="auto"/>
                <w:bottom w:val="none" w:sz="0" w:space="0" w:color="auto"/>
                <w:right w:val="none" w:sz="0" w:space="0" w:color="auto"/>
              </w:divBdr>
            </w:div>
            <w:div w:id="252974095">
              <w:marLeft w:val="0"/>
              <w:marRight w:val="0"/>
              <w:marTop w:val="0"/>
              <w:marBottom w:val="0"/>
              <w:divBdr>
                <w:top w:val="none" w:sz="0" w:space="0" w:color="auto"/>
                <w:left w:val="none" w:sz="0" w:space="0" w:color="auto"/>
                <w:bottom w:val="none" w:sz="0" w:space="0" w:color="auto"/>
                <w:right w:val="none" w:sz="0" w:space="0" w:color="auto"/>
              </w:divBdr>
            </w:div>
            <w:div w:id="465974370">
              <w:marLeft w:val="0"/>
              <w:marRight w:val="0"/>
              <w:marTop w:val="0"/>
              <w:marBottom w:val="0"/>
              <w:divBdr>
                <w:top w:val="none" w:sz="0" w:space="0" w:color="auto"/>
                <w:left w:val="none" w:sz="0" w:space="0" w:color="auto"/>
                <w:bottom w:val="none" w:sz="0" w:space="0" w:color="auto"/>
                <w:right w:val="none" w:sz="0" w:space="0" w:color="auto"/>
              </w:divBdr>
            </w:div>
            <w:div w:id="762535188">
              <w:marLeft w:val="0"/>
              <w:marRight w:val="0"/>
              <w:marTop w:val="0"/>
              <w:marBottom w:val="0"/>
              <w:divBdr>
                <w:top w:val="none" w:sz="0" w:space="0" w:color="auto"/>
                <w:left w:val="none" w:sz="0" w:space="0" w:color="auto"/>
                <w:bottom w:val="none" w:sz="0" w:space="0" w:color="auto"/>
                <w:right w:val="none" w:sz="0" w:space="0" w:color="auto"/>
              </w:divBdr>
            </w:div>
            <w:div w:id="1513228375">
              <w:marLeft w:val="0"/>
              <w:marRight w:val="0"/>
              <w:marTop w:val="0"/>
              <w:marBottom w:val="0"/>
              <w:divBdr>
                <w:top w:val="none" w:sz="0" w:space="0" w:color="auto"/>
                <w:left w:val="none" w:sz="0" w:space="0" w:color="auto"/>
                <w:bottom w:val="none" w:sz="0" w:space="0" w:color="auto"/>
                <w:right w:val="none" w:sz="0" w:space="0" w:color="auto"/>
              </w:divBdr>
            </w:div>
          </w:divsChild>
        </w:div>
        <w:div w:id="1128550095">
          <w:marLeft w:val="0"/>
          <w:marRight w:val="0"/>
          <w:marTop w:val="0"/>
          <w:marBottom w:val="0"/>
          <w:divBdr>
            <w:top w:val="none" w:sz="0" w:space="0" w:color="auto"/>
            <w:left w:val="none" w:sz="0" w:space="0" w:color="auto"/>
            <w:bottom w:val="none" w:sz="0" w:space="0" w:color="auto"/>
            <w:right w:val="none" w:sz="0" w:space="0" w:color="auto"/>
          </w:divBdr>
          <w:divsChild>
            <w:div w:id="407390849">
              <w:marLeft w:val="0"/>
              <w:marRight w:val="0"/>
              <w:marTop w:val="0"/>
              <w:marBottom w:val="0"/>
              <w:divBdr>
                <w:top w:val="none" w:sz="0" w:space="0" w:color="auto"/>
                <w:left w:val="none" w:sz="0" w:space="0" w:color="auto"/>
                <w:bottom w:val="none" w:sz="0" w:space="0" w:color="auto"/>
                <w:right w:val="none" w:sz="0" w:space="0" w:color="auto"/>
              </w:divBdr>
            </w:div>
            <w:div w:id="1142380584">
              <w:marLeft w:val="0"/>
              <w:marRight w:val="0"/>
              <w:marTop w:val="0"/>
              <w:marBottom w:val="0"/>
              <w:divBdr>
                <w:top w:val="none" w:sz="0" w:space="0" w:color="auto"/>
                <w:left w:val="none" w:sz="0" w:space="0" w:color="auto"/>
                <w:bottom w:val="none" w:sz="0" w:space="0" w:color="auto"/>
                <w:right w:val="none" w:sz="0" w:space="0" w:color="auto"/>
              </w:divBdr>
            </w:div>
            <w:div w:id="1192953861">
              <w:marLeft w:val="0"/>
              <w:marRight w:val="0"/>
              <w:marTop w:val="0"/>
              <w:marBottom w:val="0"/>
              <w:divBdr>
                <w:top w:val="none" w:sz="0" w:space="0" w:color="auto"/>
                <w:left w:val="none" w:sz="0" w:space="0" w:color="auto"/>
                <w:bottom w:val="none" w:sz="0" w:space="0" w:color="auto"/>
                <w:right w:val="none" w:sz="0" w:space="0" w:color="auto"/>
              </w:divBdr>
            </w:div>
          </w:divsChild>
        </w:div>
        <w:div w:id="953637238">
          <w:marLeft w:val="0"/>
          <w:marRight w:val="0"/>
          <w:marTop w:val="0"/>
          <w:marBottom w:val="0"/>
          <w:divBdr>
            <w:top w:val="none" w:sz="0" w:space="0" w:color="auto"/>
            <w:left w:val="none" w:sz="0" w:space="0" w:color="auto"/>
            <w:bottom w:val="none" w:sz="0" w:space="0" w:color="auto"/>
            <w:right w:val="none" w:sz="0" w:space="0" w:color="auto"/>
          </w:divBdr>
          <w:divsChild>
            <w:div w:id="330067371">
              <w:marLeft w:val="0"/>
              <w:marRight w:val="0"/>
              <w:marTop w:val="0"/>
              <w:marBottom w:val="0"/>
              <w:divBdr>
                <w:top w:val="none" w:sz="0" w:space="0" w:color="auto"/>
                <w:left w:val="none" w:sz="0" w:space="0" w:color="auto"/>
                <w:bottom w:val="none" w:sz="0" w:space="0" w:color="auto"/>
                <w:right w:val="none" w:sz="0" w:space="0" w:color="auto"/>
              </w:divBdr>
            </w:div>
            <w:div w:id="1721204122">
              <w:marLeft w:val="0"/>
              <w:marRight w:val="0"/>
              <w:marTop w:val="0"/>
              <w:marBottom w:val="0"/>
              <w:divBdr>
                <w:top w:val="none" w:sz="0" w:space="0" w:color="auto"/>
                <w:left w:val="none" w:sz="0" w:space="0" w:color="auto"/>
                <w:bottom w:val="none" w:sz="0" w:space="0" w:color="auto"/>
                <w:right w:val="none" w:sz="0" w:space="0" w:color="auto"/>
              </w:divBdr>
            </w:div>
            <w:div w:id="543758897">
              <w:marLeft w:val="0"/>
              <w:marRight w:val="0"/>
              <w:marTop w:val="0"/>
              <w:marBottom w:val="0"/>
              <w:divBdr>
                <w:top w:val="none" w:sz="0" w:space="0" w:color="auto"/>
                <w:left w:val="none" w:sz="0" w:space="0" w:color="auto"/>
                <w:bottom w:val="none" w:sz="0" w:space="0" w:color="auto"/>
                <w:right w:val="none" w:sz="0" w:space="0" w:color="auto"/>
              </w:divBdr>
            </w:div>
            <w:div w:id="1286548090">
              <w:marLeft w:val="0"/>
              <w:marRight w:val="0"/>
              <w:marTop w:val="0"/>
              <w:marBottom w:val="0"/>
              <w:divBdr>
                <w:top w:val="none" w:sz="0" w:space="0" w:color="auto"/>
                <w:left w:val="none" w:sz="0" w:space="0" w:color="auto"/>
                <w:bottom w:val="none" w:sz="0" w:space="0" w:color="auto"/>
                <w:right w:val="none" w:sz="0" w:space="0" w:color="auto"/>
              </w:divBdr>
            </w:div>
            <w:div w:id="220364327">
              <w:marLeft w:val="0"/>
              <w:marRight w:val="0"/>
              <w:marTop w:val="0"/>
              <w:marBottom w:val="0"/>
              <w:divBdr>
                <w:top w:val="none" w:sz="0" w:space="0" w:color="auto"/>
                <w:left w:val="none" w:sz="0" w:space="0" w:color="auto"/>
                <w:bottom w:val="none" w:sz="0" w:space="0" w:color="auto"/>
                <w:right w:val="none" w:sz="0" w:space="0" w:color="auto"/>
              </w:divBdr>
            </w:div>
          </w:divsChild>
        </w:div>
        <w:div w:id="568075362">
          <w:marLeft w:val="0"/>
          <w:marRight w:val="0"/>
          <w:marTop w:val="0"/>
          <w:marBottom w:val="0"/>
          <w:divBdr>
            <w:top w:val="none" w:sz="0" w:space="0" w:color="auto"/>
            <w:left w:val="none" w:sz="0" w:space="0" w:color="auto"/>
            <w:bottom w:val="none" w:sz="0" w:space="0" w:color="auto"/>
            <w:right w:val="none" w:sz="0" w:space="0" w:color="auto"/>
          </w:divBdr>
        </w:div>
        <w:div w:id="1538200560">
          <w:marLeft w:val="0"/>
          <w:marRight w:val="0"/>
          <w:marTop w:val="0"/>
          <w:marBottom w:val="0"/>
          <w:divBdr>
            <w:top w:val="none" w:sz="0" w:space="0" w:color="auto"/>
            <w:left w:val="none" w:sz="0" w:space="0" w:color="auto"/>
            <w:bottom w:val="none" w:sz="0" w:space="0" w:color="auto"/>
            <w:right w:val="none" w:sz="0" w:space="0" w:color="auto"/>
          </w:divBdr>
          <w:divsChild>
            <w:div w:id="1030690503">
              <w:marLeft w:val="-75"/>
              <w:marRight w:val="0"/>
              <w:marTop w:val="30"/>
              <w:marBottom w:val="30"/>
              <w:divBdr>
                <w:top w:val="none" w:sz="0" w:space="0" w:color="auto"/>
                <w:left w:val="none" w:sz="0" w:space="0" w:color="auto"/>
                <w:bottom w:val="none" w:sz="0" w:space="0" w:color="auto"/>
                <w:right w:val="none" w:sz="0" w:space="0" w:color="auto"/>
              </w:divBdr>
              <w:divsChild>
                <w:div w:id="439450645">
                  <w:marLeft w:val="0"/>
                  <w:marRight w:val="0"/>
                  <w:marTop w:val="0"/>
                  <w:marBottom w:val="0"/>
                  <w:divBdr>
                    <w:top w:val="none" w:sz="0" w:space="0" w:color="auto"/>
                    <w:left w:val="none" w:sz="0" w:space="0" w:color="auto"/>
                    <w:bottom w:val="none" w:sz="0" w:space="0" w:color="auto"/>
                    <w:right w:val="none" w:sz="0" w:space="0" w:color="auto"/>
                  </w:divBdr>
                  <w:divsChild>
                    <w:div w:id="1359618204">
                      <w:marLeft w:val="0"/>
                      <w:marRight w:val="0"/>
                      <w:marTop w:val="0"/>
                      <w:marBottom w:val="0"/>
                      <w:divBdr>
                        <w:top w:val="none" w:sz="0" w:space="0" w:color="auto"/>
                        <w:left w:val="none" w:sz="0" w:space="0" w:color="auto"/>
                        <w:bottom w:val="none" w:sz="0" w:space="0" w:color="auto"/>
                        <w:right w:val="none" w:sz="0" w:space="0" w:color="auto"/>
                      </w:divBdr>
                    </w:div>
                  </w:divsChild>
                </w:div>
                <w:div w:id="835262197">
                  <w:marLeft w:val="0"/>
                  <w:marRight w:val="0"/>
                  <w:marTop w:val="0"/>
                  <w:marBottom w:val="0"/>
                  <w:divBdr>
                    <w:top w:val="none" w:sz="0" w:space="0" w:color="auto"/>
                    <w:left w:val="none" w:sz="0" w:space="0" w:color="auto"/>
                    <w:bottom w:val="none" w:sz="0" w:space="0" w:color="auto"/>
                    <w:right w:val="none" w:sz="0" w:space="0" w:color="auto"/>
                  </w:divBdr>
                  <w:divsChild>
                    <w:div w:id="1468469984">
                      <w:marLeft w:val="0"/>
                      <w:marRight w:val="0"/>
                      <w:marTop w:val="0"/>
                      <w:marBottom w:val="0"/>
                      <w:divBdr>
                        <w:top w:val="none" w:sz="0" w:space="0" w:color="auto"/>
                        <w:left w:val="none" w:sz="0" w:space="0" w:color="auto"/>
                        <w:bottom w:val="none" w:sz="0" w:space="0" w:color="auto"/>
                        <w:right w:val="none" w:sz="0" w:space="0" w:color="auto"/>
                      </w:divBdr>
                    </w:div>
                  </w:divsChild>
                </w:div>
                <w:div w:id="1874032042">
                  <w:marLeft w:val="0"/>
                  <w:marRight w:val="0"/>
                  <w:marTop w:val="0"/>
                  <w:marBottom w:val="0"/>
                  <w:divBdr>
                    <w:top w:val="none" w:sz="0" w:space="0" w:color="auto"/>
                    <w:left w:val="none" w:sz="0" w:space="0" w:color="auto"/>
                    <w:bottom w:val="none" w:sz="0" w:space="0" w:color="auto"/>
                    <w:right w:val="none" w:sz="0" w:space="0" w:color="auto"/>
                  </w:divBdr>
                  <w:divsChild>
                    <w:div w:id="1346664389">
                      <w:marLeft w:val="0"/>
                      <w:marRight w:val="0"/>
                      <w:marTop w:val="0"/>
                      <w:marBottom w:val="0"/>
                      <w:divBdr>
                        <w:top w:val="none" w:sz="0" w:space="0" w:color="auto"/>
                        <w:left w:val="none" w:sz="0" w:space="0" w:color="auto"/>
                        <w:bottom w:val="none" w:sz="0" w:space="0" w:color="auto"/>
                        <w:right w:val="none" w:sz="0" w:space="0" w:color="auto"/>
                      </w:divBdr>
                    </w:div>
                  </w:divsChild>
                </w:div>
                <w:div w:id="1896239809">
                  <w:marLeft w:val="0"/>
                  <w:marRight w:val="0"/>
                  <w:marTop w:val="0"/>
                  <w:marBottom w:val="0"/>
                  <w:divBdr>
                    <w:top w:val="none" w:sz="0" w:space="0" w:color="auto"/>
                    <w:left w:val="none" w:sz="0" w:space="0" w:color="auto"/>
                    <w:bottom w:val="none" w:sz="0" w:space="0" w:color="auto"/>
                    <w:right w:val="none" w:sz="0" w:space="0" w:color="auto"/>
                  </w:divBdr>
                  <w:divsChild>
                    <w:div w:id="385639604">
                      <w:marLeft w:val="0"/>
                      <w:marRight w:val="0"/>
                      <w:marTop w:val="0"/>
                      <w:marBottom w:val="0"/>
                      <w:divBdr>
                        <w:top w:val="none" w:sz="0" w:space="0" w:color="auto"/>
                        <w:left w:val="none" w:sz="0" w:space="0" w:color="auto"/>
                        <w:bottom w:val="none" w:sz="0" w:space="0" w:color="auto"/>
                        <w:right w:val="none" w:sz="0" w:space="0" w:color="auto"/>
                      </w:divBdr>
                    </w:div>
                  </w:divsChild>
                </w:div>
                <w:div w:id="738094220">
                  <w:marLeft w:val="0"/>
                  <w:marRight w:val="0"/>
                  <w:marTop w:val="0"/>
                  <w:marBottom w:val="0"/>
                  <w:divBdr>
                    <w:top w:val="none" w:sz="0" w:space="0" w:color="auto"/>
                    <w:left w:val="none" w:sz="0" w:space="0" w:color="auto"/>
                    <w:bottom w:val="none" w:sz="0" w:space="0" w:color="auto"/>
                    <w:right w:val="none" w:sz="0" w:space="0" w:color="auto"/>
                  </w:divBdr>
                  <w:divsChild>
                    <w:div w:id="1453859116">
                      <w:marLeft w:val="0"/>
                      <w:marRight w:val="0"/>
                      <w:marTop w:val="0"/>
                      <w:marBottom w:val="0"/>
                      <w:divBdr>
                        <w:top w:val="none" w:sz="0" w:space="0" w:color="auto"/>
                        <w:left w:val="none" w:sz="0" w:space="0" w:color="auto"/>
                        <w:bottom w:val="none" w:sz="0" w:space="0" w:color="auto"/>
                        <w:right w:val="none" w:sz="0" w:space="0" w:color="auto"/>
                      </w:divBdr>
                    </w:div>
                  </w:divsChild>
                </w:div>
                <w:div w:id="1785539217">
                  <w:marLeft w:val="0"/>
                  <w:marRight w:val="0"/>
                  <w:marTop w:val="0"/>
                  <w:marBottom w:val="0"/>
                  <w:divBdr>
                    <w:top w:val="none" w:sz="0" w:space="0" w:color="auto"/>
                    <w:left w:val="none" w:sz="0" w:space="0" w:color="auto"/>
                    <w:bottom w:val="none" w:sz="0" w:space="0" w:color="auto"/>
                    <w:right w:val="none" w:sz="0" w:space="0" w:color="auto"/>
                  </w:divBdr>
                  <w:divsChild>
                    <w:div w:id="1682002375">
                      <w:marLeft w:val="0"/>
                      <w:marRight w:val="0"/>
                      <w:marTop w:val="0"/>
                      <w:marBottom w:val="0"/>
                      <w:divBdr>
                        <w:top w:val="none" w:sz="0" w:space="0" w:color="auto"/>
                        <w:left w:val="none" w:sz="0" w:space="0" w:color="auto"/>
                        <w:bottom w:val="none" w:sz="0" w:space="0" w:color="auto"/>
                        <w:right w:val="none" w:sz="0" w:space="0" w:color="auto"/>
                      </w:divBdr>
                    </w:div>
                  </w:divsChild>
                </w:div>
                <w:div w:id="618798070">
                  <w:marLeft w:val="0"/>
                  <w:marRight w:val="0"/>
                  <w:marTop w:val="0"/>
                  <w:marBottom w:val="0"/>
                  <w:divBdr>
                    <w:top w:val="none" w:sz="0" w:space="0" w:color="auto"/>
                    <w:left w:val="none" w:sz="0" w:space="0" w:color="auto"/>
                    <w:bottom w:val="none" w:sz="0" w:space="0" w:color="auto"/>
                    <w:right w:val="none" w:sz="0" w:space="0" w:color="auto"/>
                  </w:divBdr>
                  <w:divsChild>
                    <w:div w:id="429785129">
                      <w:marLeft w:val="0"/>
                      <w:marRight w:val="0"/>
                      <w:marTop w:val="0"/>
                      <w:marBottom w:val="0"/>
                      <w:divBdr>
                        <w:top w:val="none" w:sz="0" w:space="0" w:color="auto"/>
                        <w:left w:val="none" w:sz="0" w:space="0" w:color="auto"/>
                        <w:bottom w:val="none" w:sz="0" w:space="0" w:color="auto"/>
                        <w:right w:val="none" w:sz="0" w:space="0" w:color="auto"/>
                      </w:divBdr>
                    </w:div>
                  </w:divsChild>
                </w:div>
                <w:div w:id="252473224">
                  <w:marLeft w:val="0"/>
                  <w:marRight w:val="0"/>
                  <w:marTop w:val="0"/>
                  <w:marBottom w:val="0"/>
                  <w:divBdr>
                    <w:top w:val="none" w:sz="0" w:space="0" w:color="auto"/>
                    <w:left w:val="none" w:sz="0" w:space="0" w:color="auto"/>
                    <w:bottom w:val="none" w:sz="0" w:space="0" w:color="auto"/>
                    <w:right w:val="none" w:sz="0" w:space="0" w:color="auto"/>
                  </w:divBdr>
                  <w:divsChild>
                    <w:div w:id="1209220644">
                      <w:marLeft w:val="0"/>
                      <w:marRight w:val="0"/>
                      <w:marTop w:val="0"/>
                      <w:marBottom w:val="0"/>
                      <w:divBdr>
                        <w:top w:val="none" w:sz="0" w:space="0" w:color="auto"/>
                        <w:left w:val="none" w:sz="0" w:space="0" w:color="auto"/>
                        <w:bottom w:val="none" w:sz="0" w:space="0" w:color="auto"/>
                        <w:right w:val="none" w:sz="0" w:space="0" w:color="auto"/>
                      </w:divBdr>
                    </w:div>
                  </w:divsChild>
                </w:div>
                <w:div w:id="837228363">
                  <w:marLeft w:val="0"/>
                  <w:marRight w:val="0"/>
                  <w:marTop w:val="0"/>
                  <w:marBottom w:val="0"/>
                  <w:divBdr>
                    <w:top w:val="none" w:sz="0" w:space="0" w:color="auto"/>
                    <w:left w:val="none" w:sz="0" w:space="0" w:color="auto"/>
                    <w:bottom w:val="none" w:sz="0" w:space="0" w:color="auto"/>
                    <w:right w:val="none" w:sz="0" w:space="0" w:color="auto"/>
                  </w:divBdr>
                  <w:divsChild>
                    <w:div w:id="1391149772">
                      <w:marLeft w:val="0"/>
                      <w:marRight w:val="0"/>
                      <w:marTop w:val="0"/>
                      <w:marBottom w:val="0"/>
                      <w:divBdr>
                        <w:top w:val="none" w:sz="0" w:space="0" w:color="auto"/>
                        <w:left w:val="none" w:sz="0" w:space="0" w:color="auto"/>
                        <w:bottom w:val="none" w:sz="0" w:space="0" w:color="auto"/>
                        <w:right w:val="none" w:sz="0" w:space="0" w:color="auto"/>
                      </w:divBdr>
                    </w:div>
                  </w:divsChild>
                </w:div>
                <w:div w:id="1081558220">
                  <w:marLeft w:val="0"/>
                  <w:marRight w:val="0"/>
                  <w:marTop w:val="0"/>
                  <w:marBottom w:val="0"/>
                  <w:divBdr>
                    <w:top w:val="none" w:sz="0" w:space="0" w:color="auto"/>
                    <w:left w:val="none" w:sz="0" w:space="0" w:color="auto"/>
                    <w:bottom w:val="none" w:sz="0" w:space="0" w:color="auto"/>
                    <w:right w:val="none" w:sz="0" w:space="0" w:color="auto"/>
                  </w:divBdr>
                  <w:divsChild>
                    <w:div w:id="520363348">
                      <w:marLeft w:val="0"/>
                      <w:marRight w:val="0"/>
                      <w:marTop w:val="0"/>
                      <w:marBottom w:val="0"/>
                      <w:divBdr>
                        <w:top w:val="none" w:sz="0" w:space="0" w:color="auto"/>
                        <w:left w:val="none" w:sz="0" w:space="0" w:color="auto"/>
                        <w:bottom w:val="none" w:sz="0" w:space="0" w:color="auto"/>
                        <w:right w:val="none" w:sz="0" w:space="0" w:color="auto"/>
                      </w:divBdr>
                    </w:div>
                  </w:divsChild>
                </w:div>
                <w:div w:id="784075614">
                  <w:marLeft w:val="0"/>
                  <w:marRight w:val="0"/>
                  <w:marTop w:val="0"/>
                  <w:marBottom w:val="0"/>
                  <w:divBdr>
                    <w:top w:val="none" w:sz="0" w:space="0" w:color="auto"/>
                    <w:left w:val="none" w:sz="0" w:space="0" w:color="auto"/>
                    <w:bottom w:val="none" w:sz="0" w:space="0" w:color="auto"/>
                    <w:right w:val="none" w:sz="0" w:space="0" w:color="auto"/>
                  </w:divBdr>
                  <w:divsChild>
                    <w:div w:id="1669867117">
                      <w:marLeft w:val="0"/>
                      <w:marRight w:val="0"/>
                      <w:marTop w:val="0"/>
                      <w:marBottom w:val="0"/>
                      <w:divBdr>
                        <w:top w:val="none" w:sz="0" w:space="0" w:color="auto"/>
                        <w:left w:val="none" w:sz="0" w:space="0" w:color="auto"/>
                        <w:bottom w:val="none" w:sz="0" w:space="0" w:color="auto"/>
                        <w:right w:val="none" w:sz="0" w:space="0" w:color="auto"/>
                      </w:divBdr>
                    </w:div>
                    <w:div w:id="1061059177">
                      <w:marLeft w:val="0"/>
                      <w:marRight w:val="0"/>
                      <w:marTop w:val="0"/>
                      <w:marBottom w:val="0"/>
                      <w:divBdr>
                        <w:top w:val="none" w:sz="0" w:space="0" w:color="auto"/>
                        <w:left w:val="none" w:sz="0" w:space="0" w:color="auto"/>
                        <w:bottom w:val="none" w:sz="0" w:space="0" w:color="auto"/>
                        <w:right w:val="none" w:sz="0" w:space="0" w:color="auto"/>
                      </w:divBdr>
                    </w:div>
                  </w:divsChild>
                </w:div>
                <w:div w:id="1620144540">
                  <w:marLeft w:val="0"/>
                  <w:marRight w:val="0"/>
                  <w:marTop w:val="0"/>
                  <w:marBottom w:val="0"/>
                  <w:divBdr>
                    <w:top w:val="none" w:sz="0" w:space="0" w:color="auto"/>
                    <w:left w:val="none" w:sz="0" w:space="0" w:color="auto"/>
                    <w:bottom w:val="none" w:sz="0" w:space="0" w:color="auto"/>
                    <w:right w:val="none" w:sz="0" w:space="0" w:color="auto"/>
                  </w:divBdr>
                  <w:divsChild>
                    <w:div w:id="419764345">
                      <w:marLeft w:val="0"/>
                      <w:marRight w:val="0"/>
                      <w:marTop w:val="0"/>
                      <w:marBottom w:val="0"/>
                      <w:divBdr>
                        <w:top w:val="none" w:sz="0" w:space="0" w:color="auto"/>
                        <w:left w:val="none" w:sz="0" w:space="0" w:color="auto"/>
                        <w:bottom w:val="none" w:sz="0" w:space="0" w:color="auto"/>
                        <w:right w:val="none" w:sz="0" w:space="0" w:color="auto"/>
                      </w:divBdr>
                    </w:div>
                  </w:divsChild>
                </w:div>
                <w:div w:id="851533023">
                  <w:marLeft w:val="0"/>
                  <w:marRight w:val="0"/>
                  <w:marTop w:val="0"/>
                  <w:marBottom w:val="0"/>
                  <w:divBdr>
                    <w:top w:val="none" w:sz="0" w:space="0" w:color="auto"/>
                    <w:left w:val="none" w:sz="0" w:space="0" w:color="auto"/>
                    <w:bottom w:val="none" w:sz="0" w:space="0" w:color="auto"/>
                    <w:right w:val="none" w:sz="0" w:space="0" w:color="auto"/>
                  </w:divBdr>
                  <w:divsChild>
                    <w:div w:id="421223715">
                      <w:marLeft w:val="0"/>
                      <w:marRight w:val="0"/>
                      <w:marTop w:val="0"/>
                      <w:marBottom w:val="0"/>
                      <w:divBdr>
                        <w:top w:val="none" w:sz="0" w:space="0" w:color="auto"/>
                        <w:left w:val="none" w:sz="0" w:space="0" w:color="auto"/>
                        <w:bottom w:val="none" w:sz="0" w:space="0" w:color="auto"/>
                        <w:right w:val="none" w:sz="0" w:space="0" w:color="auto"/>
                      </w:divBdr>
                    </w:div>
                  </w:divsChild>
                </w:div>
                <w:div w:id="300615503">
                  <w:marLeft w:val="0"/>
                  <w:marRight w:val="0"/>
                  <w:marTop w:val="0"/>
                  <w:marBottom w:val="0"/>
                  <w:divBdr>
                    <w:top w:val="none" w:sz="0" w:space="0" w:color="auto"/>
                    <w:left w:val="none" w:sz="0" w:space="0" w:color="auto"/>
                    <w:bottom w:val="none" w:sz="0" w:space="0" w:color="auto"/>
                    <w:right w:val="none" w:sz="0" w:space="0" w:color="auto"/>
                  </w:divBdr>
                  <w:divsChild>
                    <w:div w:id="1767268462">
                      <w:marLeft w:val="0"/>
                      <w:marRight w:val="0"/>
                      <w:marTop w:val="0"/>
                      <w:marBottom w:val="0"/>
                      <w:divBdr>
                        <w:top w:val="none" w:sz="0" w:space="0" w:color="auto"/>
                        <w:left w:val="none" w:sz="0" w:space="0" w:color="auto"/>
                        <w:bottom w:val="none" w:sz="0" w:space="0" w:color="auto"/>
                        <w:right w:val="none" w:sz="0" w:space="0" w:color="auto"/>
                      </w:divBdr>
                    </w:div>
                    <w:div w:id="2067948171">
                      <w:marLeft w:val="0"/>
                      <w:marRight w:val="0"/>
                      <w:marTop w:val="0"/>
                      <w:marBottom w:val="0"/>
                      <w:divBdr>
                        <w:top w:val="none" w:sz="0" w:space="0" w:color="auto"/>
                        <w:left w:val="none" w:sz="0" w:space="0" w:color="auto"/>
                        <w:bottom w:val="none" w:sz="0" w:space="0" w:color="auto"/>
                        <w:right w:val="none" w:sz="0" w:space="0" w:color="auto"/>
                      </w:divBdr>
                    </w:div>
                  </w:divsChild>
                </w:div>
                <w:div w:id="1439057601">
                  <w:marLeft w:val="0"/>
                  <w:marRight w:val="0"/>
                  <w:marTop w:val="0"/>
                  <w:marBottom w:val="0"/>
                  <w:divBdr>
                    <w:top w:val="none" w:sz="0" w:space="0" w:color="auto"/>
                    <w:left w:val="none" w:sz="0" w:space="0" w:color="auto"/>
                    <w:bottom w:val="none" w:sz="0" w:space="0" w:color="auto"/>
                    <w:right w:val="none" w:sz="0" w:space="0" w:color="auto"/>
                  </w:divBdr>
                  <w:divsChild>
                    <w:div w:id="1578132383">
                      <w:marLeft w:val="0"/>
                      <w:marRight w:val="0"/>
                      <w:marTop w:val="0"/>
                      <w:marBottom w:val="0"/>
                      <w:divBdr>
                        <w:top w:val="none" w:sz="0" w:space="0" w:color="auto"/>
                        <w:left w:val="none" w:sz="0" w:space="0" w:color="auto"/>
                        <w:bottom w:val="none" w:sz="0" w:space="0" w:color="auto"/>
                        <w:right w:val="none" w:sz="0" w:space="0" w:color="auto"/>
                      </w:divBdr>
                    </w:div>
                    <w:div w:id="1578437451">
                      <w:marLeft w:val="0"/>
                      <w:marRight w:val="0"/>
                      <w:marTop w:val="0"/>
                      <w:marBottom w:val="0"/>
                      <w:divBdr>
                        <w:top w:val="none" w:sz="0" w:space="0" w:color="auto"/>
                        <w:left w:val="none" w:sz="0" w:space="0" w:color="auto"/>
                        <w:bottom w:val="none" w:sz="0" w:space="0" w:color="auto"/>
                        <w:right w:val="none" w:sz="0" w:space="0" w:color="auto"/>
                      </w:divBdr>
                    </w:div>
                  </w:divsChild>
                </w:div>
                <w:div w:id="1259679740">
                  <w:marLeft w:val="0"/>
                  <w:marRight w:val="0"/>
                  <w:marTop w:val="0"/>
                  <w:marBottom w:val="0"/>
                  <w:divBdr>
                    <w:top w:val="none" w:sz="0" w:space="0" w:color="auto"/>
                    <w:left w:val="none" w:sz="0" w:space="0" w:color="auto"/>
                    <w:bottom w:val="none" w:sz="0" w:space="0" w:color="auto"/>
                    <w:right w:val="none" w:sz="0" w:space="0" w:color="auto"/>
                  </w:divBdr>
                  <w:divsChild>
                    <w:div w:id="54084858">
                      <w:marLeft w:val="0"/>
                      <w:marRight w:val="0"/>
                      <w:marTop w:val="0"/>
                      <w:marBottom w:val="0"/>
                      <w:divBdr>
                        <w:top w:val="none" w:sz="0" w:space="0" w:color="auto"/>
                        <w:left w:val="none" w:sz="0" w:space="0" w:color="auto"/>
                        <w:bottom w:val="none" w:sz="0" w:space="0" w:color="auto"/>
                        <w:right w:val="none" w:sz="0" w:space="0" w:color="auto"/>
                      </w:divBdr>
                    </w:div>
                  </w:divsChild>
                </w:div>
                <w:div w:id="440225636">
                  <w:marLeft w:val="0"/>
                  <w:marRight w:val="0"/>
                  <w:marTop w:val="0"/>
                  <w:marBottom w:val="0"/>
                  <w:divBdr>
                    <w:top w:val="none" w:sz="0" w:space="0" w:color="auto"/>
                    <w:left w:val="none" w:sz="0" w:space="0" w:color="auto"/>
                    <w:bottom w:val="none" w:sz="0" w:space="0" w:color="auto"/>
                    <w:right w:val="none" w:sz="0" w:space="0" w:color="auto"/>
                  </w:divBdr>
                  <w:divsChild>
                    <w:div w:id="1617329362">
                      <w:marLeft w:val="0"/>
                      <w:marRight w:val="0"/>
                      <w:marTop w:val="0"/>
                      <w:marBottom w:val="0"/>
                      <w:divBdr>
                        <w:top w:val="none" w:sz="0" w:space="0" w:color="auto"/>
                        <w:left w:val="none" w:sz="0" w:space="0" w:color="auto"/>
                        <w:bottom w:val="none" w:sz="0" w:space="0" w:color="auto"/>
                        <w:right w:val="none" w:sz="0" w:space="0" w:color="auto"/>
                      </w:divBdr>
                    </w:div>
                    <w:div w:id="521668105">
                      <w:marLeft w:val="0"/>
                      <w:marRight w:val="0"/>
                      <w:marTop w:val="0"/>
                      <w:marBottom w:val="0"/>
                      <w:divBdr>
                        <w:top w:val="none" w:sz="0" w:space="0" w:color="auto"/>
                        <w:left w:val="none" w:sz="0" w:space="0" w:color="auto"/>
                        <w:bottom w:val="none" w:sz="0" w:space="0" w:color="auto"/>
                        <w:right w:val="none" w:sz="0" w:space="0" w:color="auto"/>
                      </w:divBdr>
                    </w:div>
                  </w:divsChild>
                </w:div>
                <w:div w:id="1393964384">
                  <w:marLeft w:val="0"/>
                  <w:marRight w:val="0"/>
                  <w:marTop w:val="0"/>
                  <w:marBottom w:val="0"/>
                  <w:divBdr>
                    <w:top w:val="none" w:sz="0" w:space="0" w:color="auto"/>
                    <w:left w:val="none" w:sz="0" w:space="0" w:color="auto"/>
                    <w:bottom w:val="none" w:sz="0" w:space="0" w:color="auto"/>
                    <w:right w:val="none" w:sz="0" w:space="0" w:color="auto"/>
                  </w:divBdr>
                  <w:divsChild>
                    <w:div w:id="12248765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02491009">
          <w:marLeft w:val="0"/>
          <w:marRight w:val="0"/>
          <w:marTop w:val="0"/>
          <w:marBottom w:val="0"/>
          <w:divBdr>
            <w:top w:val="none" w:sz="0" w:space="0" w:color="auto"/>
            <w:left w:val="none" w:sz="0" w:space="0" w:color="auto"/>
            <w:bottom w:val="none" w:sz="0" w:space="0" w:color="auto"/>
            <w:right w:val="none" w:sz="0" w:space="0" w:color="auto"/>
          </w:divBdr>
        </w:div>
        <w:div w:id="1668825297">
          <w:marLeft w:val="0"/>
          <w:marRight w:val="0"/>
          <w:marTop w:val="0"/>
          <w:marBottom w:val="0"/>
          <w:divBdr>
            <w:top w:val="none" w:sz="0" w:space="0" w:color="auto"/>
            <w:left w:val="none" w:sz="0" w:space="0" w:color="auto"/>
            <w:bottom w:val="none" w:sz="0" w:space="0" w:color="auto"/>
            <w:right w:val="none" w:sz="0" w:space="0" w:color="auto"/>
          </w:divBdr>
        </w:div>
        <w:div w:id="596713425">
          <w:marLeft w:val="0"/>
          <w:marRight w:val="0"/>
          <w:marTop w:val="0"/>
          <w:marBottom w:val="0"/>
          <w:divBdr>
            <w:top w:val="none" w:sz="0" w:space="0" w:color="auto"/>
            <w:left w:val="none" w:sz="0" w:space="0" w:color="auto"/>
            <w:bottom w:val="none" w:sz="0" w:space="0" w:color="auto"/>
            <w:right w:val="none" w:sz="0" w:space="0" w:color="auto"/>
          </w:divBdr>
        </w:div>
        <w:div w:id="355544057">
          <w:marLeft w:val="0"/>
          <w:marRight w:val="0"/>
          <w:marTop w:val="0"/>
          <w:marBottom w:val="0"/>
          <w:divBdr>
            <w:top w:val="none" w:sz="0" w:space="0" w:color="auto"/>
            <w:left w:val="none" w:sz="0" w:space="0" w:color="auto"/>
            <w:bottom w:val="none" w:sz="0" w:space="0" w:color="auto"/>
            <w:right w:val="none" w:sz="0" w:space="0" w:color="auto"/>
          </w:divBdr>
        </w:div>
        <w:div w:id="210045895">
          <w:marLeft w:val="0"/>
          <w:marRight w:val="0"/>
          <w:marTop w:val="0"/>
          <w:marBottom w:val="0"/>
          <w:divBdr>
            <w:top w:val="none" w:sz="0" w:space="0" w:color="auto"/>
            <w:left w:val="none" w:sz="0" w:space="0" w:color="auto"/>
            <w:bottom w:val="none" w:sz="0" w:space="0" w:color="auto"/>
            <w:right w:val="none" w:sz="0" w:space="0" w:color="auto"/>
          </w:divBdr>
        </w:div>
        <w:div w:id="1252810003">
          <w:marLeft w:val="0"/>
          <w:marRight w:val="0"/>
          <w:marTop w:val="0"/>
          <w:marBottom w:val="0"/>
          <w:divBdr>
            <w:top w:val="none" w:sz="0" w:space="0" w:color="auto"/>
            <w:left w:val="none" w:sz="0" w:space="0" w:color="auto"/>
            <w:bottom w:val="none" w:sz="0" w:space="0" w:color="auto"/>
            <w:right w:val="none" w:sz="0" w:space="0" w:color="auto"/>
          </w:divBdr>
        </w:div>
      </w:divsChild>
    </w:div>
    <w:div w:id="21342538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s://relatoria.colombiacompra.gov.co/busqueda/conceptos" TargetMode="External"/><Relationship Id="rId18" Type="http://schemas.openxmlformats.org/officeDocument/2006/relationships/hyperlink" Target="mailto:ventanilladeradicacion@colombiacompra.gov.co" TargetMode="External"/><Relationship Id="rId3" Type="http://schemas.openxmlformats.org/officeDocument/2006/relationships/customXml" Target="../customXml/item3.xml"/><Relationship Id="rId21" Type="http://schemas.openxmlformats.org/officeDocument/2006/relationships/image" Target="media/image3.jpeg"/><Relationship Id="rId7" Type="http://schemas.openxmlformats.org/officeDocument/2006/relationships/webSettings" Target="webSettings.xml"/><Relationship Id="rId12" Type="http://schemas.openxmlformats.org/officeDocument/2006/relationships/hyperlink" Target="https://www.colombiacompra.gov.co/wp-content/uploads/2024/08/circular_externa_unica_version_3_vf49.pdf" TargetMode="External"/><Relationship Id="rId17" Type="http://schemas.openxmlformats.org/officeDocument/2006/relationships/hyperlink" Target="https://nam02.safelinks.protection.outlook.com/?url=https%3A%2F%2Fwww.colombiacompra.gov.co%2Farchivos%2Fboletin%2Fboletin-edicion-n-3-de-2026-radar-de-la-compra-publica&amp;data=05%7C02%7Ckelmis.bruges%40colombiacompra.gov.co%7C7128555136e04fa6887d08dee99e1b50%7C7b09041e245149d08cb179d5e3d8c1be%7C0%7C0%7C639205062448449606%7CUnknown%7CTWFpbGZsb3d8eyJFbXB0eU1hcGkiOnRydWUsIlYiOiIwLjAuMDAwMCIsIlAiOiJXaW4zMiIsIkFOIjoiTWFpbCIsIldUIjoyfQ%3D%3D%7C0%7C%7C%7C&amp;sdata=T3S9FDtEoS67Wx8P%2FeZ4CtytwM37bW%2FCDD1BDi8JhU4%3D&amp;reserved=0" TargetMode="External"/><Relationship Id="rId25"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hyperlink" Target="https://nam02.safelinks.protection.outlook.com/?url=https%3A%2F%2Fwww.colombiacompra.gov.co%2Farchivos%2Fcircular%2Fcircular-externa-002-de-2026&amp;data=05%7C02%7Ckelmis.bruges%40colombiacompra.gov.co%7C7128555136e04fa6887d08dee99e1b50%7C7b09041e245149d08cb179d5e3d8c1be%7C0%7C0%7C639205062448418483%7CUnknown%7CTWFpbGZsb3d8eyJFbXB0eU1hcGkiOnRydWUsIlYiOiIwLjAuMDAwMCIsIlAiOiJXaW4zMiIsIkFOIjoiTWFpbCIsIldUIjoyfQ%3D%3D%7C0%7C%7C%7C&amp;sdata=Lw88GN50UcFim3kzSl9M8dlsx3kbnb54uQShTOIBvAw%3D&amp;reserved=0" TargetMode="External"/><Relationship Id="rId20" Type="http://schemas.openxmlformats.org/officeDocument/2006/relationships/hyperlink" Target="https://forms.office.com/r/pPHyWVs2SZ" TargetMode="Externa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mailto:mabustos@gobernaciondecaldas.gov.co" TargetMode="External"/><Relationship Id="rId24" Type="http://schemas.openxmlformats.org/officeDocument/2006/relationships/fontTable" Target="fontTable.xml"/><Relationship Id="rId5" Type="http://schemas.openxmlformats.org/officeDocument/2006/relationships/styles" Target="styles.xml"/><Relationship Id="rId15" Type="http://schemas.openxmlformats.org/officeDocument/2006/relationships/hyperlink" Target="https://nam02.safelinks.protection.outlook.com/?url=https%3A%2F%2Fwww.colombiacompra.gov.co%2Farchivos%2Fcircular%2Fcircular-externa-003-de-2026&amp;data=05%7C02%7Ckelmis.bruges%40colombiacompra.gov.co%7C7128555136e04fa6887d08dee99e1b50%7C7b09041e245149d08cb179d5e3d8c1be%7C0%7C0%7C639205062448374558%7CUnknown%7CTWFpbGZsb3d8eyJFbXB0eU1hcGkiOnRydWUsIlYiOiIwLjAuMDAwMCIsIlAiOiJXaW4zMiIsIkFOIjoiTWFpbCIsIldUIjoyfQ%3D%3D%7C0%7C%7C%7C&amp;sdata=r%2FZhRCHF9UzC0eh%2FV6T2oxgPtj8EHPV2B4oylbUVf%2BA%3D&amp;reserved=0" TargetMode="External"/><Relationship Id="rId23" Type="http://schemas.openxmlformats.org/officeDocument/2006/relationships/footer" Target="footer1.xml"/><Relationship Id="rId10" Type="http://schemas.openxmlformats.org/officeDocument/2006/relationships/image" Target="media/image2.emf"/><Relationship Id="rId19" Type="http://schemas.openxmlformats.org/officeDocument/2006/relationships/hyperlink" Target="https://www.colombiacompra.gov.co/pqrsd/informacion-importante-antes-de-formular-una-pqrsd"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https://nam02.safelinks.protection.outlook.com/?url=https%3A%2F%2Fwww.colombiacompra.gov.co%2Farchivos%2Fmanual%2Fguia-de-garantias-en-procesos-de-contratacion&amp;data=05%7C02%7Ckelmis.bruges%40colombiacompra.gov.co%7C7128555136e04fa6887d08dee99e1b50%7C7b09041e245149d08cb179d5e3d8c1be%7C0%7C0%7C639205062448313260%7CUnknown%7CTWFpbGZsb3d8eyJFbXB0eU1hcGkiOnRydWUsIlYiOiIwLjAuMDAwMCIsIlAiOiJXaW4zMiIsIkFOIjoiTWFpbCIsIldUIjoyfQ%3D%3D%7C0%7C%7C%7C&amp;sdata=PWB8ysTfGANaKDXK6eWlLOU%2BBqiJe%2BINY2KXAKdmwC4%3D&amp;reserved=0" TargetMode="External"/><Relationship Id="rId22" Type="http://schemas.openxmlformats.org/officeDocument/2006/relationships/header" Target="header1.xml"/></Relationships>
</file>

<file path=word/_rels/header1.xml.rels><?xml version="1.0" encoding="UTF-8" standalone="yes"?>
<Relationships xmlns="http://schemas.openxmlformats.org/package/2006/relationships"><Relationship Id="rId2" Type="http://schemas.openxmlformats.org/officeDocument/2006/relationships/image" Target="media/image5.png"/><Relationship Id="rId1" Type="http://schemas.openxmlformats.org/officeDocument/2006/relationships/image" Target="media/image4.png"/></Relationships>
</file>

<file path=word/_rels/numbering.xml.rels><?xml version="1.0" encoding="UTF-8" standalone="yes"?>
<Relationships xmlns="http://schemas.openxmlformats.org/package/2006/relationships"><Relationship Id="rId1" Type="http://schemas.openxmlformats.org/officeDocument/2006/relationships/image" Target="media/image1.gif"/></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20" ma:contentTypeDescription="Crear nuevo documento." ma:contentTypeScope="" ma:versionID="3aa158c1e2510b50ba9620437d74e4ff">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41aa8ca4bdcfc2e304923d637cfc37a1"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element ref="ns2:lcf76f155ced4ddcb4097134ff3c332f" minOccurs="0"/>
                <xsd:element ref="ns3:TaxCatchAll" minOccurs="0"/>
                <xsd:element ref="ns2:MediaServiceObjectDetectorVersions" minOccurs="0"/>
                <xsd:element ref="ns2:_Flow_SignoffStatus" minOccurs="0"/>
                <xsd:element ref="ns2:MediaServiceLoca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Etiquetas de imagen" ma:readOnly="false" ma:fieldId="{5cf76f15-5ced-4ddc-b409-7134ff3c332f}" ma:taxonomyMulti="true" ma:sspId="d11a0eb6-ad86-4071-a759-4f0356bdcc6a"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_Flow_SignoffStatus" ma:index="25" nillable="true" ma:displayName="Estado de aprobación" ma:internalName="Estado_x0020_de_x0020_aprobaci_x00f3_n">
      <xsd:simpleType>
        <xsd:restriction base="dms:Text"/>
      </xsd:simpleType>
    </xsd:element>
    <xsd:element name="MediaServiceLocation" ma:index="26" nillable="true" ma:displayName="Location" ma:description="" ma:indexed="true" ma:internalName="MediaServiceLocation" ma:readOnly="true">
      <xsd:simpleType>
        <xsd:restriction base="dms:Text"/>
      </xsd:simpleType>
    </xsd:element>
    <xsd:element name="MediaServiceSearchProperties" ma:index="27"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element name="TaxCatchAll" ma:index="23" nillable="true" ma:displayName="Taxonomy Catch All Column" ma:hidden="true" ma:list="{1105a6f2-09f1-4f7d-bab9-e03f1dc4ac6e}" ma:internalName="TaxCatchAll" ma:showField="CatchAllData" ma:web="a6cb9e4b-f1d1-4245-83ec-6cad768d538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No xmlns="9d85dbaf-23eb-4e57-a637-93dcacc8b1a1" xsi:nil="true"/>
    <TaxCatchAll xmlns="a6cb9e4b-f1d1-4245-83ec-6cad768d538a" xsi:nil="true"/>
    <_Flow_SignoffStatus xmlns="9d85dbaf-23eb-4e57-a637-93dcacc8b1a1" xsi:nil="true"/>
    <lcf76f155ced4ddcb4097134ff3c332f xmlns="9d85dbaf-23eb-4e57-a637-93dcacc8b1a1">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23F5171D-ADF3-4AD5-B2EC-E0A5B6FCBFF3}"/>
</file>

<file path=customXml/itemProps2.xml><?xml version="1.0" encoding="utf-8"?>
<ds:datastoreItem xmlns:ds="http://schemas.openxmlformats.org/officeDocument/2006/customXml" ds:itemID="{19B0637E-D058-473B-8FE7-AA861F69C797}">
  <ds:schemaRefs>
    <ds:schemaRef ds:uri="http://schemas.microsoft.com/sharepoint/v3/contenttype/forms"/>
  </ds:schemaRefs>
</ds:datastoreItem>
</file>

<file path=customXml/itemProps3.xml><?xml version="1.0" encoding="utf-8"?>
<ds:datastoreItem xmlns:ds="http://schemas.openxmlformats.org/officeDocument/2006/customXml" ds:itemID="{163618BE-28CB-4D69-955E-CDA788483BED}">
  <ds:schemaRefs>
    <ds:schemaRef ds:uri="http://schemas.microsoft.com/office/2006/metadata/properties"/>
    <ds:schemaRef ds:uri="http://schemas.microsoft.com/office/infopath/2007/PartnerControls"/>
  </ds:schemaRefs>
</ds:datastoreItem>
</file>

<file path=docMetadata/LabelInfo.xml><?xml version="1.0" encoding="utf-8"?>
<clbl:labelList xmlns:clbl="http://schemas.microsoft.com/office/2020/mipLabelMetadata">
  <clbl:label id="{7b09041e-2451-49d0-8cb1-79d5e3d8c1be}" enabled="0" method="" siteId="{7b09041e-2451-49d0-8cb1-79d5e3d8c1be}" removed="1"/>
</clbl:labelList>
</file>

<file path=docProps/app.xml><?xml version="1.0" encoding="utf-8"?>
<Properties xmlns="http://schemas.openxmlformats.org/officeDocument/2006/extended-properties" xmlns:vt="http://schemas.openxmlformats.org/officeDocument/2006/docPropsVTypes">
  <Template>Normal</Template>
  <TotalTime>3</TotalTime>
  <Pages>19</Pages>
  <Words>6667</Words>
  <Characters>36674</Characters>
  <Application>Microsoft Office Word</Application>
  <DocSecurity>0</DocSecurity>
  <Lines>305</Lines>
  <Paragraphs>86</Paragraphs>
  <ScaleCrop>false</ScaleCrop>
  <Company/>
  <LinksUpToDate>false</LinksUpToDate>
  <CharactersWithSpaces>43255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Andrés Felipe Ospina Acosta</dc:creator>
  <cp:keywords/>
  <dc:description/>
  <cp:lastModifiedBy>Kelmis Yimara Bruges Alvarado</cp:lastModifiedBy>
  <cp:revision>6</cp:revision>
  <cp:lastPrinted>2023-01-10T21:18:00Z</cp:lastPrinted>
  <dcterms:created xsi:type="dcterms:W3CDTF">2026-09-28T16:10:00Z</dcterms:created>
  <dcterms:modified xsi:type="dcterms:W3CDTF">2026-09-28T16:36:00Z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y fmtid="{D5CDD505-2E9C-101B-9397-08002B2CF9AE}" pid="3" name="MediaServiceImageTags">
    <vt:lpwstr/>
  </property>
</Properties>
</file>