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94DDE" w14:textId="286656BC" w:rsidR="00EF6419" w:rsidRPr="00E05C45" w:rsidRDefault="00EF6419" w:rsidP="00EF6419">
      <w:pPr>
        <w:pStyle w:val="NormalWeb"/>
        <w:shd w:val="clear" w:color="auto" w:fill="FFFFFF"/>
        <w:spacing w:before="0" w:beforeAutospacing="0" w:after="0"/>
        <w:jc w:val="both"/>
        <w:rPr>
          <w:rFonts w:ascii="Verdana" w:hAnsi="Verdana" w:cs="Segoe UI"/>
          <w:color w:val="1E293B"/>
          <w:sz w:val="22"/>
          <w:szCs w:val="22"/>
        </w:rPr>
      </w:pPr>
      <w:bookmarkStart w:id="0" w:name="_Hlk143780582"/>
      <w:r w:rsidRPr="00E05C45">
        <w:rPr>
          <w:rStyle w:val="Fuerte"/>
          <w:rFonts w:ascii="Verdana" w:hAnsi="Verdana" w:cs="Segoe UI"/>
          <w:color w:val="1E293B"/>
          <w:sz w:val="22"/>
          <w:szCs w:val="22"/>
        </w:rPr>
        <w:t>P</w:t>
      </w:r>
      <w:r w:rsidRPr="00E05C45">
        <w:rPr>
          <w:rStyle w:val="Fuerte"/>
          <w:rFonts w:ascii="Verdana" w:hAnsi="Verdana" w:cs="Segoe UI"/>
          <w:color w:val="1E293B"/>
          <w:sz w:val="22"/>
          <w:szCs w:val="22"/>
        </w:rPr>
        <w:t>LAN ANUAL DE ADQUISICIONES – Alcance – Finalidad </w:t>
      </w:r>
    </w:p>
    <w:p w14:paraId="429D26FF" w14:textId="77777777" w:rsidR="00EF6419" w:rsidRDefault="00EF6419" w:rsidP="00EF6419">
      <w:pPr>
        <w:pStyle w:val="NormalWeb"/>
        <w:shd w:val="clear" w:color="auto" w:fill="FFFFFF"/>
        <w:spacing w:before="0" w:beforeAutospacing="0"/>
        <w:jc w:val="both"/>
        <w:rPr>
          <w:rFonts w:ascii="Verdana" w:hAnsi="Verdana" w:cs="Segoe UI"/>
          <w:color w:val="1E293B"/>
          <w:sz w:val="20"/>
          <w:szCs w:val="20"/>
        </w:rPr>
      </w:pPr>
      <w:r w:rsidRPr="00E05C45">
        <w:rPr>
          <w:rFonts w:ascii="Verdana" w:hAnsi="Verdana" w:cs="Segoe UI"/>
          <w:color w:val="1E293B"/>
          <w:sz w:val="20"/>
          <w:szCs w:val="20"/>
        </w:rPr>
        <w:t>El Plan Anual de Adquisiciones un instrumento de 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w:t>
      </w:r>
    </w:p>
    <w:p w14:paraId="318736C8" w14:textId="77777777" w:rsidR="00E05C45" w:rsidRPr="00E05C45" w:rsidRDefault="00E05C45" w:rsidP="00E05C45">
      <w:pPr>
        <w:pStyle w:val="NormalWeb"/>
        <w:shd w:val="clear" w:color="auto" w:fill="FFFFFF"/>
        <w:spacing w:before="0" w:beforeAutospacing="0" w:after="0"/>
        <w:jc w:val="both"/>
        <w:rPr>
          <w:rFonts w:ascii="Verdana" w:hAnsi="Verdana" w:cs="Segoe UI"/>
          <w:color w:val="1E293B"/>
          <w:sz w:val="22"/>
          <w:szCs w:val="22"/>
        </w:rPr>
      </w:pPr>
      <w:r w:rsidRPr="00E05C45">
        <w:rPr>
          <w:rStyle w:val="Fuerte"/>
          <w:rFonts w:ascii="Verdana" w:hAnsi="Verdana" w:cs="Segoe UI"/>
          <w:color w:val="1E293B"/>
          <w:sz w:val="22"/>
          <w:szCs w:val="22"/>
        </w:rPr>
        <w:t>PLAN ANUAL DE ADQUISICIONES – Publicación – Entidades obligadas</w:t>
      </w:r>
    </w:p>
    <w:p w14:paraId="2B4D7691" w14:textId="77777777" w:rsidR="00E05C45" w:rsidRPr="00E05C45" w:rsidRDefault="00E05C45" w:rsidP="00E05C45">
      <w:pPr>
        <w:pStyle w:val="NormalWeb"/>
        <w:shd w:val="clear" w:color="auto" w:fill="FFFFFF"/>
        <w:spacing w:before="0" w:beforeAutospacing="0" w:after="0"/>
        <w:jc w:val="both"/>
        <w:rPr>
          <w:rFonts w:ascii="Verdana" w:hAnsi="Verdana" w:cs="Segoe UI"/>
          <w:color w:val="1E293B"/>
          <w:sz w:val="20"/>
          <w:szCs w:val="20"/>
        </w:rPr>
      </w:pPr>
      <w:r w:rsidRPr="00E05C45">
        <w:rPr>
          <w:rFonts w:ascii="Verdana" w:hAnsi="Verdana" w:cs="Segoe UI"/>
          <w:color w:val="1E293B"/>
          <w:sz w:val="20"/>
          <w:szCs w:val="20"/>
        </w:rPr>
        <w:t>[…] de acuerdo con el artículo 2.2.1.1.1.4.3 ibidem</w:t>
      </w:r>
      <w:r w:rsidRPr="00E05C45">
        <w:rPr>
          <w:rStyle w:val="nfasis"/>
          <w:rFonts w:ascii="Verdana" w:hAnsi="Verdana" w:cs="Segoe UI"/>
          <w:color w:val="1E293B"/>
          <w:sz w:val="20"/>
          <w:szCs w:val="20"/>
        </w:rPr>
        <w:t xml:space="preserve">, </w:t>
      </w:r>
      <w:r w:rsidRPr="00E05C45">
        <w:rPr>
          <w:rFonts w:ascii="Verdana" w:hAnsi="Verdana" w:cs="Segoe UI"/>
          <w:color w:val="1E293B"/>
          <w:sz w:val="20"/>
          <w:szCs w:val="20"/>
        </w:rPr>
        <w:t>el PAA también debe publicarse en el SECOP. Se trata de una obligación que involucra a todas las Entidades del Estado sin importar la rama a la cual pertenecen, o si se trata de entidades descentralizadas territorialmente o por servicios; las empresas del Estado y las sociedades en las que el Estado tenga participación, sin que importe su monto.</w:t>
      </w:r>
    </w:p>
    <w:p w14:paraId="55CA5F55" w14:textId="77777777" w:rsidR="00E05C45" w:rsidRPr="00E05C45" w:rsidRDefault="00E05C45" w:rsidP="00E05C45">
      <w:pPr>
        <w:pStyle w:val="NormalWeb"/>
        <w:shd w:val="clear" w:color="auto" w:fill="FFFFFF"/>
        <w:spacing w:before="0" w:beforeAutospacing="0"/>
        <w:jc w:val="both"/>
        <w:rPr>
          <w:rFonts w:ascii="Verdana" w:hAnsi="Verdana" w:cs="Segoe UI"/>
          <w:color w:val="1E293B"/>
          <w:sz w:val="20"/>
          <w:szCs w:val="20"/>
        </w:rPr>
      </w:pPr>
      <w:r w:rsidRPr="00E05C45">
        <w:rPr>
          <w:rFonts w:ascii="Verdana" w:hAnsi="Verdana" w:cs="Segoe UI"/>
          <w:color w:val="1E293B"/>
          <w:sz w:val="20"/>
          <w:szCs w:val="20"/>
        </w:rPr>
        <w:t>Adicionalmente se aclara, que los sujetos que no contratan con cargo a recursos públicos no están obligados a publicarlo, mientras que aquellos que contratan tanto con cargo a recursos públicos como con aquellos que no tienen esta naturaleza, solamente están obligados a publicar el PAA para los recursos de carácter público que se ejecutarán duranta la vigencia fiscal.</w:t>
      </w:r>
    </w:p>
    <w:p w14:paraId="1148D104" w14:textId="0E0871C6" w:rsidR="00E05C45" w:rsidRPr="00E05C45" w:rsidRDefault="00E05C45" w:rsidP="00EF6419">
      <w:pPr>
        <w:pStyle w:val="NormalWeb"/>
        <w:shd w:val="clear" w:color="auto" w:fill="FFFFFF"/>
        <w:spacing w:before="0" w:beforeAutospacing="0"/>
        <w:jc w:val="both"/>
        <w:rPr>
          <w:rFonts w:ascii="Segoe UI" w:hAnsi="Segoe UI" w:cs="Segoe UI"/>
          <w:color w:val="1E293B"/>
          <w:sz w:val="25"/>
          <w:szCs w:val="25"/>
        </w:rPr>
      </w:pPr>
      <w:r w:rsidRPr="00E05C45">
        <w:rPr>
          <w:rFonts w:ascii="Verdana" w:hAnsi="Verdana" w:cs="Segoe UI"/>
          <w:color w:val="1E293B"/>
          <w:sz w:val="20"/>
          <w:szCs w:val="20"/>
        </w:rPr>
        <w:t>Con relación a la configuración de dicho listado, en primer lugar, es necesario resaltar que el objetivo del PAA es indicar los bienes, obras y servicios que la entidad pretende adquirir, sin consideración a la forma en que estos se obtendrán, pues es el criterio de necesidad de aquellos el que fundamenta la inclusión o no en la lista del plan y no el carácter pecuniario de este ni su modalidad de contratación. Por tanto, bastará con que la entidad identifique la necesidad contractual para que deba incluirlo en el listado</w:t>
      </w:r>
      <w:r>
        <w:rPr>
          <w:rFonts w:ascii="Segoe UI" w:hAnsi="Segoe UI" w:cs="Segoe UI"/>
          <w:color w:val="1E293B"/>
          <w:sz w:val="25"/>
          <w:szCs w:val="25"/>
        </w:rPr>
        <w:t>.</w:t>
      </w:r>
    </w:p>
    <w:p w14:paraId="22DABF95" w14:textId="7C8CC983" w:rsidR="00E05C45" w:rsidRPr="00E05C45" w:rsidRDefault="00E05C45" w:rsidP="00E05C45">
      <w:pPr>
        <w:pStyle w:val="NormalWeb"/>
        <w:shd w:val="clear" w:color="auto" w:fill="FFFFFF"/>
        <w:spacing w:before="0" w:beforeAutospacing="0" w:after="0"/>
        <w:jc w:val="both"/>
        <w:rPr>
          <w:rFonts w:ascii="Verdana" w:hAnsi="Verdana" w:cs="Segoe UI"/>
          <w:color w:val="1E293B"/>
          <w:sz w:val="22"/>
          <w:szCs w:val="22"/>
        </w:rPr>
      </w:pPr>
      <w:r w:rsidRPr="00E05C45">
        <w:rPr>
          <w:rStyle w:val="Fuerte"/>
          <w:rFonts w:ascii="Verdana" w:hAnsi="Verdana" w:cs="Segoe UI"/>
          <w:color w:val="1E293B"/>
          <w:sz w:val="22"/>
          <w:szCs w:val="22"/>
        </w:rPr>
        <w:t xml:space="preserve">PLAN ANUAL DE ADQUISICIONES </w:t>
      </w:r>
    </w:p>
    <w:p w14:paraId="4F0020EA" w14:textId="0361A8D7" w:rsidR="00EF6419" w:rsidRPr="00876A89" w:rsidRDefault="00E05C45" w:rsidP="00876A89">
      <w:pPr>
        <w:pStyle w:val="NormalWeb"/>
        <w:shd w:val="clear" w:color="auto" w:fill="FFFFFF"/>
        <w:spacing w:before="0" w:beforeAutospacing="0"/>
        <w:jc w:val="both"/>
        <w:rPr>
          <w:rFonts w:ascii="Verdana" w:hAnsi="Verdana" w:cs="Segoe UI"/>
          <w:color w:val="1E293B"/>
          <w:sz w:val="20"/>
          <w:szCs w:val="20"/>
        </w:rPr>
      </w:pPr>
      <w:r w:rsidRPr="00E05C45">
        <w:rPr>
          <w:rFonts w:ascii="Verdana" w:hAnsi="Verdana" w:cs="Segoe UI"/>
          <w:color w:val="1E293B"/>
          <w:sz w:val="20"/>
          <w:szCs w:val="20"/>
        </w:rPr>
        <w:t xml:space="preserve">Teniendo en claro lo anterior, el artículo 2.2.1.1.1.4.1 del Decreto 1082 de 2015 establece el deber de elaborar el PAA, que debe contener un listado de lo que la entidad adquirirá durante el año, para satisfacer su necesidad de bienes, obras o servicios, y que debe tener la información desagregada, principalmente en los siguientes aspectos: i) identificación con el clasificador de bienes y servicios, </w:t>
      </w:r>
      <w:proofErr w:type="spellStart"/>
      <w:r w:rsidRPr="00E05C45">
        <w:rPr>
          <w:rFonts w:ascii="Verdana" w:hAnsi="Verdana" w:cs="Segoe UI"/>
          <w:color w:val="1E293B"/>
          <w:sz w:val="20"/>
          <w:szCs w:val="20"/>
        </w:rPr>
        <w:t>ii</w:t>
      </w:r>
      <w:proofErr w:type="spellEnd"/>
      <w:r w:rsidRPr="00E05C45">
        <w:rPr>
          <w:rFonts w:ascii="Verdana" w:hAnsi="Verdana" w:cs="Segoe UI"/>
          <w:color w:val="1E293B"/>
          <w:sz w:val="20"/>
          <w:szCs w:val="20"/>
        </w:rPr>
        <w:t xml:space="preserve">) valor estimado del contrato, </w:t>
      </w:r>
      <w:proofErr w:type="spellStart"/>
      <w:r w:rsidRPr="00E05C45">
        <w:rPr>
          <w:rFonts w:ascii="Verdana" w:hAnsi="Verdana" w:cs="Segoe UI"/>
          <w:color w:val="1E293B"/>
          <w:sz w:val="20"/>
          <w:szCs w:val="20"/>
        </w:rPr>
        <w:t>iii</w:t>
      </w:r>
      <w:proofErr w:type="spellEnd"/>
      <w:r w:rsidRPr="00E05C45">
        <w:rPr>
          <w:rFonts w:ascii="Verdana" w:hAnsi="Verdana" w:cs="Segoe UI"/>
          <w:color w:val="1E293B"/>
          <w:sz w:val="20"/>
          <w:szCs w:val="20"/>
        </w:rPr>
        <w:t xml:space="preserve">) tipo de recursos, </w:t>
      </w:r>
      <w:proofErr w:type="spellStart"/>
      <w:r w:rsidRPr="00E05C45">
        <w:rPr>
          <w:rFonts w:ascii="Verdana" w:hAnsi="Verdana" w:cs="Segoe UI"/>
          <w:color w:val="1E293B"/>
          <w:sz w:val="20"/>
          <w:szCs w:val="20"/>
        </w:rPr>
        <w:t>iv</w:t>
      </w:r>
      <w:proofErr w:type="spellEnd"/>
      <w:r w:rsidRPr="00E05C45">
        <w:rPr>
          <w:rFonts w:ascii="Verdana" w:hAnsi="Verdana" w:cs="Segoe UI"/>
          <w:color w:val="1E293B"/>
          <w:sz w:val="20"/>
          <w:szCs w:val="20"/>
        </w:rPr>
        <w:t>) modalidad de selección y v) fecha de inicio del proceso contractual.</w:t>
      </w:r>
    </w:p>
    <w:p w14:paraId="15D4141C" w14:textId="77777777" w:rsidR="00EF6419" w:rsidRDefault="00EF6419" w:rsidP="002468F0">
      <w:pPr>
        <w:spacing w:after="0" w:line="240" w:lineRule="auto"/>
        <w:jc w:val="both"/>
        <w:rPr>
          <w:rFonts w:ascii="Verdana" w:eastAsia="Verdana" w:hAnsi="Verdana" w:cs="Verdana"/>
        </w:rPr>
      </w:pPr>
    </w:p>
    <w:p w14:paraId="1848EC0B" w14:textId="77777777" w:rsidR="00EF6419" w:rsidRDefault="00EF6419" w:rsidP="002468F0">
      <w:pPr>
        <w:spacing w:after="0" w:line="240" w:lineRule="auto"/>
        <w:jc w:val="both"/>
        <w:rPr>
          <w:rFonts w:ascii="Verdana" w:eastAsia="Verdana" w:hAnsi="Verdana" w:cs="Verdana"/>
        </w:rPr>
      </w:pPr>
    </w:p>
    <w:p w14:paraId="0DE5BF2A" w14:textId="77777777" w:rsidR="00EF6419" w:rsidRDefault="00EF6419" w:rsidP="002468F0">
      <w:pPr>
        <w:spacing w:after="0" w:line="240" w:lineRule="auto"/>
        <w:jc w:val="both"/>
        <w:rPr>
          <w:rFonts w:ascii="Verdana" w:eastAsia="Verdana" w:hAnsi="Verdana" w:cs="Verdana"/>
        </w:rPr>
      </w:pPr>
    </w:p>
    <w:p w14:paraId="4C0F309F" w14:textId="77777777" w:rsidR="00EF6419" w:rsidRDefault="00EF6419" w:rsidP="002468F0">
      <w:pPr>
        <w:spacing w:after="0" w:line="240" w:lineRule="auto"/>
        <w:jc w:val="both"/>
        <w:rPr>
          <w:rFonts w:ascii="Verdana" w:eastAsia="Verdana" w:hAnsi="Verdana" w:cs="Verdana"/>
        </w:rPr>
      </w:pPr>
    </w:p>
    <w:p w14:paraId="2F13FC97" w14:textId="77777777" w:rsidR="00EF6419" w:rsidRDefault="00EF6419" w:rsidP="002468F0">
      <w:pPr>
        <w:spacing w:after="0" w:line="240" w:lineRule="auto"/>
        <w:jc w:val="both"/>
        <w:rPr>
          <w:rFonts w:ascii="Verdana" w:eastAsia="Verdana" w:hAnsi="Verdana" w:cs="Verdana"/>
        </w:rPr>
      </w:pPr>
    </w:p>
    <w:p w14:paraId="1779440F" w14:textId="77777777" w:rsidR="00EF6419" w:rsidRDefault="00EF6419" w:rsidP="002468F0">
      <w:pPr>
        <w:spacing w:after="0" w:line="240" w:lineRule="auto"/>
        <w:jc w:val="both"/>
        <w:rPr>
          <w:rFonts w:ascii="Verdana" w:eastAsia="Verdana" w:hAnsi="Verdana" w:cs="Verdana"/>
        </w:rPr>
      </w:pPr>
    </w:p>
    <w:p w14:paraId="5A174A42" w14:textId="79B220B4" w:rsidR="0034419C" w:rsidRDefault="0034419C" w:rsidP="0034419C">
      <w:pPr>
        <w:spacing w:after="0" w:line="240" w:lineRule="auto"/>
        <w:jc w:val="both"/>
      </w:pPr>
      <w:r w:rsidRPr="0034419C">
        <w:lastRenderedPageBreak/>
        <w:t xml:space="preserve">Bogotá D.C., 08 </w:t>
      </w:r>
      <w:r w:rsidRPr="0034419C">
        <w:t>octubre</w:t>
      </w:r>
      <w:r w:rsidRPr="0034419C">
        <w:t xml:space="preserve"> 2026</w:t>
      </w:r>
      <w:r w:rsidR="002468F0">
        <w:tab/>
      </w:r>
    </w:p>
    <w:p w14:paraId="45735E02" w14:textId="0EF14CAD" w:rsidR="002468F0" w:rsidRPr="00702F1D" w:rsidRDefault="00AE1DDA" w:rsidP="0034419C">
      <w:pPr>
        <w:spacing w:after="0" w:line="240" w:lineRule="auto"/>
        <w:jc w:val="both"/>
      </w:pPr>
      <w:r>
        <w:t xml:space="preserve">                                                                                         </w:t>
      </w:r>
      <w:r w:rsidR="0034419C">
        <w:t xml:space="preserve">              </w:t>
      </w:r>
      <w:r w:rsidRPr="00AE1DDA">
        <w:rPr>
          <w:noProof/>
        </w:rPr>
        <w:drawing>
          <wp:inline distT="0" distB="0" distL="0" distR="0" wp14:anchorId="1F9E6CC8" wp14:editId="5B31ACC5">
            <wp:extent cx="2019300" cy="559317"/>
            <wp:effectExtent l="0" t="0" r="0" b="0"/>
            <wp:docPr id="3437537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35110" cy="563696"/>
                    </a:xfrm>
                    <a:prstGeom prst="rect">
                      <a:avLst/>
                    </a:prstGeom>
                    <a:noFill/>
                    <a:ln>
                      <a:noFill/>
                    </a:ln>
                  </pic:spPr>
                </pic:pic>
              </a:graphicData>
            </a:graphic>
          </wp:inline>
        </w:drawing>
      </w:r>
    </w:p>
    <w:p w14:paraId="75EA4FEF" w14:textId="77777777" w:rsidR="002468F0" w:rsidRDefault="002468F0" w:rsidP="002468F0">
      <w:pPr>
        <w:spacing w:after="0" w:line="240" w:lineRule="auto"/>
        <w:jc w:val="both"/>
        <w:rPr>
          <w:rFonts w:ascii="Verdana" w:eastAsia="Calibri" w:hAnsi="Verdana" w:cs="Arial"/>
          <w:b/>
          <w:bCs/>
          <w:lang w:eastAsia="es-ES"/>
        </w:rPr>
      </w:pPr>
      <w:bookmarkStart w:id="1" w:name="_Hlk214366482"/>
      <w:r>
        <w:rPr>
          <w:rFonts w:ascii="Verdana" w:eastAsia="Calibri" w:hAnsi="Verdana" w:cs="Arial"/>
          <w:b/>
          <w:bCs/>
          <w:lang w:eastAsia="es-ES"/>
        </w:rPr>
        <w:t>Señora</w:t>
      </w:r>
    </w:p>
    <w:p w14:paraId="39098287" w14:textId="77777777" w:rsidR="002468F0" w:rsidRDefault="002468F0" w:rsidP="002468F0">
      <w:pPr>
        <w:spacing w:after="0" w:line="240" w:lineRule="auto"/>
        <w:jc w:val="both"/>
        <w:rPr>
          <w:rFonts w:ascii="Verdana" w:eastAsia="Calibri" w:hAnsi="Verdana" w:cs="Arial"/>
          <w:b/>
          <w:bCs/>
          <w:lang w:eastAsia="es-ES"/>
        </w:rPr>
      </w:pPr>
      <w:r w:rsidRPr="00DD4EF5">
        <w:rPr>
          <w:rFonts w:ascii="Verdana" w:eastAsia="Calibri" w:hAnsi="Verdana" w:cs="Arial"/>
          <w:b/>
          <w:bCs/>
          <w:lang w:eastAsia="es-ES"/>
        </w:rPr>
        <w:t>ESTEFANY</w:t>
      </w:r>
      <w:r>
        <w:rPr>
          <w:rFonts w:ascii="Verdana" w:eastAsia="Calibri" w:hAnsi="Verdana" w:cs="Arial"/>
          <w:b/>
          <w:bCs/>
          <w:lang w:eastAsia="es-ES"/>
        </w:rPr>
        <w:t xml:space="preserve"> RICAURTE</w:t>
      </w:r>
    </w:p>
    <w:p w14:paraId="3CE154E0" w14:textId="77777777" w:rsidR="002468F0" w:rsidRPr="00DD4EF5" w:rsidRDefault="002468F0" w:rsidP="002468F0">
      <w:pPr>
        <w:spacing w:after="0" w:line="240" w:lineRule="auto"/>
        <w:jc w:val="both"/>
        <w:rPr>
          <w:rFonts w:ascii="Verdana" w:eastAsia="Calibri" w:hAnsi="Verdana" w:cs="Arial"/>
          <w:lang w:eastAsia="es-ES"/>
        </w:rPr>
      </w:pPr>
      <w:hyperlink r:id="rId11" w:history="1">
        <w:r w:rsidRPr="00DD4EF5">
          <w:rPr>
            <w:rStyle w:val="Hipervnculo"/>
            <w:rFonts w:ascii="Verdana" w:eastAsia="Calibri" w:hAnsi="Verdana" w:cs="Arial"/>
            <w:color w:val="auto"/>
            <w:u w:val="none"/>
            <w:lang w:eastAsia="es-ES"/>
          </w:rPr>
          <w:t>estefaniiyricaurt@gmail.com</w:t>
        </w:r>
      </w:hyperlink>
    </w:p>
    <w:p w14:paraId="2B81FB6E" w14:textId="77777777" w:rsidR="002468F0" w:rsidRPr="00DD4EF5" w:rsidRDefault="002468F0" w:rsidP="002468F0">
      <w:pPr>
        <w:spacing w:after="0" w:line="240" w:lineRule="auto"/>
        <w:jc w:val="both"/>
        <w:rPr>
          <w:rFonts w:ascii="Verdana" w:eastAsia="Calibri" w:hAnsi="Verdana" w:cs="Arial"/>
          <w:lang w:eastAsia="es-ES"/>
        </w:rPr>
      </w:pPr>
      <w:r w:rsidRPr="00DD4EF5">
        <w:rPr>
          <w:rFonts w:ascii="Verdana" w:eastAsia="Calibri" w:hAnsi="Verdana" w:cs="Arial"/>
          <w:lang w:eastAsia="es-ES"/>
        </w:rPr>
        <w:t>Ciudad</w:t>
      </w:r>
    </w:p>
    <w:p w14:paraId="34976D93" w14:textId="77777777" w:rsidR="002468F0" w:rsidRDefault="002468F0" w:rsidP="002468F0">
      <w:pPr>
        <w:spacing w:after="0" w:line="240" w:lineRule="auto"/>
        <w:jc w:val="both"/>
        <w:rPr>
          <w:rFonts w:ascii="Verdana" w:eastAsia="Calibri" w:hAnsi="Verdana" w:cs="Arial"/>
          <w:b/>
          <w:bCs/>
          <w:lang w:eastAsia="es-ES"/>
        </w:rPr>
      </w:pPr>
    </w:p>
    <w:tbl>
      <w:tblPr>
        <w:tblW w:w="5300" w:type="dxa"/>
        <w:tblCellMar>
          <w:top w:w="15" w:type="dxa"/>
          <w:left w:w="70" w:type="dxa"/>
          <w:bottom w:w="15" w:type="dxa"/>
          <w:right w:w="70" w:type="dxa"/>
        </w:tblCellMar>
        <w:tblLook w:val="04A0" w:firstRow="1" w:lastRow="0" w:firstColumn="1" w:lastColumn="0" w:noHBand="0" w:noVBand="1"/>
      </w:tblPr>
      <w:tblGrid>
        <w:gridCol w:w="5300"/>
      </w:tblGrid>
      <w:tr w:rsidR="002468F0" w:rsidRPr="00702F1D" w14:paraId="0A85F0BB" w14:textId="77777777" w:rsidTr="00A657E1">
        <w:trPr>
          <w:trHeight w:val="435"/>
        </w:trPr>
        <w:tc>
          <w:tcPr>
            <w:tcW w:w="5300" w:type="dxa"/>
            <w:tcBorders>
              <w:top w:val="nil"/>
              <w:left w:val="nil"/>
              <w:bottom w:val="nil"/>
              <w:right w:val="nil"/>
            </w:tcBorders>
            <w:noWrap/>
            <w:vAlign w:val="center"/>
            <w:hideMark/>
          </w:tcPr>
          <w:p w14:paraId="3053663D" w14:textId="77777777" w:rsidR="002468F0" w:rsidRPr="00702F1D" w:rsidRDefault="002468F0" w:rsidP="00A657E1">
            <w:pPr>
              <w:spacing w:after="0" w:line="240" w:lineRule="auto"/>
              <w:rPr>
                <w:rFonts w:ascii="Verdana" w:eastAsia="Times New Roman" w:hAnsi="Verdana" w:cs="Calibri"/>
                <w:color w:val="0563C1"/>
                <w:u w:val="single"/>
                <w:lang w:eastAsia="es-CO"/>
              </w:rPr>
            </w:pPr>
          </w:p>
        </w:tc>
      </w:tr>
    </w:tbl>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2468F0" w:rsidRPr="005644FE" w14:paraId="39E5E062" w14:textId="77777777" w:rsidTr="00A657E1">
        <w:trPr>
          <w:trHeight w:val="162"/>
        </w:trPr>
        <w:tc>
          <w:tcPr>
            <w:tcW w:w="3119" w:type="dxa"/>
          </w:tcPr>
          <w:p w14:paraId="4F70DCBF" w14:textId="77777777" w:rsidR="002468F0" w:rsidRPr="007F2AEC" w:rsidRDefault="002468F0" w:rsidP="00A657E1">
            <w:pPr>
              <w:jc w:val="both"/>
              <w:rPr>
                <w:rFonts w:ascii="Verdana" w:eastAsia="Calibri" w:hAnsi="Verdana" w:cs="Arial"/>
                <w:b/>
                <w:bCs/>
                <w:color w:val="7030A0"/>
                <w:lang w:eastAsia="es-ES_tradnl"/>
              </w:rPr>
            </w:pPr>
          </w:p>
        </w:tc>
        <w:tc>
          <w:tcPr>
            <w:tcW w:w="5670" w:type="dxa"/>
          </w:tcPr>
          <w:p w14:paraId="37D168AC" w14:textId="77777777" w:rsidR="002468F0" w:rsidRPr="005644FE" w:rsidRDefault="002468F0" w:rsidP="00A657E1">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w:t>
            </w:r>
            <w:r>
              <w:rPr>
                <w:rFonts w:ascii="Verdana" w:eastAsia="Calibri" w:hAnsi="Verdana" w:cs="Arial"/>
                <w:b/>
                <w:bCs/>
                <w:lang w:eastAsia="es-ES"/>
              </w:rPr>
              <w:t>1403 de 2026</w:t>
            </w:r>
          </w:p>
          <w:p w14:paraId="77A96DCA" w14:textId="77777777" w:rsidR="002468F0" w:rsidRPr="005644FE" w:rsidRDefault="002468F0" w:rsidP="00A657E1">
            <w:pPr>
              <w:jc w:val="both"/>
              <w:rPr>
                <w:rFonts w:ascii="Verdana" w:eastAsia="Calibri" w:hAnsi="Verdana" w:cs="Arial"/>
                <w:b/>
                <w:bCs/>
                <w:color w:val="7030A0"/>
                <w:lang w:eastAsia="es-ES"/>
              </w:rPr>
            </w:pPr>
          </w:p>
        </w:tc>
      </w:tr>
      <w:tr w:rsidR="002468F0" w:rsidRPr="005644FE" w14:paraId="489FB349" w14:textId="77777777" w:rsidTr="00A657E1">
        <w:trPr>
          <w:trHeight w:val="884"/>
        </w:trPr>
        <w:tc>
          <w:tcPr>
            <w:tcW w:w="3119" w:type="dxa"/>
          </w:tcPr>
          <w:p w14:paraId="42DDEF23" w14:textId="77777777" w:rsidR="002468F0" w:rsidRPr="005644FE" w:rsidRDefault="002468F0" w:rsidP="00A657E1">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572BDBE5" w14:textId="77777777" w:rsidR="002468F0" w:rsidRPr="00740C59" w:rsidRDefault="002468F0" w:rsidP="00A657E1">
            <w:pPr>
              <w:spacing w:after="120" w:line="276" w:lineRule="auto"/>
              <w:jc w:val="both"/>
              <w:rPr>
                <w:rFonts w:ascii="Verdana" w:eastAsia="Calibri" w:hAnsi="Verdana" w:cs="Arial"/>
                <w:lang w:val="es-ES" w:eastAsia="es-ES"/>
              </w:rPr>
            </w:pPr>
            <w:r>
              <w:rPr>
                <w:rFonts w:ascii="Verdana" w:eastAsia="Calibri" w:hAnsi="Verdana" w:cs="Arial"/>
                <w:lang w:val="es-ES" w:eastAsia="es-ES"/>
              </w:rPr>
              <w:t>PLAN ANUAL DE ADQUISICIONES – Alcance – Finalidad – PLAN ANUAL DE ADQUISICIONES – Publicación – Entidades obligadas / PLAN ANUAL DE ADQUISICIONES</w:t>
            </w:r>
          </w:p>
        </w:tc>
      </w:tr>
      <w:tr w:rsidR="002468F0" w:rsidRPr="005644FE" w14:paraId="5F08B02B" w14:textId="77777777" w:rsidTr="00A657E1">
        <w:tc>
          <w:tcPr>
            <w:tcW w:w="3119" w:type="dxa"/>
          </w:tcPr>
          <w:p w14:paraId="31ADE238" w14:textId="77777777" w:rsidR="002468F0" w:rsidRPr="005644FE" w:rsidRDefault="002468F0" w:rsidP="00A657E1">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76CC4AFE" w14:textId="77777777" w:rsidR="002468F0" w:rsidRPr="00DD4EF5" w:rsidRDefault="002468F0" w:rsidP="00A657E1">
            <w:pPr>
              <w:jc w:val="both"/>
              <w:rPr>
                <w:rFonts w:ascii="Verdana" w:eastAsia="Calibri" w:hAnsi="Verdana" w:cs="Arial"/>
                <w:lang w:eastAsia="es-ES"/>
              </w:rPr>
            </w:pPr>
            <w:r w:rsidRPr="74C89D8F">
              <w:rPr>
                <w:rFonts w:ascii="Verdana" w:eastAsia="Calibri" w:hAnsi="Verdana" w:cs="Arial"/>
                <w:lang w:eastAsia="es-ES"/>
              </w:rPr>
              <w:t>Respuesta a consulta con radicado</w:t>
            </w:r>
            <w:r>
              <w:rPr>
                <w:rFonts w:ascii="Verdana" w:eastAsia="Calibri" w:hAnsi="Verdana" w:cs="Arial"/>
                <w:lang w:eastAsia="es-ES"/>
              </w:rPr>
              <w:t xml:space="preserve"> </w:t>
            </w:r>
            <w:r>
              <w:rPr>
                <w:rFonts w:ascii="Verdana" w:hAnsi="Verdana" w:cs="Calibri"/>
                <w:color w:val="000000"/>
              </w:rPr>
              <w:t>1_2026_09_07_011885</w:t>
            </w:r>
          </w:p>
          <w:p w14:paraId="1665EB83" w14:textId="77777777" w:rsidR="002468F0" w:rsidRPr="00F04657" w:rsidRDefault="002468F0" w:rsidP="00A657E1">
            <w:pPr>
              <w:jc w:val="both"/>
              <w:rPr>
                <w:rFonts w:ascii="Verdana" w:eastAsia="Calibri" w:hAnsi="Verdana" w:cs="Arial"/>
                <w:lang w:eastAsia="es-ES"/>
              </w:rPr>
            </w:pPr>
          </w:p>
        </w:tc>
      </w:tr>
    </w:tbl>
    <w:p w14:paraId="6B5B4892" w14:textId="77777777" w:rsidR="002468F0" w:rsidRPr="005644FE" w:rsidRDefault="002468F0" w:rsidP="002468F0">
      <w:pPr>
        <w:spacing w:after="0" w:line="276" w:lineRule="auto"/>
        <w:jc w:val="both"/>
        <w:rPr>
          <w:rFonts w:ascii="Verdana" w:eastAsia="Calibri" w:hAnsi="Verdana" w:cs="Arial"/>
          <w:lang w:eastAsia="es-ES_tradnl"/>
        </w:rPr>
      </w:pPr>
      <w:r>
        <w:rPr>
          <w:rFonts w:ascii="Verdana" w:eastAsia="Calibri" w:hAnsi="Verdana" w:cs="Arial"/>
          <w:lang w:eastAsia="es-ES_tradnl"/>
        </w:rPr>
        <w:t xml:space="preserve"> </w:t>
      </w:r>
    </w:p>
    <w:p w14:paraId="27FBF8E9" w14:textId="77777777" w:rsidR="002468F0" w:rsidRPr="005644FE" w:rsidRDefault="002468F0" w:rsidP="002468F0">
      <w:pPr>
        <w:spacing w:after="0" w:line="276" w:lineRule="auto"/>
        <w:jc w:val="both"/>
        <w:rPr>
          <w:rFonts w:ascii="Verdana" w:eastAsia="Calibri" w:hAnsi="Verdana" w:cs="Arial"/>
          <w:lang w:eastAsia="es-ES"/>
        </w:rPr>
      </w:pPr>
      <w:r>
        <w:rPr>
          <w:rFonts w:ascii="Verdana" w:eastAsia="Calibri" w:hAnsi="Verdana" w:cs="Arial"/>
          <w:lang w:eastAsia="es-ES"/>
        </w:rPr>
        <w:t xml:space="preserve">Estimada señora Ricaurte: </w:t>
      </w:r>
    </w:p>
    <w:p w14:paraId="0888BD78" w14:textId="77777777" w:rsidR="002468F0" w:rsidRPr="00E02524" w:rsidRDefault="002468F0" w:rsidP="002468F0">
      <w:pPr>
        <w:spacing w:after="0" w:line="240" w:lineRule="auto"/>
        <w:jc w:val="both"/>
        <w:rPr>
          <w:rFonts w:ascii="Verdana" w:hAnsi="Verdana"/>
          <w:lang w:val="es-MX"/>
        </w:rPr>
      </w:pPr>
    </w:p>
    <w:p w14:paraId="00D94844" w14:textId="279BD934" w:rsidR="002468F0" w:rsidRDefault="002468F0" w:rsidP="002468F0">
      <w:pPr>
        <w:spacing w:after="120" w:line="276" w:lineRule="auto"/>
        <w:jc w:val="both"/>
        <w:rPr>
          <w:rFonts w:ascii="Verdana" w:hAnsi="Verdana"/>
        </w:rPr>
      </w:pPr>
      <w:r w:rsidRPr="0084712D">
        <w:rPr>
          <w:rFonts w:ascii="Verdana" w:hAnsi="Verdana"/>
        </w:rPr>
        <w:t xml:space="preserve">La Agencia Nacional de Contratación Pública – Colombia Compra Eficiente –, en ejercicio de las competencias otorgadas por los artículos 3, numeral 5º, y 11, numeral 8º, del Decreto Ley 4170 de 2011 y de conformidad con las modalidades del derecho de petición contempladas en la Ley 1755 de 2015 y en la resolución </w:t>
      </w:r>
      <w:proofErr w:type="spellStart"/>
      <w:r w:rsidRPr="0084712D">
        <w:rPr>
          <w:rFonts w:ascii="Verdana" w:hAnsi="Verdana"/>
        </w:rPr>
        <w:t>N°</w:t>
      </w:r>
      <w:proofErr w:type="spellEnd"/>
      <w:r w:rsidRPr="0084712D">
        <w:rPr>
          <w:rFonts w:ascii="Verdana" w:hAnsi="Verdana"/>
        </w:rPr>
        <w:t xml:space="preserve"> 469 del 2025 expedida por esta Agencia, responde la</w:t>
      </w:r>
      <w:r>
        <w:rPr>
          <w:rFonts w:ascii="Verdana" w:hAnsi="Verdana"/>
        </w:rPr>
        <w:t xml:space="preserve"> </w:t>
      </w:r>
      <w:r w:rsidRPr="0084712D">
        <w:rPr>
          <w:rFonts w:ascii="Verdana" w:hAnsi="Verdana"/>
        </w:rPr>
        <w:t xml:space="preserve">solicitud de consulta de </w:t>
      </w:r>
      <w:proofErr w:type="gramStart"/>
      <w:r w:rsidRPr="0084712D">
        <w:rPr>
          <w:rFonts w:ascii="Verdana" w:hAnsi="Verdana"/>
        </w:rPr>
        <w:t xml:space="preserve">fecha </w:t>
      </w:r>
      <w:r>
        <w:rPr>
          <w:rFonts w:ascii="Verdana" w:hAnsi="Verdana"/>
        </w:rPr>
        <w:t xml:space="preserve"> 7</w:t>
      </w:r>
      <w:proofErr w:type="gramEnd"/>
      <w:r>
        <w:rPr>
          <w:rFonts w:ascii="Verdana" w:hAnsi="Verdana"/>
        </w:rPr>
        <w:t xml:space="preserve"> de </w:t>
      </w:r>
      <w:r w:rsidR="00643F49">
        <w:rPr>
          <w:rFonts w:ascii="Verdana" w:hAnsi="Verdana"/>
        </w:rPr>
        <w:t>septiembre</w:t>
      </w:r>
      <w:r>
        <w:rPr>
          <w:rFonts w:ascii="Verdana" w:hAnsi="Verdana"/>
        </w:rPr>
        <w:t xml:space="preserve"> </w:t>
      </w:r>
      <w:r w:rsidRPr="0084712D">
        <w:rPr>
          <w:rFonts w:ascii="Verdana" w:hAnsi="Verdana"/>
        </w:rPr>
        <w:t>de 2026, en la cual manifiesta lo siguiente:</w:t>
      </w:r>
    </w:p>
    <w:p w14:paraId="2AB5F780" w14:textId="77777777" w:rsidR="002468F0" w:rsidRDefault="002468F0" w:rsidP="002468F0">
      <w:pPr>
        <w:spacing w:after="120" w:line="276" w:lineRule="auto"/>
        <w:jc w:val="both"/>
        <w:rPr>
          <w:rFonts w:ascii="Verdana" w:hAnsi="Verdana"/>
        </w:rPr>
      </w:pPr>
    </w:p>
    <w:p w14:paraId="21E4B614" w14:textId="77777777" w:rsidR="002468F0" w:rsidRPr="00DD4EF5" w:rsidRDefault="002468F0" w:rsidP="002468F0">
      <w:pPr>
        <w:spacing w:after="120" w:line="276" w:lineRule="auto"/>
        <w:jc w:val="both"/>
        <w:rPr>
          <w:rFonts w:ascii="Verdana" w:hAnsi="Verdana"/>
        </w:rPr>
      </w:pPr>
      <w:r w:rsidRPr="00DD4EF5">
        <w:rPr>
          <w:rFonts w:ascii="Verdana" w:hAnsi="Verdana"/>
        </w:rPr>
        <w:t> Cordial saludo.</w:t>
      </w:r>
    </w:p>
    <w:p w14:paraId="5E29F4AB" w14:textId="77777777" w:rsidR="002468F0" w:rsidRDefault="002468F0" w:rsidP="002468F0">
      <w:pPr>
        <w:spacing w:after="0" w:line="240" w:lineRule="auto"/>
        <w:ind w:left="709" w:right="709"/>
        <w:jc w:val="both"/>
        <w:rPr>
          <w:rFonts w:ascii="Verdana" w:hAnsi="Verdana"/>
          <w:sz w:val="20"/>
          <w:szCs w:val="20"/>
        </w:rPr>
      </w:pPr>
      <w:r>
        <w:rPr>
          <w:rFonts w:ascii="Verdana" w:hAnsi="Verdana"/>
          <w:sz w:val="20"/>
          <w:szCs w:val="20"/>
        </w:rPr>
        <w:t>“</w:t>
      </w:r>
      <w:r w:rsidRPr="00DD4EF5">
        <w:rPr>
          <w:rFonts w:ascii="Verdana" w:hAnsi="Verdana"/>
          <w:sz w:val="20"/>
          <w:szCs w:val="20"/>
        </w:rPr>
        <w:t>Amablemente solicito su orientación frente a la siguiente inquietud:</w:t>
      </w:r>
    </w:p>
    <w:p w14:paraId="0A9C2CB0" w14:textId="77777777" w:rsidR="002468F0" w:rsidRPr="00DD4EF5" w:rsidRDefault="002468F0" w:rsidP="002468F0">
      <w:pPr>
        <w:spacing w:after="0" w:line="240" w:lineRule="auto"/>
        <w:ind w:left="709" w:right="709"/>
        <w:jc w:val="both"/>
        <w:rPr>
          <w:rFonts w:ascii="Verdana" w:hAnsi="Verdana"/>
          <w:sz w:val="20"/>
          <w:szCs w:val="20"/>
        </w:rPr>
      </w:pPr>
    </w:p>
    <w:p w14:paraId="246B0E97" w14:textId="77777777" w:rsidR="002468F0" w:rsidRDefault="002468F0" w:rsidP="002468F0">
      <w:pPr>
        <w:spacing w:after="0" w:line="240" w:lineRule="auto"/>
        <w:ind w:left="709" w:right="709"/>
        <w:jc w:val="both"/>
        <w:rPr>
          <w:rFonts w:ascii="Verdana" w:hAnsi="Verdana"/>
          <w:sz w:val="20"/>
          <w:szCs w:val="20"/>
        </w:rPr>
      </w:pPr>
      <w:r w:rsidRPr="00DD4EF5">
        <w:rPr>
          <w:rFonts w:ascii="Verdana" w:hAnsi="Verdana"/>
          <w:sz w:val="20"/>
          <w:szCs w:val="20"/>
        </w:rPr>
        <w:t>Si una entidad hipotética cuenta con un presupuesto anual de cincuenta millones de pesos ($50.000.000), ¿significa esto que debe registrar en su Plan Anual de Adquisiciones la totalidad de esos recursos como adquisiciones de bienes, obras y servicios?</w:t>
      </w:r>
    </w:p>
    <w:p w14:paraId="3A1B889A" w14:textId="77777777" w:rsidR="002468F0" w:rsidRPr="00DD4EF5" w:rsidRDefault="002468F0" w:rsidP="002468F0">
      <w:pPr>
        <w:spacing w:after="0" w:line="240" w:lineRule="auto"/>
        <w:ind w:left="709" w:right="709"/>
        <w:jc w:val="both"/>
        <w:rPr>
          <w:rFonts w:ascii="Verdana" w:hAnsi="Verdana"/>
          <w:sz w:val="20"/>
          <w:szCs w:val="20"/>
        </w:rPr>
      </w:pPr>
    </w:p>
    <w:p w14:paraId="4D545C4D" w14:textId="77777777" w:rsidR="002468F0" w:rsidRDefault="002468F0" w:rsidP="002468F0">
      <w:pPr>
        <w:spacing w:after="0" w:line="240" w:lineRule="auto"/>
        <w:ind w:left="709" w:right="709"/>
        <w:jc w:val="both"/>
        <w:rPr>
          <w:rFonts w:ascii="Verdana" w:hAnsi="Verdana"/>
          <w:sz w:val="20"/>
          <w:szCs w:val="20"/>
        </w:rPr>
      </w:pPr>
      <w:r w:rsidRPr="00DD4EF5">
        <w:rPr>
          <w:rFonts w:ascii="Verdana" w:hAnsi="Verdana"/>
          <w:sz w:val="20"/>
          <w:szCs w:val="20"/>
        </w:rPr>
        <w:lastRenderedPageBreak/>
        <w:t>O, por el contrario, ¿es posible que una parte del presupuesto se destine a gastos de funcionamiento y que, por tanto, no sea necesario registrar la totalidad de los $50.000.000 en el Plan Anual de Adquisiciones como compras o contrataciones?</w:t>
      </w:r>
    </w:p>
    <w:p w14:paraId="3865E671" w14:textId="77777777" w:rsidR="002468F0" w:rsidRPr="00DD4EF5" w:rsidRDefault="002468F0" w:rsidP="002468F0">
      <w:pPr>
        <w:spacing w:after="0" w:line="240" w:lineRule="auto"/>
        <w:ind w:left="709" w:right="709"/>
        <w:jc w:val="both"/>
        <w:rPr>
          <w:rFonts w:ascii="Verdana" w:hAnsi="Verdana"/>
          <w:sz w:val="20"/>
          <w:szCs w:val="20"/>
        </w:rPr>
      </w:pPr>
    </w:p>
    <w:p w14:paraId="3846492E" w14:textId="77777777" w:rsidR="002468F0" w:rsidRDefault="002468F0" w:rsidP="002468F0">
      <w:pPr>
        <w:spacing w:after="0" w:line="240" w:lineRule="auto"/>
        <w:ind w:left="709" w:right="709"/>
        <w:jc w:val="both"/>
        <w:rPr>
          <w:rFonts w:ascii="Verdana" w:hAnsi="Verdana"/>
          <w:sz w:val="20"/>
          <w:szCs w:val="20"/>
        </w:rPr>
      </w:pPr>
      <w:r w:rsidRPr="00DD4EF5">
        <w:rPr>
          <w:rFonts w:ascii="Verdana" w:hAnsi="Verdana"/>
          <w:sz w:val="20"/>
          <w:szCs w:val="20"/>
        </w:rPr>
        <w:t>En ese sentido, agradecería precisar si el PAA debe reflejar la totalidad del presupuesto asignado a la entidad o únicamente los recursos que efectivamente se proyectan utilizar para la adquisición de bienes, obras y servicios durante la vigencia.</w:t>
      </w:r>
    </w:p>
    <w:p w14:paraId="7B72322A" w14:textId="77777777" w:rsidR="002468F0" w:rsidRPr="00DD4EF5" w:rsidRDefault="002468F0" w:rsidP="002468F0">
      <w:pPr>
        <w:spacing w:after="0" w:line="240" w:lineRule="auto"/>
        <w:ind w:left="709" w:right="709"/>
        <w:jc w:val="both"/>
        <w:rPr>
          <w:rFonts w:ascii="Verdana" w:hAnsi="Verdana"/>
          <w:sz w:val="20"/>
          <w:szCs w:val="20"/>
        </w:rPr>
      </w:pPr>
    </w:p>
    <w:p w14:paraId="55CDB919" w14:textId="5979C5CE" w:rsidR="002468F0" w:rsidRDefault="002468F0" w:rsidP="00643F49">
      <w:pPr>
        <w:spacing w:after="0" w:line="240" w:lineRule="auto"/>
        <w:ind w:left="709" w:right="709"/>
        <w:jc w:val="both"/>
        <w:rPr>
          <w:rFonts w:ascii="Verdana" w:hAnsi="Verdana"/>
          <w:sz w:val="20"/>
          <w:szCs w:val="20"/>
        </w:rPr>
      </w:pPr>
      <w:r w:rsidRPr="00DD4EF5">
        <w:rPr>
          <w:rFonts w:ascii="Verdana" w:hAnsi="Verdana"/>
          <w:sz w:val="20"/>
          <w:szCs w:val="20"/>
        </w:rPr>
        <w:t>Finalmente, quisiera saber cómo deben contemplarse o registrarse los recursos destinados a gastos de funcionamiento que no correspondan a adquisiciones de bienes, obras y servicios.</w:t>
      </w:r>
      <w:r>
        <w:rPr>
          <w:rFonts w:ascii="Verdana" w:hAnsi="Verdana"/>
          <w:sz w:val="20"/>
          <w:szCs w:val="20"/>
        </w:rPr>
        <w:t>”</w:t>
      </w:r>
      <w:r w:rsidRPr="00CD5FF1">
        <w:rPr>
          <w:rFonts w:ascii="Verdana" w:hAnsi="Verdana"/>
          <w:sz w:val="20"/>
          <w:szCs w:val="20"/>
        </w:rPr>
        <w:br/>
      </w:r>
    </w:p>
    <w:p w14:paraId="5042C60E" w14:textId="77777777" w:rsidR="002468F0" w:rsidRPr="00647D77" w:rsidRDefault="002468F0" w:rsidP="002468F0">
      <w:pPr>
        <w:spacing w:after="0" w:line="240" w:lineRule="auto"/>
        <w:ind w:right="709"/>
        <w:jc w:val="both"/>
        <w:rPr>
          <w:rFonts w:ascii="Verdana" w:hAnsi="Verdana"/>
        </w:rPr>
      </w:pPr>
    </w:p>
    <w:p w14:paraId="2CB4D5FD" w14:textId="77777777" w:rsidR="002468F0" w:rsidRPr="00F64722" w:rsidRDefault="002468F0" w:rsidP="002468F0">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color w:val="000000"/>
          <w:lang w:eastAsia="es-ES"/>
        </w:rPr>
        <w:t xml:space="preserve">la Agencia Nacional de Contratación Pública - </w:t>
      </w:r>
      <w:r w:rsidRPr="005644FE">
        <w:rPr>
          <w:rFonts w:ascii="Verdana" w:eastAsia="Calibri" w:hAnsi="Verdana" w:cs="Arial"/>
          <w:color w:val="000000"/>
          <w:lang w:eastAsia="es-ES"/>
        </w:rPr>
        <w:t xml:space="preserve">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08208A7" w14:textId="77777777" w:rsidR="002468F0" w:rsidRPr="001B7256" w:rsidRDefault="002468F0" w:rsidP="002468F0">
      <w:pPr>
        <w:spacing w:after="120" w:line="276" w:lineRule="auto"/>
        <w:ind w:firstLine="709"/>
        <w:jc w:val="both"/>
        <w:rPr>
          <w:rFonts w:ascii="Verdana" w:eastAsia="Calibri" w:hAnsi="Verdana" w:cs="Arial"/>
          <w:lang w:eastAsia="es-ES"/>
        </w:rPr>
      </w:pPr>
      <w:r w:rsidRPr="00B75E8F">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w:t>
      </w:r>
      <w:r w:rsidRPr="001B7256">
        <w:rPr>
          <w:rFonts w:ascii="Verdana" w:eastAsia="Calibri" w:hAnsi="Verdana" w:cs="Arial"/>
          <w:color w:val="000000"/>
          <w:lang w:eastAsia="es-ES"/>
        </w:rPr>
        <w:t xml:space="preserve">es, haciendo abstracción del caso particular y concreto señalado en su </w:t>
      </w:r>
      <w:proofErr w:type="gramStart"/>
      <w:r w:rsidRPr="001B7256">
        <w:rPr>
          <w:rFonts w:ascii="Verdana" w:eastAsia="Calibri" w:hAnsi="Verdana" w:cs="Arial"/>
          <w:color w:val="000000"/>
          <w:lang w:eastAsia="es-ES"/>
        </w:rPr>
        <w:t>petición</w:t>
      </w:r>
      <w:proofErr w:type="gramEnd"/>
      <w:r w:rsidRPr="001B7256">
        <w:rPr>
          <w:rFonts w:ascii="Verdana" w:eastAsia="Calibri" w:hAnsi="Verdana" w:cs="Arial"/>
          <w:color w:val="000000"/>
          <w:lang w:eastAsia="es-ES"/>
        </w:rPr>
        <w:t xml:space="preserve"> pero señalando algunas consideraciones sobre las normas generales relacionadas a los problemas jurídicos de su consulta.</w:t>
      </w:r>
      <w:r w:rsidRPr="001B7256">
        <w:rPr>
          <w:rFonts w:ascii="Verdana" w:eastAsia="Calibri" w:hAnsi="Verdana" w:cs="Arial"/>
          <w:lang w:eastAsia="es-ES"/>
        </w:rPr>
        <w:t xml:space="preserve">  </w:t>
      </w:r>
    </w:p>
    <w:p w14:paraId="0792BBEC" w14:textId="77777777" w:rsidR="002468F0" w:rsidRPr="001B7256" w:rsidRDefault="002468F0" w:rsidP="002468F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B7256">
        <w:rPr>
          <w:rFonts w:ascii="Verdana" w:eastAsia="Century Gothic" w:hAnsi="Verdana" w:cs="Century Gothic"/>
          <w:b/>
          <w:bCs/>
        </w:rPr>
        <w:t>Problema planteado:</w:t>
      </w:r>
    </w:p>
    <w:p w14:paraId="23400AA1" w14:textId="77777777" w:rsidR="002468F0" w:rsidRPr="001B7256" w:rsidRDefault="002468F0" w:rsidP="002468F0">
      <w:pPr>
        <w:spacing w:after="0" w:line="240" w:lineRule="auto"/>
        <w:jc w:val="both"/>
        <w:rPr>
          <w:rFonts w:ascii="Verdana" w:eastAsia="Calibri" w:hAnsi="Verdana" w:cs="Arial"/>
          <w:color w:val="000000"/>
          <w:lang w:eastAsia="es-ES"/>
        </w:rPr>
      </w:pPr>
    </w:p>
    <w:p w14:paraId="6AE4774F" w14:textId="77777777" w:rsidR="002468F0" w:rsidRDefault="002468F0" w:rsidP="002468F0">
      <w:pPr>
        <w:spacing w:after="0" w:line="276" w:lineRule="auto"/>
        <w:jc w:val="both"/>
        <w:rPr>
          <w:rFonts w:ascii="Verdana" w:eastAsia="Calibri" w:hAnsi="Verdana" w:cs="Arial"/>
          <w:color w:val="000000"/>
          <w:lang w:eastAsia="es-ES"/>
        </w:rPr>
      </w:pPr>
      <w:r w:rsidRPr="001B7256">
        <w:rPr>
          <w:rFonts w:ascii="Verdana" w:eastAsia="Calibri" w:hAnsi="Verdana" w:cs="Arial"/>
          <w:color w:val="000000"/>
          <w:lang w:eastAsia="es-ES"/>
        </w:rPr>
        <w:t xml:space="preserve">De acuerdo con el contenido de su solicitud, esta Agencia resolverá los </w:t>
      </w:r>
      <w:proofErr w:type="gramStart"/>
      <w:r w:rsidRPr="001B7256">
        <w:rPr>
          <w:rFonts w:ascii="Verdana" w:eastAsia="Calibri" w:hAnsi="Verdana" w:cs="Arial"/>
          <w:color w:val="000000"/>
          <w:lang w:eastAsia="es-ES"/>
        </w:rPr>
        <w:t>siguientes problema jurídic</w:t>
      </w:r>
      <w:r>
        <w:rPr>
          <w:rFonts w:ascii="Verdana" w:eastAsia="Calibri" w:hAnsi="Verdana" w:cs="Arial"/>
          <w:color w:val="000000"/>
          <w:lang w:eastAsia="es-ES"/>
        </w:rPr>
        <w:t>o</w:t>
      </w:r>
      <w:proofErr w:type="gramEnd"/>
      <w:r w:rsidRPr="001B7256">
        <w:rPr>
          <w:rFonts w:ascii="Verdana" w:eastAsia="Calibri" w:hAnsi="Verdana" w:cs="Arial"/>
          <w:color w:val="000000"/>
          <w:lang w:eastAsia="es-ES"/>
        </w:rPr>
        <w:t xml:space="preserve">: </w:t>
      </w:r>
      <w:r w:rsidRPr="004E3C86">
        <w:rPr>
          <w:rFonts w:ascii="Verdana" w:eastAsia="Calibri" w:hAnsi="Verdana" w:cs="Arial"/>
          <w:color w:val="000000"/>
          <w:lang w:eastAsia="es-ES"/>
        </w:rPr>
        <w:t xml:space="preserve">¿El Plan Anual de Adquisiciones constituye una reproducción integral del presupuesto de la entidad o un instrumento de planeación de las </w:t>
      </w:r>
      <w:r w:rsidRPr="004E3C86">
        <w:rPr>
          <w:rFonts w:ascii="Verdana" w:eastAsia="Calibri" w:hAnsi="Verdana" w:cs="Arial"/>
          <w:color w:val="000000"/>
          <w:lang w:eastAsia="es-ES"/>
        </w:rPr>
        <w:lastRenderedPageBreak/>
        <w:t>necesidades de bienes, obras y servicios que se proyectan adquirir durante la respectiva vigencia?</w:t>
      </w:r>
    </w:p>
    <w:p w14:paraId="59C21413" w14:textId="77777777" w:rsidR="002468F0" w:rsidRDefault="002468F0" w:rsidP="002468F0">
      <w:pPr>
        <w:spacing w:after="0" w:line="276" w:lineRule="auto"/>
        <w:jc w:val="both"/>
        <w:rPr>
          <w:rFonts w:ascii="Verdana" w:eastAsia="Calibri" w:hAnsi="Verdana" w:cs="Arial"/>
          <w:color w:val="000000"/>
          <w:lang w:eastAsia="es-ES"/>
        </w:rPr>
      </w:pPr>
    </w:p>
    <w:p w14:paraId="0588F8D8" w14:textId="77777777" w:rsidR="002468F0" w:rsidRPr="007620A2" w:rsidRDefault="002468F0" w:rsidP="002468F0">
      <w:pPr>
        <w:spacing w:after="0" w:line="240" w:lineRule="auto"/>
        <w:jc w:val="both"/>
        <w:rPr>
          <w:rFonts w:ascii="Verdana" w:hAnsi="Verdana"/>
        </w:rPr>
      </w:pPr>
    </w:p>
    <w:p w14:paraId="72BF2512" w14:textId="77777777" w:rsidR="002468F0" w:rsidRPr="00C97CA6" w:rsidRDefault="002468F0" w:rsidP="002468F0">
      <w:pPr>
        <w:spacing w:after="0" w:line="276" w:lineRule="auto"/>
        <w:jc w:val="both"/>
        <w:rPr>
          <w:rFonts w:ascii="Verdana" w:eastAsia="Century Gothic" w:hAnsi="Verdana" w:cs="Century Gothic"/>
        </w:rPr>
      </w:pPr>
      <w:r w:rsidRPr="00B33011">
        <w:rPr>
          <w:rFonts w:ascii="Verdana" w:eastAsia="Century Gothic" w:hAnsi="Verdana" w:cs="Century Gothic"/>
          <w:b/>
          <w:bCs/>
        </w:rPr>
        <w:t>2. Respuesta:</w:t>
      </w:r>
    </w:p>
    <w:p w14:paraId="29FE22FE" w14:textId="77777777" w:rsidR="002468F0" w:rsidRPr="005644FE" w:rsidRDefault="002468F0" w:rsidP="002468F0">
      <w:pPr>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2468F0" w:rsidRPr="00FD70DF" w14:paraId="7A5E062F" w14:textId="77777777" w:rsidTr="00A657E1">
        <w:tc>
          <w:tcPr>
            <w:tcW w:w="8828" w:type="dxa"/>
          </w:tcPr>
          <w:p w14:paraId="15914311" w14:textId="77777777" w:rsidR="002468F0" w:rsidRPr="00FD70DF" w:rsidRDefault="002468F0" w:rsidP="00A657E1">
            <w:pPr>
              <w:spacing w:after="120" w:line="276" w:lineRule="auto"/>
              <w:jc w:val="both"/>
              <w:rPr>
                <w:rFonts w:ascii="Verdana" w:eastAsia="Calibri" w:hAnsi="Verdana" w:cs="Arial"/>
              </w:rPr>
            </w:pPr>
            <w:r w:rsidRPr="00FD70DF">
              <w:rPr>
                <w:rFonts w:ascii="Verdana" w:eastAsia="Calibri" w:hAnsi="Verdana" w:cs="Arial"/>
              </w:rPr>
              <w:t xml:space="preserve">i) </w:t>
            </w:r>
            <w:r w:rsidRPr="00FD70DF">
              <w:rPr>
                <w:rFonts w:ascii="Verdana" w:eastAsia="Calibri" w:hAnsi="Verdana" w:cs="Arial"/>
                <w:lang w:val="es-ES"/>
              </w:rPr>
              <w:t xml:space="preserve">El Plan Anual de Adquisiciones </w:t>
            </w:r>
            <w:r w:rsidRPr="00FD70DF">
              <w:rPr>
                <w:rFonts w:ascii="Verdana" w:eastAsia="Calibri" w:hAnsi="Verdana" w:cs="Arial"/>
              </w:rPr>
              <w:t>un instrumento de 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 Sin perjuicio de lo anterior, el PAA no restringe las decisiones en la contratación que habrán de adoptarse dentro de la anualidad respectiva, por lo que se considera un documento de carácter estimativo que tiene entre otras finalidades, la de “servir como referente inicial para evaluar la ejecución de presupuesto y pronosticar la demanda de bienes y servicios de la entidad durante el año referido del plan.</w:t>
            </w:r>
          </w:p>
          <w:p w14:paraId="00C6A006" w14:textId="77777777" w:rsidR="002468F0" w:rsidRPr="00FD70DF" w:rsidRDefault="002468F0" w:rsidP="00A657E1">
            <w:pPr>
              <w:spacing w:after="120" w:line="276" w:lineRule="auto"/>
              <w:ind w:firstLine="709"/>
              <w:jc w:val="both"/>
              <w:rPr>
                <w:rFonts w:ascii="Verdana" w:eastAsia="Calibri" w:hAnsi="Verdana" w:cs="Arial"/>
                <w:lang w:val="es-ES" w:eastAsia="es-ES_tradnl"/>
              </w:rPr>
            </w:pPr>
            <w:r w:rsidRPr="00FD70DF">
              <w:rPr>
                <w:rStyle w:val="normaltextrun"/>
                <w:rFonts w:ascii="Verdana" w:hAnsi="Verdana" w:cs="Arial"/>
                <w:lang w:val="es-ES"/>
              </w:rPr>
              <w:t>El artículo 2.2.1.1.1.4.1 del Decreto 1082 de 2015 establece el deber de elaborar el PAA, que debe contener un listado de lo que la entidad adquirirá durante el año, para satisfacer su necesidad de bienes, obras o servicios, y que debe tener la información desagregada, principalmente en los siguientes aspectos</w:t>
            </w:r>
            <w:r w:rsidRPr="00FD70DF">
              <w:rPr>
                <w:rFonts w:ascii="Verdana" w:eastAsia="Calibri" w:hAnsi="Verdana" w:cs="Arial"/>
                <w:lang w:val="es-ES" w:eastAsia="es-ES_tradnl"/>
              </w:rPr>
              <w:t xml:space="preserve">: i) identificación con el clasificador de bienes y servicios, </w:t>
            </w:r>
            <w:proofErr w:type="spellStart"/>
            <w:r w:rsidRPr="00FD70DF">
              <w:rPr>
                <w:rFonts w:ascii="Verdana" w:eastAsia="Calibri" w:hAnsi="Verdana" w:cs="Arial"/>
                <w:lang w:val="es-ES" w:eastAsia="es-ES_tradnl"/>
              </w:rPr>
              <w:t>ii</w:t>
            </w:r>
            <w:proofErr w:type="spellEnd"/>
            <w:r w:rsidRPr="00FD70DF">
              <w:rPr>
                <w:rFonts w:ascii="Verdana" w:eastAsia="Calibri" w:hAnsi="Verdana" w:cs="Arial"/>
                <w:lang w:val="es-ES" w:eastAsia="es-ES_tradnl"/>
              </w:rPr>
              <w:t xml:space="preserve">) valor estimado del contrato, </w:t>
            </w:r>
            <w:proofErr w:type="spellStart"/>
            <w:r w:rsidRPr="00FD70DF">
              <w:rPr>
                <w:rFonts w:ascii="Verdana" w:eastAsia="Calibri" w:hAnsi="Verdana" w:cs="Arial"/>
                <w:lang w:val="es-ES" w:eastAsia="es-ES_tradnl"/>
              </w:rPr>
              <w:t>iii</w:t>
            </w:r>
            <w:proofErr w:type="spellEnd"/>
            <w:r w:rsidRPr="00FD70DF">
              <w:rPr>
                <w:rFonts w:ascii="Verdana" w:eastAsia="Calibri" w:hAnsi="Verdana" w:cs="Arial"/>
                <w:lang w:val="es-ES" w:eastAsia="es-ES_tradnl"/>
              </w:rPr>
              <w:t xml:space="preserve">) tipo de recursos, </w:t>
            </w:r>
            <w:proofErr w:type="spellStart"/>
            <w:r w:rsidRPr="00FD70DF">
              <w:rPr>
                <w:rFonts w:ascii="Verdana" w:eastAsia="Calibri" w:hAnsi="Verdana" w:cs="Arial"/>
                <w:lang w:val="es-ES" w:eastAsia="es-ES_tradnl"/>
              </w:rPr>
              <w:t>iv</w:t>
            </w:r>
            <w:proofErr w:type="spellEnd"/>
            <w:r w:rsidRPr="00FD70DF">
              <w:rPr>
                <w:rFonts w:ascii="Verdana" w:eastAsia="Calibri" w:hAnsi="Verdana" w:cs="Arial"/>
                <w:lang w:val="es-ES" w:eastAsia="es-ES_tradnl"/>
              </w:rPr>
              <w:t>) modalidad de selección y v) fecha de inicio del proceso contractual.</w:t>
            </w:r>
          </w:p>
          <w:p w14:paraId="5EF5A62C" w14:textId="77777777" w:rsidR="002468F0" w:rsidRPr="00DD4EF5" w:rsidRDefault="002468F0" w:rsidP="00A657E1">
            <w:pPr>
              <w:spacing w:after="120"/>
              <w:ind w:firstLine="709"/>
              <w:jc w:val="both"/>
              <w:rPr>
                <w:rStyle w:val="normaltextrun"/>
                <w:rFonts w:ascii="Verdana" w:eastAsia="Times New Roman" w:hAnsi="Verdana" w:cs="Arial"/>
                <w:lang w:eastAsia="es-ES_tradnl"/>
              </w:rPr>
            </w:pPr>
            <w:r w:rsidRPr="00FD70DF">
              <w:rPr>
                <w:rStyle w:val="normaltextrun"/>
                <w:rFonts w:ascii="Verdana" w:hAnsi="Verdana"/>
                <w:lang w:val="es-ES"/>
              </w:rPr>
              <w:t>Adicionalmente, El PAA no constituye una reproducción integral del presupuesto, sino un instrumento de planeación de las necesidades de contratación de bienes, obras y servicios que la entidad proyecta adquirir durante</w:t>
            </w:r>
            <w:r w:rsidRPr="00FD70DF">
              <w:rPr>
                <w:rFonts w:ascii="Verdana" w:eastAsia="Times New Roman" w:hAnsi="Verdana" w:cs="Arial"/>
                <w:lang w:eastAsia="es-ES_tradnl"/>
              </w:rPr>
              <w:t xml:space="preserve"> la vigencia.</w:t>
            </w:r>
            <w:r>
              <w:rPr>
                <w:rFonts w:ascii="Verdana" w:eastAsia="Times New Roman" w:hAnsi="Verdana" w:cs="Arial"/>
                <w:lang w:eastAsia="es-ES_tradnl"/>
              </w:rPr>
              <w:t xml:space="preserve"> </w:t>
            </w:r>
            <w:r>
              <w:rPr>
                <w:rStyle w:val="normaltextrun"/>
                <w:lang w:val="es-ES"/>
              </w:rPr>
              <w:t xml:space="preserve">   </w:t>
            </w:r>
            <w:r w:rsidRPr="00DD4EF5">
              <w:rPr>
                <w:rStyle w:val="normaltextrun"/>
                <w:rFonts w:ascii="Verdana" w:hAnsi="Verdana"/>
                <w:lang w:val="es-ES"/>
              </w:rPr>
              <w:t>En consecuencia, no necesariamente existe identidad entre el valor total del presupuesto y la sumatoria de los valores incluidos en el PAA. Lo determinante para incluir un rubro o necesidad en el PAA no es su clasificación presupuestal como gasto de funcionamiento o inversión, sino que implique una adquisición de bienes, obras o servicios.</w:t>
            </w:r>
          </w:p>
          <w:p w14:paraId="10F4D555" w14:textId="77777777" w:rsidR="002468F0" w:rsidRPr="00FD70DF" w:rsidRDefault="002468F0" w:rsidP="00A657E1">
            <w:pPr>
              <w:spacing w:after="120"/>
              <w:ind w:firstLine="709"/>
              <w:jc w:val="both"/>
              <w:rPr>
                <w:rFonts w:ascii="Verdana" w:eastAsia="Times New Roman" w:hAnsi="Verdana" w:cs="Arial"/>
                <w:lang w:eastAsia="es-ES_tradnl"/>
              </w:rPr>
            </w:pPr>
            <w:r w:rsidRPr="00FD70DF">
              <w:rPr>
                <w:rFonts w:ascii="Verdana" w:eastAsia="Calibri" w:hAnsi="Verdana" w:cs="Arial"/>
                <w:bCs/>
                <w:color w:val="000000" w:themeColor="text1"/>
              </w:rPr>
              <w:br/>
            </w:r>
            <w:r>
              <w:rPr>
                <w:rFonts w:ascii="Verdana" w:eastAsia="Calibri" w:hAnsi="Verdana" w:cs="Arial"/>
              </w:rPr>
              <w:t xml:space="preserve">         </w:t>
            </w:r>
            <w:r w:rsidRPr="00FD70DF">
              <w:rPr>
                <w:rFonts w:ascii="Verdana" w:eastAsia="Calibri" w:hAnsi="Verdana" w:cs="Arial"/>
              </w:rPr>
              <w:t>Por lo tanto, un gasto de funcionamiento sí deberá reflejarse en el PAA cuando su ejecución requiera una contratación para adquirir bienes, obras o servicios; mientras que los gastos de funcionamiento que no correspondan a una adquisición contractual no se registran en el PAA por esa sola condición presupuestal.</w:t>
            </w:r>
          </w:p>
          <w:p w14:paraId="1BA8D9AD" w14:textId="77777777" w:rsidR="002468F0" w:rsidRPr="00FD70DF" w:rsidRDefault="002468F0" w:rsidP="00A657E1">
            <w:pPr>
              <w:spacing w:after="120" w:line="276" w:lineRule="auto"/>
              <w:ind w:firstLine="709"/>
              <w:jc w:val="both"/>
              <w:rPr>
                <w:rFonts w:ascii="Verdana" w:eastAsia="Times New Roman" w:hAnsi="Verdana" w:cs="Arial"/>
                <w:lang w:eastAsia="es-ES_tradnl"/>
              </w:rPr>
            </w:pPr>
            <w:r w:rsidRPr="00FD70DF">
              <w:rPr>
                <w:rFonts w:ascii="Verdana" w:eastAsia="Calibri" w:hAnsi="Verdana" w:cs="Arial"/>
              </w:rPr>
              <w:lastRenderedPageBreak/>
              <w:t>A</w:t>
            </w:r>
            <w:r w:rsidRPr="00FD70DF">
              <w:rPr>
                <w:rFonts w:ascii="Verdana" w:eastAsia="Calibri" w:hAnsi="Verdana" w:cs="Arial"/>
                <w:bCs/>
                <w:color w:val="000000" w:themeColor="text1"/>
              </w:rPr>
              <w:t>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7B37360" w14:textId="77777777" w:rsidR="002468F0" w:rsidRPr="00FD70DF" w:rsidRDefault="002468F0" w:rsidP="00A657E1">
            <w:pPr>
              <w:spacing w:after="120" w:line="276" w:lineRule="auto"/>
              <w:ind w:firstLine="709"/>
              <w:jc w:val="both"/>
              <w:rPr>
                <w:rFonts w:ascii="Verdana" w:eastAsia="Calibri" w:hAnsi="Verdana" w:cs="Arial"/>
              </w:rPr>
            </w:pPr>
            <w:r w:rsidRPr="00FD70DF">
              <w:rPr>
                <w:rFonts w:ascii="Verdana" w:eastAsia="Calibri" w:hAnsi="Verdana" w:cs="Arial"/>
                <w:bCs/>
                <w:color w:val="000000" w:themeColor="text1"/>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042030E3" w14:textId="77777777" w:rsidR="002468F0" w:rsidRDefault="002468F0" w:rsidP="002468F0">
      <w:pPr>
        <w:tabs>
          <w:tab w:val="left" w:pos="142"/>
          <w:tab w:val="left" w:pos="284"/>
        </w:tabs>
        <w:spacing w:after="0" w:line="276" w:lineRule="auto"/>
        <w:jc w:val="both"/>
        <w:rPr>
          <w:rFonts w:ascii="Verdana" w:eastAsia="Century Gothic" w:hAnsi="Verdana" w:cs="Century Gothic"/>
          <w:b/>
          <w:bCs/>
        </w:rPr>
      </w:pPr>
    </w:p>
    <w:p w14:paraId="62003906" w14:textId="77777777" w:rsidR="002468F0" w:rsidRPr="005644FE" w:rsidRDefault="002468F0" w:rsidP="002468F0">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3D987CBD" w14:textId="77777777" w:rsidR="002468F0" w:rsidRDefault="002468F0" w:rsidP="002468F0">
      <w:pPr>
        <w:tabs>
          <w:tab w:val="left" w:pos="142"/>
          <w:tab w:val="left" w:pos="284"/>
          <w:tab w:val="left" w:pos="6975"/>
        </w:tabs>
        <w:spacing w:after="0" w:line="276" w:lineRule="auto"/>
        <w:jc w:val="both"/>
        <w:rPr>
          <w:rFonts w:ascii="Verdana" w:eastAsia="Calibri" w:hAnsi="Verdana" w:cs="Arial"/>
        </w:rPr>
      </w:pPr>
    </w:p>
    <w:p w14:paraId="1DF6252C" w14:textId="77777777" w:rsidR="002468F0" w:rsidRDefault="002468F0" w:rsidP="002468F0">
      <w:pPr>
        <w:tabs>
          <w:tab w:val="left" w:pos="142"/>
          <w:tab w:val="left" w:pos="284"/>
          <w:tab w:val="left" w:pos="6975"/>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p>
    <w:p w14:paraId="06FCB98B" w14:textId="77777777" w:rsidR="002468F0" w:rsidRDefault="002468F0" w:rsidP="002468F0">
      <w:pPr>
        <w:tabs>
          <w:tab w:val="left" w:pos="142"/>
          <w:tab w:val="left" w:pos="284"/>
          <w:tab w:val="left" w:pos="6975"/>
        </w:tabs>
        <w:spacing w:after="0" w:line="276" w:lineRule="auto"/>
        <w:jc w:val="both"/>
        <w:rPr>
          <w:rFonts w:ascii="Verdana" w:eastAsia="Calibri" w:hAnsi="Verdana" w:cs="Arial"/>
        </w:rPr>
      </w:pPr>
    </w:p>
    <w:p w14:paraId="2866B196" w14:textId="77777777" w:rsidR="002468F0" w:rsidRDefault="002468F0" w:rsidP="002468F0">
      <w:pPr>
        <w:tabs>
          <w:tab w:val="left" w:pos="142"/>
          <w:tab w:val="left" w:pos="284"/>
          <w:tab w:val="left" w:pos="6975"/>
        </w:tabs>
        <w:spacing w:after="120" w:line="276" w:lineRule="auto"/>
        <w:jc w:val="both"/>
        <w:rPr>
          <w:rFonts w:ascii="Verdana" w:eastAsia="Calibri" w:hAnsi="Verdana" w:cs="Arial"/>
          <w:lang w:val="es-ES"/>
        </w:rPr>
      </w:pPr>
      <w:r w:rsidRPr="008B5424">
        <w:rPr>
          <w:rFonts w:ascii="Verdana" w:eastAsia="Calibri" w:hAnsi="Verdana" w:cs="Arial"/>
        </w:rPr>
        <w:t xml:space="preserve">i) </w:t>
      </w:r>
      <w:r w:rsidRPr="008B5424">
        <w:rPr>
          <w:rFonts w:ascii="Verdana" w:eastAsia="Calibri" w:hAnsi="Verdana" w:cs="Arial"/>
          <w:lang w:val="es-ES"/>
        </w:rPr>
        <w:t xml:space="preserve">El Plan Anual de Adquisiciones </w:t>
      </w:r>
      <w:r w:rsidRPr="00F50E68">
        <w:rPr>
          <w:rFonts w:ascii="Verdana" w:eastAsia="Calibri" w:hAnsi="Verdana" w:cs="Arial"/>
        </w:rPr>
        <w:t>un instrumento de 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w:t>
      </w:r>
      <w:r>
        <w:rPr>
          <w:rFonts w:ascii="Verdana" w:eastAsia="Calibri" w:hAnsi="Verdana" w:cs="Arial"/>
        </w:rPr>
        <w:t xml:space="preserve">. </w:t>
      </w:r>
      <w:r w:rsidRPr="00F50E68">
        <w:rPr>
          <w:rFonts w:ascii="Verdana" w:eastAsia="Calibri" w:hAnsi="Verdana" w:cs="Arial"/>
        </w:rPr>
        <w:t>Sin perjuicio de lo anterior, el PAA no restringe las decisiones en la contratación que habrán de adoptarse dentro de la anualidad respectiva, por lo que se considera un documento de carácter estimativo que tiene entre otras finalidades, la de “servir como referente inicial para evaluar la ejecución de presupuesto y pronosticar la demanda de bienes y servicios de la entidad durante el año referido del plan</w:t>
      </w:r>
      <w:r>
        <w:rPr>
          <w:rStyle w:val="Refdenotaalpie"/>
          <w:rFonts w:ascii="Verdana" w:eastAsia="Calibri" w:hAnsi="Verdana" w:cs="Arial"/>
          <w:lang w:val="es-ES"/>
        </w:rPr>
        <w:footnoteReference w:id="1"/>
      </w:r>
      <w:r w:rsidRPr="008B5424">
        <w:rPr>
          <w:rFonts w:ascii="Verdana" w:eastAsia="Calibri" w:hAnsi="Verdana" w:cs="Arial"/>
          <w:lang w:val="es-ES"/>
        </w:rPr>
        <w:t xml:space="preserve">. </w:t>
      </w:r>
    </w:p>
    <w:p w14:paraId="06B781CA" w14:textId="77777777" w:rsidR="002468F0" w:rsidRPr="00F50E68" w:rsidRDefault="002468F0" w:rsidP="002468F0">
      <w:pPr>
        <w:tabs>
          <w:tab w:val="left" w:pos="142"/>
          <w:tab w:val="left" w:pos="284"/>
          <w:tab w:val="left" w:pos="6975"/>
        </w:tabs>
        <w:spacing w:after="120" w:line="276" w:lineRule="auto"/>
        <w:ind w:firstLine="142"/>
        <w:jc w:val="both"/>
        <w:rPr>
          <w:rFonts w:ascii="Verdana" w:eastAsia="Calibri" w:hAnsi="Verdana" w:cs="Arial"/>
          <w:lang w:val="es-ES"/>
        </w:rPr>
      </w:pPr>
      <w:r>
        <w:rPr>
          <w:rFonts w:ascii="Verdana" w:eastAsia="Calibri" w:hAnsi="Verdana" w:cs="Arial"/>
          <w:lang w:val="es-ES"/>
        </w:rPr>
        <w:lastRenderedPageBreak/>
        <w:t xml:space="preserve">        </w:t>
      </w:r>
      <w:r w:rsidRPr="00F50E68">
        <w:rPr>
          <w:rFonts w:ascii="Verdana" w:eastAsia="Calibri" w:hAnsi="Verdana" w:cs="Arial"/>
          <w:lang w:val="es-ES"/>
        </w:rPr>
        <w:t xml:space="preserve">De acuerdo con el artículo </w:t>
      </w:r>
      <w:r w:rsidRPr="002A0C19">
        <w:rPr>
          <w:rFonts w:ascii="Verdana" w:eastAsia="Calibri" w:hAnsi="Verdana" w:cs="Arial"/>
          <w:lang w:val="es-ES"/>
        </w:rPr>
        <w:t>2.2.1.1.1.3.1 del Decreto 1082 de 2015, el PAA es el plan general de compras al que se refiere el artículo 74 de la Ley 1474 de 2011 y el plan de compras al que se refiere la Ley Anual de Presupuesto. Asimismo, el artículo 2.1.1.1.3.1 del Decreto 1082 de 2015 lo define como un instrumento de planeación contractual que las Entidades Estatales debe diligenciar, publicar y actualizar.</w:t>
      </w:r>
      <w:r w:rsidRPr="00F50E68">
        <w:rPr>
          <w:rFonts w:ascii="Verdana" w:eastAsia="Calibri" w:hAnsi="Verdana" w:cs="Arial"/>
          <w:lang w:val="es-ES"/>
        </w:rPr>
        <w:t xml:space="preserve"> En particular, el artículo 74 de la Ley 1474 de 2011 dispone que “todas las entidades del Estado” deben publicar, a más tardar el 31</w:t>
      </w:r>
      <w:r w:rsidRPr="002A0C19">
        <w:rPr>
          <w:rFonts w:ascii="Verdana" w:eastAsia="Calibri" w:hAnsi="Verdana" w:cs="Arial"/>
          <w:lang w:val="es-ES"/>
        </w:rPr>
        <w:t xml:space="preserve"> de enero de cada año, en su respectiva página web, el plan de acción, en el cual se incluye el plan general de compras</w:t>
      </w:r>
      <w:r w:rsidRPr="002A0C19">
        <w:rPr>
          <w:rFonts w:ascii="Verdana" w:eastAsia="Calibri" w:hAnsi="Verdana" w:cs="Arial"/>
          <w:vertAlign w:val="superscript"/>
          <w:lang w:val="es-ES"/>
        </w:rPr>
        <w:footnoteReference w:id="2"/>
      </w:r>
      <w:r w:rsidRPr="002A0C19">
        <w:rPr>
          <w:rFonts w:ascii="Verdana" w:eastAsia="Calibri" w:hAnsi="Verdana" w:cs="Arial"/>
          <w:lang w:val="es-ES"/>
        </w:rPr>
        <w:t>. Como ya se indicó, el plan general de compras para el ordenamiento vigente corresponde con el concepto de Plan Anual de</w:t>
      </w:r>
      <w:r w:rsidRPr="00F50E68">
        <w:rPr>
          <w:rFonts w:ascii="Verdana" w:eastAsia="Calibri" w:hAnsi="Verdana" w:cs="Arial"/>
          <w:lang w:val="es-ES_tradnl"/>
        </w:rPr>
        <w:t xml:space="preserve"> Adquisiciones como lo establece el artículo 2.2.1.1.1.3.1. del Decreto 1082 de 2015</w:t>
      </w:r>
      <w:r w:rsidRPr="00F50E68">
        <w:rPr>
          <w:rFonts w:ascii="Verdana" w:eastAsia="Calibri" w:hAnsi="Verdana" w:cs="Arial"/>
          <w:vertAlign w:val="superscript"/>
          <w:lang w:val="es-ES_tradnl"/>
        </w:rPr>
        <w:footnoteReference w:id="3"/>
      </w:r>
      <w:r w:rsidRPr="00F50E68">
        <w:rPr>
          <w:rFonts w:ascii="Verdana" w:eastAsia="Calibri" w:hAnsi="Verdana" w:cs="Arial"/>
          <w:lang w:val="es-ES_tradnl"/>
        </w:rPr>
        <w:t xml:space="preserve">.  </w:t>
      </w:r>
    </w:p>
    <w:p w14:paraId="48FAE1FF" w14:textId="77777777" w:rsidR="002468F0" w:rsidRPr="002A0C19" w:rsidRDefault="002468F0" w:rsidP="002468F0">
      <w:pPr>
        <w:tabs>
          <w:tab w:val="left" w:pos="0"/>
        </w:tabs>
        <w:spacing w:line="276" w:lineRule="auto"/>
        <w:jc w:val="both"/>
        <w:rPr>
          <w:rStyle w:val="normaltextrun"/>
          <w:rFonts w:ascii="Verdana" w:eastAsia="Calibri" w:hAnsi="Verdana" w:cs="Arial"/>
          <w:lang w:val="es-ES"/>
        </w:rPr>
      </w:pPr>
      <w:r w:rsidRPr="00F50E68">
        <w:rPr>
          <w:rFonts w:ascii="Verdana" w:eastAsia="Calibri" w:hAnsi="Verdana" w:cs="Arial"/>
          <w:lang w:val="es-ES"/>
        </w:rPr>
        <w:tab/>
        <w:t xml:space="preserve">Además, de acuerdo con el artículo </w:t>
      </w:r>
      <w:r w:rsidRPr="00F50E68">
        <w:rPr>
          <w:rFonts w:ascii="Verdana" w:eastAsia="Calibri" w:hAnsi="Verdana" w:cs="Arial"/>
          <w:lang w:val="es-ES_tradnl"/>
        </w:rPr>
        <w:t>2.2.1.1.1.4.3 ibidem</w:t>
      </w:r>
      <w:r w:rsidRPr="00F50E68">
        <w:rPr>
          <w:rFonts w:ascii="Verdana" w:eastAsia="Calibri" w:hAnsi="Verdana" w:cs="Arial"/>
          <w:i/>
          <w:iCs/>
          <w:lang w:val="es-ES_tradnl"/>
        </w:rPr>
        <w:t xml:space="preserve">, </w:t>
      </w:r>
      <w:r w:rsidRPr="00F50E68">
        <w:rPr>
          <w:rFonts w:ascii="Verdana" w:eastAsia="Calibri" w:hAnsi="Verdana" w:cs="Arial"/>
          <w:lang w:val="es-ES_tradnl"/>
        </w:rPr>
        <w:t>el PAA también debe publicarse en el SECOP</w:t>
      </w:r>
      <w:r w:rsidRPr="00F50E68">
        <w:rPr>
          <w:rFonts w:ascii="Verdana" w:eastAsia="Calibri" w:hAnsi="Verdana" w:cs="Arial"/>
          <w:vertAlign w:val="superscript"/>
        </w:rPr>
        <w:footnoteReference w:id="4"/>
      </w:r>
      <w:r w:rsidRPr="00F50E68">
        <w:rPr>
          <w:rFonts w:ascii="Verdana" w:eastAsia="Calibri" w:hAnsi="Verdana" w:cs="Arial"/>
          <w:lang w:val="es-ES"/>
        </w:rPr>
        <w:t xml:space="preserve">. Se trata de una obligación que involucra a todas las Entidades del Estado sin importar la rama a la cual pertenecen, o si se trata de entidades descentralizadas territorialmente o por servicios; las empresas del </w:t>
      </w:r>
      <w:r w:rsidRPr="00F50E68">
        <w:rPr>
          <w:rFonts w:ascii="Verdana" w:eastAsia="Calibri" w:hAnsi="Verdana" w:cs="Arial"/>
          <w:lang w:val="es-ES"/>
        </w:rPr>
        <w:lastRenderedPageBreak/>
        <w:t>Estado y las sociedades en las que el Estado tenga participación, sin que importe su monto.</w:t>
      </w:r>
    </w:p>
    <w:p w14:paraId="5BBCD5A4" w14:textId="77777777" w:rsidR="002468F0" w:rsidRPr="00F50E68" w:rsidRDefault="002468F0" w:rsidP="002468F0">
      <w:pPr>
        <w:spacing w:before="120" w:after="0" w:line="276" w:lineRule="auto"/>
        <w:ind w:firstLine="708"/>
        <w:jc w:val="both"/>
        <w:rPr>
          <w:rFonts w:ascii="Verdana" w:hAnsi="Verdana" w:cs="Arial"/>
          <w:lang w:val="es-ES"/>
        </w:rPr>
      </w:pPr>
      <w:r w:rsidRPr="00F50E68">
        <w:rPr>
          <w:rFonts w:ascii="Verdana" w:hAnsi="Verdana" w:cs="Arial"/>
          <w:lang w:val="es-ES"/>
        </w:rPr>
        <w:t>Adicionalmente se aclara, que los sujetos que no contratan con cargo a recursos públicos no están obligados a publicarlo, mientras que aquellos que contratan tanto con cargo a recursos públicos como con aquellos que no tienen esta naturaleza, solamente están obligados a publicar el PAA para los recursos de carácter público que se ejecutarán duranta la vigencia fiscal.</w:t>
      </w:r>
    </w:p>
    <w:p w14:paraId="765CE4E5" w14:textId="77777777" w:rsidR="002468F0" w:rsidRPr="00F50E68" w:rsidRDefault="002468F0" w:rsidP="002468F0">
      <w:pPr>
        <w:spacing w:before="120" w:after="120" w:line="276" w:lineRule="auto"/>
        <w:jc w:val="both"/>
        <w:rPr>
          <w:rFonts w:ascii="Verdana" w:eastAsia="Calibri" w:hAnsi="Verdana" w:cs="Arial"/>
          <w:sz w:val="24"/>
          <w:szCs w:val="24"/>
          <w:lang w:val="es-ES" w:eastAsia="es-ES_tradnl"/>
        </w:rPr>
      </w:pPr>
      <w:r w:rsidRPr="00F50E68">
        <w:rPr>
          <w:rFonts w:ascii="Verdana" w:eastAsia="Calibri" w:hAnsi="Verdana" w:cs="Arial"/>
          <w:lang w:val="es-ES"/>
        </w:rPr>
        <w:tab/>
      </w:r>
      <w:r w:rsidRPr="00F50E68">
        <w:rPr>
          <w:rStyle w:val="normaltextrun"/>
          <w:rFonts w:ascii="Verdana" w:hAnsi="Verdana" w:cs="Arial"/>
          <w:lang w:val="es-ES"/>
        </w:rPr>
        <w:t>Teniendo en claro lo anterior, el artículo 2.2.1.1.1.4.1 del Decreto 1082 de 2015 establece el deber de elaborar el PAA, que debe contener un listado de lo que la entidad adquirirá durante el año, para satisfacer su necesidad de bienes, obras o servicios, y que debe tener la información desagregada, principalmente en los siguientes aspectos</w:t>
      </w:r>
      <w:r w:rsidRPr="00F50E68">
        <w:rPr>
          <w:rFonts w:ascii="Verdana" w:eastAsia="Calibri" w:hAnsi="Verdana" w:cs="Arial"/>
          <w:lang w:val="es-ES" w:eastAsia="es-ES_tradnl"/>
        </w:rPr>
        <w:t xml:space="preserve">: i) identificación con el clasificador de bienes y servicios, </w:t>
      </w:r>
      <w:proofErr w:type="spellStart"/>
      <w:r w:rsidRPr="00F50E68">
        <w:rPr>
          <w:rFonts w:ascii="Verdana" w:eastAsia="Calibri" w:hAnsi="Verdana" w:cs="Arial"/>
          <w:lang w:val="es-ES" w:eastAsia="es-ES_tradnl"/>
        </w:rPr>
        <w:t>ii</w:t>
      </w:r>
      <w:proofErr w:type="spellEnd"/>
      <w:r w:rsidRPr="00F50E68">
        <w:rPr>
          <w:rFonts w:ascii="Verdana" w:eastAsia="Calibri" w:hAnsi="Verdana" w:cs="Arial"/>
          <w:lang w:val="es-ES" w:eastAsia="es-ES_tradnl"/>
        </w:rPr>
        <w:t xml:space="preserve">) valor estimado del contrato, </w:t>
      </w:r>
      <w:proofErr w:type="spellStart"/>
      <w:r w:rsidRPr="00F50E68">
        <w:rPr>
          <w:rFonts w:ascii="Verdana" w:eastAsia="Calibri" w:hAnsi="Verdana" w:cs="Arial"/>
          <w:lang w:val="es-ES" w:eastAsia="es-ES_tradnl"/>
        </w:rPr>
        <w:t>iii</w:t>
      </w:r>
      <w:proofErr w:type="spellEnd"/>
      <w:r w:rsidRPr="00F50E68">
        <w:rPr>
          <w:rFonts w:ascii="Verdana" w:eastAsia="Calibri" w:hAnsi="Verdana" w:cs="Arial"/>
          <w:lang w:val="es-ES" w:eastAsia="es-ES_tradnl"/>
        </w:rPr>
        <w:t xml:space="preserve">) tipo de recursos, </w:t>
      </w:r>
      <w:proofErr w:type="spellStart"/>
      <w:r w:rsidRPr="00F50E68">
        <w:rPr>
          <w:rFonts w:ascii="Verdana" w:eastAsia="Calibri" w:hAnsi="Verdana" w:cs="Arial"/>
          <w:lang w:val="es-ES" w:eastAsia="es-ES_tradnl"/>
        </w:rPr>
        <w:t>iv</w:t>
      </w:r>
      <w:proofErr w:type="spellEnd"/>
      <w:r w:rsidRPr="00F50E68">
        <w:rPr>
          <w:rFonts w:ascii="Verdana" w:eastAsia="Calibri" w:hAnsi="Verdana" w:cs="Arial"/>
          <w:lang w:val="es-ES" w:eastAsia="es-ES_tradnl"/>
        </w:rPr>
        <w:t>) modalidad de selección y v) fecha de inicio del proceso contractual</w:t>
      </w:r>
      <w:r w:rsidRPr="00F50E68">
        <w:rPr>
          <w:rFonts w:ascii="Verdana" w:eastAsia="Calibri" w:hAnsi="Verdana" w:cs="Arial"/>
          <w:vertAlign w:val="superscript"/>
          <w:lang w:eastAsia="es-ES_tradnl"/>
        </w:rPr>
        <w:footnoteReference w:id="5"/>
      </w:r>
      <w:r w:rsidRPr="00F50E68">
        <w:rPr>
          <w:rFonts w:ascii="Verdana" w:eastAsia="Calibri" w:hAnsi="Verdana" w:cs="Arial"/>
          <w:lang w:val="es-ES" w:eastAsia="es-ES_tradnl"/>
        </w:rPr>
        <w:t>.</w:t>
      </w:r>
    </w:p>
    <w:p w14:paraId="64C609BE" w14:textId="77777777" w:rsidR="002468F0" w:rsidRPr="00F50E68" w:rsidRDefault="002468F0" w:rsidP="002468F0">
      <w:pPr>
        <w:tabs>
          <w:tab w:val="left" w:pos="0"/>
        </w:tabs>
        <w:spacing w:line="276" w:lineRule="auto"/>
        <w:jc w:val="both"/>
        <w:rPr>
          <w:rFonts w:ascii="Verdana" w:eastAsia="Calibri" w:hAnsi="Verdana" w:cs="Arial"/>
          <w:lang w:val="es-ES"/>
        </w:rPr>
      </w:pPr>
      <w:r w:rsidRPr="00F50E68">
        <w:rPr>
          <w:rFonts w:ascii="Verdana" w:eastAsia="Calibri" w:hAnsi="Verdana" w:cs="Arial"/>
          <w:lang w:val="es-ES"/>
        </w:rPr>
        <w:tab/>
        <w:t>Con relación a la configuración de dicho listado, en primer lugar, es necesario resaltar que el objetivo del PAA es indicar los bienes, obras y servicios que la entidad pretende adquirir, sin consideración a la forma en que estos se obtendrán, pues es el criterio de necesidad de aquellos el que fundamenta la inclusión o no en la lista del plan y no el carácter pecuniario de este ni su modalidad de contratación. Por tanto, bastará con que la entidad identifique la necesidad contractual para que deba incluirlo en el listado.</w:t>
      </w:r>
    </w:p>
    <w:p w14:paraId="1C70B53D" w14:textId="77777777" w:rsidR="002468F0" w:rsidRPr="00F50E68" w:rsidRDefault="002468F0" w:rsidP="002468F0">
      <w:pPr>
        <w:spacing w:after="120" w:line="276" w:lineRule="auto"/>
        <w:ind w:firstLine="703"/>
        <w:jc w:val="both"/>
        <w:textAlignment w:val="baseline"/>
        <w:rPr>
          <w:rFonts w:ascii="Verdana" w:eastAsia="Times New Roman" w:hAnsi="Verdana" w:cs="Segoe UI"/>
          <w:lang w:eastAsia="es-CO"/>
        </w:rPr>
      </w:pPr>
      <w:r w:rsidRPr="00F50E68">
        <w:rPr>
          <w:rFonts w:ascii="Verdana" w:eastAsia="Times New Roman" w:hAnsi="Verdana" w:cs="Arial"/>
          <w:lang w:val="es-ES" w:eastAsia="es-CO"/>
        </w:rPr>
        <w:lastRenderedPageBreak/>
        <w:t>Un interrogante surge de lo anterior: ¿cómo puede la entidad definir si debe o no incluir un bien, obra o servicio en el plan? Basta consultar el artículo 2.2.1.1.1.4.1. del Decreto 1082 de 2015, donde señala que “[…]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 </w:t>
      </w:r>
      <w:r w:rsidRPr="00F50E68">
        <w:rPr>
          <w:rFonts w:ascii="Verdana" w:eastAsia="Times New Roman" w:hAnsi="Verdana" w:cs="Arial"/>
          <w:lang w:eastAsia="es-CO"/>
        </w:rPr>
        <w:t> </w:t>
      </w:r>
    </w:p>
    <w:p w14:paraId="2AE59843" w14:textId="77777777" w:rsidR="002468F0" w:rsidRPr="00F50E68" w:rsidRDefault="002468F0" w:rsidP="002468F0">
      <w:pPr>
        <w:spacing w:after="120" w:line="276" w:lineRule="auto"/>
        <w:ind w:firstLine="703"/>
        <w:jc w:val="both"/>
        <w:textAlignment w:val="baseline"/>
        <w:rPr>
          <w:rFonts w:ascii="Verdana" w:eastAsia="Times New Roman" w:hAnsi="Verdana" w:cs="Segoe UI"/>
          <w:lang w:eastAsia="es-CO"/>
        </w:rPr>
      </w:pPr>
      <w:r w:rsidRPr="00F50E68">
        <w:rPr>
          <w:rFonts w:ascii="Verdana" w:eastAsia="Times New Roman" w:hAnsi="Verdana" w:cs="Arial"/>
          <w:lang w:val="es-ES" w:eastAsia="es-CO"/>
        </w:rPr>
        <w:t>La norma citada en el párrafo precedente dispone que el PAA tiene un contenido esencial –la lista de bienes, obras y servicios que la entidad pretenda adquirir–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 </w:t>
      </w:r>
      <w:r w:rsidRPr="00F50E68">
        <w:rPr>
          <w:rFonts w:ascii="Verdana" w:eastAsia="Times New Roman" w:hAnsi="Verdana" w:cs="Arial"/>
          <w:lang w:eastAsia="es-CO"/>
        </w:rPr>
        <w:t> </w:t>
      </w:r>
    </w:p>
    <w:p w14:paraId="450F1789" w14:textId="77777777" w:rsidR="002468F0" w:rsidRPr="002A0C19" w:rsidRDefault="002468F0" w:rsidP="002468F0">
      <w:pPr>
        <w:spacing w:after="120" w:line="276" w:lineRule="auto"/>
        <w:ind w:firstLine="703"/>
        <w:jc w:val="both"/>
        <w:rPr>
          <w:rFonts w:ascii="Verdana" w:eastAsia="Times New Roman" w:hAnsi="Verdana" w:cs="Arial"/>
          <w:lang w:val="es-ES" w:eastAsia="es-CO"/>
        </w:rPr>
      </w:pPr>
      <w:r w:rsidRPr="00F50E68">
        <w:rPr>
          <w:rFonts w:ascii="Verdana" w:eastAsia="Times New Roman" w:hAnsi="Verdana" w:cs="Arial"/>
          <w:lang w:val="es-ES" w:eastAsia="es-ES_tradnl"/>
        </w:rPr>
        <w:t>Del primer aparte de la norma, se observa que su finalidad es clara: todos los bienes, obras o servicios que la entidad tenga intención de adquirir deben incluirse en el plan. Es decir, la obligación de incluir un contenido específico en el plan se fundamenta únicamente en que se trate de un bien, obra o servicio que la entidad pretenda adquirir</w:t>
      </w:r>
      <w:r w:rsidRPr="00F50E68">
        <w:rPr>
          <w:rFonts w:ascii="Verdana" w:eastAsia="Times New Roman" w:hAnsi="Verdana" w:cs="Arial"/>
          <w:i/>
          <w:iCs/>
          <w:lang w:val="es-ES" w:eastAsia="es-ES_tradnl"/>
        </w:rPr>
        <w:t>.</w:t>
      </w:r>
      <w:r w:rsidRPr="00F50E68">
        <w:rPr>
          <w:rFonts w:ascii="Verdana" w:eastAsia="Times New Roman" w:hAnsi="Verdana" w:cs="Arial"/>
          <w:lang w:val="es-ES" w:eastAsia="es-CO"/>
        </w:rPr>
        <w:t xml:space="preserve"> Adicionalmente, cuando el primer aparte señala que el plan “[…] deberá contener la lista de bienes, obras y servicios que pretenden adquirir durante un año”, es claro que adquirir es el elemento determinante para concluir que se debe enlistar un bien, obra o servicio en el plan. Esto, a pesar de que la misma disposición establezca otra información adicional que debe incluir este documento –modalidad, valor estimado–, pero que resulta ser complementaria o descriptiva a la señalada como información mínima o esencialísima del plan. </w:t>
      </w:r>
    </w:p>
    <w:p w14:paraId="6F06AA66" w14:textId="77777777" w:rsidR="002468F0" w:rsidRPr="00F50E68" w:rsidRDefault="002468F0" w:rsidP="002468F0">
      <w:pPr>
        <w:spacing w:before="120" w:after="120" w:line="276" w:lineRule="auto"/>
        <w:jc w:val="both"/>
        <w:rPr>
          <w:rFonts w:ascii="Verdana" w:eastAsia="Calibri" w:hAnsi="Verdana" w:cs="Arial"/>
        </w:rPr>
      </w:pPr>
      <w:r w:rsidRPr="00F50E68">
        <w:rPr>
          <w:rFonts w:ascii="Verdana" w:eastAsia="Calibri" w:hAnsi="Verdana" w:cs="Arial"/>
        </w:rPr>
        <w:lastRenderedPageBreak/>
        <w:tab/>
        <w:t xml:space="preserve">En ese orden, se considera que el PAA es un instrumento de planificación y orientación de las Entidades Estatales,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6DC3FDC4" w14:textId="77777777" w:rsidR="002468F0" w:rsidRDefault="002468F0" w:rsidP="002468F0">
      <w:pPr>
        <w:spacing w:after="120" w:line="276" w:lineRule="auto"/>
        <w:ind w:firstLine="709"/>
        <w:jc w:val="both"/>
        <w:rPr>
          <w:rFonts w:ascii="Verdana" w:eastAsia="Calibri" w:hAnsi="Verdana" w:cs="Arial"/>
          <w:lang w:eastAsia="es-ES_tradnl"/>
        </w:rPr>
      </w:pPr>
      <w:r w:rsidRPr="00F50E68">
        <w:rPr>
          <w:rFonts w:ascii="Verdana" w:eastAsia="Times New Roman" w:hAnsi="Verdana" w:cs="Arial"/>
          <w:lang w:eastAsia="es-ES_tradnl"/>
        </w:rPr>
        <w:t xml:space="preserve">Adicionalmente, vale la pena aclarar que pese a que </w:t>
      </w:r>
      <w:r w:rsidRPr="00F50E68">
        <w:rPr>
          <w:rFonts w:ascii="Verdana" w:eastAsia="Calibri" w:hAnsi="Verdana" w:cs="Arial"/>
          <w:lang w:eastAsia="es-ES_tradnl"/>
        </w:rPr>
        <w:t xml:space="preserve">el PAA es un instrumento de planeación, no es el único documento a través del cual se materializa la planeación en un proceso de contratación, el cual también debe atender a los demás instrumentos generales de planeación que obligan a la entidad contratante –por ejemplo, planes de desarrollo nacionales, presupuestos plurianuales, planes territoriales, etc.–, además de requerir la expedición de los estudios técnicos, jurídicos y/o financieros necesarios, según el caso, para determinar la conveniencia y la legalidad de la contratación–art. 25 de la Ley 80 de 1993– , los estudios previos y el análisis del sector relativo a la contratación que se pretende adelantar –2.2.1.1.2.1.1 y 2.2.1.1.1.6.1 del Decreto 1082 de 2015–.  </w:t>
      </w:r>
    </w:p>
    <w:p w14:paraId="12EB4C01" w14:textId="77777777" w:rsidR="002468F0" w:rsidRPr="006A0F21" w:rsidRDefault="002468F0" w:rsidP="002468F0">
      <w:pPr>
        <w:spacing w:after="120" w:line="276" w:lineRule="auto"/>
        <w:jc w:val="both"/>
        <w:rPr>
          <w:rFonts w:ascii="Verdana" w:eastAsia="Calibri" w:hAnsi="Verdana" w:cs="Arial"/>
          <w:lang w:val="es-ES" w:eastAsia="es-ES_tradnl"/>
        </w:rPr>
      </w:pPr>
      <w:proofErr w:type="spellStart"/>
      <w:r>
        <w:rPr>
          <w:rFonts w:ascii="Verdana" w:eastAsia="Calibri" w:hAnsi="Verdana" w:cs="Arial"/>
          <w:lang w:eastAsia="es-ES_tradnl"/>
        </w:rPr>
        <w:t>ii</w:t>
      </w:r>
      <w:proofErr w:type="spellEnd"/>
      <w:r>
        <w:rPr>
          <w:rFonts w:ascii="Verdana" w:eastAsia="Calibri" w:hAnsi="Verdana" w:cs="Arial"/>
          <w:lang w:eastAsia="es-ES_tradnl"/>
        </w:rPr>
        <w:t xml:space="preserve">) </w:t>
      </w:r>
      <w:r w:rsidRPr="006A0F21">
        <w:rPr>
          <w:rFonts w:ascii="Verdana" w:eastAsia="Calibri" w:hAnsi="Verdana" w:cs="Arial"/>
          <w:lang w:eastAsia="es-ES_tradnl"/>
        </w:rPr>
        <w:t xml:space="preserve">La Ley 1150 de 2007, en el artículo 2, establece 5 modalidades de selección para la escogencia del contratista, y fija las reglas de cada modalidad: licitación pública, selección abreviada, concurso de méritos, mínima cuantía y contratación directa. </w:t>
      </w:r>
    </w:p>
    <w:p w14:paraId="67CF8951" w14:textId="77777777" w:rsidR="002468F0" w:rsidRPr="006A0F21" w:rsidRDefault="002468F0" w:rsidP="002468F0">
      <w:pPr>
        <w:spacing w:after="120" w:line="276" w:lineRule="auto"/>
        <w:ind w:firstLine="709"/>
        <w:jc w:val="both"/>
        <w:rPr>
          <w:rFonts w:ascii="Verdana" w:eastAsia="Calibri" w:hAnsi="Verdana" w:cs="Arial"/>
          <w:lang w:eastAsia="es-ES_tradnl"/>
        </w:rPr>
      </w:pPr>
      <w:r w:rsidRPr="006A0F21">
        <w:rPr>
          <w:rFonts w:ascii="Verdana" w:eastAsia="Calibri" w:hAnsi="Verdana" w:cs="Arial"/>
          <w:lang w:eastAsia="es-ES_tradnl"/>
        </w:rPr>
        <w:t xml:space="preserve">Ahora bien, las modalidades de selección pueden dividirse doctrinariamente en i) competitivas y </w:t>
      </w:r>
      <w:proofErr w:type="spellStart"/>
      <w:r w:rsidRPr="006A0F21">
        <w:rPr>
          <w:rFonts w:ascii="Verdana" w:eastAsia="Calibri" w:hAnsi="Verdana" w:cs="Arial"/>
          <w:lang w:eastAsia="es-ES_tradnl"/>
        </w:rPr>
        <w:t>ii</w:t>
      </w:r>
      <w:proofErr w:type="spellEnd"/>
      <w:r w:rsidRPr="006A0F21">
        <w:rPr>
          <w:rFonts w:ascii="Verdana" w:eastAsia="Calibri" w:hAnsi="Verdana" w:cs="Arial"/>
          <w:lang w:eastAsia="es-ES_tradnl"/>
        </w:rPr>
        <w:t>) no competitivas. La Guía de competencia en las compras públicas</w:t>
      </w:r>
      <w:r>
        <w:rPr>
          <w:rStyle w:val="Refdenotaalpie"/>
          <w:rFonts w:ascii="Verdana" w:eastAsia="Calibri" w:hAnsi="Verdana" w:cs="Arial"/>
          <w:lang w:eastAsia="es-ES_tradnl"/>
        </w:rPr>
        <w:footnoteReference w:id="6"/>
      </w:r>
      <w:r w:rsidRPr="006A0F21">
        <w:rPr>
          <w:rFonts w:ascii="Verdana" w:eastAsia="Calibri" w:hAnsi="Verdana" w:cs="Arial"/>
          <w:lang w:eastAsia="es-ES_tradnl"/>
        </w:rPr>
        <w:t xml:space="preserve">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w:t>
      </w:r>
      <w:r w:rsidRPr="006A0F21">
        <w:rPr>
          <w:rFonts w:ascii="Verdana" w:eastAsia="Calibri" w:hAnsi="Verdana" w:cs="Arial"/>
          <w:vertAlign w:val="superscript"/>
          <w:lang w:eastAsia="es-ES_tradnl"/>
        </w:rPr>
        <w:footnoteReference w:id="7"/>
      </w:r>
      <w:r w:rsidRPr="006A0F21">
        <w:rPr>
          <w:rFonts w:ascii="Verdana" w:eastAsia="Calibri" w:hAnsi="Verdana" w:cs="Arial"/>
          <w:lang w:eastAsia="es-ES_tradnl"/>
        </w:rPr>
        <w:t xml:space="preserve">. </w:t>
      </w:r>
    </w:p>
    <w:p w14:paraId="1FD3E928" w14:textId="77777777" w:rsidR="002468F0" w:rsidRPr="006A0F21" w:rsidRDefault="002468F0" w:rsidP="002468F0">
      <w:pPr>
        <w:spacing w:after="120" w:line="276" w:lineRule="auto"/>
        <w:ind w:firstLine="709"/>
        <w:jc w:val="both"/>
        <w:rPr>
          <w:rFonts w:ascii="Verdana" w:eastAsia="Calibri" w:hAnsi="Verdana" w:cs="Arial"/>
          <w:lang w:eastAsia="es-ES_tradnl"/>
        </w:rPr>
      </w:pPr>
      <w:r w:rsidRPr="006A0F21">
        <w:rPr>
          <w:rFonts w:ascii="Verdana" w:eastAsia="Calibri" w:hAnsi="Verdana" w:cs="Arial"/>
          <w:lang w:eastAsia="es-ES_tradnl"/>
        </w:rPr>
        <w:t xml:space="preserve">Por tanto, modalidades como la licitación pública, la selección abreviada, el concurso de méritos y la mínima cuantía son modalidades de selección </w:t>
      </w:r>
      <w:r w:rsidRPr="006A0F21">
        <w:rPr>
          <w:rFonts w:ascii="Verdana" w:eastAsia="Calibri" w:hAnsi="Verdana" w:cs="Arial"/>
          <w:lang w:eastAsia="es-ES_tradnl"/>
        </w:rPr>
        <w:lastRenderedPageBreak/>
        <w:t xml:space="preserve">competitivas o abiertas a competencia, ya que en ellas tiene lugar la participación de varios proponentes en una fase pública de presentación de ofertas. Esto permite que todas las personas interesadas concurran al proceso en igualdad de condiciones y compitan en el mismo. </w:t>
      </w:r>
    </w:p>
    <w:p w14:paraId="1FA45942" w14:textId="77777777" w:rsidR="002468F0" w:rsidRPr="0050411E" w:rsidRDefault="002468F0" w:rsidP="002468F0">
      <w:pPr>
        <w:spacing w:after="120" w:line="276" w:lineRule="auto"/>
        <w:ind w:firstLine="709"/>
        <w:jc w:val="both"/>
        <w:rPr>
          <w:rFonts w:ascii="Verdana" w:eastAsia="Times New Roman" w:hAnsi="Verdana" w:cs="Arial"/>
          <w:lang w:eastAsia="es-ES_tradnl"/>
        </w:rPr>
      </w:pPr>
      <w:r>
        <w:rPr>
          <w:rFonts w:ascii="Verdana" w:eastAsia="Calibri" w:hAnsi="Verdana" w:cs="Arial"/>
        </w:rPr>
        <w:t>A</w:t>
      </w:r>
      <w:r w:rsidRPr="00E853DE">
        <w:rPr>
          <w:rFonts w:ascii="Verdana" w:eastAsia="Calibri" w:hAnsi="Verdana" w:cs="Arial"/>
          <w:bCs/>
          <w:color w:val="000000" w:themeColor="text1"/>
        </w:rPr>
        <w:t>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F00F584" w14:textId="77777777" w:rsidR="002468F0" w:rsidRPr="00224F57" w:rsidRDefault="002468F0" w:rsidP="002468F0">
      <w:pPr>
        <w:spacing w:after="120" w:line="276" w:lineRule="auto"/>
        <w:ind w:firstLine="709"/>
        <w:jc w:val="both"/>
        <w:rPr>
          <w:rFonts w:ascii="Verdana" w:eastAsia="Calibri" w:hAnsi="Verdana" w:cs="Arial"/>
        </w:rPr>
      </w:pPr>
      <w:r w:rsidRPr="00E853DE">
        <w:rPr>
          <w:rFonts w:ascii="Verdana" w:eastAsia="Calibri" w:hAnsi="Verdana" w:cs="Arial"/>
          <w:bCs/>
          <w:color w:val="000000" w:themeColor="text1"/>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bookmarkStart w:id="2" w:name="_Hlk204854194"/>
    </w:p>
    <w:p w14:paraId="62D7C02A" w14:textId="77777777" w:rsidR="002468F0" w:rsidRDefault="002468F0" w:rsidP="002468F0">
      <w:pPr>
        <w:spacing w:after="0" w:line="276" w:lineRule="auto"/>
        <w:jc w:val="both"/>
        <w:rPr>
          <w:rFonts w:ascii="Verdana" w:eastAsia="Century Gothic" w:hAnsi="Verdana" w:cs="Century Gothic"/>
          <w:b/>
          <w:bCs/>
        </w:rPr>
      </w:pPr>
      <w:r w:rsidRPr="00237877">
        <w:rPr>
          <w:rFonts w:ascii="Verdana" w:hAnsi="Verdana" w:cs="Arial"/>
          <w:b/>
          <w:color w:val="000000" w:themeColor="text1"/>
        </w:rPr>
        <w:t>4.</w:t>
      </w:r>
      <w:r>
        <w:rPr>
          <w:rFonts w:ascii="Verdana" w:hAnsi="Verdana" w:cs="Arial"/>
          <w:bCs/>
          <w:color w:val="000000" w:themeColor="text1"/>
        </w:rPr>
        <w:t xml:space="preserve"> </w:t>
      </w:r>
      <w:r w:rsidRPr="005644FE">
        <w:rPr>
          <w:rFonts w:ascii="Verdana" w:eastAsia="Century Gothic" w:hAnsi="Verdana" w:cs="Century Gothic"/>
          <w:b/>
          <w:bCs/>
        </w:rPr>
        <w:t>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2"/>
    </w:p>
    <w:p w14:paraId="09F3E4CD" w14:textId="77777777" w:rsidR="002468F0" w:rsidRPr="00E5656D" w:rsidRDefault="002468F0" w:rsidP="002468F0">
      <w:pPr>
        <w:spacing w:after="0" w:line="276" w:lineRule="auto"/>
        <w:jc w:val="both"/>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468F0" w:rsidRPr="002D2C18" w14:paraId="01B49824" w14:textId="77777777" w:rsidTr="00A657E1">
        <w:trPr>
          <w:trHeight w:val="56"/>
          <w:jc w:val="center"/>
        </w:trPr>
        <w:tc>
          <w:tcPr>
            <w:tcW w:w="8647" w:type="dxa"/>
          </w:tcPr>
          <w:p w14:paraId="6C9D4245" w14:textId="77777777" w:rsidR="002468F0" w:rsidRPr="00702F1D" w:rsidRDefault="002468F0" w:rsidP="00A657E1">
            <w:pPr>
              <w:pStyle w:val="Prrafodelista"/>
              <w:numPr>
                <w:ilvl w:val="0"/>
                <w:numId w:val="17"/>
              </w:numPr>
              <w:spacing w:before="120" w:line="276" w:lineRule="auto"/>
              <w:jc w:val="both"/>
              <w:rPr>
                <w:rFonts w:ascii="Verdana" w:hAnsi="Verdana" w:cs="Arial"/>
                <w:lang w:eastAsia="es-ES"/>
              </w:rPr>
            </w:pPr>
            <w:r>
              <w:rPr>
                <w:rFonts w:ascii="Verdana" w:hAnsi="Verdana" w:cs="Arial"/>
                <w:lang w:eastAsia="es-ES"/>
              </w:rPr>
              <w:t>Ley 80 de 1993. Artículos 21, 23, 25, 30.</w:t>
            </w:r>
            <w:r w:rsidRPr="00702F1D">
              <w:rPr>
                <w:rFonts w:ascii="Verdana" w:hAnsi="Verdana" w:cs="Arial"/>
                <w:lang w:eastAsia="es-ES"/>
              </w:rPr>
              <w:t xml:space="preserve"> </w:t>
            </w:r>
          </w:p>
          <w:p w14:paraId="68043AF0" w14:textId="77777777" w:rsidR="002468F0" w:rsidRDefault="002468F0" w:rsidP="00A657E1">
            <w:pPr>
              <w:pStyle w:val="Prrafodelista"/>
              <w:numPr>
                <w:ilvl w:val="0"/>
                <w:numId w:val="17"/>
              </w:numPr>
              <w:spacing w:before="120" w:line="276" w:lineRule="auto"/>
              <w:jc w:val="both"/>
              <w:rPr>
                <w:rFonts w:ascii="Verdana" w:hAnsi="Verdana" w:cs="Arial"/>
                <w:lang w:eastAsia="es-ES"/>
              </w:rPr>
            </w:pPr>
            <w:r w:rsidRPr="00F50E68">
              <w:rPr>
                <w:rFonts w:ascii="Verdana" w:eastAsia="Calibri" w:hAnsi="Verdana" w:cs="Arial"/>
              </w:rPr>
              <w:t>Ley 1474 de 2011</w:t>
            </w:r>
            <w:r>
              <w:rPr>
                <w:rFonts w:ascii="Verdana" w:eastAsia="Calibri" w:hAnsi="Verdana" w:cs="Arial"/>
              </w:rPr>
              <w:t>. Artículo 74.</w:t>
            </w:r>
          </w:p>
          <w:p w14:paraId="0555FC5B" w14:textId="77777777" w:rsidR="002468F0" w:rsidRDefault="002468F0" w:rsidP="00A657E1">
            <w:pPr>
              <w:pStyle w:val="Prrafodelista"/>
              <w:spacing w:before="120" w:line="276" w:lineRule="auto"/>
              <w:jc w:val="both"/>
              <w:rPr>
                <w:rFonts w:ascii="Verdana" w:hAnsi="Verdana" w:cs="Arial"/>
                <w:lang w:eastAsia="es-ES"/>
              </w:rPr>
            </w:pPr>
            <w:r w:rsidRPr="0035204D">
              <w:rPr>
                <w:rFonts w:ascii="Verdana" w:hAnsi="Verdana" w:cs="Arial"/>
                <w:lang w:eastAsia="es-ES"/>
              </w:rPr>
              <w:t xml:space="preserve">Consejo de Estado. Sala de consulta y servicio civil. Sentencia del 20 de febrero de 2006. </w:t>
            </w:r>
            <w:proofErr w:type="spellStart"/>
            <w:r w:rsidRPr="0035204D">
              <w:rPr>
                <w:rFonts w:ascii="Verdana" w:hAnsi="Verdana" w:cs="Arial"/>
                <w:lang w:eastAsia="es-ES"/>
              </w:rPr>
              <w:t>Exp</w:t>
            </w:r>
            <w:proofErr w:type="spellEnd"/>
            <w:r w:rsidRPr="0035204D">
              <w:rPr>
                <w:rFonts w:ascii="Verdana" w:hAnsi="Verdana" w:cs="Arial"/>
                <w:lang w:eastAsia="es-ES"/>
              </w:rPr>
              <w:t>. 1.727. C.P: Enrique José Arboleda Perdomo.</w:t>
            </w:r>
          </w:p>
          <w:p w14:paraId="4EBEE981" w14:textId="77777777" w:rsidR="002468F0" w:rsidRDefault="002468F0" w:rsidP="00A657E1">
            <w:pPr>
              <w:pStyle w:val="Prrafodelista"/>
              <w:numPr>
                <w:ilvl w:val="0"/>
                <w:numId w:val="17"/>
              </w:numPr>
              <w:spacing w:before="120" w:line="276" w:lineRule="auto"/>
              <w:jc w:val="both"/>
              <w:rPr>
                <w:rFonts w:ascii="Verdana" w:hAnsi="Verdana" w:cs="Arial"/>
                <w:lang w:eastAsia="es-ES"/>
              </w:rPr>
            </w:pPr>
            <w:r w:rsidRPr="0035204D">
              <w:rPr>
                <w:rFonts w:ascii="Verdana" w:hAnsi="Verdana" w:cs="Arial"/>
                <w:lang w:eastAsia="es-ES"/>
              </w:rPr>
              <w:t xml:space="preserve">Consejo de Estado. Sala de lo Contencioso Administrativo. Sección Tercera. Sentencia del 29 de abril de 2015. </w:t>
            </w:r>
            <w:proofErr w:type="spellStart"/>
            <w:r w:rsidRPr="0035204D">
              <w:rPr>
                <w:rFonts w:ascii="Verdana" w:hAnsi="Verdana" w:cs="Arial"/>
                <w:lang w:eastAsia="es-ES"/>
              </w:rPr>
              <w:t>Exp</w:t>
            </w:r>
            <w:proofErr w:type="spellEnd"/>
            <w:r w:rsidRPr="0035204D">
              <w:rPr>
                <w:rFonts w:ascii="Verdana" w:hAnsi="Verdana" w:cs="Arial"/>
                <w:lang w:eastAsia="es-ES"/>
              </w:rPr>
              <w:t xml:space="preserve">. 29.201. C.P. Olga Melida Valle de </w:t>
            </w:r>
            <w:proofErr w:type="spellStart"/>
            <w:r w:rsidRPr="0035204D">
              <w:rPr>
                <w:rFonts w:ascii="Verdana" w:hAnsi="Verdana" w:cs="Arial"/>
                <w:lang w:eastAsia="es-ES"/>
              </w:rPr>
              <w:t>De</w:t>
            </w:r>
            <w:proofErr w:type="spellEnd"/>
            <w:r w:rsidRPr="0035204D">
              <w:rPr>
                <w:rFonts w:ascii="Verdana" w:hAnsi="Verdana" w:cs="Arial"/>
                <w:lang w:eastAsia="es-ES"/>
              </w:rPr>
              <w:t xml:space="preserve"> La Hoz.</w:t>
            </w:r>
          </w:p>
          <w:p w14:paraId="0D10C76B" w14:textId="77777777" w:rsidR="002468F0" w:rsidRPr="0035204D" w:rsidRDefault="002468F0" w:rsidP="00A657E1">
            <w:pPr>
              <w:pStyle w:val="Prrafodelista"/>
              <w:numPr>
                <w:ilvl w:val="0"/>
                <w:numId w:val="17"/>
              </w:numPr>
              <w:spacing w:before="120" w:line="276" w:lineRule="auto"/>
              <w:jc w:val="both"/>
              <w:rPr>
                <w:rFonts w:ascii="Verdana" w:hAnsi="Verdana" w:cs="Arial"/>
                <w:lang w:eastAsia="es-ES"/>
              </w:rPr>
            </w:pPr>
            <w:r w:rsidRPr="002A2913">
              <w:rPr>
                <w:rFonts w:ascii="Verdana" w:hAnsi="Verdana" w:cs="Arial"/>
                <w:lang w:eastAsia="es-ES"/>
              </w:rPr>
              <w:t xml:space="preserve">Consejo de Estado. Sala de lo Contencioso Administrativo. Sección Tercera. Subsección A. Sentencia del 25 de octubre de 2019. </w:t>
            </w:r>
            <w:proofErr w:type="spellStart"/>
            <w:r w:rsidRPr="002A2913">
              <w:rPr>
                <w:rFonts w:ascii="Verdana" w:hAnsi="Verdana" w:cs="Arial"/>
                <w:lang w:eastAsia="es-ES"/>
              </w:rPr>
              <w:t>Exp</w:t>
            </w:r>
            <w:proofErr w:type="spellEnd"/>
            <w:r w:rsidRPr="002A2913">
              <w:rPr>
                <w:rFonts w:ascii="Verdana" w:hAnsi="Verdana" w:cs="Arial"/>
                <w:lang w:eastAsia="es-ES"/>
              </w:rPr>
              <w:t>. 39.945. C.P: María Adriana Marín</w:t>
            </w:r>
            <w:r>
              <w:rPr>
                <w:rFonts w:ascii="Verdana" w:hAnsi="Verdana" w:cs="Arial"/>
                <w:lang w:eastAsia="es-ES"/>
              </w:rPr>
              <w:t>.</w:t>
            </w:r>
          </w:p>
          <w:p w14:paraId="57BF0745" w14:textId="77777777" w:rsidR="002468F0" w:rsidRPr="0035204D" w:rsidRDefault="002468F0" w:rsidP="00A657E1">
            <w:pPr>
              <w:pStyle w:val="Prrafodelista"/>
              <w:numPr>
                <w:ilvl w:val="0"/>
                <w:numId w:val="17"/>
              </w:numPr>
              <w:spacing w:before="120" w:line="276" w:lineRule="auto"/>
              <w:jc w:val="both"/>
              <w:rPr>
                <w:rFonts w:ascii="Verdana" w:hAnsi="Verdana" w:cs="Arial"/>
                <w:lang w:eastAsia="es-ES"/>
              </w:rPr>
            </w:pPr>
            <w:r w:rsidRPr="0035204D">
              <w:rPr>
                <w:rFonts w:ascii="Verdana" w:hAnsi="Verdana" w:cs="Arial"/>
                <w:lang w:val="pt-BR"/>
              </w:rPr>
              <w:t xml:space="preserve">Corte Constitucional. Sentencia C-713 de 2009. </w:t>
            </w:r>
            <w:r w:rsidRPr="0035204D">
              <w:rPr>
                <w:rFonts w:ascii="Verdana" w:hAnsi="Verdana" w:cs="Arial"/>
              </w:rPr>
              <w:t>M.P. María Victoria Calle Correa.</w:t>
            </w:r>
          </w:p>
          <w:p w14:paraId="5686D322" w14:textId="77777777" w:rsidR="002468F0" w:rsidRPr="0035204D" w:rsidRDefault="002468F0" w:rsidP="00A657E1">
            <w:pPr>
              <w:pStyle w:val="Prrafodelista"/>
              <w:numPr>
                <w:ilvl w:val="0"/>
                <w:numId w:val="17"/>
              </w:numPr>
              <w:spacing w:before="120" w:line="276" w:lineRule="auto"/>
              <w:jc w:val="both"/>
              <w:rPr>
                <w:rFonts w:ascii="Verdana" w:hAnsi="Verdana" w:cs="Arial"/>
                <w:lang w:eastAsia="es-ES"/>
              </w:rPr>
            </w:pPr>
            <w:r w:rsidRPr="0035204D">
              <w:rPr>
                <w:rFonts w:ascii="Verdana" w:hAnsi="Verdana"/>
              </w:rPr>
              <w:lastRenderedPageBreak/>
              <w:t xml:space="preserve">Guía para elaborar el plan anual de adquisiciones. Disponible en </w:t>
            </w:r>
            <w:hyperlink r:id="rId12" w:history="1">
              <w:r w:rsidRPr="0035204D">
                <w:rPr>
                  <w:rStyle w:val="Hipervnculo"/>
                  <w:rFonts w:ascii="Verdana" w:hAnsi="Verdana"/>
                  <w:lang w:val="es-CO"/>
                </w:rPr>
                <w:t>guia_para_elaborar_el_plan_anual_de_adquisiciones_0.pdf</w:t>
              </w:r>
            </w:hyperlink>
          </w:p>
          <w:p w14:paraId="0D5E9CDE" w14:textId="77777777" w:rsidR="002468F0" w:rsidRPr="0035204D" w:rsidRDefault="002468F0" w:rsidP="00A657E1">
            <w:pPr>
              <w:pStyle w:val="Prrafodelista"/>
              <w:numPr>
                <w:ilvl w:val="0"/>
                <w:numId w:val="17"/>
              </w:numPr>
              <w:spacing w:before="120" w:line="276" w:lineRule="auto"/>
              <w:jc w:val="both"/>
              <w:rPr>
                <w:rFonts w:ascii="Verdana" w:hAnsi="Verdana" w:cs="Arial"/>
                <w:lang w:eastAsia="es-ES"/>
              </w:rPr>
            </w:pPr>
            <w:r w:rsidRPr="0035204D">
              <w:rPr>
                <w:rFonts w:ascii="Verdana" w:hAnsi="Verdana"/>
              </w:rPr>
              <w:t xml:space="preserve">Guía de competencia en las compras públicas- Disponible en </w:t>
            </w:r>
            <w:hyperlink r:id="rId13" w:history="1">
              <w:r w:rsidRPr="0035204D">
                <w:rPr>
                  <w:rStyle w:val="Hipervnculo"/>
                  <w:rFonts w:ascii="Verdana" w:hAnsi="Verdana"/>
                  <w:lang w:val="es-CO"/>
                </w:rPr>
                <w:t>cce_guia_competencia_0.pdf</w:t>
              </w:r>
            </w:hyperlink>
          </w:p>
        </w:tc>
      </w:tr>
    </w:tbl>
    <w:p w14:paraId="083D45FE" w14:textId="77777777" w:rsidR="002468F0" w:rsidRDefault="002468F0" w:rsidP="002468F0">
      <w:pPr>
        <w:tabs>
          <w:tab w:val="left" w:pos="142"/>
          <w:tab w:val="left" w:pos="284"/>
          <w:tab w:val="left" w:pos="3828"/>
        </w:tabs>
        <w:spacing w:after="0" w:line="276" w:lineRule="auto"/>
        <w:jc w:val="both"/>
        <w:rPr>
          <w:rFonts w:ascii="Verdana" w:eastAsia="Century Gothic" w:hAnsi="Verdana" w:cs="Century Gothic"/>
          <w:b/>
          <w:bCs/>
        </w:rPr>
      </w:pPr>
    </w:p>
    <w:p w14:paraId="1D591600" w14:textId="77777777" w:rsidR="00643F49" w:rsidRDefault="00643F49" w:rsidP="002468F0">
      <w:pPr>
        <w:tabs>
          <w:tab w:val="left" w:pos="142"/>
          <w:tab w:val="left" w:pos="284"/>
          <w:tab w:val="left" w:pos="3828"/>
        </w:tabs>
        <w:spacing w:after="0" w:line="276" w:lineRule="auto"/>
        <w:jc w:val="both"/>
        <w:rPr>
          <w:rFonts w:ascii="Verdana" w:eastAsia="Century Gothic" w:hAnsi="Verdana" w:cs="Century Gothic"/>
          <w:b/>
          <w:bCs/>
        </w:rPr>
      </w:pPr>
    </w:p>
    <w:p w14:paraId="31B2DB7F" w14:textId="77777777" w:rsidR="002468F0" w:rsidRPr="0091091D" w:rsidRDefault="002468F0" w:rsidP="002468F0">
      <w:pPr>
        <w:tabs>
          <w:tab w:val="left" w:pos="142"/>
          <w:tab w:val="left" w:pos="284"/>
          <w:tab w:val="left" w:pos="3828"/>
        </w:tabs>
        <w:spacing w:after="0" w:line="276" w:lineRule="auto"/>
        <w:jc w:val="both"/>
        <w:rPr>
          <w:rFonts w:ascii="Verdana" w:eastAsia="Century Gothic" w:hAnsi="Verdana" w:cs="Century Gothic"/>
          <w:b/>
          <w:bCs/>
        </w:rPr>
      </w:pPr>
      <w:r w:rsidRPr="0091091D">
        <w:rPr>
          <w:rFonts w:ascii="Verdana" w:eastAsia="Century Gothic" w:hAnsi="Verdana" w:cs="Century Gothic"/>
          <w:b/>
          <w:bCs/>
        </w:rPr>
        <w:t>5. Doctrina de la Agencia Nacional de Contratación Pública:</w:t>
      </w:r>
    </w:p>
    <w:p w14:paraId="359B66C7" w14:textId="77777777" w:rsidR="002468F0" w:rsidRPr="007A3DD4" w:rsidRDefault="002468F0" w:rsidP="002468F0">
      <w:pPr>
        <w:widowControl w:val="0"/>
        <w:autoSpaceDE w:val="0"/>
        <w:autoSpaceDN w:val="0"/>
        <w:spacing w:after="0" w:line="240" w:lineRule="auto"/>
        <w:jc w:val="both"/>
        <w:rPr>
          <w:rStyle w:val="normaltextrun"/>
          <w:rFonts w:ascii="Verdana" w:hAnsi="Verdana" w:cs="Arial"/>
          <w:shd w:val="clear" w:color="auto" w:fill="FFFFFF"/>
        </w:rPr>
      </w:pPr>
    </w:p>
    <w:p w14:paraId="25C2AE1C" w14:textId="77777777" w:rsidR="002468F0" w:rsidRDefault="002468F0" w:rsidP="002468F0">
      <w:pPr>
        <w:widowControl w:val="0"/>
        <w:autoSpaceDE w:val="0"/>
        <w:autoSpaceDN w:val="0"/>
        <w:spacing w:after="120" w:line="276" w:lineRule="auto"/>
        <w:jc w:val="both"/>
        <w:rPr>
          <w:rFonts w:ascii="Verdana" w:hAnsi="Verdana" w:cs="Arial"/>
          <w:shd w:val="clear" w:color="auto" w:fill="FFFFFF"/>
          <w:lang w:val="es-ES"/>
        </w:rPr>
      </w:pPr>
      <w:r w:rsidRPr="006A0F21">
        <w:rPr>
          <w:rFonts w:ascii="Verdana" w:hAnsi="Verdana" w:cs="Arial"/>
          <w:shd w:val="clear" w:color="auto" w:fill="FFFFFF"/>
          <w:lang w:val="es-ES_tradnl"/>
        </w:rPr>
        <w:t>La Agencia Nacional de Contratación Pública – Colombia Compra Eficiente se</w:t>
      </w:r>
      <w:r>
        <w:rPr>
          <w:rFonts w:ascii="Verdana" w:hAnsi="Verdana" w:cs="Arial"/>
          <w:shd w:val="clear" w:color="auto" w:fill="FFFFFF"/>
          <w:lang w:val="es-ES_tradnl"/>
        </w:rPr>
        <w:t xml:space="preserve"> ha pronunciado sobre </w:t>
      </w:r>
      <w:r w:rsidRPr="00F50E68">
        <w:rPr>
          <w:rFonts w:ascii="Verdana" w:eastAsia="Aptos" w:hAnsi="Verdana" w:cs="Arial"/>
          <w:shd w:val="clear" w:color="auto" w:fill="FFFFFF"/>
          <w:lang w:val="es-ES"/>
        </w:rPr>
        <w:t xml:space="preserve">el marco jurídico </w:t>
      </w:r>
      <w:r>
        <w:rPr>
          <w:rFonts w:ascii="Verdana" w:eastAsia="Aptos" w:hAnsi="Verdana" w:cs="Arial"/>
          <w:shd w:val="clear" w:color="auto" w:fill="FFFFFF"/>
          <w:lang w:val="es-ES"/>
        </w:rPr>
        <w:t xml:space="preserve">y el alcance </w:t>
      </w:r>
      <w:r w:rsidRPr="00F50E68">
        <w:rPr>
          <w:rFonts w:ascii="Verdana" w:eastAsia="Aptos" w:hAnsi="Verdana" w:cs="Arial"/>
          <w:shd w:val="clear" w:color="auto" w:fill="FFFFFF"/>
          <w:lang w:val="es-ES"/>
        </w:rPr>
        <w:t xml:space="preserve">del PAA en los </w:t>
      </w:r>
      <w:r>
        <w:rPr>
          <w:rFonts w:ascii="Verdana" w:eastAsia="Aptos" w:hAnsi="Verdana" w:cs="Arial"/>
          <w:shd w:val="clear" w:color="auto" w:fill="FFFFFF"/>
          <w:lang w:val="es-ES"/>
        </w:rPr>
        <w:t>c</w:t>
      </w:r>
      <w:r w:rsidRPr="00F50E68">
        <w:rPr>
          <w:rFonts w:ascii="Verdana" w:eastAsia="Aptos" w:hAnsi="Verdana" w:cs="Arial"/>
          <w:shd w:val="clear" w:color="auto" w:fill="FFFFFF"/>
          <w:lang w:val="es-ES"/>
        </w:rPr>
        <w:t xml:space="preserve">onceptos </w:t>
      </w:r>
      <w:r w:rsidRPr="00F50E68">
        <w:rPr>
          <w:rFonts w:ascii="Verdana" w:eastAsia="Calibri" w:hAnsi="Verdana" w:cs="Arial"/>
          <w:lang w:val="es-ES_tradnl" w:eastAsia="es-MX"/>
        </w:rPr>
        <w:t>C-257 de 3 de junio de 2021, C-258 de 3 de junio de 2021, C-345 de 13 de julio de 2021, C-376 de 26 de julio de 2021, C-489 de 13 de septiembre de 2021, C-637 del 7 de diciembre de 2021, C-733 del 13 de enero de 2022,  C-026 del 18 de febrero de 2022, C-027 del 25 de febrero de 2022, C-047 del 2 de marzo de 2022, C-087 del 17 de marzo de 2022, C-408 del 23 de junio de 2022, C-622 de 28 de septiembre de 2022, C-754 de 9 de noviembre de 2022 , C-763 de 15 de noviembre de 2022, C-889 de 26 de diciembre de 2022, C-062 del 18 de abril de 2023, C-142 de 30 de mayo de 2023, C-196 de 15 de junio de 2023, C-122 de 21 de junio de 2023, C-364 de 6 de septiembre de 2023, C-438 del 24 de octubre 2023</w:t>
      </w:r>
      <w:r w:rsidRPr="00F50E68">
        <w:rPr>
          <w:rFonts w:ascii="Verdana" w:eastAsia="Aptos" w:hAnsi="Verdana" w:cs="Arial"/>
          <w:shd w:val="clear" w:color="auto" w:fill="FFFFFF"/>
          <w:lang w:val="es-ES"/>
        </w:rPr>
        <w:t xml:space="preserve">, C-887 del 20 de diciembre de 2024, C-934 del 30 de diciembre de 2024, C-1015 del 30 de diciembre de 2024, C-023 del 29 de enero de 2025, </w:t>
      </w:r>
      <w:r>
        <w:rPr>
          <w:rFonts w:ascii="Verdana" w:eastAsia="Aptos" w:hAnsi="Verdana" w:cs="Arial"/>
          <w:shd w:val="clear" w:color="auto" w:fill="FFFFFF"/>
          <w:lang w:val="es-ES"/>
        </w:rPr>
        <w:t xml:space="preserve">C-327 del 10 de abril de 2026, C-424 del 22 de mayo de 2026, </w:t>
      </w:r>
      <w:r w:rsidRPr="00622C01">
        <w:rPr>
          <w:rFonts w:ascii="Verdana" w:hAnsi="Verdana" w:cs="Arial"/>
          <w:shd w:val="clear" w:color="auto" w:fill="FFFFFF"/>
          <w:lang w:val="es-ES"/>
        </w:rPr>
        <w:t>entre otro</w:t>
      </w:r>
      <w:r>
        <w:rPr>
          <w:rFonts w:ascii="Verdana" w:hAnsi="Verdana" w:cs="Arial"/>
          <w:shd w:val="clear" w:color="auto" w:fill="FFFFFF"/>
          <w:lang w:val="es-ES"/>
        </w:rPr>
        <w:t>s</w:t>
      </w:r>
      <w:r w:rsidRPr="00622C01">
        <w:rPr>
          <w:rFonts w:ascii="Verdana" w:hAnsi="Verdana" w:cs="Arial"/>
          <w:shd w:val="clear" w:color="auto" w:fill="FFFFFF"/>
          <w:lang w:val="es-ES"/>
        </w:rPr>
        <w:t>.</w:t>
      </w:r>
      <w:r>
        <w:rPr>
          <w:rFonts w:ascii="Verdana" w:hAnsi="Verdana" w:cs="Arial"/>
          <w:shd w:val="clear" w:color="auto" w:fill="FFFFFF"/>
          <w:lang w:val="es-ES"/>
        </w:rPr>
        <w:t xml:space="preserve"> </w:t>
      </w:r>
    </w:p>
    <w:p w14:paraId="389E20D2" w14:textId="77777777" w:rsidR="002468F0" w:rsidRDefault="002468F0" w:rsidP="002468F0">
      <w:pPr>
        <w:widowControl w:val="0"/>
        <w:autoSpaceDE w:val="0"/>
        <w:autoSpaceDN w:val="0"/>
        <w:spacing w:after="120" w:line="276" w:lineRule="auto"/>
        <w:jc w:val="both"/>
        <w:rPr>
          <w:rFonts w:ascii="Verdana" w:hAnsi="Verdana" w:cs="Arial"/>
          <w:shd w:val="clear" w:color="auto" w:fill="FFFFFF"/>
          <w:lang w:val="es-ES"/>
        </w:rPr>
      </w:pPr>
    </w:p>
    <w:p w14:paraId="255DD80E" w14:textId="77777777" w:rsidR="002468F0" w:rsidRPr="004E0D57" w:rsidRDefault="002468F0" w:rsidP="002468F0">
      <w:pPr>
        <w:widowControl w:val="0"/>
        <w:autoSpaceDE w:val="0"/>
        <w:autoSpaceDN w:val="0"/>
        <w:spacing w:after="0" w:line="276" w:lineRule="auto"/>
        <w:jc w:val="both"/>
        <w:rPr>
          <w:rFonts w:ascii="Verdana" w:hAnsi="Verdana" w:cs="Arial"/>
          <w:color w:val="000000" w:themeColor="text1"/>
          <w:shd w:val="clear" w:color="auto" w:fill="FFFFFF"/>
        </w:rPr>
      </w:pPr>
    </w:p>
    <w:p w14:paraId="1C365AAB" w14:textId="77777777" w:rsidR="002468F0" w:rsidRPr="004E0D57" w:rsidRDefault="002468F0" w:rsidP="002468F0">
      <w:pPr>
        <w:spacing w:after="0"/>
        <w:jc w:val="both"/>
      </w:pPr>
      <w:r w:rsidRPr="004E0D57">
        <w:rPr>
          <w:rFonts w:ascii="Verdana" w:hAnsi="Verdana"/>
        </w:rPr>
        <w:t xml:space="preserve">La sostenibilidad no es una opción, es una obligación. Por ello, la Agencia Nacional de Contratación Pública –Colombia Compra Eficiente– te invita a realizar el </w:t>
      </w:r>
      <w:r w:rsidRPr="004E0D57">
        <w:rPr>
          <w:rFonts w:ascii="Verdana" w:hAnsi="Verdana"/>
          <w:b/>
          <w:bCs/>
        </w:rPr>
        <w:t>Curso de Contratación Pública Sostenible y Socialmente Responsable</w:t>
      </w:r>
      <w:r w:rsidRPr="004E0D57">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4E0D57">
        <w:rPr>
          <w:rFonts w:ascii="Verdana" w:hAnsi="Verdana"/>
        </w:rPr>
        <w:br/>
      </w:r>
      <w:hyperlink r:id="rId14" w:tgtFrame="_new" w:history="1">
        <w:r w:rsidRPr="004E0D57">
          <w:rPr>
            <w:rFonts w:ascii="Verdana" w:hAnsi="Verdana"/>
            <w:color w:val="0000FF"/>
            <w:u w:val="single"/>
          </w:rPr>
          <w:t>https://formacionvirtual.colombiacompra.gov.co/mod/page/view.php?id=3718</w:t>
        </w:r>
      </w:hyperlink>
    </w:p>
    <w:p w14:paraId="6C4113D5" w14:textId="77777777" w:rsidR="002468F0" w:rsidRPr="004E0D57" w:rsidRDefault="002468F0" w:rsidP="002468F0">
      <w:pPr>
        <w:spacing w:after="0"/>
        <w:jc w:val="both"/>
        <w:rPr>
          <w:rFonts w:ascii="Verdana" w:hAnsi="Verdana"/>
        </w:rPr>
      </w:pPr>
    </w:p>
    <w:p w14:paraId="17A2B7AF" w14:textId="77777777" w:rsidR="002468F0" w:rsidRPr="004E0D57" w:rsidRDefault="002468F0" w:rsidP="002468F0">
      <w:pPr>
        <w:spacing w:after="0"/>
        <w:jc w:val="both"/>
      </w:pPr>
      <w:r w:rsidRPr="004E0D57">
        <w:rPr>
          <w:rFonts w:ascii="Verdana" w:hAnsi="Verdana"/>
        </w:rPr>
        <w:t xml:space="preserve">De otro lado, te contamos que esta Agencia ha da un paso decisivo en la estandarización y modernización del </w:t>
      </w:r>
      <w:r w:rsidRPr="004E0D57">
        <w:rPr>
          <w:rFonts w:ascii="Verdana" w:hAnsi="Verdana"/>
          <w:b/>
          <w:bCs/>
        </w:rPr>
        <w:t>sector  social</w:t>
      </w:r>
      <w:r w:rsidRPr="004E0D57">
        <w:rPr>
          <w:rFonts w:ascii="Verdana" w:hAnsi="Verdana"/>
        </w:rPr>
        <w:t xml:space="preserve"> con la expedición de las </w:t>
      </w:r>
      <w:r w:rsidRPr="004E0D57">
        <w:rPr>
          <w:rFonts w:ascii="Verdana" w:hAnsi="Verdana"/>
          <w:b/>
          <w:bCs/>
        </w:rPr>
        <w:t>Resoluciones 539, 540, 541, 952 y 953 de 2025</w:t>
      </w:r>
      <w:r w:rsidRPr="004E0D57">
        <w:rPr>
          <w:rFonts w:ascii="Verdana" w:hAnsi="Verdana"/>
        </w:rPr>
        <w:t xml:space="preserve">, </w:t>
      </w:r>
      <w:r w:rsidRPr="004E0D57">
        <w:rPr>
          <w:rFonts w:ascii="Verdana" w:hAnsi="Verdana"/>
          <w:b/>
          <w:bCs/>
        </w:rPr>
        <w:t xml:space="preserve">mediante las cuales </w:t>
      </w:r>
      <w:r w:rsidRPr="004E0D57">
        <w:rPr>
          <w:rFonts w:ascii="Verdana" w:hAnsi="Verdana"/>
          <w:b/>
          <w:bCs/>
        </w:rPr>
        <w:lastRenderedPageBreak/>
        <w:t>adoptó Documentos Tipo</w:t>
      </w:r>
      <w:r w:rsidRPr="004E0D57">
        <w:rPr>
          <w:rFonts w:ascii="Verdana" w:hAnsi="Verdana"/>
        </w:rPr>
        <w:t xml:space="preserve"> para las modalidades de selección de</w:t>
      </w:r>
      <w:r w:rsidRPr="004E0D57">
        <w:rPr>
          <w:rFonts w:ascii="Verdana" w:hAnsi="Verdana"/>
          <w:b/>
          <w:bCs/>
        </w:rPr>
        <w:t xml:space="preserve"> licitación pública (versión 2), selección abreviada de menor cuantía, mínima cuantía, consultoría e interventoría</w:t>
      </w:r>
      <w:r w:rsidRPr="004E0D57">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4E0D57">
          <w:rPr>
            <w:rFonts w:ascii="Verdana" w:hAnsi="Verdana"/>
            <w:color w:val="0000FF"/>
            <w:u w:val="single"/>
          </w:rPr>
          <w:t>https://www.colombiacompra.gov.co/normativa-y-relatoria/documentos-tipo</w:t>
        </w:r>
      </w:hyperlink>
    </w:p>
    <w:p w14:paraId="586D7E3A" w14:textId="77777777" w:rsidR="002468F0" w:rsidRPr="004E0D57" w:rsidRDefault="002468F0" w:rsidP="002468F0">
      <w:pPr>
        <w:spacing w:after="0"/>
        <w:jc w:val="both"/>
        <w:rPr>
          <w:rFonts w:ascii="Verdana" w:hAnsi="Verdana"/>
        </w:rPr>
      </w:pPr>
    </w:p>
    <w:p w14:paraId="7B90661C" w14:textId="77777777" w:rsidR="002468F0" w:rsidRPr="004E0D57" w:rsidRDefault="002468F0" w:rsidP="002468F0">
      <w:pPr>
        <w:spacing w:after="0"/>
        <w:jc w:val="both"/>
        <w:rPr>
          <w:rFonts w:ascii="Verdana" w:hAnsi="Verdana"/>
        </w:rPr>
      </w:pPr>
      <w:r w:rsidRPr="004E0D57">
        <w:rPr>
          <w:rFonts w:ascii="Verdana" w:hAnsi="Verdana"/>
        </w:rPr>
        <w:t xml:space="preserve">Si quieres conocer más sobre la aplicación de Documentos Tipo puedes consultar la última versión de la </w:t>
      </w:r>
      <w:r w:rsidRPr="004E0D57">
        <w:rPr>
          <w:rFonts w:ascii="Verdana" w:hAnsi="Verdana"/>
          <w:b/>
          <w:bCs/>
        </w:rPr>
        <w:t>Guía para la comprensión e implementación de los Documentos Tipo de obra pública de infraestructura de transporte</w:t>
      </w:r>
      <w:r w:rsidRPr="004E0D57">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4E0D57">
        <w:rPr>
          <w:rFonts w:ascii="Verdana" w:hAnsi="Verdana"/>
        </w:rPr>
        <w:br/>
      </w:r>
      <w:hyperlink r:id="rId16" w:tgtFrame="_new" w:history="1">
        <w:r w:rsidRPr="004E0D57">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6DAA47B7" w14:textId="77777777" w:rsidR="002468F0" w:rsidRPr="004E0D57" w:rsidRDefault="002468F0" w:rsidP="002468F0">
      <w:pPr>
        <w:shd w:val="clear" w:color="auto" w:fill="FFFFFF"/>
        <w:spacing w:after="0" w:line="276" w:lineRule="auto"/>
        <w:jc w:val="both"/>
        <w:rPr>
          <w:rFonts w:ascii="Verdana" w:hAnsi="Verdana"/>
          <w:color w:val="000000"/>
          <w:u w:val="single"/>
        </w:rPr>
      </w:pPr>
    </w:p>
    <w:p w14:paraId="388E27F3" w14:textId="77777777" w:rsidR="002468F0" w:rsidRPr="004E0D57" w:rsidRDefault="002468F0" w:rsidP="002468F0">
      <w:pPr>
        <w:spacing w:after="0"/>
        <w:jc w:val="both"/>
        <w:rPr>
          <w:rFonts w:ascii="Verdana" w:hAnsi="Verdana"/>
        </w:rPr>
      </w:pPr>
      <w:r w:rsidRPr="004E0D57">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09F617B" w14:textId="77777777" w:rsidR="002468F0" w:rsidRPr="004E0D57" w:rsidRDefault="002468F0" w:rsidP="002468F0">
      <w:pPr>
        <w:spacing w:after="0"/>
        <w:jc w:val="both"/>
        <w:rPr>
          <w:rFonts w:ascii="Verdana" w:hAnsi="Verdana"/>
        </w:rPr>
      </w:pPr>
    </w:p>
    <w:p w14:paraId="3D6B7B1C" w14:textId="77777777" w:rsidR="002468F0" w:rsidRPr="004E0D57" w:rsidRDefault="002468F0" w:rsidP="002468F0">
      <w:pPr>
        <w:numPr>
          <w:ilvl w:val="0"/>
          <w:numId w:val="15"/>
        </w:numPr>
        <w:spacing w:after="0" w:line="240" w:lineRule="auto"/>
        <w:contextualSpacing/>
        <w:jc w:val="both"/>
        <w:rPr>
          <w:rFonts w:ascii="Verdana" w:eastAsia="Verdana" w:hAnsi="Verdana" w:cs="Verdana"/>
          <w:color w:val="4472C4" w:themeColor="accent1"/>
          <w:u w:val="single"/>
          <w:lang w:val="es-MX"/>
        </w:rPr>
      </w:pPr>
      <w:r w:rsidRPr="004E0D57">
        <w:rPr>
          <w:rFonts w:ascii="Verdana" w:eastAsia="Verdana" w:hAnsi="Verdana" w:cs="Verdana"/>
          <w:lang w:val="es-MX"/>
        </w:rPr>
        <w:t xml:space="preserve">Línea nacional gratuita o servicio a la ciudadanía (Mesa de servicio): </w:t>
      </w:r>
      <w:r w:rsidRPr="004E0D57">
        <w:rPr>
          <w:rFonts w:ascii="Verdana" w:hAnsi="Verdana"/>
          <w:color w:val="0000FF"/>
          <w:u w:val="single"/>
          <w:lang w:val="es-ES"/>
        </w:rPr>
        <w:t>01800 0520808</w:t>
      </w:r>
    </w:p>
    <w:p w14:paraId="5F5EA954" w14:textId="77777777" w:rsidR="002468F0" w:rsidRPr="004E0D57" w:rsidRDefault="002468F0" w:rsidP="002468F0">
      <w:pPr>
        <w:numPr>
          <w:ilvl w:val="0"/>
          <w:numId w:val="15"/>
        </w:numPr>
        <w:spacing w:after="0"/>
        <w:contextualSpacing/>
        <w:rPr>
          <w:rFonts w:ascii="Verdana" w:eastAsia="Verdana" w:hAnsi="Verdana" w:cs="Verdana"/>
          <w:color w:val="4472C4" w:themeColor="accent1"/>
          <w:u w:val="single"/>
          <w:lang w:val="es-MX"/>
        </w:rPr>
      </w:pPr>
      <w:r w:rsidRPr="004E0D57">
        <w:rPr>
          <w:rFonts w:ascii="Verdana" w:eastAsia="Verdana" w:hAnsi="Verdana" w:cs="Verdana"/>
          <w:lang w:val="es-MX"/>
        </w:rPr>
        <w:t>Línea en Bogotá (Mesa de servicio</w:t>
      </w:r>
      <w:proofErr w:type="gramStart"/>
      <w:r w:rsidRPr="004E0D57">
        <w:rPr>
          <w:rFonts w:ascii="Verdana" w:eastAsia="Verdana" w:hAnsi="Verdana" w:cs="Verdana"/>
          <w:lang w:val="es-MX"/>
        </w:rPr>
        <w:t>):</w:t>
      </w:r>
      <w:r w:rsidRPr="004E0D57">
        <w:rPr>
          <w:rFonts w:ascii="Verdana" w:hAnsi="Verdana"/>
          <w:color w:val="0000FF"/>
          <w:u w:val="single"/>
          <w:lang w:val="es-ES"/>
        </w:rPr>
        <w:t>+</w:t>
      </w:r>
      <w:proofErr w:type="gramEnd"/>
      <w:r w:rsidRPr="004E0D57">
        <w:rPr>
          <w:rFonts w:ascii="Verdana" w:hAnsi="Verdana"/>
          <w:color w:val="0000FF"/>
          <w:u w:val="single"/>
          <w:lang w:val="es-ES"/>
        </w:rPr>
        <w:t>57 601 7456788</w:t>
      </w:r>
    </w:p>
    <w:p w14:paraId="4D92D248" w14:textId="77777777" w:rsidR="002468F0" w:rsidRPr="004E0D57" w:rsidRDefault="002468F0" w:rsidP="002468F0">
      <w:pPr>
        <w:numPr>
          <w:ilvl w:val="0"/>
          <w:numId w:val="15"/>
        </w:numPr>
        <w:spacing w:after="0"/>
        <w:contextualSpacing/>
        <w:rPr>
          <w:rFonts w:ascii="Verdana" w:eastAsia="Verdana" w:hAnsi="Verdana" w:cs="Verdana"/>
          <w:color w:val="0000FF"/>
          <w:u w:val="single"/>
          <w:lang w:val="es-MX"/>
        </w:rPr>
      </w:pPr>
      <w:r w:rsidRPr="004E0D57">
        <w:rPr>
          <w:rFonts w:ascii="Verdana" w:eastAsia="Verdana" w:hAnsi="Verdana" w:cs="Verdana"/>
          <w:lang w:val="es-MX"/>
        </w:rPr>
        <w:t xml:space="preserve">Correo de radicación de correspondencia: </w:t>
      </w:r>
      <w:hyperlink r:id="rId17">
        <w:r w:rsidRPr="004E0D57">
          <w:rPr>
            <w:rFonts w:ascii="Verdana" w:eastAsia="Verdana" w:hAnsi="Verdana" w:cs="Verdana"/>
            <w:color w:val="0000FF"/>
            <w:u w:val="single"/>
            <w:lang w:val="es-MX"/>
          </w:rPr>
          <w:t>ventanilladeradicacion@colombiacompra.gov.co</w:t>
        </w:r>
      </w:hyperlink>
    </w:p>
    <w:p w14:paraId="1499FB09" w14:textId="77777777" w:rsidR="002468F0" w:rsidRPr="004E0D57" w:rsidRDefault="002468F0" w:rsidP="002468F0">
      <w:pPr>
        <w:numPr>
          <w:ilvl w:val="0"/>
          <w:numId w:val="15"/>
        </w:numPr>
        <w:spacing w:after="0"/>
        <w:contextualSpacing/>
        <w:rPr>
          <w:rFonts w:ascii="Verdana" w:eastAsia="Verdana" w:hAnsi="Verdana" w:cs="Verdana"/>
          <w:color w:val="0000FF"/>
          <w:u w:val="single"/>
          <w:lang w:val="es-MX"/>
        </w:rPr>
      </w:pPr>
      <w:r w:rsidRPr="004E0D57">
        <w:rPr>
          <w:rFonts w:ascii="Verdana" w:eastAsia="Verdana" w:hAnsi="Verdana" w:cs="Verdana"/>
          <w:lang w:val="es-ES"/>
        </w:rPr>
        <w:t>Formulario web para</w:t>
      </w:r>
      <w:r w:rsidRPr="004E0D57">
        <w:rPr>
          <w:rFonts w:ascii="Verdana" w:eastAsia="Verdana" w:hAnsi="Verdana" w:cs="Verdana"/>
          <w:lang w:val="es"/>
        </w:rPr>
        <w:t xml:space="preserve"> PQRSD: </w:t>
      </w:r>
      <w:hyperlink r:id="rId18">
        <w:r w:rsidRPr="004E0D57">
          <w:rPr>
            <w:rFonts w:ascii="Verdana" w:eastAsia="Verdana" w:hAnsi="Verdana" w:cs="Verdana"/>
            <w:color w:val="0000FF"/>
            <w:u w:val="single"/>
            <w:lang w:val="es-MX"/>
          </w:rPr>
          <w:t>https://www.colombiacompra.gov.co/pqrsd/informacion-importante-antes-de-formular-una-pqrsd</w:t>
        </w:r>
      </w:hyperlink>
    </w:p>
    <w:p w14:paraId="72404ACE" w14:textId="77777777" w:rsidR="002468F0" w:rsidRPr="004E0D57" w:rsidRDefault="002468F0" w:rsidP="002468F0">
      <w:pPr>
        <w:spacing w:after="0" w:line="240" w:lineRule="auto"/>
        <w:ind w:left="720"/>
        <w:jc w:val="both"/>
        <w:rPr>
          <w:rFonts w:ascii="Verdana" w:hAnsi="Verdana"/>
        </w:rPr>
      </w:pPr>
    </w:p>
    <w:p w14:paraId="2782A611" w14:textId="77777777" w:rsidR="002468F0" w:rsidRPr="004E0D57" w:rsidRDefault="002468F0" w:rsidP="002468F0">
      <w:pPr>
        <w:spacing w:after="0" w:line="240" w:lineRule="auto"/>
        <w:rPr>
          <w:rFonts w:ascii="Verdana" w:hAnsi="Verdana"/>
        </w:rPr>
      </w:pPr>
      <w:r w:rsidRPr="004E0D57">
        <w:rPr>
          <w:rFonts w:ascii="Verdana" w:hAnsi="Verdana"/>
        </w:rPr>
        <w:lastRenderedPageBreak/>
        <w:t xml:space="preserve">Evalúa el servicio que ofrece la Agencia por el canal de atención de PQRSD en el siguiente </w:t>
      </w:r>
      <w:proofErr w:type="gramStart"/>
      <w:r w:rsidRPr="004E0D57">
        <w:rPr>
          <w:rFonts w:ascii="Verdana" w:hAnsi="Verdana"/>
        </w:rPr>
        <w:t>enlace :</w:t>
      </w:r>
      <w:proofErr w:type="gramEnd"/>
      <w:hyperlink r:id="rId19" w:tgtFrame="_blank" w:tooltip="https://forms.office.com/r/pphywvs2sz" w:history="1">
        <w:r w:rsidRPr="004E0D57">
          <w:rPr>
            <w:rFonts w:ascii="Verdana" w:hAnsi="Verdana"/>
            <w:color w:val="0000FF"/>
            <w:u w:val="single"/>
          </w:rPr>
          <w:t>https://forms.office.com/r/pPHyWVs2SZ</w:t>
        </w:r>
      </w:hyperlink>
      <w:r w:rsidRPr="004E0D57">
        <w:rPr>
          <w:rFonts w:ascii="Verdana" w:hAnsi="Verdana"/>
        </w:rPr>
        <w:t xml:space="preserve"> .¡Ayúdanos a mejorar porque el compromiso es de todos!</w:t>
      </w:r>
    </w:p>
    <w:p w14:paraId="5A299CF0" w14:textId="77777777" w:rsidR="002468F0" w:rsidRPr="004E0D57" w:rsidRDefault="002468F0" w:rsidP="002468F0">
      <w:pPr>
        <w:spacing w:after="0" w:line="240" w:lineRule="auto"/>
        <w:rPr>
          <w:rFonts w:ascii="Verdana" w:hAnsi="Verdana"/>
        </w:rPr>
      </w:pPr>
    </w:p>
    <w:p w14:paraId="097676F6" w14:textId="77777777" w:rsidR="002468F0" w:rsidRPr="004E0D57" w:rsidRDefault="002468F0" w:rsidP="002468F0">
      <w:pPr>
        <w:spacing w:after="0" w:line="240" w:lineRule="auto"/>
        <w:jc w:val="both"/>
        <w:rPr>
          <w:rFonts w:ascii="Verdana" w:hAnsi="Verdana"/>
        </w:rPr>
      </w:pPr>
      <w:r w:rsidRPr="004E0D57">
        <w:rPr>
          <w:rFonts w:ascii="Verdana" w:hAnsi="Verdana"/>
        </w:rPr>
        <w:t xml:space="preserve">Por último, lo invitamos a seguirnos en las redes sociales en las cuales se difunde información institucional: </w:t>
      </w:r>
    </w:p>
    <w:p w14:paraId="20BE71B1" w14:textId="77777777" w:rsidR="002468F0" w:rsidRPr="004E0D57" w:rsidRDefault="002468F0" w:rsidP="002468F0">
      <w:pPr>
        <w:spacing w:after="0" w:line="240" w:lineRule="auto"/>
        <w:jc w:val="both"/>
        <w:rPr>
          <w:rFonts w:ascii="Verdana" w:hAnsi="Verdana"/>
        </w:rPr>
      </w:pPr>
    </w:p>
    <w:p w14:paraId="451C613A" w14:textId="77777777" w:rsidR="002468F0" w:rsidRPr="004E0D57" w:rsidRDefault="002468F0" w:rsidP="002468F0">
      <w:pPr>
        <w:spacing w:after="0" w:line="240" w:lineRule="auto"/>
        <w:jc w:val="both"/>
        <w:rPr>
          <w:rFonts w:ascii="Verdana" w:hAnsi="Verdana"/>
        </w:rPr>
      </w:pPr>
      <w:r w:rsidRPr="004E0D57">
        <w:rPr>
          <w:rFonts w:ascii="Verdana" w:hAnsi="Verdana"/>
        </w:rPr>
        <w:t xml:space="preserve">Twitter: </w:t>
      </w:r>
      <w:r w:rsidRPr="004E0D57">
        <w:rPr>
          <w:rFonts w:ascii="Verdana" w:hAnsi="Verdana"/>
          <w:color w:val="0000FF"/>
          <w:u w:val="single"/>
        </w:rPr>
        <w:t>@colombiacompra</w:t>
      </w:r>
      <w:r w:rsidRPr="004E0D57">
        <w:rPr>
          <w:rFonts w:ascii="Verdana" w:hAnsi="Verdana"/>
        </w:rPr>
        <w:t xml:space="preserve"> </w:t>
      </w:r>
    </w:p>
    <w:p w14:paraId="6CCAC44F" w14:textId="77777777" w:rsidR="002468F0" w:rsidRPr="004E0D57" w:rsidRDefault="002468F0" w:rsidP="002468F0">
      <w:pPr>
        <w:spacing w:after="0" w:line="240" w:lineRule="auto"/>
        <w:jc w:val="both"/>
        <w:rPr>
          <w:rFonts w:ascii="Verdana" w:hAnsi="Verdana"/>
        </w:rPr>
      </w:pPr>
      <w:r w:rsidRPr="004E0D57">
        <w:rPr>
          <w:rFonts w:ascii="Verdana" w:hAnsi="Verdana"/>
        </w:rPr>
        <w:t xml:space="preserve">Facebook: </w:t>
      </w:r>
      <w:proofErr w:type="spellStart"/>
      <w:r w:rsidRPr="004E0D57">
        <w:rPr>
          <w:rFonts w:ascii="Verdana" w:hAnsi="Verdana"/>
          <w:color w:val="0000FF"/>
          <w:u w:val="single"/>
        </w:rPr>
        <w:t>ColombiaCompraEficiente</w:t>
      </w:r>
      <w:proofErr w:type="spellEnd"/>
    </w:p>
    <w:p w14:paraId="39DA0D86" w14:textId="77777777" w:rsidR="002468F0" w:rsidRPr="004E0D57" w:rsidRDefault="002468F0" w:rsidP="002468F0">
      <w:pPr>
        <w:spacing w:after="0" w:line="240" w:lineRule="auto"/>
        <w:jc w:val="both"/>
        <w:rPr>
          <w:rFonts w:ascii="Verdana" w:hAnsi="Verdana"/>
        </w:rPr>
      </w:pPr>
      <w:r w:rsidRPr="004E0D57">
        <w:rPr>
          <w:rFonts w:ascii="Verdana" w:hAnsi="Verdana"/>
        </w:rPr>
        <w:t xml:space="preserve">LinkedIn: </w:t>
      </w:r>
      <w:r w:rsidRPr="004E0D57">
        <w:rPr>
          <w:rFonts w:ascii="Verdana" w:hAnsi="Verdana"/>
          <w:color w:val="0000FF"/>
          <w:u w:val="single"/>
        </w:rPr>
        <w:t>Agencia Nacional de Contratación Pública - Colombia Compra Eficiente</w:t>
      </w:r>
      <w:r w:rsidRPr="004E0D57">
        <w:rPr>
          <w:rFonts w:ascii="Verdana" w:hAnsi="Verdana"/>
        </w:rPr>
        <w:t xml:space="preserve"> Instagram: </w:t>
      </w:r>
      <w:r w:rsidRPr="004E0D57">
        <w:rPr>
          <w:rFonts w:ascii="Verdana" w:hAnsi="Verdana"/>
          <w:color w:val="0000FF"/>
          <w:u w:val="single"/>
        </w:rPr>
        <w:t>@colombiacompraeficiente_cce</w:t>
      </w:r>
    </w:p>
    <w:p w14:paraId="7D45AD36" w14:textId="77777777" w:rsidR="002468F0" w:rsidRPr="004E0D57" w:rsidRDefault="002468F0" w:rsidP="002468F0">
      <w:pPr>
        <w:widowControl w:val="0"/>
        <w:autoSpaceDE w:val="0"/>
        <w:autoSpaceDN w:val="0"/>
        <w:spacing w:after="120" w:line="276" w:lineRule="auto"/>
        <w:jc w:val="both"/>
        <w:rPr>
          <w:rFonts w:ascii="Verdana" w:hAnsi="Verdana" w:cs="Arial"/>
          <w:color w:val="FF0000"/>
          <w:shd w:val="clear" w:color="auto" w:fill="FFFFFF"/>
          <w:lang w:val="es-ES_tradnl"/>
        </w:rPr>
      </w:pPr>
      <w:r w:rsidRPr="004E0D57">
        <w:rPr>
          <w:rFonts w:ascii="Verdana" w:hAnsi="Verdana" w:cs="Arial"/>
          <w:color w:val="FF0000"/>
          <w:shd w:val="clear" w:color="auto" w:fill="FFFFFF"/>
          <w:lang w:val="es-ES_tradnl"/>
        </w:rPr>
        <w:t xml:space="preserve">        </w:t>
      </w:r>
    </w:p>
    <w:p w14:paraId="7512E128" w14:textId="77777777" w:rsidR="002468F0" w:rsidRPr="004E0D57" w:rsidRDefault="002468F0" w:rsidP="002468F0">
      <w:pPr>
        <w:widowControl w:val="0"/>
        <w:autoSpaceDE w:val="0"/>
        <w:autoSpaceDN w:val="0"/>
        <w:spacing w:after="0" w:line="276" w:lineRule="auto"/>
        <w:jc w:val="both"/>
        <w:rPr>
          <w:rFonts w:ascii="Verdana" w:hAnsi="Verdana" w:cs="Arial"/>
          <w:lang w:val="es-ES_tradnl"/>
        </w:rPr>
      </w:pPr>
      <w:r w:rsidRPr="004E0D57">
        <w:rPr>
          <w:rFonts w:ascii="Verdana" w:hAnsi="Verdana" w:cs="Arial"/>
        </w:rPr>
        <w:t xml:space="preserve">Este concepto tiene el alcance previsto en el artículo 28 del Código de Procedimiento Administrativo y de lo Contencioso Administrativo </w:t>
      </w:r>
      <w:r w:rsidRPr="004E0D57">
        <w:rPr>
          <w:rFonts w:ascii="Verdana" w:hAnsi="Verdana" w:cs="Arial"/>
          <w:lang w:val="es-ES_tradnl"/>
        </w:rPr>
        <w:t>y las expresiones aquí utilizadas con mayúscula inicial deben ser entendidas con el significado que les otorga el artículo 2.2.1.1.1.3.1. del Decreto 1082 de 2015.</w:t>
      </w:r>
    </w:p>
    <w:p w14:paraId="7054B523" w14:textId="77777777" w:rsidR="002468F0" w:rsidRPr="004E0D57" w:rsidRDefault="002468F0" w:rsidP="002468F0">
      <w:pPr>
        <w:widowControl w:val="0"/>
        <w:autoSpaceDE w:val="0"/>
        <w:autoSpaceDN w:val="0"/>
        <w:spacing w:after="0" w:line="276" w:lineRule="auto"/>
        <w:jc w:val="both"/>
        <w:rPr>
          <w:rFonts w:ascii="Verdana" w:hAnsi="Verdana" w:cs="Arial"/>
        </w:rPr>
      </w:pPr>
    </w:p>
    <w:p w14:paraId="7CB5F86C" w14:textId="77777777" w:rsidR="002468F0" w:rsidRPr="004E0D57" w:rsidRDefault="002468F0" w:rsidP="002468F0">
      <w:pPr>
        <w:spacing w:after="0" w:line="240" w:lineRule="auto"/>
        <w:rPr>
          <w:rFonts w:ascii="Verdana" w:hAnsi="Verdana" w:cs="Arial"/>
          <w:lang w:eastAsia="es-CO"/>
        </w:rPr>
      </w:pPr>
      <w:r w:rsidRPr="004E0D57">
        <w:rPr>
          <w:rFonts w:ascii="Verdana" w:eastAsia="Times New Roman" w:hAnsi="Verdana" w:cs="Arial"/>
          <w:lang w:eastAsia="es-CO"/>
        </w:rPr>
        <w:t>Atentamente,</w:t>
      </w:r>
      <w:r w:rsidRPr="004E0D57">
        <w:rPr>
          <w:rFonts w:ascii="Verdana" w:hAnsi="Verdana" w:cs="Arial"/>
          <w:lang w:eastAsia="es-CO"/>
        </w:rPr>
        <w:t xml:space="preserve"> </w:t>
      </w:r>
    </w:p>
    <w:p w14:paraId="6C08390C" w14:textId="77777777" w:rsidR="002468F0" w:rsidRPr="00125A1D" w:rsidRDefault="002468F0" w:rsidP="002468F0">
      <w:pPr>
        <w:spacing w:after="0" w:line="276" w:lineRule="auto"/>
        <w:rPr>
          <w:rFonts w:ascii="Verdana" w:hAnsi="Verdana" w:cs="Arial"/>
          <w:lang w:eastAsia="es-CO"/>
        </w:rPr>
      </w:pPr>
    </w:p>
    <w:p w14:paraId="46C5E462" w14:textId="74CBB78C" w:rsidR="002468F0" w:rsidRDefault="00582AB6" w:rsidP="00582AB6">
      <w:pPr>
        <w:spacing w:after="0"/>
        <w:jc w:val="center"/>
        <w:rPr>
          <w:rFonts w:ascii="Verdana" w:eastAsia="Times New Roman" w:hAnsi="Verdana" w:cs="Segoe UI"/>
          <w:lang w:eastAsia="es-CO"/>
        </w:rPr>
      </w:pPr>
      <w:r w:rsidRPr="002C3AD6">
        <w:rPr>
          <w:rFonts w:ascii="Century Gothic" w:hAnsi="Century Gothic"/>
          <w:noProof/>
        </w:rPr>
        <w:drawing>
          <wp:inline distT="0" distB="0" distL="0" distR="0" wp14:anchorId="5A82AF24" wp14:editId="6285EEFD">
            <wp:extent cx="2867025" cy="1064274"/>
            <wp:effectExtent l="0" t="0" r="0"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2881292" cy="1069570"/>
                    </a:xfrm>
                    <a:prstGeom prst="rect">
                      <a:avLst/>
                    </a:prstGeom>
                  </pic:spPr>
                </pic:pic>
              </a:graphicData>
            </a:graphic>
          </wp:inline>
        </w:drawing>
      </w:r>
    </w:p>
    <w:p w14:paraId="4F540A44" w14:textId="77777777" w:rsidR="002468F0" w:rsidRDefault="002468F0" w:rsidP="002468F0">
      <w:pPr>
        <w:spacing w:after="0" w:line="256" w:lineRule="auto"/>
        <w:rPr>
          <w:rFonts w:ascii="Verdana" w:eastAsia="Calibri" w:hAnsi="Verdana" w:cs="Times New Roman"/>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468F0" w:rsidRPr="00860461" w14:paraId="4E2E9053" w14:textId="77777777" w:rsidTr="00A657E1">
        <w:trPr>
          <w:trHeight w:val="315"/>
        </w:trPr>
        <w:tc>
          <w:tcPr>
            <w:tcW w:w="893" w:type="dxa"/>
            <w:vAlign w:val="center"/>
            <w:hideMark/>
          </w:tcPr>
          <w:p w14:paraId="661AB7A1" w14:textId="77777777" w:rsidR="002468F0" w:rsidRPr="008278B1" w:rsidRDefault="002468F0" w:rsidP="00A657E1">
            <w:pPr>
              <w:contextualSpacing/>
              <w:rPr>
                <w:rFonts w:ascii="Verdana" w:hAnsi="Verdana" w:cs="Arial"/>
                <w:sz w:val="16"/>
                <w:szCs w:val="16"/>
                <w:lang w:val="es-ES" w:eastAsia="es-ES"/>
              </w:rPr>
            </w:pPr>
            <w:r w:rsidRPr="008278B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A038F08" w14:textId="77777777" w:rsidR="002468F0" w:rsidRPr="00860461" w:rsidRDefault="002468F0" w:rsidP="00A657E1">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Oscar David Morelo Pedrozo</w:t>
            </w:r>
          </w:p>
          <w:p w14:paraId="6592DCD4" w14:textId="77777777" w:rsidR="002468F0" w:rsidRPr="00860461" w:rsidRDefault="002468F0" w:rsidP="00A657E1">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Analista T2 –02 de la Subdirección de Gestión Contractual</w:t>
            </w:r>
          </w:p>
        </w:tc>
      </w:tr>
      <w:tr w:rsidR="002468F0" w:rsidRPr="0025661F" w14:paraId="62F4F22B" w14:textId="77777777" w:rsidTr="00A657E1">
        <w:trPr>
          <w:trHeight w:val="330"/>
        </w:trPr>
        <w:tc>
          <w:tcPr>
            <w:tcW w:w="893" w:type="dxa"/>
            <w:vAlign w:val="center"/>
            <w:hideMark/>
          </w:tcPr>
          <w:p w14:paraId="6B639BCA" w14:textId="77777777" w:rsidR="002468F0" w:rsidRPr="0025661F" w:rsidRDefault="002468F0" w:rsidP="00A657E1">
            <w:pPr>
              <w:contextualSpacing/>
              <w:rPr>
                <w:rFonts w:ascii="Verdana" w:hAnsi="Verdana" w:cs="Arial"/>
                <w:color w:val="000000" w:themeColor="text1"/>
                <w:sz w:val="16"/>
                <w:szCs w:val="16"/>
                <w:lang w:val="es-ES" w:eastAsia="es-ES"/>
              </w:rPr>
            </w:pPr>
            <w:r w:rsidRPr="0025661F">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75C73D7" w14:textId="77777777" w:rsidR="002468F0" w:rsidRPr="00B37171" w:rsidRDefault="002468F0" w:rsidP="00A657E1">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 xml:space="preserve">Adriana </w:t>
            </w:r>
            <w:proofErr w:type="spellStart"/>
            <w:r>
              <w:rPr>
                <w:rFonts w:ascii="Verdana" w:hAnsi="Verdana" w:cs="Segoe UI"/>
                <w:color w:val="000000" w:themeColor="text1"/>
                <w:sz w:val="16"/>
                <w:szCs w:val="16"/>
              </w:rPr>
              <w:t>Katerine</w:t>
            </w:r>
            <w:proofErr w:type="spellEnd"/>
            <w:r>
              <w:rPr>
                <w:rFonts w:ascii="Verdana" w:hAnsi="Verdana" w:cs="Segoe UI"/>
                <w:color w:val="000000" w:themeColor="text1"/>
                <w:sz w:val="16"/>
                <w:szCs w:val="16"/>
              </w:rPr>
              <w:t xml:space="preserve"> López </w:t>
            </w:r>
            <w:proofErr w:type="spellStart"/>
            <w:r>
              <w:rPr>
                <w:rFonts w:ascii="Verdana" w:hAnsi="Verdana" w:cs="Segoe UI"/>
                <w:color w:val="000000" w:themeColor="text1"/>
                <w:sz w:val="16"/>
                <w:szCs w:val="16"/>
              </w:rPr>
              <w:t>Rodriguez</w:t>
            </w:r>
            <w:proofErr w:type="spellEnd"/>
          </w:p>
          <w:p w14:paraId="60D4E8D4" w14:textId="77777777" w:rsidR="002468F0" w:rsidRPr="0025661F" w:rsidRDefault="002468F0" w:rsidP="00A657E1">
            <w:pPr>
              <w:pStyle w:val="paragraph"/>
              <w:spacing w:before="0" w:beforeAutospacing="0" w:after="0" w:afterAutospacing="0"/>
              <w:contextualSpacing/>
              <w:textAlignment w:val="baseline"/>
              <w:rPr>
                <w:rFonts w:ascii="Verdana" w:hAnsi="Verdana" w:cs="Segoe UI"/>
                <w:color w:val="000000" w:themeColor="text1"/>
                <w:sz w:val="16"/>
                <w:szCs w:val="16"/>
                <w:lang w:val="es-ES"/>
              </w:rPr>
            </w:pPr>
            <w:r>
              <w:rPr>
                <w:rStyle w:val="normaltextrun"/>
                <w:rFonts w:ascii="Verdana" w:hAnsi="Verdana" w:cs="Arial"/>
                <w:color w:val="000000" w:themeColor="text1"/>
                <w:sz w:val="16"/>
                <w:szCs w:val="16"/>
                <w:lang w:val="es-ES"/>
              </w:rPr>
              <w:t>Contratista</w:t>
            </w:r>
            <w:r w:rsidRPr="00115E3D">
              <w:rPr>
                <w:rStyle w:val="normaltextrun"/>
                <w:rFonts w:ascii="Verdana" w:hAnsi="Verdana" w:cs="Arial"/>
                <w:color w:val="000000" w:themeColor="text1"/>
                <w:sz w:val="16"/>
                <w:szCs w:val="16"/>
                <w:lang w:val="es-ES"/>
              </w:rPr>
              <w:t xml:space="preserve"> de la Subdirección de Gestión Contractual</w:t>
            </w:r>
            <w:r w:rsidRPr="00115E3D">
              <w:rPr>
                <w:rStyle w:val="eop"/>
                <w:rFonts w:ascii="Verdana" w:hAnsi="Verdana" w:cs="Arial"/>
                <w:color w:val="000000" w:themeColor="text1"/>
                <w:sz w:val="16"/>
                <w:szCs w:val="16"/>
              </w:rPr>
              <w:t> </w:t>
            </w:r>
          </w:p>
        </w:tc>
      </w:tr>
      <w:tr w:rsidR="002468F0" w:rsidRPr="008278B1" w14:paraId="2CE5ED36" w14:textId="77777777" w:rsidTr="00A657E1">
        <w:trPr>
          <w:trHeight w:val="300"/>
        </w:trPr>
        <w:tc>
          <w:tcPr>
            <w:tcW w:w="893" w:type="dxa"/>
            <w:vAlign w:val="center"/>
          </w:tcPr>
          <w:p w14:paraId="69FB3DB3" w14:textId="77777777" w:rsidR="002468F0" w:rsidRPr="008278B1" w:rsidRDefault="002468F0" w:rsidP="00A657E1">
            <w:pPr>
              <w:contextualSpacing/>
              <w:rPr>
                <w:rFonts w:ascii="Verdana" w:hAnsi="Verdana" w:cs="Arial"/>
                <w:sz w:val="16"/>
                <w:szCs w:val="16"/>
                <w:lang w:val="es-ES" w:eastAsia="es-ES"/>
              </w:rPr>
            </w:pPr>
            <w:r w:rsidRPr="008278B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67AF350" w14:textId="77777777" w:rsidR="002468F0" w:rsidRPr="008278B1" w:rsidRDefault="002468F0" w:rsidP="00A657E1">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Carolina Quintero Gacharná</w:t>
            </w:r>
          </w:p>
          <w:p w14:paraId="15D52480" w14:textId="77777777" w:rsidR="002468F0" w:rsidRPr="008278B1" w:rsidRDefault="002468F0" w:rsidP="00A657E1">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Subdirectora de Gestión Contractual ANCP – CCE</w:t>
            </w:r>
          </w:p>
        </w:tc>
      </w:tr>
    </w:tbl>
    <w:p w14:paraId="0BC9F8A0" w14:textId="419D86F0" w:rsidR="002468F0" w:rsidRPr="00B54967" w:rsidRDefault="002468F0" w:rsidP="002468F0">
      <w:pPr>
        <w:spacing w:after="0" w:line="256" w:lineRule="auto"/>
        <w:rPr>
          <w:rFonts w:ascii="Verdana" w:eastAsia="Calibri" w:hAnsi="Verdana" w:cs="Times New Roman"/>
          <w:lang w:val="es-ES"/>
        </w:rPr>
      </w:pPr>
    </w:p>
    <w:p w14:paraId="5E53DAF4" w14:textId="77777777" w:rsidR="002468F0" w:rsidRDefault="002468F0" w:rsidP="002468F0">
      <w:pPr>
        <w:widowControl w:val="0"/>
        <w:autoSpaceDE w:val="0"/>
        <w:autoSpaceDN w:val="0"/>
        <w:spacing w:after="120" w:line="276" w:lineRule="auto"/>
        <w:jc w:val="both"/>
        <w:rPr>
          <w:rFonts w:ascii="Verdana" w:hAnsi="Verdana" w:cs="Arial"/>
          <w:shd w:val="clear" w:color="auto" w:fill="FFFFFF"/>
          <w:lang w:val="es-ES"/>
        </w:rPr>
      </w:pPr>
    </w:p>
    <w:bookmarkEnd w:id="0"/>
    <w:bookmarkEnd w:id="1"/>
    <w:p w14:paraId="12443EE0" w14:textId="77777777" w:rsidR="00C15139" w:rsidRPr="0024624F" w:rsidRDefault="00C15139" w:rsidP="30821638">
      <w:pPr>
        <w:spacing w:after="0"/>
        <w:rPr>
          <w:rFonts w:ascii="Verdana" w:eastAsia="Verdana" w:hAnsi="Verdana" w:cs="Verdana"/>
        </w:rPr>
      </w:pPr>
    </w:p>
    <w:sectPr w:rsidR="00C15139" w:rsidRPr="0024624F"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B6565" w14:textId="77777777" w:rsidR="00D23490" w:rsidRDefault="00D23490" w:rsidP="004A1847">
      <w:pPr>
        <w:spacing w:after="0" w:line="240" w:lineRule="auto"/>
      </w:pPr>
      <w:r>
        <w:separator/>
      </w:r>
    </w:p>
  </w:endnote>
  <w:endnote w:type="continuationSeparator" w:id="0">
    <w:p w14:paraId="54AE368D" w14:textId="77777777" w:rsidR="00D23490" w:rsidRDefault="00D2349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D72F7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PT" w:eastAsia="es-CO"/>
      </w:rPr>
    </w:pPr>
    <w:r w:rsidRPr="00D72F78">
      <w:rPr>
        <w:rFonts w:ascii="Verdana" w:eastAsia="Verdana" w:hAnsi="Verdana" w:cs="Verdana"/>
        <w:b/>
        <w:bCs/>
        <w:color w:val="000000" w:themeColor="text1"/>
        <w:sz w:val="18"/>
        <w:szCs w:val="18"/>
        <w:lang w:val="pt-PT" w:eastAsia="es-CO"/>
      </w:rPr>
      <w:t xml:space="preserve">Código: </w:t>
    </w:r>
    <w:r w:rsidRPr="00D72F78">
      <w:rPr>
        <w:rFonts w:ascii="Verdana" w:eastAsia="Verdana" w:hAnsi="Verdana" w:cs="Verdana"/>
        <w:color w:val="000000" w:themeColor="text1"/>
        <w:sz w:val="18"/>
        <w:szCs w:val="18"/>
        <w:lang w:val="pt-PT" w:eastAsia="es-CO"/>
      </w:rPr>
      <w:t xml:space="preserve">CCE-REC-FM-17 </w:t>
    </w:r>
    <w:r w:rsidRPr="00D72F78">
      <w:rPr>
        <w:rFonts w:ascii="Verdana" w:eastAsia="Verdana" w:hAnsi="Verdana" w:cs="Verdana"/>
        <w:b/>
        <w:bCs/>
        <w:color w:val="000000" w:themeColor="text1"/>
        <w:sz w:val="18"/>
        <w:szCs w:val="18"/>
        <w:lang w:val="pt-PT" w:eastAsia="es-CO"/>
      </w:rPr>
      <w:t xml:space="preserve">V: </w:t>
    </w:r>
    <w:r w:rsidRPr="00D72F78">
      <w:rPr>
        <w:rFonts w:ascii="Verdana" w:eastAsia="Verdana" w:hAnsi="Verdana" w:cs="Verdana"/>
        <w:sz w:val="18"/>
        <w:szCs w:val="18"/>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45690" w14:textId="77777777" w:rsidR="00D23490" w:rsidRDefault="00D23490" w:rsidP="004A1847">
      <w:pPr>
        <w:spacing w:after="0" w:line="240" w:lineRule="auto"/>
      </w:pPr>
      <w:r>
        <w:separator/>
      </w:r>
    </w:p>
  </w:footnote>
  <w:footnote w:type="continuationSeparator" w:id="0">
    <w:p w14:paraId="0F2FD70B" w14:textId="77777777" w:rsidR="00D23490" w:rsidRDefault="00D23490" w:rsidP="004A1847">
      <w:pPr>
        <w:spacing w:after="0" w:line="240" w:lineRule="auto"/>
      </w:pPr>
      <w:r>
        <w:continuationSeparator/>
      </w:r>
    </w:p>
  </w:footnote>
  <w:footnote w:id="1">
    <w:p w14:paraId="388E58C8" w14:textId="77777777" w:rsidR="002468F0" w:rsidRPr="002A0C19" w:rsidRDefault="002468F0" w:rsidP="002468F0">
      <w:pPr>
        <w:pStyle w:val="Textonotapie"/>
        <w:ind w:firstLine="709"/>
        <w:jc w:val="both"/>
        <w:rPr>
          <w:rFonts w:ascii="Verdana" w:hAnsi="Verdana"/>
          <w:sz w:val="16"/>
          <w:szCs w:val="16"/>
          <w:lang w:val="es-ES"/>
        </w:rPr>
      </w:pPr>
      <w:r w:rsidRPr="002A0C19">
        <w:rPr>
          <w:rStyle w:val="Refdenotaalpie"/>
          <w:rFonts w:ascii="Verdana" w:hAnsi="Verdana"/>
          <w:sz w:val="16"/>
          <w:szCs w:val="16"/>
        </w:rPr>
        <w:footnoteRef/>
      </w:r>
      <w:r w:rsidRPr="002A0C19">
        <w:rPr>
          <w:rFonts w:ascii="Verdana" w:hAnsi="Verdana"/>
          <w:sz w:val="16"/>
          <w:szCs w:val="16"/>
        </w:rPr>
        <w:t xml:space="preserve"> </w:t>
      </w:r>
      <w:r w:rsidRPr="002A0C19">
        <w:rPr>
          <w:rFonts w:ascii="Verdana" w:hAnsi="Verdana"/>
          <w:sz w:val="16"/>
          <w:szCs w:val="16"/>
          <w:lang w:val="es-ES"/>
        </w:rPr>
        <w:t xml:space="preserve">Guía para elaborar el plan anual de adquisiciones. Disponible en </w:t>
      </w:r>
      <w:hyperlink r:id="rId1" w:history="1">
        <w:r w:rsidRPr="002A0C19">
          <w:rPr>
            <w:rStyle w:val="Hipervnculo"/>
            <w:rFonts w:ascii="Verdana" w:hAnsi="Verdana"/>
            <w:sz w:val="16"/>
            <w:szCs w:val="16"/>
            <w:lang w:val="es-CO"/>
          </w:rPr>
          <w:t>guia_para_elaborar_el_plan_anual_de_adquisiciones_0.pdf</w:t>
        </w:r>
      </w:hyperlink>
    </w:p>
  </w:footnote>
  <w:footnote w:id="2">
    <w:p w14:paraId="47F0CA32" w14:textId="77777777" w:rsidR="002468F0" w:rsidRPr="002A0C19" w:rsidRDefault="002468F0" w:rsidP="002468F0">
      <w:pPr>
        <w:pStyle w:val="Textonotapie"/>
        <w:ind w:firstLine="708"/>
        <w:jc w:val="both"/>
        <w:rPr>
          <w:rFonts w:ascii="Verdana" w:hAnsi="Verdana" w:cs="Arial"/>
          <w:sz w:val="16"/>
          <w:szCs w:val="16"/>
        </w:rPr>
      </w:pPr>
    </w:p>
    <w:p w14:paraId="7B89BC53" w14:textId="77777777" w:rsidR="002468F0" w:rsidRPr="002A0C19" w:rsidRDefault="002468F0" w:rsidP="002468F0">
      <w:pPr>
        <w:pStyle w:val="Textonotapie"/>
        <w:ind w:firstLine="708"/>
        <w:jc w:val="both"/>
        <w:rPr>
          <w:rFonts w:ascii="Verdana" w:hAnsi="Verdana" w:cs="Arial"/>
          <w:sz w:val="16"/>
          <w:szCs w:val="16"/>
          <w:lang w:val="es-ES"/>
        </w:rPr>
      </w:pPr>
      <w:r w:rsidRPr="002A0C19">
        <w:rPr>
          <w:rStyle w:val="Refdenotaalpie"/>
          <w:rFonts w:ascii="Verdana" w:hAnsi="Verdana" w:cs="Arial"/>
          <w:sz w:val="16"/>
          <w:szCs w:val="16"/>
        </w:rPr>
        <w:footnoteRef/>
      </w:r>
      <w:r w:rsidRPr="002A0C19">
        <w:rPr>
          <w:rFonts w:ascii="Verdana" w:hAnsi="Verdana" w:cs="Arial"/>
          <w:sz w:val="16"/>
          <w:szCs w:val="16"/>
        </w:rPr>
        <w:t xml:space="preserve"> El artículo 74 de la Ley 1474 prescribe: “</w:t>
      </w:r>
      <w:r w:rsidRPr="002A0C19">
        <w:rPr>
          <w:rFonts w:ascii="Verdana" w:hAnsi="Verdana" w:cs="Arial"/>
          <w:sz w:val="16"/>
          <w:szCs w:val="16"/>
          <w:lang w:val="es-ES"/>
        </w:rPr>
        <w:t>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6E0AA606" w14:textId="77777777" w:rsidR="002468F0" w:rsidRPr="002A0C19" w:rsidRDefault="002468F0" w:rsidP="002468F0">
      <w:pPr>
        <w:pStyle w:val="Textonotapie"/>
        <w:ind w:firstLine="708"/>
        <w:jc w:val="both"/>
        <w:rPr>
          <w:rFonts w:ascii="Verdana" w:hAnsi="Verdana" w:cs="Arial"/>
          <w:sz w:val="16"/>
          <w:szCs w:val="16"/>
          <w:lang w:val="es-ES"/>
        </w:rPr>
      </w:pPr>
      <w:r w:rsidRPr="002A0C19">
        <w:rPr>
          <w:rFonts w:ascii="Verdana" w:hAnsi="Verdana" w:cs="Arial"/>
          <w:sz w:val="16"/>
          <w:szCs w:val="16"/>
          <w:lang w:val="es-ES"/>
        </w:rPr>
        <w:t>A partir del año siguiente, el Plan de Acción deberá estar acompañado del informe de gestión del año inmediatamente anterior.</w:t>
      </w:r>
    </w:p>
    <w:p w14:paraId="29902759" w14:textId="77777777" w:rsidR="002468F0" w:rsidRPr="002A0C19" w:rsidRDefault="002468F0" w:rsidP="002468F0">
      <w:pPr>
        <w:pStyle w:val="Textonotapie"/>
        <w:ind w:firstLine="708"/>
        <w:jc w:val="both"/>
        <w:rPr>
          <w:rFonts w:ascii="Verdana" w:hAnsi="Verdana" w:cs="Arial"/>
          <w:sz w:val="16"/>
          <w:szCs w:val="16"/>
          <w:lang w:val="es-ES"/>
        </w:rPr>
      </w:pPr>
      <w:r w:rsidRPr="002A0C19">
        <w:rPr>
          <w:rFonts w:ascii="Verdana" w:hAnsi="Verdana" w:cs="Arial"/>
          <w:sz w:val="16"/>
          <w:szCs w:val="16"/>
          <w:lang w:val="es-ES"/>
        </w:rPr>
        <w:t>Igualmente publicarán por dicho medio su presupuesto debidamente desagregado, así como las modificaciones a este o a su desagregación.</w:t>
      </w:r>
      <w:r w:rsidRPr="002A0C19">
        <w:rPr>
          <w:rFonts w:ascii="Verdana" w:hAnsi="Verdana" w:cs="Arial"/>
          <w:sz w:val="16"/>
          <w:szCs w:val="16"/>
          <w:lang w:val="es-ES"/>
        </w:rPr>
        <w:tab/>
      </w:r>
    </w:p>
    <w:p w14:paraId="1A423BDB" w14:textId="77777777" w:rsidR="002468F0" w:rsidRPr="002A0C19" w:rsidRDefault="002468F0" w:rsidP="002468F0">
      <w:pPr>
        <w:pStyle w:val="Textonotapie"/>
        <w:ind w:firstLine="708"/>
        <w:jc w:val="both"/>
        <w:rPr>
          <w:rFonts w:ascii="Verdana" w:hAnsi="Verdana" w:cs="Arial"/>
          <w:sz w:val="16"/>
          <w:szCs w:val="16"/>
          <w:lang w:val="es-ES"/>
        </w:rPr>
      </w:pPr>
      <w:r w:rsidRPr="002A0C19">
        <w:rPr>
          <w:rFonts w:ascii="Verdana" w:hAnsi="Verdana" w:cs="Arial"/>
          <w:sz w:val="16"/>
          <w:szCs w:val="16"/>
          <w:lang w:val="es-ES"/>
        </w:rPr>
        <w:t>Parágrafo. Las empresas industriales y comerciales del Estado y las Sociedades de Economía Mixta estarán exentas de publicar la información relacionada con sus proyectos de inversión”.</w:t>
      </w:r>
    </w:p>
    <w:p w14:paraId="79FEEEB6" w14:textId="77777777" w:rsidR="002468F0" w:rsidRPr="00F50E68" w:rsidRDefault="002468F0" w:rsidP="002468F0">
      <w:pPr>
        <w:pStyle w:val="Textonotapie"/>
        <w:ind w:firstLine="708"/>
        <w:jc w:val="both"/>
        <w:rPr>
          <w:rFonts w:ascii="Verdana" w:hAnsi="Verdana" w:cs="Arial"/>
          <w:sz w:val="18"/>
          <w:szCs w:val="18"/>
          <w:lang w:val="es-ES"/>
        </w:rPr>
      </w:pPr>
      <w:r w:rsidRPr="00F50E68">
        <w:rPr>
          <w:rFonts w:ascii="Verdana" w:hAnsi="Verdana" w:cs="Arial"/>
          <w:sz w:val="18"/>
          <w:szCs w:val="18"/>
          <w:lang w:val="es-ES"/>
        </w:rPr>
        <w:t xml:space="preserve"> </w:t>
      </w:r>
    </w:p>
  </w:footnote>
  <w:footnote w:id="3">
    <w:p w14:paraId="4418B820" w14:textId="77777777" w:rsidR="002468F0" w:rsidRPr="002A0C19" w:rsidRDefault="002468F0" w:rsidP="002468F0">
      <w:pPr>
        <w:pStyle w:val="Textonotapie"/>
        <w:ind w:firstLine="709"/>
        <w:jc w:val="both"/>
        <w:rPr>
          <w:rFonts w:ascii="Verdana" w:hAnsi="Verdana" w:cs="Arial"/>
          <w:color w:val="000000"/>
          <w:sz w:val="16"/>
          <w:szCs w:val="16"/>
          <w:shd w:val="clear" w:color="auto" w:fill="FFFFFF"/>
        </w:rPr>
      </w:pPr>
      <w:r w:rsidRPr="002A0C19">
        <w:rPr>
          <w:rStyle w:val="Refdenotaalpie"/>
          <w:rFonts w:ascii="Verdana" w:hAnsi="Verdana" w:cs="Arial"/>
          <w:color w:val="000000"/>
          <w:sz w:val="16"/>
          <w:szCs w:val="16"/>
        </w:rPr>
        <w:footnoteRef/>
      </w:r>
      <w:r w:rsidRPr="002A0C19">
        <w:rPr>
          <w:rFonts w:ascii="Verdana" w:hAnsi="Verdana" w:cs="Arial"/>
          <w:color w:val="000000"/>
          <w:sz w:val="16"/>
          <w:szCs w:val="16"/>
        </w:rPr>
        <w:t xml:space="preserve"> “</w:t>
      </w:r>
      <w:r w:rsidRPr="002A0C19">
        <w:rPr>
          <w:rStyle w:val="Fuerte"/>
          <w:rFonts w:ascii="Verdana" w:hAnsi="Verdana" w:cs="Arial"/>
          <w:color w:val="000000"/>
          <w:sz w:val="16"/>
          <w:szCs w:val="16"/>
          <w:shd w:val="clear" w:color="auto" w:fill="FFFFFF"/>
        </w:rPr>
        <w:t>Artículo 2.2.1.1.1.3.1. </w:t>
      </w:r>
      <w:r w:rsidRPr="002A0C19">
        <w:rPr>
          <w:rStyle w:val="nfasis"/>
          <w:rFonts w:ascii="Verdana" w:hAnsi="Verdana" w:cs="Arial"/>
          <w:color w:val="000000"/>
          <w:sz w:val="16"/>
          <w:szCs w:val="16"/>
          <w:shd w:val="clear" w:color="auto" w:fill="FFFFFF"/>
        </w:rPr>
        <w:t>Definiciones. </w:t>
      </w:r>
      <w:r w:rsidRPr="002A0C19">
        <w:rPr>
          <w:rFonts w:ascii="Verdana" w:hAnsi="Verdana" w:cs="Arial"/>
          <w:color w:val="000000"/>
          <w:sz w:val="16"/>
          <w:szCs w:val="16"/>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035C6EC8" w14:textId="77777777" w:rsidR="002468F0" w:rsidRPr="002A0C19" w:rsidRDefault="002468F0" w:rsidP="002468F0">
      <w:pPr>
        <w:pStyle w:val="Textonotapie"/>
        <w:ind w:firstLine="709"/>
        <w:jc w:val="both"/>
        <w:rPr>
          <w:rFonts w:ascii="Verdana" w:hAnsi="Verdana" w:cs="Arial"/>
          <w:color w:val="000000"/>
          <w:sz w:val="16"/>
          <w:szCs w:val="16"/>
          <w:shd w:val="clear" w:color="auto" w:fill="FFFFFF"/>
        </w:rPr>
      </w:pPr>
      <w:r w:rsidRPr="002A0C19">
        <w:rPr>
          <w:rFonts w:ascii="Verdana" w:hAnsi="Verdana" w:cs="Arial"/>
          <w:color w:val="000000"/>
          <w:sz w:val="16"/>
          <w:szCs w:val="16"/>
          <w:shd w:val="clear" w:color="auto" w:fill="FFFFFF"/>
        </w:rPr>
        <w:t>[…]</w:t>
      </w:r>
    </w:p>
    <w:p w14:paraId="0C12A941" w14:textId="77777777" w:rsidR="002468F0" w:rsidRPr="002A0C19" w:rsidRDefault="002468F0" w:rsidP="002468F0">
      <w:pPr>
        <w:pStyle w:val="Textonotapie"/>
        <w:ind w:firstLine="709"/>
        <w:jc w:val="both"/>
        <w:rPr>
          <w:rFonts w:ascii="Verdana" w:hAnsi="Verdana" w:cs="Arial"/>
          <w:color w:val="000000"/>
          <w:sz w:val="16"/>
          <w:szCs w:val="16"/>
        </w:rPr>
      </w:pPr>
      <w:r w:rsidRPr="002A0C19">
        <w:rPr>
          <w:rStyle w:val="nfasis"/>
          <w:rFonts w:ascii="Verdana" w:hAnsi="Verdana" w:cs="Arial"/>
          <w:color w:val="000000"/>
          <w:sz w:val="16"/>
          <w:szCs w:val="16"/>
        </w:rPr>
        <w:t>Plan Anual de Adquisiciones: </w:t>
      </w:r>
      <w:r w:rsidRPr="002A0C19">
        <w:rPr>
          <w:rFonts w:ascii="Verdana" w:hAnsi="Verdana" w:cs="Arial"/>
          <w:color w:val="000000"/>
          <w:sz w:val="16"/>
          <w:szCs w:val="16"/>
        </w:rPr>
        <w:t>Plan general de compras al que se refiere el </w:t>
      </w:r>
      <w:hyperlink r:id="rId2" w:history="1">
        <w:r w:rsidRPr="002A0C19">
          <w:rPr>
            <w:rStyle w:val="Hipervnculo1"/>
            <w:rFonts w:ascii="Verdana" w:hAnsi="Verdana" w:cs="Arial"/>
            <w:color w:val="000000"/>
            <w:sz w:val="16"/>
            <w:szCs w:val="16"/>
          </w:rPr>
          <w:t>artículo 74 de la Ley 1474 de 2011</w:t>
        </w:r>
      </w:hyperlink>
      <w:r w:rsidRPr="002A0C19">
        <w:rPr>
          <w:rFonts w:ascii="Verdana" w:hAnsi="Verdana" w:cs="Arial"/>
          <w:color w:val="000000"/>
          <w:sz w:val="16"/>
          <w:szCs w:val="16"/>
        </w:rPr>
        <w:t> y el plan de compras al que se refiere la Ley Anual de Presupuesto. Es un instrumento de planeación contractual que las Entidades Estatales deben diligenciar, publicar y actualizar en los términos del presente título”.</w:t>
      </w:r>
    </w:p>
  </w:footnote>
  <w:footnote w:id="4">
    <w:p w14:paraId="42F3D7BD" w14:textId="77777777" w:rsidR="002468F0" w:rsidRPr="002A0C19" w:rsidRDefault="002468F0" w:rsidP="002468F0">
      <w:pPr>
        <w:pStyle w:val="Textonotapie"/>
        <w:ind w:firstLine="708"/>
        <w:jc w:val="both"/>
        <w:rPr>
          <w:rFonts w:ascii="Verdana" w:hAnsi="Verdana" w:cs="Arial"/>
          <w:sz w:val="16"/>
          <w:szCs w:val="16"/>
        </w:rPr>
      </w:pPr>
      <w:r w:rsidRPr="002A0C19">
        <w:rPr>
          <w:rStyle w:val="Refdenotaalpie"/>
          <w:rFonts w:ascii="Verdana" w:hAnsi="Verdana" w:cs="Arial"/>
          <w:sz w:val="16"/>
          <w:szCs w:val="16"/>
        </w:rPr>
        <w:footnoteRef/>
      </w:r>
      <w:r w:rsidRPr="002A0C19">
        <w:rPr>
          <w:rFonts w:ascii="Verdana" w:hAnsi="Verdana" w:cs="Arial"/>
          <w:sz w:val="16"/>
          <w:szCs w:val="16"/>
        </w:rPr>
        <w:t xml:space="preserve"> Decreto 1082 de 2015: “Artículo 2.2.1.1.1.4.3. Publicación del Plan Anual de Adquisiciones.</w:t>
      </w:r>
      <w:r w:rsidRPr="002A0C19">
        <w:rPr>
          <w:rFonts w:ascii="Verdana" w:hAnsi="Verdana" w:cs="Arial"/>
          <w:i/>
          <w:sz w:val="16"/>
          <w:szCs w:val="16"/>
        </w:rPr>
        <w:t> </w:t>
      </w:r>
      <w:r w:rsidRPr="002A0C19">
        <w:rPr>
          <w:rFonts w:ascii="Verdana" w:hAnsi="Verdana" w:cs="Arial"/>
          <w:sz w:val="16"/>
          <w:szCs w:val="16"/>
        </w:rPr>
        <w:t>La Entidad Estatal debe publicar su Plan Anual de Adquisiciones y las actualizaciones del mismo en su página web y en el SECOP, en la forma que para el efecto disponga Colombia Compra Eficiente”.</w:t>
      </w:r>
    </w:p>
    <w:p w14:paraId="1FA83F2F" w14:textId="77777777" w:rsidR="002468F0" w:rsidRPr="002A0C19" w:rsidRDefault="002468F0" w:rsidP="002468F0">
      <w:pPr>
        <w:pStyle w:val="Textonotapie"/>
        <w:ind w:firstLine="708"/>
        <w:jc w:val="both"/>
        <w:rPr>
          <w:rFonts w:ascii="Verdana" w:hAnsi="Verdana" w:cs="Arial"/>
          <w:sz w:val="16"/>
          <w:szCs w:val="16"/>
        </w:rPr>
      </w:pPr>
    </w:p>
  </w:footnote>
  <w:footnote w:id="5">
    <w:p w14:paraId="148CB988" w14:textId="77777777" w:rsidR="002468F0" w:rsidRPr="002A0C19" w:rsidRDefault="002468F0" w:rsidP="002468F0">
      <w:pPr>
        <w:pStyle w:val="Textonotapie"/>
        <w:ind w:firstLine="708"/>
        <w:jc w:val="both"/>
        <w:rPr>
          <w:rFonts w:ascii="Verdana" w:hAnsi="Verdana" w:cs="Arial"/>
          <w:sz w:val="16"/>
          <w:szCs w:val="16"/>
        </w:rPr>
      </w:pPr>
      <w:r w:rsidRPr="002A0C19">
        <w:rPr>
          <w:rStyle w:val="Refdenotaalpie"/>
          <w:rFonts w:ascii="Verdana" w:hAnsi="Verdana" w:cs="Arial"/>
          <w:sz w:val="16"/>
          <w:szCs w:val="16"/>
        </w:rPr>
        <w:footnoteRef/>
      </w:r>
      <w:r w:rsidRPr="002A0C19">
        <w:rPr>
          <w:rFonts w:ascii="Verdana" w:hAnsi="Verdana" w:cs="Arial"/>
          <w:sz w:val="16"/>
          <w:szCs w:val="16"/>
        </w:rPr>
        <w:t xml:space="preserve"> Decreto 1082 de 2015, modificado por artículo 2 del Decreto 142 de 2023: “Artículo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como mínimo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w:t>
      </w:r>
    </w:p>
    <w:p w14:paraId="75B64682" w14:textId="77777777" w:rsidR="002468F0" w:rsidRPr="002A0C19" w:rsidRDefault="002468F0" w:rsidP="002468F0">
      <w:pPr>
        <w:pStyle w:val="Textonotapie"/>
        <w:ind w:firstLine="708"/>
        <w:jc w:val="both"/>
        <w:rPr>
          <w:rFonts w:ascii="Verdana" w:hAnsi="Verdana" w:cs="Arial"/>
          <w:sz w:val="16"/>
          <w:szCs w:val="16"/>
        </w:rPr>
      </w:pPr>
      <w:r w:rsidRPr="002A0C19">
        <w:rPr>
          <w:rFonts w:ascii="Verdana" w:hAnsi="Verdana" w:cs="Arial"/>
          <w:sz w:val="16"/>
          <w:szCs w:val="16"/>
        </w:rPr>
        <w:t>Las entidades estatales deberán planear su contratación de manera que se promueva la división de Procesos de Contratación en lotes o segmentos en los que se facilite la participación de las Mipymes.</w:t>
      </w:r>
    </w:p>
    <w:p w14:paraId="6CBBDA97" w14:textId="77777777" w:rsidR="002468F0" w:rsidRPr="002A0C19" w:rsidRDefault="002468F0" w:rsidP="002468F0">
      <w:pPr>
        <w:pStyle w:val="Textonotapie"/>
        <w:ind w:firstLine="708"/>
        <w:jc w:val="both"/>
        <w:rPr>
          <w:rFonts w:ascii="Verdana" w:hAnsi="Verdana" w:cs="Arial"/>
          <w:sz w:val="16"/>
          <w:szCs w:val="16"/>
        </w:rPr>
      </w:pPr>
      <w:r w:rsidRPr="002A0C19">
        <w:rPr>
          <w:rFonts w:ascii="Verdana" w:hAnsi="Verdana" w:cs="Arial"/>
          <w:sz w:val="16"/>
          <w:szCs w:val="16"/>
        </w:rPr>
        <w:t xml:space="preserve">Dentro de estas Mipymes se encuentran entre otras, las cooperativas de acuerdo con los requisitos del artículo 23 de la Ley 2069 de 2020 o las que se constituyan como entidades de economía solidaria de acuerdo con los requisitos del artículo 6 de la Ley 454 de 1998 o la norma que las modifique o sustituya. </w:t>
      </w:r>
    </w:p>
    <w:p w14:paraId="7DBDCC50" w14:textId="77777777" w:rsidR="002468F0" w:rsidRPr="002A0C19" w:rsidRDefault="002468F0" w:rsidP="002468F0">
      <w:pPr>
        <w:pStyle w:val="Textonotapie"/>
        <w:ind w:firstLine="708"/>
        <w:jc w:val="both"/>
        <w:rPr>
          <w:rFonts w:ascii="Verdana" w:hAnsi="Verdana" w:cs="Arial"/>
          <w:sz w:val="16"/>
          <w:szCs w:val="16"/>
        </w:rPr>
      </w:pPr>
      <w:r w:rsidRPr="002A0C19">
        <w:rPr>
          <w:rFonts w:ascii="Verdana" w:hAnsi="Verdana" w:cs="Arial"/>
          <w:sz w:val="16"/>
          <w:szCs w:val="16"/>
        </w:rPr>
        <w:t>Las asociaciones conformadas por sujetos de especial protección constitucional, asociaciones de pequeños productores locales y productores locales agropecuarios cuyos sistemas productivos pertenezcan a la Agricultura Campesina, Familiar y Comunitaria podrán ser clasificadas como Mipymes en los términos previstos en el artículo 23 de la Ley 2069 de 2020, el artículo 2 de la Ley 590 de 2000 y por el Decreto 957 de 2019 o las normas que los modifiquen”.</w:t>
      </w:r>
    </w:p>
  </w:footnote>
  <w:footnote w:id="6">
    <w:p w14:paraId="755403D5" w14:textId="77777777" w:rsidR="002468F0" w:rsidRPr="000A1A6F" w:rsidRDefault="002468F0" w:rsidP="002468F0">
      <w:pPr>
        <w:pStyle w:val="Textonotapie"/>
        <w:ind w:firstLine="709"/>
        <w:jc w:val="both"/>
        <w:rPr>
          <w:rFonts w:ascii="Verdana" w:hAnsi="Verdana"/>
          <w:sz w:val="16"/>
          <w:szCs w:val="16"/>
        </w:rPr>
      </w:pPr>
      <w:r w:rsidRPr="001B7256">
        <w:rPr>
          <w:rStyle w:val="Refdenotaalpie"/>
          <w:rFonts w:ascii="Verdana" w:hAnsi="Verdana"/>
          <w:sz w:val="16"/>
          <w:szCs w:val="16"/>
        </w:rPr>
        <w:footnoteRef/>
      </w:r>
      <w:r w:rsidRPr="001B7256">
        <w:rPr>
          <w:rFonts w:ascii="Verdana" w:hAnsi="Verdana"/>
          <w:sz w:val="16"/>
          <w:szCs w:val="16"/>
        </w:rPr>
        <w:t xml:space="preserve"> </w:t>
      </w:r>
      <w:r w:rsidRPr="000A1A6F">
        <w:rPr>
          <w:rFonts w:ascii="Verdana" w:hAnsi="Verdana"/>
          <w:sz w:val="16"/>
          <w:szCs w:val="16"/>
        </w:rPr>
        <w:t xml:space="preserve">Guía de competencia en las compras públicas- Disponible en </w:t>
      </w:r>
      <w:hyperlink r:id="rId3" w:history="1">
        <w:r w:rsidRPr="000A1A6F">
          <w:rPr>
            <w:rStyle w:val="Hipervnculo"/>
            <w:rFonts w:ascii="Verdana" w:hAnsi="Verdana"/>
            <w:sz w:val="16"/>
            <w:szCs w:val="16"/>
            <w:lang w:val="es-CO"/>
          </w:rPr>
          <w:t>cce_guia_competencia_0.pdf</w:t>
        </w:r>
      </w:hyperlink>
    </w:p>
    <w:p w14:paraId="3323FC70" w14:textId="77777777" w:rsidR="002468F0" w:rsidRPr="000A1A6F" w:rsidRDefault="002468F0" w:rsidP="002468F0">
      <w:pPr>
        <w:pStyle w:val="Textonotapie"/>
        <w:ind w:firstLine="709"/>
        <w:jc w:val="both"/>
        <w:rPr>
          <w:rFonts w:ascii="Verdana" w:hAnsi="Verdana"/>
          <w:sz w:val="16"/>
          <w:szCs w:val="16"/>
          <w:lang w:val="es-ES"/>
        </w:rPr>
      </w:pPr>
    </w:p>
  </w:footnote>
  <w:footnote w:id="7">
    <w:p w14:paraId="06982A7C" w14:textId="77777777" w:rsidR="002468F0" w:rsidRPr="000A1A6F" w:rsidRDefault="002468F0" w:rsidP="002468F0">
      <w:pPr>
        <w:pStyle w:val="Textonotapie"/>
        <w:ind w:firstLine="708"/>
        <w:rPr>
          <w:rFonts w:ascii="Verdana" w:hAnsi="Verdana"/>
          <w:sz w:val="16"/>
          <w:szCs w:val="16"/>
        </w:rPr>
      </w:pPr>
      <w:r w:rsidRPr="000A1A6F">
        <w:rPr>
          <w:rStyle w:val="Refdenotaalpie"/>
          <w:rFonts w:ascii="Verdana" w:hAnsi="Verdana"/>
          <w:sz w:val="16"/>
          <w:szCs w:val="16"/>
        </w:rPr>
        <w:footnoteRef/>
      </w:r>
      <w:r w:rsidRPr="000A1A6F">
        <w:rPr>
          <w:rFonts w:ascii="Verdana" w:hAnsi="Verdana"/>
          <w:sz w:val="16"/>
          <w:szCs w:val="16"/>
        </w:rPr>
        <w:t xml:space="preserve"> Agencia Nacional de Contratación Pública –Colombia Compra Eficiente. Guía de competencia en las compras públicas, 2018. p. 4. Disponible en línea: </w:t>
      </w:r>
      <w:hyperlink r:id="rId4" w:history="1">
        <w:r w:rsidRPr="000A1A6F">
          <w:rPr>
            <w:rStyle w:val="Hipervnculo"/>
            <w:rFonts w:ascii="Verdana" w:hAnsi="Verdana"/>
            <w:sz w:val="16"/>
            <w:szCs w:val="16"/>
          </w:rPr>
          <w:t>https://www.colombiacompra.gov.co/archivos/manual/guia-de-competencia-en-las-compras-publicas</w:t>
        </w:r>
      </w:hyperlink>
      <w:r w:rsidRPr="000A1A6F">
        <w:rPr>
          <w:rFonts w:ascii="Verdana" w:hAnsi="Verdana"/>
          <w:sz w:val="16"/>
          <w:szCs w:val="16"/>
        </w:rPr>
        <w:t xml:space="preserve"> </w:t>
      </w:r>
    </w:p>
    <w:p w14:paraId="16A289B4" w14:textId="77777777" w:rsidR="002468F0" w:rsidRPr="000A1A6F" w:rsidRDefault="002468F0" w:rsidP="002468F0">
      <w:pPr>
        <w:pStyle w:val="Textonotapie"/>
        <w:ind w:firstLine="708"/>
        <w:rPr>
          <w:rFonts w:ascii="Verdana" w:hAnsi="Verdana"/>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57B88ABD" w:rsidR="008A446D" w:rsidRDefault="008A446D" w:rsidP="000D5DA7">
    <w:pPr>
      <w:spacing w:after="0" w:line="480" w:lineRule="auto"/>
      <w:rPr>
        <w:rFonts w:ascii="Verdana" w:hAnsi="Verdana"/>
        <w:sz w:val="24"/>
        <w:szCs w:val="24"/>
      </w:rPr>
    </w:pPr>
  </w:p>
  <w:p w14:paraId="4390FFC3" w14:textId="77777777" w:rsidR="00647AD1" w:rsidRPr="00C925AC" w:rsidRDefault="00647AD1"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92EC0BC6"/>
    <w:lvl w:ilvl="0">
      <w:start w:val="1"/>
      <w:numFmt w:val="decimal"/>
      <w:lvlText w:val="%1."/>
      <w:lvlJc w:val="left"/>
      <w:pPr>
        <w:ind w:left="6601" w:hanging="360"/>
      </w:pPr>
      <w:rPr>
        <w:b/>
        <w:color w:val="000000" w:themeColor="text1"/>
        <w:lang w:val="es-C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8FB7985"/>
    <w:multiLevelType w:val="hybridMultilevel"/>
    <w:tmpl w:val="6D723D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341274352">
    <w:abstractNumId w:val="0"/>
  </w:num>
  <w:num w:numId="17" w16cid:durableId="6913460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468F0"/>
    <w:rsid w:val="0025796E"/>
    <w:rsid w:val="002707A2"/>
    <w:rsid w:val="00292C98"/>
    <w:rsid w:val="002951A0"/>
    <w:rsid w:val="002962BC"/>
    <w:rsid w:val="002A093D"/>
    <w:rsid w:val="002A0DD0"/>
    <w:rsid w:val="002A49AC"/>
    <w:rsid w:val="002A5A8B"/>
    <w:rsid w:val="002A64FD"/>
    <w:rsid w:val="002C7A84"/>
    <w:rsid w:val="002E2BF8"/>
    <w:rsid w:val="002E4FD9"/>
    <w:rsid w:val="0030657A"/>
    <w:rsid w:val="00322A85"/>
    <w:rsid w:val="00324168"/>
    <w:rsid w:val="00330834"/>
    <w:rsid w:val="0034419C"/>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3BCD"/>
    <w:rsid w:val="004F685F"/>
    <w:rsid w:val="00516208"/>
    <w:rsid w:val="005428F3"/>
    <w:rsid w:val="005566E8"/>
    <w:rsid w:val="00574867"/>
    <w:rsid w:val="00582AB6"/>
    <w:rsid w:val="00591460"/>
    <w:rsid w:val="005A65E0"/>
    <w:rsid w:val="005C3777"/>
    <w:rsid w:val="005C5CDC"/>
    <w:rsid w:val="005D476C"/>
    <w:rsid w:val="006200BF"/>
    <w:rsid w:val="006219F8"/>
    <w:rsid w:val="006302F7"/>
    <w:rsid w:val="00643F49"/>
    <w:rsid w:val="00646B9F"/>
    <w:rsid w:val="00647AD1"/>
    <w:rsid w:val="00665D70"/>
    <w:rsid w:val="006900D9"/>
    <w:rsid w:val="006C68CC"/>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76A89"/>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E1DDA"/>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F6CEE"/>
    <w:rsid w:val="00D23490"/>
    <w:rsid w:val="00D361FD"/>
    <w:rsid w:val="00D423A2"/>
    <w:rsid w:val="00D44E26"/>
    <w:rsid w:val="00D520D8"/>
    <w:rsid w:val="00D63AC2"/>
    <w:rsid w:val="00D72F78"/>
    <w:rsid w:val="00D7383B"/>
    <w:rsid w:val="00D7788A"/>
    <w:rsid w:val="00DA231B"/>
    <w:rsid w:val="00DC39FC"/>
    <w:rsid w:val="00DF5254"/>
    <w:rsid w:val="00E02524"/>
    <w:rsid w:val="00E05C45"/>
    <w:rsid w:val="00E16408"/>
    <w:rsid w:val="00E20894"/>
    <w:rsid w:val="00E245AB"/>
    <w:rsid w:val="00E2764C"/>
    <w:rsid w:val="00E27F2E"/>
    <w:rsid w:val="00E400DA"/>
    <w:rsid w:val="00E50AFE"/>
    <w:rsid w:val="00E75C92"/>
    <w:rsid w:val="00E771DC"/>
    <w:rsid w:val="00E8772A"/>
    <w:rsid w:val="00E90F6B"/>
    <w:rsid w:val="00E92C27"/>
    <w:rsid w:val="00EA0E3D"/>
    <w:rsid w:val="00EC38A7"/>
    <w:rsid w:val="00EE1AA8"/>
    <w:rsid w:val="00EF6419"/>
    <w:rsid w:val="00F23FEA"/>
    <w:rsid w:val="00F31EDC"/>
    <w:rsid w:val="00F462B3"/>
    <w:rsid w:val="00F5664F"/>
    <w:rsid w:val="00F666C4"/>
    <w:rsid w:val="00F76AFC"/>
    <w:rsid w:val="00FA47C0"/>
    <w:rsid w:val="00FB5DD1"/>
    <w:rsid w:val="00FC2B5D"/>
    <w:rsid w:val="00FD726F"/>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468F0"/>
    <w:rPr>
      <w:rFonts w:ascii="Geomanist Light" w:hAnsi="Geomanist Light"/>
      <w:lang w:val="es-ES"/>
    </w:rPr>
  </w:style>
  <w:style w:type="paragraph" w:customStyle="1" w:styleId="Appelnotedebasde">
    <w:name w:val="Appel note de bas de..."/>
    <w:basedOn w:val="Normal"/>
    <w:link w:val="Refdenotaalpie"/>
    <w:uiPriority w:val="99"/>
    <w:rsid w:val="002468F0"/>
    <w:pPr>
      <w:spacing w:line="240" w:lineRule="exact"/>
    </w:pPr>
    <w:rPr>
      <w:vertAlign w:val="superscript"/>
    </w:rPr>
  </w:style>
  <w:style w:type="character" w:styleId="Fuerte">
    <w:name w:val="Strong"/>
    <w:basedOn w:val="Fuentedeprrafopredeter"/>
    <w:uiPriority w:val="22"/>
    <w:qFormat/>
    <w:rsid w:val="002468F0"/>
    <w:rPr>
      <w:b/>
      <w:bCs/>
    </w:rPr>
  </w:style>
  <w:style w:type="character" w:styleId="nfasis">
    <w:name w:val="Emphasis"/>
    <w:basedOn w:val="Fuentedeprrafopredeter"/>
    <w:uiPriority w:val="20"/>
    <w:qFormat/>
    <w:rsid w:val="002468F0"/>
    <w:rPr>
      <w:i/>
      <w:iCs/>
    </w:rPr>
  </w:style>
  <w:style w:type="character" w:customStyle="1" w:styleId="Hipervnculo1">
    <w:name w:val="Hipervínculo1"/>
    <w:basedOn w:val="Fuentedeprrafopredeter"/>
    <w:uiPriority w:val="99"/>
    <w:unhideWhenUsed/>
    <w:rsid w:val="002468F0"/>
    <w:rPr>
      <w:color w:val="F2F2F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wp-content/uploads/2024/08/cce_guia_competencia_0.pdf"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operaciones.colombiacompra.gov.co/sites/cce_public/files/cce_documents/guia_para_elaborar_el_plan_anual_de_adquisiciones_0.pdf"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stefaniiyricaurt@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wp-content/uploads/2024/08/cce_guia_competencia_0.pdf" TargetMode="External"/><Relationship Id="rId2" Type="http://schemas.openxmlformats.org/officeDocument/2006/relationships/hyperlink" Target="http://www.alcaldiabogota.gov.co/sisjur/normas/Norma1.jsp?i=43292" TargetMode="External"/><Relationship Id="rId1" Type="http://schemas.openxmlformats.org/officeDocument/2006/relationships/hyperlink" Target="https://operaciones.colombiacompra.gov.co/sites/cce_public/files/cce_documents/guia_para_elaborar_el_plan_anual_de_adquisiciones_0.pdf" TargetMode="External"/><Relationship Id="rId4" Type="http://schemas.openxmlformats.org/officeDocument/2006/relationships/hyperlink" Target="https://www.colombiacompra.gov.co/archivos/manual/guia-de-competencia-en-las-compras-public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AE1B6765-B6C3-4E48-9982-AE56E298E78E}"/>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13</Pages>
  <Words>4021</Words>
  <Characters>22121</Characters>
  <Application>Microsoft Office Word</Application>
  <DocSecurity>0</DocSecurity>
  <Lines>184</Lines>
  <Paragraphs>52</Paragraphs>
  <ScaleCrop>false</ScaleCrop>
  <Company/>
  <LinksUpToDate>false</LinksUpToDate>
  <CharactersWithSpaces>26090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2</cp:revision>
  <cp:lastPrinted>2023-01-10T21:18:00Z</cp:lastPrinted>
  <dcterms:created xsi:type="dcterms:W3CDTF">2026-10-26T21:06:00Z</dcterms:created>
  <dcterms:modified xsi:type="dcterms:W3CDTF">2026-10-26T21:06:00Z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