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9098D" w14:textId="77777777" w:rsidR="00107C29" w:rsidRPr="00752028" w:rsidRDefault="00107C29" w:rsidP="00107C29">
      <w:pPr>
        <w:spacing w:after="0" w:line="240" w:lineRule="auto"/>
        <w:jc w:val="both"/>
        <w:rPr>
          <w:rFonts w:ascii="Verdana" w:hAnsi="Verdana" w:cs="Vrinda"/>
          <w:b/>
          <w:sz w:val="20"/>
          <w:szCs w:val="20"/>
          <w:lang w:val="es-ES_tradnl" w:eastAsia="es-ES"/>
        </w:rPr>
      </w:pPr>
      <w:bookmarkStart w:id="0" w:name="_Hlk143780582"/>
      <w:r w:rsidRPr="00E776FC">
        <w:rPr>
          <w:rFonts w:ascii="Verdana" w:hAnsi="Verdana" w:cs="Arial"/>
          <w:b/>
          <w:lang w:val="es-ES_tradnl" w:eastAsia="es-ES"/>
        </w:rPr>
        <w:t xml:space="preserve">GARANTÍAS CONTRACTUALES </w:t>
      </w:r>
      <w:r>
        <w:rPr>
          <w:rFonts w:ascii="Verdana" w:hAnsi="Verdana" w:cs="Arial"/>
          <w:b/>
          <w:lang w:val="es-ES_tradnl" w:eastAsia="es-ES"/>
        </w:rPr>
        <w:t>–</w:t>
      </w:r>
      <w:r w:rsidRPr="00E776FC">
        <w:rPr>
          <w:rFonts w:ascii="Verdana" w:hAnsi="Verdana" w:cs="Arial"/>
          <w:b/>
          <w:lang w:val="es-ES_tradnl" w:eastAsia="es-ES"/>
        </w:rPr>
        <w:t xml:space="preserve"> </w:t>
      </w:r>
      <w:r>
        <w:rPr>
          <w:rFonts w:ascii="Verdana" w:hAnsi="Verdana" w:cs="Arial"/>
          <w:b/>
          <w:lang w:val="es-ES_tradnl" w:eastAsia="es-ES"/>
        </w:rPr>
        <w:t xml:space="preserve">Exigencia – Procesos de contractuales - </w:t>
      </w:r>
      <w:r w:rsidRPr="00752028">
        <w:rPr>
          <w:rFonts w:ascii="Verdana" w:hAnsi="Verdana" w:cs="Vrinda"/>
          <w:b/>
          <w:lang w:val="es-ES_tradnl" w:eastAsia="es-ES"/>
        </w:rPr>
        <w:t>Clases</w:t>
      </w:r>
    </w:p>
    <w:p w14:paraId="6F40314C" w14:textId="77777777" w:rsidR="00107C29" w:rsidRPr="00752028" w:rsidRDefault="00107C29" w:rsidP="00107C29">
      <w:pPr>
        <w:spacing w:after="0" w:line="240" w:lineRule="auto"/>
        <w:jc w:val="both"/>
        <w:rPr>
          <w:rFonts w:ascii="Verdana" w:hAnsi="Verdana" w:cs="Vrinda"/>
          <w:b/>
          <w:sz w:val="20"/>
          <w:szCs w:val="20"/>
          <w:lang w:val="es-ES_tradnl" w:eastAsia="es-ES"/>
        </w:rPr>
      </w:pPr>
    </w:p>
    <w:p w14:paraId="0CB030F7" w14:textId="77777777" w:rsidR="00107C29" w:rsidRPr="00752028" w:rsidRDefault="00107C29" w:rsidP="00107C29">
      <w:pPr>
        <w:spacing w:after="0" w:line="240" w:lineRule="auto"/>
        <w:jc w:val="both"/>
        <w:rPr>
          <w:rFonts w:ascii="Verdana" w:hAnsi="Verdana" w:cs="Vrinda"/>
          <w:sz w:val="20"/>
          <w:szCs w:val="20"/>
          <w:lang w:val="es-ES" w:eastAsia="es-ES"/>
        </w:rPr>
      </w:pPr>
      <w:r w:rsidRPr="5B73FF33">
        <w:rPr>
          <w:rFonts w:ascii="Verdana" w:hAnsi="Verdana" w:cs="Vrinda"/>
          <w:sz w:val="20"/>
          <w:szCs w:val="20"/>
          <w:lang w:val="es-ES" w:eastAsia="es-ES"/>
        </w:rPr>
        <w:t>[…] el Estatuto General de Contratación de la Administración Pública exige, por regla general, en los procesos de contratación pública la constitución de garantías, ya sea en la etapa precontractual, contractual o postcontractual, con el fin de evitar o mitigar posibles riesgos.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5E532D0D" w14:textId="77777777" w:rsidR="00107C29" w:rsidRPr="00752028" w:rsidRDefault="00107C29" w:rsidP="00107C29">
      <w:pPr>
        <w:spacing w:after="0" w:line="240" w:lineRule="auto"/>
        <w:jc w:val="both"/>
        <w:rPr>
          <w:rFonts w:ascii="Verdana" w:hAnsi="Verdana" w:cs="Vrinda"/>
          <w:bCs/>
          <w:sz w:val="20"/>
          <w:szCs w:val="20"/>
          <w:lang w:val="es-ES_tradnl" w:eastAsia="es-ES"/>
        </w:rPr>
      </w:pPr>
      <w:r w:rsidRPr="00752028">
        <w:rPr>
          <w:rFonts w:ascii="Verdana" w:hAnsi="Verdana" w:cs="Vrinda"/>
          <w:bCs/>
          <w:sz w:val="20"/>
          <w:szCs w:val="20"/>
          <w:lang w:val="es-ES_tradnl" w:eastAsia="es-ES"/>
        </w:rPr>
        <w:t>[…]</w:t>
      </w:r>
    </w:p>
    <w:p w14:paraId="37F423D7" w14:textId="77777777" w:rsidR="00107C29" w:rsidRPr="00752028" w:rsidRDefault="00107C29" w:rsidP="00107C29">
      <w:pPr>
        <w:spacing w:after="0" w:line="240" w:lineRule="auto"/>
        <w:jc w:val="both"/>
        <w:rPr>
          <w:rFonts w:ascii="Verdana" w:hAnsi="Verdana" w:cs="Vrinda"/>
          <w:sz w:val="20"/>
          <w:szCs w:val="20"/>
          <w:lang w:val="es-ES" w:eastAsia="es-ES"/>
        </w:rPr>
      </w:pPr>
      <w:r w:rsidRPr="5B73FF33">
        <w:rPr>
          <w:rFonts w:ascii="Verdana" w:hAnsi="Verdana" w:cs="Vrinda"/>
          <w:sz w:val="20"/>
          <w:szCs w:val="20"/>
          <w:lang w:val="es-ES" w:eastAsia="es-ES"/>
        </w:rPr>
        <w:t>[…] los proponentes o contratistas, para garantizar el cumplimiento de sus obligaciones frente a Entidades Estatales en materia contractual, pueden otorgar, a su elección, las garantías mediante los siguientes mecanismos de cobertura de los riesgos: i) contratos de seguro, que por su esencia, es el medio más usado para amparar los riesgos contractuales; ii)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 ;  iii) garantías bancarias o cartas de crédito stand by, que consisten en compromisos irrevocables o incondicionales asumidos por una entidad financiera de pagar una suma determinada de dinero . La suficiencia y la vigencia de las garantías deben ser las reguladas en los artículos 2.2.1.2.3.1.9 a 2.2.1.2.3.1.16 del Decreto 1082 de 2015.</w:t>
      </w:r>
    </w:p>
    <w:p w14:paraId="2C0FB9F6" w14:textId="77777777" w:rsidR="00107C29" w:rsidRPr="00752028" w:rsidRDefault="00107C29" w:rsidP="00107C29">
      <w:pPr>
        <w:spacing w:after="0" w:line="240" w:lineRule="auto"/>
        <w:jc w:val="both"/>
        <w:rPr>
          <w:rFonts w:ascii="Verdana" w:hAnsi="Verdana" w:cs="Vrinda"/>
          <w:bCs/>
          <w:sz w:val="20"/>
          <w:szCs w:val="20"/>
          <w:lang w:val="es-ES_tradnl" w:eastAsia="es-ES"/>
        </w:rPr>
      </w:pPr>
    </w:p>
    <w:p w14:paraId="725DD773" w14:textId="77777777" w:rsidR="00107C29" w:rsidRPr="00752028" w:rsidRDefault="00107C29" w:rsidP="00107C29">
      <w:pPr>
        <w:spacing w:after="0" w:line="240" w:lineRule="auto"/>
        <w:jc w:val="both"/>
        <w:rPr>
          <w:rFonts w:ascii="Verdana" w:hAnsi="Verdana" w:cs="Vrinda"/>
          <w:b/>
          <w:lang w:val="es-ES_tradnl" w:eastAsia="es-ES"/>
        </w:rPr>
      </w:pPr>
      <w:r w:rsidRPr="00752028">
        <w:rPr>
          <w:rFonts w:ascii="Verdana" w:hAnsi="Verdana" w:cs="Vrinda"/>
          <w:b/>
          <w:lang w:val="es-ES_tradnl" w:eastAsia="es-ES"/>
        </w:rPr>
        <w:t>AMPARO DE CUMPLIMIENTO – Finalidad – Vigencia</w:t>
      </w:r>
    </w:p>
    <w:p w14:paraId="151F42C1" w14:textId="77777777" w:rsidR="00107C29" w:rsidRPr="00752028" w:rsidRDefault="00107C29" w:rsidP="00107C29">
      <w:pPr>
        <w:spacing w:after="0" w:line="240" w:lineRule="auto"/>
        <w:jc w:val="both"/>
        <w:rPr>
          <w:rFonts w:ascii="Verdana" w:hAnsi="Verdana" w:cs="Vrinda"/>
          <w:b/>
          <w:lang w:val="es-ES_tradnl" w:eastAsia="es-ES"/>
        </w:rPr>
      </w:pPr>
    </w:p>
    <w:p w14:paraId="6B508FD9" w14:textId="77777777" w:rsidR="00107C29" w:rsidRPr="00752028" w:rsidRDefault="00107C29" w:rsidP="00107C29">
      <w:pPr>
        <w:spacing w:after="0" w:line="240" w:lineRule="auto"/>
        <w:jc w:val="both"/>
        <w:rPr>
          <w:rFonts w:ascii="Verdana" w:hAnsi="Verdana" w:cs="Vrinda"/>
          <w:bCs/>
          <w:sz w:val="20"/>
          <w:szCs w:val="20"/>
          <w:lang w:val="es-ES_tradnl" w:eastAsia="es-ES"/>
        </w:rPr>
      </w:pPr>
      <w:r w:rsidRPr="00752028">
        <w:rPr>
          <w:rFonts w:ascii="Verdana" w:hAnsi="Verdana" w:cs="Vrinda"/>
          <w:bCs/>
          <w:sz w:val="20"/>
          <w:szCs w:val="20"/>
          <w:lang w:val="es-ES_tradnl" w:eastAsia="es-ES"/>
        </w:rPr>
        <w:t>[…], en lo concerniente al amparo de cumplimento, como se observa, este al tenor de lo dispuesto en lo precitado artículo, debe proteger a la entidad de los perjuicios que se puedan ocasionar con el incumplimiento total o parcial del contrato, del cumplimiento tardío o defectuoso, de los daños por entregas parciales de la obra, cuando el contrato no prevé entregas parciales, y del valor de las multas y de la cláusula penal pecuniaria. De lo anterior se advierte que el referido amparo, tiene como objeto proteger a la entidad de los riesgos que puedan concretarse durante la etapa de ejecución del contrato y, más claramente, aquellos derivados de incumplimientos o conductas imputables al contratista.</w:t>
      </w:r>
    </w:p>
    <w:p w14:paraId="0CAB5858" w14:textId="77777777" w:rsidR="00107C29" w:rsidRPr="00752028" w:rsidRDefault="00107C29" w:rsidP="00107C29">
      <w:pPr>
        <w:spacing w:after="0" w:line="240" w:lineRule="auto"/>
        <w:jc w:val="both"/>
        <w:rPr>
          <w:rFonts w:ascii="Verdana" w:hAnsi="Verdana" w:cs="Vrinda"/>
          <w:bCs/>
          <w:sz w:val="20"/>
          <w:szCs w:val="20"/>
          <w:lang w:val="es-ES_tradnl" w:eastAsia="es-ES"/>
        </w:rPr>
      </w:pPr>
    </w:p>
    <w:p w14:paraId="2468D9A6" w14:textId="77777777" w:rsidR="00107C29" w:rsidRPr="00752028" w:rsidRDefault="00107C29" w:rsidP="00107C29">
      <w:pPr>
        <w:spacing w:after="0" w:line="240" w:lineRule="auto"/>
        <w:jc w:val="both"/>
        <w:rPr>
          <w:rFonts w:ascii="Verdana" w:hAnsi="Verdana" w:cs="Vrinda"/>
          <w:bCs/>
          <w:sz w:val="20"/>
          <w:szCs w:val="20"/>
          <w:lang w:val="es-ES_tradnl" w:eastAsia="es-ES"/>
        </w:rPr>
      </w:pPr>
      <w:r w:rsidRPr="00752028">
        <w:rPr>
          <w:rFonts w:ascii="Verdana" w:hAnsi="Verdana" w:cs="Vrinda"/>
          <w:bCs/>
          <w:sz w:val="20"/>
          <w:szCs w:val="20"/>
          <w:lang w:val="es-ES_tradnl" w:eastAsia="es-ES"/>
        </w:rPr>
        <w:t>[…] el artículo 2.2.1.2.3.1.12 del Decreto 1082 de 2015, señala expresamente que “[l]a garantía de cumplimiento del contrato debe tener una vigencia mínima hasta la liquidación del contrato”. Sin embargo, es de menester aclara que, la anterior disposición no se refiere a la garantía única de cumplimiento en su totalidad, sino exclusivamente al amparo de cumplimiento, al que se viene haciendo referencia, lo cual explica que los artículos anteriores y subsiguientes establezcan términos diferentes para los demás amparos que conforman la garantía única de cumplimiento. […]</w:t>
      </w:r>
    </w:p>
    <w:p w14:paraId="65727930" w14:textId="77777777" w:rsidR="00107C29" w:rsidRPr="00752028" w:rsidRDefault="00107C29" w:rsidP="00107C29">
      <w:pPr>
        <w:spacing w:after="0" w:line="240" w:lineRule="auto"/>
        <w:jc w:val="both"/>
        <w:rPr>
          <w:rFonts w:ascii="Verdana" w:hAnsi="Verdana" w:cs="Vrinda"/>
          <w:bCs/>
          <w:sz w:val="20"/>
          <w:szCs w:val="20"/>
          <w:lang w:val="es-ES_tradnl" w:eastAsia="es-ES"/>
        </w:rPr>
      </w:pPr>
      <w:r w:rsidRPr="00752028">
        <w:rPr>
          <w:rFonts w:ascii="Verdana" w:hAnsi="Verdana" w:cs="Vrinda"/>
          <w:bCs/>
          <w:sz w:val="20"/>
          <w:szCs w:val="20"/>
          <w:lang w:val="es-ES_tradnl" w:eastAsia="es-ES"/>
        </w:rPr>
        <w:lastRenderedPageBreak/>
        <w:t>[…]</w:t>
      </w:r>
    </w:p>
    <w:p w14:paraId="73A01601" w14:textId="77777777" w:rsidR="00107C29" w:rsidRPr="00752028" w:rsidRDefault="00107C29" w:rsidP="00107C29">
      <w:pPr>
        <w:spacing w:after="0" w:line="240" w:lineRule="auto"/>
        <w:jc w:val="both"/>
        <w:rPr>
          <w:rFonts w:ascii="Verdana" w:hAnsi="Verdana" w:cs="Vrinda"/>
          <w:sz w:val="20"/>
          <w:szCs w:val="20"/>
          <w:lang w:val="es-ES" w:eastAsia="es-ES"/>
        </w:rPr>
      </w:pPr>
      <w:r w:rsidRPr="5B73FF33">
        <w:rPr>
          <w:rFonts w:ascii="Verdana" w:hAnsi="Verdana" w:cs="Vrinda"/>
          <w:sz w:val="20"/>
          <w:szCs w:val="20"/>
          <w:lang w:val="es-ES" w:eastAsia="es-ES"/>
        </w:rPr>
        <w:t>[…] la vigencia del amparo de cumplimiento del contrato es la determinada en el artículo 2.2.1.2.3.1.12. ibidem, esto es, hasta el momento en que se realice la liquidación del contrato, para lo cual se deberá tener en cuenta lo dispuesto por el artículo 11 de la Ley 1150 de 2007, según el cual la liquidación de los contratos se hará de mutuo acuerdo dentro del término fijado en los pliegos de condiciones o sus equivalentes o dentro del que acuerden las partes para el efecto o en su ausencia, el término supletivo establecido para la liquidación bilateral de 4 meses o los 2 meses siguientes para realizar la liquidación de forma unilateral. En este sentido, ante la falta de liquidación bilateral o unilateral del contrato en dichos plazos, el contratista debe cumplir con la previsión normativa referida, en el sentido de mantener la vigencia de la garantía de cumplimiento hasta la liquidación efectiva del contrato, sin perjuicio de interponer la demanda con la pretensión de liquidarlo judicialmente.</w:t>
      </w:r>
    </w:p>
    <w:p w14:paraId="5F790FF5" w14:textId="77777777" w:rsidR="00107C29" w:rsidRPr="00752028" w:rsidRDefault="00107C29" w:rsidP="00107C29">
      <w:pPr>
        <w:spacing w:after="0" w:line="240" w:lineRule="auto"/>
        <w:jc w:val="both"/>
        <w:rPr>
          <w:rFonts w:ascii="Verdana" w:hAnsi="Verdana" w:cs="Vrinda"/>
          <w:b/>
          <w:sz w:val="20"/>
          <w:szCs w:val="20"/>
          <w:lang w:val="es-ES_tradnl" w:eastAsia="es-ES"/>
        </w:rPr>
      </w:pPr>
    </w:p>
    <w:p w14:paraId="426623EA" w14:textId="77777777" w:rsidR="00107C29" w:rsidRPr="00752028" w:rsidRDefault="00107C29" w:rsidP="00107C29">
      <w:pPr>
        <w:spacing w:after="0" w:line="240" w:lineRule="auto"/>
        <w:jc w:val="both"/>
        <w:rPr>
          <w:rFonts w:ascii="Verdana" w:hAnsi="Verdana" w:cs="Vrinda"/>
          <w:b/>
          <w:lang w:val="es-ES_tradnl" w:eastAsia="es-ES"/>
        </w:rPr>
      </w:pPr>
      <w:r w:rsidRPr="00752028">
        <w:rPr>
          <w:rFonts w:ascii="Verdana" w:hAnsi="Verdana" w:cs="Vrinda"/>
          <w:b/>
          <w:lang w:val="es-ES_tradnl" w:eastAsia="es-ES"/>
        </w:rPr>
        <w:t xml:space="preserve">GARANTÍA DE RESPONSABILIDAD CIVIL EXTRACONTRACTUAL – Exigencia – Vigencia </w:t>
      </w:r>
    </w:p>
    <w:p w14:paraId="637C8FCA" w14:textId="77777777" w:rsidR="00107C29" w:rsidRPr="00752028" w:rsidRDefault="00107C29" w:rsidP="00107C29">
      <w:pPr>
        <w:spacing w:after="0" w:line="240" w:lineRule="auto"/>
        <w:jc w:val="both"/>
        <w:rPr>
          <w:rFonts w:ascii="Verdana" w:hAnsi="Verdana" w:cs="Vrinda"/>
          <w:b/>
          <w:sz w:val="20"/>
          <w:szCs w:val="20"/>
          <w:lang w:val="es-ES_tradnl" w:eastAsia="es-ES"/>
        </w:rPr>
      </w:pPr>
    </w:p>
    <w:p w14:paraId="3CA512AC" w14:textId="77777777" w:rsidR="00107C29" w:rsidRPr="00752028" w:rsidRDefault="00107C29" w:rsidP="00107C29">
      <w:pPr>
        <w:spacing w:after="0" w:line="240" w:lineRule="auto"/>
        <w:jc w:val="both"/>
        <w:rPr>
          <w:rFonts w:ascii="Verdana" w:hAnsi="Verdana" w:cs="Vrinda"/>
          <w:sz w:val="20"/>
          <w:szCs w:val="20"/>
          <w:lang w:val="es-ES" w:eastAsia="es-ES"/>
        </w:rPr>
      </w:pPr>
      <w:r w:rsidRPr="5B73FF33">
        <w:rPr>
          <w:rFonts w:ascii="Verdana" w:hAnsi="Verdana" w:cs="Vrinda"/>
          <w:sz w:val="20"/>
          <w:szCs w:val="20"/>
          <w:lang w:val="es-ES" w:eastAsia="es-ES"/>
        </w:rPr>
        <w:t>[…]el artículo 2.2.1.2.3.1.8. del Decreto 1082 de 2015 dispone que la Entidad Estatal debe exigir la constitución de esta en los contratos de obra, así como en aquellos en que por su objeto o naturaleza, lo considere necesario con ocasión de los riesgos previstos en el negocio, para efectos de la cobertura frente a eventuales reclamaciones de terceros que surja de las actuaciones, hechos u omisiones de su contratista. Del mismo modo, y de acuerdo con el inciso segundo del referido artículo, “[l]a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p>
    <w:p w14:paraId="23CA259B" w14:textId="77777777" w:rsidR="00107C29" w:rsidRPr="00752028" w:rsidRDefault="00107C29" w:rsidP="00107C29">
      <w:pPr>
        <w:spacing w:after="0" w:line="240" w:lineRule="auto"/>
        <w:jc w:val="both"/>
        <w:rPr>
          <w:rFonts w:ascii="Verdana" w:hAnsi="Verdana" w:cs="Vrinda"/>
          <w:bCs/>
          <w:sz w:val="20"/>
          <w:szCs w:val="20"/>
          <w:lang w:val="es-ES_tradnl" w:eastAsia="es-ES"/>
        </w:rPr>
      </w:pPr>
      <w:r w:rsidRPr="00752028">
        <w:rPr>
          <w:rFonts w:ascii="Verdana" w:hAnsi="Verdana" w:cs="Vrinda"/>
          <w:bCs/>
          <w:sz w:val="20"/>
          <w:szCs w:val="20"/>
          <w:lang w:val="es-ES_tradnl" w:eastAsia="es-ES"/>
        </w:rPr>
        <w:t>[…]</w:t>
      </w:r>
    </w:p>
    <w:p w14:paraId="1D116BF9" w14:textId="77777777" w:rsidR="00107C29" w:rsidRPr="00752028" w:rsidRDefault="00107C29" w:rsidP="00107C29">
      <w:pPr>
        <w:spacing w:after="0" w:line="240" w:lineRule="auto"/>
        <w:jc w:val="both"/>
        <w:rPr>
          <w:rFonts w:ascii="Verdana" w:hAnsi="Verdana" w:cs="Vrinda"/>
          <w:bCs/>
          <w:sz w:val="20"/>
          <w:szCs w:val="20"/>
          <w:lang w:val="es-ES_tradnl" w:eastAsia="es-ES"/>
        </w:rPr>
      </w:pPr>
      <w:r w:rsidRPr="00752028">
        <w:rPr>
          <w:rFonts w:ascii="Verdana" w:hAnsi="Verdana" w:cs="Vrinda"/>
          <w:bCs/>
          <w:sz w:val="20"/>
          <w:szCs w:val="20"/>
          <w:lang w:val="es-ES_tradnl" w:eastAsia="es-ES"/>
        </w:rPr>
        <w:t>[…] la vigencia de la garantía de responsabilidad civil extracontractual debe ser igual al periodo de ejecución del contrato asegurado, tal y como lo dispone el artículo 2.2.1.2.3.1.17 del Decreto 1082 de 2015. Esto por cuanto, no tiene sentido prologan la vigencia de este amparo después de la fase de ejecución, ya que para ese momento el contratista o sus subcontratistas no estarán realizando labores o actividades que puedan causar daños a terceros.</w:t>
      </w:r>
    </w:p>
    <w:p w14:paraId="4067FFEE" w14:textId="77777777" w:rsidR="00107C29" w:rsidRPr="00752028" w:rsidRDefault="00107C29" w:rsidP="00107C29">
      <w:pPr>
        <w:spacing w:after="0" w:line="240" w:lineRule="auto"/>
        <w:jc w:val="both"/>
        <w:rPr>
          <w:rFonts w:ascii="Verdana" w:hAnsi="Verdana" w:cs="Vrinda"/>
          <w:bCs/>
          <w:sz w:val="20"/>
          <w:szCs w:val="20"/>
          <w:lang w:val="es-ES_tradnl" w:eastAsia="es-ES"/>
        </w:rPr>
      </w:pPr>
    </w:p>
    <w:p w14:paraId="70D22A72" w14:textId="77777777" w:rsidR="00107C29" w:rsidRPr="00752028" w:rsidRDefault="00107C29" w:rsidP="00107C29">
      <w:pPr>
        <w:spacing w:after="0" w:line="240" w:lineRule="auto"/>
        <w:jc w:val="both"/>
        <w:rPr>
          <w:rFonts w:ascii="Verdana" w:eastAsia="Geomanist Light" w:hAnsi="Verdana" w:cs="Vrinda"/>
          <w:highlight w:val="yellow"/>
          <w:lang w:val="es-MX"/>
        </w:rPr>
      </w:pPr>
    </w:p>
    <w:p w14:paraId="49B34136" w14:textId="77777777" w:rsidR="00107C29" w:rsidRPr="00752028" w:rsidRDefault="00107C29" w:rsidP="00107C29">
      <w:pPr>
        <w:spacing w:after="0" w:line="240" w:lineRule="auto"/>
        <w:jc w:val="both"/>
        <w:rPr>
          <w:rFonts w:ascii="Verdana" w:eastAsia="Geomanist Light" w:hAnsi="Verdana" w:cs="Vrinda"/>
          <w:highlight w:val="yellow"/>
          <w:lang w:val="es-MX"/>
        </w:rPr>
      </w:pPr>
    </w:p>
    <w:p w14:paraId="7CD9A0BC" w14:textId="77777777" w:rsidR="00107C29" w:rsidRPr="00752028" w:rsidRDefault="00107C29" w:rsidP="00107C29">
      <w:pPr>
        <w:spacing w:after="0" w:line="240" w:lineRule="auto"/>
        <w:jc w:val="both"/>
        <w:rPr>
          <w:rFonts w:ascii="Verdana" w:eastAsia="Geomanist Light" w:hAnsi="Verdana" w:cs="Vrinda"/>
          <w:highlight w:val="yellow"/>
          <w:lang w:val="es-MX"/>
        </w:rPr>
      </w:pPr>
    </w:p>
    <w:p w14:paraId="43F8509F" w14:textId="77777777" w:rsidR="00107C29" w:rsidRDefault="00107C29" w:rsidP="00107C29">
      <w:pPr>
        <w:rPr>
          <w:rFonts w:ascii="Verdana" w:eastAsia="Geomanist Light" w:hAnsi="Verdana" w:cs="Arial"/>
          <w:lang w:val="es-MX"/>
        </w:rPr>
      </w:pPr>
      <w:r>
        <w:rPr>
          <w:rFonts w:ascii="Verdana" w:eastAsia="Geomanist Light" w:hAnsi="Verdana" w:cs="Arial"/>
          <w:lang w:val="es-MX"/>
        </w:rPr>
        <w:br w:type="page"/>
      </w:r>
    </w:p>
    <w:p w14:paraId="2839B536" w14:textId="4EE9E42E" w:rsidR="00107C29" w:rsidRPr="00B72A65" w:rsidRDefault="00107C29" w:rsidP="00107C29">
      <w:pPr>
        <w:spacing w:after="0" w:line="240" w:lineRule="auto"/>
        <w:rPr>
          <w:rFonts w:ascii="Verdana" w:eastAsia="Geomanist Light" w:hAnsi="Verdana" w:cs="Arial"/>
          <w:lang w:val="es-MX"/>
        </w:rPr>
      </w:pPr>
      <w:r w:rsidRPr="00B72A65">
        <w:rPr>
          <w:rFonts w:ascii="Verdana" w:eastAsia="Geomanist Light" w:hAnsi="Verdana" w:cs="Arial"/>
          <w:lang w:val="es-MX"/>
        </w:rPr>
        <w:lastRenderedPageBreak/>
        <w:t>Bogotá D.C., </w:t>
      </w:r>
      <w:r w:rsidR="00A97744">
        <w:rPr>
          <w:rFonts w:ascii="Verdana" w:eastAsia="Geomanist Light" w:hAnsi="Verdana" w:cs="Arial"/>
          <w:lang w:val="es-MX"/>
        </w:rPr>
        <w:t>15 de octubre de 2026</w:t>
      </w:r>
    </w:p>
    <w:p w14:paraId="48E99D1A" w14:textId="77777777" w:rsidR="00107C29" w:rsidRDefault="00107C29" w:rsidP="00107C29">
      <w:pPr>
        <w:spacing w:after="0" w:line="240" w:lineRule="auto"/>
        <w:jc w:val="both"/>
        <w:rPr>
          <w:rFonts w:ascii="Verdana" w:eastAsia="Calibri" w:hAnsi="Verdana" w:cs="Arial"/>
          <w:lang w:val="es-ES"/>
        </w:rPr>
      </w:pPr>
    </w:p>
    <w:p w14:paraId="7E30B107" w14:textId="16223FC4" w:rsidR="001F6A0C" w:rsidRDefault="001F6A0C" w:rsidP="001F6A0C">
      <w:pPr>
        <w:spacing w:after="0" w:line="240" w:lineRule="auto"/>
        <w:jc w:val="right"/>
        <w:rPr>
          <w:rFonts w:ascii="Verdana" w:eastAsia="Calibri" w:hAnsi="Verdana" w:cs="Arial"/>
          <w:lang w:val="es-ES"/>
        </w:rPr>
      </w:pPr>
      <w:r w:rsidRPr="001F6A0C">
        <w:rPr>
          <w:rFonts w:ascii="Verdana" w:eastAsia="Calibri" w:hAnsi="Verdana" w:cs="Arial"/>
          <w:lang w:val="es-ES"/>
        </w:rPr>
        <w:drawing>
          <wp:inline distT="0" distB="0" distL="0" distR="0" wp14:anchorId="3AF4EF16" wp14:editId="108EF59A">
            <wp:extent cx="2550834" cy="733647"/>
            <wp:effectExtent l="0" t="0" r="1905" b="9525"/>
            <wp:docPr id="1250417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41704" name=""/>
                    <pic:cNvPicPr/>
                  </pic:nvPicPr>
                  <pic:blipFill>
                    <a:blip r:embed="rId10"/>
                    <a:stretch>
                      <a:fillRect/>
                    </a:stretch>
                  </pic:blipFill>
                  <pic:spPr>
                    <a:xfrm>
                      <a:off x="0" y="0"/>
                      <a:ext cx="2561588" cy="736740"/>
                    </a:xfrm>
                    <a:prstGeom prst="rect">
                      <a:avLst/>
                    </a:prstGeom>
                  </pic:spPr>
                </pic:pic>
              </a:graphicData>
            </a:graphic>
          </wp:inline>
        </w:drawing>
      </w:r>
    </w:p>
    <w:p w14:paraId="1CF08F2C" w14:textId="77777777" w:rsidR="001F6A0C" w:rsidRPr="00B72A65" w:rsidRDefault="001F6A0C" w:rsidP="00107C29">
      <w:pPr>
        <w:spacing w:after="0" w:line="240" w:lineRule="auto"/>
        <w:jc w:val="both"/>
        <w:rPr>
          <w:rFonts w:ascii="Verdana" w:eastAsia="Calibri" w:hAnsi="Verdana" w:cs="Arial"/>
          <w:lang w:val="es-ES"/>
        </w:rPr>
      </w:pPr>
    </w:p>
    <w:p w14:paraId="453CC909" w14:textId="77777777" w:rsidR="00107C29" w:rsidRPr="00B72A65" w:rsidRDefault="00107C29" w:rsidP="00107C29">
      <w:pPr>
        <w:spacing w:after="0" w:line="240" w:lineRule="auto"/>
        <w:jc w:val="both"/>
        <w:rPr>
          <w:rFonts w:ascii="Verdana" w:eastAsia="Calibri" w:hAnsi="Verdana" w:cs="Arial"/>
          <w:lang w:val="es-ES" w:eastAsia="es-ES"/>
        </w:rPr>
      </w:pPr>
      <w:r w:rsidRPr="00B72A65">
        <w:rPr>
          <w:rFonts w:ascii="Verdana" w:eastAsia="Calibri" w:hAnsi="Verdana" w:cs="Arial"/>
          <w:lang w:val="es-ES" w:eastAsia="es-ES"/>
        </w:rPr>
        <w:t>Señora</w:t>
      </w:r>
    </w:p>
    <w:p w14:paraId="47F928E6" w14:textId="77777777" w:rsidR="00107C29" w:rsidRPr="00B72A65" w:rsidRDefault="00107C29" w:rsidP="00107C29">
      <w:pPr>
        <w:spacing w:after="0" w:line="240" w:lineRule="auto"/>
        <w:rPr>
          <w:rFonts w:ascii="Verdana" w:eastAsia="Calibri" w:hAnsi="Verdana" w:cs="Arial"/>
          <w:b/>
          <w:bCs/>
          <w:lang w:val="es-ES" w:eastAsia="es-ES"/>
        </w:rPr>
      </w:pPr>
      <w:r w:rsidRPr="00B72A65">
        <w:rPr>
          <w:rFonts w:ascii="Verdana" w:eastAsia="Calibri" w:hAnsi="Verdana" w:cs="Arial"/>
          <w:b/>
          <w:bCs/>
          <w:lang w:val="es-ES" w:eastAsia="es-ES"/>
        </w:rPr>
        <w:t>Jeniffer Vanessa Briñez Remisio</w:t>
      </w:r>
    </w:p>
    <w:p w14:paraId="3CA2D619" w14:textId="77777777" w:rsidR="00107C29" w:rsidRPr="00B72A65" w:rsidRDefault="00107C29" w:rsidP="00107C29">
      <w:pPr>
        <w:spacing w:after="0" w:line="240" w:lineRule="auto"/>
        <w:rPr>
          <w:rFonts w:ascii="Verdana" w:hAnsi="Verdana"/>
        </w:rPr>
      </w:pPr>
      <w:hyperlink r:id="rId11" w:history="1">
        <w:r w:rsidRPr="00B72A65">
          <w:rPr>
            <w:rStyle w:val="Hipervnculo"/>
            <w:rFonts w:ascii="Verdana" w:hAnsi="Verdana"/>
          </w:rPr>
          <w:t>jbrinez@bomberosbogota.gov.co</w:t>
        </w:r>
      </w:hyperlink>
    </w:p>
    <w:p w14:paraId="4DFC4F0E" w14:textId="77777777" w:rsidR="00107C29" w:rsidRPr="00B72A65" w:rsidRDefault="00107C29" w:rsidP="00107C29">
      <w:pPr>
        <w:spacing w:after="0" w:line="240" w:lineRule="auto"/>
        <w:rPr>
          <w:rFonts w:ascii="Verdana" w:eastAsia="Calibri" w:hAnsi="Verdana" w:cs="Arial"/>
          <w:b/>
          <w:bCs/>
          <w:lang w:val="es-ES" w:eastAsia="es-ES"/>
        </w:rPr>
      </w:pPr>
      <w:r w:rsidRPr="00B72A65">
        <w:rPr>
          <w:rFonts w:ascii="Verdana" w:eastAsia="Calibri" w:hAnsi="Verdana" w:cs="Arial"/>
          <w:lang w:val="es-ES" w:eastAsia="es-ES"/>
        </w:rPr>
        <w:t>Ciudad</w:t>
      </w:r>
    </w:p>
    <w:p w14:paraId="63719AFC" w14:textId="77777777" w:rsidR="00107C29" w:rsidRPr="00B72A65" w:rsidRDefault="00107C29" w:rsidP="00107C29">
      <w:pPr>
        <w:spacing w:after="0" w:line="240" w:lineRule="auto"/>
        <w:rPr>
          <w:rFonts w:ascii="Verdana" w:eastAsia="Calibri" w:hAnsi="Verdana" w:cs="Arial"/>
          <w:b/>
          <w:bCs/>
          <w:lang w:val="es-ES_tradnl" w:eastAsia="es-ES_tradnl"/>
        </w:rPr>
      </w:pPr>
    </w:p>
    <w:p w14:paraId="185399A7" w14:textId="77777777" w:rsidR="00107C29" w:rsidRPr="00B72A65" w:rsidRDefault="00107C29" w:rsidP="00107C2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07C29" w:rsidRPr="00B72A65" w14:paraId="0D307514" w14:textId="77777777" w:rsidTr="0036711D">
        <w:trPr>
          <w:trHeight w:val="326"/>
        </w:trPr>
        <w:tc>
          <w:tcPr>
            <w:tcW w:w="2689" w:type="dxa"/>
          </w:tcPr>
          <w:p w14:paraId="5A3A68EB" w14:textId="77777777" w:rsidR="00107C29" w:rsidRPr="00B72A65" w:rsidRDefault="00107C29" w:rsidP="0036711D">
            <w:pPr>
              <w:jc w:val="both"/>
              <w:rPr>
                <w:rFonts w:ascii="Verdana" w:eastAsia="Calibri" w:hAnsi="Verdana" w:cs="Arial"/>
                <w:b/>
                <w:bCs/>
                <w:lang w:val="es-ES_tradnl" w:eastAsia="es-ES_tradnl"/>
              </w:rPr>
            </w:pPr>
          </w:p>
        </w:tc>
        <w:tc>
          <w:tcPr>
            <w:tcW w:w="6100" w:type="dxa"/>
          </w:tcPr>
          <w:p w14:paraId="0DD7E3A1" w14:textId="77777777" w:rsidR="00107C29" w:rsidRDefault="00107C29" w:rsidP="0036711D">
            <w:pPr>
              <w:jc w:val="both"/>
              <w:rPr>
                <w:rFonts w:ascii="Verdana" w:eastAsia="Calibri" w:hAnsi="Verdana" w:cs="Arial"/>
                <w:b/>
                <w:bCs/>
                <w:lang w:val="es-ES" w:eastAsia="es-ES"/>
              </w:rPr>
            </w:pPr>
            <w:r w:rsidRPr="00B72A65">
              <w:rPr>
                <w:rFonts w:ascii="Verdana" w:eastAsia="Calibri" w:hAnsi="Verdana" w:cs="Arial"/>
                <w:b/>
                <w:bCs/>
                <w:lang w:val="es-ES" w:eastAsia="es-ES"/>
              </w:rPr>
              <w:t>Concepto C- 1404 de 2026</w:t>
            </w:r>
          </w:p>
          <w:p w14:paraId="2E444C50" w14:textId="77777777" w:rsidR="00107C29" w:rsidRPr="00B72A65" w:rsidRDefault="00107C29" w:rsidP="0036711D">
            <w:pPr>
              <w:jc w:val="both"/>
              <w:rPr>
                <w:rFonts w:ascii="Verdana" w:eastAsia="Calibri" w:hAnsi="Verdana" w:cs="Arial"/>
                <w:b/>
                <w:bCs/>
                <w:lang w:val="es-ES" w:eastAsia="es-ES"/>
              </w:rPr>
            </w:pPr>
          </w:p>
        </w:tc>
      </w:tr>
      <w:tr w:rsidR="00107C29" w:rsidRPr="00B72A65" w14:paraId="1BB573FE" w14:textId="77777777" w:rsidTr="0036711D">
        <w:trPr>
          <w:trHeight w:val="884"/>
        </w:trPr>
        <w:tc>
          <w:tcPr>
            <w:tcW w:w="2689" w:type="dxa"/>
          </w:tcPr>
          <w:p w14:paraId="170835D8" w14:textId="77777777" w:rsidR="00107C29" w:rsidRPr="00B72A65" w:rsidRDefault="00107C29" w:rsidP="0036711D">
            <w:pPr>
              <w:jc w:val="both"/>
              <w:rPr>
                <w:rFonts w:ascii="Verdana" w:eastAsia="Calibri" w:hAnsi="Verdana" w:cs="Arial"/>
                <w:lang w:val="es-ES_tradnl" w:eastAsia="es-ES_tradnl"/>
              </w:rPr>
            </w:pPr>
            <w:r w:rsidRPr="00B72A65">
              <w:rPr>
                <w:rFonts w:ascii="Verdana" w:eastAsia="Calibri" w:hAnsi="Verdana" w:cs="Arial"/>
                <w:b/>
                <w:lang w:val="es-ES_tradnl" w:eastAsia="es-ES_tradnl"/>
              </w:rPr>
              <w:t>Temas:</w:t>
            </w:r>
            <w:r w:rsidRPr="00B72A65">
              <w:rPr>
                <w:rFonts w:ascii="Verdana" w:eastAsia="Calibri" w:hAnsi="Verdana" w:cs="Arial"/>
                <w:lang w:val="es-ES_tradnl" w:eastAsia="es-ES_tradnl"/>
              </w:rPr>
              <w:t xml:space="preserve">                   </w:t>
            </w:r>
          </w:p>
        </w:tc>
        <w:tc>
          <w:tcPr>
            <w:tcW w:w="6100" w:type="dxa"/>
          </w:tcPr>
          <w:p w14:paraId="31064E13" w14:textId="77777777" w:rsidR="00107C29" w:rsidRDefault="00107C29" w:rsidP="0036711D">
            <w:pPr>
              <w:jc w:val="both"/>
              <w:rPr>
                <w:rFonts w:ascii="Verdana" w:eastAsia="Calibri" w:hAnsi="Verdana" w:cs="Arial"/>
                <w:lang w:val="es-ES" w:eastAsia="es-ES"/>
              </w:rPr>
            </w:pPr>
            <w:r w:rsidRPr="00B72A65">
              <w:rPr>
                <w:rFonts w:ascii="Verdana" w:eastAsia="Calibri" w:hAnsi="Verdana" w:cs="Arial"/>
                <w:lang w:val="es-ES" w:eastAsia="es-ES"/>
              </w:rPr>
              <w:t>GARANTÍAS CONTRACTUALES – Exigencia – Procesos de contractuales - Clases/</w:t>
            </w:r>
            <w:r w:rsidRPr="00EB1F0A">
              <w:rPr>
                <w:rFonts w:ascii="Verdana" w:hAnsi="Verdana"/>
              </w:rPr>
              <w:t xml:space="preserve"> </w:t>
            </w:r>
            <w:r w:rsidRPr="00B72A65">
              <w:rPr>
                <w:rFonts w:ascii="Verdana" w:eastAsia="Calibri" w:hAnsi="Verdana" w:cs="Arial"/>
                <w:lang w:val="es-ES" w:eastAsia="es-ES"/>
              </w:rPr>
              <w:t>AMPARO DE CUMPLIMIENTO – Finalidad – Vigencia / GARANTÍA DE RESPONSABILIDAD CIVIL EXTRACONTRACTUAL – Exigencia – Vigencia</w:t>
            </w:r>
          </w:p>
          <w:p w14:paraId="59EE07FE" w14:textId="77777777" w:rsidR="00107C29" w:rsidRPr="00B72A65" w:rsidRDefault="00107C29" w:rsidP="0036711D">
            <w:pPr>
              <w:spacing w:line="240" w:lineRule="auto"/>
              <w:jc w:val="both"/>
              <w:rPr>
                <w:rFonts w:ascii="Verdana" w:eastAsia="Calibri" w:hAnsi="Verdana" w:cs="Arial"/>
                <w:lang w:val="es-ES" w:eastAsia="es-ES"/>
              </w:rPr>
            </w:pPr>
          </w:p>
        </w:tc>
      </w:tr>
      <w:tr w:rsidR="00107C29" w:rsidRPr="00B72A65" w14:paraId="55A57A20" w14:textId="77777777" w:rsidTr="0036711D">
        <w:tc>
          <w:tcPr>
            <w:tcW w:w="2689" w:type="dxa"/>
          </w:tcPr>
          <w:p w14:paraId="1B2F8D26" w14:textId="77777777" w:rsidR="00107C29" w:rsidRPr="00B72A65" w:rsidRDefault="00107C29" w:rsidP="0036711D">
            <w:pPr>
              <w:jc w:val="both"/>
              <w:rPr>
                <w:rFonts w:ascii="Verdana" w:eastAsia="Calibri" w:hAnsi="Verdana" w:cs="Arial"/>
                <w:b/>
                <w:lang w:val="es-ES_tradnl" w:eastAsia="es-ES_tradnl"/>
              </w:rPr>
            </w:pPr>
            <w:r w:rsidRPr="00B72A65">
              <w:rPr>
                <w:rFonts w:ascii="Verdana" w:eastAsia="Calibri" w:hAnsi="Verdana" w:cs="Arial"/>
                <w:b/>
                <w:lang w:val="es-ES_tradnl" w:eastAsia="es-ES_tradnl"/>
              </w:rPr>
              <w:t>Radicación:</w:t>
            </w:r>
            <w:r w:rsidRPr="00B72A65">
              <w:rPr>
                <w:rFonts w:ascii="Verdana" w:eastAsia="Calibri" w:hAnsi="Verdana" w:cs="Arial"/>
                <w:lang w:val="es-ES_tradnl" w:eastAsia="es-ES_tradnl"/>
              </w:rPr>
              <w:t xml:space="preserve">               </w:t>
            </w:r>
          </w:p>
        </w:tc>
        <w:tc>
          <w:tcPr>
            <w:tcW w:w="6100" w:type="dxa"/>
          </w:tcPr>
          <w:p w14:paraId="0A46B549" w14:textId="77777777" w:rsidR="00107C29" w:rsidRPr="00B72A65" w:rsidRDefault="00107C29" w:rsidP="0036711D">
            <w:pPr>
              <w:jc w:val="both"/>
              <w:rPr>
                <w:rFonts w:ascii="Verdana" w:eastAsia="Calibri" w:hAnsi="Verdana" w:cs="Arial"/>
                <w:lang w:val="es-ES_tradnl" w:eastAsia="es-ES_tradnl"/>
              </w:rPr>
            </w:pPr>
            <w:r w:rsidRPr="00B72A65">
              <w:rPr>
                <w:rFonts w:ascii="Verdana" w:eastAsia="Calibri" w:hAnsi="Verdana" w:cs="Arial"/>
                <w:lang w:val="es-ES_tradnl" w:eastAsia="es-ES_tradnl"/>
              </w:rPr>
              <w:t>Respuesta a consulta con radicado No. 1_2026_09_07_011887</w:t>
            </w:r>
          </w:p>
        </w:tc>
      </w:tr>
    </w:tbl>
    <w:p w14:paraId="484AF7D7" w14:textId="77777777" w:rsidR="00107C29" w:rsidRPr="006263D8" w:rsidRDefault="00107C29" w:rsidP="00107C29">
      <w:pPr>
        <w:spacing w:after="0" w:line="240" w:lineRule="auto"/>
        <w:jc w:val="both"/>
        <w:rPr>
          <w:rFonts w:ascii="Verdana" w:eastAsia="Calibri" w:hAnsi="Verdana" w:cs="Arial"/>
          <w:lang w:val="es-ES_tradnl" w:eastAsia="es-ES_tradnl"/>
        </w:rPr>
      </w:pPr>
    </w:p>
    <w:p w14:paraId="7F12C141" w14:textId="77777777" w:rsidR="00107C29" w:rsidRPr="006263D8" w:rsidRDefault="00107C29" w:rsidP="00107C29">
      <w:pPr>
        <w:spacing w:after="0" w:line="240" w:lineRule="auto"/>
        <w:jc w:val="both"/>
        <w:rPr>
          <w:rFonts w:ascii="Verdana" w:eastAsia="Calibri" w:hAnsi="Verdana" w:cs="Arial"/>
          <w:lang w:val="es-ES_tradnl" w:eastAsia="es-ES_tradnl"/>
        </w:rPr>
      </w:pPr>
    </w:p>
    <w:p w14:paraId="0D8CC5C4" w14:textId="77777777" w:rsidR="00107C29" w:rsidRPr="006263D8" w:rsidRDefault="00107C29" w:rsidP="00107C29">
      <w:pPr>
        <w:spacing w:after="0" w:line="276" w:lineRule="auto"/>
        <w:jc w:val="both"/>
        <w:rPr>
          <w:rFonts w:ascii="Verdana" w:eastAsia="Calibri" w:hAnsi="Verdana" w:cs="Arial"/>
          <w:lang w:val="es-ES" w:eastAsia="es-ES"/>
        </w:rPr>
      </w:pPr>
      <w:r w:rsidRPr="006263D8">
        <w:rPr>
          <w:rFonts w:ascii="Verdana" w:eastAsia="Calibri" w:hAnsi="Verdana" w:cs="Arial"/>
          <w:lang w:val="es-ES" w:eastAsia="es-ES"/>
        </w:rPr>
        <w:t>Estimad</w:t>
      </w:r>
      <w:r>
        <w:rPr>
          <w:rFonts w:ascii="Verdana" w:eastAsia="Calibri" w:hAnsi="Verdana" w:cs="Arial"/>
          <w:lang w:val="es-ES" w:eastAsia="es-ES"/>
        </w:rPr>
        <w:t>a</w:t>
      </w:r>
      <w:r w:rsidRPr="006263D8">
        <w:rPr>
          <w:rFonts w:ascii="Verdana" w:eastAsia="Calibri" w:hAnsi="Verdana" w:cs="Arial"/>
          <w:lang w:val="es-ES" w:eastAsia="es-ES"/>
        </w:rPr>
        <w:t xml:space="preserve"> señor</w:t>
      </w:r>
      <w:r>
        <w:rPr>
          <w:rFonts w:ascii="Verdana" w:eastAsia="Calibri" w:hAnsi="Verdana" w:cs="Arial"/>
          <w:lang w:val="es-ES" w:eastAsia="es-ES"/>
        </w:rPr>
        <w:t>a</w:t>
      </w:r>
      <w:r w:rsidRPr="006263D8">
        <w:rPr>
          <w:rFonts w:ascii="Verdana" w:eastAsia="Calibri" w:hAnsi="Verdana" w:cs="Arial"/>
          <w:lang w:val="es-ES" w:eastAsia="es-ES"/>
        </w:rPr>
        <w:t xml:space="preserve"> </w:t>
      </w:r>
      <w:r>
        <w:rPr>
          <w:rFonts w:ascii="Verdana" w:eastAsia="Calibri" w:hAnsi="Verdana" w:cs="Arial"/>
          <w:lang w:val="es-ES" w:eastAsia="es-ES"/>
        </w:rPr>
        <w:t>Briñez</w:t>
      </w:r>
      <w:r w:rsidRPr="006263D8">
        <w:rPr>
          <w:rFonts w:ascii="Verdana" w:eastAsia="Calibri" w:hAnsi="Verdana" w:cs="Arial"/>
          <w:lang w:val="es-ES" w:eastAsia="es-ES"/>
        </w:rPr>
        <w:t xml:space="preserve">: </w:t>
      </w:r>
    </w:p>
    <w:p w14:paraId="6C8B9A16" w14:textId="77777777" w:rsidR="00107C29" w:rsidRPr="006263D8" w:rsidRDefault="00107C29" w:rsidP="00107C29">
      <w:pPr>
        <w:tabs>
          <w:tab w:val="left" w:pos="3768"/>
        </w:tabs>
        <w:spacing w:after="0" w:line="276" w:lineRule="auto"/>
        <w:jc w:val="both"/>
        <w:rPr>
          <w:rFonts w:ascii="Verdana" w:eastAsia="Calibri" w:hAnsi="Verdana" w:cs="Arial"/>
          <w:lang w:val="es-ES" w:eastAsia="es-ES"/>
        </w:rPr>
      </w:pPr>
      <w:r w:rsidRPr="006263D8">
        <w:rPr>
          <w:rFonts w:ascii="Verdana" w:eastAsia="Calibri" w:hAnsi="Verdana" w:cs="Arial"/>
          <w:lang w:val="es-ES" w:eastAsia="es-ES"/>
        </w:rPr>
        <w:tab/>
      </w:r>
    </w:p>
    <w:p w14:paraId="42A32C70" w14:textId="77777777" w:rsidR="00107C29" w:rsidRPr="006263D8" w:rsidRDefault="00107C29" w:rsidP="00107C29">
      <w:pPr>
        <w:spacing w:after="0" w:line="276" w:lineRule="auto"/>
        <w:jc w:val="both"/>
        <w:rPr>
          <w:rFonts w:ascii="Verdana" w:eastAsia="Calibri" w:hAnsi="Verdana" w:cs="Arial"/>
          <w:lang w:val="es-ES" w:eastAsia="es-ES"/>
        </w:rPr>
      </w:pPr>
      <w:r w:rsidRPr="006263D8">
        <w:rPr>
          <w:rFonts w:ascii="Verdana" w:eastAsia="Calibri" w:hAnsi="Verdana" w:cs="Arial"/>
          <w:lang w:val="es-ES" w:eastAsia="es-ES"/>
        </w:rPr>
        <w:t>En ejercicio de la competencia otorgada por los artículos 3, numeral 5º, y 11, numeral 8º, del Decreto Ley 4170 de 2011,</w:t>
      </w:r>
      <w:r w:rsidRPr="006263D8">
        <w:rPr>
          <w:rFonts w:ascii="Verdana" w:eastAsia="Arial MT" w:hAnsi="Verdana" w:cs="Arial MT"/>
          <w:lang w:val="es-ES" w:eastAsia="es-ES"/>
        </w:rPr>
        <w:t xml:space="preserve"> </w:t>
      </w:r>
      <w:r w:rsidRPr="006263D8">
        <w:rPr>
          <w:rFonts w:ascii="Verdana" w:hAnsi="Verdana" w:cs="Arial"/>
        </w:rPr>
        <w:t xml:space="preserve">así como lo establecido en el artículo 4 de la Resolución 1707 de 2018 expedida por esta Entidad, </w:t>
      </w:r>
      <w:r w:rsidRPr="006263D8">
        <w:rPr>
          <w:rFonts w:ascii="Verdana" w:eastAsia="Calibri" w:hAnsi="Verdana" w:cs="Arial"/>
          <w:lang w:val="es-ES" w:eastAsia="es-ES"/>
        </w:rPr>
        <w:t xml:space="preserve">la Agencia Nacional de Contratación Pública – Colombia Compra Eficiente– responde su solicitud de consulta de fecha del </w:t>
      </w:r>
      <w:r>
        <w:rPr>
          <w:rFonts w:ascii="Verdana" w:eastAsia="Calibri" w:hAnsi="Verdana" w:cs="Arial"/>
          <w:lang w:val="es-ES" w:eastAsia="es-ES"/>
        </w:rPr>
        <w:t>07 de septiembre de 2026</w:t>
      </w:r>
      <w:r w:rsidRPr="006263D8">
        <w:rPr>
          <w:rFonts w:ascii="Verdana" w:eastAsia="Calibri" w:hAnsi="Verdana" w:cs="Arial"/>
          <w:lang w:val="es-ES" w:eastAsia="es-ES"/>
        </w:rPr>
        <w:t xml:space="preserve">, en la que realiza la siguiente consulta: </w:t>
      </w:r>
    </w:p>
    <w:p w14:paraId="08EC94A4" w14:textId="77777777" w:rsidR="00107C29" w:rsidRPr="006263D8" w:rsidRDefault="00107C29" w:rsidP="00107C29">
      <w:pPr>
        <w:tabs>
          <w:tab w:val="left" w:pos="142"/>
          <w:tab w:val="left" w:pos="284"/>
        </w:tabs>
        <w:spacing w:after="0" w:line="276" w:lineRule="auto"/>
        <w:jc w:val="both"/>
        <w:rPr>
          <w:rFonts w:ascii="Verdana" w:eastAsia="Century Gothic" w:hAnsi="Verdana" w:cs="Century Gothic"/>
          <w:b/>
          <w:bCs/>
          <w:sz w:val="20"/>
          <w:szCs w:val="20"/>
          <w:lang w:val="es-ES"/>
        </w:rPr>
      </w:pPr>
    </w:p>
    <w:p w14:paraId="770F03C8" w14:textId="77777777" w:rsidR="00107C29" w:rsidRDefault="00107C29" w:rsidP="00107C29">
      <w:pPr>
        <w:tabs>
          <w:tab w:val="left" w:pos="709"/>
        </w:tabs>
        <w:spacing w:after="0" w:line="240" w:lineRule="auto"/>
        <w:ind w:left="709" w:right="709"/>
        <w:jc w:val="both"/>
        <w:rPr>
          <w:rFonts w:ascii="Verdana" w:eastAsia="Calibri" w:hAnsi="Verdana" w:cs="Arial"/>
          <w:sz w:val="20"/>
          <w:szCs w:val="20"/>
          <w:lang w:val="es-MX"/>
        </w:rPr>
      </w:pPr>
      <w:r w:rsidRPr="006263D8">
        <w:rPr>
          <w:rFonts w:ascii="Verdana" w:eastAsia="Calibri" w:hAnsi="Verdana" w:cs="Arial"/>
          <w:sz w:val="20"/>
          <w:szCs w:val="20"/>
          <w:lang w:val="es-MX"/>
        </w:rPr>
        <w:t>“[…]</w:t>
      </w:r>
    </w:p>
    <w:p w14:paraId="1611164E" w14:textId="77777777" w:rsidR="00107C29" w:rsidRDefault="00107C29" w:rsidP="00107C29">
      <w:pPr>
        <w:tabs>
          <w:tab w:val="left" w:pos="709"/>
        </w:tabs>
        <w:spacing w:after="0" w:line="240" w:lineRule="auto"/>
        <w:ind w:left="709" w:right="709"/>
        <w:jc w:val="both"/>
        <w:rPr>
          <w:rFonts w:ascii="Verdana" w:eastAsia="Calibri" w:hAnsi="Verdana" w:cs="Arial"/>
          <w:sz w:val="20"/>
          <w:szCs w:val="20"/>
          <w:lang w:val="es-MX"/>
        </w:rPr>
      </w:pPr>
    </w:p>
    <w:p w14:paraId="2891718C" w14:textId="77777777" w:rsidR="00107C29" w:rsidRDefault="00107C29" w:rsidP="00107C29">
      <w:pPr>
        <w:pStyle w:val="Prrafodelista"/>
        <w:numPr>
          <w:ilvl w:val="0"/>
          <w:numId w:val="2"/>
        </w:numPr>
        <w:tabs>
          <w:tab w:val="left" w:pos="709"/>
        </w:tabs>
        <w:spacing w:after="0" w:line="240" w:lineRule="auto"/>
        <w:ind w:right="709"/>
        <w:jc w:val="both"/>
        <w:rPr>
          <w:rFonts w:ascii="Verdana" w:eastAsia="Calibri" w:hAnsi="Verdana" w:cs="Arial"/>
          <w:sz w:val="20"/>
          <w:szCs w:val="20"/>
          <w:lang w:val="es-MX"/>
        </w:rPr>
      </w:pPr>
      <w:r>
        <w:rPr>
          <w:rFonts w:ascii="Verdana" w:eastAsia="Calibri" w:hAnsi="Verdana" w:cs="Arial"/>
          <w:sz w:val="20"/>
          <w:szCs w:val="20"/>
          <w:lang w:val="es-MX"/>
        </w:rPr>
        <w:t xml:space="preserve">De acuerdo con </w:t>
      </w:r>
      <w:r w:rsidRPr="00654D78">
        <w:rPr>
          <w:rFonts w:ascii="Verdana" w:eastAsia="Calibri" w:hAnsi="Verdana" w:cs="Arial"/>
          <w:sz w:val="20"/>
          <w:szCs w:val="20"/>
          <w:lang w:val="es-MX"/>
        </w:rPr>
        <w:t xml:space="preserve">el artículo 2.2.1.2.3.1.12 del Decreto 1082 de 2015, la garantía de cumplimiento del contrato debe tener una vigencia mínima hasta la liquidación del mismo. Ahora bien, ¿esta exigencia de ampliación aplica a todos los amparos que integran la garantía única </w:t>
      </w:r>
      <w:r w:rsidRPr="00654D78">
        <w:rPr>
          <w:rFonts w:ascii="Verdana" w:eastAsia="Calibri" w:hAnsi="Verdana" w:cs="Arial"/>
          <w:sz w:val="20"/>
          <w:szCs w:val="20"/>
          <w:lang w:val="es-MX"/>
        </w:rPr>
        <w:lastRenderedPageBreak/>
        <w:t>de cumplimiento (cumplimiento, calidad, salarios y prestaciones sociales, etc.), o únicamente a alguno(s) en particular?</w:t>
      </w:r>
    </w:p>
    <w:p w14:paraId="6EBDDF13" w14:textId="77777777" w:rsidR="00107C29" w:rsidRDefault="00107C29" w:rsidP="00107C29">
      <w:pPr>
        <w:pStyle w:val="Prrafodelista"/>
        <w:tabs>
          <w:tab w:val="left" w:pos="709"/>
        </w:tabs>
        <w:spacing w:after="0" w:line="240" w:lineRule="auto"/>
        <w:ind w:left="1069" w:right="709"/>
        <w:jc w:val="both"/>
        <w:rPr>
          <w:rFonts w:ascii="Verdana" w:eastAsia="Calibri" w:hAnsi="Verdana" w:cs="Arial"/>
          <w:sz w:val="20"/>
          <w:szCs w:val="20"/>
          <w:lang w:val="es-MX"/>
        </w:rPr>
      </w:pPr>
    </w:p>
    <w:p w14:paraId="0523C63B" w14:textId="77777777" w:rsidR="00107C29" w:rsidRPr="009B1B0C" w:rsidRDefault="00107C29" w:rsidP="00107C29">
      <w:pPr>
        <w:pStyle w:val="Prrafodelista"/>
        <w:numPr>
          <w:ilvl w:val="0"/>
          <w:numId w:val="2"/>
        </w:numPr>
        <w:tabs>
          <w:tab w:val="left" w:pos="709"/>
        </w:tabs>
        <w:spacing w:after="0" w:line="240" w:lineRule="auto"/>
        <w:ind w:right="709"/>
        <w:jc w:val="both"/>
        <w:rPr>
          <w:rFonts w:ascii="Verdana" w:eastAsia="Calibri" w:hAnsi="Verdana" w:cs="Arial"/>
          <w:sz w:val="20"/>
          <w:szCs w:val="20"/>
          <w:lang w:val="es-MX"/>
        </w:rPr>
      </w:pPr>
      <w:r w:rsidRPr="00654D78">
        <w:rPr>
          <w:rFonts w:ascii="Verdana" w:eastAsia="Calibri" w:hAnsi="Verdana" w:cs="Arial"/>
          <w:sz w:val="20"/>
          <w:szCs w:val="20"/>
          <w:lang w:val="es-MX"/>
        </w:rPr>
        <w:t>¿La póliza de Responsabilidad Civil Extracontractual (RCE) debe ser ampliada hasta la liquidación del contrato, aun cuando no existan pendientes, reclamaciones o novedades asociadas a este amparo?</w:t>
      </w:r>
      <w:r>
        <w:rPr>
          <w:rFonts w:ascii="Verdana" w:eastAsia="Calibri" w:hAnsi="Verdana" w:cs="Arial"/>
          <w:sz w:val="20"/>
          <w:szCs w:val="20"/>
          <w:lang w:val="es-MX"/>
        </w:rPr>
        <w:t>”. [sic]</w:t>
      </w:r>
    </w:p>
    <w:p w14:paraId="48786F51" w14:textId="77777777" w:rsidR="00107C29" w:rsidRPr="006263D8" w:rsidRDefault="00107C29" w:rsidP="00107C29">
      <w:pPr>
        <w:tabs>
          <w:tab w:val="left" w:pos="142"/>
          <w:tab w:val="left" w:pos="284"/>
        </w:tabs>
        <w:spacing w:line="276" w:lineRule="auto"/>
        <w:contextualSpacing/>
        <w:jc w:val="both"/>
        <w:rPr>
          <w:rFonts w:ascii="Verdana" w:eastAsia="Century Gothic" w:hAnsi="Verdana" w:cs="Century Gothic"/>
          <w:b/>
          <w:bCs/>
          <w:lang w:val="es-ES"/>
        </w:rPr>
      </w:pPr>
    </w:p>
    <w:p w14:paraId="4F5364DF" w14:textId="77777777" w:rsidR="00107C29" w:rsidRPr="006263D8" w:rsidRDefault="00107C29" w:rsidP="00107C29">
      <w:pPr>
        <w:spacing w:after="120" w:line="276" w:lineRule="auto"/>
        <w:ind w:firstLine="709"/>
        <w:jc w:val="both"/>
        <w:rPr>
          <w:rFonts w:ascii="Verdana" w:eastAsia="Calibri" w:hAnsi="Verdana" w:cs="Arial"/>
          <w:szCs w:val="24"/>
          <w:lang w:val="es-ES_tradnl" w:eastAsia="es-ES_tradnl"/>
        </w:rPr>
      </w:pPr>
      <w:r w:rsidRPr="006263D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263D8">
        <w:rPr>
          <w:rFonts w:ascii="Verdana" w:eastAsia="Calibri" w:hAnsi="Verdana" w:cs="Arial"/>
          <w:szCs w:val="24"/>
          <w:lang w:val="es-ES_tradnl" w:eastAsia="es-ES_tradnl"/>
        </w:rPr>
        <w:tab/>
      </w:r>
    </w:p>
    <w:p w14:paraId="4D518ECF" w14:textId="77777777" w:rsidR="00107C29" w:rsidRPr="006263D8" w:rsidRDefault="00107C29" w:rsidP="00107C29">
      <w:pPr>
        <w:spacing w:after="0" w:line="276" w:lineRule="auto"/>
        <w:ind w:firstLine="709"/>
        <w:jc w:val="both"/>
        <w:rPr>
          <w:rFonts w:ascii="Verdana" w:eastAsia="Calibri" w:hAnsi="Verdana" w:cs="Arial"/>
          <w:lang w:val="es-ES" w:eastAsia="es-ES"/>
        </w:rPr>
      </w:pPr>
      <w:r w:rsidRPr="006263D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CE08632" w14:textId="77777777" w:rsidR="00107C29" w:rsidRPr="006263D8" w:rsidRDefault="00107C29" w:rsidP="00107C29">
      <w:pPr>
        <w:spacing w:after="0" w:line="276" w:lineRule="auto"/>
        <w:ind w:firstLine="709"/>
        <w:jc w:val="both"/>
        <w:rPr>
          <w:rFonts w:ascii="Verdana" w:eastAsia="Calibri" w:hAnsi="Verdana" w:cs="Arial"/>
          <w:lang w:val="es-ES" w:eastAsia="es-ES"/>
        </w:rPr>
      </w:pPr>
    </w:p>
    <w:p w14:paraId="5C8914B0" w14:textId="77777777" w:rsidR="00107C29" w:rsidRPr="006263D8" w:rsidRDefault="00107C29" w:rsidP="00107C29">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6263D8">
        <w:rPr>
          <w:rFonts w:ascii="Verdana" w:eastAsia="Arial" w:hAnsi="Verdana" w:cs="Arial"/>
          <w:b/>
          <w:bCs/>
          <w:lang w:val="es-ES"/>
        </w:rPr>
        <w:t>1. Problema planteado:</w:t>
      </w:r>
    </w:p>
    <w:p w14:paraId="11EB8CB1" w14:textId="77777777" w:rsidR="00107C29" w:rsidRPr="006263D8" w:rsidRDefault="00107C29" w:rsidP="00107C29">
      <w:pPr>
        <w:tabs>
          <w:tab w:val="left" w:pos="426"/>
        </w:tabs>
        <w:spacing w:after="0" w:line="276" w:lineRule="auto"/>
        <w:jc w:val="both"/>
        <w:rPr>
          <w:rFonts w:ascii="Verdana" w:eastAsia="Century Gothic" w:hAnsi="Verdana" w:cs="Century Gothic"/>
          <w:lang w:val="es-ES"/>
        </w:rPr>
      </w:pPr>
    </w:p>
    <w:p w14:paraId="1481133B" w14:textId="77777777" w:rsidR="00107C29" w:rsidRPr="006263D8" w:rsidRDefault="00107C29" w:rsidP="00107C29">
      <w:pPr>
        <w:spacing w:after="0" w:line="276" w:lineRule="auto"/>
        <w:jc w:val="both"/>
        <w:rPr>
          <w:rFonts w:ascii="Verdana" w:eastAsia="Century Gothic" w:hAnsi="Verdana" w:cs="Century Gothic"/>
        </w:rPr>
      </w:pPr>
      <w:r w:rsidRPr="006263D8">
        <w:rPr>
          <w:rFonts w:ascii="Verdana" w:eastAsia="Century Gothic" w:hAnsi="Verdana" w:cs="Century Gothic"/>
        </w:rPr>
        <w:t xml:space="preserve">De acuerdo con el contenido de su solicitud, </w:t>
      </w:r>
      <w:bookmarkStart w:id="1" w:name="_Hlk171070029"/>
      <w:r w:rsidRPr="006263D8">
        <w:rPr>
          <w:rFonts w:ascii="Verdana" w:eastAsia="Century Gothic" w:hAnsi="Verdana" w:cs="Century Gothic"/>
        </w:rPr>
        <w:t xml:space="preserve">le informamos que la misma será resuelta desde </w:t>
      </w:r>
      <w:r>
        <w:rPr>
          <w:rFonts w:ascii="Verdana" w:eastAsia="Century Gothic" w:hAnsi="Verdana" w:cs="Century Gothic"/>
        </w:rPr>
        <w:t>los siguientes interrogantes</w:t>
      </w:r>
      <w:r w:rsidRPr="006263D8">
        <w:rPr>
          <w:rFonts w:ascii="Verdana" w:eastAsia="Century Gothic" w:hAnsi="Verdana" w:cs="Century Gothic"/>
        </w:rPr>
        <w:t>:</w:t>
      </w:r>
      <w:r>
        <w:rPr>
          <w:rFonts w:ascii="Verdana" w:eastAsia="Century Gothic" w:hAnsi="Verdana" w:cs="Century Gothic"/>
        </w:rPr>
        <w:t xml:space="preserve"> i) ¿La vigencia de la garantía de cumplimiento debe extenderse hasta la liquidación del contrato estatal y dicha extensión aplica para todos los amparos contenidos en la garantía única de cumplimento?; y ii) ¿Cuál es la vigencia de la póliza de responsabilidad civil extracontractual?</w:t>
      </w:r>
    </w:p>
    <w:p w14:paraId="36CB895D" w14:textId="77777777" w:rsidR="00107C29" w:rsidRPr="006263D8" w:rsidRDefault="00107C29" w:rsidP="00107C29">
      <w:pPr>
        <w:spacing w:after="0" w:line="276" w:lineRule="auto"/>
        <w:jc w:val="both"/>
        <w:rPr>
          <w:rFonts w:ascii="Verdana" w:eastAsia="Calibri" w:hAnsi="Verdana" w:cs="Arial"/>
          <w:lang w:val="es-ES"/>
        </w:rPr>
      </w:pPr>
    </w:p>
    <w:bookmarkEnd w:id="1"/>
    <w:p w14:paraId="396180D7" w14:textId="77777777" w:rsidR="00107C29" w:rsidRPr="006263D8" w:rsidRDefault="00107C29" w:rsidP="00107C29">
      <w:pPr>
        <w:widowControl w:val="0"/>
        <w:autoSpaceDE w:val="0"/>
        <w:autoSpaceDN w:val="0"/>
        <w:spacing w:before="1" w:after="0" w:line="240" w:lineRule="auto"/>
        <w:jc w:val="both"/>
        <w:outlineLvl w:val="0"/>
        <w:rPr>
          <w:rFonts w:ascii="Verdana" w:eastAsia="Arial" w:hAnsi="Verdana" w:cs="Arial"/>
          <w:b/>
          <w:bCs/>
          <w:lang w:val="es-ES"/>
        </w:rPr>
      </w:pPr>
      <w:r w:rsidRPr="006263D8">
        <w:rPr>
          <w:rFonts w:ascii="Verdana" w:eastAsia="Arial" w:hAnsi="Verdana" w:cs="Arial"/>
          <w:b/>
          <w:bCs/>
          <w:lang w:val="es-ES"/>
        </w:rPr>
        <w:t>2. Respuesta:</w:t>
      </w:r>
    </w:p>
    <w:p w14:paraId="6C987997" w14:textId="77777777" w:rsidR="00107C29" w:rsidRPr="006263D8" w:rsidRDefault="00107C29" w:rsidP="00107C2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07C29" w:rsidRPr="006263D8" w14:paraId="2FBE29A8" w14:textId="77777777" w:rsidTr="0036711D">
        <w:tc>
          <w:tcPr>
            <w:tcW w:w="8828" w:type="dxa"/>
          </w:tcPr>
          <w:p w14:paraId="307D8C9E" w14:textId="77777777" w:rsidR="00107C29" w:rsidRPr="00C87D6D" w:rsidRDefault="00107C29" w:rsidP="0036711D">
            <w:pPr>
              <w:spacing w:after="120" w:line="276" w:lineRule="auto"/>
              <w:jc w:val="both"/>
              <w:rPr>
                <w:rFonts w:ascii="Verdana" w:hAnsi="Verdana"/>
              </w:rPr>
            </w:pPr>
            <w:bookmarkStart w:id="2" w:name="_Hlk171067516"/>
            <w:r>
              <w:rPr>
                <w:rFonts w:ascii="Verdana" w:hAnsi="Verdana"/>
              </w:rPr>
              <w:lastRenderedPageBreak/>
              <w:t xml:space="preserve">i) </w:t>
            </w:r>
            <w:r w:rsidRPr="00C87D6D">
              <w:rPr>
                <w:rFonts w:ascii="Verdana" w:hAnsi="Verdana"/>
              </w:rPr>
              <w:t xml:space="preserve">Sobre el particular debe aclararse inicialmente, que la garantía única de cumplimiento cuenta con varios amparos que incluyen a saber: i) el buen manejo y correcta inversión del anticipo; ii) la devolución del pago anticipado; iii) el amparo de cumplimiento del contrato; iv) la garantía de pago de salarios, prestaciones sociales legales e indemnizaciones laborales, entre otros. Así pues, en lo concerniente al amparo de cumplimento, como se observa, este al tenor de lo dispuesto en lo precitado artículo, debe proteger a la entidad de los perjuicios que se puedan ocasionar con el incumplimiento total o parcial del contrato, del cumplimiento tardío o defectuoso, de los daños por entregas parciales de la obra, cuando el contrato no prevé entregas parciales, y del valor de las multas y de la cláusula penal pecuniaria. </w:t>
            </w:r>
          </w:p>
          <w:p w14:paraId="5B885F7D" w14:textId="77777777" w:rsidR="00107C29" w:rsidRDefault="00107C29" w:rsidP="0036711D">
            <w:pPr>
              <w:spacing w:line="276" w:lineRule="auto"/>
              <w:jc w:val="both"/>
              <w:rPr>
                <w:rFonts w:ascii="Verdana" w:hAnsi="Verdana"/>
              </w:rPr>
            </w:pPr>
            <w:r w:rsidRPr="00C87D6D">
              <w:rPr>
                <w:rFonts w:ascii="Verdana" w:hAnsi="Verdana"/>
              </w:rPr>
              <w:tab/>
              <w:t xml:space="preserve">En ese contexto, se tiene que, el artículo 2.2.1.2.3.1.12 del Decreto 1082 de 2015, señala expresamente que “[l]a garantía de cumplimiento del contrato debe tener una vigencia mínima hasta la liquidación del contrato”. Sin embargo, es de menester aclara que, la anterior disposición no se refiere a la garantía única de cumplimiento en su totalidad, sino exclusivamente al amparo de cumplimiento, al que se viene haciendo referencia, lo cual explica que los artículos anteriores y subsiguientes establezcan términos diferentes para los demás amparos que conforman la garantía única de cumplimiento. Así, por ejemplo, el artículo 2.2.1.2.3.1.13 ibidem prescribe que la garantía de pago de salarios y prestaciones sociales debe estar vigente por el plazo del contrato y </w:t>
            </w:r>
            <w:r>
              <w:rPr>
                <w:rFonts w:ascii="Verdana" w:hAnsi="Verdana"/>
              </w:rPr>
              <w:t>tres (</w:t>
            </w:r>
            <w:r w:rsidRPr="00C87D6D">
              <w:rPr>
                <w:rFonts w:ascii="Verdana" w:hAnsi="Verdana"/>
              </w:rPr>
              <w:t>3</w:t>
            </w:r>
            <w:r>
              <w:rPr>
                <w:rFonts w:ascii="Verdana" w:hAnsi="Verdana"/>
              </w:rPr>
              <w:t>)</w:t>
            </w:r>
            <w:r w:rsidRPr="00C87D6D">
              <w:rPr>
                <w:rFonts w:ascii="Verdana" w:hAnsi="Verdana"/>
              </w:rPr>
              <w:t xml:space="preserve"> años adicionales y, a su vez, el artículo 2.2.1.2.3.1.14 establece un término no inferior a </w:t>
            </w:r>
            <w:r>
              <w:rPr>
                <w:rFonts w:ascii="Verdana" w:hAnsi="Verdana"/>
              </w:rPr>
              <w:t>cinco (</w:t>
            </w:r>
            <w:r w:rsidRPr="00C87D6D">
              <w:rPr>
                <w:rFonts w:ascii="Verdana" w:hAnsi="Verdana"/>
              </w:rPr>
              <w:t>5</w:t>
            </w:r>
            <w:r>
              <w:rPr>
                <w:rFonts w:ascii="Verdana" w:hAnsi="Verdana"/>
              </w:rPr>
              <w:t>)</w:t>
            </w:r>
            <w:r w:rsidRPr="00C87D6D">
              <w:rPr>
                <w:rFonts w:ascii="Verdana" w:hAnsi="Verdana"/>
              </w:rPr>
              <w:t xml:space="preserve"> años para la garantía de estabilidad de la obra.</w:t>
            </w:r>
          </w:p>
          <w:p w14:paraId="19C4334D" w14:textId="77777777" w:rsidR="00107C29" w:rsidRDefault="00107C29" w:rsidP="0036711D">
            <w:pPr>
              <w:spacing w:line="276" w:lineRule="auto"/>
              <w:jc w:val="both"/>
              <w:rPr>
                <w:rFonts w:ascii="Verdana" w:hAnsi="Verdana"/>
              </w:rPr>
            </w:pPr>
          </w:p>
          <w:p w14:paraId="16F0D23D" w14:textId="77777777" w:rsidR="00107C29" w:rsidRPr="00C440B7" w:rsidRDefault="00107C29" w:rsidP="0036711D">
            <w:pPr>
              <w:spacing w:after="120" w:line="276" w:lineRule="auto"/>
              <w:jc w:val="both"/>
              <w:rPr>
                <w:rFonts w:ascii="Verdana" w:hAnsi="Verdana"/>
              </w:rPr>
            </w:pPr>
            <w:r>
              <w:rPr>
                <w:rFonts w:ascii="Verdana" w:hAnsi="Verdana"/>
              </w:rPr>
              <w:t xml:space="preserve">ii) </w:t>
            </w:r>
            <w:r w:rsidRPr="007C255B">
              <w:rPr>
                <w:rFonts w:ascii="Verdana" w:hAnsi="Verdana"/>
              </w:rPr>
              <w:t>Respecto de la garantía de responsabilidad civil extracontractual, se hace pertinente indicar que el artículo 2.2.1.2.3.1.8. del Decreto 1082 de 2015 dispone que la Entidad Estatal debe exigir la constitución de esta en los contratos de obra, así como en aquellos en que</w:t>
            </w:r>
            <w:r>
              <w:rPr>
                <w:rFonts w:ascii="Verdana" w:hAnsi="Verdana"/>
              </w:rPr>
              <w:t>,</w:t>
            </w:r>
            <w:r w:rsidRPr="007C255B">
              <w:rPr>
                <w:rFonts w:ascii="Verdana" w:hAnsi="Verdana"/>
              </w:rPr>
              <w:t xml:space="preserve"> por su objeto o naturaleza, lo considere necesario con ocasión de los riesgos previstos en el negocio, para efectos de la cobertura frente a eventuales reclamaciones de terceros que surja de las actuaciones, hechos u omisiones de su contratista. Sin embargo, se aclara, que la vigencia de dicha garantía debe ser igual al periodo de ejecución del contrato asegurado, tal y como lo dispone el artículo 2.2.1.2.3.1.17 del Decreto 1082 de 2015. Esto por cuanto, no tiene sentido prologan la vigencia de este amparo después de la fase de ejecución, ya que </w:t>
            </w:r>
            <w:r w:rsidRPr="007C255B">
              <w:rPr>
                <w:rFonts w:ascii="Verdana" w:hAnsi="Verdana"/>
              </w:rPr>
              <w:lastRenderedPageBreak/>
              <w:t>para ese momento el contratista o sus subcontratistas no estarán realizando labores o actividades que puedan causar daños a terceros.</w:t>
            </w:r>
          </w:p>
        </w:tc>
      </w:tr>
      <w:bookmarkEnd w:id="2"/>
    </w:tbl>
    <w:p w14:paraId="2D50CE0D" w14:textId="77777777" w:rsidR="00107C29" w:rsidRDefault="00107C29" w:rsidP="00107C29">
      <w:pPr>
        <w:widowControl w:val="0"/>
        <w:autoSpaceDE w:val="0"/>
        <w:autoSpaceDN w:val="0"/>
        <w:spacing w:after="0" w:line="276" w:lineRule="auto"/>
        <w:ind w:hanging="357"/>
        <w:outlineLvl w:val="0"/>
        <w:rPr>
          <w:rFonts w:ascii="Verdana" w:eastAsia="Arial" w:hAnsi="Verdana" w:cs="Arial"/>
          <w:b/>
          <w:bCs/>
          <w:lang w:val="es-ES"/>
        </w:rPr>
      </w:pPr>
    </w:p>
    <w:p w14:paraId="0FFD8F29" w14:textId="77777777" w:rsidR="00107C29" w:rsidRPr="006263D8" w:rsidRDefault="00107C29" w:rsidP="00107C29">
      <w:pPr>
        <w:widowControl w:val="0"/>
        <w:autoSpaceDE w:val="0"/>
        <w:autoSpaceDN w:val="0"/>
        <w:spacing w:after="0" w:line="276" w:lineRule="auto"/>
        <w:ind w:hanging="357"/>
        <w:outlineLvl w:val="0"/>
        <w:rPr>
          <w:rFonts w:ascii="Verdana" w:eastAsia="Arial" w:hAnsi="Verdana" w:cs="Arial"/>
          <w:b/>
          <w:bCs/>
          <w:lang w:val="es-ES"/>
        </w:rPr>
      </w:pPr>
      <w:r w:rsidRPr="006263D8">
        <w:rPr>
          <w:rFonts w:ascii="Verdana" w:eastAsia="Arial" w:hAnsi="Verdana" w:cs="Arial"/>
          <w:b/>
          <w:bCs/>
          <w:lang w:val="es-ES"/>
        </w:rPr>
        <w:t>3. Razones de la respuesta</w:t>
      </w:r>
    </w:p>
    <w:p w14:paraId="0D69C17C" w14:textId="77777777" w:rsidR="00107C29" w:rsidRPr="006263D8" w:rsidRDefault="00107C29" w:rsidP="00107C29">
      <w:pPr>
        <w:spacing w:after="0" w:line="276" w:lineRule="auto"/>
        <w:jc w:val="both"/>
        <w:rPr>
          <w:rFonts w:ascii="Verdana" w:eastAsia="Calibri" w:hAnsi="Verdana" w:cs="Arial"/>
          <w:lang w:val="es-ES"/>
        </w:rPr>
      </w:pPr>
    </w:p>
    <w:p w14:paraId="2D305E42" w14:textId="77777777" w:rsidR="00107C29" w:rsidRPr="006263D8" w:rsidRDefault="00107C29" w:rsidP="00107C29">
      <w:pPr>
        <w:spacing w:after="0" w:line="276" w:lineRule="auto"/>
        <w:jc w:val="both"/>
        <w:rPr>
          <w:rFonts w:ascii="Verdana" w:eastAsia="Calibri" w:hAnsi="Verdana" w:cs="Arial"/>
          <w:lang w:val="es-ES"/>
        </w:rPr>
      </w:pPr>
      <w:r w:rsidRPr="006263D8">
        <w:rPr>
          <w:rFonts w:ascii="Verdana" w:eastAsia="Calibri" w:hAnsi="Verdana" w:cs="Arial"/>
          <w:lang w:val="es-ES"/>
        </w:rPr>
        <w:t xml:space="preserve">Las respuestas anteriores se sustentan en las siguientes consideraciones: </w:t>
      </w:r>
    </w:p>
    <w:p w14:paraId="339CC3E6" w14:textId="77777777" w:rsidR="00107C29" w:rsidRPr="006263D8" w:rsidRDefault="00107C29" w:rsidP="00107C29">
      <w:pPr>
        <w:spacing w:after="0" w:line="276" w:lineRule="auto"/>
        <w:jc w:val="both"/>
        <w:rPr>
          <w:rFonts w:ascii="Verdana" w:eastAsia="Calibri" w:hAnsi="Verdana" w:cs="Arial"/>
          <w:lang w:val="es-ES"/>
        </w:rPr>
      </w:pPr>
    </w:p>
    <w:p w14:paraId="201411B1" w14:textId="77777777" w:rsidR="00107C29" w:rsidRPr="00D011DD" w:rsidRDefault="00107C29" w:rsidP="00107C29">
      <w:pPr>
        <w:spacing w:after="0" w:line="276" w:lineRule="auto"/>
        <w:jc w:val="both"/>
        <w:rPr>
          <w:rFonts w:ascii="Verdana" w:eastAsia="Calibri" w:hAnsi="Verdana" w:cs="Arial"/>
          <w:lang w:val="es-ES_tradnl"/>
        </w:rPr>
      </w:pPr>
      <w:r>
        <w:rPr>
          <w:rFonts w:ascii="Verdana" w:eastAsia="Calibri" w:hAnsi="Verdana" w:cs="Arial"/>
          <w:lang w:val="es-ES"/>
        </w:rPr>
        <w:t xml:space="preserve">i) De manera preliminar, debe precisarse que el Estatuto General de </w:t>
      </w:r>
      <w:r w:rsidRPr="00D011DD">
        <w:rPr>
          <w:rFonts w:ascii="Verdana" w:eastAsia="Calibri" w:hAnsi="Verdana" w:cs="Arial"/>
          <w:lang w:val="es-ES_tradnl"/>
        </w:rPr>
        <w:t xml:space="preserve">Contratación de la Administración Pública exige, por regla general, en los procesos de contratación pública </w:t>
      </w:r>
      <w:r w:rsidRPr="00D011DD">
        <w:rPr>
          <w:rFonts w:ascii="Verdana" w:eastAsia="Calibri" w:hAnsi="Verdana" w:cs="Arial"/>
          <w:lang w:val="es-ES"/>
        </w:rPr>
        <w:t>la constitución de garantías</w:t>
      </w:r>
      <w:r>
        <w:rPr>
          <w:rFonts w:ascii="Verdana" w:eastAsia="Calibri" w:hAnsi="Verdana" w:cs="Arial"/>
          <w:lang w:val="es-ES"/>
        </w:rPr>
        <w:t>,</w:t>
      </w:r>
      <w:r w:rsidRPr="00D011DD">
        <w:rPr>
          <w:rFonts w:ascii="Verdana" w:eastAsia="Calibri" w:hAnsi="Verdana" w:cs="Arial"/>
          <w:lang w:val="es-ES"/>
        </w:rPr>
        <w:t xml:space="preserve"> con el fin de evitar o mitigar posibles riesgos</w:t>
      </w:r>
      <w:r w:rsidRPr="00D011DD">
        <w:rPr>
          <w:rFonts w:ascii="Verdana" w:eastAsia="Calibri" w:hAnsi="Verdana" w:cs="Arial"/>
          <w:lang w:val="es-ES_tradnl"/>
        </w:rPr>
        <w:t>.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La precitada norma dispone:</w:t>
      </w:r>
    </w:p>
    <w:p w14:paraId="3CF7838D" w14:textId="77777777" w:rsidR="00107C29" w:rsidRPr="00D011DD" w:rsidRDefault="00107C29" w:rsidP="00107C29">
      <w:pPr>
        <w:spacing w:after="0" w:line="276" w:lineRule="auto"/>
        <w:ind w:left="709" w:right="709"/>
        <w:jc w:val="both"/>
        <w:rPr>
          <w:rFonts w:ascii="Verdana" w:eastAsia="Calibri" w:hAnsi="Verdana" w:cs="Arial"/>
          <w:sz w:val="20"/>
          <w:szCs w:val="20"/>
          <w:lang w:val="es-ES_tradnl"/>
        </w:rPr>
      </w:pPr>
    </w:p>
    <w:p w14:paraId="7E7E804D" w14:textId="77777777" w:rsidR="00107C29" w:rsidRPr="00D011DD" w:rsidRDefault="00107C29" w:rsidP="00107C29">
      <w:pPr>
        <w:spacing w:after="0" w:line="240" w:lineRule="auto"/>
        <w:ind w:left="709" w:right="709"/>
        <w:jc w:val="both"/>
        <w:rPr>
          <w:rFonts w:ascii="Verdana" w:eastAsia="Calibri" w:hAnsi="Verdana" w:cs="Arial"/>
          <w:sz w:val="20"/>
          <w:szCs w:val="20"/>
          <w:lang w:val="es-ES_tradnl"/>
        </w:rPr>
      </w:pPr>
      <w:r>
        <w:rPr>
          <w:rFonts w:ascii="Verdana" w:eastAsia="Calibri" w:hAnsi="Verdana" w:cs="Arial"/>
          <w:sz w:val="20"/>
          <w:szCs w:val="20"/>
          <w:lang w:val="es-ES_tradnl"/>
        </w:rPr>
        <w:t>“</w:t>
      </w:r>
      <w:r w:rsidRPr="00D011DD">
        <w:rPr>
          <w:rFonts w:ascii="Verdana" w:eastAsia="Calibri" w:hAnsi="Verdana" w:cs="Arial"/>
          <w:sz w:val="20"/>
          <w:szCs w:val="20"/>
          <w:lang w:val="es-ES_tradnl"/>
        </w:rPr>
        <w:t xml:space="preserve">Los contratistas prestarán garantía única para el cumplimiento de las obligaciones surgidas del contrato. Los proponentes prestarán garantía de seriedad de los ofrecimientos hechos. </w:t>
      </w:r>
    </w:p>
    <w:p w14:paraId="560D0022" w14:textId="77777777" w:rsidR="00107C29" w:rsidRPr="00D011DD" w:rsidRDefault="00107C29" w:rsidP="00107C29">
      <w:pPr>
        <w:spacing w:after="0" w:line="240" w:lineRule="auto"/>
        <w:ind w:left="709" w:right="709"/>
        <w:jc w:val="both"/>
        <w:rPr>
          <w:rFonts w:ascii="Verdana" w:eastAsia="Calibri" w:hAnsi="Verdana" w:cs="Arial"/>
          <w:sz w:val="20"/>
          <w:szCs w:val="20"/>
          <w:lang w:val="es-ES_tradnl"/>
        </w:rPr>
      </w:pPr>
    </w:p>
    <w:p w14:paraId="4BCB036C" w14:textId="77777777" w:rsidR="00107C29" w:rsidRPr="00D011DD" w:rsidRDefault="00107C29" w:rsidP="00107C29">
      <w:pPr>
        <w:spacing w:after="0" w:line="240" w:lineRule="auto"/>
        <w:ind w:left="709" w:right="709"/>
        <w:jc w:val="both"/>
        <w:rPr>
          <w:rFonts w:ascii="Verdana" w:eastAsia="Calibri" w:hAnsi="Verdana" w:cs="Arial"/>
          <w:sz w:val="20"/>
          <w:szCs w:val="20"/>
          <w:lang w:val="es-ES_tradnl"/>
        </w:rPr>
      </w:pPr>
      <w:r w:rsidRPr="00D011DD">
        <w:rPr>
          <w:rFonts w:ascii="Verdana" w:eastAsia="Calibri" w:hAnsi="Verdana" w:cs="Arial"/>
          <w:sz w:val="20"/>
          <w:szCs w:val="20"/>
          <w:lang w:val="es-ES_tradnl"/>
        </w:rPr>
        <w:t xml:space="preserve">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464F35BA" w14:textId="77777777" w:rsidR="00107C29" w:rsidRPr="00D011DD" w:rsidRDefault="00107C29" w:rsidP="00107C29">
      <w:pPr>
        <w:spacing w:after="0" w:line="240" w:lineRule="auto"/>
        <w:ind w:left="709" w:right="709"/>
        <w:jc w:val="both"/>
        <w:rPr>
          <w:rFonts w:ascii="Verdana" w:eastAsia="Calibri" w:hAnsi="Verdana" w:cs="Arial"/>
          <w:sz w:val="20"/>
          <w:szCs w:val="20"/>
          <w:lang w:val="es-ES_tradnl"/>
        </w:rPr>
      </w:pPr>
    </w:p>
    <w:p w14:paraId="67CD0532" w14:textId="77777777" w:rsidR="00107C29" w:rsidRPr="00D011DD" w:rsidRDefault="00107C29" w:rsidP="00107C29">
      <w:pPr>
        <w:spacing w:after="0" w:line="240" w:lineRule="auto"/>
        <w:ind w:left="709" w:right="709"/>
        <w:jc w:val="both"/>
        <w:rPr>
          <w:rFonts w:ascii="Verdana" w:eastAsia="Calibri" w:hAnsi="Verdana" w:cs="Arial"/>
          <w:sz w:val="20"/>
          <w:szCs w:val="20"/>
          <w:lang w:val="es-ES"/>
        </w:rPr>
      </w:pPr>
      <w:r w:rsidRPr="25B5AA68">
        <w:rPr>
          <w:rFonts w:ascii="Verdana" w:eastAsia="Calibri" w:hAnsi="Verdana" w:cs="Arial"/>
          <w:sz w:val="20"/>
          <w:szCs w:val="20"/>
          <w:lang w:val="es-ES"/>
        </w:rPr>
        <w:t xml:space="preserve">El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 </w:t>
      </w:r>
    </w:p>
    <w:p w14:paraId="3F4D4D32" w14:textId="77777777" w:rsidR="00107C29" w:rsidRPr="00D011DD" w:rsidRDefault="00107C29" w:rsidP="00107C29">
      <w:pPr>
        <w:spacing w:after="0" w:line="240" w:lineRule="auto"/>
        <w:ind w:left="709" w:right="709"/>
        <w:jc w:val="both"/>
        <w:rPr>
          <w:rFonts w:ascii="Verdana" w:eastAsia="Calibri" w:hAnsi="Verdana" w:cs="Arial"/>
          <w:sz w:val="20"/>
          <w:szCs w:val="20"/>
          <w:lang w:val="es-ES_tradnl"/>
        </w:rPr>
      </w:pPr>
    </w:p>
    <w:p w14:paraId="13973E93" w14:textId="77777777" w:rsidR="00107C29" w:rsidRPr="00D011DD" w:rsidRDefault="00107C29" w:rsidP="00107C29">
      <w:pPr>
        <w:spacing w:after="0" w:line="240" w:lineRule="auto"/>
        <w:ind w:left="709" w:right="709"/>
        <w:jc w:val="both"/>
        <w:rPr>
          <w:rFonts w:ascii="Verdana" w:eastAsia="Calibri" w:hAnsi="Verdana" w:cs="Arial"/>
          <w:sz w:val="20"/>
          <w:szCs w:val="20"/>
          <w:lang w:val="es-ES_tradnl"/>
        </w:rPr>
      </w:pPr>
      <w:r w:rsidRPr="00D011DD">
        <w:rPr>
          <w:rFonts w:ascii="Verdana" w:eastAsia="Calibri" w:hAnsi="Verdana" w:cs="Arial"/>
          <w:sz w:val="20"/>
          <w:szCs w:val="20"/>
          <w:lang w:val="es-ES_tradnl"/>
        </w:rPr>
        <w:t>El acaecimiento del siniestro que amparan las garantías será comunicado por la entidad pública al respectivo asegurador mediante la notificación del acto administrativo que así lo declare.</w:t>
      </w:r>
    </w:p>
    <w:p w14:paraId="2C4844DA" w14:textId="77777777" w:rsidR="00107C29" w:rsidRPr="00D011DD" w:rsidRDefault="00107C29" w:rsidP="00107C29">
      <w:pPr>
        <w:spacing w:after="0" w:line="240" w:lineRule="auto"/>
        <w:ind w:left="709" w:right="709"/>
        <w:jc w:val="both"/>
        <w:rPr>
          <w:rFonts w:ascii="Verdana" w:eastAsia="Calibri" w:hAnsi="Verdana" w:cs="Arial"/>
          <w:sz w:val="20"/>
          <w:szCs w:val="20"/>
          <w:lang w:val="es-ES_tradnl"/>
        </w:rPr>
      </w:pPr>
      <w:r w:rsidRPr="00D011DD">
        <w:rPr>
          <w:rFonts w:ascii="Verdana" w:eastAsia="Calibri" w:hAnsi="Verdana" w:cs="Arial"/>
          <w:sz w:val="20"/>
          <w:szCs w:val="20"/>
          <w:lang w:val="es-ES_tradnl"/>
        </w:rPr>
        <w:t xml:space="preserve"> </w:t>
      </w:r>
    </w:p>
    <w:p w14:paraId="6B86228E" w14:textId="77777777" w:rsidR="00107C29" w:rsidRDefault="00107C29" w:rsidP="00107C29">
      <w:pPr>
        <w:spacing w:after="0" w:line="240" w:lineRule="auto"/>
        <w:ind w:left="709" w:right="709"/>
        <w:jc w:val="both"/>
        <w:rPr>
          <w:rFonts w:ascii="Verdana" w:eastAsia="Calibri" w:hAnsi="Verdana" w:cs="Arial"/>
          <w:sz w:val="20"/>
          <w:szCs w:val="20"/>
          <w:lang w:val="es-ES"/>
        </w:rPr>
      </w:pPr>
      <w:r w:rsidRPr="5B73FF33">
        <w:rPr>
          <w:rFonts w:ascii="Verdana" w:eastAsia="Calibri" w:hAnsi="Verdana" w:cs="Arial"/>
          <w:sz w:val="20"/>
          <w:szCs w:val="20"/>
          <w:lang w:val="es-ES"/>
        </w:rPr>
        <w:lastRenderedPageBreak/>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r>
        <w:rPr>
          <w:rFonts w:ascii="Verdana" w:eastAsia="Calibri" w:hAnsi="Verdana" w:cs="Arial"/>
          <w:sz w:val="20"/>
          <w:szCs w:val="20"/>
          <w:lang w:val="es-ES"/>
        </w:rPr>
        <w:t>”</w:t>
      </w:r>
      <w:r w:rsidRPr="5B73FF33">
        <w:rPr>
          <w:rFonts w:ascii="Verdana" w:eastAsia="Calibri" w:hAnsi="Verdana" w:cs="Arial"/>
          <w:sz w:val="20"/>
          <w:szCs w:val="20"/>
          <w:lang w:val="es-ES"/>
        </w:rPr>
        <w:t>.</w:t>
      </w:r>
    </w:p>
    <w:p w14:paraId="13E886BE" w14:textId="77777777" w:rsidR="00107C29" w:rsidRPr="00EB1F0A" w:rsidRDefault="00107C29" w:rsidP="00107C29">
      <w:pPr>
        <w:spacing w:after="0" w:line="276" w:lineRule="auto"/>
        <w:ind w:left="709" w:right="709"/>
        <w:jc w:val="both"/>
        <w:rPr>
          <w:rFonts w:ascii="Verdana" w:eastAsia="Calibri" w:hAnsi="Verdana" w:cs="Arial"/>
          <w:lang w:val="es-ES_tradnl"/>
        </w:rPr>
      </w:pPr>
    </w:p>
    <w:p w14:paraId="5A85E2E4" w14:textId="77777777" w:rsidR="00107C29" w:rsidRPr="002D321A" w:rsidRDefault="00107C29" w:rsidP="00107C29">
      <w:pPr>
        <w:spacing w:after="120" w:line="276" w:lineRule="auto"/>
        <w:ind w:firstLine="709"/>
        <w:jc w:val="both"/>
        <w:rPr>
          <w:rFonts w:ascii="Verdana" w:eastAsia="Calibri" w:hAnsi="Verdana" w:cs="Arial"/>
          <w:color w:val="000000" w:themeColor="text1"/>
          <w:lang w:val="es-ES_tradnl"/>
        </w:rPr>
      </w:pPr>
      <w:r w:rsidRPr="002D321A">
        <w:rPr>
          <w:rFonts w:ascii="Verdana" w:eastAsia="Calibri" w:hAnsi="Verdana" w:cs="Arial"/>
          <w:color w:val="000000" w:themeColor="text1"/>
          <w:lang w:val="es-ES_tradnl"/>
        </w:rPr>
        <w:t xml:space="preserve">Las condiciones para el cumplimiento de estas obligaciones fueron reglamentadas por el Decreto 1082 de 2015, el cual prescribe en los artículos 2.2.1.2.3.1.1. a 2.2.1.2.3.1.19 las clases de garantías permitidas; la indivisibilidad, por regla general, de las mismas; los riesgos objeto de cobertura; </w:t>
      </w:r>
      <w:r w:rsidRPr="00EB1F0A">
        <w:rPr>
          <w:rFonts w:ascii="Verdana" w:eastAsia="Calibri" w:hAnsi="Verdana" w:cs="Arial"/>
          <w:i/>
          <w:iCs/>
          <w:color w:val="000000" w:themeColor="text1"/>
          <w:lang w:val="es-ES_tradnl"/>
        </w:rPr>
        <w:t>la vigencia</w:t>
      </w:r>
      <w:r w:rsidRPr="002D321A">
        <w:rPr>
          <w:rFonts w:ascii="Verdana" w:eastAsia="Calibri" w:hAnsi="Verdana" w:cs="Arial"/>
          <w:color w:val="000000" w:themeColor="text1"/>
          <w:lang w:val="es-ES_tradnl"/>
        </w:rPr>
        <w:t xml:space="preserve"> y valores mínimos, entre otros aspectos que deben cumplir las garantías constituidas, ya sea mediante pólizas de seguro, garantías bancarias o patrimonios autónomos. Este último tipo de garantía fue establecida por el reglamento, previa autorización del artículo 7° de la Ley 1150 de 2007. </w:t>
      </w:r>
    </w:p>
    <w:p w14:paraId="5D5E23B0" w14:textId="77777777" w:rsidR="00107C29" w:rsidRPr="002D321A" w:rsidRDefault="00107C29" w:rsidP="00107C29">
      <w:pPr>
        <w:spacing w:after="120" w:line="276" w:lineRule="auto"/>
        <w:ind w:firstLine="709"/>
        <w:jc w:val="both"/>
        <w:rPr>
          <w:rFonts w:ascii="Verdana" w:hAnsi="Verdana" w:cs="Arial"/>
          <w:color w:val="000000" w:themeColor="text1"/>
        </w:rPr>
      </w:pPr>
      <w:r w:rsidRPr="002D321A">
        <w:rPr>
          <w:rFonts w:ascii="Verdana" w:eastAsia="Calibri" w:hAnsi="Verdana" w:cs="Arial"/>
          <w:color w:val="000000" w:themeColor="text1"/>
          <w:lang w:val="es-ES_tradnl"/>
        </w:rPr>
        <w:t>De acuerdo a lo expresado anteriormente, l</w:t>
      </w:r>
      <w:r w:rsidRPr="002D321A">
        <w:rPr>
          <w:rFonts w:ascii="Verdana" w:hAnsi="Verdana" w:cs="Arial"/>
          <w:color w:val="000000" w:themeColor="text1"/>
        </w:rPr>
        <w:t xml:space="preserve">os proponentes o contratistas, para garantizar el cumplimiento de sus obligaciones frente a </w:t>
      </w:r>
      <w:r>
        <w:rPr>
          <w:rFonts w:ascii="Verdana" w:hAnsi="Verdana" w:cs="Arial"/>
          <w:color w:val="000000" w:themeColor="text1"/>
        </w:rPr>
        <w:t>E</w:t>
      </w:r>
      <w:r w:rsidRPr="002D321A">
        <w:rPr>
          <w:rFonts w:ascii="Verdana" w:hAnsi="Verdana" w:cs="Arial"/>
          <w:color w:val="000000" w:themeColor="text1"/>
        </w:rPr>
        <w:t xml:space="preserve">ntidades </w:t>
      </w:r>
      <w:r>
        <w:rPr>
          <w:rFonts w:ascii="Verdana" w:hAnsi="Verdana" w:cs="Arial"/>
          <w:color w:val="000000" w:themeColor="text1"/>
        </w:rPr>
        <w:t>E</w:t>
      </w:r>
      <w:r w:rsidRPr="002D321A">
        <w:rPr>
          <w:rFonts w:ascii="Verdana" w:hAnsi="Verdana" w:cs="Arial"/>
          <w:color w:val="000000" w:themeColor="text1"/>
        </w:rPr>
        <w:t xml:space="preserve">statales en materia contractual, pueden otorgar, a su elección, las garantías mediante los siguientes mecanismos de cobertura de los riesgos: i) contratos de seguro, que por su esencia, es el medio más usado </w:t>
      </w:r>
      <w:r w:rsidRPr="002D321A">
        <w:rPr>
          <w:rFonts w:ascii="Verdana" w:eastAsia="Calibri" w:hAnsi="Verdana" w:cs="Arial"/>
          <w:color w:val="000000" w:themeColor="text1"/>
        </w:rPr>
        <w:t xml:space="preserve">para amparar los riesgos contractuales; </w:t>
      </w:r>
      <w:r w:rsidRPr="002D321A">
        <w:rPr>
          <w:rFonts w:ascii="Verdana" w:hAnsi="Verdana" w:cs="Arial"/>
          <w:color w:val="000000" w:themeColor="text1"/>
        </w:rPr>
        <w:t xml:space="preserve">ii)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  iii) garantías bancarias o cartas de crédito </w:t>
      </w:r>
      <w:r w:rsidRPr="002D321A">
        <w:rPr>
          <w:rFonts w:ascii="Verdana" w:hAnsi="Verdana" w:cs="Arial"/>
          <w:i/>
          <w:iCs/>
          <w:color w:val="000000" w:themeColor="text1"/>
        </w:rPr>
        <w:t>stand</w:t>
      </w:r>
      <w:r w:rsidRPr="002D321A">
        <w:rPr>
          <w:rFonts w:ascii="Verdana" w:hAnsi="Verdana" w:cs="Arial"/>
          <w:color w:val="000000" w:themeColor="text1"/>
        </w:rPr>
        <w:t xml:space="preserve"> </w:t>
      </w:r>
      <w:r w:rsidRPr="002D321A">
        <w:rPr>
          <w:rFonts w:ascii="Verdana" w:hAnsi="Verdana" w:cs="Arial"/>
          <w:i/>
          <w:iCs/>
          <w:color w:val="000000" w:themeColor="text1"/>
        </w:rPr>
        <w:t>by</w:t>
      </w:r>
      <w:r w:rsidRPr="002D321A">
        <w:rPr>
          <w:rFonts w:ascii="Verdana" w:hAnsi="Verdana" w:cs="Arial"/>
          <w:color w:val="000000" w:themeColor="text1"/>
        </w:rPr>
        <w:t>, que consisten en compromisos irrevocables o incondicionales asumidos por una entidad financiera de pagar una suma determinada de dinero</w:t>
      </w:r>
      <w:r w:rsidRPr="002D321A">
        <w:rPr>
          <w:rFonts w:ascii="Verdana" w:hAnsi="Verdana" w:cs="Arial"/>
          <w:color w:val="000000" w:themeColor="text1"/>
          <w:vertAlign w:val="superscript"/>
        </w:rPr>
        <w:footnoteReference w:id="1"/>
      </w:r>
      <w:r w:rsidRPr="002D321A">
        <w:rPr>
          <w:rFonts w:ascii="Verdana" w:hAnsi="Verdana" w:cs="Arial"/>
          <w:color w:val="000000" w:themeColor="text1"/>
        </w:rPr>
        <w:t xml:space="preserve">. La suficiencia y la vigencia de las garantías </w:t>
      </w:r>
      <w:r>
        <w:rPr>
          <w:rFonts w:ascii="Verdana" w:hAnsi="Verdana" w:cs="Arial"/>
          <w:color w:val="000000" w:themeColor="text1"/>
        </w:rPr>
        <w:t>se encuenteran</w:t>
      </w:r>
      <w:r w:rsidRPr="002D321A">
        <w:rPr>
          <w:rFonts w:ascii="Verdana" w:hAnsi="Verdana" w:cs="Arial"/>
          <w:color w:val="000000" w:themeColor="text1"/>
        </w:rPr>
        <w:t xml:space="preserve"> reguladas en los artículos 2.2.1.2.3.1.9 a 2.2.1.2.3.1.16 del Decreto 1082 de 2015. </w:t>
      </w:r>
    </w:p>
    <w:p w14:paraId="7F8BEF20" w14:textId="77777777" w:rsidR="00107C29" w:rsidRPr="002D321A" w:rsidRDefault="00107C29" w:rsidP="00107C29">
      <w:pPr>
        <w:spacing w:after="0" w:line="276" w:lineRule="auto"/>
        <w:ind w:firstLine="709"/>
        <w:jc w:val="both"/>
        <w:rPr>
          <w:rFonts w:ascii="Verdana" w:hAnsi="Verdana" w:cs="Arial"/>
          <w:color w:val="000000" w:themeColor="text1"/>
        </w:rPr>
      </w:pPr>
      <w:r w:rsidRPr="002D321A">
        <w:rPr>
          <w:rFonts w:ascii="Verdana" w:hAnsi="Verdana" w:cs="Arial"/>
          <w:color w:val="000000" w:themeColor="text1"/>
        </w:rPr>
        <w:t xml:space="preserve">Ahora bien, las garantías cubren ciertos riesgos identificados por las </w:t>
      </w:r>
      <w:r>
        <w:rPr>
          <w:rFonts w:ascii="Verdana" w:hAnsi="Verdana" w:cs="Arial"/>
          <w:color w:val="000000" w:themeColor="text1"/>
        </w:rPr>
        <w:t>E</w:t>
      </w:r>
      <w:r w:rsidRPr="002D321A">
        <w:rPr>
          <w:rFonts w:ascii="Verdana" w:hAnsi="Verdana" w:cs="Arial"/>
          <w:color w:val="000000" w:themeColor="text1"/>
        </w:rPr>
        <w:t xml:space="preserve">ntidades </w:t>
      </w:r>
      <w:r>
        <w:rPr>
          <w:rFonts w:ascii="Verdana" w:hAnsi="Verdana" w:cs="Arial"/>
          <w:color w:val="000000" w:themeColor="text1"/>
        </w:rPr>
        <w:t>E</w:t>
      </w:r>
      <w:r w:rsidRPr="002D321A">
        <w:rPr>
          <w:rFonts w:ascii="Verdana" w:hAnsi="Verdana" w:cs="Arial"/>
          <w:color w:val="000000" w:themeColor="text1"/>
        </w:rPr>
        <w:t xml:space="preserve">statales. Por ejemplo, en las modalidades de selección de contratación directa y mínima cuantía, así como en la contratación de seguros, la </w:t>
      </w:r>
      <w:r>
        <w:rPr>
          <w:rFonts w:ascii="Verdana" w:hAnsi="Verdana" w:cs="Arial"/>
          <w:color w:val="000000" w:themeColor="text1"/>
        </w:rPr>
        <w:t>E</w:t>
      </w:r>
      <w:r w:rsidRPr="002D321A">
        <w:rPr>
          <w:rFonts w:ascii="Verdana" w:hAnsi="Verdana" w:cs="Arial"/>
          <w:color w:val="000000" w:themeColor="text1"/>
        </w:rPr>
        <w:t xml:space="preserve">ntidad </w:t>
      </w:r>
      <w:r>
        <w:rPr>
          <w:rFonts w:ascii="Verdana" w:hAnsi="Verdana" w:cs="Arial"/>
          <w:color w:val="000000" w:themeColor="text1"/>
        </w:rPr>
        <w:t>E</w:t>
      </w:r>
      <w:r w:rsidRPr="002D321A">
        <w:rPr>
          <w:rFonts w:ascii="Verdana" w:hAnsi="Verdana" w:cs="Arial"/>
          <w:color w:val="000000" w:themeColor="text1"/>
        </w:rPr>
        <w:t xml:space="preserve">statal debe justificar la necesidad de exigir la constitución de garantías. Con respecto a las demás modalidades de selección, en principio, son </w:t>
      </w:r>
      <w:r w:rsidRPr="002D321A">
        <w:rPr>
          <w:rFonts w:ascii="Verdana" w:hAnsi="Verdana" w:cs="Arial"/>
          <w:color w:val="000000" w:themeColor="text1"/>
        </w:rPr>
        <w:lastRenderedPageBreak/>
        <w:t xml:space="preserve">obligatorias las garantías de seriedad de la oferta y </w:t>
      </w:r>
      <w:r>
        <w:rPr>
          <w:rFonts w:ascii="Verdana" w:hAnsi="Verdana" w:cs="Arial"/>
          <w:color w:val="000000" w:themeColor="text1"/>
        </w:rPr>
        <w:t xml:space="preserve">la única </w:t>
      </w:r>
      <w:r w:rsidRPr="002D321A">
        <w:rPr>
          <w:rFonts w:ascii="Verdana" w:hAnsi="Verdana" w:cs="Arial"/>
          <w:color w:val="000000" w:themeColor="text1"/>
        </w:rPr>
        <w:t>de cumplimiento</w:t>
      </w:r>
      <w:r>
        <w:rPr>
          <w:rFonts w:ascii="Verdana" w:hAnsi="Verdana" w:cs="Arial"/>
          <w:color w:val="000000" w:themeColor="text1"/>
        </w:rPr>
        <w:t>; sin embargo,</w:t>
      </w:r>
      <w:r w:rsidRPr="002D321A">
        <w:rPr>
          <w:rFonts w:ascii="Verdana" w:hAnsi="Verdana" w:cs="Arial"/>
          <w:color w:val="000000" w:themeColor="text1"/>
        </w:rPr>
        <w:t xml:space="preserve"> la garantía de responsabilidad civil extracontractual es obligatoria en los contratos de obra y en aquellos en que por su objeto o naturaleza la entidad lo considere necesario.</w:t>
      </w:r>
    </w:p>
    <w:p w14:paraId="366196D0" w14:textId="77777777" w:rsidR="00107C29" w:rsidRDefault="00107C29" w:rsidP="00107C29">
      <w:pPr>
        <w:spacing w:after="0" w:line="276" w:lineRule="auto"/>
        <w:jc w:val="both"/>
        <w:rPr>
          <w:rFonts w:ascii="Verdana" w:eastAsia="Calibri" w:hAnsi="Verdana" w:cs="Arial"/>
          <w:lang w:val="es-ES"/>
        </w:rPr>
      </w:pPr>
    </w:p>
    <w:p w14:paraId="58E36A86" w14:textId="77777777" w:rsidR="00107C29" w:rsidRDefault="00107C29" w:rsidP="00107C29">
      <w:pPr>
        <w:spacing w:after="0" w:line="276" w:lineRule="auto"/>
        <w:jc w:val="both"/>
        <w:rPr>
          <w:rFonts w:ascii="Verdana" w:hAnsi="Verdana" w:cs="Arial"/>
          <w:bCs/>
          <w:color w:val="000000" w:themeColor="text1"/>
          <w:lang w:val="es-ES_tradnl"/>
        </w:rPr>
      </w:pPr>
      <w:r>
        <w:rPr>
          <w:rFonts w:ascii="Verdana" w:eastAsia="Calibri" w:hAnsi="Verdana" w:cs="Arial"/>
          <w:lang w:val="es-ES"/>
        </w:rPr>
        <w:t xml:space="preserve">ii) La garantía única de cumplimiento tiene por finalidad proteger el patrimonio de la Entidad Estatal frente a los potenciales riesgos y efectos derivados del incumplimiento de las obligaciones por parte del contratista. Esta función, se advierte, debe irradiar la compresión de las normas sobre garantías en general y sobre su vigencia en particular. En efecto, de acuerdo con lo dispuesto en el artículo 2.2.1.2.3.1.7 del Decreto 1082 de </w:t>
      </w:r>
      <w:r w:rsidRPr="00716763">
        <w:rPr>
          <w:rFonts w:ascii="Verdana" w:eastAsia="Calibri" w:hAnsi="Verdana" w:cs="Arial"/>
          <w:lang w:val="es-ES"/>
        </w:rPr>
        <w:t>2015</w:t>
      </w:r>
      <w:r w:rsidRPr="00716763">
        <w:rPr>
          <w:rStyle w:val="Refdenotaalpie"/>
          <w:rFonts w:ascii="Verdana" w:hAnsi="Verdana" w:cs="Arial"/>
          <w:bCs/>
          <w:color w:val="000000" w:themeColor="text1"/>
          <w:lang w:val="es-ES_tradnl"/>
        </w:rPr>
        <w:footnoteReference w:id="2"/>
      </w:r>
      <w:r w:rsidRPr="00716763">
        <w:rPr>
          <w:rFonts w:ascii="Verdana" w:hAnsi="Verdana" w:cs="Arial"/>
          <w:bCs/>
          <w:color w:val="000000" w:themeColor="text1"/>
          <w:lang w:val="es-ES_tradnl"/>
        </w:rPr>
        <w:t>,</w:t>
      </w:r>
      <w:r>
        <w:rPr>
          <w:rFonts w:ascii="Verdana" w:hAnsi="Verdana" w:cs="Arial"/>
          <w:bCs/>
          <w:color w:val="000000" w:themeColor="text1"/>
          <w:lang w:val="es-ES_tradnl"/>
        </w:rPr>
        <w:t xml:space="preserve"> la garantía única de </w:t>
      </w:r>
      <w:r>
        <w:rPr>
          <w:rFonts w:ascii="Verdana" w:hAnsi="Verdana" w:cs="Arial"/>
          <w:bCs/>
          <w:color w:val="000000" w:themeColor="text1"/>
          <w:lang w:val="es-ES_tradnl"/>
        </w:rPr>
        <w:lastRenderedPageBreak/>
        <w:t>cumplimiento cuenta con varios amparos que incluyen a saber: i) el buen manejo y correcta inversión del anticipo; ii) la devolución del pago anticipado; iii) el amparo de cumplimiento del contrato; iv) la garantía de pago de salarios, prestaciones sociales legales e indemnizaciones laborales, entre otros.</w:t>
      </w:r>
    </w:p>
    <w:p w14:paraId="277A8307" w14:textId="77777777" w:rsidR="00107C29" w:rsidRDefault="00107C29" w:rsidP="00107C29">
      <w:pPr>
        <w:spacing w:before="120" w:after="120" w:line="276" w:lineRule="auto"/>
        <w:jc w:val="both"/>
        <w:rPr>
          <w:rFonts w:ascii="Verdana" w:eastAsia="Calibri" w:hAnsi="Verdana" w:cs="Arial"/>
          <w:lang w:val="es-ES"/>
        </w:rPr>
      </w:pPr>
      <w:r>
        <w:rPr>
          <w:rFonts w:ascii="Verdana" w:eastAsia="Calibri" w:hAnsi="Verdana" w:cs="Arial"/>
          <w:lang w:val="es-ES"/>
        </w:rPr>
        <w:tab/>
        <w:t xml:space="preserve">Ahora bien, en lo que respecta al amparo de cumplimento del contrato, al tenor de lo dispuesto en lo precitado artículo, este protege a la entidad de los perjuicios que se puedan ocasionar por el incumplimiento total o parcial del contrato, del cumplimiento tardío o defectuoso, de los daños </w:t>
      </w:r>
      <w:r w:rsidRPr="00017DA3">
        <w:rPr>
          <w:rFonts w:ascii="Verdana" w:eastAsia="Calibri" w:hAnsi="Verdana" w:cs="Arial"/>
          <w:lang w:val="es-ES"/>
        </w:rPr>
        <w:t xml:space="preserve">por entregas parciales de la obra, cuando el contrato no prevé entregas parciales, y del valor de las multas y de la cláusula penal pecuniaria. De lo anterior se advierte que el </w:t>
      </w:r>
      <w:r>
        <w:rPr>
          <w:rFonts w:ascii="Verdana" w:eastAsia="Calibri" w:hAnsi="Verdana" w:cs="Arial"/>
          <w:lang w:val="es-ES"/>
        </w:rPr>
        <w:t xml:space="preserve">referido </w:t>
      </w:r>
      <w:r w:rsidRPr="00017DA3">
        <w:rPr>
          <w:rFonts w:ascii="Verdana" w:eastAsia="Calibri" w:hAnsi="Verdana" w:cs="Arial"/>
          <w:lang w:val="es-ES"/>
        </w:rPr>
        <w:t>amparo</w:t>
      </w:r>
      <w:r>
        <w:rPr>
          <w:rFonts w:ascii="Verdana" w:eastAsia="Calibri" w:hAnsi="Verdana" w:cs="Arial"/>
          <w:lang w:val="es-ES"/>
        </w:rPr>
        <w:t>,</w:t>
      </w:r>
      <w:r w:rsidRPr="00017DA3">
        <w:rPr>
          <w:rFonts w:ascii="Verdana" w:eastAsia="Calibri" w:hAnsi="Verdana" w:cs="Arial"/>
          <w:lang w:val="es-ES"/>
        </w:rPr>
        <w:t xml:space="preserve"> tiene como objeto proteger a la entidad de los riesgos que puedan concretarse durante la etapa de ejecución del contrato y, más claramente, aquellos derivados de incumplimientos o conductas imputables al contratista.</w:t>
      </w:r>
    </w:p>
    <w:p w14:paraId="2201700C" w14:textId="77777777" w:rsidR="00107C29" w:rsidRDefault="00107C29" w:rsidP="00107C29">
      <w:pPr>
        <w:spacing w:after="120" w:line="276" w:lineRule="auto"/>
        <w:jc w:val="both"/>
        <w:rPr>
          <w:rFonts w:ascii="Verdana" w:eastAsia="Calibri" w:hAnsi="Verdana" w:cs="Arial"/>
          <w:lang w:val="es-ES"/>
        </w:rPr>
      </w:pPr>
      <w:r>
        <w:rPr>
          <w:rFonts w:ascii="Verdana" w:eastAsia="Calibri" w:hAnsi="Verdana" w:cs="Arial"/>
          <w:lang w:val="es-ES"/>
        </w:rPr>
        <w:tab/>
        <w:t xml:space="preserve">En ese contexto, se tiene que, el artículo 2.2.1.2.3.1.12 del Decreto 1082 de 2015, señala expresamente que “[l]a garantía de cumplimiento del contrato debe tener una vigencia mínima hasta la liquidación del contrato”. Sin embargo, es menester aclarar que, la anterior disposición no se refiere a la garantía única de cumplimiento en su totalidad, sino </w:t>
      </w:r>
      <w:r w:rsidRPr="006042EB">
        <w:rPr>
          <w:rFonts w:ascii="Verdana" w:eastAsia="Calibri" w:hAnsi="Verdana" w:cs="Arial"/>
          <w:lang w:val="es-ES"/>
        </w:rPr>
        <w:t xml:space="preserve">exclusivamente al amparo de cumplimiento, al que se viene haciendo referencia, lo cual explica que los artículos anteriores y subsiguientes establezcan términos diferentes para los demás amparos que conforman la garantía única de cumplimiento. Así, por ejemplo, el artículo 2.2.1.2.3.1.13 </w:t>
      </w:r>
      <w:r>
        <w:rPr>
          <w:rFonts w:ascii="Verdana" w:eastAsia="Calibri" w:hAnsi="Verdana" w:cs="Arial"/>
          <w:lang w:val="es-ES"/>
        </w:rPr>
        <w:t>i</w:t>
      </w:r>
      <w:r w:rsidRPr="006042EB">
        <w:rPr>
          <w:rFonts w:ascii="Verdana" w:eastAsia="Calibri" w:hAnsi="Verdana" w:cs="Arial"/>
          <w:lang w:val="es-ES"/>
        </w:rPr>
        <w:t>b</w:t>
      </w:r>
      <w:r>
        <w:rPr>
          <w:rFonts w:ascii="Verdana" w:eastAsia="Calibri" w:hAnsi="Verdana" w:cs="Arial"/>
          <w:lang w:val="es-ES"/>
        </w:rPr>
        <w:t>i</w:t>
      </w:r>
      <w:r w:rsidRPr="006042EB">
        <w:rPr>
          <w:rFonts w:ascii="Verdana" w:eastAsia="Calibri" w:hAnsi="Verdana" w:cs="Arial"/>
          <w:lang w:val="es-ES"/>
        </w:rPr>
        <w:t>dem prescribe que la garantía de pago de salarios y prestaciones sociales debe estar vigente por el plazo del contrato y 3 años adicionales y, a su vez, el artículo 2.2.1.2.3.1.14 establece un término no inferior a 5 años para la garantía de estabilidad de la obra.</w:t>
      </w:r>
    </w:p>
    <w:p w14:paraId="2C34414C" w14:textId="77777777" w:rsidR="00107C29" w:rsidRPr="001B0050" w:rsidRDefault="00107C29" w:rsidP="00107C29">
      <w:pPr>
        <w:spacing w:after="120" w:line="276" w:lineRule="auto"/>
        <w:jc w:val="both"/>
        <w:rPr>
          <w:rFonts w:ascii="Verdana" w:eastAsia="Calibri" w:hAnsi="Verdana" w:cs="Arial"/>
          <w:lang w:val="es-ES"/>
        </w:rPr>
      </w:pPr>
      <w:r>
        <w:rPr>
          <w:rFonts w:ascii="Verdana" w:eastAsia="Calibri" w:hAnsi="Verdana" w:cs="Arial"/>
          <w:lang w:val="es-ES"/>
        </w:rPr>
        <w:tab/>
        <w:t xml:space="preserve">Bajo esa órbita, el Decreto 1082 de 2015 es claro y exige como se indicó, que el amparo de cumplimiento permanezca vigente hasta la liquidación del contrato, esto es, más allá del plazo de ejecución y de la vigencia del contrato estatal. En ese sentido, la </w:t>
      </w:r>
      <w:r w:rsidRPr="001B0050">
        <w:rPr>
          <w:rFonts w:ascii="Verdana" w:eastAsia="Calibri" w:hAnsi="Verdana" w:cs="Arial"/>
          <w:lang w:val="es-ES"/>
        </w:rPr>
        <w:t xml:space="preserve">vigencia del amparo de cumplimiento del contrato es la determinada en el artículo 2.2.1.2.3.1.12. </w:t>
      </w:r>
      <w:r w:rsidRPr="00EB1F0A">
        <w:rPr>
          <w:rFonts w:ascii="Verdana" w:eastAsia="Calibri" w:hAnsi="Verdana" w:cs="Arial"/>
          <w:i/>
          <w:iCs/>
          <w:lang w:val="es-ES"/>
        </w:rPr>
        <w:t>ibidem</w:t>
      </w:r>
      <w:r w:rsidRPr="001B0050">
        <w:rPr>
          <w:rFonts w:ascii="Verdana" w:eastAsia="Calibri" w:hAnsi="Verdana" w:cs="Arial"/>
          <w:lang w:val="es-ES"/>
        </w:rPr>
        <w:t xml:space="preserve">, esto es, hasta el momento en que se realice la liquidación del contrato, para lo cual se deberá tener en cuenta lo dispuesto por el artículo 11 de la Ley 1150 de 2007, según el cual la liquidación de los contratos se hará de mutuo acuerdo dentro del término fijado en los pliegos de condiciones o sus equivalentes o dentro del que acuerden las </w:t>
      </w:r>
      <w:r w:rsidRPr="001B0050">
        <w:rPr>
          <w:rFonts w:ascii="Verdana" w:eastAsia="Calibri" w:hAnsi="Verdana" w:cs="Arial"/>
          <w:lang w:val="es-ES"/>
        </w:rPr>
        <w:lastRenderedPageBreak/>
        <w:t xml:space="preserve">partes para el efecto o en su ausencia, el término supletivo establecido para la liquidación bilateral de </w:t>
      </w:r>
      <w:r>
        <w:rPr>
          <w:rFonts w:ascii="Verdana" w:eastAsia="Calibri" w:hAnsi="Verdana" w:cs="Arial"/>
          <w:lang w:val="es-ES"/>
        </w:rPr>
        <w:t>cuatro (</w:t>
      </w:r>
      <w:r w:rsidRPr="001B0050">
        <w:rPr>
          <w:rFonts w:ascii="Verdana" w:eastAsia="Calibri" w:hAnsi="Verdana" w:cs="Arial"/>
          <w:lang w:val="es-ES"/>
        </w:rPr>
        <w:t>4</w:t>
      </w:r>
      <w:r>
        <w:rPr>
          <w:rFonts w:ascii="Verdana" w:eastAsia="Calibri" w:hAnsi="Verdana" w:cs="Arial"/>
          <w:lang w:val="es-ES"/>
        </w:rPr>
        <w:t>)</w:t>
      </w:r>
      <w:r w:rsidRPr="001B0050">
        <w:rPr>
          <w:rFonts w:ascii="Verdana" w:eastAsia="Calibri" w:hAnsi="Verdana" w:cs="Arial"/>
          <w:lang w:val="es-ES"/>
        </w:rPr>
        <w:t xml:space="preserve"> meses o los </w:t>
      </w:r>
      <w:r>
        <w:rPr>
          <w:rFonts w:ascii="Verdana" w:eastAsia="Calibri" w:hAnsi="Verdana" w:cs="Arial"/>
          <w:lang w:val="es-ES"/>
        </w:rPr>
        <w:t>dos (</w:t>
      </w:r>
      <w:r w:rsidRPr="001B0050">
        <w:rPr>
          <w:rFonts w:ascii="Verdana" w:eastAsia="Calibri" w:hAnsi="Verdana" w:cs="Arial"/>
          <w:lang w:val="es-ES"/>
        </w:rPr>
        <w:t>2</w:t>
      </w:r>
      <w:r>
        <w:rPr>
          <w:rFonts w:ascii="Verdana" w:eastAsia="Calibri" w:hAnsi="Verdana" w:cs="Arial"/>
          <w:lang w:val="es-ES"/>
        </w:rPr>
        <w:t>)</w:t>
      </w:r>
      <w:r w:rsidRPr="001B0050">
        <w:rPr>
          <w:rFonts w:ascii="Verdana" w:eastAsia="Calibri" w:hAnsi="Verdana" w:cs="Arial"/>
          <w:lang w:val="es-ES"/>
        </w:rPr>
        <w:t xml:space="preserve"> meses siguientes para realizar la liquidación de forma unilateral. En este sentido, ante la falta de liquidación bilateral o unilateral del contrato en dichos plazos, el contratista debe cumplir con la previsión normativa referida, en el sentido de mantener la vigencia de la garantía de cumplimiento hasta la liquidación efectiva del contrato, sin perjuicio de interponer la demanda con la pretensión de liquidarlo judicialmente.</w:t>
      </w:r>
    </w:p>
    <w:p w14:paraId="6BB9B847" w14:textId="77777777" w:rsidR="00107C29" w:rsidRDefault="00107C29" w:rsidP="00107C29">
      <w:pPr>
        <w:spacing w:after="0" w:line="276" w:lineRule="auto"/>
        <w:ind w:firstLine="708"/>
        <w:jc w:val="both"/>
        <w:rPr>
          <w:rFonts w:ascii="Verdana" w:eastAsia="Calibri" w:hAnsi="Verdana" w:cs="Arial"/>
          <w:lang w:val="es-ES"/>
        </w:rPr>
      </w:pPr>
      <w:r w:rsidRPr="001B0050">
        <w:rPr>
          <w:rFonts w:ascii="Verdana" w:eastAsia="Calibri" w:hAnsi="Verdana" w:cs="Arial"/>
          <w:lang w:val="es-ES"/>
        </w:rPr>
        <w:t>De esta manera, si el contrato establece un plazo de liquidación de mutuo acuerdo de conformidad con lo señalado por el artículo 2.2.1.2.3.1.12. del Decreto 1082 de 2015, la entidad deberá verificar que la garantía se encuentre vigente, por lo menos, hasta dicho plazo. Si no se pacta un plazo de liquidación, se deberá tener en cuenta los términos supletivos de la liquidación bilateral y unilateral del artículo 11 de la ley 1150 de 2007. En todo caso, si por alguna razón no se logra liquidar el contrato dentro de dicho plazo, el contratista tiene el deber de mantener vigente la garantía hasta la liquidación efectiva del contrato, pues el artículo 2.2.1.2.3.1.12 del Decreto 1082 de 2015 lo dispone expresamente.</w:t>
      </w:r>
    </w:p>
    <w:p w14:paraId="4EDF7A6C" w14:textId="77777777" w:rsidR="00107C29" w:rsidRDefault="00107C29" w:rsidP="00107C29">
      <w:pPr>
        <w:spacing w:after="0" w:line="276" w:lineRule="auto"/>
        <w:jc w:val="both"/>
        <w:rPr>
          <w:rFonts w:ascii="Verdana" w:eastAsia="Calibri" w:hAnsi="Verdana" w:cs="Arial"/>
          <w:lang w:val="es-ES"/>
        </w:rPr>
      </w:pPr>
    </w:p>
    <w:p w14:paraId="6E685A2C" w14:textId="77777777" w:rsidR="00107C29" w:rsidRDefault="00107C29" w:rsidP="00107C29">
      <w:pPr>
        <w:spacing w:after="0" w:line="276" w:lineRule="auto"/>
        <w:jc w:val="both"/>
        <w:rPr>
          <w:rFonts w:ascii="Verdana" w:eastAsia="Calibri" w:hAnsi="Verdana" w:cs="Arial"/>
          <w:lang w:val="es-ES"/>
        </w:rPr>
      </w:pPr>
      <w:r>
        <w:rPr>
          <w:rFonts w:ascii="Verdana" w:eastAsia="Calibri" w:hAnsi="Verdana" w:cs="Arial"/>
          <w:lang w:val="es-ES"/>
        </w:rPr>
        <w:t xml:space="preserve">iii) Por parte, en lo referente a la garantía de responsabilidad civil extracontractual, se hace pertinente indicar que el </w:t>
      </w:r>
      <w:r w:rsidRPr="004C64C2">
        <w:rPr>
          <w:rFonts w:ascii="Verdana" w:eastAsia="Calibri" w:hAnsi="Verdana" w:cs="Arial"/>
          <w:lang w:val="es-ES"/>
        </w:rPr>
        <w:t>artículo 2.2.1.2.3.1.8. del Decreto 1082 de 2015</w:t>
      </w:r>
      <w:r>
        <w:rPr>
          <w:rStyle w:val="Refdenotaalpie"/>
          <w:rFonts w:ascii="Verdana" w:eastAsia="Times New Roman" w:hAnsi="Verdana" w:cs="Arial"/>
          <w:color w:val="000000" w:themeColor="text1"/>
          <w:lang w:eastAsia="es-CO"/>
        </w:rPr>
        <w:footnoteReference w:id="3"/>
      </w:r>
      <w:r w:rsidRPr="004C64C2">
        <w:rPr>
          <w:rFonts w:ascii="Verdana" w:eastAsia="Calibri" w:hAnsi="Verdana" w:cs="Arial"/>
          <w:lang w:val="es-ES"/>
        </w:rPr>
        <w:t xml:space="preserve"> dispone que la Entidad Estatal debe</w:t>
      </w:r>
      <w:r>
        <w:rPr>
          <w:rFonts w:ascii="Verdana" w:eastAsia="Calibri" w:hAnsi="Verdana" w:cs="Arial"/>
          <w:lang w:val="es-ES"/>
        </w:rPr>
        <w:t xml:space="preserve"> exigir la constitución de esta en los contratos de obra, así como en aquellos en que, por su objeto o naturaleza, lo considere necesario con ocasión de los riesgos previstos en el negocio, </w:t>
      </w:r>
      <w:r w:rsidRPr="00AB570B">
        <w:rPr>
          <w:rFonts w:ascii="Verdana" w:eastAsia="Calibri" w:hAnsi="Verdana" w:cs="Arial"/>
          <w:lang w:val="es-ES"/>
        </w:rPr>
        <w:t xml:space="preserve">para efectos de la cobertura frente a eventuales reclamaciones de terceros que surja de las actuaciones, hechos u omisiones de su contratista. </w:t>
      </w:r>
      <w:r>
        <w:rPr>
          <w:rFonts w:ascii="Verdana" w:eastAsia="Calibri" w:hAnsi="Verdana" w:cs="Arial"/>
          <w:lang w:val="es-ES"/>
        </w:rPr>
        <w:t xml:space="preserve">Del </w:t>
      </w:r>
      <w:r>
        <w:rPr>
          <w:rFonts w:ascii="Verdana" w:eastAsia="Calibri" w:hAnsi="Verdana" w:cs="Arial"/>
          <w:lang w:val="es-ES"/>
        </w:rPr>
        <w:lastRenderedPageBreak/>
        <w:t>mismo mod</w:t>
      </w:r>
      <w:r w:rsidRPr="00AB570B">
        <w:rPr>
          <w:rFonts w:ascii="Verdana" w:eastAsia="Calibri" w:hAnsi="Verdana" w:cs="Arial"/>
          <w:lang w:val="es-ES"/>
        </w:rPr>
        <w:t>o,</w:t>
      </w:r>
      <w:r>
        <w:rPr>
          <w:rFonts w:ascii="Verdana" w:eastAsia="Calibri" w:hAnsi="Verdana" w:cs="Arial"/>
          <w:lang w:val="es-ES"/>
        </w:rPr>
        <w:t xml:space="preserve"> y</w:t>
      </w:r>
      <w:r w:rsidRPr="00AB570B">
        <w:rPr>
          <w:rFonts w:ascii="Verdana" w:eastAsia="Calibri" w:hAnsi="Verdana" w:cs="Arial"/>
          <w:lang w:val="es-ES"/>
        </w:rPr>
        <w:t xml:space="preserve"> de acuerdo con el inciso segundo del </w:t>
      </w:r>
      <w:r>
        <w:rPr>
          <w:rFonts w:ascii="Verdana" w:eastAsia="Calibri" w:hAnsi="Verdana" w:cs="Arial"/>
          <w:lang w:val="es-ES"/>
        </w:rPr>
        <w:t xml:space="preserve">referido </w:t>
      </w:r>
      <w:r w:rsidRPr="00AB570B">
        <w:rPr>
          <w:rFonts w:ascii="Verdana" w:eastAsia="Calibri" w:hAnsi="Verdana" w:cs="Arial"/>
          <w:lang w:val="es-ES"/>
        </w:rPr>
        <w:t>artículo, “</w:t>
      </w:r>
      <w:r>
        <w:rPr>
          <w:rFonts w:ascii="Verdana" w:eastAsia="Calibri" w:hAnsi="Verdana" w:cs="Arial"/>
          <w:lang w:val="es-ES"/>
        </w:rPr>
        <w:t>[l]</w:t>
      </w:r>
      <w:r w:rsidRPr="00AB570B">
        <w:rPr>
          <w:rFonts w:ascii="Verdana" w:eastAsia="Calibri" w:hAnsi="Verdana" w:cs="Arial"/>
          <w:lang w:val="es-ES"/>
        </w:rPr>
        <w:t>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p>
    <w:p w14:paraId="34583B21" w14:textId="77777777" w:rsidR="00107C29" w:rsidRDefault="00107C29" w:rsidP="00107C29">
      <w:pPr>
        <w:spacing w:before="120" w:after="0" w:line="276" w:lineRule="auto"/>
        <w:ind w:firstLine="708"/>
        <w:jc w:val="both"/>
        <w:rPr>
          <w:rFonts w:ascii="Verdana" w:eastAsia="Calibri" w:hAnsi="Verdana" w:cs="Arial"/>
          <w:lang w:val="es-ES"/>
        </w:rPr>
      </w:pPr>
      <w:r w:rsidRPr="008F2903">
        <w:rPr>
          <w:rFonts w:ascii="Verdana" w:eastAsia="Calibri" w:hAnsi="Verdana" w:cs="Arial"/>
          <w:lang w:val="es-ES"/>
        </w:rPr>
        <w:t>En ese sentido,</w:t>
      </w:r>
      <w:r w:rsidRPr="00BC75D1">
        <w:rPr>
          <w:rFonts w:ascii="Verdana" w:eastAsia="Calibri" w:hAnsi="Verdana" w:cs="Arial"/>
        </w:rPr>
        <w:t xml:space="preserve"> </w:t>
      </w:r>
      <w:r w:rsidRPr="00B40E23">
        <w:rPr>
          <w:rFonts w:ascii="Verdana" w:eastAsia="Calibri" w:hAnsi="Verdana" w:cs="Arial"/>
        </w:rPr>
        <w:t xml:space="preserve">el artículo </w:t>
      </w:r>
      <w:bookmarkStart w:id="3" w:name="_Hlk184016589"/>
      <w:r w:rsidRPr="00B40E23">
        <w:rPr>
          <w:rFonts w:ascii="Verdana" w:eastAsia="Calibri" w:hAnsi="Verdana" w:cs="Arial"/>
        </w:rPr>
        <w:t>2.2.1.2.3.1.5</w:t>
      </w:r>
      <w:r w:rsidRPr="00152CAB">
        <w:rPr>
          <w:vertAlign w:val="superscript"/>
        </w:rPr>
        <w:footnoteReference w:id="4"/>
      </w:r>
      <w:r w:rsidRPr="00B40E23">
        <w:rPr>
          <w:rFonts w:ascii="Verdana" w:eastAsia="Calibri" w:hAnsi="Verdana" w:cs="Arial"/>
        </w:rPr>
        <w:t xml:space="preserve"> del Decreto 1082 de 2015 </w:t>
      </w:r>
      <w:bookmarkEnd w:id="3"/>
      <w:r w:rsidRPr="00B40E23">
        <w:rPr>
          <w:rFonts w:ascii="Verdana" w:eastAsia="Calibri" w:hAnsi="Verdana" w:cs="Arial"/>
        </w:rPr>
        <w:t>establece, respecto de la cobertura de la responsabilidad civil extracontractual proveniente de hechos, acciones u omisiones</w:t>
      </w:r>
      <w:r w:rsidRPr="00152CAB">
        <w:rPr>
          <w:vertAlign w:val="superscript"/>
        </w:rPr>
        <w:footnoteReference w:id="5"/>
      </w:r>
      <w:r w:rsidRPr="00B40E23">
        <w:rPr>
          <w:rFonts w:ascii="Verdana" w:eastAsia="Calibri" w:hAnsi="Verdana" w:cs="Arial"/>
        </w:rPr>
        <w:t xml:space="preserve"> del contratista o subcontratista, únicamente puede ser amparada mediante un contrato de seguro.</w:t>
      </w:r>
      <w:r>
        <w:rPr>
          <w:rFonts w:ascii="Verdana" w:eastAsia="Calibri" w:hAnsi="Verdana" w:cs="Arial"/>
        </w:rPr>
        <w:t xml:space="preserve"> En línea con lo anterior, y atendiendo a lo dispuesto en el artículo 2.2.1.2.3.2.9 ibidem, en </w:t>
      </w:r>
      <w:r>
        <w:rPr>
          <w:rFonts w:ascii="Verdana" w:eastAsia="Calibri" w:hAnsi="Verdana" w:cs="Arial"/>
          <w:lang w:val="es-ES"/>
        </w:rPr>
        <w:t>la “Guía para la Exigencia y Constitución de Garantías en los Procesos de Contratación”</w:t>
      </w:r>
      <w:r>
        <w:rPr>
          <w:rStyle w:val="Refdenotaalpie"/>
          <w:rFonts w:ascii="Verdana" w:eastAsia="Calibri" w:hAnsi="Verdana" w:cs="Arial"/>
          <w:lang w:val="es-ES"/>
        </w:rPr>
        <w:footnoteReference w:id="6"/>
      </w:r>
      <w:r>
        <w:rPr>
          <w:rFonts w:ascii="Verdana" w:eastAsia="Calibri" w:hAnsi="Verdana" w:cs="Arial"/>
          <w:lang w:val="es-ES"/>
        </w:rPr>
        <w:t xml:space="preserve"> esta Agencia recomienda tanto a las Entidades Estatales como a los contratistas de estas, observar que la póliza de responsabilidad civil extracontractual cumpla con los siguientes requisitos:</w:t>
      </w:r>
    </w:p>
    <w:p w14:paraId="37E11F41" w14:textId="77777777" w:rsidR="00107C29" w:rsidRDefault="00107C29" w:rsidP="00107C29">
      <w:pPr>
        <w:spacing w:after="0" w:line="276" w:lineRule="auto"/>
        <w:jc w:val="both"/>
        <w:rPr>
          <w:rFonts w:ascii="Verdana" w:eastAsia="Calibri" w:hAnsi="Verdana" w:cs="Arial"/>
          <w:lang w:val="es-ES"/>
        </w:rPr>
      </w:pPr>
    </w:p>
    <w:p w14:paraId="5278D847" w14:textId="77777777" w:rsidR="00107C29" w:rsidRDefault="00107C29" w:rsidP="00107C29">
      <w:pPr>
        <w:spacing w:after="0" w:line="240" w:lineRule="auto"/>
        <w:ind w:left="709" w:right="709"/>
        <w:jc w:val="both"/>
        <w:rPr>
          <w:rFonts w:ascii="Verdana" w:eastAsia="Calibri" w:hAnsi="Verdana" w:cs="Arial"/>
          <w:sz w:val="20"/>
          <w:szCs w:val="20"/>
          <w:lang w:val="es-ES"/>
        </w:rPr>
      </w:pPr>
      <w:r>
        <w:rPr>
          <w:rFonts w:ascii="Verdana" w:eastAsia="Calibri" w:hAnsi="Verdana" w:cs="Arial"/>
          <w:sz w:val="20"/>
          <w:szCs w:val="20"/>
          <w:lang w:val="es-ES"/>
        </w:rPr>
        <w:t xml:space="preserve">“El amparo debe expedirse en la modalidad de ocurrencia. En ese sentido, el contrato de seguro no puede establecer términos para que el posible afectado presente la reclamación. Dichos términos no pueden resultar inferiores a los términos de prescripción previstos para cada caso </w:t>
      </w:r>
      <w:r>
        <w:rPr>
          <w:rFonts w:ascii="Verdana" w:eastAsia="Calibri" w:hAnsi="Verdana" w:cs="Arial"/>
          <w:sz w:val="20"/>
          <w:szCs w:val="20"/>
          <w:lang w:val="es-ES"/>
        </w:rPr>
        <w:lastRenderedPageBreak/>
        <w:t>particular y concreto por la ley que resulte aplicable, esto, para efectos del ejercicio de la acción correspondiente.</w:t>
      </w:r>
    </w:p>
    <w:p w14:paraId="010E0991" w14:textId="77777777" w:rsidR="00107C29" w:rsidRDefault="00107C29" w:rsidP="00107C29">
      <w:pPr>
        <w:spacing w:after="0" w:line="240" w:lineRule="auto"/>
        <w:ind w:left="709" w:right="709"/>
        <w:jc w:val="both"/>
        <w:rPr>
          <w:rFonts w:ascii="Verdana" w:eastAsia="Calibri" w:hAnsi="Verdana" w:cs="Arial"/>
          <w:sz w:val="20"/>
          <w:szCs w:val="20"/>
          <w:lang w:val="es-ES"/>
        </w:rPr>
      </w:pPr>
    </w:p>
    <w:p w14:paraId="1291B720" w14:textId="77777777" w:rsidR="00107C29" w:rsidRDefault="00107C29" w:rsidP="00107C29">
      <w:pPr>
        <w:spacing w:after="0" w:line="240" w:lineRule="auto"/>
        <w:ind w:left="709" w:right="709"/>
        <w:jc w:val="both"/>
        <w:rPr>
          <w:rFonts w:ascii="Verdana" w:eastAsia="Calibri" w:hAnsi="Verdana" w:cs="Arial"/>
          <w:sz w:val="20"/>
          <w:szCs w:val="20"/>
          <w:lang w:val="es-ES"/>
        </w:rPr>
      </w:pPr>
      <w:r>
        <w:rPr>
          <w:rFonts w:ascii="Verdana" w:eastAsia="Calibri" w:hAnsi="Verdana" w:cs="Arial"/>
          <w:sz w:val="20"/>
          <w:szCs w:val="20"/>
          <w:lang w:val="es-ES"/>
        </w:rPr>
        <w:t xml:space="preserve">Asignar a la Entidad Estatal y a su contratista, la calidad de asegurados respecto de los posibles daños causados por este último </w:t>
      </w:r>
      <w:r w:rsidRPr="00517995">
        <w:rPr>
          <w:rFonts w:ascii="Verdana" w:eastAsia="Calibri" w:hAnsi="Verdana" w:cs="Arial"/>
          <w:i/>
          <w:iCs/>
          <w:sz w:val="20"/>
          <w:szCs w:val="20"/>
          <w:u w:val="single"/>
          <w:lang w:val="es-ES"/>
        </w:rPr>
        <w:t>durante la ejecución del contrato amparado</w:t>
      </w:r>
      <w:r>
        <w:rPr>
          <w:rFonts w:ascii="Verdana" w:eastAsia="Calibri" w:hAnsi="Verdana" w:cs="Arial"/>
          <w:sz w:val="20"/>
          <w:szCs w:val="20"/>
          <w:lang w:val="es-ES"/>
        </w:rPr>
        <w:t>. E igualmente, establecer como beneficiarios a la Entidad y los terceros posiblemente afectados.</w:t>
      </w:r>
    </w:p>
    <w:p w14:paraId="7B2B09FC" w14:textId="77777777" w:rsidR="00107C29" w:rsidRDefault="00107C29" w:rsidP="00107C29">
      <w:pPr>
        <w:spacing w:after="0" w:line="240" w:lineRule="auto"/>
        <w:ind w:left="709" w:right="709"/>
        <w:jc w:val="both"/>
        <w:rPr>
          <w:rFonts w:ascii="Verdana" w:eastAsia="Calibri" w:hAnsi="Verdana" w:cs="Arial"/>
          <w:sz w:val="20"/>
          <w:szCs w:val="20"/>
          <w:lang w:val="es-ES"/>
        </w:rPr>
      </w:pPr>
    </w:p>
    <w:p w14:paraId="3D2AF934" w14:textId="77777777" w:rsidR="00107C29" w:rsidRPr="001B18CD" w:rsidRDefault="00107C29" w:rsidP="00107C29">
      <w:pPr>
        <w:spacing w:after="0" w:line="240" w:lineRule="auto"/>
        <w:ind w:left="709" w:right="709"/>
        <w:jc w:val="both"/>
        <w:rPr>
          <w:rFonts w:ascii="Verdana" w:eastAsia="Calibri" w:hAnsi="Verdana" w:cs="Arial"/>
          <w:sz w:val="20"/>
          <w:szCs w:val="20"/>
          <w:lang w:val="es-ES"/>
        </w:rPr>
      </w:pPr>
      <w:r>
        <w:rPr>
          <w:rFonts w:ascii="Verdana" w:eastAsia="Calibri" w:hAnsi="Verdana" w:cs="Arial"/>
          <w:sz w:val="20"/>
          <w:szCs w:val="20"/>
          <w:lang w:val="es-ES"/>
        </w:rPr>
        <w:t>Contener de manera expresa, como mínimo, cada uno de los amparos exigidos en el numeral 3 del referido artículo. […]” [Énfasis fuera de texto]</w:t>
      </w:r>
    </w:p>
    <w:p w14:paraId="34A70A4C" w14:textId="77777777" w:rsidR="00107C29" w:rsidRDefault="00107C29" w:rsidP="00107C29">
      <w:pPr>
        <w:spacing w:after="0" w:line="276" w:lineRule="auto"/>
        <w:ind w:firstLine="708"/>
        <w:jc w:val="both"/>
        <w:rPr>
          <w:rFonts w:ascii="Verdana" w:eastAsia="Calibri" w:hAnsi="Verdana" w:cs="Arial"/>
          <w:lang w:val="es-ES"/>
        </w:rPr>
      </w:pPr>
    </w:p>
    <w:p w14:paraId="0742C740" w14:textId="77777777" w:rsidR="00107C29" w:rsidRDefault="00107C29" w:rsidP="00107C29">
      <w:pPr>
        <w:spacing w:after="0" w:line="276" w:lineRule="auto"/>
        <w:ind w:firstLine="709"/>
        <w:jc w:val="both"/>
        <w:rPr>
          <w:rFonts w:ascii="Verdana" w:eastAsia="Calibri" w:hAnsi="Verdana" w:cs="Arial"/>
          <w:lang w:val="es-ES"/>
        </w:rPr>
      </w:pPr>
      <w:r>
        <w:rPr>
          <w:rFonts w:ascii="Verdana" w:eastAsia="Calibri" w:hAnsi="Verdana" w:cs="Arial"/>
          <w:lang w:val="es-ES"/>
        </w:rPr>
        <w:t>En conclusión, como se observa, la vigencia de la garantía de</w:t>
      </w:r>
      <w:r w:rsidRPr="008F2903">
        <w:rPr>
          <w:rFonts w:ascii="Verdana" w:eastAsia="Calibri" w:hAnsi="Verdana" w:cs="Arial"/>
          <w:lang w:val="es-ES"/>
        </w:rPr>
        <w:t xml:space="preserve"> responsabilidad civil extracontractual</w:t>
      </w:r>
      <w:r>
        <w:rPr>
          <w:rFonts w:ascii="Verdana" w:eastAsia="Calibri" w:hAnsi="Verdana" w:cs="Arial"/>
          <w:lang w:val="es-ES"/>
        </w:rPr>
        <w:t xml:space="preserve"> debe ser igual al periodo de ejecución del contrato asegurado, tal y como lo dispone el artículo 2.2.1.2.3.1.17 del Decreto 1082 de 2015. Esto por cuanto, no tiene sentido prologan la vigencia de este amparo después de la fase de ejecución, ya que para ese momento el contratista o sus subcontratistas no estarán realizando labores o actividades que puedan causar daños a terceros.</w:t>
      </w:r>
    </w:p>
    <w:p w14:paraId="27E29A39" w14:textId="77777777" w:rsidR="00107C29" w:rsidRPr="00301910" w:rsidRDefault="00107C29" w:rsidP="00107C29">
      <w:pPr>
        <w:spacing w:before="120" w:after="0" w:line="276" w:lineRule="auto"/>
        <w:ind w:firstLine="709"/>
        <w:jc w:val="both"/>
        <w:rPr>
          <w:rFonts w:ascii="Verdana" w:hAnsi="Verdana" w:cs="Arial"/>
          <w:lang w:eastAsia="es-ES"/>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celebración de contratos por urgencia manifiesta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3B434A7C" w14:textId="77777777" w:rsidR="00107C29" w:rsidRPr="00301910" w:rsidRDefault="00107C29" w:rsidP="00107C29">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1F8D3F5B" w14:textId="77777777" w:rsidR="00107C29" w:rsidRPr="00B045A8" w:rsidRDefault="00107C29" w:rsidP="00107C29">
      <w:pPr>
        <w:spacing w:after="0" w:line="276" w:lineRule="auto"/>
        <w:ind w:firstLine="708"/>
        <w:jc w:val="both"/>
        <w:rPr>
          <w:rFonts w:ascii="Verdana" w:eastAsia="Calibri" w:hAnsi="Verdana" w:cs="Arial"/>
          <w:lang w:val="es-ES"/>
        </w:rPr>
      </w:pPr>
    </w:p>
    <w:p w14:paraId="08C44467" w14:textId="77777777" w:rsidR="00107C29" w:rsidRPr="00B045A8" w:rsidRDefault="00107C29" w:rsidP="00107C29">
      <w:pPr>
        <w:widowControl w:val="0"/>
        <w:autoSpaceDE w:val="0"/>
        <w:autoSpaceDN w:val="0"/>
        <w:spacing w:before="1" w:after="0" w:line="276" w:lineRule="auto"/>
        <w:outlineLvl w:val="0"/>
        <w:rPr>
          <w:rFonts w:ascii="Verdana" w:eastAsia="Arial" w:hAnsi="Verdana" w:cs="Arial"/>
          <w:b/>
          <w:bCs/>
          <w:lang w:val="es-ES"/>
        </w:rPr>
      </w:pPr>
      <w:r w:rsidRPr="00B045A8">
        <w:rPr>
          <w:rFonts w:ascii="Verdana" w:eastAsia="Arial" w:hAnsi="Verdana" w:cs="Arial"/>
          <w:b/>
          <w:bCs/>
          <w:lang w:val="es-ES"/>
        </w:rPr>
        <w:lastRenderedPageBreak/>
        <w:t>4.Referencias normativas, jurisprudenciales y otras fuentes:</w:t>
      </w:r>
    </w:p>
    <w:p w14:paraId="6C80DBB0" w14:textId="77777777" w:rsidR="00107C29" w:rsidRPr="00B045A8" w:rsidRDefault="00107C29" w:rsidP="00107C2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07C29" w:rsidRPr="00B045A8" w14:paraId="57DC8E0D" w14:textId="77777777" w:rsidTr="0036711D">
        <w:trPr>
          <w:trHeight w:val="870"/>
        </w:trPr>
        <w:tc>
          <w:tcPr>
            <w:tcW w:w="8647" w:type="dxa"/>
          </w:tcPr>
          <w:p w14:paraId="2678D897" w14:textId="77777777" w:rsidR="00107C29" w:rsidRPr="00B045A8" w:rsidRDefault="00107C29" w:rsidP="00107C29">
            <w:pPr>
              <w:widowControl w:val="0"/>
              <w:numPr>
                <w:ilvl w:val="0"/>
                <w:numId w:val="1"/>
              </w:numPr>
              <w:autoSpaceDE w:val="0"/>
              <w:autoSpaceDN w:val="0"/>
              <w:spacing w:after="120" w:line="276" w:lineRule="auto"/>
              <w:contextualSpacing/>
              <w:jc w:val="both"/>
              <w:rPr>
                <w:rFonts w:ascii="Verdana" w:hAnsi="Verdana" w:cs="Arial"/>
              </w:rPr>
            </w:pPr>
            <w:r w:rsidRPr="00B045A8">
              <w:rPr>
                <w:rFonts w:ascii="Verdana" w:hAnsi="Verdana" w:cs="Arial"/>
              </w:rPr>
              <w:t>Ley 1150 de 2007. Artículo 7</w:t>
            </w:r>
          </w:p>
          <w:p w14:paraId="0519D0D5" w14:textId="77777777" w:rsidR="00107C29" w:rsidRPr="00B045A8" w:rsidRDefault="00107C29" w:rsidP="00107C29">
            <w:pPr>
              <w:widowControl w:val="0"/>
              <w:numPr>
                <w:ilvl w:val="0"/>
                <w:numId w:val="1"/>
              </w:numPr>
              <w:autoSpaceDE w:val="0"/>
              <w:autoSpaceDN w:val="0"/>
              <w:spacing w:after="120" w:line="276" w:lineRule="auto"/>
              <w:contextualSpacing/>
              <w:jc w:val="both"/>
              <w:rPr>
                <w:rFonts w:ascii="Verdana" w:hAnsi="Verdana" w:cs="Arial"/>
              </w:rPr>
            </w:pPr>
            <w:r w:rsidRPr="00B045A8">
              <w:rPr>
                <w:rFonts w:ascii="Verdana" w:hAnsi="Verdana" w:cs="Arial"/>
              </w:rPr>
              <w:t>Decreto 1082 de 2015. Artículos 2.2.1.2.3.1.1. a 2.2.1.2.3.1.19</w:t>
            </w:r>
          </w:p>
          <w:p w14:paraId="4A6D22CA" w14:textId="77777777" w:rsidR="00107C29" w:rsidRPr="00B045A8" w:rsidRDefault="00107C29" w:rsidP="00107C29">
            <w:pPr>
              <w:widowControl w:val="0"/>
              <w:numPr>
                <w:ilvl w:val="0"/>
                <w:numId w:val="1"/>
              </w:numPr>
              <w:autoSpaceDE w:val="0"/>
              <w:autoSpaceDN w:val="0"/>
              <w:spacing w:after="120" w:line="276" w:lineRule="auto"/>
              <w:contextualSpacing/>
              <w:jc w:val="both"/>
              <w:rPr>
                <w:rFonts w:ascii="Verdana" w:hAnsi="Verdana" w:cs="Arial"/>
              </w:rPr>
            </w:pPr>
            <w:r w:rsidRPr="00B045A8">
              <w:rPr>
                <w:rFonts w:ascii="Verdana" w:hAnsi="Verdana" w:cs="Arial"/>
              </w:rPr>
              <w:t>Agencia Nacional de Contratación Pública – Colombia Compra Eficiente. “Guía para la Exigencia y Constitución de Garantías en los Procesos de Contratación”.</w:t>
            </w:r>
          </w:p>
        </w:tc>
      </w:tr>
    </w:tbl>
    <w:p w14:paraId="43426D6D" w14:textId="77777777" w:rsidR="00107C29" w:rsidRPr="00B045A8" w:rsidRDefault="00107C29" w:rsidP="00107C29">
      <w:pPr>
        <w:widowControl w:val="0"/>
        <w:autoSpaceDE w:val="0"/>
        <w:autoSpaceDN w:val="0"/>
        <w:spacing w:after="0" w:line="276" w:lineRule="auto"/>
        <w:jc w:val="both"/>
        <w:rPr>
          <w:rFonts w:ascii="Verdana" w:hAnsi="Verdana" w:cs="Arial"/>
        </w:rPr>
      </w:pPr>
    </w:p>
    <w:p w14:paraId="666CCD3B" w14:textId="77777777" w:rsidR="00107C29" w:rsidRPr="00B045A8" w:rsidRDefault="00107C29" w:rsidP="00107C29">
      <w:pPr>
        <w:widowControl w:val="0"/>
        <w:autoSpaceDE w:val="0"/>
        <w:autoSpaceDN w:val="0"/>
        <w:spacing w:before="1" w:after="0" w:line="276" w:lineRule="auto"/>
        <w:outlineLvl w:val="0"/>
        <w:rPr>
          <w:rFonts w:ascii="Verdana" w:eastAsia="Arial" w:hAnsi="Verdana" w:cs="Arial"/>
          <w:b/>
          <w:bCs/>
          <w:lang w:val="es-ES"/>
        </w:rPr>
      </w:pPr>
      <w:r w:rsidRPr="00B045A8">
        <w:rPr>
          <w:rFonts w:ascii="Verdana" w:eastAsia="Arial" w:hAnsi="Verdana" w:cs="Arial"/>
          <w:b/>
          <w:bCs/>
          <w:lang w:val="es-ES"/>
        </w:rPr>
        <w:t>5. Doctrina de la Agencia Nacional de Contratación Pública:</w:t>
      </w:r>
    </w:p>
    <w:p w14:paraId="770A3A14" w14:textId="77777777" w:rsidR="00107C29" w:rsidRPr="00B045A8" w:rsidRDefault="00107C29" w:rsidP="00107C29">
      <w:pPr>
        <w:widowControl w:val="0"/>
        <w:autoSpaceDE w:val="0"/>
        <w:autoSpaceDN w:val="0"/>
        <w:spacing w:after="0" w:line="276" w:lineRule="auto"/>
        <w:jc w:val="both"/>
        <w:rPr>
          <w:rFonts w:ascii="Verdana" w:hAnsi="Verdana" w:cs="Arial"/>
        </w:rPr>
      </w:pPr>
    </w:p>
    <w:p w14:paraId="5E6315D0" w14:textId="77777777" w:rsidR="00107C29" w:rsidRPr="00B045A8" w:rsidRDefault="00107C29" w:rsidP="00107C29">
      <w:pPr>
        <w:widowControl w:val="0"/>
        <w:autoSpaceDE w:val="0"/>
        <w:autoSpaceDN w:val="0"/>
        <w:spacing w:after="0" w:line="276" w:lineRule="auto"/>
        <w:jc w:val="both"/>
        <w:rPr>
          <w:rFonts w:ascii="Verdana" w:hAnsi="Verdana" w:cs="Arial"/>
          <w:shd w:val="clear" w:color="auto" w:fill="FFFFFF"/>
          <w:lang w:val="es-ES"/>
        </w:rPr>
      </w:pPr>
      <w:r w:rsidRPr="00B045A8">
        <w:rPr>
          <w:rFonts w:ascii="Verdana" w:hAnsi="Verdana" w:cs="Arial"/>
          <w:shd w:val="clear" w:color="auto" w:fill="FFFFFF"/>
          <w:lang w:val="es-ES"/>
        </w:rPr>
        <w:t>Esta Subdirección se ha pronunciado sobre el régimen de garantías en los Conceptos 2201913000009075 del 9 de diciembre de 2019, C-080 del 8 de abril de 2021, C-525 del 27 de septiembre de 2021, C-567 del 08 de octubre del 2021, C-036 del 28 de febrero del 2022, C-126 de 25 de marzo de 2022, C-583 del 19 de octubre de 2022, C-584 del 26 de septiembre de 2022, C-712 del 13 de octubre de 2022 y C-845 del 7 de diciembre de 2022, C-036 del 31 de marzo de 2023, C-386 del 31 de enero de 2024, C-306 del 12 de agosto de 2024, C-099 del 21 de febrero de 2025, C-1442 del 19 de noviembre de 2025, entre otros. Es</w:t>
      </w:r>
      <w:r w:rsidRPr="00B045A8">
        <w:rPr>
          <w:rFonts w:ascii="Verdana" w:hAnsi="Verdana"/>
        </w:rPr>
        <w:t>tos y otros conceptos se encuentran disponibles para consulta en el Sistema de relatoría de la Agencia, al cual se puede acceder a través del siguiente enlace:</w:t>
      </w:r>
      <w:r w:rsidRPr="00B045A8">
        <w:rPr>
          <w:rFonts w:ascii="Verdana" w:hAnsi="Verdana" w:cs="Arial"/>
          <w:shd w:val="clear" w:color="auto" w:fill="FFFFFF"/>
          <w:lang w:val="es-ES"/>
        </w:rPr>
        <w:t xml:space="preserve"> </w:t>
      </w:r>
      <w:hyperlink r:id="rId12" w:history="1">
        <w:r w:rsidRPr="00B045A8">
          <w:rPr>
            <w:rFonts w:ascii="Verdana" w:hAnsi="Verdana" w:cs="Arial"/>
            <w:color w:val="467886" w:themeColor="hyperlink"/>
            <w:u w:val="single"/>
            <w:shd w:val="clear" w:color="auto" w:fill="FFFFFF"/>
            <w:lang w:val="es-ES"/>
          </w:rPr>
          <w:t>https://relatoria.colombiacompra.gov.co/busqueda/conceptos</w:t>
        </w:r>
      </w:hyperlink>
      <w:r w:rsidRPr="00B045A8">
        <w:rPr>
          <w:rFonts w:ascii="Verdana" w:hAnsi="Verdana" w:cs="Arial"/>
          <w:shd w:val="clear" w:color="auto" w:fill="FFFFFF"/>
          <w:lang w:val="es-ES"/>
        </w:rPr>
        <w:t>.</w:t>
      </w:r>
    </w:p>
    <w:p w14:paraId="1A48B2D8" w14:textId="77777777" w:rsidR="00107C29" w:rsidRPr="00B045A8" w:rsidRDefault="00107C29" w:rsidP="00107C29">
      <w:pPr>
        <w:spacing w:before="120" w:after="0" w:line="276" w:lineRule="auto"/>
        <w:ind w:firstLine="708"/>
        <w:jc w:val="both"/>
        <w:rPr>
          <w:rFonts w:ascii="Verdana" w:eastAsia="Times New Roman" w:hAnsi="Verdana" w:cs="Times New Roman"/>
          <w:color w:val="000000"/>
          <w:lang w:eastAsia="es-CO"/>
        </w:rPr>
      </w:pPr>
      <w:r w:rsidRPr="00B045A8">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B045A8">
        <w:rPr>
          <w:rFonts w:ascii="Verdana" w:eastAsia="Times New Roman" w:hAnsi="Verdana" w:cs="Times New Roman"/>
          <w:b/>
          <w:bCs/>
          <w:color w:val="000000"/>
          <w:lang w:eastAsia="es-CO"/>
        </w:rPr>
        <w:t>Guía para la Exigencia y Constitución de Garantías en los Procesos de Contratación</w:t>
      </w:r>
      <w:r w:rsidRPr="00B045A8">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gtFrame="_blank" w:tooltip="Dirección URL original: https://www.colombiacompra.gov.co/archivos/manual/guia-de-garantias-en-procesos-de-contratacion. Haga clic o pulse si confía en este vínculo." w:history="1">
        <w:r w:rsidRPr="00B045A8">
          <w:rPr>
            <w:rStyle w:val="Hipervnculo"/>
            <w:rFonts w:ascii="Verdana" w:eastAsia="Times New Roman" w:hAnsi="Verdana" w:cs="Times New Roman"/>
            <w:lang w:eastAsia="es-CO"/>
          </w:rPr>
          <w:t>https://www.colombiacompra.gov.co/archivos/manual/guia-de-garantias-en-procesos-de-contratacion</w:t>
        </w:r>
      </w:hyperlink>
    </w:p>
    <w:p w14:paraId="7201B99E" w14:textId="77777777" w:rsidR="00107C29" w:rsidRPr="00B045A8" w:rsidRDefault="00107C29" w:rsidP="00107C29">
      <w:pPr>
        <w:spacing w:before="120" w:after="0" w:line="276" w:lineRule="auto"/>
        <w:ind w:firstLine="708"/>
        <w:jc w:val="both"/>
        <w:rPr>
          <w:rFonts w:ascii="Verdana" w:eastAsia="Times New Roman" w:hAnsi="Verdana" w:cs="Times New Roman"/>
          <w:color w:val="000000"/>
          <w:lang w:eastAsia="es-CO"/>
        </w:rPr>
      </w:pPr>
      <w:r w:rsidRPr="00B045A8">
        <w:rPr>
          <w:rFonts w:ascii="Verdana" w:eastAsia="Times New Roman" w:hAnsi="Verdana" w:cs="Times New Roman"/>
          <w:color w:val="000000"/>
          <w:lang w:eastAsia="es-CO"/>
        </w:rPr>
        <w:t xml:space="preserve">De otro lado, te contamos que el Decreto 287 del 19 de marzo de 2026 sustituyó los artículos 2.2.1.2.4.2.6., 2.2.1.2.4.2.7. y 2.2.1.2.4.2.8. del Decreto </w:t>
      </w:r>
      <w:r w:rsidRPr="00B045A8">
        <w:rPr>
          <w:rFonts w:ascii="Verdana" w:eastAsia="Times New Roman" w:hAnsi="Verdana" w:cs="Times New Roman"/>
          <w:color w:val="000000"/>
          <w:lang w:eastAsia="es-CO"/>
        </w:rPr>
        <w:lastRenderedPageBreak/>
        <w:t>1082 de 2015 y estructuró el </w:t>
      </w:r>
      <w:r w:rsidRPr="00B045A8">
        <w:rPr>
          <w:rFonts w:ascii="Verdana" w:eastAsia="Times New Roman" w:hAnsi="Verdana" w:cs="Times New Roman"/>
          <w:b/>
          <w:bCs/>
          <w:color w:val="000000"/>
          <w:lang w:eastAsia="es-CO"/>
        </w:rPr>
        <w:t>Sistema Integral de Preferencias en favor de las personas con discapacidad</w:t>
      </w:r>
      <w:r w:rsidRPr="00B045A8">
        <w:rPr>
          <w:rFonts w:ascii="Verdana" w:eastAsia="Times New Roman" w:hAnsi="Verdana" w:cs="Times New Roman"/>
          <w:color w:val="000000"/>
          <w:lang w:eastAsia="es-CO"/>
        </w:rPr>
        <w:t>, en cumplimiento del artículo 13 de la Ley Estatutaria 1618 de 2013. Para orientar su aplicación, esta Agencia expidió la </w:t>
      </w:r>
      <w:r w:rsidRPr="00B045A8">
        <w:rPr>
          <w:rFonts w:ascii="Verdana" w:eastAsia="Times New Roman" w:hAnsi="Verdana" w:cs="Times New Roman"/>
          <w:b/>
          <w:bCs/>
          <w:color w:val="000000"/>
          <w:lang w:eastAsia="es-CO"/>
        </w:rPr>
        <w:t>Circular Externa 003 del 12 de mayo de 2026, </w:t>
      </w:r>
      <w:r w:rsidRPr="00B045A8">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4" w:tgtFrame="_blank" w:tooltip="Dirección URL original: https://www.colombiacompra.gov.co/archivos/circular/circular-externa-003-de-2026. Haga clic o pulse si confía en este vínculo." w:history="1">
        <w:r w:rsidRPr="00B045A8">
          <w:rPr>
            <w:rStyle w:val="Hipervnculo"/>
            <w:rFonts w:ascii="Verdana" w:eastAsia="Times New Roman" w:hAnsi="Verdana" w:cs="Times New Roman"/>
            <w:lang w:eastAsia="es-CO"/>
          </w:rPr>
          <w:t>https://www.colombiacompra.gov.co/archivos/circular/circular-externa-003-de-2026</w:t>
        </w:r>
      </w:hyperlink>
    </w:p>
    <w:p w14:paraId="473AE898" w14:textId="77777777" w:rsidR="00107C29" w:rsidRPr="00B045A8" w:rsidRDefault="00107C29" w:rsidP="00107C29">
      <w:pPr>
        <w:spacing w:before="120" w:after="0" w:line="276" w:lineRule="auto"/>
        <w:ind w:firstLine="708"/>
        <w:jc w:val="both"/>
        <w:rPr>
          <w:rFonts w:ascii="Verdana" w:eastAsia="Times New Roman" w:hAnsi="Verdana" w:cs="Times New Roman"/>
          <w:color w:val="000000"/>
          <w:lang w:eastAsia="es-CO"/>
        </w:rPr>
      </w:pPr>
      <w:r w:rsidRPr="00B045A8">
        <w:rPr>
          <w:rFonts w:ascii="Verdana" w:eastAsia="Times New Roman" w:hAnsi="Verdana" w:cs="Times New Roman"/>
          <w:color w:val="000000"/>
          <w:lang w:eastAsia="es-CO"/>
        </w:rPr>
        <w:t>Recuerda también que la</w:t>
      </w:r>
      <w:r w:rsidRPr="00B045A8">
        <w:rPr>
          <w:rFonts w:ascii="Verdana" w:eastAsia="Times New Roman" w:hAnsi="Verdana" w:cs="Times New Roman"/>
          <w:b/>
          <w:bCs/>
          <w:color w:val="000000"/>
          <w:lang w:eastAsia="es-CO"/>
        </w:rPr>
        <w:t> información sobre sanciones e inhabilidades </w:t>
      </w:r>
      <w:r w:rsidRPr="00B045A8">
        <w:rPr>
          <w:rFonts w:ascii="Verdana" w:eastAsia="Times New Roman" w:hAnsi="Verdana" w:cs="Times New Roman"/>
          <w:color w:val="000000"/>
          <w:lang w:eastAsia="es-CO"/>
        </w:rPr>
        <w:t>solo cumple su función preventiva si llega oportunamente a los registros públicos. Sobre este deber, esta Agencia expidió la </w:t>
      </w:r>
      <w:r w:rsidRPr="00B045A8">
        <w:rPr>
          <w:rFonts w:ascii="Verdana" w:eastAsia="Times New Roman" w:hAnsi="Verdana" w:cs="Times New Roman"/>
          <w:b/>
          <w:bCs/>
          <w:color w:val="000000"/>
          <w:lang w:eastAsia="es-CO"/>
        </w:rPr>
        <w:t>Circular Externa 002 del 5 de mayo de 2026,</w:t>
      </w:r>
      <w:r w:rsidRPr="00B045A8">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Dirección URL original: https://www.colombiacompra.gov.co/archivos/circular/circular-externa-002-de-2026. Haga clic o pulse si confía en este vínculo." w:history="1">
        <w:r w:rsidRPr="00B045A8">
          <w:rPr>
            <w:rStyle w:val="Hipervnculo"/>
            <w:rFonts w:ascii="Verdana" w:eastAsia="Times New Roman" w:hAnsi="Verdana" w:cs="Times New Roman"/>
            <w:lang w:eastAsia="es-CO"/>
          </w:rPr>
          <w:t>https://www.colombiacompra.gov.co/archivos/circular/circular-externa-002-de-2026</w:t>
        </w:r>
      </w:hyperlink>
    </w:p>
    <w:p w14:paraId="39F9F559" w14:textId="77777777" w:rsidR="00107C29" w:rsidRPr="00B045A8" w:rsidRDefault="00107C29" w:rsidP="00107C29">
      <w:pPr>
        <w:spacing w:before="120" w:after="0" w:line="276" w:lineRule="auto"/>
        <w:ind w:firstLine="708"/>
        <w:jc w:val="both"/>
        <w:rPr>
          <w:rFonts w:ascii="Verdana" w:eastAsia="Times New Roman" w:hAnsi="Verdana" w:cs="Times New Roman"/>
          <w:color w:val="000000"/>
          <w:lang w:eastAsia="es-CO"/>
        </w:rPr>
      </w:pPr>
      <w:r w:rsidRPr="00B045A8">
        <w:rPr>
          <w:rFonts w:ascii="Verdana" w:eastAsia="Times New Roman" w:hAnsi="Verdana" w:cs="Times New Roman"/>
          <w:color w:val="000000"/>
          <w:lang w:eastAsia="es-CO"/>
        </w:rPr>
        <w:t>De otra parte, si quieres seguir de cerca la actividad de la Agencia, la tercera edición de 2026 del</w:t>
      </w:r>
      <w:r w:rsidRPr="00B045A8">
        <w:rPr>
          <w:rFonts w:ascii="Verdana" w:eastAsia="Times New Roman" w:hAnsi="Verdana" w:cs="Times New Roman"/>
          <w:b/>
          <w:bCs/>
          <w:color w:val="000000"/>
          <w:lang w:eastAsia="es-CO"/>
        </w:rPr>
        <w:t> Radar de la Compra Pública</w:t>
      </w:r>
      <w:r w:rsidRPr="00B045A8">
        <w:rPr>
          <w:rFonts w:ascii="Verdana" w:eastAsia="Times New Roman" w:hAnsi="Verdana"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history="1">
        <w:r w:rsidRPr="00B652C2">
          <w:rPr>
            <w:rStyle w:val="Hipervnculo"/>
            <w:rFonts w:ascii="Verdana" w:eastAsia="Times New Roman" w:hAnsi="Verdana" w:cs="Times New Roman"/>
            <w:lang w:eastAsia="es-CO"/>
          </w:rPr>
          <w:t>https://www.colombiacompra.gov.co/archivos/boletin/boletin-edicion-n-3-de-2026-radar-de-la-compra-publica</w:t>
        </w:r>
      </w:hyperlink>
      <w:r w:rsidRPr="00B045A8">
        <w:rPr>
          <w:rFonts w:ascii="Verdana" w:eastAsia="Times New Roman" w:hAnsi="Verdana" w:cs="Times New Roman"/>
          <w:color w:val="000000"/>
          <w:lang w:eastAsia="es-CO"/>
        </w:rPr>
        <w:t>"</w:t>
      </w:r>
    </w:p>
    <w:p w14:paraId="454620E9" w14:textId="77777777" w:rsidR="00107C29" w:rsidRDefault="00107C29" w:rsidP="00107C29">
      <w:pPr>
        <w:spacing w:after="0" w:line="240" w:lineRule="auto"/>
        <w:jc w:val="both"/>
        <w:rPr>
          <w:rFonts w:ascii="Verdana" w:hAnsi="Verdana"/>
        </w:rPr>
      </w:pPr>
    </w:p>
    <w:p w14:paraId="2E6972B9" w14:textId="77777777" w:rsidR="00107C29" w:rsidRPr="006263D8" w:rsidRDefault="00107C29" w:rsidP="00107C29">
      <w:pPr>
        <w:spacing w:after="0" w:line="240" w:lineRule="auto"/>
        <w:jc w:val="both"/>
        <w:rPr>
          <w:rFonts w:ascii="Verdana" w:hAnsi="Verdana"/>
        </w:rPr>
      </w:pPr>
      <w:r w:rsidRPr="006263D8">
        <w:rPr>
          <w:rFonts w:ascii="Verdana" w:hAnsi="Verdana"/>
        </w:rPr>
        <w:t xml:space="preserve">Por último, lo invitamos a seguirnos en las redes sociales en las cuales se difunde información institucional: </w:t>
      </w:r>
    </w:p>
    <w:p w14:paraId="1E62E226" w14:textId="77777777" w:rsidR="00107C29" w:rsidRPr="006263D8" w:rsidRDefault="00107C29" w:rsidP="00107C29">
      <w:pPr>
        <w:spacing w:after="0" w:line="240" w:lineRule="auto"/>
        <w:jc w:val="both"/>
        <w:rPr>
          <w:rFonts w:ascii="Verdana" w:hAnsi="Verdana"/>
        </w:rPr>
      </w:pPr>
    </w:p>
    <w:p w14:paraId="528A9575" w14:textId="77777777" w:rsidR="00107C29" w:rsidRPr="006263D8" w:rsidRDefault="00107C29" w:rsidP="00107C29">
      <w:pPr>
        <w:spacing w:after="0" w:line="240" w:lineRule="auto"/>
        <w:jc w:val="both"/>
        <w:rPr>
          <w:rFonts w:ascii="Verdana" w:hAnsi="Verdana"/>
        </w:rPr>
      </w:pPr>
      <w:r w:rsidRPr="006263D8">
        <w:rPr>
          <w:rFonts w:ascii="Verdana" w:hAnsi="Verdana"/>
        </w:rPr>
        <w:t xml:space="preserve">Twitter: </w:t>
      </w:r>
      <w:r w:rsidRPr="006263D8">
        <w:rPr>
          <w:rFonts w:ascii="Verdana" w:hAnsi="Verdana"/>
          <w:color w:val="156082" w:themeColor="accent1"/>
          <w:u w:val="single"/>
        </w:rPr>
        <w:t>@colombiacompra</w:t>
      </w:r>
      <w:r w:rsidRPr="006263D8">
        <w:rPr>
          <w:rFonts w:ascii="Verdana" w:hAnsi="Verdana"/>
          <w:color w:val="156082" w:themeColor="accent1"/>
        </w:rPr>
        <w:t xml:space="preserve"> </w:t>
      </w:r>
    </w:p>
    <w:p w14:paraId="2994988D" w14:textId="77777777" w:rsidR="00107C29" w:rsidRPr="006263D8" w:rsidRDefault="00107C29" w:rsidP="00107C29">
      <w:pPr>
        <w:spacing w:after="0" w:line="240" w:lineRule="auto"/>
        <w:jc w:val="both"/>
        <w:rPr>
          <w:rFonts w:ascii="Verdana" w:hAnsi="Verdana"/>
        </w:rPr>
      </w:pPr>
      <w:r w:rsidRPr="006263D8">
        <w:rPr>
          <w:rFonts w:ascii="Verdana" w:hAnsi="Verdana"/>
        </w:rPr>
        <w:t xml:space="preserve">Facebook: </w:t>
      </w:r>
      <w:r w:rsidRPr="006263D8">
        <w:rPr>
          <w:rFonts w:ascii="Verdana" w:hAnsi="Verdana"/>
          <w:color w:val="156082" w:themeColor="accent1"/>
          <w:u w:val="single"/>
        </w:rPr>
        <w:t>ColombiaCompraEficiente</w:t>
      </w:r>
    </w:p>
    <w:p w14:paraId="44AD140B" w14:textId="77777777" w:rsidR="00107C29" w:rsidRPr="006263D8" w:rsidRDefault="00107C29" w:rsidP="00107C29">
      <w:pPr>
        <w:spacing w:after="0" w:line="240" w:lineRule="auto"/>
        <w:jc w:val="both"/>
        <w:rPr>
          <w:rFonts w:ascii="Verdana" w:hAnsi="Verdana"/>
        </w:rPr>
      </w:pPr>
      <w:r w:rsidRPr="006263D8">
        <w:rPr>
          <w:rFonts w:ascii="Verdana" w:hAnsi="Verdana"/>
        </w:rPr>
        <w:t xml:space="preserve">LinkedIn: </w:t>
      </w:r>
      <w:r w:rsidRPr="006263D8">
        <w:rPr>
          <w:rFonts w:ascii="Verdana" w:hAnsi="Verdana"/>
          <w:color w:val="156082" w:themeColor="accent1"/>
          <w:u w:val="single"/>
        </w:rPr>
        <w:t>Agencia Nacional de Contratación Pública - Colombia Compra Eficiente</w:t>
      </w:r>
      <w:r w:rsidRPr="006263D8">
        <w:rPr>
          <w:rFonts w:ascii="Verdana" w:hAnsi="Verdana"/>
          <w:color w:val="156082" w:themeColor="accent1"/>
        </w:rPr>
        <w:t xml:space="preserve"> </w:t>
      </w:r>
      <w:r w:rsidRPr="006263D8">
        <w:rPr>
          <w:rFonts w:ascii="Verdana" w:hAnsi="Verdana"/>
        </w:rPr>
        <w:t xml:space="preserve">Instagram: </w:t>
      </w:r>
      <w:r w:rsidRPr="006263D8">
        <w:rPr>
          <w:rFonts w:ascii="Verdana" w:hAnsi="Verdana"/>
          <w:color w:val="156082" w:themeColor="accent1"/>
          <w:u w:val="single"/>
        </w:rPr>
        <w:t>@colombiacompraeficiente_cce</w:t>
      </w:r>
    </w:p>
    <w:p w14:paraId="3EE6B407" w14:textId="77777777" w:rsidR="00107C29" w:rsidRPr="006263D8" w:rsidRDefault="00107C29" w:rsidP="00107C29">
      <w:pPr>
        <w:widowControl w:val="0"/>
        <w:autoSpaceDE w:val="0"/>
        <w:autoSpaceDN w:val="0"/>
        <w:spacing w:after="0" w:line="276" w:lineRule="auto"/>
        <w:jc w:val="both"/>
        <w:rPr>
          <w:rFonts w:ascii="Verdana" w:hAnsi="Verdana" w:cs="Arial"/>
        </w:rPr>
      </w:pPr>
    </w:p>
    <w:p w14:paraId="339535B4" w14:textId="77777777" w:rsidR="00107C29" w:rsidRPr="006263D8" w:rsidRDefault="00107C29" w:rsidP="00107C29">
      <w:pPr>
        <w:widowControl w:val="0"/>
        <w:autoSpaceDE w:val="0"/>
        <w:autoSpaceDN w:val="0"/>
        <w:spacing w:after="0" w:line="276" w:lineRule="auto"/>
        <w:jc w:val="both"/>
        <w:rPr>
          <w:rFonts w:ascii="Verdana" w:hAnsi="Verdana" w:cs="Arial"/>
          <w:lang w:val="es-ES_tradnl"/>
        </w:rPr>
      </w:pPr>
      <w:r w:rsidRPr="006263D8">
        <w:rPr>
          <w:rFonts w:ascii="Verdana" w:hAnsi="Verdana" w:cs="Arial"/>
        </w:rPr>
        <w:lastRenderedPageBreak/>
        <w:t xml:space="preserve">Este concepto tiene el alcance previsto en el artículo 28 del Código de Procedimiento Administrativo y de lo Contencioso Administrativo </w:t>
      </w:r>
      <w:r w:rsidRPr="006263D8">
        <w:rPr>
          <w:rFonts w:ascii="Verdana" w:hAnsi="Verdana" w:cs="Arial"/>
          <w:lang w:val="es-ES_tradnl"/>
        </w:rPr>
        <w:t>y las expresiones aquí utilizadas con mayúscula inicial deben ser entendidas con el significado que les otorga el artículo 2.2.1.1.1.3.1. del Decreto 1082 de 2015.</w:t>
      </w:r>
    </w:p>
    <w:p w14:paraId="7E3A06F7" w14:textId="77777777" w:rsidR="00107C29" w:rsidRPr="006263D8" w:rsidRDefault="00107C29" w:rsidP="00107C29">
      <w:pPr>
        <w:widowControl w:val="0"/>
        <w:autoSpaceDE w:val="0"/>
        <w:autoSpaceDN w:val="0"/>
        <w:spacing w:after="0" w:line="276" w:lineRule="auto"/>
        <w:jc w:val="both"/>
        <w:rPr>
          <w:rFonts w:ascii="Verdana" w:hAnsi="Verdana" w:cs="Arial"/>
        </w:rPr>
      </w:pPr>
    </w:p>
    <w:p w14:paraId="132A2400" w14:textId="77777777" w:rsidR="00107C29" w:rsidRPr="006263D8" w:rsidRDefault="00107C29" w:rsidP="00107C29">
      <w:pPr>
        <w:spacing w:after="0" w:line="240" w:lineRule="auto"/>
        <w:rPr>
          <w:rFonts w:ascii="Verdana" w:hAnsi="Verdana" w:cs="Arial"/>
          <w:lang w:eastAsia="es-CO"/>
        </w:rPr>
      </w:pPr>
      <w:r w:rsidRPr="006263D8">
        <w:rPr>
          <w:rFonts w:ascii="Verdana" w:eastAsia="Times New Roman" w:hAnsi="Verdana" w:cs="Arial"/>
          <w:lang w:eastAsia="es-CO"/>
        </w:rPr>
        <w:t>Atentamente,</w:t>
      </w:r>
      <w:r w:rsidRPr="006263D8">
        <w:rPr>
          <w:rFonts w:ascii="Verdana" w:hAnsi="Verdana" w:cs="Arial"/>
          <w:lang w:eastAsia="es-CO"/>
        </w:rPr>
        <w:t xml:space="preserve"> </w:t>
      </w:r>
    </w:p>
    <w:p w14:paraId="52B3C7A0" w14:textId="1CC40833" w:rsidR="00107C29" w:rsidRPr="006263D8" w:rsidRDefault="00107C29" w:rsidP="00107C29">
      <w:pPr>
        <w:spacing w:line="276" w:lineRule="auto"/>
        <w:jc w:val="center"/>
        <w:rPr>
          <w:rFonts w:ascii="Verdana" w:hAnsi="Verdana" w:cs="Arial"/>
          <w:lang w:val="es-ES_tradnl" w:eastAsia="es-CO"/>
        </w:rPr>
      </w:pPr>
      <w:r w:rsidRPr="006263D8">
        <w:rPr>
          <w:rFonts w:ascii="Verdana" w:hAnsi="Verdana" w:cs="Arial"/>
          <w:lang w:eastAsia="es-CO"/>
        </w:rPr>
        <w:br/>
      </w:r>
      <w:r w:rsidR="00821997" w:rsidRPr="002C3AD6">
        <w:rPr>
          <w:rFonts w:ascii="Century Gothic" w:hAnsi="Century Gothic"/>
          <w:noProof/>
        </w:rPr>
        <w:drawing>
          <wp:inline distT="0" distB="0" distL="0" distR="0" wp14:anchorId="277B4A0C" wp14:editId="3FD466B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107C29" w:rsidRPr="006263D8" w14:paraId="23DDEE0A" w14:textId="77777777" w:rsidTr="0036711D">
        <w:trPr>
          <w:trHeight w:val="286"/>
        </w:trPr>
        <w:tc>
          <w:tcPr>
            <w:tcW w:w="901" w:type="dxa"/>
            <w:vAlign w:val="center"/>
            <w:hideMark/>
          </w:tcPr>
          <w:p w14:paraId="55FE24BC" w14:textId="77777777" w:rsidR="00107C29" w:rsidRPr="006263D8" w:rsidRDefault="00107C29" w:rsidP="0036711D">
            <w:pPr>
              <w:rPr>
                <w:rFonts w:ascii="Verdana" w:hAnsi="Verdana" w:cs="Arial"/>
                <w:sz w:val="14"/>
                <w:szCs w:val="14"/>
                <w:lang w:eastAsia="es-ES"/>
              </w:rPr>
            </w:pPr>
            <w:r w:rsidRPr="006263D8">
              <w:rPr>
                <w:rFonts w:ascii="Verdana"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11D41173" w14:textId="77777777" w:rsidR="00107C29" w:rsidRPr="006263D8" w:rsidRDefault="00107C29" w:rsidP="0036711D">
            <w:pPr>
              <w:rPr>
                <w:rFonts w:ascii="Verdana" w:hAnsi="Verdana" w:cs="Arial"/>
                <w:sz w:val="14"/>
                <w:szCs w:val="14"/>
                <w:lang w:eastAsia="es-ES"/>
              </w:rPr>
            </w:pPr>
            <w:r w:rsidRPr="006263D8">
              <w:rPr>
                <w:rFonts w:ascii="Verdana" w:hAnsi="Verdana" w:cs="Arial"/>
                <w:sz w:val="14"/>
                <w:szCs w:val="14"/>
                <w:lang w:eastAsia="es-ES"/>
              </w:rPr>
              <w:t>Nasly Yeana Mosquera Rivas</w:t>
            </w:r>
          </w:p>
          <w:p w14:paraId="0FAE1164" w14:textId="77777777" w:rsidR="00107C29" w:rsidRPr="006263D8" w:rsidRDefault="00107C29" w:rsidP="0036711D">
            <w:pPr>
              <w:rPr>
                <w:rFonts w:ascii="Verdana" w:hAnsi="Verdana" w:cs="Arial"/>
                <w:sz w:val="14"/>
                <w:szCs w:val="14"/>
                <w:lang w:eastAsia="es-ES"/>
              </w:rPr>
            </w:pPr>
            <w:r w:rsidRPr="006263D8">
              <w:rPr>
                <w:rFonts w:ascii="Verdana" w:hAnsi="Verdana" w:cs="Arial"/>
                <w:sz w:val="14"/>
                <w:szCs w:val="14"/>
                <w:lang w:eastAsia="es-ES"/>
              </w:rPr>
              <w:t>Analista T2–06 de la Subdirección de Gestión Contractual</w:t>
            </w:r>
          </w:p>
        </w:tc>
      </w:tr>
      <w:tr w:rsidR="00107C29" w:rsidRPr="006263D8" w14:paraId="718DF3BE" w14:textId="77777777" w:rsidTr="0036711D">
        <w:trPr>
          <w:trHeight w:val="299"/>
        </w:trPr>
        <w:tc>
          <w:tcPr>
            <w:tcW w:w="901" w:type="dxa"/>
            <w:vAlign w:val="center"/>
          </w:tcPr>
          <w:p w14:paraId="1401BEC4" w14:textId="77777777" w:rsidR="00107C29" w:rsidRPr="006263D8" w:rsidRDefault="00107C29" w:rsidP="0036711D">
            <w:pPr>
              <w:rPr>
                <w:rFonts w:ascii="Verdana" w:hAnsi="Verdana" w:cs="Arial"/>
                <w:sz w:val="14"/>
                <w:szCs w:val="14"/>
                <w:lang w:eastAsia="es-ES"/>
              </w:rPr>
            </w:pPr>
            <w:r w:rsidRPr="006263D8">
              <w:rPr>
                <w:rFonts w:ascii="Verdana"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22002378" w14:textId="77777777" w:rsidR="00107C29" w:rsidRPr="006263D8" w:rsidRDefault="00107C29" w:rsidP="0036711D">
            <w:pPr>
              <w:rPr>
                <w:rFonts w:ascii="Verdana" w:hAnsi="Verdana" w:cs="Arial"/>
                <w:sz w:val="14"/>
                <w:szCs w:val="14"/>
                <w:lang w:eastAsia="es-ES"/>
              </w:rPr>
            </w:pPr>
            <w:r w:rsidRPr="006263D8">
              <w:rPr>
                <w:rFonts w:ascii="Verdana" w:hAnsi="Verdana" w:cs="Arial"/>
                <w:sz w:val="14"/>
                <w:szCs w:val="14"/>
                <w:lang w:eastAsia="es-ES"/>
              </w:rPr>
              <w:t>Diana Lucía Saavedra Castañeda</w:t>
            </w:r>
          </w:p>
          <w:p w14:paraId="7A5D8A42" w14:textId="77777777" w:rsidR="00107C29" w:rsidRPr="006263D8" w:rsidRDefault="00107C29" w:rsidP="0036711D">
            <w:pPr>
              <w:rPr>
                <w:rFonts w:ascii="Verdana" w:hAnsi="Verdana" w:cs="Arial"/>
                <w:sz w:val="14"/>
                <w:szCs w:val="14"/>
                <w:lang w:eastAsia="es-ES"/>
              </w:rPr>
            </w:pPr>
            <w:r w:rsidRPr="006263D8">
              <w:rPr>
                <w:rFonts w:ascii="Verdana" w:hAnsi="Verdana" w:cs="Arial"/>
                <w:sz w:val="14"/>
                <w:szCs w:val="14"/>
                <w:lang w:eastAsia="es-ES"/>
              </w:rPr>
              <w:t>Contratista de la Subdirección de Gestión Contractual</w:t>
            </w:r>
          </w:p>
        </w:tc>
      </w:tr>
      <w:tr w:rsidR="00107C29" w:rsidRPr="006263D8" w14:paraId="398A8172" w14:textId="77777777" w:rsidTr="0036711D">
        <w:trPr>
          <w:trHeight w:val="272"/>
        </w:trPr>
        <w:tc>
          <w:tcPr>
            <w:tcW w:w="901" w:type="dxa"/>
            <w:vAlign w:val="center"/>
            <w:hideMark/>
          </w:tcPr>
          <w:p w14:paraId="6DCCC445" w14:textId="77777777" w:rsidR="00107C29" w:rsidRPr="006263D8" w:rsidRDefault="00107C29" w:rsidP="0036711D">
            <w:pPr>
              <w:rPr>
                <w:rFonts w:ascii="Verdana" w:hAnsi="Verdana" w:cs="Arial"/>
                <w:sz w:val="14"/>
                <w:szCs w:val="14"/>
                <w:lang w:eastAsia="es-ES"/>
              </w:rPr>
            </w:pPr>
            <w:r w:rsidRPr="006263D8">
              <w:rPr>
                <w:rFonts w:ascii="Verdana"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63927BD5" w14:textId="77777777" w:rsidR="00107C29" w:rsidRPr="006263D8" w:rsidRDefault="00107C29" w:rsidP="0036711D">
            <w:pPr>
              <w:rPr>
                <w:rFonts w:ascii="Verdana" w:hAnsi="Verdana" w:cs="Arial"/>
                <w:sz w:val="14"/>
                <w:szCs w:val="14"/>
                <w:lang w:eastAsia="es-ES"/>
              </w:rPr>
            </w:pPr>
            <w:r w:rsidRPr="006263D8">
              <w:rPr>
                <w:rFonts w:ascii="Verdana" w:hAnsi="Verdana" w:cs="Arial"/>
                <w:sz w:val="14"/>
                <w:szCs w:val="14"/>
                <w:lang w:eastAsia="es-ES"/>
              </w:rPr>
              <w:t>Carolina Quintero Gacharná</w:t>
            </w:r>
          </w:p>
          <w:p w14:paraId="05A58275" w14:textId="77777777" w:rsidR="00107C29" w:rsidRPr="006263D8" w:rsidRDefault="00107C29" w:rsidP="0036711D">
            <w:pPr>
              <w:rPr>
                <w:rFonts w:ascii="Verdana" w:hAnsi="Verdana" w:cs="Arial"/>
                <w:sz w:val="14"/>
                <w:szCs w:val="14"/>
                <w:lang w:eastAsia="es-ES"/>
              </w:rPr>
            </w:pPr>
            <w:r w:rsidRPr="006263D8">
              <w:rPr>
                <w:rFonts w:ascii="Verdana" w:hAnsi="Verdana" w:cs="Arial"/>
                <w:sz w:val="14"/>
                <w:szCs w:val="14"/>
                <w:lang w:eastAsia="es-ES"/>
              </w:rPr>
              <w:t>Subdirectora de Gestión Contractual ANCP – CCE</w:t>
            </w:r>
          </w:p>
        </w:tc>
      </w:tr>
    </w:tbl>
    <w:p w14:paraId="1194BC12" w14:textId="77777777" w:rsidR="00107C29" w:rsidRPr="006263D8" w:rsidRDefault="00107C29" w:rsidP="00107C29">
      <w:pPr>
        <w:spacing w:after="0" w:line="240" w:lineRule="auto"/>
        <w:rPr>
          <w:rFonts w:ascii="Verdana" w:eastAsia="Times New Roman" w:hAnsi="Verdana" w:cs="Arial"/>
          <w:sz w:val="24"/>
          <w:szCs w:val="24"/>
          <w:lang w:eastAsia="es-ES"/>
        </w:rPr>
      </w:pPr>
    </w:p>
    <w:p w14:paraId="11FFC739" w14:textId="77777777" w:rsidR="00107C29" w:rsidRPr="006263D8" w:rsidRDefault="00107C29" w:rsidP="00107C29">
      <w:pPr>
        <w:rPr>
          <w:rFonts w:ascii="Verdana" w:hAnsi="Verdana"/>
        </w:rPr>
      </w:pPr>
    </w:p>
    <w:p w14:paraId="1C8A9087" w14:textId="77777777" w:rsidR="00107C29" w:rsidRPr="006263D8" w:rsidRDefault="00107C29" w:rsidP="00107C29">
      <w:pPr>
        <w:rPr>
          <w:rFonts w:ascii="Verdana" w:hAnsi="Verdana"/>
        </w:rPr>
      </w:pPr>
    </w:p>
    <w:p w14:paraId="0AD75513" w14:textId="5770DD7A" w:rsidR="00107C29" w:rsidRPr="000E2B93" w:rsidRDefault="00107C29" w:rsidP="00107C29">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402C0E23" w14:textId="77777777" w:rsidR="00107C29" w:rsidRDefault="00107C29"/>
    <w:sectPr w:rsidR="00107C29" w:rsidSect="00107C29">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CE392" w14:textId="77777777" w:rsidR="002B350D" w:rsidRDefault="002B350D" w:rsidP="00107C29">
      <w:pPr>
        <w:spacing w:after="0" w:line="240" w:lineRule="auto"/>
      </w:pPr>
      <w:r>
        <w:separator/>
      </w:r>
    </w:p>
  </w:endnote>
  <w:endnote w:type="continuationSeparator" w:id="0">
    <w:p w14:paraId="7A444AF8" w14:textId="77777777" w:rsidR="002B350D" w:rsidRDefault="002B350D" w:rsidP="00107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3AF4B" w14:textId="77777777" w:rsidR="00107C29" w:rsidRDefault="00107C29">
    <w:pPr>
      <w:pStyle w:val="Piedepgina"/>
    </w:pPr>
  </w:p>
  <w:p w14:paraId="37E8B83F" w14:textId="77777777" w:rsidR="00107C29" w:rsidRPr="00174B77" w:rsidRDefault="00107C29"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75F12738" w14:textId="77777777" w:rsidR="00107C29" w:rsidRDefault="00107C29"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3F7A837C" w14:textId="77777777" w:rsidR="00107C29" w:rsidRPr="00E41027" w:rsidRDefault="00107C29"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5A12F480" w14:textId="77777777" w:rsidR="00107C29" w:rsidRDefault="00107C29"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938CF" w14:textId="77777777" w:rsidR="002B350D" w:rsidRDefault="002B350D" w:rsidP="00107C29">
      <w:pPr>
        <w:spacing w:after="0" w:line="240" w:lineRule="auto"/>
      </w:pPr>
      <w:r>
        <w:separator/>
      </w:r>
    </w:p>
  </w:footnote>
  <w:footnote w:type="continuationSeparator" w:id="0">
    <w:p w14:paraId="1F02DC49" w14:textId="77777777" w:rsidR="002B350D" w:rsidRDefault="002B350D" w:rsidP="00107C29">
      <w:pPr>
        <w:spacing w:after="0" w:line="240" w:lineRule="auto"/>
      </w:pPr>
      <w:r>
        <w:continuationSeparator/>
      </w:r>
    </w:p>
  </w:footnote>
  <w:footnote w:id="1">
    <w:p w14:paraId="5F9FA544" w14:textId="77777777" w:rsidR="00107C29" w:rsidRPr="007C255B" w:rsidRDefault="00107C29" w:rsidP="00107C29">
      <w:pPr>
        <w:pStyle w:val="Textonotapie"/>
        <w:ind w:firstLine="708"/>
        <w:jc w:val="both"/>
        <w:rPr>
          <w:rFonts w:ascii="Verdana" w:hAnsi="Verdana" w:cs="Arial"/>
          <w:sz w:val="18"/>
          <w:szCs w:val="18"/>
        </w:rPr>
      </w:pPr>
    </w:p>
  </w:footnote>
  <w:footnote w:id="2">
    <w:p w14:paraId="0A941E2A" w14:textId="77777777" w:rsidR="00107C29" w:rsidRPr="007C255B" w:rsidRDefault="00107C29" w:rsidP="00107C29">
      <w:pPr>
        <w:pStyle w:val="Textonotapie"/>
        <w:ind w:firstLine="708"/>
        <w:jc w:val="both"/>
        <w:rPr>
          <w:rFonts w:ascii="Verdana" w:hAnsi="Verdana" w:cs="Arial"/>
          <w:color w:val="000000" w:themeColor="text1"/>
          <w:sz w:val="18"/>
          <w:szCs w:val="18"/>
        </w:rPr>
      </w:pPr>
      <w:r w:rsidRPr="007C255B">
        <w:rPr>
          <w:rStyle w:val="Refdenotaalpie"/>
          <w:rFonts w:ascii="Verdana" w:hAnsi="Verdana" w:cs="Arial"/>
          <w:color w:val="000000" w:themeColor="text1"/>
          <w:sz w:val="18"/>
          <w:szCs w:val="18"/>
        </w:rPr>
        <w:footnoteRef/>
      </w:r>
      <w:r w:rsidRPr="007C255B">
        <w:rPr>
          <w:rFonts w:ascii="Verdana" w:hAnsi="Verdana" w:cs="Arial"/>
          <w:color w:val="000000" w:themeColor="text1"/>
          <w:sz w:val="18"/>
          <w:szCs w:val="18"/>
        </w:rPr>
        <w:t xml:space="preserve"> La norma citada dispone: </w:t>
      </w:r>
      <w:r>
        <w:rPr>
          <w:rFonts w:ascii="Verdana" w:hAnsi="Verdana" w:cs="Arial"/>
          <w:color w:val="000000" w:themeColor="text1"/>
          <w:sz w:val="18"/>
          <w:szCs w:val="18"/>
        </w:rPr>
        <w:t>“</w:t>
      </w:r>
      <w:r w:rsidRPr="007C255B">
        <w:rPr>
          <w:rFonts w:ascii="Verdana" w:hAnsi="Verdana" w:cs="Arial"/>
          <w:color w:val="000000" w:themeColor="text1"/>
          <w:sz w:val="18"/>
          <w:szCs w:val="18"/>
        </w:rPr>
        <w:t>Artículo 2.2.1.2.3.1.7. Garantía de cumplimiento. La garantía de cumplimiento del contrato debe cubrir:</w:t>
      </w:r>
    </w:p>
    <w:p w14:paraId="6F55D96B" w14:textId="77777777" w:rsidR="00107C29" w:rsidRPr="007C255B" w:rsidRDefault="00107C29" w:rsidP="00107C29">
      <w:pPr>
        <w:pStyle w:val="Textonotapie"/>
        <w:ind w:firstLine="708"/>
        <w:jc w:val="both"/>
        <w:rPr>
          <w:rFonts w:ascii="Verdana" w:hAnsi="Verdana" w:cs="Arial"/>
          <w:color w:val="000000" w:themeColor="text1"/>
          <w:sz w:val="18"/>
          <w:szCs w:val="18"/>
        </w:rPr>
      </w:pPr>
      <w:r w:rsidRPr="007C255B">
        <w:rPr>
          <w:rFonts w:ascii="Verdana" w:hAnsi="Verdana" w:cs="Arial"/>
          <w:color w:val="000000" w:themeColor="text1"/>
          <w:sz w:val="18"/>
          <w:szCs w:val="18"/>
        </w:rPr>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4B82C57F" w14:textId="77777777" w:rsidR="00107C29" w:rsidRPr="007C255B" w:rsidRDefault="00107C29" w:rsidP="00107C29">
      <w:pPr>
        <w:pStyle w:val="Textonotapie"/>
        <w:ind w:firstLine="708"/>
        <w:jc w:val="both"/>
        <w:rPr>
          <w:rFonts w:ascii="Verdana" w:hAnsi="Verdana" w:cs="Arial"/>
          <w:color w:val="000000" w:themeColor="text1"/>
          <w:sz w:val="18"/>
          <w:szCs w:val="18"/>
        </w:rPr>
      </w:pPr>
      <w:r w:rsidRPr="007C255B">
        <w:rPr>
          <w:rFonts w:ascii="Verdana" w:hAnsi="Verdana" w:cs="Arial"/>
          <w:color w:val="000000" w:themeColor="text1"/>
          <w:sz w:val="18"/>
          <w:szCs w:val="18"/>
        </w:rPr>
        <w:t>2.    Devolución del pago anticipado. Este amparo cubre los perjuicios sufridos por la Entidad Estatal por la no devolución total o parcial del dinero entregado al contratista a título de pago anticipado, cuando a ello hubiere lugar.</w:t>
      </w:r>
    </w:p>
    <w:p w14:paraId="72DF7B11" w14:textId="77777777" w:rsidR="00107C29" w:rsidRPr="007C255B" w:rsidRDefault="00107C29" w:rsidP="00107C29">
      <w:pPr>
        <w:pStyle w:val="Textonotapie"/>
        <w:ind w:firstLine="708"/>
        <w:jc w:val="both"/>
        <w:rPr>
          <w:rFonts w:ascii="Verdana" w:hAnsi="Verdana" w:cs="Arial"/>
          <w:color w:val="000000" w:themeColor="text1"/>
          <w:sz w:val="18"/>
          <w:szCs w:val="18"/>
        </w:rPr>
      </w:pPr>
      <w:r w:rsidRPr="007C255B">
        <w:rPr>
          <w:rFonts w:ascii="Verdana" w:hAnsi="Verdana" w:cs="Arial"/>
          <w:color w:val="000000" w:themeColor="text1"/>
          <w:sz w:val="18"/>
          <w:szCs w:val="18"/>
        </w:rPr>
        <w:t>3.    Cumplimiento del contrato. Este amparo cubre a la Entidad Estatal de los perjuicios derivados de:</w:t>
      </w:r>
    </w:p>
    <w:p w14:paraId="02812487" w14:textId="77777777" w:rsidR="00107C29" w:rsidRPr="007C255B" w:rsidRDefault="00107C29" w:rsidP="00107C29">
      <w:pPr>
        <w:pStyle w:val="Textonotapie"/>
        <w:ind w:firstLine="708"/>
        <w:jc w:val="both"/>
        <w:rPr>
          <w:rFonts w:ascii="Verdana" w:hAnsi="Verdana" w:cs="Arial"/>
          <w:color w:val="000000" w:themeColor="text1"/>
          <w:sz w:val="18"/>
          <w:szCs w:val="18"/>
        </w:rPr>
      </w:pPr>
      <w:r w:rsidRPr="007C255B">
        <w:rPr>
          <w:rFonts w:ascii="Verdana" w:hAnsi="Verdana" w:cs="Arial"/>
          <w:color w:val="000000" w:themeColor="text1"/>
          <w:sz w:val="18"/>
          <w:szCs w:val="18"/>
        </w:rPr>
        <w:t>3.1.   El incumplimiento total o parcial del contrato, cuando el incumplimiento es imputable al contratista;</w:t>
      </w:r>
    </w:p>
    <w:p w14:paraId="2F631181" w14:textId="77777777" w:rsidR="00107C29" w:rsidRPr="007C255B" w:rsidRDefault="00107C29" w:rsidP="00107C29">
      <w:pPr>
        <w:pStyle w:val="Textonotapie"/>
        <w:ind w:firstLine="708"/>
        <w:jc w:val="both"/>
        <w:rPr>
          <w:rFonts w:ascii="Verdana" w:hAnsi="Verdana" w:cs="Arial"/>
          <w:color w:val="000000" w:themeColor="text1"/>
          <w:sz w:val="18"/>
          <w:szCs w:val="18"/>
        </w:rPr>
      </w:pPr>
      <w:r w:rsidRPr="007C255B">
        <w:rPr>
          <w:rFonts w:ascii="Verdana" w:hAnsi="Verdana" w:cs="Arial"/>
          <w:color w:val="000000" w:themeColor="text1"/>
          <w:sz w:val="18"/>
          <w:szCs w:val="18"/>
        </w:rPr>
        <w:t>3.2.   El cumplimiento tardío o defectuoso del contrato, cuando el incumplimiento es imputable al contratista;</w:t>
      </w:r>
    </w:p>
    <w:p w14:paraId="06A36021" w14:textId="77777777" w:rsidR="00107C29" w:rsidRPr="007C255B" w:rsidRDefault="00107C29" w:rsidP="00107C29">
      <w:pPr>
        <w:pStyle w:val="Textonotapie"/>
        <w:ind w:firstLine="708"/>
        <w:jc w:val="both"/>
        <w:rPr>
          <w:rFonts w:ascii="Verdana" w:hAnsi="Verdana" w:cs="Arial"/>
          <w:color w:val="000000" w:themeColor="text1"/>
          <w:sz w:val="18"/>
          <w:szCs w:val="18"/>
        </w:rPr>
      </w:pPr>
      <w:r w:rsidRPr="007C255B">
        <w:rPr>
          <w:rFonts w:ascii="Verdana" w:hAnsi="Verdana" w:cs="Arial"/>
          <w:color w:val="000000" w:themeColor="text1"/>
          <w:sz w:val="18"/>
          <w:szCs w:val="18"/>
        </w:rPr>
        <w:t>3.3.   Los daños imputables al contratista por entregas parciales de la obra, cuando el contrato no prevé entregas parciales; y</w:t>
      </w:r>
    </w:p>
    <w:p w14:paraId="44AB896F" w14:textId="77777777" w:rsidR="00107C29" w:rsidRPr="007C255B" w:rsidRDefault="00107C29" w:rsidP="00107C29">
      <w:pPr>
        <w:pStyle w:val="Textonotapie"/>
        <w:ind w:firstLine="708"/>
        <w:jc w:val="both"/>
        <w:rPr>
          <w:rFonts w:ascii="Verdana" w:hAnsi="Verdana" w:cs="Arial"/>
          <w:color w:val="000000" w:themeColor="text1"/>
          <w:sz w:val="18"/>
          <w:szCs w:val="18"/>
        </w:rPr>
      </w:pPr>
      <w:r w:rsidRPr="007C255B">
        <w:rPr>
          <w:rFonts w:ascii="Verdana" w:hAnsi="Verdana" w:cs="Arial"/>
          <w:color w:val="000000" w:themeColor="text1"/>
          <w:sz w:val="18"/>
          <w:szCs w:val="18"/>
        </w:rPr>
        <w:t>3.4.   El pago del valor de las multas y de la cláusula penal pecuniaria.</w:t>
      </w:r>
    </w:p>
    <w:p w14:paraId="03C4510D" w14:textId="77777777" w:rsidR="00107C29" w:rsidRPr="007C255B" w:rsidRDefault="00107C29" w:rsidP="00107C29">
      <w:pPr>
        <w:pStyle w:val="Textonotapie"/>
        <w:ind w:firstLine="708"/>
        <w:jc w:val="both"/>
        <w:rPr>
          <w:rFonts w:ascii="Verdana" w:hAnsi="Verdana" w:cs="Arial"/>
          <w:color w:val="000000" w:themeColor="text1"/>
          <w:sz w:val="18"/>
          <w:szCs w:val="18"/>
        </w:rPr>
      </w:pPr>
      <w:r w:rsidRPr="007C255B">
        <w:rPr>
          <w:rFonts w:ascii="Verdana" w:hAnsi="Verdana" w:cs="Arial"/>
          <w:color w:val="000000" w:themeColor="text1"/>
          <w:sz w:val="18"/>
          <w:szCs w:val="18"/>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1D661E84" w14:textId="77777777" w:rsidR="00107C29" w:rsidRPr="007C255B" w:rsidRDefault="00107C29" w:rsidP="00107C29">
      <w:pPr>
        <w:pStyle w:val="Textonotapie"/>
        <w:ind w:firstLine="708"/>
        <w:jc w:val="both"/>
        <w:rPr>
          <w:rFonts w:ascii="Verdana" w:hAnsi="Verdana" w:cs="Arial"/>
          <w:color w:val="000000" w:themeColor="text1"/>
          <w:sz w:val="18"/>
          <w:szCs w:val="18"/>
        </w:rPr>
      </w:pPr>
      <w:r w:rsidRPr="007C255B">
        <w:rPr>
          <w:rFonts w:ascii="Verdana" w:hAnsi="Verdana" w:cs="Arial"/>
          <w:color w:val="000000" w:themeColor="text1"/>
          <w:sz w:val="18"/>
          <w:szCs w:val="18"/>
        </w:rPr>
        <w:t>La Entidad Estatal no debe exigir una garantía para cubrir este Riesgo en los contratos que se ejecuten fuera del territorio nacional con personal contratado bajo un régimen jurídico distinto al colombiano.</w:t>
      </w:r>
    </w:p>
    <w:p w14:paraId="71AD69AB" w14:textId="77777777" w:rsidR="00107C29" w:rsidRPr="007C255B" w:rsidRDefault="00107C29" w:rsidP="00107C29">
      <w:pPr>
        <w:pStyle w:val="Textonotapie"/>
        <w:ind w:firstLine="708"/>
        <w:jc w:val="both"/>
        <w:rPr>
          <w:rFonts w:ascii="Verdana" w:hAnsi="Verdana" w:cs="Arial"/>
          <w:color w:val="000000" w:themeColor="text1"/>
          <w:sz w:val="18"/>
          <w:szCs w:val="18"/>
        </w:rPr>
      </w:pPr>
      <w:r w:rsidRPr="007C255B">
        <w:rPr>
          <w:rFonts w:ascii="Verdana" w:hAnsi="Verdana" w:cs="Arial"/>
          <w:color w:val="000000" w:themeColor="text1"/>
          <w:sz w:val="18"/>
          <w:szCs w:val="18"/>
        </w:rPr>
        <w:t>5.    Estabilidad y calidad de la obra. Este amparo cubre a la Entidad Estatal de los perjuicios ocasionados por cualquier tipo de daño o deterioro, imputable al contratista, sufrido por la obra entregada a satisfacción.</w:t>
      </w:r>
    </w:p>
    <w:p w14:paraId="24BBBC69" w14:textId="77777777" w:rsidR="00107C29" w:rsidRPr="007C255B" w:rsidRDefault="00107C29" w:rsidP="00107C29">
      <w:pPr>
        <w:pStyle w:val="Textonotapie"/>
        <w:ind w:firstLine="708"/>
        <w:jc w:val="both"/>
        <w:rPr>
          <w:rFonts w:ascii="Verdana" w:hAnsi="Verdana" w:cs="Arial"/>
          <w:color w:val="000000" w:themeColor="text1"/>
          <w:sz w:val="18"/>
          <w:szCs w:val="18"/>
        </w:rPr>
      </w:pPr>
      <w:r w:rsidRPr="007C255B">
        <w:rPr>
          <w:rFonts w:ascii="Verdana" w:hAnsi="Verdana" w:cs="Arial"/>
          <w:color w:val="000000" w:themeColor="text1"/>
          <w:sz w:val="18"/>
          <w:szCs w:val="18"/>
        </w:rPr>
        <w:t>6.    Calidad del servicio. Este amparo cubre a la Entidad Estatal por los perjuicios deri­vados de la deficiente calidad del servicio prestado.</w:t>
      </w:r>
    </w:p>
    <w:p w14:paraId="5137C237" w14:textId="77777777" w:rsidR="00107C29" w:rsidRPr="007C255B" w:rsidRDefault="00107C29" w:rsidP="00107C29">
      <w:pPr>
        <w:pStyle w:val="Textonotapie"/>
        <w:ind w:firstLine="708"/>
        <w:jc w:val="both"/>
        <w:rPr>
          <w:rFonts w:ascii="Verdana" w:hAnsi="Verdana" w:cs="Arial"/>
          <w:color w:val="000000" w:themeColor="text1"/>
          <w:sz w:val="18"/>
          <w:szCs w:val="18"/>
        </w:rPr>
      </w:pPr>
      <w:r w:rsidRPr="007C255B">
        <w:rPr>
          <w:rFonts w:ascii="Verdana" w:hAnsi="Verdana" w:cs="Arial"/>
          <w:color w:val="000000" w:themeColor="text1"/>
          <w:sz w:val="18"/>
          <w:szCs w:val="18"/>
        </w:rPr>
        <w:t>7.    Calidad y correcto funcionamiento de los bienes. Este amparo debe cubrir la calidad y el correcto funcionamiento de los bienes que recibe la Entidad Estatal en cumplimiento de un contrato.</w:t>
      </w:r>
    </w:p>
    <w:p w14:paraId="6322890D" w14:textId="77777777" w:rsidR="00107C29" w:rsidRPr="007C255B" w:rsidRDefault="00107C29" w:rsidP="00107C29">
      <w:pPr>
        <w:pStyle w:val="Textonotapie"/>
        <w:ind w:firstLine="708"/>
        <w:jc w:val="both"/>
        <w:rPr>
          <w:rFonts w:ascii="Verdana" w:hAnsi="Verdana" w:cs="Arial"/>
          <w:color w:val="000000" w:themeColor="text1"/>
          <w:sz w:val="18"/>
          <w:szCs w:val="18"/>
        </w:rPr>
      </w:pPr>
      <w:r w:rsidRPr="007C255B">
        <w:rPr>
          <w:rFonts w:ascii="Verdana" w:hAnsi="Verdana" w:cs="Arial"/>
          <w:color w:val="000000" w:themeColor="text1"/>
          <w:sz w:val="18"/>
          <w:szCs w:val="18"/>
        </w:rPr>
        <w:t>8.    Los demás incumplimientos de obligaciones que la Entidad Estatal considere deben ser amparados de manera proporcional y acorde a la naturaleza del contrato</w:t>
      </w:r>
      <w:r>
        <w:rPr>
          <w:rFonts w:ascii="Verdana" w:hAnsi="Verdana" w:cs="Arial"/>
          <w:color w:val="000000" w:themeColor="text1"/>
          <w:sz w:val="18"/>
          <w:szCs w:val="18"/>
        </w:rPr>
        <w:t>”</w:t>
      </w:r>
      <w:r w:rsidRPr="007C255B">
        <w:rPr>
          <w:rFonts w:ascii="Verdana" w:hAnsi="Verdana" w:cs="Arial"/>
          <w:color w:val="000000" w:themeColor="text1"/>
          <w:sz w:val="18"/>
          <w:szCs w:val="18"/>
        </w:rPr>
        <w:t>.</w:t>
      </w:r>
    </w:p>
  </w:footnote>
  <w:footnote w:id="3">
    <w:p w14:paraId="3EF0A618" w14:textId="77777777" w:rsidR="00107C29" w:rsidRPr="007C255B" w:rsidRDefault="00107C29" w:rsidP="00107C29">
      <w:pPr>
        <w:pStyle w:val="Textonotapie"/>
        <w:ind w:firstLine="708"/>
        <w:jc w:val="both"/>
        <w:rPr>
          <w:rFonts w:ascii="Verdana" w:hAnsi="Verdana"/>
          <w:sz w:val="18"/>
          <w:szCs w:val="18"/>
          <w:lang w:val="es-CO"/>
        </w:rPr>
      </w:pPr>
      <w:r w:rsidRPr="007C255B">
        <w:rPr>
          <w:rStyle w:val="Refdenotaalpie"/>
          <w:rFonts w:ascii="Verdana" w:hAnsi="Verdana"/>
          <w:sz w:val="18"/>
          <w:szCs w:val="18"/>
        </w:rPr>
        <w:footnoteRef/>
      </w:r>
      <w:r w:rsidRPr="007C255B">
        <w:rPr>
          <w:rFonts w:ascii="Verdana" w:hAnsi="Verdana"/>
          <w:sz w:val="18"/>
          <w:szCs w:val="18"/>
        </w:rPr>
        <w:t xml:space="preserve"> </w:t>
      </w:r>
      <w:r w:rsidRPr="007C255B">
        <w:rPr>
          <w:rFonts w:ascii="Verdana" w:hAnsi="Verdana"/>
          <w:sz w:val="18"/>
          <w:szCs w:val="18"/>
          <w:lang w:val="es-CO"/>
        </w:rPr>
        <w:t>Artículo 2.2.1.2.3.1.8. </w:t>
      </w:r>
      <w:r w:rsidRPr="007C255B">
        <w:rPr>
          <w:rFonts w:ascii="Verdana" w:hAnsi="Verdana"/>
          <w:i/>
          <w:iCs/>
          <w:sz w:val="18"/>
          <w:szCs w:val="18"/>
          <w:lang w:val="es-CO"/>
        </w:rPr>
        <w:t>Cubrimiento de la responsabilidad civil extracontractual. </w:t>
      </w:r>
      <w:r w:rsidRPr="007C255B">
        <w:rPr>
          <w:rFonts w:ascii="Verdana" w:hAnsi="Verdana"/>
          <w:sz w:val="18"/>
          <w:szCs w:val="18"/>
          <w:lang w:val="es-CO"/>
        </w:rPr>
        <w:t>La Entidad Estatal debe exigir en los contratos de obra, y en aquellos en que por su objeto o naturaleza lo considere necesario con ocasión de los Riesgos del contrato, el otorgamiento de una póliza de responsabilidad civil extracontractual que la proteja de eventuales reclamaciones de terceros derivadas de la responsabilidad extracontractual que surja de las actuaciones, hechos u omisiones de su contratista.</w:t>
      </w:r>
    </w:p>
    <w:p w14:paraId="3120AF8D" w14:textId="77777777" w:rsidR="00107C29" w:rsidRPr="007C255B" w:rsidRDefault="00107C29" w:rsidP="00107C29">
      <w:pPr>
        <w:pStyle w:val="Textonotapie"/>
        <w:ind w:firstLine="708"/>
        <w:jc w:val="both"/>
        <w:rPr>
          <w:rFonts w:ascii="Verdana" w:hAnsi="Verdana"/>
          <w:sz w:val="18"/>
          <w:szCs w:val="18"/>
          <w:lang w:val="es-CO"/>
        </w:rPr>
      </w:pPr>
      <w:r w:rsidRPr="007C255B">
        <w:rPr>
          <w:rFonts w:ascii="Verdana" w:hAnsi="Verdana"/>
          <w:sz w:val="18"/>
          <w:szCs w:val="18"/>
          <w:lang w:val="es-CO"/>
        </w:rPr>
        <w:t>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p>
    <w:p w14:paraId="4DFB7CFA" w14:textId="77777777" w:rsidR="00107C29" w:rsidRPr="007C255B" w:rsidRDefault="00107C29" w:rsidP="00107C29">
      <w:pPr>
        <w:pStyle w:val="Textonotapie"/>
        <w:ind w:firstLine="708"/>
        <w:jc w:val="both"/>
        <w:rPr>
          <w:rFonts w:ascii="Verdana" w:hAnsi="Verdana"/>
          <w:sz w:val="18"/>
          <w:szCs w:val="18"/>
          <w:lang w:val="es-CO"/>
        </w:rPr>
      </w:pPr>
    </w:p>
  </w:footnote>
  <w:footnote w:id="4">
    <w:p w14:paraId="43F66AF9" w14:textId="77777777" w:rsidR="00107C29" w:rsidRDefault="00107C29" w:rsidP="00107C29">
      <w:pPr>
        <w:spacing w:after="0" w:line="240" w:lineRule="auto"/>
        <w:ind w:firstLine="708"/>
        <w:jc w:val="both"/>
        <w:rPr>
          <w:rFonts w:ascii="Verdana" w:hAnsi="Verdana" w:cs="Arial"/>
          <w:color w:val="000000" w:themeColor="text1"/>
          <w:sz w:val="18"/>
          <w:szCs w:val="18"/>
          <w:shd w:val="clear" w:color="auto" w:fill="FFFFFF"/>
        </w:rPr>
      </w:pPr>
      <w:r w:rsidRPr="007C255B">
        <w:rPr>
          <w:rStyle w:val="Refdenotaalpie"/>
          <w:rFonts w:ascii="Verdana" w:hAnsi="Verdana" w:cs="Arial"/>
          <w:color w:val="000000" w:themeColor="text1"/>
          <w:sz w:val="18"/>
          <w:szCs w:val="18"/>
        </w:rPr>
        <w:footnoteRef/>
      </w:r>
      <w:r w:rsidRPr="007C255B">
        <w:rPr>
          <w:rFonts w:ascii="Verdana" w:hAnsi="Verdana" w:cs="Arial"/>
          <w:color w:val="000000" w:themeColor="text1"/>
          <w:sz w:val="18"/>
          <w:szCs w:val="18"/>
        </w:rPr>
        <w:t xml:space="preserve"> Decreto 1082 de 2015: “Artículo</w:t>
      </w:r>
      <w:r w:rsidRPr="007C255B">
        <w:rPr>
          <w:rFonts w:ascii="Verdana" w:hAnsi="Verdana" w:cs="Arial"/>
          <w:color w:val="000000" w:themeColor="text1"/>
          <w:sz w:val="18"/>
          <w:szCs w:val="18"/>
          <w:shd w:val="clear" w:color="auto" w:fill="FFFFFF"/>
        </w:rPr>
        <w:t> </w:t>
      </w:r>
      <w:bookmarkStart w:id="4" w:name="2.2.1.2.3.1.5"/>
      <w:bookmarkEnd w:id="4"/>
      <w:r w:rsidRPr="007C255B">
        <w:rPr>
          <w:rFonts w:ascii="Verdana" w:hAnsi="Verdana" w:cs="Arial"/>
          <w:color w:val="000000" w:themeColor="text1"/>
          <w:sz w:val="18"/>
          <w:szCs w:val="18"/>
          <w:shd w:val="clear" w:color="auto" w:fill="FFFFFF"/>
        </w:rPr>
        <w:t>2.2.1.2.3.1.5. </w:t>
      </w:r>
      <w:r w:rsidRPr="007C255B">
        <w:rPr>
          <w:rFonts w:ascii="Verdana" w:hAnsi="Verdana" w:cs="Arial"/>
          <w:i/>
          <w:iCs/>
          <w:color w:val="000000" w:themeColor="text1"/>
          <w:sz w:val="18"/>
          <w:szCs w:val="18"/>
          <w:shd w:val="clear" w:color="auto" w:fill="FFFFFF"/>
        </w:rPr>
        <w:t>Cobertura del Riesgo de responsabilidad civil extracontractual. </w:t>
      </w:r>
      <w:r w:rsidRPr="007C255B">
        <w:rPr>
          <w:rFonts w:ascii="Verdana" w:hAnsi="Verdana" w:cs="Arial"/>
          <w:color w:val="000000" w:themeColor="text1"/>
          <w:sz w:val="18"/>
          <w:szCs w:val="18"/>
          <w:shd w:val="clear" w:color="auto" w:fill="FFFFFF"/>
        </w:rPr>
        <w:t>La responsabilidad extracontractual de la administración derivada de las actuaciones, hechos u omisiones de sus contratistas o subcontratistas solamente puede ser amparada con un contrato de seguro”.</w:t>
      </w:r>
    </w:p>
    <w:p w14:paraId="5F72985D" w14:textId="77777777" w:rsidR="00107C29" w:rsidRPr="007C255B" w:rsidRDefault="00107C29" w:rsidP="00107C29">
      <w:pPr>
        <w:spacing w:after="0" w:line="240" w:lineRule="auto"/>
        <w:ind w:firstLine="708"/>
        <w:jc w:val="both"/>
        <w:rPr>
          <w:rFonts w:ascii="Verdana" w:hAnsi="Verdana" w:cs="Arial"/>
          <w:color w:val="000000" w:themeColor="text1"/>
          <w:sz w:val="18"/>
          <w:szCs w:val="18"/>
          <w:shd w:val="clear" w:color="auto" w:fill="FFFFFF"/>
        </w:rPr>
      </w:pPr>
    </w:p>
  </w:footnote>
  <w:footnote w:id="5">
    <w:p w14:paraId="4A4C13AE" w14:textId="77777777" w:rsidR="00107C29" w:rsidRPr="007C255B" w:rsidRDefault="00107C29" w:rsidP="00107C29">
      <w:pPr>
        <w:shd w:val="clear" w:color="auto" w:fill="FFFFFF"/>
        <w:spacing w:after="0" w:line="240" w:lineRule="auto"/>
        <w:ind w:firstLine="709"/>
        <w:jc w:val="both"/>
        <w:rPr>
          <w:rFonts w:ascii="Verdana" w:eastAsia="Times New Roman" w:hAnsi="Verdana" w:cs="Arial"/>
          <w:color w:val="000000" w:themeColor="text1"/>
          <w:sz w:val="18"/>
          <w:szCs w:val="18"/>
          <w:lang w:eastAsia="es-CO"/>
        </w:rPr>
      </w:pPr>
      <w:r w:rsidRPr="007C255B">
        <w:rPr>
          <w:rStyle w:val="Refdenotaalpie"/>
          <w:rFonts w:ascii="Verdana" w:hAnsi="Verdana" w:cs="Arial"/>
          <w:color w:val="000000" w:themeColor="text1"/>
          <w:sz w:val="18"/>
          <w:szCs w:val="18"/>
        </w:rPr>
        <w:footnoteRef/>
      </w:r>
      <w:r w:rsidRPr="007C255B">
        <w:rPr>
          <w:rFonts w:ascii="Verdana" w:hAnsi="Verdana" w:cs="Arial"/>
          <w:color w:val="000000" w:themeColor="text1"/>
          <w:sz w:val="18"/>
          <w:szCs w:val="18"/>
        </w:rPr>
        <w:t xml:space="preserve"> Decreto 1082 de 2015: “Artículo</w:t>
      </w:r>
      <w:r w:rsidRPr="007C255B">
        <w:rPr>
          <w:rFonts w:ascii="Verdana" w:eastAsia="Times New Roman" w:hAnsi="Verdana" w:cs="Arial"/>
          <w:color w:val="000000" w:themeColor="text1"/>
          <w:sz w:val="18"/>
          <w:szCs w:val="18"/>
          <w:lang w:eastAsia="es-CO"/>
        </w:rPr>
        <w:t> </w:t>
      </w:r>
      <w:bookmarkStart w:id="5" w:name="2.2.1.2.3.1.8"/>
      <w:bookmarkEnd w:id="5"/>
      <w:r w:rsidRPr="007C255B">
        <w:rPr>
          <w:rFonts w:ascii="Verdana" w:eastAsia="Times New Roman" w:hAnsi="Verdana" w:cs="Arial"/>
          <w:color w:val="000000" w:themeColor="text1"/>
          <w:sz w:val="18"/>
          <w:szCs w:val="18"/>
          <w:lang w:eastAsia="es-CO"/>
        </w:rPr>
        <w:t>2.2.1.2.3.1.8.</w:t>
      </w:r>
      <w:r w:rsidRPr="007C255B">
        <w:rPr>
          <w:rFonts w:ascii="Verdana" w:eastAsia="Times New Roman" w:hAnsi="Verdana" w:cs="Arial"/>
          <w:i/>
          <w:iCs/>
          <w:color w:val="000000" w:themeColor="text1"/>
          <w:sz w:val="18"/>
          <w:szCs w:val="18"/>
          <w:lang w:eastAsia="es-CO"/>
        </w:rPr>
        <w:t> Cubrimiento de la responsabilidad civil extracontractual.</w:t>
      </w:r>
      <w:r w:rsidRPr="007C255B">
        <w:rPr>
          <w:rFonts w:ascii="Verdana" w:eastAsia="Times New Roman" w:hAnsi="Verdana" w:cs="Arial"/>
          <w:color w:val="000000" w:themeColor="text1"/>
          <w:sz w:val="18"/>
          <w:szCs w:val="18"/>
          <w:lang w:eastAsia="es-CO"/>
        </w:rPr>
        <w:t> La Entidad Estatal debe exigir en los contratos de obra, y en aquellos en que por su objeto o naturaleza lo considere necesario con ocasión de los Riesgos del contrato, el otorgamiento de una póliza de responsabilidad civil extracontractual que la proteja de eventuales reclamaciones de terceros derivadas de la responsabilidad extracontractual que surja de las actuaciones, hechos u omisiones de su contratista.</w:t>
      </w:r>
    </w:p>
    <w:p w14:paraId="639BE9A1" w14:textId="77777777" w:rsidR="00107C29" w:rsidRPr="007C255B" w:rsidRDefault="00107C29" w:rsidP="00107C29">
      <w:pPr>
        <w:shd w:val="clear" w:color="auto" w:fill="FFFFFF"/>
        <w:spacing w:after="0" w:line="240" w:lineRule="auto"/>
        <w:ind w:firstLine="709"/>
        <w:jc w:val="both"/>
        <w:rPr>
          <w:rFonts w:ascii="Verdana" w:eastAsia="Times New Roman" w:hAnsi="Verdana" w:cs="Arial"/>
          <w:color w:val="000000" w:themeColor="text1"/>
          <w:sz w:val="18"/>
          <w:szCs w:val="18"/>
          <w:lang w:eastAsia="es-CO"/>
        </w:rPr>
      </w:pPr>
      <w:r w:rsidRPr="007C255B">
        <w:rPr>
          <w:rFonts w:ascii="Verdana" w:eastAsia="Times New Roman" w:hAnsi="Verdana" w:cs="Arial"/>
          <w:color w:val="000000" w:themeColor="text1"/>
          <w:sz w:val="18"/>
          <w:szCs w:val="18"/>
          <w:lang w:eastAsia="es-CO"/>
        </w:rPr>
        <w:t>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p>
  </w:footnote>
  <w:footnote w:id="6">
    <w:p w14:paraId="6F5EA325" w14:textId="77777777" w:rsidR="00107C29" w:rsidRPr="007C255B" w:rsidRDefault="00107C29" w:rsidP="00107C29">
      <w:pPr>
        <w:pStyle w:val="Textonotapie"/>
        <w:jc w:val="both"/>
        <w:rPr>
          <w:rFonts w:ascii="Verdana" w:hAnsi="Verdana"/>
          <w:sz w:val="18"/>
          <w:szCs w:val="18"/>
        </w:rPr>
      </w:pPr>
    </w:p>
    <w:p w14:paraId="1CA5C498" w14:textId="77777777" w:rsidR="00107C29" w:rsidRPr="007C255B" w:rsidRDefault="00107C29" w:rsidP="00107C29">
      <w:pPr>
        <w:pStyle w:val="Textonotapie"/>
        <w:ind w:firstLine="708"/>
        <w:jc w:val="both"/>
        <w:rPr>
          <w:rFonts w:ascii="Verdana" w:hAnsi="Verdana"/>
          <w:sz w:val="18"/>
          <w:szCs w:val="18"/>
        </w:rPr>
      </w:pPr>
      <w:r w:rsidRPr="007C255B">
        <w:rPr>
          <w:rStyle w:val="Refdenotaalpie"/>
          <w:rFonts w:ascii="Verdana" w:hAnsi="Verdana"/>
          <w:sz w:val="18"/>
          <w:szCs w:val="18"/>
        </w:rPr>
        <w:footnoteRef/>
      </w:r>
      <w:r w:rsidRPr="007C255B">
        <w:rPr>
          <w:rFonts w:ascii="Verdana" w:hAnsi="Verdana"/>
          <w:sz w:val="18"/>
          <w:szCs w:val="18"/>
        </w:rPr>
        <w:t xml:space="preserve"> Este instrumento se encuentra disponible para su consulta en el siguiente enlace: </w:t>
      </w:r>
      <w:hyperlink r:id="rId1" w:history="1">
        <w:r w:rsidRPr="007C255B">
          <w:rPr>
            <w:rStyle w:val="Hipervnculo"/>
            <w:rFonts w:ascii="Verdana" w:hAnsi="Verdana"/>
            <w:sz w:val="18"/>
            <w:szCs w:val="18"/>
          </w:rPr>
          <w:t>https://www.colombiacompra.gov.co/archivos/manual/guia-de-garantias-en-procesos-de-contratacion</w:t>
        </w:r>
      </w:hyperlink>
    </w:p>
    <w:p w14:paraId="1E73C254" w14:textId="77777777" w:rsidR="00107C29" w:rsidRPr="007C255B" w:rsidRDefault="00107C29" w:rsidP="00107C29">
      <w:pPr>
        <w:pStyle w:val="Textonotapie"/>
        <w:ind w:firstLine="708"/>
        <w:jc w:val="both"/>
        <w:rPr>
          <w:rFonts w:ascii="Verdana" w:hAnsi="Verdana"/>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2D274" w14:textId="77777777" w:rsidR="00107C29" w:rsidRDefault="00107C29"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9270166" wp14:editId="186D9626">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F25FF74" wp14:editId="2FC5E23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3807FFC" w14:textId="77777777" w:rsidR="00107C29" w:rsidRDefault="00107C29">
    <w:pPr>
      <w:pStyle w:val="Encabezado"/>
    </w:pPr>
  </w:p>
  <w:p w14:paraId="03BACA35" w14:textId="77777777" w:rsidR="00107C29" w:rsidRPr="004A305D" w:rsidRDefault="00107C29" w:rsidP="00B01B1A">
    <w:pPr>
      <w:spacing w:after="0" w:line="120" w:lineRule="auto"/>
      <w:rPr>
        <w:rFonts w:ascii="Century Gothic" w:eastAsia="Geo" w:hAnsi="Century Gothic" w:cs="Geo"/>
        <w:sz w:val="16"/>
        <w:szCs w:val="16"/>
        <w:lang w:eastAsia="es-CO"/>
      </w:rPr>
    </w:pPr>
  </w:p>
  <w:p w14:paraId="2FEBF6B2" w14:textId="77777777" w:rsidR="00107C29" w:rsidRDefault="00107C29" w:rsidP="00844AE9">
    <w:pPr>
      <w:spacing w:after="0" w:line="240" w:lineRule="auto"/>
      <w:rPr>
        <w:rFonts w:ascii="Verdana" w:hAnsi="Verdana"/>
        <w:sz w:val="24"/>
        <w:szCs w:val="24"/>
      </w:rPr>
    </w:pPr>
  </w:p>
  <w:p w14:paraId="0A63E149" w14:textId="77777777" w:rsidR="00107C29" w:rsidRPr="00C925AC" w:rsidRDefault="00107C29" w:rsidP="00844AE9">
    <w:pPr>
      <w:spacing w:after="0" w:line="240" w:lineRule="auto"/>
      <w:rPr>
        <w:rFonts w:ascii="Verdana" w:hAnsi="Verdana"/>
        <w:sz w:val="24"/>
        <w:szCs w:val="24"/>
      </w:rPr>
    </w:pPr>
  </w:p>
  <w:p w14:paraId="34C66019" w14:textId="77777777" w:rsidR="00107C29" w:rsidRPr="00C925AC" w:rsidRDefault="00107C29"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31E96"/>
    <w:multiLevelType w:val="hybridMultilevel"/>
    <w:tmpl w:val="E2E409EC"/>
    <w:lvl w:ilvl="0" w:tplc="28B6193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1"/>
  </w:num>
  <w:num w:numId="2" w16cid:durableId="2111586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C29"/>
    <w:rsid w:val="00107C29"/>
    <w:rsid w:val="001F6A0C"/>
    <w:rsid w:val="00283E43"/>
    <w:rsid w:val="002B350D"/>
    <w:rsid w:val="004E056E"/>
    <w:rsid w:val="00821997"/>
    <w:rsid w:val="00A97744"/>
    <w:rsid w:val="00C971E1"/>
    <w:rsid w:val="00D3207D"/>
    <w:rsid w:val="00D477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C9EAF"/>
  <w15:chartTrackingRefBased/>
  <w15:docId w15:val="{A47EFB78-2054-40E8-B200-E312A3E8B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C29"/>
    <w:pPr>
      <w:spacing w:line="259" w:lineRule="auto"/>
    </w:pPr>
    <w:rPr>
      <w:kern w:val="0"/>
      <w:sz w:val="22"/>
      <w:szCs w:val="22"/>
      <w14:ligatures w14:val="none"/>
    </w:rPr>
  </w:style>
  <w:style w:type="paragraph" w:styleId="Ttulo1">
    <w:name w:val="heading 1"/>
    <w:basedOn w:val="Normal"/>
    <w:next w:val="Normal"/>
    <w:link w:val="Ttulo1Car"/>
    <w:uiPriority w:val="9"/>
    <w:qFormat/>
    <w:rsid w:val="00107C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07C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07C2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7C2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7C2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7C2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7C2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7C2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7C2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07C2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07C2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07C2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7C2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7C2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7C2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7C2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7C2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7C29"/>
    <w:rPr>
      <w:rFonts w:eastAsiaTheme="majorEastAsia" w:cstheme="majorBidi"/>
      <w:color w:val="272727" w:themeColor="text1" w:themeTint="D8"/>
    </w:rPr>
  </w:style>
  <w:style w:type="paragraph" w:styleId="Ttulo">
    <w:name w:val="Title"/>
    <w:basedOn w:val="Normal"/>
    <w:next w:val="Normal"/>
    <w:link w:val="TtuloCar"/>
    <w:uiPriority w:val="10"/>
    <w:qFormat/>
    <w:rsid w:val="00107C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7C2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7C2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7C2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7C29"/>
    <w:pPr>
      <w:spacing w:before="160"/>
      <w:jc w:val="center"/>
    </w:pPr>
    <w:rPr>
      <w:i/>
      <w:iCs/>
      <w:color w:val="404040" w:themeColor="text1" w:themeTint="BF"/>
    </w:rPr>
  </w:style>
  <w:style w:type="character" w:customStyle="1" w:styleId="CitaCar">
    <w:name w:val="Cita Car"/>
    <w:basedOn w:val="Fuentedeprrafopredeter"/>
    <w:link w:val="Cita"/>
    <w:uiPriority w:val="29"/>
    <w:rsid w:val="00107C29"/>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107C29"/>
    <w:pPr>
      <w:ind w:left="720"/>
      <w:contextualSpacing/>
    </w:pPr>
  </w:style>
  <w:style w:type="character" w:styleId="nfasisintenso">
    <w:name w:val="Intense Emphasis"/>
    <w:basedOn w:val="Fuentedeprrafopredeter"/>
    <w:uiPriority w:val="21"/>
    <w:qFormat/>
    <w:rsid w:val="00107C29"/>
    <w:rPr>
      <w:i/>
      <w:iCs/>
      <w:color w:val="0F4761" w:themeColor="accent1" w:themeShade="BF"/>
    </w:rPr>
  </w:style>
  <w:style w:type="paragraph" w:styleId="Citadestacada">
    <w:name w:val="Intense Quote"/>
    <w:basedOn w:val="Normal"/>
    <w:next w:val="Normal"/>
    <w:link w:val="CitadestacadaCar"/>
    <w:uiPriority w:val="30"/>
    <w:qFormat/>
    <w:rsid w:val="00107C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7C29"/>
    <w:rPr>
      <w:i/>
      <w:iCs/>
      <w:color w:val="0F4761" w:themeColor="accent1" w:themeShade="BF"/>
    </w:rPr>
  </w:style>
  <w:style w:type="character" w:styleId="Referenciaintensa">
    <w:name w:val="Intense Reference"/>
    <w:basedOn w:val="Fuentedeprrafopredeter"/>
    <w:uiPriority w:val="32"/>
    <w:qFormat/>
    <w:rsid w:val="00107C29"/>
    <w:rPr>
      <w:b/>
      <w:bCs/>
      <w:smallCaps/>
      <w:color w:val="0F4761" w:themeColor="accent1" w:themeShade="BF"/>
      <w:spacing w:val="5"/>
    </w:rPr>
  </w:style>
  <w:style w:type="paragraph" w:styleId="Encabezado">
    <w:name w:val="header"/>
    <w:basedOn w:val="Normal"/>
    <w:link w:val="EncabezadoCar"/>
    <w:uiPriority w:val="99"/>
    <w:unhideWhenUsed/>
    <w:rsid w:val="00107C2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07C29"/>
    <w:rPr>
      <w:kern w:val="0"/>
      <w:sz w:val="22"/>
      <w:szCs w:val="22"/>
      <w14:ligatures w14:val="none"/>
    </w:rPr>
  </w:style>
  <w:style w:type="paragraph" w:styleId="Piedepgina">
    <w:name w:val="footer"/>
    <w:basedOn w:val="Normal"/>
    <w:link w:val="PiedepginaCar"/>
    <w:uiPriority w:val="99"/>
    <w:unhideWhenUsed/>
    <w:rsid w:val="00107C2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07C29"/>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07C2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07C29"/>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107C29"/>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107C29"/>
    <w:rPr>
      <w:vertAlign w:val="superscript"/>
    </w:rPr>
  </w:style>
  <w:style w:type="table" w:styleId="Tablaconcuadrcula">
    <w:name w:val="Table Grid"/>
    <w:basedOn w:val="Tablanormal"/>
    <w:uiPriority w:val="39"/>
    <w:qFormat/>
    <w:rsid w:val="00107C2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07C29"/>
    <w:rPr>
      <w:color w:val="0000FF"/>
      <w:u w:val="single"/>
    </w:rPr>
  </w:style>
  <w:style w:type="paragraph" w:customStyle="1" w:styleId="Appelnotedebasde">
    <w:name w:val="Appel note de bas de..."/>
    <w:basedOn w:val="Normal"/>
    <w:link w:val="Refdenotaalpie"/>
    <w:uiPriority w:val="99"/>
    <w:rsid w:val="00107C29"/>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07C29"/>
  </w:style>
  <w:style w:type="table" w:customStyle="1" w:styleId="Tablaconcuadrcula11">
    <w:name w:val="Tabla con cuadrícula11"/>
    <w:basedOn w:val="Tablanormal"/>
    <w:next w:val="Tablaconcuadrcula"/>
    <w:uiPriority w:val="59"/>
    <w:qFormat/>
    <w:rsid w:val="00107C2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archivos/boletin/boletin-edicion-n-3-de-2026-radar-de-la-compra-publi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brinez@bomberosbogota.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guia-de-garantias-en-procesos-de-contratac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_Flow_SignoffStatus xmlns="9d85dbaf-23eb-4e57-a637-93dcacc8b1a1" xsi:nil="true"/>
    <lcf76f155ced4ddcb4097134ff3c332f xmlns="9d85dbaf-23eb-4e57-a637-93dcacc8b1a1">
      <Terms xmlns="http://schemas.microsoft.com/office/infopath/2007/PartnerControls"/>
    </lcf76f155ced4ddcb4097134ff3c332f>
    <TaxCatchAll xmlns="a6cb9e4b-f1d1-4245-83ec-6cad768d538a" xsi:nil="true"/>
  </documentManagement>
</p:properties>
</file>

<file path=customXml/itemProps1.xml><?xml version="1.0" encoding="utf-8"?>
<ds:datastoreItem xmlns:ds="http://schemas.openxmlformats.org/officeDocument/2006/customXml" ds:itemID="{000DF8D9-DCBD-44AD-AC88-A56FF2E2D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109EFC-C19D-47A2-95F9-3FADE6C66146}">
  <ds:schemaRefs>
    <ds:schemaRef ds:uri="http://schemas.microsoft.com/sharepoint/v3/contenttype/forms"/>
  </ds:schemaRefs>
</ds:datastoreItem>
</file>

<file path=customXml/itemProps3.xml><?xml version="1.0" encoding="utf-8"?>
<ds:datastoreItem xmlns:ds="http://schemas.openxmlformats.org/officeDocument/2006/customXml" ds:itemID="{5329D1E7-D0AF-489D-83C1-0B1ADAAB70A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15</Pages>
  <Words>4995</Words>
  <Characters>27477</Characters>
  <Application>Microsoft Office Word</Application>
  <DocSecurity>0</DocSecurity>
  <Lines>228</Lines>
  <Paragraphs>64</Paragraphs>
  <ScaleCrop>false</ScaleCrop>
  <Company/>
  <LinksUpToDate>false</LinksUpToDate>
  <CharactersWithSpaces>32408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6</cp:revision>
  <dcterms:created xsi:type="dcterms:W3CDTF">2026-10-16T13:21:00Z</dcterms:created>
  <dcterms:modified xsi:type="dcterms:W3CDTF">2026-10-16T13:27:00Z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