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9DE343" w14:textId="77777777" w:rsidR="00277859" w:rsidRPr="00277859" w:rsidRDefault="00277859" w:rsidP="00277859">
      <w:pPr>
        <w:adjustRightInd w:val="0"/>
        <w:snapToGrid w:val="0"/>
        <w:spacing w:after="0" w:line="240" w:lineRule="auto"/>
        <w:contextualSpacing/>
        <w:jc w:val="both"/>
        <w:rPr>
          <w:rFonts w:ascii="Verdana" w:hAnsi="Verdana" w:cs="Arial"/>
          <w:b/>
          <w:bCs/>
          <w:lang w:val="es-ES"/>
        </w:rPr>
      </w:pPr>
      <w:r w:rsidRPr="00277859">
        <w:rPr>
          <w:rFonts w:ascii="Verdana" w:hAnsi="Verdana" w:cs="Arial"/>
          <w:b/>
          <w:bCs/>
          <w:lang w:val="es-ES"/>
        </w:rPr>
        <w:t>INHABILIDADES – Taxatividad – Principio de legalidad – Interpretación restrictiva</w:t>
      </w:r>
    </w:p>
    <w:p w14:paraId="791A86E0" w14:textId="77777777" w:rsidR="00277859" w:rsidRDefault="00277859" w:rsidP="00277859">
      <w:pPr>
        <w:adjustRightInd w:val="0"/>
        <w:snapToGrid w:val="0"/>
        <w:spacing w:after="0" w:line="240" w:lineRule="auto"/>
        <w:contextualSpacing/>
        <w:jc w:val="both"/>
        <w:rPr>
          <w:rFonts w:ascii="Verdana" w:eastAsia="Calibri" w:hAnsi="Verdana" w:cs="Arial"/>
          <w:sz w:val="20"/>
          <w:szCs w:val="20"/>
          <w:lang w:val="es-ES"/>
        </w:rPr>
      </w:pPr>
    </w:p>
    <w:p w14:paraId="585B8C35" w14:textId="4CDA9888" w:rsidR="00277859" w:rsidRPr="00277859" w:rsidRDefault="00277859" w:rsidP="00277859">
      <w:pPr>
        <w:adjustRightInd w:val="0"/>
        <w:snapToGrid w:val="0"/>
        <w:spacing w:after="0" w:line="240" w:lineRule="auto"/>
        <w:contextualSpacing/>
        <w:jc w:val="both"/>
        <w:rPr>
          <w:rFonts w:ascii="Verdana" w:eastAsia="Calibri" w:hAnsi="Verdana" w:cs="Arial"/>
          <w:sz w:val="20"/>
          <w:szCs w:val="20"/>
          <w:lang w:val="es-ES"/>
        </w:rPr>
      </w:pPr>
      <w:r w:rsidRPr="00277859">
        <w:rPr>
          <w:rFonts w:ascii="Verdana" w:eastAsia="Calibri" w:hAnsi="Verdana" w:cs="Arial"/>
          <w:sz w:val="20"/>
          <w:szCs w:val="20"/>
          <w:lang w:val="es-ES"/>
        </w:rPr>
        <w:t>Tal como ha sostenido esta Agencia</w:t>
      </w:r>
      <w:r w:rsidRPr="00277859">
        <w:rPr>
          <w:rFonts w:ascii="Verdana" w:eastAsia="Calibri" w:hAnsi="Verdana" w:cs="Arial"/>
          <w:sz w:val="20"/>
          <w:szCs w:val="20"/>
          <w:lang w:val="es-ES"/>
        </w:rPr>
        <w:t xml:space="preserve"> […]</w:t>
      </w:r>
      <w:r w:rsidRPr="00277859">
        <w:rPr>
          <w:rFonts w:ascii="Verdana" w:eastAsia="Calibri" w:hAnsi="Verdana" w:cs="Arial"/>
          <w:sz w:val="20"/>
          <w:szCs w:val="20"/>
          <w:lang w:val="es-ES"/>
        </w:rPr>
        <w:t xml:space="preserve">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277859">
        <w:rPr>
          <w:rFonts w:ascii="Verdana" w:eastAsia="Calibri" w:hAnsi="Verdana" w:cs="Arial"/>
          <w:i/>
          <w:iCs/>
          <w:sz w:val="20"/>
          <w:szCs w:val="20"/>
          <w:u w:val="single"/>
          <w:lang w:val="es-ES"/>
        </w:rPr>
        <w:t>restrictiva</w:t>
      </w:r>
      <w:r w:rsidRPr="00277859">
        <w:rPr>
          <w:rFonts w:ascii="Verdana" w:eastAsia="Calibri" w:hAnsi="Verdana" w:cs="Arial"/>
          <w:i/>
          <w:iCs/>
          <w:sz w:val="20"/>
          <w:szCs w:val="20"/>
          <w:lang w:val="es-ES"/>
        </w:rPr>
        <w:t xml:space="preserve">, </w:t>
      </w:r>
      <w:r w:rsidRPr="00277859">
        <w:rPr>
          <w:rFonts w:ascii="Verdana" w:eastAsia="Calibri" w:hAnsi="Verdana" w:cs="Arial"/>
          <w:sz w:val="20"/>
          <w:szCs w:val="20"/>
          <w:lang w:val="es-ES"/>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46B0EFC2" w14:textId="77777777" w:rsidR="00277859" w:rsidRDefault="00277859" w:rsidP="00277859">
      <w:pPr>
        <w:adjustRightInd w:val="0"/>
        <w:snapToGrid w:val="0"/>
        <w:spacing w:after="0" w:line="240" w:lineRule="auto"/>
        <w:contextualSpacing/>
        <w:jc w:val="both"/>
        <w:rPr>
          <w:rFonts w:ascii="Verdana" w:eastAsia="Calibri" w:hAnsi="Verdana" w:cs="Arial"/>
          <w:sz w:val="20"/>
          <w:szCs w:val="20"/>
          <w:lang w:val="es-ES"/>
        </w:rPr>
      </w:pPr>
    </w:p>
    <w:p w14:paraId="4B1EAFDC" w14:textId="27054AA2" w:rsidR="00277859" w:rsidRPr="00277859" w:rsidRDefault="00277859" w:rsidP="00277859">
      <w:pPr>
        <w:adjustRightInd w:val="0"/>
        <w:snapToGrid w:val="0"/>
        <w:spacing w:after="0" w:line="240" w:lineRule="auto"/>
        <w:contextualSpacing/>
        <w:jc w:val="both"/>
        <w:rPr>
          <w:rFonts w:ascii="Verdana" w:eastAsia="Calibri" w:hAnsi="Verdana" w:cs="Arial"/>
          <w:sz w:val="20"/>
          <w:szCs w:val="20"/>
          <w:lang w:val="es-ES"/>
        </w:rPr>
      </w:pPr>
      <w:r w:rsidRPr="00277859">
        <w:rPr>
          <w:rFonts w:ascii="Verdana" w:eastAsia="Calibri" w:hAnsi="Verdana" w:cs="Arial"/>
          <w:sz w:val="20"/>
          <w:szCs w:val="20"/>
          <w:lang w:val="es-ES"/>
        </w:rPr>
        <w:t xml:space="preserve">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 </w:t>
      </w:r>
    </w:p>
    <w:p w14:paraId="65F08CEF" w14:textId="77777777" w:rsidR="00277859" w:rsidRPr="00277859" w:rsidRDefault="00277859" w:rsidP="00277859">
      <w:pPr>
        <w:adjustRightInd w:val="0"/>
        <w:snapToGrid w:val="0"/>
        <w:spacing w:after="0" w:line="240" w:lineRule="auto"/>
        <w:contextualSpacing/>
        <w:jc w:val="both"/>
        <w:rPr>
          <w:rFonts w:ascii="Verdana" w:hAnsi="Verdana" w:cs="Arial"/>
          <w:sz w:val="20"/>
          <w:szCs w:val="20"/>
          <w:lang w:val="es-ES"/>
        </w:rPr>
      </w:pPr>
    </w:p>
    <w:p w14:paraId="55C50C95" w14:textId="77777777" w:rsidR="00277859" w:rsidRDefault="00277859" w:rsidP="00277859">
      <w:pPr>
        <w:adjustRightInd w:val="0"/>
        <w:snapToGrid w:val="0"/>
        <w:contextualSpacing/>
        <w:jc w:val="both"/>
        <w:rPr>
          <w:rFonts w:ascii="Verdana" w:hAnsi="Verdana" w:cs="Arial"/>
          <w:b/>
          <w:bCs/>
          <w:lang w:val="es-ES"/>
        </w:rPr>
      </w:pPr>
      <w:r w:rsidRPr="00277859">
        <w:rPr>
          <w:rFonts w:ascii="Verdana" w:hAnsi="Verdana" w:cs="Arial"/>
          <w:b/>
          <w:bCs/>
          <w:lang w:val="es-ES"/>
        </w:rPr>
        <w:t>INHABILIDADES E INCOMPATIBILIDADES – Ley 80 de 1993 – Artículo 8 – Numeral 1 – Literal g) y h)</w:t>
      </w:r>
    </w:p>
    <w:p w14:paraId="14F25A2B" w14:textId="77777777" w:rsidR="00277859" w:rsidRPr="00277859" w:rsidRDefault="00277859" w:rsidP="00277859">
      <w:pPr>
        <w:adjustRightInd w:val="0"/>
        <w:snapToGrid w:val="0"/>
        <w:spacing w:after="0" w:line="240" w:lineRule="auto"/>
        <w:contextualSpacing/>
        <w:jc w:val="both"/>
        <w:rPr>
          <w:rFonts w:ascii="Verdana" w:hAnsi="Verdana" w:cs="Arial"/>
          <w:b/>
          <w:bCs/>
          <w:lang w:val="es-ES"/>
        </w:rPr>
      </w:pPr>
    </w:p>
    <w:p w14:paraId="44BD2422" w14:textId="77777777" w:rsidR="00277859" w:rsidRDefault="00277859" w:rsidP="00277859">
      <w:pPr>
        <w:adjustRightInd w:val="0"/>
        <w:snapToGrid w:val="0"/>
        <w:contextualSpacing/>
        <w:jc w:val="both"/>
        <w:rPr>
          <w:rFonts w:ascii="Verdana" w:hAnsi="Verdana" w:cs="Arial"/>
          <w:color w:val="000000" w:themeColor="text1"/>
          <w:sz w:val="20"/>
          <w:szCs w:val="20"/>
          <w:lang w:val="es-ES"/>
        </w:rPr>
      </w:pPr>
      <w:r w:rsidRPr="00277859">
        <w:rPr>
          <w:rFonts w:ascii="Verdana" w:hAnsi="Verdana" w:cs="Arial"/>
          <w:color w:val="000000" w:themeColor="text1"/>
          <w:sz w:val="20"/>
          <w:szCs w:val="20"/>
          <w:lang w:val="es-ES"/>
        </w:rPr>
        <w:t>El régimen de inhabilidades e incompatibilidades es de carácter taxativo y de interpretación restrictiva, por lo que solo procede su aplicación cuando el supuesto de hecho se subsume en alguna de las causales previstas expresamente en la Constitución o en la ley. Para el caso objeto de consulta, ni la Constitución ni la ley prevén actualmente una causal cuyo supuesto de hecho configure la inhabilidad de quien es socio de dos sociedades distintas que presentan propuesta en un mismo proceso de contratación.</w:t>
      </w:r>
    </w:p>
    <w:p w14:paraId="5B9124B9" w14:textId="77777777" w:rsidR="00277859" w:rsidRPr="00277859" w:rsidRDefault="00277859" w:rsidP="00277859">
      <w:pPr>
        <w:adjustRightInd w:val="0"/>
        <w:snapToGrid w:val="0"/>
        <w:spacing w:after="0" w:line="240" w:lineRule="auto"/>
        <w:contextualSpacing/>
        <w:jc w:val="both"/>
        <w:rPr>
          <w:rFonts w:ascii="Verdana" w:hAnsi="Verdana" w:cs="Arial"/>
          <w:color w:val="000000" w:themeColor="text1"/>
          <w:sz w:val="20"/>
          <w:szCs w:val="20"/>
          <w:lang w:val="es-ES"/>
        </w:rPr>
      </w:pPr>
    </w:p>
    <w:p w14:paraId="27200AFD" w14:textId="77777777" w:rsidR="00277859" w:rsidRPr="00277859" w:rsidRDefault="00277859" w:rsidP="00277859">
      <w:pPr>
        <w:adjustRightInd w:val="0"/>
        <w:snapToGrid w:val="0"/>
        <w:spacing w:after="0" w:line="240" w:lineRule="auto"/>
        <w:contextualSpacing/>
        <w:jc w:val="both"/>
        <w:rPr>
          <w:rFonts w:ascii="Verdana" w:hAnsi="Verdana" w:cs="Arial"/>
          <w:color w:val="000000" w:themeColor="text1"/>
          <w:sz w:val="20"/>
          <w:szCs w:val="20"/>
          <w:lang w:val="es-ES"/>
        </w:rPr>
      </w:pPr>
      <w:r w:rsidRPr="00277859">
        <w:rPr>
          <w:rFonts w:ascii="Verdana" w:hAnsi="Verdana" w:cs="Arial"/>
          <w:color w:val="000000" w:themeColor="text1"/>
          <w:sz w:val="20"/>
          <w:szCs w:val="20"/>
          <w:lang w:val="es-ES"/>
        </w:rPr>
        <w:t>En particular, este supuesto no se subsume en las inhabilidades previstas en los literales g) y h) del numeral 1 del artículo 8 de la Ley 80 de 1993 para la participación simultánea en un mismo proceso de selección, pues estas exigen vínculos de matrimonio, unión permanente o parentesco, en los grados señalados en la norma, entre personas naturales oferentes o entre los socios o representantes legales de sociedades oferentes, lo cual es distinto a que una misma persona sea socia de dos sociedades que presentan propuesta. En consecuencia, no basta la simple existencia de un socio común entre dos sociedades para predicar una inhabilidad automática.</w:t>
      </w:r>
    </w:p>
    <w:p w14:paraId="761CAA46" w14:textId="77777777" w:rsidR="00277859" w:rsidRPr="00277859" w:rsidRDefault="00277859" w:rsidP="00277859">
      <w:pPr>
        <w:adjustRightInd w:val="0"/>
        <w:snapToGrid w:val="0"/>
        <w:spacing w:after="0" w:line="240" w:lineRule="auto"/>
        <w:contextualSpacing/>
        <w:jc w:val="both"/>
        <w:rPr>
          <w:rFonts w:ascii="Verdana" w:hAnsi="Verdana" w:cs="Arial"/>
          <w:sz w:val="20"/>
          <w:szCs w:val="20"/>
          <w:lang w:val="es-ES"/>
        </w:rPr>
      </w:pPr>
    </w:p>
    <w:p w14:paraId="6963C709" w14:textId="2F511CA7" w:rsidR="00277859" w:rsidRDefault="00277859" w:rsidP="00277859">
      <w:pPr>
        <w:adjustRightInd w:val="0"/>
        <w:snapToGrid w:val="0"/>
        <w:contextualSpacing/>
        <w:jc w:val="both"/>
        <w:rPr>
          <w:rFonts w:ascii="Verdana" w:eastAsia="Calibri" w:hAnsi="Verdana" w:cs="Calibri"/>
          <w:b/>
          <w:bCs/>
          <w:lang w:val="es-ES"/>
        </w:rPr>
      </w:pPr>
      <w:r w:rsidRPr="00277859">
        <w:rPr>
          <w:rFonts w:ascii="Verdana" w:eastAsia="Calibri" w:hAnsi="Verdana" w:cs="Calibri"/>
          <w:b/>
          <w:bCs/>
          <w:lang w:val="es-ES"/>
        </w:rPr>
        <w:t xml:space="preserve">CAUSALES DE RECHAZO – Pliegos de Condiciones – Configuración </w:t>
      </w:r>
    </w:p>
    <w:p w14:paraId="772E35F3" w14:textId="77777777" w:rsidR="00277859" w:rsidRPr="00277859" w:rsidRDefault="00277859" w:rsidP="00277859">
      <w:pPr>
        <w:adjustRightInd w:val="0"/>
        <w:snapToGrid w:val="0"/>
        <w:spacing w:after="0" w:line="240" w:lineRule="auto"/>
        <w:contextualSpacing/>
        <w:jc w:val="both"/>
        <w:rPr>
          <w:rFonts w:ascii="Verdana" w:eastAsia="Calibri" w:hAnsi="Verdana" w:cs="Calibri"/>
          <w:b/>
          <w:bCs/>
          <w:lang w:val="es-ES"/>
        </w:rPr>
      </w:pPr>
    </w:p>
    <w:p w14:paraId="12CCEB52" w14:textId="77777777" w:rsidR="00277859" w:rsidRPr="00277859" w:rsidRDefault="00277859" w:rsidP="00277859">
      <w:pPr>
        <w:adjustRightInd w:val="0"/>
        <w:snapToGrid w:val="0"/>
        <w:spacing w:after="0" w:line="240" w:lineRule="auto"/>
        <w:contextualSpacing/>
        <w:jc w:val="both"/>
        <w:rPr>
          <w:rFonts w:ascii="Verdana" w:hAnsi="Verdana" w:cs="Arial"/>
          <w:color w:val="000000" w:themeColor="text1"/>
          <w:sz w:val="20"/>
          <w:szCs w:val="20"/>
          <w:lang w:val="es-ES"/>
        </w:rPr>
      </w:pPr>
      <w:r w:rsidRPr="00277859">
        <w:rPr>
          <w:rFonts w:ascii="Verdana" w:hAnsi="Verdana" w:cs="Arial"/>
          <w:color w:val="000000" w:themeColor="text1"/>
          <w:sz w:val="20"/>
          <w:szCs w:val="20"/>
          <w:lang w:val="es-ES"/>
        </w:rPr>
        <w:t xml:space="preserve">Lo anterior es distinto a la facultad de las Entidades Estatales para establecer causales de rechazo de las ofertas en el pliego de condiciones o documento equivalente, la cual </w:t>
      </w:r>
      <w:r w:rsidRPr="00277859">
        <w:rPr>
          <w:rFonts w:ascii="Verdana" w:hAnsi="Verdana" w:cs="Arial"/>
          <w:color w:val="000000" w:themeColor="text1"/>
          <w:sz w:val="20"/>
          <w:szCs w:val="20"/>
          <w:lang w:val="es-ES"/>
        </w:rPr>
        <w:lastRenderedPageBreak/>
        <w:t>se encuentra limitada por la ley y por los principios de razonabilidad y proporcionalidad. Sobre este último supuesto versa la sentencia del Consejo de Estado del 19 de abril de 2023 citada en su consulta, la cual no concluye que la situación consultada configure una inhabilidad, sino que confirma el rechazo de una oferta con fundamento en la causal prevista expresamente por la entidad en el pliego de condiciones, que prohibía la participación por sí o por interpuesta persona en más de una oferta.</w:t>
      </w:r>
    </w:p>
    <w:p w14:paraId="581AAF88" w14:textId="77777777" w:rsidR="00277859" w:rsidRPr="002B613F" w:rsidRDefault="00277859" w:rsidP="00277859">
      <w:pPr>
        <w:jc w:val="both"/>
        <w:rPr>
          <w:rFonts w:ascii="Verdana" w:eastAsia="Calibri" w:hAnsi="Verdana" w:cs="Calibri"/>
          <w:lang w:val="es-ES"/>
        </w:rPr>
      </w:pPr>
    </w:p>
    <w:p w14:paraId="2B7CAF74" w14:textId="77777777" w:rsidR="00277859" w:rsidRDefault="00277859" w:rsidP="00234CA2">
      <w:pPr>
        <w:widowControl w:val="0"/>
        <w:spacing w:after="0" w:line="276" w:lineRule="auto"/>
        <w:jc w:val="both"/>
        <w:rPr>
          <w:rFonts w:ascii="Verdana" w:hAnsi="Verdana"/>
          <w:lang w:val="es-ES"/>
        </w:rPr>
      </w:pPr>
    </w:p>
    <w:p w14:paraId="50234A63" w14:textId="77777777" w:rsidR="00277859" w:rsidRDefault="00277859" w:rsidP="00234CA2">
      <w:pPr>
        <w:widowControl w:val="0"/>
        <w:spacing w:after="0" w:line="276" w:lineRule="auto"/>
        <w:jc w:val="both"/>
        <w:rPr>
          <w:rFonts w:ascii="Verdana" w:hAnsi="Verdana"/>
          <w:lang w:val="es-ES"/>
        </w:rPr>
      </w:pPr>
    </w:p>
    <w:p w14:paraId="411DCB67" w14:textId="77777777" w:rsidR="00277859" w:rsidRDefault="00277859" w:rsidP="00234CA2">
      <w:pPr>
        <w:widowControl w:val="0"/>
        <w:spacing w:after="0" w:line="276" w:lineRule="auto"/>
        <w:jc w:val="both"/>
        <w:rPr>
          <w:rFonts w:ascii="Verdana" w:hAnsi="Verdana"/>
          <w:lang w:val="es-ES"/>
        </w:rPr>
      </w:pPr>
    </w:p>
    <w:p w14:paraId="3B31A0C1" w14:textId="77777777" w:rsidR="00277859" w:rsidRDefault="00277859" w:rsidP="00234CA2">
      <w:pPr>
        <w:widowControl w:val="0"/>
        <w:spacing w:after="0" w:line="276" w:lineRule="auto"/>
        <w:jc w:val="both"/>
        <w:rPr>
          <w:rFonts w:ascii="Verdana" w:hAnsi="Verdana"/>
          <w:lang w:val="es-ES"/>
        </w:rPr>
      </w:pPr>
    </w:p>
    <w:p w14:paraId="27347006" w14:textId="77777777" w:rsidR="00277859" w:rsidRDefault="00277859" w:rsidP="00234CA2">
      <w:pPr>
        <w:widowControl w:val="0"/>
        <w:spacing w:after="0" w:line="276" w:lineRule="auto"/>
        <w:jc w:val="both"/>
        <w:rPr>
          <w:rFonts w:ascii="Verdana" w:hAnsi="Verdana"/>
          <w:lang w:val="es-ES"/>
        </w:rPr>
      </w:pPr>
    </w:p>
    <w:p w14:paraId="0776CC5B" w14:textId="77777777" w:rsidR="00277859" w:rsidRDefault="00277859" w:rsidP="00234CA2">
      <w:pPr>
        <w:widowControl w:val="0"/>
        <w:spacing w:after="0" w:line="276" w:lineRule="auto"/>
        <w:jc w:val="both"/>
        <w:rPr>
          <w:rFonts w:ascii="Verdana" w:hAnsi="Verdana"/>
          <w:lang w:val="es-ES"/>
        </w:rPr>
      </w:pPr>
    </w:p>
    <w:p w14:paraId="216A02AB" w14:textId="77777777" w:rsidR="00277859" w:rsidRDefault="00277859" w:rsidP="00234CA2">
      <w:pPr>
        <w:widowControl w:val="0"/>
        <w:spacing w:after="0" w:line="276" w:lineRule="auto"/>
        <w:jc w:val="both"/>
        <w:rPr>
          <w:rFonts w:ascii="Verdana" w:hAnsi="Verdana"/>
          <w:lang w:val="es-ES"/>
        </w:rPr>
      </w:pPr>
    </w:p>
    <w:p w14:paraId="2811617F" w14:textId="77777777" w:rsidR="00277859" w:rsidRDefault="00277859" w:rsidP="00234CA2">
      <w:pPr>
        <w:widowControl w:val="0"/>
        <w:spacing w:after="0" w:line="276" w:lineRule="auto"/>
        <w:jc w:val="both"/>
        <w:rPr>
          <w:rFonts w:ascii="Verdana" w:hAnsi="Verdana"/>
          <w:lang w:val="es-ES"/>
        </w:rPr>
      </w:pPr>
    </w:p>
    <w:p w14:paraId="552DEB04" w14:textId="77777777" w:rsidR="00277859" w:rsidRDefault="00277859" w:rsidP="00234CA2">
      <w:pPr>
        <w:widowControl w:val="0"/>
        <w:spacing w:after="0" w:line="276" w:lineRule="auto"/>
        <w:jc w:val="both"/>
        <w:rPr>
          <w:rFonts w:ascii="Verdana" w:hAnsi="Verdana"/>
          <w:lang w:val="es-ES"/>
        </w:rPr>
      </w:pPr>
    </w:p>
    <w:p w14:paraId="0C1A8797" w14:textId="77777777" w:rsidR="00277859" w:rsidRDefault="00277859" w:rsidP="00234CA2">
      <w:pPr>
        <w:widowControl w:val="0"/>
        <w:spacing w:after="0" w:line="276" w:lineRule="auto"/>
        <w:jc w:val="both"/>
        <w:rPr>
          <w:rFonts w:ascii="Verdana" w:hAnsi="Verdana"/>
          <w:lang w:val="es-ES"/>
        </w:rPr>
      </w:pPr>
    </w:p>
    <w:p w14:paraId="084FEA3D" w14:textId="77777777" w:rsidR="00277859" w:rsidRDefault="00277859" w:rsidP="00234CA2">
      <w:pPr>
        <w:widowControl w:val="0"/>
        <w:spacing w:after="0" w:line="276" w:lineRule="auto"/>
        <w:jc w:val="both"/>
        <w:rPr>
          <w:rFonts w:ascii="Verdana" w:hAnsi="Verdana"/>
          <w:lang w:val="es-ES"/>
        </w:rPr>
      </w:pPr>
    </w:p>
    <w:p w14:paraId="4E6D7DA4" w14:textId="77777777" w:rsidR="00277859" w:rsidRDefault="00277859" w:rsidP="00234CA2">
      <w:pPr>
        <w:widowControl w:val="0"/>
        <w:spacing w:after="0" w:line="276" w:lineRule="auto"/>
        <w:jc w:val="both"/>
        <w:rPr>
          <w:rFonts w:ascii="Verdana" w:hAnsi="Verdana"/>
          <w:lang w:val="es-ES"/>
        </w:rPr>
      </w:pPr>
    </w:p>
    <w:p w14:paraId="351A7667" w14:textId="77777777" w:rsidR="00277859" w:rsidRDefault="00277859" w:rsidP="00234CA2">
      <w:pPr>
        <w:widowControl w:val="0"/>
        <w:spacing w:after="0" w:line="276" w:lineRule="auto"/>
        <w:jc w:val="both"/>
        <w:rPr>
          <w:rFonts w:ascii="Verdana" w:hAnsi="Verdana"/>
          <w:lang w:val="es-ES"/>
        </w:rPr>
      </w:pPr>
    </w:p>
    <w:p w14:paraId="69F5B938" w14:textId="77777777" w:rsidR="00277859" w:rsidRDefault="00277859" w:rsidP="00234CA2">
      <w:pPr>
        <w:widowControl w:val="0"/>
        <w:spacing w:after="0" w:line="276" w:lineRule="auto"/>
        <w:jc w:val="both"/>
        <w:rPr>
          <w:rFonts w:ascii="Verdana" w:hAnsi="Verdana"/>
          <w:lang w:val="es-ES"/>
        </w:rPr>
      </w:pPr>
    </w:p>
    <w:p w14:paraId="3DCD095D" w14:textId="77777777" w:rsidR="00277859" w:rsidRDefault="00277859" w:rsidP="00234CA2">
      <w:pPr>
        <w:widowControl w:val="0"/>
        <w:spacing w:after="0" w:line="276" w:lineRule="auto"/>
        <w:jc w:val="both"/>
        <w:rPr>
          <w:rFonts w:ascii="Verdana" w:hAnsi="Verdana"/>
          <w:lang w:val="es-ES"/>
        </w:rPr>
      </w:pPr>
    </w:p>
    <w:p w14:paraId="0AC41CE3" w14:textId="77777777" w:rsidR="00277859" w:rsidRDefault="00277859" w:rsidP="00234CA2">
      <w:pPr>
        <w:widowControl w:val="0"/>
        <w:spacing w:after="0" w:line="276" w:lineRule="auto"/>
        <w:jc w:val="both"/>
        <w:rPr>
          <w:rFonts w:ascii="Verdana" w:hAnsi="Verdana"/>
          <w:lang w:val="es-ES"/>
        </w:rPr>
      </w:pPr>
    </w:p>
    <w:p w14:paraId="0A6F6C6F" w14:textId="77777777" w:rsidR="00277859" w:rsidRDefault="00277859" w:rsidP="00234CA2">
      <w:pPr>
        <w:widowControl w:val="0"/>
        <w:spacing w:after="0" w:line="276" w:lineRule="auto"/>
        <w:jc w:val="both"/>
        <w:rPr>
          <w:rFonts w:ascii="Verdana" w:hAnsi="Verdana"/>
          <w:lang w:val="es-ES"/>
        </w:rPr>
      </w:pPr>
    </w:p>
    <w:p w14:paraId="587DED93" w14:textId="77777777" w:rsidR="00277859" w:rsidRDefault="00277859" w:rsidP="00234CA2">
      <w:pPr>
        <w:widowControl w:val="0"/>
        <w:spacing w:after="0" w:line="276" w:lineRule="auto"/>
        <w:jc w:val="both"/>
        <w:rPr>
          <w:rFonts w:ascii="Verdana" w:hAnsi="Verdana"/>
          <w:lang w:val="es-ES"/>
        </w:rPr>
      </w:pPr>
    </w:p>
    <w:p w14:paraId="6A396B9B" w14:textId="77777777" w:rsidR="00277859" w:rsidRDefault="00277859" w:rsidP="00234CA2">
      <w:pPr>
        <w:widowControl w:val="0"/>
        <w:spacing w:after="0" w:line="276" w:lineRule="auto"/>
        <w:jc w:val="both"/>
        <w:rPr>
          <w:rFonts w:ascii="Verdana" w:hAnsi="Verdana"/>
          <w:lang w:val="es-ES"/>
        </w:rPr>
      </w:pPr>
    </w:p>
    <w:p w14:paraId="7713929B" w14:textId="77777777" w:rsidR="00277859" w:rsidRDefault="00277859" w:rsidP="00234CA2">
      <w:pPr>
        <w:widowControl w:val="0"/>
        <w:spacing w:after="0" w:line="276" w:lineRule="auto"/>
        <w:jc w:val="both"/>
        <w:rPr>
          <w:rFonts w:ascii="Verdana" w:hAnsi="Verdana"/>
          <w:lang w:val="es-ES"/>
        </w:rPr>
      </w:pPr>
    </w:p>
    <w:p w14:paraId="34A60303" w14:textId="77777777" w:rsidR="00277859" w:rsidRDefault="00277859" w:rsidP="00234CA2">
      <w:pPr>
        <w:widowControl w:val="0"/>
        <w:spacing w:after="0" w:line="276" w:lineRule="auto"/>
        <w:jc w:val="both"/>
        <w:rPr>
          <w:rFonts w:ascii="Verdana" w:hAnsi="Verdana"/>
          <w:lang w:val="es-ES"/>
        </w:rPr>
      </w:pPr>
    </w:p>
    <w:p w14:paraId="0CC548A9" w14:textId="77777777" w:rsidR="00277859" w:rsidRDefault="00277859" w:rsidP="00234CA2">
      <w:pPr>
        <w:widowControl w:val="0"/>
        <w:spacing w:after="0" w:line="276" w:lineRule="auto"/>
        <w:jc w:val="both"/>
        <w:rPr>
          <w:rFonts w:ascii="Verdana" w:hAnsi="Verdana"/>
          <w:lang w:val="es-ES"/>
        </w:rPr>
      </w:pPr>
    </w:p>
    <w:p w14:paraId="03967FAD" w14:textId="77777777" w:rsidR="00277859" w:rsidRDefault="00277859" w:rsidP="00234CA2">
      <w:pPr>
        <w:widowControl w:val="0"/>
        <w:spacing w:after="0" w:line="276" w:lineRule="auto"/>
        <w:jc w:val="both"/>
        <w:rPr>
          <w:rFonts w:ascii="Verdana" w:hAnsi="Verdana"/>
          <w:lang w:val="es-ES"/>
        </w:rPr>
      </w:pPr>
    </w:p>
    <w:p w14:paraId="62F06BC3" w14:textId="77777777" w:rsidR="00277859" w:rsidRDefault="00277859" w:rsidP="00234CA2">
      <w:pPr>
        <w:widowControl w:val="0"/>
        <w:spacing w:after="0" w:line="276" w:lineRule="auto"/>
        <w:jc w:val="both"/>
        <w:rPr>
          <w:rFonts w:ascii="Verdana" w:hAnsi="Verdana"/>
          <w:lang w:val="es-ES"/>
        </w:rPr>
      </w:pPr>
    </w:p>
    <w:p w14:paraId="3BAA88B4" w14:textId="77777777" w:rsidR="00277859" w:rsidRDefault="00277859" w:rsidP="00234CA2">
      <w:pPr>
        <w:widowControl w:val="0"/>
        <w:spacing w:after="0" w:line="276" w:lineRule="auto"/>
        <w:jc w:val="both"/>
        <w:rPr>
          <w:rFonts w:ascii="Verdana" w:hAnsi="Verdana"/>
          <w:lang w:val="es-ES"/>
        </w:rPr>
      </w:pPr>
    </w:p>
    <w:p w14:paraId="15802266" w14:textId="77777777" w:rsidR="00277859" w:rsidRDefault="00277859" w:rsidP="00234CA2">
      <w:pPr>
        <w:widowControl w:val="0"/>
        <w:spacing w:after="0" w:line="276" w:lineRule="auto"/>
        <w:jc w:val="both"/>
        <w:rPr>
          <w:rFonts w:ascii="Verdana" w:hAnsi="Verdana"/>
          <w:lang w:val="es-ES"/>
        </w:rPr>
      </w:pPr>
    </w:p>
    <w:p w14:paraId="75120972" w14:textId="77777777" w:rsidR="00277859" w:rsidRDefault="00277859" w:rsidP="00234CA2">
      <w:pPr>
        <w:widowControl w:val="0"/>
        <w:spacing w:after="0" w:line="276" w:lineRule="auto"/>
        <w:jc w:val="both"/>
        <w:rPr>
          <w:rFonts w:ascii="Verdana" w:hAnsi="Verdana"/>
          <w:lang w:val="es-ES"/>
        </w:rPr>
      </w:pPr>
    </w:p>
    <w:p w14:paraId="5CFE882A" w14:textId="77777777" w:rsidR="00277859" w:rsidRDefault="00277859" w:rsidP="00234CA2">
      <w:pPr>
        <w:widowControl w:val="0"/>
        <w:spacing w:after="0" w:line="276" w:lineRule="auto"/>
        <w:jc w:val="both"/>
        <w:rPr>
          <w:rFonts w:ascii="Verdana" w:hAnsi="Verdana"/>
          <w:lang w:val="es-ES"/>
        </w:rPr>
      </w:pPr>
    </w:p>
    <w:p w14:paraId="3070167C" w14:textId="77777777" w:rsidR="00277859" w:rsidRDefault="00277859" w:rsidP="00234CA2">
      <w:pPr>
        <w:widowControl w:val="0"/>
        <w:spacing w:after="0" w:line="276" w:lineRule="auto"/>
        <w:jc w:val="both"/>
        <w:rPr>
          <w:rFonts w:ascii="Verdana" w:hAnsi="Verdana"/>
          <w:lang w:val="es-ES"/>
        </w:rPr>
      </w:pPr>
    </w:p>
    <w:p w14:paraId="5213334D" w14:textId="77777777" w:rsidR="00277859" w:rsidRDefault="00277859" w:rsidP="00234CA2">
      <w:pPr>
        <w:widowControl w:val="0"/>
        <w:spacing w:after="0" w:line="276" w:lineRule="auto"/>
        <w:jc w:val="both"/>
        <w:rPr>
          <w:rFonts w:ascii="Verdana" w:hAnsi="Verdana"/>
          <w:lang w:val="es-ES"/>
        </w:rPr>
      </w:pPr>
    </w:p>
    <w:p w14:paraId="5D7265CF" w14:textId="3BA4A8E4" w:rsidR="00234CA2" w:rsidRPr="002B613F" w:rsidRDefault="00234CA2" w:rsidP="00234CA2">
      <w:pPr>
        <w:widowControl w:val="0"/>
        <w:spacing w:after="0" w:line="276" w:lineRule="auto"/>
        <w:jc w:val="both"/>
        <w:rPr>
          <w:rFonts w:ascii="Verdana" w:hAnsi="Verdana"/>
          <w:lang w:val="es-ES"/>
        </w:rPr>
      </w:pPr>
      <w:r w:rsidRPr="002B613F">
        <w:rPr>
          <w:rFonts w:ascii="Verdana" w:hAnsi="Verdana"/>
          <w:lang w:val="es-ES"/>
        </w:rPr>
        <w:lastRenderedPageBreak/>
        <w:t xml:space="preserve">Bogotá D.C., </w:t>
      </w:r>
      <w:r w:rsidR="008944AC">
        <w:rPr>
          <w:rFonts w:ascii="Verdana" w:hAnsi="Verdana"/>
          <w:lang w:val="es-ES"/>
        </w:rPr>
        <w:t>19 de octubre de 2026</w:t>
      </w:r>
    </w:p>
    <w:p w14:paraId="08B8AD0A" w14:textId="5C115C20" w:rsidR="00234CA2" w:rsidRPr="002B613F" w:rsidRDefault="00234CA2" w:rsidP="00234CA2">
      <w:pPr>
        <w:spacing w:after="0"/>
        <w:rPr>
          <w:rFonts w:ascii="Verdana" w:hAnsi="Verdana"/>
          <w:lang w:val="es-ES"/>
        </w:rPr>
      </w:pPr>
    </w:p>
    <w:p w14:paraId="2FD30F42" w14:textId="79AC3B9E" w:rsidR="00234CA2" w:rsidRPr="002B613F" w:rsidRDefault="008944AC" w:rsidP="00234CA2">
      <w:pPr>
        <w:spacing w:after="0" w:line="240" w:lineRule="auto"/>
        <w:rPr>
          <w:rFonts w:ascii="Verdana" w:eastAsia="Calibri" w:hAnsi="Verdana" w:cs="Arial"/>
          <w:color w:val="000000" w:themeColor="text1"/>
          <w:lang w:val="es-ES" w:eastAsia="es-ES"/>
        </w:rPr>
      </w:pPr>
      <w:r>
        <w:rPr>
          <w:rFonts w:ascii="Verdana" w:eastAsia="Calibri" w:hAnsi="Verdana" w:cs="Arial"/>
          <w:noProof/>
          <w:color w:val="000000" w:themeColor="text1"/>
          <w:lang w:val="es-ES" w:eastAsia="es-ES"/>
        </w:rPr>
        <w:drawing>
          <wp:anchor distT="0" distB="0" distL="114300" distR="114300" simplePos="0" relativeHeight="251659264" behindDoc="0" locked="0" layoutInCell="1" allowOverlap="1" wp14:anchorId="0A49B57E" wp14:editId="3B6BCE70">
            <wp:simplePos x="0" y="0"/>
            <wp:positionH relativeFrom="column">
              <wp:posOffset>2881842</wp:posOffset>
            </wp:positionH>
            <wp:positionV relativeFrom="paragraph">
              <wp:posOffset>110702</wp:posOffset>
            </wp:positionV>
            <wp:extent cx="2565400" cy="703580"/>
            <wp:effectExtent l="0" t="0" r="0" b="0"/>
            <wp:wrapSquare wrapText="bothSides"/>
            <wp:docPr id="1142183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183794" name="Picture 1142183794"/>
                    <pic:cNvPicPr/>
                  </pic:nvPicPr>
                  <pic:blipFill>
                    <a:blip r:embed="rId10">
                      <a:extLst>
                        <a:ext uri="{28A0092B-C50C-407E-A947-70E740481C1C}">
                          <a14:useLocalDpi xmlns:a14="http://schemas.microsoft.com/office/drawing/2010/main" val="0"/>
                        </a:ext>
                      </a:extLst>
                    </a:blip>
                    <a:stretch>
                      <a:fillRect/>
                    </a:stretch>
                  </pic:blipFill>
                  <pic:spPr>
                    <a:xfrm>
                      <a:off x="0" y="0"/>
                      <a:ext cx="2565400" cy="703580"/>
                    </a:xfrm>
                    <a:prstGeom prst="rect">
                      <a:avLst/>
                    </a:prstGeom>
                  </pic:spPr>
                </pic:pic>
              </a:graphicData>
            </a:graphic>
            <wp14:sizeRelH relativeFrom="page">
              <wp14:pctWidth>0</wp14:pctWidth>
            </wp14:sizeRelH>
            <wp14:sizeRelV relativeFrom="page">
              <wp14:pctHeight>0</wp14:pctHeight>
            </wp14:sizeRelV>
          </wp:anchor>
        </w:drawing>
      </w:r>
      <w:r w:rsidR="00234CA2" w:rsidRPr="002B613F">
        <w:rPr>
          <w:rFonts w:ascii="Verdana" w:eastAsia="Calibri" w:hAnsi="Verdana" w:cs="Arial"/>
          <w:color w:val="000000" w:themeColor="text1"/>
          <w:lang w:val="es-ES" w:eastAsia="es-ES"/>
        </w:rPr>
        <w:t>Señor</w:t>
      </w:r>
    </w:p>
    <w:p w14:paraId="4EFD1A69" w14:textId="77777777" w:rsidR="00234CA2" w:rsidRPr="002B613F" w:rsidRDefault="00234CA2" w:rsidP="00234CA2">
      <w:pPr>
        <w:spacing w:after="0" w:line="240" w:lineRule="auto"/>
        <w:rPr>
          <w:rFonts w:ascii="Verdana" w:eastAsia="Calibri" w:hAnsi="Verdana" w:cs="Arial"/>
          <w:b/>
          <w:bCs/>
          <w:color w:val="000000" w:themeColor="text1"/>
          <w:lang w:val="es-ES" w:eastAsia="es-ES"/>
        </w:rPr>
      </w:pPr>
      <w:r w:rsidRPr="002B613F">
        <w:rPr>
          <w:rFonts w:ascii="Verdana" w:eastAsia="Calibri" w:hAnsi="Verdana" w:cs="Arial"/>
          <w:b/>
          <w:bCs/>
          <w:color w:val="000000" w:themeColor="text1"/>
          <w:lang w:val="es-ES" w:eastAsia="es-ES"/>
        </w:rPr>
        <w:t xml:space="preserve">Marlon Alain Mosquera Tejada </w:t>
      </w:r>
    </w:p>
    <w:p w14:paraId="5EEB1A44" w14:textId="77777777" w:rsidR="00234CA2" w:rsidRPr="00397919" w:rsidRDefault="00234CA2" w:rsidP="00234CA2">
      <w:pPr>
        <w:spacing w:after="0" w:line="240" w:lineRule="auto"/>
        <w:rPr>
          <w:rFonts w:ascii="Verdana" w:eastAsia="Calibri" w:hAnsi="Verdana" w:cs="Arial"/>
          <w:color w:val="000000" w:themeColor="text1"/>
          <w:lang w:val="es-ES" w:eastAsia="es-ES"/>
        </w:rPr>
      </w:pPr>
      <w:hyperlink r:id="rId11" w:history="1">
        <w:r w:rsidRPr="00397919">
          <w:rPr>
            <w:rStyle w:val="Hyperlink"/>
            <w:rFonts w:ascii="Verdana" w:eastAsia="Calibri" w:hAnsi="Verdana" w:cs="Arial"/>
            <w:lang w:val="es-ES" w:eastAsia="es-ES"/>
          </w:rPr>
          <w:t>marlonmosqueratejada@gmail.com</w:t>
        </w:r>
      </w:hyperlink>
      <w:r w:rsidRPr="002B613F">
        <w:rPr>
          <w:rFonts w:ascii="Verdana" w:eastAsia="Calibri" w:hAnsi="Verdana" w:cs="Arial"/>
          <w:color w:val="000000" w:themeColor="text1"/>
          <w:lang w:val="es-ES" w:eastAsia="es-ES"/>
        </w:rPr>
        <w:t xml:space="preserve"> </w:t>
      </w:r>
    </w:p>
    <w:p w14:paraId="7C5B80A9" w14:textId="77777777" w:rsidR="00234CA2" w:rsidRPr="002B613F" w:rsidRDefault="00234CA2" w:rsidP="00234CA2">
      <w:pPr>
        <w:spacing w:after="0" w:line="240" w:lineRule="auto"/>
        <w:rPr>
          <w:rFonts w:ascii="Verdana" w:eastAsia="Calibri" w:hAnsi="Verdana" w:cs="Arial"/>
          <w:color w:val="000000" w:themeColor="text1"/>
          <w:lang w:val="es-ES" w:eastAsia="es-ES"/>
        </w:rPr>
      </w:pPr>
      <w:r w:rsidRPr="002B613F">
        <w:rPr>
          <w:rFonts w:ascii="Verdana" w:eastAsia="Calibri" w:hAnsi="Verdana" w:cs="Arial"/>
          <w:color w:val="000000" w:themeColor="text1"/>
          <w:lang w:val="es-ES" w:eastAsia="es-ES"/>
        </w:rPr>
        <w:t>Bogotá D.C.</w:t>
      </w:r>
    </w:p>
    <w:tbl>
      <w:tblPr>
        <w:tblStyle w:val="TableGrid"/>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234CA2" w:rsidRPr="002B613F" w14:paraId="304305BF" w14:textId="77777777" w:rsidTr="006B45AC">
        <w:trPr>
          <w:trHeight w:val="300"/>
        </w:trPr>
        <w:tc>
          <w:tcPr>
            <w:tcW w:w="2410" w:type="dxa"/>
          </w:tcPr>
          <w:p w14:paraId="5D63CB0E" w14:textId="77777777" w:rsidR="00234CA2" w:rsidRPr="002B613F" w:rsidRDefault="00234CA2" w:rsidP="006B45AC">
            <w:pPr>
              <w:ind w:left="-142"/>
              <w:jc w:val="both"/>
              <w:rPr>
                <w:rFonts w:ascii="Verdana" w:eastAsia="Calibri" w:hAnsi="Verdana" w:cs="Arial"/>
                <w:b/>
                <w:bCs/>
                <w:color w:val="000000" w:themeColor="text1"/>
                <w:lang w:val="es-ES" w:eastAsia="es-ES_tradnl"/>
              </w:rPr>
            </w:pPr>
          </w:p>
        </w:tc>
        <w:tc>
          <w:tcPr>
            <w:tcW w:w="6100" w:type="dxa"/>
          </w:tcPr>
          <w:p w14:paraId="5871B512" w14:textId="77777777" w:rsidR="00234CA2" w:rsidRPr="002B613F" w:rsidRDefault="00234CA2" w:rsidP="006B45AC">
            <w:pPr>
              <w:ind w:left="3"/>
              <w:jc w:val="both"/>
              <w:rPr>
                <w:rFonts w:ascii="Verdana" w:eastAsia="Calibri" w:hAnsi="Verdana" w:cs="Arial"/>
                <w:b/>
                <w:bCs/>
                <w:color w:val="000000" w:themeColor="text1"/>
                <w:lang w:val="es-ES" w:eastAsia="es-ES"/>
              </w:rPr>
            </w:pPr>
          </w:p>
          <w:p w14:paraId="1D3C5D57" w14:textId="77777777" w:rsidR="00234CA2" w:rsidRPr="002B613F" w:rsidRDefault="00234CA2" w:rsidP="006B45AC">
            <w:pPr>
              <w:ind w:left="3"/>
              <w:jc w:val="both"/>
              <w:rPr>
                <w:rFonts w:ascii="Verdana" w:eastAsia="Calibri" w:hAnsi="Verdana" w:cs="Arial"/>
                <w:b/>
                <w:bCs/>
                <w:color w:val="000000" w:themeColor="text1"/>
                <w:lang w:val="es-ES" w:eastAsia="es-ES"/>
              </w:rPr>
            </w:pPr>
            <w:r w:rsidRPr="002B613F">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-1408</w:t>
            </w:r>
            <w:r w:rsidRPr="002B613F">
              <w:rPr>
                <w:rFonts w:ascii="Verdana" w:eastAsia="Calibri" w:hAnsi="Verdana" w:cs="Arial"/>
                <w:b/>
                <w:bCs/>
                <w:color w:val="000000" w:themeColor="text1"/>
                <w:lang w:val="es-ES" w:eastAsia="es-ES"/>
              </w:rPr>
              <w:t xml:space="preserve"> de 2026</w:t>
            </w:r>
          </w:p>
          <w:p w14:paraId="2FD5985D" w14:textId="77777777" w:rsidR="00234CA2" w:rsidRPr="002B613F" w:rsidRDefault="00234CA2" w:rsidP="006B45AC">
            <w:pPr>
              <w:ind w:left="3"/>
              <w:jc w:val="both"/>
              <w:rPr>
                <w:rFonts w:ascii="Verdana" w:eastAsia="Calibri" w:hAnsi="Verdana" w:cs="Arial"/>
                <w:b/>
                <w:bCs/>
                <w:color w:val="000000" w:themeColor="text1"/>
                <w:lang w:val="es-ES" w:eastAsia="es-ES"/>
              </w:rPr>
            </w:pPr>
          </w:p>
        </w:tc>
      </w:tr>
      <w:tr w:rsidR="00234CA2" w:rsidRPr="002B613F" w14:paraId="6D3E479D" w14:textId="77777777" w:rsidTr="006B45AC">
        <w:trPr>
          <w:trHeight w:val="300"/>
        </w:trPr>
        <w:tc>
          <w:tcPr>
            <w:tcW w:w="2410" w:type="dxa"/>
          </w:tcPr>
          <w:p w14:paraId="164041B0" w14:textId="77777777" w:rsidR="00234CA2" w:rsidRPr="002B613F" w:rsidRDefault="00234CA2" w:rsidP="006B45AC">
            <w:pPr>
              <w:ind w:left="424" w:firstLine="142"/>
              <w:jc w:val="both"/>
              <w:rPr>
                <w:rFonts w:ascii="Verdana" w:eastAsia="Calibri" w:hAnsi="Verdana" w:cs="Arial"/>
                <w:color w:val="000000" w:themeColor="text1"/>
                <w:lang w:val="es-ES" w:eastAsia="es-ES_tradnl"/>
              </w:rPr>
            </w:pPr>
            <w:r w:rsidRPr="002B613F">
              <w:rPr>
                <w:rFonts w:ascii="Verdana" w:eastAsia="Calibri" w:hAnsi="Verdana" w:cs="Arial"/>
                <w:b/>
                <w:color w:val="000000" w:themeColor="text1"/>
                <w:lang w:val="es-ES" w:eastAsia="es-ES_tradnl"/>
              </w:rPr>
              <w:t>Temas:</w:t>
            </w:r>
            <w:r w:rsidRPr="002B613F">
              <w:rPr>
                <w:rFonts w:ascii="Verdana" w:eastAsia="Calibri" w:hAnsi="Verdana" w:cs="Arial"/>
                <w:color w:val="000000" w:themeColor="text1"/>
                <w:lang w:val="es-ES" w:eastAsia="es-ES_tradnl"/>
              </w:rPr>
              <w:t xml:space="preserve">                  </w:t>
            </w:r>
          </w:p>
        </w:tc>
        <w:tc>
          <w:tcPr>
            <w:tcW w:w="6100" w:type="dxa"/>
          </w:tcPr>
          <w:p w14:paraId="3A24B37C" w14:textId="77777777" w:rsidR="00234CA2" w:rsidRPr="002B613F" w:rsidRDefault="00234CA2" w:rsidP="006B45AC">
            <w:pPr>
              <w:jc w:val="both"/>
              <w:rPr>
                <w:rFonts w:ascii="Verdana" w:eastAsia="Calibri" w:hAnsi="Verdana" w:cs="Calibri"/>
                <w:lang w:val="es-ES"/>
              </w:rPr>
            </w:pPr>
            <w:r w:rsidRPr="002B613F">
              <w:rPr>
                <w:rFonts w:ascii="Verdana" w:hAnsi="Verdana" w:cs="Arial"/>
                <w:lang w:val="es-ES"/>
              </w:rPr>
              <w:t>INHABILIDADES – Taxatividad – Principio de legalidad – Interpretación restrictiva</w:t>
            </w:r>
            <w:r w:rsidRPr="002B613F" w:rsidDel="00A75E55">
              <w:rPr>
                <w:rFonts w:ascii="Verdana" w:hAnsi="Verdana" w:cs="Arial"/>
                <w:lang w:val="es-ES"/>
              </w:rPr>
              <w:t xml:space="preserve"> </w:t>
            </w:r>
            <w:r w:rsidRPr="002B613F">
              <w:rPr>
                <w:rFonts w:ascii="Verdana" w:hAnsi="Verdana" w:cs="Arial"/>
                <w:lang w:val="es-ES"/>
              </w:rPr>
              <w:t xml:space="preserve">/ INHABILIDADES E INCOMPATIBILIDADES – Ley 80 de 1993 – Artículo 8 – Numeral 1 – Literal g) y h) / </w:t>
            </w:r>
            <w:r w:rsidRPr="002B613F">
              <w:rPr>
                <w:rFonts w:ascii="Verdana" w:eastAsia="Calibri" w:hAnsi="Verdana" w:cs="Calibri"/>
                <w:lang w:val="es-ES"/>
              </w:rPr>
              <w:t xml:space="preserve">CAUSALES DE RECHAZO – Pliegos de Condiciones – Configuración </w:t>
            </w:r>
          </w:p>
          <w:p w14:paraId="2D067EE1" w14:textId="77777777" w:rsidR="00234CA2" w:rsidRPr="002B613F" w:rsidRDefault="00234CA2" w:rsidP="006B45AC">
            <w:pPr>
              <w:jc w:val="both"/>
              <w:rPr>
                <w:rFonts w:ascii="Verdana" w:eastAsia="Calibri" w:hAnsi="Verdana" w:cs="Arial"/>
                <w:color w:val="000000" w:themeColor="text1"/>
                <w:lang w:val="es-ES" w:eastAsia="es-ES"/>
              </w:rPr>
            </w:pPr>
          </w:p>
        </w:tc>
      </w:tr>
      <w:tr w:rsidR="00234CA2" w:rsidRPr="002B613F" w14:paraId="0D50B62D" w14:textId="77777777" w:rsidTr="006B45AC">
        <w:trPr>
          <w:trHeight w:val="300"/>
        </w:trPr>
        <w:tc>
          <w:tcPr>
            <w:tcW w:w="2410" w:type="dxa"/>
          </w:tcPr>
          <w:p w14:paraId="094E55FD" w14:textId="77777777" w:rsidR="00234CA2" w:rsidRPr="00277859" w:rsidRDefault="00234CA2" w:rsidP="006B45AC">
            <w:pPr>
              <w:ind w:left="561"/>
              <w:jc w:val="both"/>
              <w:rPr>
                <w:rFonts w:ascii="Verdana" w:eastAsia="Calibri" w:hAnsi="Verdana" w:cs="Arial"/>
                <w:b/>
                <w:color w:val="000000" w:themeColor="text1"/>
                <w:lang w:val="es-ES" w:eastAsia="es-ES_tradnl"/>
              </w:rPr>
            </w:pPr>
            <w:r w:rsidRPr="00277859">
              <w:rPr>
                <w:rFonts w:ascii="Verdana" w:eastAsia="Calibri" w:hAnsi="Verdana" w:cs="Arial"/>
                <w:b/>
                <w:color w:val="000000" w:themeColor="text1"/>
                <w:lang w:val="es-ES" w:eastAsia="es-ES_tradnl"/>
              </w:rPr>
              <w:t xml:space="preserve">Radicación:              </w:t>
            </w:r>
          </w:p>
        </w:tc>
        <w:tc>
          <w:tcPr>
            <w:tcW w:w="6100" w:type="dxa"/>
          </w:tcPr>
          <w:p w14:paraId="1D457971" w14:textId="77777777" w:rsidR="00234CA2" w:rsidRPr="00277859" w:rsidRDefault="00234CA2" w:rsidP="006B45AC">
            <w:pPr>
              <w:ind w:left="3"/>
              <w:jc w:val="both"/>
              <w:rPr>
                <w:rFonts w:ascii="Verdana" w:hAnsi="Verdana"/>
                <w:bCs/>
                <w:color w:val="000000" w:themeColor="text1"/>
                <w:lang w:val="es-ES"/>
              </w:rPr>
            </w:pPr>
            <w:r w:rsidRPr="00277859">
              <w:rPr>
                <w:rFonts w:ascii="Verdana" w:eastAsia="Calibri" w:hAnsi="Verdana" w:cs="Arial"/>
                <w:bCs/>
                <w:color w:val="000000" w:themeColor="text1"/>
                <w:lang w:val="es-ES" w:eastAsia="es-ES"/>
              </w:rPr>
              <w:t>Respuesta a consulta con radicado No.</w:t>
            </w:r>
            <w:r w:rsidRPr="00277859">
              <w:rPr>
                <w:rFonts w:ascii="Verdana" w:hAnsi="Verdana" w:cs="Segoe UI"/>
                <w:bCs/>
                <w:color w:val="000000" w:themeColor="text1"/>
                <w:shd w:val="clear" w:color="auto" w:fill="FFFFFF"/>
                <w:lang w:val="es-ES"/>
              </w:rPr>
              <w:t xml:space="preserve"> 1_2026_09_08_011896</w:t>
            </w:r>
          </w:p>
        </w:tc>
      </w:tr>
    </w:tbl>
    <w:p w14:paraId="6C6992D1" w14:textId="77777777" w:rsidR="00234CA2" w:rsidRPr="002B613F" w:rsidRDefault="00234CA2" w:rsidP="00234CA2">
      <w:pPr>
        <w:spacing w:after="0" w:line="276" w:lineRule="auto"/>
        <w:jc w:val="both"/>
        <w:rPr>
          <w:rFonts w:ascii="Verdana" w:eastAsia="Calibri" w:hAnsi="Verdana" w:cs="Arial"/>
          <w:color w:val="000000" w:themeColor="text1"/>
          <w:lang w:val="es-ES" w:eastAsia="es-ES"/>
        </w:rPr>
      </w:pPr>
    </w:p>
    <w:p w14:paraId="29325E27" w14:textId="77777777" w:rsidR="00234CA2" w:rsidRPr="002B613F" w:rsidRDefault="00234CA2" w:rsidP="00234CA2">
      <w:pPr>
        <w:spacing w:after="0" w:line="276" w:lineRule="auto"/>
        <w:jc w:val="both"/>
        <w:rPr>
          <w:rFonts w:ascii="Verdana" w:eastAsia="Calibri" w:hAnsi="Verdana" w:cs="Arial"/>
          <w:color w:val="000000" w:themeColor="text1"/>
          <w:lang w:val="es-ES" w:eastAsia="es-ES"/>
        </w:rPr>
      </w:pPr>
      <w:r w:rsidRPr="002B613F">
        <w:rPr>
          <w:rFonts w:ascii="Verdana" w:eastAsia="Calibri" w:hAnsi="Verdana" w:cs="Arial"/>
          <w:color w:val="000000" w:themeColor="text1"/>
          <w:lang w:val="es-ES" w:eastAsia="es-ES"/>
        </w:rPr>
        <w:t xml:space="preserve">Estimado señor Mosquera: </w:t>
      </w:r>
    </w:p>
    <w:p w14:paraId="0C52CC52" w14:textId="77777777" w:rsidR="00234CA2" w:rsidRPr="002B613F" w:rsidRDefault="00234CA2" w:rsidP="00234CA2">
      <w:pPr>
        <w:tabs>
          <w:tab w:val="left" w:pos="3768"/>
        </w:tabs>
        <w:spacing w:after="0" w:line="276" w:lineRule="auto"/>
        <w:jc w:val="both"/>
        <w:rPr>
          <w:rFonts w:ascii="Verdana" w:eastAsia="Calibri" w:hAnsi="Verdana" w:cs="Arial"/>
          <w:color w:val="000000" w:themeColor="text1"/>
          <w:lang w:val="es-ES" w:eastAsia="es-ES"/>
        </w:rPr>
      </w:pPr>
      <w:r w:rsidRPr="002B613F">
        <w:rPr>
          <w:rFonts w:ascii="Verdana" w:eastAsia="Calibri" w:hAnsi="Verdana" w:cs="Arial"/>
          <w:color w:val="000000" w:themeColor="text1"/>
          <w:lang w:val="es-ES" w:eastAsia="es-ES"/>
        </w:rPr>
        <w:tab/>
      </w:r>
    </w:p>
    <w:p w14:paraId="5F752A92" w14:textId="77777777" w:rsidR="00234CA2" w:rsidRPr="002B613F" w:rsidRDefault="00234CA2" w:rsidP="00234CA2">
      <w:pPr>
        <w:spacing w:after="0" w:line="276" w:lineRule="auto"/>
        <w:jc w:val="both"/>
        <w:rPr>
          <w:rFonts w:ascii="Verdana" w:eastAsia="Calibri" w:hAnsi="Verdana" w:cs="Arial"/>
          <w:color w:val="000000" w:themeColor="text1"/>
          <w:lang w:val="es-ES" w:eastAsia="es-ES"/>
        </w:rPr>
      </w:pPr>
      <w:r w:rsidRPr="002B613F">
        <w:rPr>
          <w:rFonts w:ascii="Verdana" w:eastAsia="Calibri" w:hAnsi="Verdana" w:cs="Arial"/>
          <w:color w:val="000000" w:themeColor="text1"/>
          <w:lang w:val="es-ES" w:eastAsia="es-ES"/>
        </w:rPr>
        <w:t>En ejercicio de la competencia otorgada por los artículos 3, numeral 5º, y 11, numeral 8º, del Decreto Ley 4170 de 2011,</w:t>
      </w:r>
      <w:r w:rsidRPr="002B613F">
        <w:rPr>
          <w:rFonts w:ascii="Verdana" w:eastAsia="Arial MT" w:hAnsi="Verdana" w:cs="Arial MT"/>
          <w:color w:val="000000" w:themeColor="text1"/>
          <w:lang w:val="es-ES" w:eastAsia="es-ES"/>
        </w:rPr>
        <w:t xml:space="preserve"> </w:t>
      </w:r>
      <w:r w:rsidRPr="002B613F">
        <w:rPr>
          <w:rFonts w:ascii="Verdana" w:hAnsi="Verdana" w:cs="Arial"/>
          <w:color w:val="000000" w:themeColor="text1"/>
          <w:lang w:val="es-ES"/>
        </w:rPr>
        <w:t xml:space="preserve">así como lo establecido en el artículo 4 de la Resolución 1707 de 2018 expedida por esta Entidad, </w:t>
      </w:r>
      <w:r w:rsidRPr="002B613F">
        <w:rPr>
          <w:rFonts w:ascii="Verdana" w:eastAsia="Calibri" w:hAnsi="Verdana" w:cs="Arial"/>
          <w:color w:val="000000" w:themeColor="text1"/>
          <w:lang w:val="es-ES" w:eastAsia="es-ES"/>
        </w:rPr>
        <w:t xml:space="preserve">la Agencia Nacional de Contratación Pública – Colombia Compra Eficiente– responde su solicitud de consulta del 08 de septiembre de 2026, en la cual manifiesta lo siguiente: </w:t>
      </w:r>
    </w:p>
    <w:p w14:paraId="2CEF1981" w14:textId="77777777" w:rsidR="00234CA2" w:rsidRPr="002B613F" w:rsidRDefault="00234CA2" w:rsidP="00234CA2">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6BB22401" w14:textId="77777777" w:rsidR="00234CA2" w:rsidRPr="002B613F" w:rsidRDefault="00234CA2" w:rsidP="00234CA2">
      <w:pPr>
        <w:pStyle w:val="ListParagraph"/>
        <w:spacing w:after="0"/>
        <w:ind w:left="709" w:right="709"/>
        <w:jc w:val="both"/>
        <w:rPr>
          <w:rFonts w:ascii="Verdana" w:eastAsia="Calibri" w:hAnsi="Verdana" w:cs="Arial"/>
          <w:i/>
          <w:iCs/>
          <w:sz w:val="20"/>
          <w:szCs w:val="20"/>
        </w:rPr>
      </w:pPr>
      <w:r w:rsidRPr="002B613F">
        <w:rPr>
          <w:rFonts w:ascii="Verdana" w:eastAsia="Calibri" w:hAnsi="Verdana" w:cs="Arial"/>
          <w:i/>
          <w:iCs/>
          <w:sz w:val="20"/>
          <w:szCs w:val="20"/>
        </w:rPr>
        <w:t>“quiero saber si existe inhabilidad de un socio que hace parte de dos SAS y estas pretender licitar en un mismo proceso contractual, teniendo en cuenta que existe un pronunciamiento de CCE- Concepto C-909 de 2026 que dice que no y existe una sentencia que dice que si”</w:t>
      </w:r>
    </w:p>
    <w:p w14:paraId="2C1C38C5" w14:textId="77777777" w:rsidR="00234CA2" w:rsidRPr="002B613F" w:rsidRDefault="00234CA2" w:rsidP="00234CA2">
      <w:pPr>
        <w:pStyle w:val="ListParagraph"/>
        <w:spacing w:after="0"/>
        <w:ind w:left="709" w:right="709"/>
        <w:jc w:val="both"/>
        <w:rPr>
          <w:rFonts w:ascii="Verdana" w:eastAsia="Calibri" w:hAnsi="Verdana" w:cs="Arial"/>
          <w:i/>
          <w:iCs/>
          <w:sz w:val="20"/>
          <w:szCs w:val="20"/>
        </w:rPr>
      </w:pPr>
    </w:p>
    <w:p w14:paraId="51BAA187" w14:textId="77777777" w:rsidR="00234CA2" w:rsidRPr="002B613F" w:rsidRDefault="00234CA2" w:rsidP="00234CA2">
      <w:pPr>
        <w:spacing w:after="120" w:line="276" w:lineRule="auto"/>
        <w:ind w:firstLine="708"/>
        <w:jc w:val="both"/>
        <w:rPr>
          <w:rFonts w:ascii="Verdana" w:eastAsia="Calibri" w:hAnsi="Verdana" w:cs="Arial"/>
          <w:color w:val="000000" w:themeColor="text1"/>
          <w:lang w:val="es-ES" w:eastAsia="es-ES"/>
        </w:rPr>
      </w:pPr>
      <w:r w:rsidRPr="002B613F">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2B613F">
        <w:rPr>
          <w:rFonts w:ascii="Verdana" w:eastAsia="Calibri" w:hAnsi="Verdana" w:cs="Arial"/>
          <w:color w:val="000000" w:themeColor="text1"/>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B613F">
        <w:rPr>
          <w:lang w:val="es-ES"/>
        </w:rPr>
        <w:tab/>
      </w:r>
    </w:p>
    <w:p w14:paraId="7FD38836" w14:textId="77777777" w:rsidR="00234CA2" w:rsidRPr="002B613F" w:rsidRDefault="00234CA2" w:rsidP="00234CA2">
      <w:pPr>
        <w:spacing w:after="0" w:line="276" w:lineRule="auto"/>
        <w:ind w:firstLine="709"/>
        <w:jc w:val="both"/>
        <w:rPr>
          <w:rFonts w:ascii="Verdana" w:eastAsia="Calibri" w:hAnsi="Verdana" w:cs="Arial"/>
          <w:color w:val="000000" w:themeColor="text1"/>
          <w:lang w:val="es-ES" w:eastAsia="es-ES"/>
        </w:rPr>
      </w:pPr>
      <w:r w:rsidRPr="002B613F">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11D8D74" w14:textId="77777777" w:rsidR="00234CA2" w:rsidRPr="002B613F" w:rsidRDefault="00234CA2" w:rsidP="00234CA2">
      <w:pPr>
        <w:spacing w:after="0" w:line="276" w:lineRule="auto"/>
        <w:jc w:val="both"/>
        <w:rPr>
          <w:rFonts w:ascii="Verdana" w:eastAsia="Calibri" w:hAnsi="Verdana" w:cs="Arial"/>
          <w:color w:val="000000" w:themeColor="text1"/>
          <w:lang w:val="es-ES" w:eastAsia="es-ES"/>
        </w:rPr>
      </w:pPr>
    </w:p>
    <w:p w14:paraId="15C89580" w14:textId="77777777" w:rsidR="00234CA2" w:rsidRPr="002B613F" w:rsidRDefault="00234CA2" w:rsidP="00234CA2">
      <w:pPr>
        <w:pStyle w:val="ListParagraph"/>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2B613F">
        <w:rPr>
          <w:rFonts w:ascii="Verdana" w:eastAsia="Century Gothic" w:hAnsi="Verdana" w:cs="Century Gothic"/>
          <w:b/>
          <w:bCs/>
          <w:color w:val="000000" w:themeColor="text1"/>
        </w:rPr>
        <w:t>Problema planteado:</w:t>
      </w:r>
    </w:p>
    <w:p w14:paraId="4B1C1ACD" w14:textId="77777777" w:rsidR="00234CA2" w:rsidRPr="002B613F" w:rsidRDefault="00234CA2" w:rsidP="00234CA2">
      <w:pPr>
        <w:tabs>
          <w:tab w:val="left" w:pos="426"/>
        </w:tabs>
        <w:spacing w:after="0" w:line="276" w:lineRule="auto"/>
        <w:jc w:val="both"/>
        <w:rPr>
          <w:rFonts w:ascii="Verdana" w:eastAsia="Century Gothic" w:hAnsi="Verdana" w:cs="Century Gothic"/>
          <w:color w:val="000000" w:themeColor="text1"/>
          <w:lang w:val="es-ES"/>
        </w:rPr>
      </w:pPr>
    </w:p>
    <w:p w14:paraId="103D195F" w14:textId="77777777" w:rsidR="00234CA2" w:rsidRPr="002B613F" w:rsidRDefault="00234CA2" w:rsidP="00234CA2">
      <w:pPr>
        <w:spacing w:after="0" w:line="276" w:lineRule="auto"/>
        <w:jc w:val="both"/>
        <w:rPr>
          <w:rFonts w:ascii="Verdana" w:eastAsia="Calibri" w:hAnsi="Verdana" w:cs="Arial"/>
          <w:color w:val="000000"/>
          <w:lang w:val="es-ES" w:eastAsia="es-ES"/>
        </w:rPr>
      </w:pPr>
      <w:r w:rsidRPr="002B613F">
        <w:rPr>
          <w:rFonts w:ascii="Verdana" w:eastAsia="Century Gothic" w:hAnsi="Verdana" w:cs="Century Gothic"/>
          <w:color w:val="000000" w:themeColor="text1"/>
          <w:lang w:val="es-ES"/>
        </w:rPr>
        <w:t xml:space="preserve">De acuerdo con el contenido de su solicitud, esta Agencia resolverá el siguiente problema jurídico: ¿Se configura inhabilidad cuando una persona es socia de dos personas jurídicas que participan de forma </w:t>
      </w:r>
      <w:r w:rsidRPr="002B613F">
        <w:rPr>
          <w:rFonts w:ascii="Verdana" w:hAnsi="Verdana" w:cs="ArialMT"/>
          <w:lang w:val="es-ES"/>
          <w14:ligatures w14:val="standardContextual"/>
        </w:rPr>
        <w:t>simultánea en un mismo proceso de selección?</w:t>
      </w:r>
    </w:p>
    <w:p w14:paraId="1302FE66" w14:textId="77777777" w:rsidR="00234CA2" w:rsidRPr="002B613F" w:rsidRDefault="00234CA2" w:rsidP="00234CA2">
      <w:pPr>
        <w:spacing w:after="140" w:line="276" w:lineRule="auto"/>
        <w:jc w:val="both"/>
        <w:rPr>
          <w:rFonts w:ascii="Verdana" w:eastAsia="Century Gothic" w:hAnsi="Verdana" w:cs="Century Gothic"/>
          <w:color w:val="000000" w:themeColor="text1"/>
          <w:lang w:val="es-ES"/>
        </w:rPr>
      </w:pPr>
    </w:p>
    <w:p w14:paraId="74E63AF6" w14:textId="77777777" w:rsidR="00234CA2" w:rsidRPr="002B613F" w:rsidRDefault="00234CA2" w:rsidP="00234CA2">
      <w:pPr>
        <w:pStyle w:val="ListParagraph"/>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2B613F">
        <w:rPr>
          <w:rFonts w:ascii="Verdana" w:eastAsia="Century Gothic" w:hAnsi="Verdana" w:cs="Century Gothic"/>
          <w:b/>
          <w:bCs/>
          <w:color w:val="000000" w:themeColor="text1"/>
        </w:rPr>
        <w:t>Respuesta:</w:t>
      </w:r>
    </w:p>
    <w:p w14:paraId="3F70DA24" w14:textId="77777777" w:rsidR="00234CA2" w:rsidRPr="002B613F" w:rsidRDefault="00234CA2" w:rsidP="00234CA2">
      <w:pPr>
        <w:spacing w:after="0" w:line="276" w:lineRule="auto"/>
        <w:jc w:val="both"/>
        <w:rPr>
          <w:rFonts w:ascii="Verdana" w:eastAsia="Calibri" w:hAnsi="Verdana" w:cs="Arial"/>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34CA2" w:rsidRPr="002B613F" w14:paraId="24D90E21" w14:textId="77777777" w:rsidTr="006B45AC">
        <w:trPr>
          <w:trHeight w:val="300"/>
        </w:trPr>
        <w:tc>
          <w:tcPr>
            <w:tcW w:w="8828" w:type="dxa"/>
          </w:tcPr>
          <w:p w14:paraId="676D6AC5" w14:textId="77777777" w:rsidR="00234CA2" w:rsidRPr="0039764C" w:rsidRDefault="00234CA2" w:rsidP="006B45AC">
            <w:pPr>
              <w:spacing w:before="120" w:after="120" w:line="276" w:lineRule="auto"/>
              <w:jc w:val="both"/>
              <w:rPr>
                <w:rFonts w:ascii="Verdana" w:hAnsi="Verdana" w:cs="Arial"/>
                <w:color w:val="000000" w:themeColor="text1"/>
                <w:lang w:val="es-ES"/>
              </w:rPr>
            </w:pPr>
            <w:r w:rsidRPr="0039764C">
              <w:rPr>
                <w:rFonts w:ascii="Verdana" w:hAnsi="Verdana" w:cs="Arial"/>
                <w:color w:val="000000" w:themeColor="text1"/>
                <w:lang w:val="es-ES"/>
              </w:rPr>
              <w:t>El régimen de inhabilidades e incompatibilidades es de carácter taxativo y de interpretación restrictiva, por lo que solo procede su aplicación cuando el supuesto de hecho se subsume en alguna de las causales previstas expresamente en la Constitución o en la ley. Para el caso objeto de consulta, ni la Constitución ni la ley prevén actualmente una causal cuyo supuesto de hecho configure la inhabilidad de quien es socio de dos sociedades distintas que presentan propuesta en un mismo proceso de contratación.</w:t>
            </w:r>
          </w:p>
          <w:p w14:paraId="6BA603A5" w14:textId="77777777" w:rsidR="00234CA2" w:rsidRPr="002B613F" w:rsidRDefault="00234CA2" w:rsidP="006B45AC">
            <w:pPr>
              <w:spacing w:before="120" w:after="120" w:line="276" w:lineRule="auto"/>
              <w:ind w:firstLine="744"/>
              <w:jc w:val="both"/>
              <w:rPr>
                <w:rFonts w:ascii="Verdana" w:hAnsi="Verdana" w:cs="Arial"/>
                <w:color w:val="000000" w:themeColor="text1"/>
                <w:lang w:val="es-ES"/>
              </w:rPr>
            </w:pPr>
            <w:r w:rsidRPr="0039764C">
              <w:rPr>
                <w:rFonts w:ascii="Verdana" w:hAnsi="Verdana" w:cs="Arial"/>
                <w:color w:val="000000" w:themeColor="text1"/>
                <w:lang w:val="es-ES"/>
              </w:rPr>
              <w:t xml:space="preserve">En particular, este supuesto no se subsume en las inhabilidades previstas en los literales g) y h) del numeral 1 del artículo 8 de la Ley 80 de 1993 para la participación simultánea en un mismo proceso de selección, pues estas exigen vínculos de matrimonio, unión permanente o parentesco, en los grados señalados en la norma, entre personas naturales oferentes o entre los socios o representantes legales de sociedades oferentes, lo cual es distinto a que una misma persona sea socia de dos sociedades que presentan propuesta. </w:t>
            </w:r>
            <w:r w:rsidRPr="0039764C">
              <w:rPr>
                <w:rFonts w:ascii="Verdana" w:hAnsi="Verdana" w:cs="Arial"/>
                <w:color w:val="000000" w:themeColor="text1"/>
                <w:lang w:val="es-ES"/>
              </w:rPr>
              <w:lastRenderedPageBreak/>
              <w:t>En consecuencia, no basta la simple existencia de un socio común entre dos sociedades para predicar una inhabilidad automática.</w:t>
            </w:r>
          </w:p>
          <w:p w14:paraId="5AE6C95A" w14:textId="77777777" w:rsidR="00234CA2" w:rsidRPr="002B613F" w:rsidRDefault="00234CA2" w:rsidP="006B45AC">
            <w:pPr>
              <w:spacing w:before="120" w:after="120" w:line="276" w:lineRule="auto"/>
              <w:ind w:firstLine="744"/>
              <w:jc w:val="both"/>
              <w:rPr>
                <w:rFonts w:ascii="Verdana" w:hAnsi="Verdana" w:cs="Arial"/>
                <w:color w:val="000000" w:themeColor="text1"/>
                <w:lang w:val="es-ES"/>
              </w:rPr>
            </w:pPr>
            <w:r w:rsidRPr="0039764C">
              <w:rPr>
                <w:rFonts w:ascii="Verdana" w:hAnsi="Verdana" w:cs="Arial"/>
                <w:color w:val="000000" w:themeColor="text1"/>
                <w:lang w:val="es-ES"/>
              </w:rPr>
              <w:t>Lo anterior es distinto a la facultad de las Entidades Estatales para establecer causales de rechazo de las ofertas en el pliego de condiciones o documento equivalente, la cual se encuentra limitada por la ley y por los principios de razonabilidad y proporcionalidad. Sobre este último supuesto versa la sentencia del Consejo de Estado del 19 de abril de 2023 citada en su consulta, la cual no concluye que la situación consultada configure una inhabilidad, sino que confirma el rechazo de una oferta con fundamento en la causal prevista expresamente por la entidad en el pliego de condiciones, que prohibía la participación por sí o por interpuesta persona en más de una oferta.</w:t>
            </w:r>
          </w:p>
          <w:p w14:paraId="62C757A3" w14:textId="77777777" w:rsidR="00234CA2" w:rsidRPr="002B613F" w:rsidRDefault="00234CA2" w:rsidP="006B45AC">
            <w:pPr>
              <w:spacing w:before="120" w:after="120" w:line="276" w:lineRule="auto"/>
              <w:ind w:firstLine="744"/>
              <w:jc w:val="both"/>
              <w:rPr>
                <w:rFonts w:ascii="Verdana" w:hAnsi="Verdana" w:cs="Arial"/>
                <w:color w:val="000000" w:themeColor="text1"/>
                <w:lang w:val="es-ES"/>
              </w:rPr>
            </w:pPr>
            <w:r w:rsidRPr="0039764C">
              <w:rPr>
                <w:rFonts w:ascii="Verdana" w:hAnsi="Verdana" w:cs="Arial"/>
                <w:color w:val="000000" w:themeColor="text1"/>
                <w:lang w:val="es-ES"/>
              </w:rPr>
              <w:t>Así las cosas, corresponderá a la Entidad Estatal, en cada caso concreto, evaluar si en el pliego de condiciones o documento equivalente existe una causal de rechazo que comprenda dicha situación y que, por tanto, amerite el rechazo de las ofertas, así como determinar si procede la aplicación de alguna de las causales de inhabilidad previstas en la Constitución y en la ley, cuya interpretación debe ser restrictiva</w:t>
            </w:r>
            <w:r w:rsidRPr="002B613F">
              <w:rPr>
                <w:rFonts w:ascii="Verdana" w:hAnsi="Verdana" w:cs="Arial"/>
                <w:color w:val="000000" w:themeColor="text1"/>
                <w:lang w:val="es-ES"/>
              </w:rPr>
              <w:t xml:space="preserve">. </w:t>
            </w:r>
          </w:p>
          <w:p w14:paraId="1479EF2B" w14:textId="77777777" w:rsidR="00234CA2" w:rsidRPr="002B613F" w:rsidRDefault="00234CA2" w:rsidP="006B45AC">
            <w:pPr>
              <w:spacing w:before="120" w:after="120" w:line="276" w:lineRule="auto"/>
              <w:ind w:firstLine="744"/>
              <w:jc w:val="both"/>
              <w:rPr>
                <w:rFonts w:ascii="Verdana" w:hAnsi="Verdana" w:cs="Arial"/>
                <w:color w:val="000000" w:themeColor="text1"/>
                <w:lang w:val="es-ES"/>
              </w:rPr>
            </w:pPr>
            <w:r w:rsidRPr="002B613F">
              <w:rPr>
                <w:rFonts w:ascii="Verdana" w:hAnsi="Verdana" w:cs="Arial"/>
                <w:color w:val="000000" w:themeColor="text1"/>
                <w:lang w:val="es-ES"/>
              </w:rPr>
              <w:t>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y determinará, bajo su propia responsabilidad los aspectos objeto de consulta, sin que sea atribución de la Agencia Nacional de Contratación Pública – Colombia Compra Eficiente definir, autorizar o validar esa decisión.</w:t>
            </w:r>
          </w:p>
        </w:tc>
      </w:tr>
    </w:tbl>
    <w:p w14:paraId="35FFC2BC" w14:textId="77777777" w:rsidR="00234CA2" w:rsidRPr="002B613F" w:rsidRDefault="00234CA2" w:rsidP="00234CA2">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2FDE695C" w14:textId="77777777" w:rsidR="00234CA2" w:rsidRPr="002B613F" w:rsidRDefault="00234CA2" w:rsidP="00234CA2">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2B613F">
        <w:rPr>
          <w:rFonts w:ascii="Verdana" w:eastAsia="Century Gothic" w:hAnsi="Verdana" w:cs="Century Gothic"/>
          <w:b/>
          <w:color w:val="000000" w:themeColor="text1"/>
        </w:rPr>
        <w:t>Razones de la respuesta:</w:t>
      </w:r>
    </w:p>
    <w:p w14:paraId="027CB7B5" w14:textId="77777777" w:rsidR="00234CA2" w:rsidRPr="002B613F" w:rsidRDefault="00234CA2" w:rsidP="00234CA2">
      <w:pPr>
        <w:spacing w:after="0" w:line="276" w:lineRule="auto"/>
        <w:jc w:val="both"/>
        <w:rPr>
          <w:rFonts w:ascii="Verdana" w:eastAsia="Calibri" w:hAnsi="Verdana" w:cs="Arial"/>
          <w:color w:val="000000" w:themeColor="text1"/>
          <w:lang w:val="es-ES"/>
        </w:rPr>
      </w:pPr>
    </w:p>
    <w:p w14:paraId="05A04099" w14:textId="77777777" w:rsidR="00234CA2" w:rsidRPr="002B613F" w:rsidRDefault="00234CA2" w:rsidP="00234CA2">
      <w:pPr>
        <w:spacing w:line="276" w:lineRule="auto"/>
        <w:jc w:val="both"/>
        <w:rPr>
          <w:rFonts w:ascii="Verdana" w:eastAsia="Aptos" w:hAnsi="Verdana" w:cs="Arial"/>
          <w:lang w:val="es-ES"/>
        </w:rPr>
      </w:pPr>
      <w:r w:rsidRPr="002B613F">
        <w:rPr>
          <w:rFonts w:ascii="Verdana" w:eastAsia="Verdana" w:hAnsi="Verdana" w:cs="Verdana"/>
          <w:lang w:val="es-ES"/>
        </w:rPr>
        <w:t xml:space="preserve">i. </w:t>
      </w:r>
      <w:r w:rsidRPr="002B613F">
        <w:rPr>
          <w:rFonts w:ascii="Verdana" w:eastAsia="Calibri" w:hAnsi="Verdana" w:cs="Arial"/>
          <w:lang w:val="es-ES"/>
        </w:rPr>
        <w:t>E</w:t>
      </w:r>
      <w:r w:rsidRPr="002B613F">
        <w:rPr>
          <w:rFonts w:ascii="Verdana" w:eastAsia="Aptos" w:hAnsi="Verdana" w:cs="Arial"/>
          <w:lang w:val="es-ES"/>
        </w:rPr>
        <w:t xml:space="preserve">l régimen de </w:t>
      </w:r>
      <w:bookmarkStart w:id="0" w:name="_Hlk173850721"/>
      <w:r w:rsidRPr="002B613F">
        <w:rPr>
          <w:rFonts w:ascii="Verdana" w:eastAsia="Aptos" w:hAnsi="Verdana" w:cs="Arial"/>
          <w:lang w:val="es-ES"/>
        </w:rPr>
        <w:t>inhabilidades para contratar con el Estado es un conjunto de restricciones establecidas por el constituyente o por el legislador que afectan directamente la capacidad de las personas para establecer relaciones contractuales con el Estado</w:t>
      </w:r>
      <w:bookmarkEnd w:id="0"/>
      <w:r w:rsidRPr="002B613F">
        <w:rPr>
          <w:rFonts w:ascii="Verdana" w:eastAsia="Aptos" w:hAnsi="Verdana" w:cs="Arial"/>
          <w:lang w:val="es-ES"/>
        </w:rPr>
        <w:t xml:space="preserve">, que pueden resultar de condenas, sanciones o situaciones previamente consagradas por el ordenamiento jurídico. Sobre el particular, la Corte Constitucional explica que: “las inhabilidades representan una limitación a la capacidad para contratar con las Entidades del Estado y </w:t>
      </w:r>
      <w:r w:rsidRPr="002B613F">
        <w:rPr>
          <w:rFonts w:ascii="Verdana" w:eastAsia="Aptos" w:hAnsi="Verdana" w:cs="Arial"/>
          <w:lang w:val="es-ES"/>
        </w:rPr>
        <w:lastRenderedPageBreak/>
        <w:t>obedecen a la falta de aptitud o a la carencia de una cualidad, calidad o requisito en el sujeto incapacitado quien por esta razón no podrá hacer parte de una relación contractual”</w:t>
      </w:r>
      <w:r w:rsidRPr="002B613F">
        <w:rPr>
          <w:vertAlign w:val="superscript"/>
          <w:lang w:val="es-ES"/>
        </w:rPr>
        <w:footnoteReference w:id="2"/>
      </w:r>
      <w:r w:rsidRPr="002B613F">
        <w:rPr>
          <w:rFonts w:ascii="Verdana" w:eastAsia="Aptos" w:hAnsi="Verdana" w:cs="Arial"/>
          <w:lang w:val="es-ES"/>
        </w:rPr>
        <w:t xml:space="preserve">. </w:t>
      </w:r>
    </w:p>
    <w:p w14:paraId="6FDAD6A4" w14:textId="77777777" w:rsidR="00234CA2" w:rsidRPr="002B613F" w:rsidRDefault="00234CA2" w:rsidP="00234CA2">
      <w:pPr>
        <w:spacing w:before="120" w:after="0" w:line="276" w:lineRule="auto"/>
        <w:ind w:firstLine="709"/>
        <w:jc w:val="both"/>
        <w:rPr>
          <w:rFonts w:ascii="Verdana" w:eastAsia="Calibri" w:hAnsi="Verdana" w:cs="Arial"/>
          <w:lang w:val="es-ES"/>
        </w:rPr>
      </w:pPr>
      <w:r w:rsidRPr="002B613F">
        <w:rPr>
          <w:rFonts w:ascii="Verdana" w:eastAsia="Calibri" w:hAnsi="Verdana" w:cs="Arial"/>
          <w:lang w:val="es-ES"/>
        </w:rPr>
        <w:t xml:space="preserve">La regulación de las inhabilidades, que implican limitaciones a la capacidad jurídica para contratar, desarrolla los principios de la función administrativa consagrados en el artículo 209 de la Constitución Política, con especial énfasis el de moralidad. Así lo entiende el Consejo de Estado: </w:t>
      </w:r>
    </w:p>
    <w:p w14:paraId="39695717" w14:textId="77777777" w:rsidR="00234CA2" w:rsidRPr="002B613F" w:rsidRDefault="00234CA2" w:rsidP="00234CA2">
      <w:pPr>
        <w:spacing w:after="0" w:line="240" w:lineRule="auto"/>
        <w:jc w:val="both"/>
        <w:rPr>
          <w:rFonts w:ascii="Verdana" w:eastAsia="Calibri" w:hAnsi="Verdana" w:cs="Arial"/>
          <w:lang w:val="es-ES"/>
        </w:rPr>
      </w:pPr>
    </w:p>
    <w:p w14:paraId="193EF249" w14:textId="77777777" w:rsidR="00234CA2" w:rsidRPr="002B613F" w:rsidRDefault="00234CA2" w:rsidP="00234CA2">
      <w:pPr>
        <w:shd w:val="clear" w:color="auto" w:fill="FFFFFF"/>
        <w:spacing w:after="0" w:line="240" w:lineRule="auto"/>
        <w:ind w:left="709" w:right="709"/>
        <w:jc w:val="both"/>
        <w:rPr>
          <w:rFonts w:ascii="Verdana" w:eastAsia="Calibri" w:hAnsi="Verdana" w:cs="Arial"/>
          <w:sz w:val="20"/>
          <w:szCs w:val="20"/>
          <w:lang w:val="es-ES"/>
        </w:rPr>
      </w:pPr>
      <w:r w:rsidRPr="002B613F">
        <w:rPr>
          <w:rFonts w:ascii="Verdana" w:eastAsia="Calibri"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1EE1A7B3" w14:textId="77777777" w:rsidR="00234CA2" w:rsidRPr="002B613F" w:rsidRDefault="00234CA2" w:rsidP="00234CA2">
      <w:pPr>
        <w:shd w:val="clear" w:color="auto" w:fill="FFFFFF"/>
        <w:spacing w:after="0" w:line="240" w:lineRule="auto"/>
        <w:ind w:left="709" w:right="709"/>
        <w:jc w:val="both"/>
        <w:rPr>
          <w:rFonts w:ascii="Verdana" w:eastAsia="Calibri" w:hAnsi="Verdana" w:cs="Arial"/>
          <w:sz w:val="20"/>
          <w:szCs w:val="20"/>
          <w:lang w:val="es-ES"/>
        </w:rPr>
      </w:pPr>
    </w:p>
    <w:p w14:paraId="51EB34F3" w14:textId="77777777" w:rsidR="00234CA2" w:rsidRPr="002B613F" w:rsidRDefault="00234CA2" w:rsidP="00234CA2">
      <w:pPr>
        <w:shd w:val="clear" w:color="auto" w:fill="FFFFFF"/>
        <w:spacing w:after="0" w:line="240" w:lineRule="auto"/>
        <w:ind w:left="709" w:right="709"/>
        <w:jc w:val="both"/>
        <w:rPr>
          <w:rFonts w:ascii="Verdana" w:eastAsia="Calibri" w:hAnsi="Verdana" w:cs="Arial"/>
          <w:sz w:val="20"/>
          <w:szCs w:val="20"/>
          <w:lang w:val="es-ES"/>
        </w:rPr>
      </w:pPr>
      <w:r w:rsidRPr="002B613F">
        <w:rPr>
          <w:rFonts w:ascii="Verdana" w:eastAsia="Calibri" w:hAnsi="Verdana"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2B613F">
        <w:rPr>
          <w:rFonts w:ascii="Verdana" w:eastAsia="Calibri" w:hAnsi="Verdana" w:cs="Arial"/>
          <w:sz w:val="20"/>
          <w:szCs w:val="20"/>
          <w:vertAlign w:val="superscript"/>
          <w:lang w:val="es-ES"/>
        </w:rPr>
        <w:footnoteReference w:id="3"/>
      </w:r>
      <w:r w:rsidRPr="002B613F">
        <w:rPr>
          <w:rFonts w:ascii="Verdana" w:eastAsia="Calibri" w:hAnsi="Verdana" w:cs="Arial"/>
          <w:sz w:val="20"/>
          <w:szCs w:val="20"/>
          <w:lang w:val="es-ES"/>
        </w:rPr>
        <w:t>.</w:t>
      </w:r>
    </w:p>
    <w:p w14:paraId="475B2D96" w14:textId="77777777" w:rsidR="00234CA2" w:rsidRPr="002B613F" w:rsidRDefault="00234CA2" w:rsidP="00234CA2">
      <w:pPr>
        <w:shd w:val="clear" w:color="auto" w:fill="FFFFFF"/>
        <w:spacing w:after="0" w:line="240" w:lineRule="auto"/>
        <w:ind w:left="709" w:right="709"/>
        <w:jc w:val="both"/>
        <w:rPr>
          <w:rFonts w:ascii="Verdana" w:eastAsia="Calibri" w:hAnsi="Verdana" w:cs="Arial"/>
          <w:lang w:val="es-ES"/>
        </w:rPr>
      </w:pPr>
    </w:p>
    <w:p w14:paraId="0FF0AF22" w14:textId="77777777" w:rsidR="00234CA2" w:rsidRPr="002B613F" w:rsidRDefault="00234CA2" w:rsidP="00234CA2">
      <w:pPr>
        <w:spacing w:after="0" w:line="276" w:lineRule="auto"/>
        <w:ind w:firstLine="709"/>
        <w:jc w:val="both"/>
        <w:rPr>
          <w:rFonts w:ascii="Verdana" w:eastAsia="Calibri" w:hAnsi="Verdana" w:cs="Arial"/>
          <w:lang w:val="es-ES"/>
        </w:rPr>
      </w:pPr>
      <w:r w:rsidRPr="002B613F">
        <w:rPr>
          <w:rFonts w:ascii="Verdana" w:eastAsia="Calibri" w:hAnsi="Verdana" w:cs="Arial"/>
          <w:lang w:val="es-ES"/>
        </w:rPr>
        <w:t xml:space="preserve">Así las cosas, las inhabilidades son medios que garantizan la transparencia y eficiencia en la actividad contractual del Estado, imponiendo restricciones en la personalidad jurídica, la igualdad, la libre empresa y, particularmente, en el </w:t>
      </w:r>
      <w:r w:rsidRPr="002B613F">
        <w:rPr>
          <w:rFonts w:ascii="Verdana" w:eastAsia="Calibri" w:hAnsi="Verdana" w:cs="Arial"/>
          <w:lang w:val="es-ES"/>
        </w:rPr>
        <w:lastRenderedPageBreak/>
        <w:t xml:space="preserve">derecho a participar en procesos de selección y celebrar contratos con el Estado. La Corte Constitucional ha reconocido que estas limitaciones deben justificarse en la salvaguarda del interés general y que su interpretación es taxativa y restrictiva: </w:t>
      </w:r>
    </w:p>
    <w:p w14:paraId="1F7B6473" w14:textId="77777777" w:rsidR="00234CA2" w:rsidRPr="002B613F" w:rsidRDefault="00234CA2" w:rsidP="00234CA2">
      <w:pPr>
        <w:spacing w:after="0" w:line="276" w:lineRule="auto"/>
        <w:rPr>
          <w:rFonts w:ascii="Verdana" w:eastAsia="Times New Roman" w:hAnsi="Verdana" w:cs="Arial"/>
          <w:shd w:val="clear" w:color="auto" w:fill="FFFFFF"/>
          <w:lang w:val="es-ES" w:eastAsia="es-ES_tradnl"/>
        </w:rPr>
      </w:pPr>
    </w:p>
    <w:p w14:paraId="5BC952FD" w14:textId="77777777" w:rsidR="00234CA2" w:rsidRPr="002B613F" w:rsidRDefault="00234CA2" w:rsidP="00234CA2">
      <w:pPr>
        <w:spacing w:after="0" w:line="240" w:lineRule="auto"/>
        <w:ind w:left="709" w:right="709"/>
        <w:jc w:val="both"/>
        <w:rPr>
          <w:rFonts w:ascii="Verdana" w:eastAsia="Calibri" w:hAnsi="Verdana" w:cs="Arial"/>
          <w:sz w:val="20"/>
          <w:szCs w:val="20"/>
          <w:lang w:val="es-ES"/>
        </w:rPr>
      </w:pPr>
      <w:r w:rsidRPr="002B613F">
        <w:rPr>
          <w:rFonts w:ascii="Verdana" w:eastAsia="Calibri" w:hAnsi="Verdana" w:cs="Arial"/>
          <w:sz w:val="20"/>
          <w:szCs w:val="20"/>
          <w:lang w:val="es-ES"/>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55818B20" w14:textId="77777777" w:rsidR="00234CA2" w:rsidRPr="002B613F" w:rsidRDefault="00234CA2" w:rsidP="00234CA2">
      <w:pPr>
        <w:spacing w:after="0" w:line="240" w:lineRule="auto"/>
        <w:ind w:left="709" w:right="709"/>
        <w:jc w:val="both"/>
        <w:rPr>
          <w:rFonts w:ascii="Verdana" w:eastAsia="Calibri" w:hAnsi="Verdana" w:cs="Arial"/>
          <w:sz w:val="20"/>
          <w:szCs w:val="20"/>
          <w:lang w:val="es-ES"/>
        </w:rPr>
      </w:pPr>
    </w:p>
    <w:p w14:paraId="65C334F2" w14:textId="77777777" w:rsidR="00234CA2" w:rsidRPr="002B613F" w:rsidRDefault="00234CA2" w:rsidP="00234CA2">
      <w:pPr>
        <w:spacing w:after="0" w:line="240" w:lineRule="auto"/>
        <w:ind w:left="709" w:right="709"/>
        <w:jc w:val="both"/>
        <w:rPr>
          <w:rFonts w:ascii="Verdana" w:eastAsia="Calibri" w:hAnsi="Verdana" w:cs="Arial"/>
          <w:sz w:val="20"/>
          <w:szCs w:val="20"/>
          <w:lang w:val="es-ES"/>
        </w:rPr>
      </w:pPr>
      <w:r w:rsidRPr="002B613F">
        <w:rPr>
          <w:rFonts w:ascii="Verdana" w:eastAsia="Calibri" w:hAnsi="Verdana" w:cs="Arial"/>
          <w:sz w:val="20"/>
          <w:szCs w:val="20"/>
          <w:lang w:val="es-ES"/>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2B613F">
        <w:rPr>
          <w:rFonts w:ascii="Verdana" w:eastAsia="Calibri" w:hAnsi="Verdana" w:cs="Arial"/>
          <w:sz w:val="20"/>
          <w:szCs w:val="20"/>
          <w:vertAlign w:val="superscript"/>
          <w:lang w:val="es-ES"/>
        </w:rPr>
        <w:footnoteReference w:id="4"/>
      </w:r>
      <w:r w:rsidRPr="002B613F">
        <w:rPr>
          <w:rFonts w:ascii="Verdana" w:eastAsia="Calibri" w:hAnsi="Verdana" w:cs="Arial"/>
          <w:sz w:val="20"/>
          <w:szCs w:val="20"/>
          <w:lang w:val="es-ES"/>
        </w:rPr>
        <w:t xml:space="preserve">. </w:t>
      </w:r>
    </w:p>
    <w:p w14:paraId="0CD31E74" w14:textId="77777777" w:rsidR="00234CA2" w:rsidRPr="002B613F" w:rsidRDefault="00234CA2" w:rsidP="00234CA2">
      <w:pPr>
        <w:spacing w:after="0" w:line="276" w:lineRule="auto"/>
        <w:ind w:right="709"/>
        <w:jc w:val="both"/>
        <w:rPr>
          <w:rFonts w:ascii="Verdana" w:eastAsia="Calibri" w:hAnsi="Verdana" w:cs="Arial"/>
          <w:lang w:val="es-ES"/>
        </w:rPr>
      </w:pPr>
    </w:p>
    <w:p w14:paraId="1A440942" w14:textId="77777777" w:rsidR="00234CA2" w:rsidRPr="002B613F" w:rsidRDefault="00234CA2" w:rsidP="00234CA2">
      <w:pPr>
        <w:spacing w:after="0" w:line="276" w:lineRule="auto"/>
        <w:ind w:firstLine="709"/>
        <w:jc w:val="both"/>
        <w:rPr>
          <w:rFonts w:ascii="Verdana" w:eastAsia="Calibri" w:hAnsi="Verdana" w:cs="Arial"/>
          <w:lang w:val="es-ES"/>
        </w:rPr>
      </w:pPr>
      <w:r w:rsidRPr="002B613F">
        <w:rPr>
          <w:rFonts w:ascii="Verdana" w:eastAsia="Calibri" w:hAnsi="Verdana" w:cs="Arial"/>
          <w:lang w:val="es-ES"/>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3F23D689" w14:textId="77777777" w:rsidR="00234CA2" w:rsidRPr="002B613F" w:rsidRDefault="00234CA2" w:rsidP="00234CA2">
      <w:pPr>
        <w:spacing w:after="0" w:line="240" w:lineRule="auto"/>
        <w:ind w:left="709" w:right="709"/>
        <w:jc w:val="both"/>
        <w:rPr>
          <w:rFonts w:ascii="Verdana" w:eastAsia="Calibri" w:hAnsi="Verdana" w:cs="Arial"/>
          <w:sz w:val="20"/>
          <w:szCs w:val="20"/>
          <w:lang w:val="es-ES"/>
        </w:rPr>
      </w:pPr>
    </w:p>
    <w:p w14:paraId="5CEA0A07" w14:textId="77777777" w:rsidR="00234CA2" w:rsidRPr="002B613F" w:rsidRDefault="00234CA2" w:rsidP="00234CA2">
      <w:pPr>
        <w:spacing w:after="0" w:line="240" w:lineRule="auto"/>
        <w:ind w:left="709" w:right="709"/>
        <w:jc w:val="both"/>
        <w:rPr>
          <w:rFonts w:ascii="Verdana" w:eastAsia="Calibri" w:hAnsi="Verdana" w:cs="Arial"/>
          <w:sz w:val="20"/>
          <w:szCs w:val="20"/>
          <w:lang w:val="es-ES"/>
        </w:rPr>
      </w:pPr>
      <w:r w:rsidRPr="002B613F">
        <w:rPr>
          <w:rFonts w:ascii="Verdana" w:eastAsia="Calibri" w:hAnsi="Verdana" w:cs="Arial"/>
          <w:sz w:val="20"/>
          <w:szCs w:val="20"/>
          <w:lang w:val="es-E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w:t>
      </w:r>
      <w:r w:rsidRPr="002B613F">
        <w:rPr>
          <w:rFonts w:ascii="Verdana" w:eastAsia="Calibri" w:hAnsi="Verdana" w:cs="Arial"/>
          <w:sz w:val="20"/>
          <w:szCs w:val="20"/>
          <w:lang w:val="es-ES"/>
        </w:rPr>
        <w:lastRenderedPageBreak/>
        <w:t xml:space="preserve">la esfera estatal y pública, dentro de la cual no rige el principio pro </w:t>
      </w:r>
      <w:proofErr w:type="spellStart"/>
      <w:r w:rsidRPr="002B613F">
        <w:rPr>
          <w:rFonts w:ascii="Verdana" w:eastAsia="Calibri" w:hAnsi="Verdana" w:cs="Arial"/>
          <w:sz w:val="20"/>
          <w:szCs w:val="20"/>
          <w:lang w:val="es-ES"/>
        </w:rPr>
        <w:t>libertate</w:t>
      </w:r>
      <w:proofErr w:type="spellEnd"/>
      <w:r w:rsidRPr="002B613F">
        <w:rPr>
          <w:rFonts w:ascii="Verdana" w:eastAsia="Calibri" w:hAnsi="Verdana" w:cs="Arial"/>
          <w:sz w:val="20"/>
          <w:szCs w:val="20"/>
          <w:lang w:val="es-ES"/>
        </w:rPr>
        <w:t xml:space="preserve">, sino el de legalidad, el que ordena que la función pública debe someterse estrictamente a lo que disponga la Constitución y la ley (CP art. 6). </w:t>
      </w:r>
    </w:p>
    <w:p w14:paraId="198F9A98" w14:textId="77777777" w:rsidR="00234CA2" w:rsidRPr="002B613F" w:rsidRDefault="00234CA2" w:rsidP="00234CA2">
      <w:pPr>
        <w:spacing w:after="0" w:line="240" w:lineRule="auto"/>
        <w:ind w:left="709" w:right="709"/>
        <w:jc w:val="both"/>
        <w:rPr>
          <w:rFonts w:ascii="Verdana" w:eastAsia="Calibri" w:hAnsi="Verdana" w:cs="Arial"/>
          <w:sz w:val="20"/>
          <w:szCs w:val="20"/>
          <w:lang w:val="es-ES"/>
        </w:rPr>
      </w:pPr>
      <w:r w:rsidRPr="002B613F">
        <w:rPr>
          <w:rFonts w:ascii="Verdana" w:eastAsia="Calibri" w:hAnsi="Verdana" w:cs="Arial"/>
          <w:sz w:val="20"/>
          <w:szCs w:val="20"/>
          <w:lang w:val="es-ES"/>
        </w:rPr>
        <w:t xml:space="preserve">[…] </w:t>
      </w:r>
    </w:p>
    <w:p w14:paraId="352A69D9" w14:textId="77777777" w:rsidR="00234CA2" w:rsidRPr="002B613F" w:rsidRDefault="00234CA2" w:rsidP="00234CA2">
      <w:pPr>
        <w:spacing w:after="0" w:line="240" w:lineRule="auto"/>
        <w:ind w:left="709" w:right="709"/>
        <w:jc w:val="both"/>
        <w:rPr>
          <w:rFonts w:ascii="Verdana" w:eastAsia="Calibri" w:hAnsi="Verdana" w:cs="Arial"/>
          <w:sz w:val="20"/>
          <w:szCs w:val="20"/>
          <w:lang w:val="es-ES"/>
        </w:rPr>
      </w:pPr>
      <w:r w:rsidRPr="002B613F">
        <w:rPr>
          <w:rFonts w:ascii="Verdana" w:eastAsia="Calibri" w:hAnsi="Verdana" w:cs="Arial"/>
          <w:sz w:val="20"/>
          <w:szCs w:val="20"/>
          <w:lang w:val="es-ES"/>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2B613F">
        <w:rPr>
          <w:rFonts w:ascii="Verdana" w:eastAsia="Calibri" w:hAnsi="Verdana" w:cs="Arial"/>
          <w:sz w:val="20"/>
          <w:szCs w:val="20"/>
          <w:vertAlign w:val="superscript"/>
          <w:lang w:val="es-ES"/>
        </w:rPr>
        <w:footnoteReference w:id="5"/>
      </w:r>
      <w:r w:rsidRPr="002B613F">
        <w:rPr>
          <w:rFonts w:ascii="Verdana" w:eastAsia="Calibri" w:hAnsi="Verdana" w:cs="Arial"/>
          <w:sz w:val="20"/>
          <w:szCs w:val="20"/>
          <w:lang w:val="es-ES"/>
        </w:rPr>
        <w:t>.</w:t>
      </w:r>
    </w:p>
    <w:p w14:paraId="372B7F40" w14:textId="77777777" w:rsidR="00234CA2" w:rsidRPr="002B613F" w:rsidRDefault="00234CA2" w:rsidP="00234CA2">
      <w:pPr>
        <w:spacing w:after="0" w:line="276" w:lineRule="auto"/>
        <w:ind w:left="709" w:right="709"/>
        <w:jc w:val="both"/>
        <w:rPr>
          <w:rFonts w:ascii="Verdana" w:eastAsia="Calibri" w:hAnsi="Verdana" w:cs="Arial"/>
          <w:lang w:val="es-ES"/>
        </w:rPr>
      </w:pPr>
    </w:p>
    <w:p w14:paraId="1ABD96CA" w14:textId="77777777" w:rsidR="00234CA2" w:rsidRPr="002B613F" w:rsidRDefault="00234CA2" w:rsidP="00234CA2">
      <w:pPr>
        <w:spacing w:after="120" w:line="276" w:lineRule="auto"/>
        <w:ind w:firstLine="709"/>
        <w:jc w:val="both"/>
        <w:rPr>
          <w:rFonts w:ascii="Verdana" w:eastAsia="Calibri" w:hAnsi="Verdana" w:cs="Arial"/>
          <w:lang w:val="es-ES"/>
        </w:rPr>
      </w:pPr>
      <w:r w:rsidRPr="002B613F">
        <w:rPr>
          <w:rFonts w:ascii="Verdana" w:eastAsia="Calibri" w:hAnsi="Verdana" w:cs="Arial"/>
          <w:lang w:val="es-ES"/>
        </w:rPr>
        <w:t xml:space="preserve">Conviene también distinguir las fuentes de las inhabilidades, las cuales han sido clasificadas en dos (2) grupos: i) inhabilidades-sanción y </w:t>
      </w:r>
      <w:proofErr w:type="spellStart"/>
      <w:r w:rsidRPr="002B613F">
        <w:rPr>
          <w:rFonts w:ascii="Verdana" w:eastAsia="Calibri" w:hAnsi="Verdana" w:cs="Arial"/>
          <w:lang w:val="es-ES"/>
        </w:rPr>
        <w:t>ii</w:t>
      </w:r>
      <w:proofErr w:type="spellEnd"/>
      <w:r w:rsidRPr="002B613F">
        <w:rPr>
          <w:rFonts w:ascii="Verdana" w:eastAsia="Calibri" w:hAnsi="Verdana" w:cs="Arial"/>
          <w:lang w:val="es-ES"/>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2B613F">
        <w:rPr>
          <w:rFonts w:ascii="Verdana" w:eastAsia="Calibri" w:hAnsi="Verdana" w:cs="Arial"/>
          <w:vertAlign w:val="superscript"/>
          <w:lang w:val="es-ES"/>
        </w:rPr>
        <w:footnoteReference w:id="6"/>
      </w:r>
      <w:r w:rsidRPr="002B613F">
        <w:rPr>
          <w:rFonts w:ascii="Verdana" w:eastAsia="Calibri" w:hAnsi="Verdana" w:cs="Arial"/>
          <w:lang w:val="es-ES"/>
        </w:rPr>
        <w:t>.</w:t>
      </w:r>
    </w:p>
    <w:p w14:paraId="764E835E" w14:textId="77777777" w:rsidR="00234CA2" w:rsidRPr="002B613F" w:rsidRDefault="00234CA2" w:rsidP="00234CA2">
      <w:pPr>
        <w:spacing w:before="120" w:after="120" w:line="276" w:lineRule="auto"/>
        <w:ind w:firstLine="708"/>
        <w:jc w:val="both"/>
        <w:rPr>
          <w:rFonts w:ascii="Verdana" w:eastAsia="Calibri" w:hAnsi="Verdana" w:cs="Arial"/>
          <w:lang w:val="es-ES"/>
        </w:rPr>
      </w:pPr>
      <w:r w:rsidRPr="002B613F">
        <w:rPr>
          <w:rFonts w:ascii="Verdana" w:eastAsia="Calibri" w:hAnsi="Verdana" w:cs="Arial"/>
          <w:lang w:val="es-ES"/>
        </w:rPr>
        <w:t>A manera de ejemplo, en materia contractual, los literales c), d) y j) del numeral 1 del artículo 8 de la Ley 80 de 1993</w:t>
      </w:r>
      <w:r w:rsidRPr="002B613F">
        <w:rPr>
          <w:rFonts w:ascii="Verdana" w:eastAsia="Calibri" w:hAnsi="Verdana" w:cs="Arial"/>
          <w:vertAlign w:val="superscript"/>
          <w:lang w:val="es-ES"/>
        </w:rPr>
        <w:footnoteReference w:id="7"/>
      </w:r>
      <w:r w:rsidRPr="002B613F">
        <w:rPr>
          <w:rFonts w:ascii="Verdana" w:eastAsia="Calibri" w:hAnsi="Verdana" w:cs="Arial"/>
          <w:lang w:val="es-ES"/>
        </w:rPr>
        <w:t xml:space="preserve"> establecen inhabilidades-sanción, </w:t>
      </w:r>
      <w:r w:rsidRPr="002B613F">
        <w:rPr>
          <w:rFonts w:ascii="Verdana" w:eastAsia="Calibri" w:hAnsi="Verdana" w:cs="Arial"/>
          <w:lang w:val="es-ES"/>
        </w:rPr>
        <w:lastRenderedPageBreak/>
        <w:t xml:space="preserve">porque la prohibición para contratar con el Estado en esos eventos es una consecuencia de una declaratoria de responsabilidad que surge luego de un </w:t>
      </w:r>
      <w:r w:rsidRPr="002B613F">
        <w:rPr>
          <w:rFonts w:ascii="Verdana" w:eastAsia="Calibri" w:hAnsi="Verdana" w:cs="Arial"/>
          <w:lang w:val="es-ES"/>
        </w:rPr>
        <w:lastRenderedPageBreak/>
        <w:t xml:space="preserve">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3D12B1FF" w14:textId="77777777" w:rsidR="00234CA2" w:rsidRPr="002B613F" w:rsidRDefault="00234CA2" w:rsidP="00234CA2">
      <w:pPr>
        <w:spacing w:before="120" w:after="120" w:line="276" w:lineRule="auto"/>
        <w:ind w:firstLine="709"/>
        <w:jc w:val="both"/>
        <w:rPr>
          <w:rFonts w:ascii="Verdana" w:eastAsia="Calibri" w:hAnsi="Verdana" w:cs="Arial"/>
          <w:lang w:val="es-ES"/>
        </w:rPr>
      </w:pPr>
      <w:r w:rsidRPr="002B613F">
        <w:rPr>
          <w:rFonts w:ascii="Verdana" w:eastAsia="Calibri" w:hAnsi="Verdana" w:cs="Arial"/>
          <w:lang w:val="es-ES"/>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11435F6D" w14:textId="77777777" w:rsidR="00234CA2" w:rsidRPr="002B613F" w:rsidRDefault="00234CA2" w:rsidP="00234CA2">
      <w:pPr>
        <w:spacing w:before="120" w:after="120" w:line="276" w:lineRule="auto"/>
        <w:ind w:firstLine="709"/>
        <w:jc w:val="both"/>
        <w:rPr>
          <w:rFonts w:ascii="Verdana" w:eastAsia="Calibri" w:hAnsi="Verdana" w:cs="Arial"/>
          <w:lang w:val="es-ES"/>
        </w:rPr>
      </w:pPr>
      <w:r w:rsidRPr="002B613F">
        <w:rPr>
          <w:rFonts w:ascii="Verdana" w:eastAsia="Calibri" w:hAnsi="Verdana" w:cs="Arial"/>
          <w:lang w:val="es-ES"/>
        </w:rPr>
        <w:t xml:space="preserve">Tal como ha sostenido esta Agencia en conceptos como el C-909 de 2026, por usted citado,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2B613F">
        <w:rPr>
          <w:rFonts w:ascii="Verdana" w:eastAsia="Calibri" w:hAnsi="Verdana" w:cs="Arial"/>
          <w:i/>
          <w:iCs/>
          <w:u w:val="single"/>
          <w:lang w:val="es-ES"/>
        </w:rPr>
        <w:t>restrictiva</w:t>
      </w:r>
      <w:r w:rsidRPr="002B613F">
        <w:rPr>
          <w:rFonts w:ascii="Verdana" w:eastAsia="Calibri" w:hAnsi="Verdana" w:cs="Arial"/>
          <w:vertAlign w:val="superscript"/>
          <w:lang w:val="es-ES"/>
        </w:rPr>
        <w:footnoteReference w:id="8"/>
      </w:r>
      <w:r w:rsidRPr="002B613F">
        <w:rPr>
          <w:rFonts w:ascii="Verdana" w:eastAsia="Calibri" w:hAnsi="Verdana" w:cs="Arial"/>
          <w:i/>
          <w:iCs/>
          <w:lang w:val="es-ES"/>
        </w:rPr>
        <w:t xml:space="preserve">, </w:t>
      </w:r>
      <w:r w:rsidRPr="002B613F">
        <w:rPr>
          <w:rFonts w:ascii="Verdana" w:eastAsia="Calibri" w:hAnsi="Verdana" w:cs="Arial"/>
          <w:lang w:val="es-ES"/>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60B09FA1" w14:textId="77777777" w:rsidR="00234CA2" w:rsidRPr="002B613F" w:rsidRDefault="00234CA2" w:rsidP="00234CA2">
      <w:pPr>
        <w:spacing w:after="120" w:line="276" w:lineRule="auto"/>
        <w:ind w:firstLine="709"/>
        <w:jc w:val="both"/>
        <w:rPr>
          <w:rFonts w:ascii="Verdana" w:eastAsia="Calibri" w:hAnsi="Verdana" w:cs="Arial"/>
          <w:lang w:val="es-ES"/>
        </w:rPr>
      </w:pPr>
      <w:r w:rsidRPr="002B613F">
        <w:rPr>
          <w:rFonts w:ascii="Verdana" w:eastAsia="Calibri" w:hAnsi="Verdana" w:cs="Arial"/>
          <w:lang w:val="es-ES"/>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2B613F">
        <w:rPr>
          <w:rFonts w:ascii="Verdana" w:eastAsia="Calibri" w:hAnsi="Verdana" w:cs="Arial"/>
          <w:vertAlign w:val="superscript"/>
          <w:lang w:val="es-ES"/>
        </w:rPr>
        <w:footnoteReference w:id="9"/>
      </w:r>
      <w:r w:rsidRPr="002B613F">
        <w:rPr>
          <w:rFonts w:ascii="Verdana" w:eastAsia="Calibri" w:hAnsi="Verdana" w:cs="Arial"/>
          <w:lang w:val="es-ES"/>
        </w:rPr>
        <w:t xml:space="preserve">. </w:t>
      </w:r>
    </w:p>
    <w:p w14:paraId="72E8C4D1" w14:textId="77777777" w:rsidR="00234CA2" w:rsidRPr="002B613F" w:rsidRDefault="00234CA2" w:rsidP="00234CA2">
      <w:pPr>
        <w:spacing w:after="120" w:line="276" w:lineRule="auto"/>
        <w:ind w:firstLine="709"/>
        <w:jc w:val="both"/>
        <w:rPr>
          <w:rFonts w:ascii="Verdana" w:eastAsia="Calibri" w:hAnsi="Verdana" w:cs="Arial"/>
          <w:lang w:val="es-ES"/>
        </w:rPr>
      </w:pPr>
      <w:r w:rsidRPr="002B613F">
        <w:rPr>
          <w:rFonts w:ascii="Verdana" w:eastAsia="Calibri" w:hAnsi="Verdana" w:cs="Arial"/>
          <w:lang w:val="es-ES"/>
        </w:rPr>
        <w:lastRenderedPageBreak/>
        <w:t>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2B613F">
        <w:rPr>
          <w:rFonts w:ascii="Verdana" w:eastAsia="Calibri" w:hAnsi="Verdana" w:cs="Arial"/>
          <w:vertAlign w:val="superscript"/>
          <w:lang w:val="es-ES"/>
        </w:rPr>
        <w:footnoteReference w:id="10"/>
      </w:r>
      <w:r w:rsidRPr="002B613F">
        <w:rPr>
          <w:rFonts w:ascii="Verdana" w:eastAsia="Calibri" w:hAnsi="Verdana" w:cs="Arial"/>
          <w:lang w:val="es-ES"/>
        </w:rPr>
        <w:t>. En tal sentido, la Sección Tercera ha señalado que:</w:t>
      </w:r>
    </w:p>
    <w:p w14:paraId="66D38441" w14:textId="77777777" w:rsidR="00234CA2" w:rsidRPr="002B613F" w:rsidRDefault="00234CA2" w:rsidP="00234CA2">
      <w:pPr>
        <w:spacing w:after="0" w:line="276" w:lineRule="auto"/>
        <w:ind w:firstLine="709"/>
        <w:jc w:val="both"/>
        <w:rPr>
          <w:rFonts w:ascii="Verdana" w:eastAsia="Calibri" w:hAnsi="Verdana" w:cs="Arial"/>
          <w:lang w:val="es-ES"/>
        </w:rPr>
      </w:pPr>
    </w:p>
    <w:p w14:paraId="5B85950B" w14:textId="77777777" w:rsidR="00234CA2" w:rsidRPr="002B613F" w:rsidRDefault="00234CA2" w:rsidP="00234CA2">
      <w:pPr>
        <w:spacing w:after="0" w:line="240" w:lineRule="auto"/>
        <w:ind w:left="709" w:right="709"/>
        <w:jc w:val="both"/>
        <w:rPr>
          <w:rFonts w:ascii="Verdana" w:eastAsia="Calibri" w:hAnsi="Verdana" w:cs="Arial"/>
          <w:sz w:val="20"/>
          <w:szCs w:val="20"/>
          <w:lang w:val="es-ES"/>
        </w:rPr>
      </w:pPr>
      <w:r w:rsidRPr="002B613F">
        <w:rPr>
          <w:rFonts w:ascii="Verdana" w:eastAsia="Calibri" w:hAnsi="Verdana" w:cs="Arial"/>
          <w:sz w:val="20"/>
          <w:szCs w:val="20"/>
          <w:lang w:val="es-ES"/>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2B613F">
        <w:rPr>
          <w:rFonts w:ascii="Verdana" w:eastAsia="Calibri" w:hAnsi="Verdana" w:cs="Arial"/>
          <w:sz w:val="20"/>
          <w:szCs w:val="20"/>
          <w:vertAlign w:val="superscript"/>
          <w:lang w:val="es-ES"/>
        </w:rPr>
        <w:footnoteReference w:id="11"/>
      </w:r>
      <w:r w:rsidRPr="002B613F">
        <w:rPr>
          <w:rFonts w:ascii="Verdana" w:eastAsia="Calibri" w:hAnsi="Verdana" w:cs="Arial"/>
          <w:sz w:val="20"/>
          <w:szCs w:val="20"/>
          <w:lang w:val="es-ES"/>
        </w:rPr>
        <w:t>.</w:t>
      </w:r>
    </w:p>
    <w:p w14:paraId="2EB3A243" w14:textId="77777777" w:rsidR="00234CA2" w:rsidRPr="002B613F" w:rsidRDefault="00234CA2" w:rsidP="00234CA2">
      <w:pPr>
        <w:spacing w:before="120" w:after="120" w:line="276" w:lineRule="auto"/>
        <w:ind w:firstLine="709"/>
        <w:jc w:val="both"/>
        <w:rPr>
          <w:rFonts w:ascii="Verdana" w:eastAsia="Calibri" w:hAnsi="Verdana" w:cs="Arial"/>
          <w:lang w:val="es-ES"/>
        </w:rPr>
      </w:pPr>
      <w:r w:rsidRPr="002B613F">
        <w:rPr>
          <w:rFonts w:ascii="Verdana" w:eastAsia="Calibri" w:hAnsi="Verdana" w:cs="Arial"/>
          <w:lang w:val="es-ES"/>
        </w:rPr>
        <w:t xml:space="preserve">También ha resaltado que las inhabilidades requieren una interpretación restrictiva en el marco del principio </w:t>
      </w:r>
      <w:r w:rsidRPr="002B613F">
        <w:rPr>
          <w:rFonts w:ascii="Verdana" w:eastAsia="Calibri" w:hAnsi="Verdana" w:cs="Arial"/>
          <w:i/>
          <w:iCs/>
          <w:lang w:val="es-ES"/>
        </w:rPr>
        <w:t xml:space="preserve">pro </w:t>
      </w:r>
      <w:proofErr w:type="spellStart"/>
      <w:r w:rsidRPr="002B613F">
        <w:rPr>
          <w:rFonts w:ascii="Verdana" w:eastAsia="Calibri" w:hAnsi="Verdana" w:cs="Arial"/>
          <w:i/>
          <w:iCs/>
          <w:lang w:val="es-ES"/>
        </w:rPr>
        <w:t>libertate</w:t>
      </w:r>
      <w:proofErr w:type="spellEnd"/>
      <w:r w:rsidRPr="002B613F">
        <w:rPr>
          <w:rFonts w:ascii="Verdana" w:eastAsia="Calibri" w:hAnsi="Verdana" w:cs="Arial"/>
          <w:lang w:val="es-ES"/>
        </w:rPr>
        <w:t>, como sigue:</w:t>
      </w:r>
    </w:p>
    <w:p w14:paraId="3C64A0F5" w14:textId="77777777" w:rsidR="00234CA2" w:rsidRPr="002B613F" w:rsidRDefault="00234CA2" w:rsidP="00234CA2">
      <w:pPr>
        <w:spacing w:after="0" w:line="240" w:lineRule="auto"/>
        <w:ind w:left="709" w:right="616"/>
        <w:jc w:val="both"/>
        <w:rPr>
          <w:rFonts w:ascii="Verdana" w:eastAsia="Calibri" w:hAnsi="Verdana" w:cs="Arial"/>
          <w:sz w:val="20"/>
          <w:szCs w:val="20"/>
          <w:lang w:val="es-ES"/>
        </w:rPr>
      </w:pPr>
      <w:r w:rsidRPr="002B613F">
        <w:rPr>
          <w:rFonts w:ascii="Verdana" w:eastAsia="Calibri" w:hAnsi="Verdana" w:cs="Arial"/>
          <w:sz w:val="20"/>
          <w:szCs w:val="20"/>
          <w:lang w:val="es-ES"/>
        </w:rPr>
        <w:t xml:space="preserve">[…] la aplicación de estos preceptos exige una interpretación restrictiva, dado que según el principio hermenéutico </w:t>
      </w:r>
      <w:r w:rsidRPr="002B613F">
        <w:rPr>
          <w:rFonts w:ascii="Verdana" w:eastAsia="Calibri" w:hAnsi="Verdana" w:cs="Arial"/>
          <w:i/>
          <w:iCs/>
          <w:sz w:val="20"/>
          <w:szCs w:val="20"/>
          <w:lang w:val="es-ES"/>
        </w:rPr>
        <w:t xml:space="preserve">pro </w:t>
      </w:r>
      <w:proofErr w:type="spellStart"/>
      <w:r w:rsidRPr="002B613F">
        <w:rPr>
          <w:rFonts w:ascii="Verdana" w:eastAsia="Calibri" w:hAnsi="Verdana" w:cs="Arial"/>
          <w:i/>
          <w:iCs/>
          <w:sz w:val="20"/>
          <w:szCs w:val="20"/>
          <w:lang w:val="es-ES"/>
        </w:rPr>
        <w:t>libertate</w:t>
      </w:r>
      <w:proofErr w:type="spellEnd"/>
      <w:r w:rsidRPr="002B613F">
        <w:rPr>
          <w:rFonts w:ascii="Verdana" w:eastAsia="Calibri" w:hAnsi="Verdana" w:cs="Arial"/>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2B613F">
        <w:rPr>
          <w:rFonts w:ascii="Verdana" w:eastAsia="Calibri" w:hAnsi="Verdana" w:cs="Arial"/>
          <w:sz w:val="20"/>
          <w:szCs w:val="20"/>
          <w:vertAlign w:val="superscript"/>
          <w:lang w:val="es-ES"/>
        </w:rPr>
        <w:footnoteReference w:id="12"/>
      </w:r>
      <w:r w:rsidRPr="002B613F">
        <w:rPr>
          <w:rFonts w:ascii="Verdana" w:eastAsia="Calibri" w:hAnsi="Verdana" w:cs="Arial"/>
          <w:sz w:val="20"/>
          <w:szCs w:val="20"/>
          <w:lang w:val="es-ES"/>
        </w:rPr>
        <w:t>.</w:t>
      </w:r>
    </w:p>
    <w:p w14:paraId="7B7FAED1" w14:textId="77777777" w:rsidR="00234CA2" w:rsidRPr="002B613F" w:rsidRDefault="00234CA2" w:rsidP="00234CA2">
      <w:pPr>
        <w:spacing w:after="0" w:line="276" w:lineRule="auto"/>
        <w:ind w:firstLine="708"/>
        <w:jc w:val="both"/>
        <w:rPr>
          <w:rFonts w:ascii="Verdana" w:eastAsia="Arial" w:hAnsi="Verdana" w:cs="Arial"/>
          <w:color w:val="000000"/>
          <w:lang w:val="es-ES"/>
        </w:rPr>
      </w:pPr>
    </w:p>
    <w:p w14:paraId="6C6283A1" w14:textId="77777777" w:rsidR="00234CA2" w:rsidRPr="002B613F" w:rsidRDefault="00234CA2" w:rsidP="00234CA2">
      <w:pPr>
        <w:spacing w:after="0" w:line="276" w:lineRule="auto"/>
        <w:ind w:firstLine="708"/>
        <w:jc w:val="both"/>
        <w:rPr>
          <w:rFonts w:ascii="Verdana" w:eastAsia="Calibri" w:hAnsi="Verdana" w:cs="Arial"/>
          <w:color w:val="000000"/>
          <w:lang w:val="es-ES"/>
        </w:rPr>
      </w:pPr>
      <w:r w:rsidRPr="002B613F">
        <w:rPr>
          <w:rFonts w:ascii="Verdana" w:eastAsia="Arial" w:hAnsi="Verdana" w:cs="Arial"/>
          <w:color w:val="000000"/>
          <w:lang w:val="es-ES"/>
        </w:rPr>
        <w:t xml:space="preserve">Como se aprecia, el principio </w:t>
      </w:r>
      <w:r w:rsidRPr="002B613F">
        <w:rPr>
          <w:rFonts w:ascii="Verdana" w:eastAsia="Arial" w:hAnsi="Verdana" w:cs="Arial"/>
          <w:i/>
          <w:iCs/>
          <w:color w:val="000000"/>
          <w:lang w:val="es-ES"/>
        </w:rPr>
        <w:t xml:space="preserve">pro </w:t>
      </w:r>
      <w:proofErr w:type="spellStart"/>
      <w:r w:rsidRPr="002B613F">
        <w:rPr>
          <w:rFonts w:ascii="Verdana" w:eastAsia="Arial" w:hAnsi="Verdana" w:cs="Arial"/>
          <w:i/>
          <w:iCs/>
          <w:color w:val="000000"/>
          <w:lang w:val="es-ES"/>
        </w:rPr>
        <w:t>libertate</w:t>
      </w:r>
      <w:proofErr w:type="spellEnd"/>
      <w:r w:rsidRPr="002B613F">
        <w:rPr>
          <w:rFonts w:ascii="Verdana" w:eastAsia="Arial" w:hAnsi="Verdana" w:cs="Arial"/>
          <w:color w:val="000000"/>
          <w:lang w:val="es-ES"/>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w:t>
      </w:r>
      <w:r w:rsidRPr="002B613F">
        <w:rPr>
          <w:rFonts w:ascii="Verdana" w:eastAsia="Arial" w:hAnsi="Verdana" w:cs="Arial"/>
          <w:color w:val="000000"/>
          <w:lang w:val="es-ES"/>
        </w:rPr>
        <w:lastRenderedPageBreak/>
        <w:t>de inhabilidad e incompatibilidad, la</w:t>
      </w:r>
      <w:r w:rsidRPr="002B613F">
        <w:rPr>
          <w:rFonts w:ascii="Verdana" w:eastAsia="Calibri" w:hAnsi="Verdana" w:cs="Arial"/>
          <w:color w:val="000000"/>
          <w:lang w:val="es-ES"/>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2B613F">
        <w:rPr>
          <w:rFonts w:ascii="Verdana" w:eastAsia="Calibri" w:hAnsi="Verdana" w:cs="Arial"/>
          <w:color w:val="000000"/>
          <w:vertAlign w:val="superscript"/>
          <w:lang w:val="es-ES"/>
        </w:rPr>
        <w:footnoteReference w:id="13"/>
      </w:r>
      <w:r w:rsidRPr="002B613F">
        <w:rPr>
          <w:rFonts w:ascii="Verdana" w:eastAsia="Calibri" w:hAnsi="Verdana" w:cs="Arial"/>
          <w:color w:val="000000"/>
          <w:lang w:val="es-ES"/>
        </w:rPr>
        <w:t>. Lo anterior supone que no corresponde a otros actores, como las entidades contratantes, realizar una interpretación o aplicación extensiva de los supuestos de hecho que el legislador o el constituyente estableció expresamente.</w:t>
      </w:r>
    </w:p>
    <w:p w14:paraId="1A60B37F" w14:textId="77777777" w:rsidR="00234CA2" w:rsidRPr="002B613F" w:rsidRDefault="00234CA2" w:rsidP="00234CA2">
      <w:pPr>
        <w:spacing w:after="0" w:line="276" w:lineRule="auto"/>
        <w:jc w:val="both"/>
        <w:rPr>
          <w:rFonts w:ascii="Verdana" w:eastAsia="Calibri" w:hAnsi="Verdana" w:cs="Arial"/>
          <w:color w:val="000000"/>
          <w:lang w:val="es-ES"/>
        </w:rPr>
      </w:pPr>
    </w:p>
    <w:p w14:paraId="0AD2DA4B" w14:textId="77777777" w:rsidR="00234CA2" w:rsidRPr="002B613F" w:rsidRDefault="00234CA2" w:rsidP="00234CA2">
      <w:pPr>
        <w:spacing w:after="120" w:line="276" w:lineRule="auto"/>
        <w:jc w:val="both"/>
        <w:rPr>
          <w:rFonts w:ascii="Verdana" w:eastAsia="Calibri" w:hAnsi="Verdana" w:cs="Arial"/>
          <w:color w:val="000000"/>
          <w:lang w:val="es-ES"/>
        </w:rPr>
      </w:pPr>
      <w:proofErr w:type="spellStart"/>
      <w:r w:rsidRPr="002B613F">
        <w:rPr>
          <w:rFonts w:ascii="Verdana" w:eastAsia="Calibri" w:hAnsi="Verdana" w:cs="Arial"/>
          <w:color w:val="000000"/>
          <w:lang w:val="es-ES"/>
        </w:rPr>
        <w:t>ii</w:t>
      </w:r>
      <w:proofErr w:type="spellEnd"/>
      <w:r>
        <w:rPr>
          <w:rFonts w:ascii="Verdana" w:eastAsia="Calibri" w:hAnsi="Verdana" w:cs="Arial"/>
          <w:color w:val="000000"/>
          <w:lang w:val="es-ES"/>
        </w:rPr>
        <w:t>.</w:t>
      </w:r>
      <w:r w:rsidRPr="002B613F">
        <w:rPr>
          <w:rFonts w:ascii="Verdana" w:eastAsia="Calibri" w:hAnsi="Verdana" w:cs="Arial"/>
          <w:color w:val="000000"/>
          <w:lang w:val="es-ES"/>
        </w:rPr>
        <w:t xml:space="preserve"> Lo expuesto significa que para determinar si un supuesto configura una inhabilidad o incompatibilidad es necesario verificar que se subsuma en el supuesto de hecho expreso de alguna de las causales previstas en la constitución o en la ley. Para el caso objeto de consulta, ni la Constitución ni la ley prevén actualmente una causal </w:t>
      </w:r>
      <w:r>
        <w:rPr>
          <w:rFonts w:ascii="Verdana" w:eastAsia="Calibri" w:hAnsi="Verdana" w:cs="Arial"/>
          <w:color w:val="000000"/>
          <w:lang w:val="es-ES"/>
        </w:rPr>
        <w:t xml:space="preserve">que </w:t>
      </w:r>
      <w:r w:rsidRPr="002B613F">
        <w:rPr>
          <w:rFonts w:ascii="Verdana" w:eastAsia="Calibri" w:hAnsi="Verdana" w:cs="Arial"/>
          <w:color w:val="000000"/>
          <w:lang w:val="es-ES"/>
        </w:rPr>
        <w:t xml:space="preserve">configure la inhabilidad de quien participa </w:t>
      </w:r>
      <w:r>
        <w:rPr>
          <w:rFonts w:ascii="Verdana" w:eastAsia="Calibri" w:hAnsi="Verdana" w:cs="Arial"/>
          <w:color w:val="000000"/>
          <w:lang w:val="es-ES"/>
        </w:rPr>
        <w:t xml:space="preserve">como socio de dos empresas proponentes </w:t>
      </w:r>
      <w:r w:rsidRPr="002B613F">
        <w:rPr>
          <w:rFonts w:ascii="Verdana" w:eastAsia="Calibri" w:hAnsi="Verdana" w:cs="Arial"/>
          <w:color w:val="000000"/>
          <w:lang w:val="es-ES"/>
        </w:rPr>
        <w:t>en un mismo proceso de contratación.</w:t>
      </w:r>
    </w:p>
    <w:p w14:paraId="560D29D7" w14:textId="77777777" w:rsidR="00234CA2" w:rsidRPr="002B613F" w:rsidRDefault="00234CA2" w:rsidP="00234CA2">
      <w:pPr>
        <w:spacing w:after="120" w:line="276" w:lineRule="auto"/>
        <w:ind w:firstLine="709"/>
        <w:jc w:val="both"/>
        <w:rPr>
          <w:rFonts w:ascii="Verdana" w:eastAsia="Calibri" w:hAnsi="Verdana" w:cs="Arial"/>
          <w:lang w:val="es-ES"/>
        </w:rPr>
      </w:pPr>
      <w:r w:rsidRPr="002B613F">
        <w:rPr>
          <w:rFonts w:ascii="Verdana" w:eastAsia="Calibri" w:hAnsi="Verdana" w:cs="Arial"/>
          <w:color w:val="000000"/>
          <w:lang w:val="es-ES"/>
        </w:rPr>
        <w:t>Lo anterior se concluye de un análisis de las causales previstas en el artículo 8 de la Ley 80 de 1993 que se refieren a la participación simultánea en procesos de contratación.</w:t>
      </w:r>
      <w:r w:rsidRPr="002B613F">
        <w:rPr>
          <w:rFonts w:ascii="Verdana" w:eastAsia="Calibri" w:hAnsi="Verdana" w:cs="Arial"/>
          <w:lang w:val="es-ES"/>
        </w:rPr>
        <w:t xml:space="preserve"> Los literales g) y h) del numeral 1 del artículo 8 de la Ley 80 de 1993 consagran como causal de inhabilidad la participación simultánea, en un mismo proceso de selección, de personas naturales que tengan entre sí </w:t>
      </w:r>
      <w:r w:rsidRPr="002B613F">
        <w:rPr>
          <w:rFonts w:ascii="Verdana" w:eastAsia="Calibri" w:hAnsi="Verdana" w:cs="Arial"/>
          <w:i/>
          <w:iCs/>
          <w:u w:val="single"/>
          <w:lang w:val="es-ES"/>
        </w:rPr>
        <w:t>determinados grados de parentesco</w:t>
      </w:r>
      <w:r w:rsidRPr="002B613F">
        <w:rPr>
          <w:rFonts w:ascii="Verdana" w:eastAsia="Calibri" w:hAnsi="Verdana" w:cs="Arial"/>
          <w:lang w:val="es-ES"/>
        </w:rPr>
        <w:t xml:space="preserve">, así como la concurrencia de personas jurídicas cuyos socios o representantes legales se encuentren igualmente </w:t>
      </w:r>
      <w:r w:rsidRPr="002B613F">
        <w:rPr>
          <w:rFonts w:ascii="Verdana" w:eastAsia="Calibri" w:hAnsi="Verdana" w:cs="Arial"/>
          <w:i/>
          <w:iCs/>
          <w:u w:val="single"/>
          <w:lang w:val="es-ES"/>
        </w:rPr>
        <w:t>vinculados por esos lazos</w:t>
      </w:r>
      <w:r w:rsidRPr="002B613F">
        <w:rPr>
          <w:rFonts w:ascii="Verdana" w:eastAsia="Calibri" w:hAnsi="Verdana" w:cs="Arial"/>
          <w:lang w:val="es-ES"/>
        </w:rPr>
        <w:t xml:space="preserve">. Se trata de una prohibición orientada a preservar los principios de transparencia, moralidad, igualdad y selección objetiva, evitando que </w:t>
      </w:r>
      <w:r w:rsidRPr="002B613F">
        <w:rPr>
          <w:rFonts w:ascii="Verdana" w:eastAsia="Calibri" w:hAnsi="Verdana" w:cs="Arial"/>
          <w:i/>
          <w:iCs/>
          <w:lang w:val="es-ES"/>
        </w:rPr>
        <w:t>relaciones familiares o vínculos directos</w:t>
      </w:r>
      <w:r w:rsidRPr="002B613F">
        <w:rPr>
          <w:rFonts w:ascii="Verdana" w:eastAsia="Calibri" w:hAnsi="Verdana" w:cs="Arial"/>
          <w:lang w:val="es-ES"/>
        </w:rPr>
        <w:t xml:space="preserve"> entre proponentes puedan afectar la libre concurrencia o generar ventajas indebidas.</w:t>
      </w:r>
    </w:p>
    <w:p w14:paraId="520AF898" w14:textId="77777777" w:rsidR="00234CA2" w:rsidRPr="002B613F" w:rsidRDefault="00234CA2" w:rsidP="00234CA2">
      <w:pPr>
        <w:spacing w:after="120" w:line="276" w:lineRule="auto"/>
        <w:ind w:firstLine="709"/>
        <w:jc w:val="both"/>
        <w:rPr>
          <w:rFonts w:ascii="Verdana" w:eastAsia="Calibri" w:hAnsi="Verdana" w:cs="Arial"/>
          <w:lang w:val="es-ES"/>
        </w:rPr>
      </w:pPr>
      <w:r w:rsidRPr="002B613F">
        <w:rPr>
          <w:rFonts w:ascii="Verdana" w:eastAsia="Calibri" w:hAnsi="Verdana" w:cs="Arial"/>
          <w:lang w:val="es-ES"/>
        </w:rPr>
        <w:t>En efecto</w:t>
      </w:r>
      <w:r>
        <w:rPr>
          <w:rFonts w:ascii="Verdana" w:eastAsia="Calibri" w:hAnsi="Verdana" w:cs="Arial"/>
          <w:lang w:val="es-ES"/>
        </w:rPr>
        <w:t>,</w:t>
      </w:r>
      <w:r w:rsidRPr="002B613F">
        <w:rPr>
          <w:rFonts w:ascii="Verdana" w:eastAsia="Calibri" w:hAnsi="Verdana" w:cs="Arial"/>
          <w:lang w:val="es-ES"/>
        </w:rPr>
        <w:t xml:space="preserve"> los literales g) y h) referidos </w:t>
      </w:r>
      <w:r>
        <w:rPr>
          <w:rFonts w:ascii="Verdana" w:eastAsia="Calibri" w:hAnsi="Verdana" w:cs="Arial"/>
          <w:lang w:val="es-ES"/>
        </w:rPr>
        <w:t>prevén</w:t>
      </w:r>
      <w:r w:rsidRPr="002B613F">
        <w:rPr>
          <w:rFonts w:ascii="Verdana" w:eastAsia="Calibri" w:hAnsi="Verdana" w:cs="Arial"/>
          <w:lang w:val="es-ES"/>
        </w:rPr>
        <w:t xml:space="preserve"> los siguientes supuestos de hecho: </w:t>
      </w:r>
    </w:p>
    <w:p w14:paraId="09EFB0BF" w14:textId="77777777" w:rsidR="00234CA2" w:rsidRPr="002B613F" w:rsidRDefault="00234CA2" w:rsidP="00234CA2">
      <w:pPr>
        <w:spacing w:after="120" w:line="240" w:lineRule="auto"/>
        <w:ind w:left="709" w:right="709"/>
        <w:jc w:val="both"/>
        <w:rPr>
          <w:rFonts w:ascii="Verdana" w:eastAsia="Calibri" w:hAnsi="Verdana" w:cs="Arial"/>
          <w:sz w:val="20"/>
          <w:szCs w:val="20"/>
          <w:lang w:val="es-ES"/>
        </w:rPr>
      </w:pPr>
      <w:r w:rsidRPr="002B613F">
        <w:rPr>
          <w:rFonts w:ascii="Verdana" w:eastAsia="Calibri" w:hAnsi="Verdana" w:cs="Arial"/>
          <w:sz w:val="20"/>
          <w:szCs w:val="20"/>
          <w:lang w:val="es-ES"/>
        </w:rPr>
        <w:t xml:space="preserve">“g) Quienes sean </w:t>
      </w:r>
      <w:r w:rsidRPr="002B613F">
        <w:rPr>
          <w:rFonts w:ascii="Verdana" w:eastAsia="Calibri" w:hAnsi="Verdana" w:cs="Arial"/>
          <w:i/>
          <w:iCs/>
          <w:sz w:val="20"/>
          <w:szCs w:val="20"/>
          <w:u w:val="single"/>
          <w:lang w:val="es-ES"/>
        </w:rPr>
        <w:t>cónyuges o compañeros permanentes</w:t>
      </w:r>
      <w:r w:rsidRPr="002B613F">
        <w:rPr>
          <w:rFonts w:ascii="Verdana" w:eastAsia="Calibri" w:hAnsi="Verdana" w:cs="Arial"/>
          <w:sz w:val="20"/>
          <w:szCs w:val="20"/>
          <w:lang w:val="es-ES"/>
        </w:rPr>
        <w:t> y quienes se encuentren dentro del </w:t>
      </w:r>
      <w:r w:rsidRPr="002B613F">
        <w:rPr>
          <w:rFonts w:ascii="Verdana" w:eastAsia="Calibri" w:hAnsi="Verdana" w:cs="Arial"/>
          <w:i/>
          <w:iCs/>
          <w:sz w:val="20"/>
          <w:szCs w:val="20"/>
          <w:u w:val="single"/>
          <w:lang w:val="es-ES"/>
        </w:rPr>
        <w:t>segundo grado de consanguinidad o segundo de afinidad </w:t>
      </w:r>
      <w:r w:rsidRPr="002B613F">
        <w:rPr>
          <w:rFonts w:ascii="Verdana" w:eastAsia="Calibri" w:hAnsi="Verdana" w:cs="Arial"/>
          <w:sz w:val="20"/>
          <w:szCs w:val="20"/>
          <w:lang w:val="es-ES"/>
        </w:rPr>
        <w:t>con cualquier otra persona que formalmente haya presentado propuesta para una misma licitación.</w:t>
      </w:r>
    </w:p>
    <w:p w14:paraId="4B5C347A" w14:textId="77777777" w:rsidR="00234CA2" w:rsidRPr="002B613F" w:rsidRDefault="00234CA2" w:rsidP="00234CA2">
      <w:pPr>
        <w:spacing w:after="120" w:line="240" w:lineRule="auto"/>
        <w:ind w:left="709" w:right="709"/>
        <w:jc w:val="both"/>
        <w:rPr>
          <w:rFonts w:ascii="Verdana" w:eastAsia="Calibri" w:hAnsi="Verdana" w:cs="Arial"/>
          <w:sz w:val="20"/>
          <w:szCs w:val="20"/>
          <w:lang w:val="es-ES"/>
        </w:rPr>
      </w:pPr>
      <w:r w:rsidRPr="002B613F">
        <w:rPr>
          <w:rFonts w:ascii="Verdana" w:eastAsia="Calibri" w:hAnsi="Verdana" w:cs="Arial"/>
          <w:sz w:val="20"/>
          <w:szCs w:val="20"/>
          <w:lang w:val="es-ES"/>
        </w:rPr>
        <w:lastRenderedPageBreak/>
        <w:t xml:space="preserve">h) Las sociedades distintas de las anónimas abiertas, en las cuales </w:t>
      </w:r>
      <w:r w:rsidRPr="002B613F">
        <w:rPr>
          <w:rFonts w:ascii="Verdana" w:eastAsia="Calibri" w:hAnsi="Verdana" w:cs="Arial"/>
          <w:i/>
          <w:iCs/>
          <w:sz w:val="20"/>
          <w:szCs w:val="20"/>
          <w:u w:val="single"/>
          <w:lang w:val="es-ES"/>
        </w:rPr>
        <w:t xml:space="preserve">el representante legal o cualquiera de sus socios </w:t>
      </w:r>
      <w:r w:rsidRPr="002B613F">
        <w:rPr>
          <w:rFonts w:ascii="Verdana" w:eastAsia="Calibri" w:hAnsi="Verdana" w:cs="Arial"/>
          <w:sz w:val="20"/>
          <w:szCs w:val="20"/>
          <w:lang w:val="es-ES"/>
        </w:rPr>
        <w:t>tenga parentesco en </w:t>
      </w:r>
      <w:r w:rsidRPr="002B613F">
        <w:rPr>
          <w:rFonts w:ascii="Verdana" w:eastAsia="Calibri" w:hAnsi="Verdana" w:cs="Arial"/>
          <w:i/>
          <w:iCs/>
          <w:sz w:val="20"/>
          <w:szCs w:val="20"/>
          <w:u w:val="single"/>
          <w:lang w:val="es-ES"/>
        </w:rPr>
        <w:t>segundo grado de consanguinidad o segundo de afinidad con el representante legal o con cualquiera de los socios</w:t>
      </w:r>
      <w:r w:rsidRPr="002B613F">
        <w:rPr>
          <w:rFonts w:ascii="Verdana" w:eastAsia="Calibri" w:hAnsi="Verdana" w:cs="Arial"/>
          <w:sz w:val="20"/>
          <w:szCs w:val="20"/>
          <w:lang w:val="es-ES"/>
        </w:rPr>
        <w:t xml:space="preserve"> de una sociedad que formalmente haya presentado propuesta, para una misma licitación”. [Énfasis propio]</w:t>
      </w:r>
    </w:p>
    <w:p w14:paraId="2B5602CA" w14:textId="77777777" w:rsidR="00234CA2" w:rsidRPr="002B613F" w:rsidRDefault="00234CA2" w:rsidP="00234CA2">
      <w:pPr>
        <w:spacing w:after="0" w:line="276" w:lineRule="auto"/>
        <w:ind w:firstLine="709"/>
        <w:jc w:val="both"/>
        <w:rPr>
          <w:rFonts w:ascii="Verdana" w:eastAsia="Calibri" w:hAnsi="Verdana" w:cs="Arial"/>
          <w:lang w:val="es-ES"/>
        </w:rPr>
      </w:pPr>
    </w:p>
    <w:p w14:paraId="1DB5CA63" w14:textId="77777777" w:rsidR="00234CA2" w:rsidRPr="002B613F" w:rsidRDefault="00234CA2" w:rsidP="00234CA2">
      <w:pPr>
        <w:spacing w:after="0" w:line="276" w:lineRule="auto"/>
        <w:ind w:firstLine="709"/>
        <w:jc w:val="both"/>
        <w:rPr>
          <w:rFonts w:ascii="Verdana" w:eastAsia="Calibri" w:hAnsi="Verdana" w:cs="Arial"/>
          <w:lang w:val="es-ES"/>
        </w:rPr>
      </w:pPr>
      <w:r w:rsidRPr="002B613F">
        <w:rPr>
          <w:rFonts w:ascii="Verdana" w:eastAsia="Calibri" w:hAnsi="Verdana" w:cs="Arial"/>
          <w:lang w:val="es-ES"/>
        </w:rPr>
        <w:t xml:space="preserve">En consecuencia, no basta la simple existencia de un socio común entre dos sociedades para predicar una inhabilidad automática; será necesario verificar si concurren las circunstancias específicas previstas en los literales (g) y (h) del artículo 8 de la Ley 80 de 1993 con respecto a la calidad de los sujetos y las relaciones de parentesco. Solo cuando </w:t>
      </w:r>
      <w:r>
        <w:rPr>
          <w:rFonts w:ascii="Verdana" w:eastAsia="Calibri" w:hAnsi="Verdana" w:cs="Arial"/>
          <w:lang w:val="es-ES"/>
        </w:rPr>
        <w:t xml:space="preserve">concurran </w:t>
      </w:r>
      <w:r w:rsidRPr="002B613F">
        <w:rPr>
          <w:rFonts w:ascii="Verdana" w:eastAsia="Calibri" w:hAnsi="Verdana" w:cs="Arial"/>
          <w:lang w:val="es-ES"/>
        </w:rPr>
        <w:t xml:space="preserve">los requisitos establecidos expresamente en dichas causales se configurará la inhabilidad prevista para la presentación simultánea de propuestas. En </w:t>
      </w:r>
      <w:r>
        <w:rPr>
          <w:rFonts w:ascii="Verdana" w:eastAsia="Calibri" w:hAnsi="Verdana" w:cs="Arial"/>
          <w:lang w:val="es-ES"/>
        </w:rPr>
        <w:t xml:space="preserve">tal evento </w:t>
      </w:r>
      <w:r w:rsidRPr="002B613F">
        <w:rPr>
          <w:rFonts w:ascii="Verdana" w:eastAsia="Calibri" w:hAnsi="Verdana" w:cs="Arial"/>
          <w:lang w:val="es-ES"/>
        </w:rPr>
        <w:t>será aplicable lo dispuesto en el artículo 2.2.1.1.2.2.5 del Decreto 1082 de 2015, el cual reglamenta el procedimiento que debe seguir la Entidad Estatal cuando, en un mismo proceso de contratación, se presenta la situación descrita en los literales (g) y (h) del numeral 1 del artículo 8 de la Ley 80 de 1993.</w:t>
      </w:r>
      <w:r w:rsidRPr="002B613F">
        <w:rPr>
          <w:rFonts w:ascii="Verdana" w:eastAsia="Calibri" w:hAnsi="Verdana" w:cs="Arial"/>
          <w:color w:val="000000"/>
          <w:lang w:val="es-ES"/>
        </w:rPr>
        <w:t xml:space="preserve"> </w:t>
      </w:r>
      <w:r w:rsidRPr="002B613F">
        <w:rPr>
          <w:rFonts w:ascii="Verdana" w:eastAsia="Calibri" w:hAnsi="Verdana" w:cs="Arial"/>
          <w:lang w:val="es-ES"/>
        </w:rPr>
        <w:t>Esta disposición establece que, para determinar cuál de los oferentes resulta inhabilitado, la entidad debe dejar constancia expresa de la fecha y hora de recibo de cada oferta, indicando el nombre o razón social del proponente y de su representante legal, con el fin de establecer cuál fue presentada primero en el tiempo, pues la consecuencia jurídica recae sobre la oferta posterior.</w:t>
      </w:r>
    </w:p>
    <w:p w14:paraId="62220AFC" w14:textId="77777777" w:rsidR="00234CA2" w:rsidRPr="002B613F" w:rsidRDefault="00234CA2" w:rsidP="00234CA2">
      <w:pPr>
        <w:spacing w:after="0" w:line="276" w:lineRule="auto"/>
        <w:jc w:val="both"/>
        <w:rPr>
          <w:rFonts w:ascii="Verdana" w:eastAsia="Calibri" w:hAnsi="Verdana" w:cs="Arial"/>
          <w:lang w:val="es-ES"/>
        </w:rPr>
      </w:pPr>
    </w:p>
    <w:p w14:paraId="4F0C4947" w14:textId="77777777" w:rsidR="00234CA2" w:rsidRPr="002B613F" w:rsidRDefault="00234CA2" w:rsidP="00234CA2">
      <w:pPr>
        <w:spacing w:after="0" w:line="276" w:lineRule="auto"/>
        <w:jc w:val="both"/>
        <w:rPr>
          <w:rFonts w:ascii="Verdana" w:eastAsia="Calibri" w:hAnsi="Verdana" w:cs="Arial"/>
          <w:lang w:val="es-ES"/>
        </w:rPr>
      </w:pPr>
      <w:proofErr w:type="spellStart"/>
      <w:r w:rsidRPr="002B613F">
        <w:rPr>
          <w:rFonts w:ascii="Verdana" w:eastAsia="Calibri" w:hAnsi="Verdana" w:cs="Arial"/>
          <w:lang w:val="es-ES"/>
        </w:rPr>
        <w:t>iii</w:t>
      </w:r>
      <w:proofErr w:type="spellEnd"/>
      <w:r w:rsidRPr="002B613F">
        <w:rPr>
          <w:rFonts w:ascii="Verdana" w:eastAsia="Calibri" w:hAnsi="Verdana" w:cs="Arial"/>
          <w:lang w:val="es-ES"/>
        </w:rPr>
        <w:t xml:space="preserve">) Aunque el supuesto de hecho objeto de consulta no configura las inhabilidades previstas para la participación simultánea en un mismo proceso de contratación, esto es distinto a la facultad de la entidad para prever condiciones para el rechazo de las propuestas en el pliego de condiciones o documento equivalente. </w:t>
      </w:r>
      <w:r>
        <w:rPr>
          <w:rFonts w:ascii="Verdana" w:eastAsia="Calibri" w:hAnsi="Verdana" w:cs="Arial"/>
          <w:lang w:val="es-ES"/>
        </w:rPr>
        <w:t>S</w:t>
      </w:r>
      <w:r w:rsidRPr="002B613F">
        <w:rPr>
          <w:rFonts w:ascii="Verdana" w:eastAsia="Calibri" w:hAnsi="Verdana" w:cs="Arial"/>
          <w:lang w:val="es-ES"/>
        </w:rPr>
        <w:t>obre este último supuesto</w:t>
      </w:r>
      <w:r>
        <w:rPr>
          <w:rFonts w:ascii="Verdana" w:eastAsia="Calibri" w:hAnsi="Verdana" w:cs="Arial"/>
          <w:lang w:val="es-ES"/>
        </w:rPr>
        <w:t xml:space="preserve"> </w:t>
      </w:r>
      <w:r w:rsidRPr="002B613F">
        <w:rPr>
          <w:rFonts w:ascii="Verdana" w:eastAsia="Calibri" w:hAnsi="Verdana" w:cs="Arial"/>
          <w:lang w:val="es-ES"/>
        </w:rPr>
        <w:t>versa la sentencia del Consejo de Estado citada en su consulta</w:t>
      </w:r>
      <w:r w:rsidRPr="002B613F">
        <w:rPr>
          <w:rStyle w:val="FootnoteReference"/>
          <w:rFonts w:ascii="Verdana" w:eastAsia="Calibri" w:hAnsi="Verdana" w:cs="Arial"/>
          <w:lang w:val="es-ES"/>
        </w:rPr>
        <w:footnoteReference w:id="14"/>
      </w:r>
      <w:r w:rsidRPr="002B613F">
        <w:rPr>
          <w:rFonts w:ascii="Verdana" w:eastAsia="Calibri" w:hAnsi="Verdana" w:cs="Arial"/>
          <w:lang w:val="es-ES"/>
        </w:rPr>
        <w:t>.</w:t>
      </w:r>
    </w:p>
    <w:p w14:paraId="2563F991" w14:textId="77777777" w:rsidR="00234CA2" w:rsidRPr="002B613F" w:rsidRDefault="00234CA2" w:rsidP="00234CA2">
      <w:pPr>
        <w:spacing w:before="120" w:after="0" w:line="276" w:lineRule="auto"/>
        <w:ind w:firstLine="709"/>
        <w:jc w:val="both"/>
        <w:rPr>
          <w:rFonts w:ascii="Verdana" w:eastAsia="Calibri" w:hAnsi="Verdana" w:cs="Arial"/>
          <w:lang w:val="es-ES"/>
        </w:rPr>
      </w:pPr>
      <w:r w:rsidRPr="002B613F">
        <w:rPr>
          <w:rFonts w:ascii="Verdana" w:eastAsia="Calibri" w:hAnsi="Verdana" w:cs="Arial"/>
          <w:color w:val="000000"/>
          <w:lang w:val="es-ES"/>
        </w:rPr>
        <w:t xml:space="preserve">En ese contexto, se precisa que, el </w:t>
      </w:r>
      <w:r w:rsidRPr="002B613F">
        <w:rPr>
          <w:rFonts w:ascii="Verdana" w:eastAsia="Arial" w:hAnsi="Verdana" w:cs="Arial"/>
          <w:lang w:val="es-ES"/>
        </w:rPr>
        <w:t xml:space="preserve">rechazo de las ofertas y los eventos en los que proceden han sido asuntos de los que se ha ocupado la legislación nacional en materia de contratación pública, por lo que “la competencia de las </w:t>
      </w:r>
      <w:r>
        <w:rPr>
          <w:rFonts w:ascii="Verdana" w:eastAsia="Arial" w:hAnsi="Verdana" w:cs="Arial"/>
          <w:lang w:val="es-ES"/>
        </w:rPr>
        <w:t>E</w:t>
      </w:r>
      <w:r w:rsidRPr="002B613F">
        <w:rPr>
          <w:rFonts w:ascii="Verdana" w:eastAsia="Arial" w:hAnsi="Verdana" w:cs="Arial"/>
          <w:lang w:val="es-ES"/>
        </w:rPr>
        <w:t xml:space="preserve">ntidades </w:t>
      </w:r>
      <w:r>
        <w:rPr>
          <w:rFonts w:ascii="Verdana" w:eastAsia="Arial" w:hAnsi="Verdana" w:cs="Arial"/>
          <w:lang w:val="es-ES"/>
        </w:rPr>
        <w:t>E</w:t>
      </w:r>
      <w:r w:rsidRPr="002B613F">
        <w:rPr>
          <w:rFonts w:ascii="Verdana" w:eastAsia="Arial" w:hAnsi="Verdana" w:cs="Arial"/>
          <w:lang w:val="es-ES"/>
        </w:rPr>
        <w:t>sta</w:t>
      </w:r>
      <w:r>
        <w:rPr>
          <w:rFonts w:ascii="Verdana" w:eastAsia="Arial" w:hAnsi="Verdana" w:cs="Arial"/>
          <w:lang w:val="es-ES"/>
        </w:rPr>
        <w:t>ta</w:t>
      </w:r>
      <w:r w:rsidRPr="002B613F">
        <w:rPr>
          <w:rFonts w:ascii="Verdana" w:eastAsia="Arial" w:hAnsi="Verdana" w:cs="Arial"/>
          <w:lang w:val="es-ES"/>
        </w:rPr>
        <w:t xml:space="preserve">les para establecer eventos de exclusión de propuestas es de </w:t>
      </w:r>
      <w:r w:rsidRPr="002B613F">
        <w:rPr>
          <w:rFonts w:ascii="Verdana" w:eastAsia="Arial" w:hAnsi="Verdana" w:cs="Arial"/>
          <w:lang w:val="es-ES"/>
        </w:rPr>
        <w:lastRenderedPageBreak/>
        <w:t>carácter residual y restringido”</w:t>
      </w:r>
      <w:r w:rsidRPr="002B613F">
        <w:rPr>
          <w:rFonts w:ascii="Verdana" w:eastAsia="Arial" w:hAnsi="Verdana" w:cs="Arial"/>
          <w:vertAlign w:val="superscript"/>
          <w:lang w:val="es-ES"/>
        </w:rPr>
        <w:footnoteReference w:id="15"/>
      </w:r>
      <w:r w:rsidRPr="002B613F">
        <w:rPr>
          <w:rFonts w:ascii="Verdana" w:eastAsia="Arial" w:hAnsi="Verdana" w:cs="Arial"/>
          <w:lang w:val="es-ES"/>
        </w:rPr>
        <w:t>. En ese sentido, si bien las entidades estatales, en ejercicio de la discrecionalidad que les corresponde en la configuración de los pliegos de condiciones, tienen competencia para determinar los requisitos que deben cumplir los proponentes para la presentación de ofertas</w:t>
      </w:r>
      <w:r w:rsidRPr="002B613F">
        <w:rPr>
          <w:rFonts w:ascii="Verdana" w:eastAsia="Arial" w:hAnsi="Verdana" w:cs="Arial"/>
          <w:vertAlign w:val="superscript"/>
          <w:lang w:val="es-ES"/>
        </w:rPr>
        <w:footnoteReference w:id="16"/>
      </w:r>
      <w:r w:rsidRPr="002B613F">
        <w:rPr>
          <w:rFonts w:ascii="Verdana" w:eastAsia="Arial" w:hAnsi="Verdana" w:cs="Arial"/>
          <w:lang w:val="es-ES"/>
        </w:rPr>
        <w:t xml:space="preserve"> y regular los eventos en los que procede su rechazo</w:t>
      </w:r>
      <w:r w:rsidRPr="002B613F">
        <w:rPr>
          <w:rFonts w:ascii="Verdana" w:eastAsia="Arial" w:hAnsi="Verdana" w:cs="Arial"/>
          <w:vertAlign w:val="superscript"/>
          <w:lang w:val="es-ES"/>
        </w:rPr>
        <w:footnoteReference w:id="17"/>
      </w:r>
      <w:r w:rsidRPr="002B613F">
        <w:rPr>
          <w:rFonts w:ascii="Verdana" w:eastAsia="Arial" w:hAnsi="Verdana" w:cs="Arial"/>
          <w:lang w:val="es-ES"/>
        </w:rPr>
        <w:t xml:space="preserve">, el ejercicio de tales facultades encuentra ciertos límites en la ley y el reglamento, así como en los principios de razonabilidad y proporcionalidad.  </w:t>
      </w:r>
    </w:p>
    <w:p w14:paraId="076A022D" w14:textId="77777777" w:rsidR="00234CA2" w:rsidRPr="002B613F" w:rsidRDefault="00234CA2" w:rsidP="00234CA2">
      <w:pPr>
        <w:spacing w:before="120" w:after="0" w:line="276" w:lineRule="auto"/>
        <w:ind w:firstLine="709"/>
        <w:jc w:val="both"/>
        <w:rPr>
          <w:rFonts w:ascii="Verdana" w:eastAsia="Arial" w:hAnsi="Verdana" w:cs="Arial"/>
          <w:color w:val="000000"/>
          <w:lang w:val="es-ES"/>
        </w:rPr>
      </w:pPr>
      <w:r w:rsidRPr="002B613F">
        <w:rPr>
          <w:rFonts w:ascii="Verdana" w:eastAsia="Arial" w:hAnsi="Verdana" w:cs="Arial"/>
          <w:lang w:val="es-ES"/>
        </w:rPr>
        <w:t xml:space="preserve">En ese entendido, uno de los límites a la facultad para establecer causales de rechazo, se encuentra en la regla de subsanabilidad del parágrafo 1 del artículo 5 de la Ley 1150 de 2007, según la cual “La ausencia de requisitos o la falta de documentos referentes a la futura contratación o al proponente, no necesarios para la comparación de las propuestas no servirán de título suficiente para el rechazo de los ofrecimientos hechos”, por lo que las entidades no podrán establecer causales de rechazo referentes a meros requisitos formales o rechazar las ofertas por esa razón. </w:t>
      </w:r>
    </w:p>
    <w:p w14:paraId="08E22B4D" w14:textId="77777777" w:rsidR="00234CA2" w:rsidRPr="002B613F" w:rsidRDefault="00234CA2" w:rsidP="00234CA2">
      <w:pPr>
        <w:spacing w:before="120" w:after="0" w:line="276" w:lineRule="auto"/>
        <w:ind w:firstLine="709"/>
        <w:jc w:val="both"/>
        <w:rPr>
          <w:rFonts w:ascii="Verdana" w:eastAsia="Arial" w:hAnsi="Verdana" w:cs="Arial"/>
          <w:color w:val="000000"/>
          <w:lang w:val="es-ES"/>
        </w:rPr>
      </w:pPr>
      <w:r w:rsidRPr="002B613F">
        <w:rPr>
          <w:rFonts w:ascii="Verdana" w:eastAsia="Arial" w:hAnsi="Verdana" w:cs="Arial"/>
          <w:lang w:val="es-ES"/>
        </w:rPr>
        <w:t>De esta manera, la jurisprudencia del Consejo de Estado ha determinado que las causales de rechazo pueden o no estar establecidas en el pliego de condiciones, sin perjuicio de que sean aplicables al proceso contractual las establecidas directamente en la ley. Así se estableció en la sentencia del 27 de abril de 2011, en los siguientes términos:</w:t>
      </w:r>
    </w:p>
    <w:p w14:paraId="67A3F03A" w14:textId="77777777" w:rsidR="00234CA2" w:rsidRPr="002B613F" w:rsidRDefault="00234CA2" w:rsidP="00234CA2">
      <w:pPr>
        <w:widowControl w:val="0"/>
        <w:spacing w:after="0" w:line="240" w:lineRule="auto"/>
        <w:ind w:left="709" w:right="709"/>
        <w:jc w:val="both"/>
        <w:rPr>
          <w:rFonts w:ascii="Verdana" w:eastAsia="Arial" w:hAnsi="Verdana" w:cs="Arial"/>
          <w:sz w:val="21"/>
          <w:szCs w:val="21"/>
          <w:lang w:val="es-ES"/>
        </w:rPr>
      </w:pPr>
    </w:p>
    <w:p w14:paraId="1743D74F" w14:textId="77777777" w:rsidR="00234CA2" w:rsidRPr="002B613F" w:rsidRDefault="00234CA2" w:rsidP="00234CA2">
      <w:pPr>
        <w:widowControl w:val="0"/>
        <w:spacing w:after="0" w:line="240" w:lineRule="auto"/>
        <w:ind w:left="709" w:right="709"/>
        <w:jc w:val="both"/>
        <w:rPr>
          <w:rFonts w:ascii="Verdana" w:eastAsia="Arial" w:hAnsi="Verdana" w:cs="Arial"/>
          <w:sz w:val="20"/>
          <w:szCs w:val="20"/>
          <w:lang w:val="es-ES"/>
        </w:rPr>
      </w:pPr>
      <w:r w:rsidRPr="002B613F">
        <w:rPr>
          <w:rFonts w:ascii="Verdana" w:eastAsia="Arial" w:hAnsi="Verdana" w:cs="Arial"/>
          <w:sz w:val="21"/>
          <w:szCs w:val="21"/>
          <w:lang w:val="es-ES"/>
        </w:rPr>
        <w:t>“</w:t>
      </w:r>
      <w:r w:rsidRPr="002B613F">
        <w:rPr>
          <w:rFonts w:ascii="Verdana" w:eastAsia="Arial" w:hAnsi="Verdana" w:cs="Arial"/>
          <w:sz w:val="20"/>
          <w:szCs w:val="20"/>
          <w:lang w:val="es-ES"/>
        </w:rPr>
        <w:t>En efecto, la Administración puede rechazar o descalificar los ofrecimientos hechos por causales previstas en la ley; hipótesis bajo la cual, la entidad pública licitante se limita a dar por comprobado el hecho que justifica la exclusión y así lo declarará apoyada en normas legales o reglamentarias de carácter general.</w:t>
      </w:r>
    </w:p>
    <w:p w14:paraId="20A7BD4E" w14:textId="77777777" w:rsidR="00234CA2" w:rsidRPr="002B613F" w:rsidRDefault="00234CA2" w:rsidP="00234CA2">
      <w:pPr>
        <w:widowControl w:val="0"/>
        <w:spacing w:after="0" w:line="240" w:lineRule="auto"/>
        <w:ind w:left="709" w:right="709"/>
        <w:jc w:val="both"/>
        <w:rPr>
          <w:rFonts w:ascii="Verdana" w:eastAsia="Arial" w:hAnsi="Verdana" w:cs="Arial"/>
          <w:sz w:val="20"/>
          <w:szCs w:val="20"/>
          <w:lang w:val="es-ES"/>
        </w:rPr>
      </w:pPr>
    </w:p>
    <w:p w14:paraId="5E161760" w14:textId="77777777" w:rsidR="00234CA2" w:rsidRPr="002B613F" w:rsidRDefault="00234CA2" w:rsidP="00234CA2">
      <w:pPr>
        <w:widowControl w:val="0"/>
        <w:spacing w:after="0" w:line="240" w:lineRule="auto"/>
        <w:ind w:left="709" w:right="709"/>
        <w:jc w:val="both"/>
        <w:rPr>
          <w:rFonts w:ascii="Verdana" w:eastAsia="Arial" w:hAnsi="Verdana" w:cs="Arial"/>
          <w:sz w:val="20"/>
          <w:szCs w:val="20"/>
          <w:lang w:val="es-ES"/>
        </w:rPr>
      </w:pPr>
      <w:r w:rsidRPr="002B613F">
        <w:rPr>
          <w:rFonts w:ascii="Verdana" w:eastAsia="Arial" w:hAnsi="Verdana" w:cs="Arial"/>
          <w:sz w:val="20"/>
          <w:szCs w:val="20"/>
          <w:lang w:val="es-ES"/>
        </w:rPr>
        <w:t>En esta línea de pensamiento, resulta claro que el rechazo o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108BA701" w14:textId="77777777" w:rsidR="00234CA2" w:rsidRPr="002B613F" w:rsidRDefault="00234CA2" w:rsidP="00234CA2">
      <w:pPr>
        <w:widowControl w:val="0"/>
        <w:spacing w:after="0" w:line="240" w:lineRule="auto"/>
        <w:ind w:left="709" w:right="709"/>
        <w:jc w:val="both"/>
        <w:rPr>
          <w:rFonts w:ascii="Verdana" w:eastAsia="Arial" w:hAnsi="Verdana" w:cs="Arial"/>
          <w:sz w:val="20"/>
          <w:szCs w:val="20"/>
          <w:lang w:val="es-ES"/>
        </w:rPr>
      </w:pPr>
      <w:r w:rsidRPr="002B613F">
        <w:rPr>
          <w:rFonts w:ascii="Verdana" w:eastAsia="Arial" w:hAnsi="Verdana" w:cs="Arial"/>
          <w:sz w:val="20"/>
          <w:szCs w:val="20"/>
          <w:lang w:val="es-ES"/>
        </w:rPr>
        <w:t>[…]</w:t>
      </w:r>
    </w:p>
    <w:p w14:paraId="58927EC5" w14:textId="77777777" w:rsidR="00234CA2" w:rsidRPr="002B613F" w:rsidRDefault="00234CA2" w:rsidP="00234CA2">
      <w:pPr>
        <w:widowControl w:val="0"/>
        <w:spacing w:after="0" w:line="240" w:lineRule="auto"/>
        <w:ind w:left="709" w:right="709"/>
        <w:jc w:val="both"/>
        <w:rPr>
          <w:rFonts w:ascii="Verdana" w:eastAsia="Arial" w:hAnsi="Verdana" w:cs="Arial"/>
          <w:sz w:val="20"/>
          <w:szCs w:val="20"/>
          <w:lang w:val="es-ES"/>
        </w:rPr>
      </w:pPr>
      <w:r w:rsidRPr="002B613F">
        <w:rPr>
          <w:rFonts w:ascii="Verdana" w:eastAsia="Arial" w:hAnsi="Verdana" w:cs="Arial"/>
          <w:sz w:val="20"/>
          <w:szCs w:val="20"/>
          <w:lang w:val="es-ES"/>
        </w:rPr>
        <w:t xml:space="preserve">Quiere con esto destacar la Sala que las causales de rechazo de las propuestas pueden ser legales y por lo mismo generan el efecto del descarte o exclusión de la oferta </w:t>
      </w:r>
      <w:proofErr w:type="spellStart"/>
      <w:r w:rsidRPr="002B613F">
        <w:rPr>
          <w:rFonts w:ascii="Verdana" w:eastAsia="Arial" w:hAnsi="Verdana" w:cs="Arial"/>
          <w:i/>
          <w:iCs/>
          <w:sz w:val="20"/>
          <w:szCs w:val="20"/>
          <w:lang w:val="es-ES"/>
        </w:rPr>
        <w:t>ope</w:t>
      </w:r>
      <w:proofErr w:type="spellEnd"/>
      <w:r w:rsidRPr="002B613F">
        <w:rPr>
          <w:rFonts w:ascii="Verdana" w:eastAsia="Arial" w:hAnsi="Verdana" w:cs="Arial"/>
          <w:i/>
          <w:iCs/>
          <w:sz w:val="20"/>
          <w:szCs w:val="20"/>
          <w:lang w:val="es-ES"/>
        </w:rPr>
        <w:t xml:space="preserve"> </w:t>
      </w:r>
      <w:proofErr w:type="spellStart"/>
      <w:r w:rsidRPr="002B613F">
        <w:rPr>
          <w:rFonts w:ascii="Verdana" w:eastAsia="Arial" w:hAnsi="Verdana" w:cs="Arial"/>
          <w:i/>
          <w:iCs/>
          <w:sz w:val="20"/>
          <w:szCs w:val="20"/>
          <w:lang w:val="es-ES"/>
        </w:rPr>
        <w:t>legis</w:t>
      </w:r>
      <w:proofErr w:type="spellEnd"/>
      <w:r w:rsidRPr="002B613F">
        <w:rPr>
          <w:rFonts w:ascii="Verdana" w:eastAsia="Arial" w:hAnsi="Verdana" w:cs="Arial"/>
          <w:sz w:val="20"/>
          <w:szCs w:val="20"/>
          <w:lang w:val="es-ES"/>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r w:rsidRPr="002B613F">
        <w:rPr>
          <w:rFonts w:ascii="Verdana" w:eastAsia="Arial" w:hAnsi="Verdana" w:cs="Arial"/>
          <w:sz w:val="20"/>
          <w:szCs w:val="20"/>
          <w:vertAlign w:val="superscript"/>
          <w:lang w:val="es-ES"/>
        </w:rPr>
        <w:footnoteReference w:id="18"/>
      </w:r>
      <w:r w:rsidRPr="002B613F">
        <w:rPr>
          <w:rFonts w:ascii="Verdana" w:eastAsia="Arial" w:hAnsi="Verdana" w:cs="Arial"/>
          <w:sz w:val="20"/>
          <w:szCs w:val="20"/>
          <w:lang w:val="es-ES"/>
        </w:rPr>
        <w:t>”.</w:t>
      </w:r>
    </w:p>
    <w:p w14:paraId="07162842" w14:textId="77777777" w:rsidR="00234CA2" w:rsidRPr="002B613F" w:rsidRDefault="00234CA2" w:rsidP="00234CA2">
      <w:pPr>
        <w:widowControl w:val="0"/>
        <w:spacing w:after="0" w:line="240" w:lineRule="auto"/>
        <w:ind w:left="709" w:right="709"/>
        <w:jc w:val="both"/>
        <w:rPr>
          <w:rFonts w:ascii="Verdana" w:eastAsia="Arial" w:hAnsi="Verdana" w:cs="Arial"/>
          <w:sz w:val="20"/>
          <w:szCs w:val="20"/>
          <w:lang w:val="es-ES"/>
        </w:rPr>
      </w:pPr>
    </w:p>
    <w:p w14:paraId="78131389" w14:textId="77777777" w:rsidR="00234CA2" w:rsidRPr="002B613F" w:rsidRDefault="00234CA2" w:rsidP="00234CA2">
      <w:pPr>
        <w:widowControl w:val="0"/>
        <w:spacing w:after="0" w:line="276" w:lineRule="auto"/>
        <w:ind w:firstLine="709"/>
        <w:jc w:val="both"/>
        <w:rPr>
          <w:rFonts w:ascii="Verdana" w:eastAsia="Arial" w:hAnsi="Verdana" w:cs="Arial"/>
          <w:lang w:val="es-ES"/>
        </w:rPr>
      </w:pPr>
      <w:r w:rsidRPr="002B613F">
        <w:rPr>
          <w:rFonts w:ascii="Verdana" w:eastAsia="Arial" w:hAnsi="Verdana" w:cs="Arial"/>
          <w:lang w:val="es-ES"/>
        </w:rPr>
        <w:t xml:space="preserve">De acuerdo con la jurisprudencia citada, existen dos eventos en los cuales procede el rechazo de la oferta: i) cuando se configure alguna de las causales de rechazo originadas en la ley o el reglamento y </w:t>
      </w:r>
      <w:proofErr w:type="spellStart"/>
      <w:r w:rsidRPr="002B613F">
        <w:rPr>
          <w:rFonts w:ascii="Verdana" w:eastAsia="Arial" w:hAnsi="Verdana" w:cs="Arial"/>
          <w:lang w:val="es-ES"/>
        </w:rPr>
        <w:t>ii</w:t>
      </w:r>
      <w:proofErr w:type="spellEnd"/>
      <w:r w:rsidRPr="002B613F">
        <w:rPr>
          <w:rFonts w:ascii="Verdana" w:eastAsia="Arial" w:hAnsi="Verdana" w:cs="Arial"/>
          <w:lang w:val="es-ES"/>
        </w:rPr>
        <w:t xml:space="preserve">) cuando se materialicen las establecidas en el pliego de condiciones. En tal sentido, las causales de rechazo de la oferta serán las consagradas en la ley o el reglamento producto de su aplicación, así como las definidas por las entidades en el respectivo pliego de condiciones. </w:t>
      </w:r>
    </w:p>
    <w:p w14:paraId="0EE16B61" w14:textId="77777777" w:rsidR="00234CA2" w:rsidRPr="002B613F" w:rsidRDefault="00234CA2" w:rsidP="00234CA2">
      <w:pPr>
        <w:widowControl w:val="0"/>
        <w:spacing w:before="120" w:after="0" w:line="276" w:lineRule="auto"/>
        <w:ind w:firstLine="709"/>
        <w:jc w:val="both"/>
        <w:rPr>
          <w:rFonts w:ascii="Verdana" w:eastAsia="Arial" w:hAnsi="Verdana" w:cs="Arial"/>
          <w:lang w:val="es-ES"/>
        </w:rPr>
      </w:pPr>
      <w:r w:rsidRPr="002B613F">
        <w:rPr>
          <w:rFonts w:ascii="Verdana" w:eastAsia="Arial" w:hAnsi="Verdana" w:cs="Arial"/>
          <w:lang w:val="es-ES"/>
        </w:rPr>
        <w:t xml:space="preserve">En tales términos, la facultad de las entidades estatales para incluir en los </w:t>
      </w:r>
      <w:r w:rsidRPr="002B613F">
        <w:rPr>
          <w:rFonts w:ascii="Verdana" w:eastAsia="Arial" w:hAnsi="Verdana" w:cs="Arial"/>
          <w:lang w:val="es-ES"/>
        </w:rPr>
        <w:lastRenderedPageBreak/>
        <w:t xml:space="preserve">pliegos de condiciones causales de rechazo de las ofertas, no es una facultad absoluta, en la medida que se encuentra limitada por lo dispuesto en ley, al igual que por los principios de razonabilidad y proporcionalidad, los cuales exigen que las causales de rechazo que sean establecidas por la entidad, además de no contrariar el ordenamiento jurídico, no versen sobre aspectos meramente formales sin relevancia para el transcurso del proceso de selección o el perfeccionamiento del contrato. </w:t>
      </w:r>
    </w:p>
    <w:p w14:paraId="78E11E69" w14:textId="77777777" w:rsidR="00234CA2" w:rsidRPr="002B613F" w:rsidRDefault="00234CA2" w:rsidP="00234CA2">
      <w:pPr>
        <w:widowControl w:val="0"/>
        <w:spacing w:before="120" w:after="0" w:line="276" w:lineRule="auto"/>
        <w:ind w:firstLine="709"/>
        <w:jc w:val="both"/>
        <w:rPr>
          <w:rFonts w:ascii="Verdana" w:eastAsia="Arial" w:hAnsi="Verdana" w:cs="Arial"/>
          <w:lang w:val="es-ES"/>
        </w:rPr>
      </w:pPr>
      <w:r w:rsidRPr="002B613F">
        <w:rPr>
          <w:rFonts w:ascii="Verdana" w:eastAsia="Arial" w:hAnsi="Verdana" w:cs="Arial"/>
          <w:lang w:val="es-ES"/>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2B613F">
        <w:rPr>
          <w:rFonts w:ascii="Verdana" w:eastAsia="Arial" w:hAnsi="Verdana" w:cs="Arial"/>
          <w:vertAlign w:val="superscript"/>
          <w:lang w:val="es-ES"/>
        </w:rPr>
        <w:footnoteReference w:id="19"/>
      </w:r>
      <w:r w:rsidRPr="002B613F">
        <w:rPr>
          <w:rFonts w:ascii="Verdana" w:eastAsia="Arial" w:hAnsi="Verdana" w:cs="Arial"/>
          <w:lang w:val="es-ES"/>
        </w:rPr>
        <w:t xml:space="preserve"> sostuvo: </w:t>
      </w:r>
    </w:p>
    <w:p w14:paraId="6F58887E" w14:textId="77777777" w:rsidR="00234CA2" w:rsidRPr="002B613F" w:rsidRDefault="00234CA2" w:rsidP="00234CA2">
      <w:pPr>
        <w:spacing w:after="0" w:line="240" w:lineRule="auto"/>
        <w:ind w:firstLine="709"/>
        <w:jc w:val="both"/>
        <w:rPr>
          <w:rFonts w:ascii="Verdana" w:eastAsia="Arial" w:hAnsi="Verdana" w:cs="Arial"/>
          <w:lang w:val="es-ES"/>
        </w:rPr>
      </w:pPr>
    </w:p>
    <w:p w14:paraId="32794EC6" w14:textId="77777777" w:rsidR="00234CA2" w:rsidRPr="002B613F" w:rsidRDefault="00234CA2" w:rsidP="00234CA2">
      <w:pPr>
        <w:spacing w:after="0"/>
        <w:ind w:left="708" w:right="709"/>
        <w:jc w:val="both"/>
        <w:rPr>
          <w:rFonts w:ascii="Verdana" w:eastAsia="Arial" w:hAnsi="Verdana" w:cs="Arial"/>
          <w:sz w:val="20"/>
          <w:szCs w:val="20"/>
          <w:lang w:val="es-ES"/>
        </w:rPr>
      </w:pPr>
      <w:r w:rsidRPr="002B613F">
        <w:rPr>
          <w:rFonts w:ascii="Verdana" w:eastAsia="Arial" w:hAnsi="Verdana" w:cs="Arial"/>
          <w:sz w:val="20"/>
          <w:szCs w:val="20"/>
          <w:lang w:val="es-ES"/>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72CFC54A" w14:textId="77777777" w:rsidR="00234CA2" w:rsidRPr="002B613F" w:rsidRDefault="00234CA2" w:rsidP="00234CA2">
      <w:pPr>
        <w:spacing w:after="0"/>
        <w:ind w:left="708" w:right="709"/>
        <w:jc w:val="both"/>
        <w:rPr>
          <w:rFonts w:ascii="Verdana" w:eastAsia="Arial" w:hAnsi="Verdana" w:cs="Arial"/>
          <w:sz w:val="20"/>
          <w:szCs w:val="20"/>
          <w:lang w:val="es-ES"/>
        </w:rPr>
      </w:pPr>
    </w:p>
    <w:p w14:paraId="27D08D0A" w14:textId="77777777" w:rsidR="00234CA2" w:rsidRPr="002B613F" w:rsidRDefault="00234CA2" w:rsidP="00234CA2">
      <w:pPr>
        <w:spacing w:after="120" w:line="276" w:lineRule="auto"/>
        <w:ind w:firstLine="709"/>
        <w:jc w:val="both"/>
        <w:rPr>
          <w:rFonts w:ascii="Verdana" w:eastAsia="Arial" w:hAnsi="Verdana" w:cs="Arial"/>
          <w:lang w:val="es-ES"/>
        </w:rPr>
      </w:pPr>
      <w:r w:rsidRPr="002B613F">
        <w:rPr>
          <w:rFonts w:ascii="Verdana" w:eastAsia="Arial" w:hAnsi="Verdana" w:cs="Arial"/>
          <w:lang w:val="es-ES"/>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06BF7481" w14:textId="77777777" w:rsidR="00234CA2" w:rsidRPr="002B613F" w:rsidRDefault="00234CA2" w:rsidP="00234CA2">
      <w:pPr>
        <w:spacing w:before="120" w:after="0" w:line="276" w:lineRule="auto"/>
        <w:ind w:firstLine="709"/>
        <w:jc w:val="both"/>
        <w:rPr>
          <w:rFonts w:ascii="Verdana" w:eastAsia="Calibri" w:hAnsi="Verdana" w:cs="Arial"/>
          <w:lang w:val="es-ES"/>
        </w:rPr>
      </w:pPr>
      <w:r w:rsidRPr="002B613F">
        <w:rPr>
          <w:rFonts w:ascii="Verdana" w:eastAsia="Calibri" w:hAnsi="Verdana" w:cs="Arial"/>
          <w:lang w:val="es-ES"/>
        </w:rPr>
        <w:lastRenderedPageBreak/>
        <w:t>Contrario a lo que se afirma en su consulta, la sentencia del Consejo de Estado del 19 de abril de 2023 no concluye que la participación de una persona que es socia de dos sociedades que presentan oferta en un mismo proceso de selección configure una inhabilidad o incompatibilidad para contratar con el Estado. Por el contrario, la Sala señaló expresamente que la existencia de una inhabilidad legal no sería objeto de análisis, debido a que este aspecto no fue alegado en la demanda y solo se planteó en el recurso de apelación:</w:t>
      </w:r>
    </w:p>
    <w:p w14:paraId="79E5315B" w14:textId="77777777" w:rsidR="00234CA2" w:rsidRPr="002B613F" w:rsidRDefault="00234CA2" w:rsidP="00234CA2">
      <w:pPr>
        <w:spacing w:before="120" w:after="120"/>
        <w:ind w:left="708" w:right="709"/>
        <w:jc w:val="both"/>
        <w:rPr>
          <w:rFonts w:ascii="Verdana" w:eastAsia="Arial" w:hAnsi="Verdana" w:cs="Arial"/>
          <w:sz w:val="20"/>
          <w:szCs w:val="20"/>
          <w:lang w:val="es-ES"/>
        </w:rPr>
      </w:pPr>
      <w:r w:rsidRPr="002B613F">
        <w:rPr>
          <w:rFonts w:ascii="Verdana" w:eastAsia="Arial" w:hAnsi="Verdana" w:cs="Arial"/>
          <w:sz w:val="20"/>
          <w:szCs w:val="20"/>
          <w:lang w:val="es-ES"/>
        </w:rPr>
        <w:t>“En esta instancia el análisis de legalidad no abordará las razones relacionadas con la ausencia de una inhabilidad legal que sustentara la causal de rechazo empleada por la entidad demandada en la licitación pública, porque el recurso de apelación no es la oportunidad procesal para adicionar cargos de anulación, como parece haber intentado el apelante cuando introdujo ese aspecto en su impugnación, pero, que no desarrolló en su demanda”</w:t>
      </w:r>
      <w:r w:rsidRPr="002B613F">
        <w:rPr>
          <w:rStyle w:val="FootnoteReference"/>
          <w:rFonts w:ascii="Verdana" w:eastAsia="Arial" w:hAnsi="Verdana" w:cs="Arial"/>
          <w:sz w:val="20"/>
          <w:szCs w:val="20"/>
          <w:lang w:val="es-ES"/>
        </w:rPr>
        <w:footnoteReference w:id="20"/>
      </w:r>
      <w:r w:rsidRPr="002B613F">
        <w:rPr>
          <w:rFonts w:ascii="Verdana" w:eastAsia="Arial" w:hAnsi="Verdana" w:cs="Arial"/>
          <w:sz w:val="20"/>
          <w:szCs w:val="20"/>
          <w:lang w:val="es-ES"/>
        </w:rPr>
        <w:t>.</w:t>
      </w:r>
    </w:p>
    <w:p w14:paraId="68A36E9C" w14:textId="77777777" w:rsidR="00234CA2" w:rsidRPr="002B613F" w:rsidRDefault="00234CA2" w:rsidP="00234CA2">
      <w:pPr>
        <w:spacing w:before="120" w:after="120" w:line="276" w:lineRule="auto"/>
        <w:ind w:firstLine="709"/>
        <w:jc w:val="both"/>
        <w:rPr>
          <w:rFonts w:ascii="Verdana" w:eastAsia="Calibri" w:hAnsi="Verdana" w:cs="Arial"/>
          <w:lang w:val="es-ES"/>
        </w:rPr>
      </w:pPr>
      <w:r w:rsidRPr="002B613F">
        <w:rPr>
          <w:rFonts w:ascii="Verdana" w:eastAsia="Calibri" w:hAnsi="Verdana" w:cs="Arial"/>
          <w:lang w:val="es-ES"/>
        </w:rPr>
        <w:t>La controversia resuelta en dicha providencia versó sobre la legalidad del acto mediante el cual el Instituto de Desarrollo Urbano –IDU– rechazó la propuesta de un consorcio, dos de cuyos integrantes eran, a su vez, accionistas de una sociedad que hacía parte de otro proponente en el mismo grupo de la licitación. Sin embargo, el fundamento de dicho rechazo no fue una causal de inhabilidad, sino la causal de rechazo que la entidad contempló expresamente en los numerales 1.15.4 y 3.7, literal d), del pliego de condiciones, este último en los siguientes términos:</w:t>
      </w:r>
    </w:p>
    <w:p w14:paraId="60D74EEE" w14:textId="77777777" w:rsidR="00234CA2" w:rsidRPr="002B613F" w:rsidRDefault="00234CA2" w:rsidP="00234CA2">
      <w:pPr>
        <w:spacing w:before="120" w:after="120"/>
        <w:ind w:left="708" w:right="709"/>
        <w:jc w:val="both"/>
        <w:rPr>
          <w:rFonts w:ascii="Verdana" w:eastAsia="Arial" w:hAnsi="Verdana" w:cs="Arial"/>
          <w:sz w:val="20"/>
          <w:szCs w:val="20"/>
          <w:lang w:val="es-ES"/>
        </w:rPr>
      </w:pPr>
      <w:r w:rsidRPr="002B613F">
        <w:rPr>
          <w:rFonts w:ascii="Verdana" w:eastAsia="Arial" w:hAnsi="Verdana" w:cs="Arial"/>
          <w:sz w:val="20"/>
          <w:szCs w:val="20"/>
          <w:lang w:val="es-ES"/>
        </w:rPr>
        <w:t>“3.7 Admisibilidad y rechazo de las propuestas: (…) d) Cuando un proponente presente en un mismo grupo por sí o por interpuesta persona, en consorcio, unión temporal más de una oferta o participe en más de una de ellas por grupo, causará el rechazo de todas las ofertas que incluyan su participación”</w:t>
      </w:r>
      <w:r w:rsidRPr="002B613F">
        <w:rPr>
          <w:rStyle w:val="FootnoteReference"/>
          <w:rFonts w:ascii="Verdana" w:eastAsia="Arial" w:hAnsi="Verdana" w:cs="Arial"/>
          <w:sz w:val="20"/>
          <w:szCs w:val="20"/>
          <w:lang w:val="es-ES"/>
        </w:rPr>
        <w:footnoteReference w:id="21"/>
      </w:r>
      <w:r w:rsidRPr="002B613F">
        <w:rPr>
          <w:rFonts w:ascii="Verdana" w:eastAsia="Arial" w:hAnsi="Verdana" w:cs="Arial"/>
          <w:sz w:val="20"/>
          <w:szCs w:val="20"/>
          <w:lang w:val="es-ES"/>
        </w:rPr>
        <w:t>.</w:t>
      </w:r>
    </w:p>
    <w:p w14:paraId="3EFBEEC1" w14:textId="77777777" w:rsidR="00234CA2" w:rsidRPr="002B613F" w:rsidRDefault="00234CA2" w:rsidP="00234CA2">
      <w:pPr>
        <w:spacing w:before="120" w:after="120" w:line="276" w:lineRule="auto"/>
        <w:ind w:firstLine="709"/>
        <w:jc w:val="both"/>
        <w:rPr>
          <w:rFonts w:ascii="Verdana" w:eastAsia="Calibri" w:hAnsi="Verdana" w:cs="Arial"/>
          <w:lang w:val="es-ES"/>
        </w:rPr>
      </w:pPr>
      <w:r w:rsidRPr="002B613F">
        <w:rPr>
          <w:rFonts w:ascii="Verdana" w:eastAsia="Calibri" w:hAnsi="Verdana" w:cs="Arial"/>
          <w:lang w:val="es-ES"/>
        </w:rPr>
        <w:t xml:space="preserve">Con base en esta regla, tanto el Tribunal Administrativo de Cundinamarca, en primera instancia, como el Consejo de Estado, en segunda, concluyeron que la participación de los socios a través de la sociedad constituía una participación “por interpuesta persona” en los términos de la causal del pliego de condiciones y, en consecuencia, que la entidad debía rechazar las ofertas en las que concurrían. De esta manera, la decisión de ambas instancias se fundamentó en la interpretación y aplicación de una causal de rechazo prevista por la entidad </w:t>
      </w:r>
      <w:r w:rsidRPr="002B613F">
        <w:rPr>
          <w:rFonts w:ascii="Verdana" w:eastAsia="Calibri" w:hAnsi="Verdana" w:cs="Arial"/>
          <w:lang w:val="es-ES"/>
        </w:rPr>
        <w:lastRenderedPageBreak/>
        <w:t>en el pliego de condiciones del proceso, y no en el análisis de las causales de inhabilidad previstas en el artículo 8 de la Ley 80 de 1993. Si bien la providencia trae a colación, a título ilustrativo, un pronunciamiento anterior de la Sección Tercera proferido en el marco de una acción popular sobre el alcance del literal h) del numeral 1 de dicho artículo</w:t>
      </w:r>
      <w:r w:rsidRPr="002B613F">
        <w:rPr>
          <w:rStyle w:val="FootnoteReference"/>
          <w:rFonts w:ascii="Verdana" w:eastAsia="Calibri" w:hAnsi="Verdana" w:cs="Arial"/>
          <w:lang w:val="es-ES"/>
        </w:rPr>
        <w:footnoteReference w:id="22"/>
      </w:r>
      <w:r w:rsidRPr="002B613F">
        <w:rPr>
          <w:rFonts w:ascii="Verdana" w:eastAsia="Calibri" w:hAnsi="Verdana" w:cs="Arial"/>
          <w:lang w:val="es-ES"/>
        </w:rPr>
        <w:t>, la misma Sala advierte que “aquí no se analiza la existencia de una inhabilidad”, por lo que dicha referencia no constituye el fundamento de la decisión.</w:t>
      </w:r>
    </w:p>
    <w:p w14:paraId="62034A56" w14:textId="77777777" w:rsidR="00234CA2" w:rsidRPr="002B613F" w:rsidRDefault="00234CA2" w:rsidP="00234CA2">
      <w:pPr>
        <w:spacing w:before="120" w:after="120" w:line="276" w:lineRule="auto"/>
        <w:ind w:firstLine="709"/>
        <w:jc w:val="both"/>
        <w:rPr>
          <w:rFonts w:ascii="Verdana" w:eastAsia="Calibri" w:hAnsi="Verdana" w:cs="Arial"/>
          <w:lang w:val="es-ES"/>
        </w:rPr>
      </w:pPr>
      <w:r w:rsidRPr="002B613F">
        <w:rPr>
          <w:rFonts w:ascii="Verdana" w:eastAsia="Calibri" w:hAnsi="Verdana" w:cs="Arial"/>
          <w:lang w:val="es-ES"/>
        </w:rPr>
        <w:t>Así las cosas, la sentencia citada en su consulta no establece que el supuesto objeto de consulta –la participación de una misma persona como socia de dos sociedades que presentan oferta en un mismo proceso de selección– constituya una inhabilidad o incompatibilidad para contratar con el Estado. En consecuencia, corresponderá a la Entidad Estatal, en cada caso concreto, evaluar si en el pliego de condiciones o documento equivalente existe una causal de rechazo que comprenda dicha situación y que, por tanto, amerite el rechazo de las ofertas, así como determinar si procede la aplicación de alguna de las causales de inhabilidad previstas en la Constitución y en la ley, cuya interpretación, como se explicó, debe ser restrictiva.</w:t>
      </w:r>
    </w:p>
    <w:p w14:paraId="3347B87C" w14:textId="77777777" w:rsidR="00234CA2" w:rsidRPr="002B613F" w:rsidRDefault="00234CA2" w:rsidP="00234CA2">
      <w:pPr>
        <w:spacing w:before="120" w:after="0" w:line="276" w:lineRule="auto"/>
        <w:ind w:firstLine="708"/>
        <w:jc w:val="both"/>
        <w:rPr>
          <w:rFonts w:ascii="Verdana" w:eastAsia="Calibri" w:hAnsi="Verdana" w:cs="Arial"/>
          <w:lang w:val="es-ES"/>
        </w:rPr>
      </w:pPr>
      <w:r w:rsidRPr="002B613F">
        <w:rPr>
          <w:rFonts w:ascii="Verdana" w:hAnsi="Verdana" w:cs="Arial"/>
          <w:lang w:val="es-ES" w:eastAsia="es-ES"/>
        </w:rPr>
        <w:t xml:space="preserve">Al margen de la explicación precedente debe advertirse que el análisis requerido para resolver problemas específicos en torno al clausulado contractual debe ser realizado por quienes tengan interés en ello, de acuerdo con lo explicado </w:t>
      </w:r>
      <w:r>
        <w:rPr>
          <w:rFonts w:ascii="Verdana" w:hAnsi="Verdana" w:cs="Arial"/>
          <w:lang w:val="es-ES" w:eastAsia="es-ES"/>
        </w:rPr>
        <w:t xml:space="preserve">en </w:t>
      </w:r>
      <w:r w:rsidRPr="002B613F">
        <w:rPr>
          <w:rFonts w:ascii="Verdana" w:hAnsi="Verdana" w:cs="Arial"/>
          <w:lang w:val="es-ES" w:eastAsia="es-ES"/>
        </w:rPr>
        <w:t>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617D2E75" w14:textId="77777777" w:rsidR="00234CA2" w:rsidRPr="002B613F" w:rsidRDefault="00234CA2" w:rsidP="00234CA2">
      <w:pPr>
        <w:spacing w:before="120" w:after="0" w:line="276" w:lineRule="auto"/>
        <w:ind w:firstLine="709"/>
        <w:jc w:val="both"/>
        <w:rPr>
          <w:rFonts w:ascii="Verdana" w:hAnsi="Verdana" w:cs="Arial"/>
          <w:lang w:val="es-ES" w:eastAsia="es-ES"/>
        </w:rPr>
      </w:pPr>
      <w:r w:rsidRPr="002B613F">
        <w:rPr>
          <w:rFonts w:ascii="Verdana" w:hAnsi="Verdana" w:cs="Arial"/>
          <w:lang w:val="es-ES" w:eastAsia="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w:t>
      </w:r>
      <w:r w:rsidRPr="002B613F">
        <w:rPr>
          <w:rFonts w:ascii="Verdana" w:hAnsi="Verdana" w:cs="Arial"/>
          <w:lang w:val="es-ES" w:eastAsia="es-ES"/>
        </w:rPr>
        <w:lastRenderedPageBreak/>
        <w:t>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A6C2E4D" w14:textId="77777777" w:rsidR="00234CA2" w:rsidRPr="002B613F" w:rsidRDefault="00234CA2" w:rsidP="00234CA2">
      <w:pPr>
        <w:spacing w:after="0" w:line="276" w:lineRule="auto"/>
        <w:jc w:val="both"/>
        <w:rPr>
          <w:rFonts w:ascii="Verdana" w:eastAsia="Times New Roman" w:hAnsi="Verdana" w:cs="Arial"/>
          <w:color w:val="000000" w:themeColor="text1"/>
          <w:lang w:val="es-ES"/>
        </w:rPr>
      </w:pPr>
    </w:p>
    <w:p w14:paraId="4338F3C0" w14:textId="77777777" w:rsidR="00234CA2" w:rsidRPr="002B613F" w:rsidRDefault="00234CA2" w:rsidP="00234CA2">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2B613F">
        <w:rPr>
          <w:rFonts w:ascii="Verdana" w:eastAsia="Century Gothic" w:hAnsi="Verdana" w:cs="Century Gothic"/>
          <w:b/>
          <w:color w:val="000000" w:themeColor="text1"/>
        </w:rPr>
        <w:t>Referencias normativas, jurisprudenciales y otras fuentes:</w:t>
      </w:r>
    </w:p>
    <w:p w14:paraId="7AEBD3EE" w14:textId="77777777" w:rsidR="00234CA2" w:rsidRPr="002B613F" w:rsidRDefault="00234CA2" w:rsidP="00234CA2">
      <w:pPr>
        <w:widowControl w:val="0"/>
        <w:autoSpaceDE w:val="0"/>
        <w:autoSpaceDN w:val="0"/>
        <w:spacing w:after="0" w:line="276" w:lineRule="auto"/>
        <w:jc w:val="both"/>
        <w:rPr>
          <w:rFonts w:ascii="Verdana" w:hAnsi="Verdana" w:cs="Arial"/>
          <w:color w:val="000000" w:themeColor="text1"/>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34CA2" w:rsidRPr="002B613F" w14:paraId="52F120A1" w14:textId="77777777" w:rsidTr="006B45AC">
        <w:trPr>
          <w:trHeight w:val="297"/>
        </w:trPr>
        <w:tc>
          <w:tcPr>
            <w:tcW w:w="8647" w:type="dxa"/>
          </w:tcPr>
          <w:p w14:paraId="442E40BB"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Constitución Política, artículos 6, 13, 29, 150 y 209.</w:t>
            </w:r>
          </w:p>
          <w:p w14:paraId="3D7615BC"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Ley 80 de 1993, artículos 8, 24 y 25.</w:t>
            </w:r>
          </w:p>
          <w:p w14:paraId="762C91EE"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Ley 1150 de 2007, artículo 5.</w:t>
            </w:r>
          </w:p>
          <w:p w14:paraId="26E73FFD"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Decreto 1082 de 2015, artículos 2.2.1.1.2.1.3. y 2.2.1.1.2.2.5.</w:t>
            </w:r>
          </w:p>
          <w:p w14:paraId="108E8F60"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Consejo de Estado. Sala de lo Contencioso Administrativo. Sección Tercera. Sentencia del 21 de febrero de 2007. Radicado: 2005-00549-01 (AP). C.P. Alier Eduardo Hernández Enríquez.</w:t>
            </w:r>
          </w:p>
          <w:p w14:paraId="481F0DC5"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Consejo de Estado. Sala de lo Contencioso Administrativo. Sección Tercera. Subsección B. Sentencia del 27 de abril de 2011. Radicado: 25000-23-26-000-1997-03924-01 (18.293). C.P. Ruth Stella Correa Palacio.</w:t>
            </w:r>
          </w:p>
          <w:p w14:paraId="6A602BBC"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 xml:space="preserve">Consejo de Estado. Sala de lo Contencioso Administrativo. Sección Tercera. Subsección C. Sentencia del 22 de mayo de 2013. Radicado: 68001-23-15-000-1995-00152-01 (24.057). C.P. Olga Mélida Valle De </w:t>
            </w:r>
            <w:proofErr w:type="spellStart"/>
            <w:r w:rsidRPr="002B613F">
              <w:rPr>
                <w:rFonts w:ascii="Verdana" w:hAnsi="Verdana" w:cs="Arial"/>
                <w:lang w:val="es-ES"/>
              </w:rPr>
              <w:t>De</w:t>
            </w:r>
            <w:proofErr w:type="spellEnd"/>
            <w:r w:rsidRPr="002B613F">
              <w:rPr>
                <w:rFonts w:ascii="Verdana" w:hAnsi="Verdana" w:cs="Arial"/>
                <w:lang w:val="es-ES"/>
              </w:rPr>
              <w:t xml:space="preserve"> La Hoz.</w:t>
            </w:r>
          </w:p>
          <w:p w14:paraId="067ABE17"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Consejo de Estado. Sala de lo Contencioso Administrativo. Sección Tercera. Subsección A. Sentencia del 13 de noviembre de 2013. Radicado: 25000-23-26-000-1999-02197-01 (25646). C.P. Mauricio Fajardo Gómez.</w:t>
            </w:r>
          </w:p>
          <w:p w14:paraId="2DDB3653"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Consejo de Estado. Sala de lo Contencioso Administrativo. Sección Tercera. Sentencia del 21 de noviembre de 2013. Radicado: 25000-23-26-000-1999-01850-01 (25.397). C.P. Carlos Alberto Zambrano Barrera.</w:t>
            </w:r>
          </w:p>
          <w:p w14:paraId="4DBFC9F2"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Consejo de Estado. Sala de Consulta y Servicio Civil. Concepto del 30 de abril de 2015. Radicado: 11001-03-06-000-2015-00058-00 (2251). C.P. Álvaro Namén Vargas.</w:t>
            </w:r>
          </w:p>
          <w:p w14:paraId="51B320CE"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 xml:space="preserve">Consejo de Estado. Sala de lo Contencioso Administrativo. Sección Tercera. Subsección A. Sentencia del 24 de junio de 2015. Radicado: 05001-23-31-000-1997-02636-01 (40.635). C.P. Hernán Andrade </w:t>
            </w:r>
            <w:r w:rsidRPr="002B613F">
              <w:rPr>
                <w:rFonts w:ascii="Verdana" w:hAnsi="Verdana" w:cs="Arial"/>
                <w:lang w:val="es-ES"/>
              </w:rPr>
              <w:lastRenderedPageBreak/>
              <w:t>Rincón (E).</w:t>
            </w:r>
          </w:p>
          <w:p w14:paraId="5FFE5B25"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Consejo de Estado. Sala de lo Contencioso Administrativo. Sección Tercera. Subsección B. Sentencia del 19 de abril de 2023. Radicado: 25000-23-26-000-2010-00161-02 (65.828). C.P. Fredy Ibarra Martínez.</w:t>
            </w:r>
          </w:p>
          <w:p w14:paraId="3BFB9241"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Corte Constitucional. Sentencia C-415 de 1994. M.P. Eduardo Cifuentes Muñoz.</w:t>
            </w:r>
          </w:p>
          <w:p w14:paraId="3D268C19"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Corte Constitucional. Sentencia C-780 de 2001. M.P. Jaime Córdoba Triviño.</w:t>
            </w:r>
          </w:p>
          <w:p w14:paraId="0AD975AD"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Corte Constitucional. Sentencia T-1039 de 2006. M.P. Humberto Sierra Porto.</w:t>
            </w:r>
          </w:p>
          <w:p w14:paraId="5384121D"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Corte Constitucional. Sentencia C-903 de 2008. M.P. Jaime Araujo Rentería.</w:t>
            </w:r>
          </w:p>
          <w:p w14:paraId="0CB7B915"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Corte Constitucional. Sentencia C-1016 de 2012. M.P. Jorge Iván Palacio.</w:t>
            </w:r>
          </w:p>
          <w:p w14:paraId="7F44063C"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Corte Constitucional. Sentencia C-101 de 2018. M.P. Gloria Stella Ortiz Delgado.</w:t>
            </w:r>
          </w:p>
          <w:p w14:paraId="6FB0210F" w14:textId="77777777" w:rsidR="00234CA2" w:rsidRPr="002B613F" w:rsidRDefault="00234CA2" w:rsidP="00234CA2">
            <w:pPr>
              <w:widowControl w:val="0"/>
              <w:numPr>
                <w:ilvl w:val="0"/>
                <w:numId w:val="16"/>
              </w:numPr>
              <w:autoSpaceDE w:val="0"/>
              <w:autoSpaceDN w:val="0"/>
              <w:spacing w:before="120" w:after="120"/>
              <w:jc w:val="both"/>
              <w:rPr>
                <w:rFonts w:ascii="Verdana" w:hAnsi="Verdana" w:cs="Arial"/>
                <w:lang w:val="es-ES"/>
              </w:rPr>
            </w:pPr>
            <w:r w:rsidRPr="002B613F">
              <w:rPr>
                <w:rFonts w:ascii="Verdana" w:hAnsi="Verdana" w:cs="Arial"/>
                <w:lang w:val="es-ES"/>
              </w:rPr>
              <w:t>RODRÍGUEZ TAMAYO, Mauricio Fernando. Evaluación y rechazo de ofertas en la Ley 80 de 1993. Medellín: Librería Jurídica Sánchez, 2016.</w:t>
            </w:r>
          </w:p>
        </w:tc>
      </w:tr>
    </w:tbl>
    <w:p w14:paraId="077D94C9" w14:textId="77777777" w:rsidR="00234CA2" w:rsidRPr="002B613F" w:rsidRDefault="00234CA2" w:rsidP="00234CA2">
      <w:pPr>
        <w:widowControl w:val="0"/>
        <w:autoSpaceDE w:val="0"/>
        <w:autoSpaceDN w:val="0"/>
        <w:spacing w:after="0" w:line="276" w:lineRule="auto"/>
        <w:jc w:val="both"/>
        <w:rPr>
          <w:rFonts w:ascii="Verdana" w:hAnsi="Verdana" w:cs="Arial"/>
          <w:color w:val="000000" w:themeColor="text1"/>
          <w:lang w:val="es-ES"/>
        </w:rPr>
      </w:pPr>
    </w:p>
    <w:p w14:paraId="77C1A3C1" w14:textId="77777777" w:rsidR="00234CA2" w:rsidRPr="002B613F" w:rsidRDefault="00234CA2" w:rsidP="00234CA2">
      <w:pPr>
        <w:pStyle w:val="ListParagraph"/>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2B613F">
        <w:rPr>
          <w:rFonts w:ascii="Verdana" w:eastAsia="Century Gothic" w:hAnsi="Verdana" w:cs="Century Gothic"/>
          <w:b/>
          <w:color w:val="000000" w:themeColor="text1"/>
        </w:rPr>
        <w:t>Doctrina de la Agencia Nacional de Contratación Pública:</w:t>
      </w:r>
    </w:p>
    <w:p w14:paraId="5AB420EB" w14:textId="77777777" w:rsidR="00234CA2" w:rsidRPr="002B613F" w:rsidRDefault="00234CA2" w:rsidP="00234CA2">
      <w:pPr>
        <w:widowControl w:val="0"/>
        <w:autoSpaceDE w:val="0"/>
        <w:autoSpaceDN w:val="0"/>
        <w:spacing w:after="0" w:line="276" w:lineRule="auto"/>
        <w:jc w:val="both"/>
        <w:rPr>
          <w:rFonts w:ascii="Verdana" w:hAnsi="Verdana" w:cs="Arial"/>
          <w:color w:val="000000" w:themeColor="text1"/>
          <w:lang w:val="es-ES"/>
        </w:rPr>
      </w:pPr>
    </w:p>
    <w:p w14:paraId="4B5FB050" w14:textId="77777777" w:rsidR="00234CA2" w:rsidRPr="002B613F" w:rsidRDefault="00234CA2" w:rsidP="00234CA2">
      <w:pPr>
        <w:spacing w:line="276" w:lineRule="auto"/>
        <w:jc w:val="both"/>
        <w:rPr>
          <w:rFonts w:ascii="Verdana" w:eastAsia="Calibri" w:hAnsi="Verdana" w:cs="Arial"/>
          <w:b/>
          <w:bCs/>
          <w:color w:val="000000" w:themeColor="text1"/>
          <w:lang w:val="es-ES"/>
        </w:rPr>
      </w:pPr>
      <w:r w:rsidRPr="002B613F">
        <w:rPr>
          <w:rFonts w:ascii="Verdana" w:eastAsia="Calibri" w:hAnsi="Verdana" w:cs="Arial"/>
          <w:lang w:val="es-ES"/>
        </w:rPr>
        <w:t>La Agencia Nacional de Contratación Pública – Colombia Compra Eficiente se ha pronunciado</w:t>
      </w:r>
      <w:r>
        <w:rPr>
          <w:rFonts w:ascii="Verdana" w:eastAsia="Calibri" w:hAnsi="Verdana" w:cs="Arial"/>
          <w:lang w:val="es-ES"/>
        </w:rPr>
        <w:t xml:space="preserve"> sobre las causales de inhabilidad de los literales g) y h)</w:t>
      </w:r>
      <w:r w:rsidRPr="009545A7">
        <w:t xml:space="preserve"> </w:t>
      </w:r>
      <w:r w:rsidRPr="009545A7">
        <w:rPr>
          <w:rFonts w:ascii="Verdana" w:eastAsia="Calibri" w:hAnsi="Verdana" w:cs="Arial"/>
        </w:rPr>
        <w:t>del numeral 1 del artículo 8 de la Ley 80 de 1993 en</w:t>
      </w:r>
      <w:r>
        <w:rPr>
          <w:rFonts w:ascii="Verdana" w:eastAsia="Calibri" w:hAnsi="Verdana" w:cs="Arial"/>
        </w:rPr>
        <w:t xml:space="preserve"> los</w:t>
      </w:r>
      <w:r w:rsidRPr="009545A7">
        <w:rPr>
          <w:rFonts w:ascii="Verdana" w:eastAsia="Calibri" w:hAnsi="Verdana" w:cs="Arial"/>
        </w:rPr>
        <w:t xml:space="preserve"> concepto</w:t>
      </w:r>
      <w:r>
        <w:rPr>
          <w:rFonts w:ascii="Verdana" w:eastAsia="Calibri" w:hAnsi="Verdana" w:cs="Arial"/>
        </w:rPr>
        <w:t>s</w:t>
      </w:r>
      <w:r w:rsidRPr="009545A7">
        <w:rPr>
          <w:rFonts w:ascii="Verdana" w:eastAsia="Calibri" w:hAnsi="Verdana" w:cs="Arial"/>
        </w:rPr>
        <w:t xml:space="preserve"> con radicado</w:t>
      </w:r>
      <w:r>
        <w:rPr>
          <w:rFonts w:ascii="Verdana" w:eastAsia="Calibri" w:hAnsi="Verdana" w:cs="Arial"/>
        </w:rPr>
        <w:t>s</w:t>
      </w:r>
      <w:r w:rsidRPr="009545A7">
        <w:rPr>
          <w:rFonts w:ascii="Verdana" w:eastAsia="Calibri" w:hAnsi="Verdana" w:cs="Arial"/>
        </w:rPr>
        <w:t xml:space="preserve"> No. 4201913000008006 de 2019</w:t>
      </w:r>
      <w:r>
        <w:rPr>
          <w:rFonts w:ascii="Verdana" w:eastAsia="Calibri" w:hAnsi="Verdana" w:cs="Arial"/>
        </w:rPr>
        <w:t>,</w:t>
      </w:r>
      <w:r w:rsidRPr="009545A7">
        <w:rPr>
          <w:rFonts w:ascii="Verdana" w:eastAsia="Calibri" w:hAnsi="Verdana" w:cs="Arial"/>
        </w:rPr>
        <w:t xml:space="preserve"> C-402 del 26 de junio de 2020, C-580 del 21 de septiembre de 2020, C-793 del 22 de noviembre de 2022, C-303 del 25 de julio de 2023, C-041 del 29 de mayo de 2024, C-680 del 15 de noviembre de 2024, C-696 del 25 de mayo de 2026 y C-909 del 9 de julio de 2026</w:t>
      </w:r>
      <w:r w:rsidRPr="002B613F">
        <w:rPr>
          <w:rFonts w:ascii="Verdana" w:eastAsia="Arial" w:hAnsi="Verdana" w:cs="Arial"/>
          <w:lang w:val="es-ES"/>
        </w:rPr>
        <w:t>. Estos y</w:t>
      </w:r>
      <w:r w:rsidRPr="002B613F">
        <w:rPr>
          <w:rFonts w:ascii="Verdana" w:hAnsi="Verdana" w:cs="Arial"/>
          <w:shd w:val="clear" w:color="auto" w:fill="FFFFFF"/>
          <w:lang w:val="es-ES"/>
        </w:rPr>
        <w:t xml:space="preserve"> </w:t>
      </w:r>
      <w:r w:rsidRPr="002B613F">
        <w:rPr>
          <w:rFonts w:ascii="Verdana" w:hAnsi="Verdana"/>
          <w:lang w:val="es-ES"/>
        </w:rPr>
        <w:t>otros se encuentran disponibles para consulta en el Sistema de relatoría de la Agencia, al cual se puede acceder a través del siguiente enlace:</w:t>
      </w:r>
      <w:r w:rsidRPr="002B613F">
        <w:rPr>
          <w:rFonts w:ascii="Verdana" w:hAnsi="Verdana" w:cs="Arial"/>
          <w:shd w:val="clear" w:color="auto" w:fill="FFFFFF"/>
          <w:lang w:val="es-ES"/>
        </w:rPr>
        <w:t xml:space="preserve"> </w:t>
      </w:r>
      <w:hyperlink r:id="rId12" w:history="1">
        <w:r w:rsidRPr="002B613F">
          <w:rPr>
            <w:rStyle w:val="Hyperlink"/>
            <w:rFonts w:ascii="Verdana" w:hAnsi="Verdana"/>
            <w:lang w:val="es-ES"/>
          </w:rPr>
          <w:t>https://relatoria.colombiacompra.gov.co/busqueda/conceptos</w:t>
        </w:r>
      </w:hyperlink>
      <w:r w:rsidRPr="002B613F">
        <w:rPr>
          <w:rFonts w:ascii="Verdana" w:hAnsi="Verdana" w:cs="Arial"/>
          <w:shd w:val="clear" w:color="auto" w:fill="FFFFFF"/>
          <w:lang w:val="es-ES"/>
        </w:rPr>
        <w:t>.</w:t>
      </w:r>
      <w:r w:rsidRPr="002B613F">
        <w:rPr>
          <w:rFonts w:ascii="Verdana" w:hAnsi="Verdana" w:cs="Arial"/>
          <w:color w:val="FF0000"/>
          <w:shd w:val="clear" w:color="auto" w:fill="FFFFFF"/>
          <w:lang w:val="es-ES"/>
        </w:rPr>
        <w:t xml:space="preserve"> </w:t>
      </w:r>
      <w:r w:rsidRPr="002B613F">
        <w:rPr>
          <w:rFonts w:ascii="Verdana" w:hAnsi="Verdana" w:cs="Arial"/>
          <w:color w:val="000000" w:themeColor="text1"/>
          <w:shd w:val="clear" w:color="auto" w:fill="FFFFFF"/>
          <w:lang w:val="es-ES"/>
        </w:rPr>
        <w:t>  </w:t>
      </w:r>
    </w:p>
    <w:p w14:paraId="30FBB7D8" w14:textId="77777777" w:rsidR="00234CA2" w:rsidRPr="002B613F" w:rsidRDefault="00234CA2" w:rsidP="00234CA2">
      <w:pPr>
        <w:spacing w:after="0" w:line="276" w:lineRule="auto"/>
        <w:jc w:val="both"/>
        <w:rPr>
          <w:rFonts w:ascii="Verdana" w:hAnsi="Verdana"/>
          <w:lang w:val="es-ES"/>
        </w:rPr>
      </w:pPr>
      <w:r w:rsidRPr="002B613F">
        <w:rPr>
          <w:rFonts w:ascii="Verdana" w:hAnsi="Verdana"/>
          <w:lang w:val="es-ES"/>
        </w:rPr>
        <w:t xml:space="preserve">Las garantías no son un requisito formal: son el instrumento con el que se protege el patrimonio público frente a los riesgos del contrato. Por ello, la </w:t>
      </w:r>
      <w:r w:rsidRPr="002B613F">
        <w:rPr>
          <w:rFonts w:ascii="Verdana" w:hAnsi="Verdana"/>
          <w:lang w:val="es-ES"/>
        </w:rPr>
        <w:lastRenderedPageBreak/>
        <w:t>Agencia Nacional de Contratación Pública –Colombia Compra Eficiente–  invita a consultar la nueva versión de la </w:t>
      </w:r>
      <w:r w:rsidRPr="002B613F">
        <w:rPr>
          <w:rFonts w:ascii="Verdana" w:hAnsi="Verdana"/>
          <w:b/>
          <w:bCs/>
          <w:lang w:val="es-ES"/>
        </w:rPr>
        <w:t>Guía para la Exigencia y Constitución de Garantías en los Procesos de Contratación</w:t>
      </w:r>
      <w:r w:rsidRPr="002B613F">
        <w:rPr>
          <w:rFonts w:ascii="Verdana" w:hAnsi="Verdana"/>
          <w:lang w:val="es-ES"/>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r w:rsidRPr="002B613F">
          <w:rPr>
            <w:rStyle w:val="Hyperlink"/>
            <w:rFonts w:ascii="Verdana" w:hAnsi="Verdana"/>
            <w:lang w:val="es-ES"/>
          </w:rPr>
          <w:t>https://www.colombiacompra.gov.co/archivos/manual/guia-de-garantias-en-procesos-de-contratacion</w:t>
        </w:r>
      </w:hyperlink>
    </w:p>
    <w:p w14:paraId="43C89796" w14:textId="77777777" w:rsidR="00234CA2" w:rsidRPr="002B613F" w:rsidRDefault="00234CA2" w:rsidP="00234CA2">
      <w:pPr>
        <w:spacing w:after="0" w:line="276" w:lineRule="auto"/>
        <w:jc w:val="both"/>
        <w:rPr>
          <w:rFonts w:ascii="Verdana" w:hAnsi="Verdana"/>
          <w:lang w:val="es-ES"/>
        </w:rPr>
      </w:pPr>
    </w:p>
    <w:p w14:paraId="016C1F3A" w14:textId="77777777" w:rsidR="00234CA2" w:rsidRPr="002B613F" w:rsidRDefault="00234CA2" w:rsidP="00234CA2">
      <w:pPr>
        <w:spacing w:after="0" w:line="276" w:lineRule="auto"/>
        <w:jc w:val="both"/>
        <w:rPr>
          <w:rFonts w:ascii="Verdana" w:hAnsi="Verdana"/>
          <w:lang w:val="es-ES"/>
        </w:rPr>
      </w:pPr>
      <w:r w:rsidRPr="002B613F">
        <w:rPr>
          <w:rFonts w:ascii="Verdana" w:hAnsi="Verdana"/>
          <w:lang w:val="es-ES"/>
        </w:rPr>
        <w:t>De otro lado, le contamos que el Decreto 287 del 19 de marzo de 2026 sustituyó los artículos 2.2.1.2.4.2.6., 2.2.1.2.4.2.7. y 2.2.1.2.4.2.8. del Decreto 1082 de 2015 y estructuró el </w:t>
      </w:r>
      <w:r w:rsidRPr="002B613F">
        <w:rPr>
          <w:rFonts w:ascii="Verdana" w:hAnsi="Verdana"/>
          <w:b/>
          <w:bCs/>
          <w:lang w:val="es-ES"/>
        </w:rPr>
        <w:t>Sistema Integral de Preferencias en favor de las personas con discapacidad</w:t>
      </w:r>
      <w:r w:rsidRPr="002B613F">
        <w:rPr>
          <w:rFonts w:ascii="Verdana" w:hAnsi="Verdana"/>
          <w:lang w:val="es-ES"/>
        </w:rPr>
        <w:t>, en cumplimiento del artículo 13 de la Ley Estatutaria 1618 de 2013. Para orientar su aplicación, esta Agencia expidió la </w:t>
      </w:r>
      <w:r w:rsidRPr="002B613F">
        <w:rPr>
          <w:rFonts w:ascii="Verdana" w:hAnsi="Verdana"/>
          <w:b/>
          <w:bCs/>
          <w:lang w:val="es-ES"/>
        </w:rPr>
        <w:t>Circular Externa 003 del 12 de mayo de 2026, </w:t>
      </w:r>
      <w:r w:rsidRPr="002B613F">
        <w:rPr>
          <w:rFonts w:ascii="Verdana" w:hAnsi="Verdana"/>
          <w:lang w:val="es-ES"/>
        </w:rPr>
        <w:t>en la que precisa quiénes son los beneficiarios, las cinco medidas que integran el sistema y su obligatoriedad según la modalidad de selección, y el régimen de transición aplicable a los procesos en curso. Consúltela aquí: </w:t>
      </w:r>
      <w:hyperlink r:id="rId14">
        <w:r w:rsidRPr="002B613F">
          <w:rPr>
            <w:rStyle w:val="Hyperlink"/>
            <w:rFonts w:ascii="Verdana" w:hAnsi="Verdana"/>
            <w:lang w:val="es-ES"/>
          </w:rPr>
          <w:t>https://www.colombiacompra.gov.co/archivos/circular/circular-externa-003-de-2026</w:t>
        </w:r>
      </w:hyperlink>
    </w:p>
    <w:p w14:paraId="2BF69D5B" w14:textId="77777777" w:rsidR="00234CA2" w:rsidRPr="002B613F" w:rsidRDefault="00234CA2" w:rsidP="00234CA2">
      <w:pPr>
        <w:spacing w:after="0" w:line="276" w:lineRule="auto"/>
        <w:jc w:val="both"/>
        <w:rPr>
          <w:rFonts w:ascii="Verdana" w:hAnsi="Verdana"/>
          <w:lang w:val="es-ES"/>
        </w:rPr>
      </w:pPr>
    </w:p>
    <w:p w14:paraId="2EFF891F" w14:textId="77777777" w:rsidR="00234CA2" w:rsidRPr="002B613F" w:rsidRDefault="00234CA2" w:rsidP="00234CA2">
      <w:pPr>
        <w:spacing w:after="0" w:line="276" w:lineRule="auto"/>
        <w:jc w:val="both"/>
        <w:rPr>
          <w:rFonts w:ascii="Verdana" w:hAnsi="Verdana"/>
          <w:lang w:val="es-ES"/>
        </w:rPr>
      </w:pPr>
      <w:r w:rsidRPr="002B613F">
        <w:rPr>
          <w:rFonts w:ascii="Verdana" w:hAnsi="Verdana"/>
          <w:lang w:val="es-ES"/>
        </w:rPr>
        <w:t>Recuerde también que la</w:t>
      </w:r>
      <w:r w:rsidRPr="002B613F">
        <w:rPr>
          <w:rFonts w:ascii="Verdana" w:hAnsi="Verdana"/>
          <w:b/>
          <w:bCs/>
          <w:lang w:val="es-ES"/>
        </w:rPr>
        <w:t> información sobre sanciones e inhabilidades </w:t>
      </w:r>
      <w:r w:rsidRPr="002B613F">
        <w:rPr>
          <w:rFonts w:ascii="Verdana" w:hAnsi="Verdana"/>
          <w:lang w:val="es-ES"/>
        </w:rPr>
        <w:t>solo cumple su función preventiva si llega oportunamente a los registros públicos. Sobre este deber, esta Agencia expidió la </w:t>
      </w:r>
      <w:r w:rsidRPr="002B613F">
        <w:rPr>
          <w:rFonts w:ascii="Verdana" w:hAnsi="Verdana"/>
          <w:b/>
          <w:bCs/>
          <w:lang w:val="es-ES"/>
        </w:rPr>
        <w:t>Circular Externa 002 del 5 de mayo de 2026,</w:t>
      </w:r>
      <w:r w:rsidRPr="002B613F">
        <w:rPr>
          <w:rFonts w:ascii="Verdana" w:hAnsi="Verdana"/>
          <w:lang w:val="es-ES"/>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Consúltela aquí: </w:t>
      </w:r>
      <w:hyperlink r:id="rId15">
        <w:r w:rsidRPr="002B613F">
          <w:rPr>
            <w:rStyle w:val="Hyperlink"/>
            <w:rFonts w:ascii="Verdana" w:hAnsi="Verdana"/>
            <w:lang w:val="es-ES"/>
          </w:rPr>
          <w:t>https://www.colombiacompra.gov.co/archivos/circular/circular-externa-002-de-2026</w:t>
        </w:r>
      </w:hyperlink>
    </w:p>
    <w:p w14:paraId="1C3C402B" w14:textId="77777777" w:rsidR="00234CA2" w:rsidRPr="002B613F" w:rsidRDefault="00234CA2" w:rsidP="00234CA2">
      <w:pPr>
        <w:spacing w:after="0" w:line="276" w:lineRule="auto"/>
        <w:jc w:val="both"/>
        <w:rPr>
          <w:rFonts w:ascii="Verdana" w:hAnsi="Verdana"/>
          <w:lang w:val="es-ES"/>
        </w:rPr>
      </w:pPr>
    </w:p>
    <w:p w14:paraId="4E7681E8" w14:textId="77777777" w:rsidR="00234CA2" w:rsidRPr="002B613F" w:rsidRDefault="00234CA2" w:rsidP="00234CA2">
      <w:pPr>
        <w:spacing w:after="0" w:line="276" w:lineRule="auto"/>
        <w:jc w:val="both"/>
        <w:rPr>
          <w:rFonts w:ascii="Verdana" w:hAnsi="Verdana"/>
          <w:lang w:val="es-ES"/>
        </w:rPr>
      </w:pPr>
      <w:r w:rsidRPr="002B613F">
        <w:rPr>
          <w:rFonts w:ascii="Verdana" w:hAnsi="Verdana"/>
          <w:lang w:val="es-ES"/>
        </w:rPr>
        <w:t>Finalmente, si quiere seguir de cerca la actividad de la Agencia, la tercera edición de 2026 del</w:t>
      </w:r>
      <w:r w:rsidRPr="002B613F">
        <w:rPr>
          <w:rFonts w:ascii="Verdana" w:hAnsi="Verdana"/>
          <w:b/>
          <w:bCs/>
          <w:lang w:val="es-ES"/>
        </w:rPr>
        <w:t> Radar de la Compra Pública</w:t>
      </w:r>
      <w:r w:rsidRPr="002B613F">
        <w:rPr>
          <w:rFonts w:ascii="Verdana" w:hAnsi="Verdana"/>
          <w:lang w:val="es-ES"/>
        </w:rPr>
        <w:t xml:space="preserve"> reúne, entre otros contenidos, la </w:t>
      </w:r>
      <w:r w:rsidRPr="002B613F">
        <w:rPr>
          <w:rFonts w:ascii="Verdana" w:hAnsi="Verdana"/>
          <w:lang w:val="es-ES"/>
        </w:rPr>
        <w:lastRenderedPageBreak/>
        <w:t>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r w:rsidRPr="002B613F">
          <w:rPr>
            <w:rStyle w:val="Hyperlink"/>
            <w:rFonts w:ascii="Verdana" w:hAnsi="Verdana"/>
            <w:lang w:val="es-ES"/>
          </w:rPr>
          <w:t>https://www.colombiacompra.gov.co/archivos/boletin/boletin-edicion-n-3-de-2026-radar-de-la-compra-publica</w:t>
        </w:r>
      </w:hyperlink>
    </w:p>
    <w:p w14:paraId="33628007" w14:textId="77777777" w:rsidR="00234CA2" w:rsidRPr="002B613F" w:rsidRDefault="00234CA2" w:rsidP="00234CA2">
      <w:pPr>
        <w:spacing w:line="276" w:lineRule="auto"/>
        <w:jc w:val="both"/>
        <w:rPr>
          <w:rFonts w:ascii="Verdana" w:hAnsi="Verdana"/>
          <w:lang w:val="es-ES"/>
        </w:rPr>
      </w:pPr>
    </w:p>
    <w:p w14:paraId="64D66D80" w14:textId="77777777" w:rsidR="00234CA2" w:rsidRPr="002B613F" w:rsidRDefault="00234CA2" w:rsidP="00234CA2">
      <w:pPr>
        <w:spacing w:after="0" w:line="276" w:lineRule="auto"/>
        <w:jc w:val="both"/>
        <w:rPr>
          <w:rFonts w:ascii="Verdana" w:hAnsi="Verdana"/>
          <w:lang w:val="es-ES"/>
        </w:rPr>
      </w:pPr>
      <w:r w:rsidRPr="002B613F">
        <w:rPr>
          <w:rFonts w:ascii="Verdana" w:hAnsi="Verdana"/>
          <w:lang w:val="es-ES"/>
        </w:rPr>
        <w:t xml:space="preserve">Por último, le invitamos a seguirnos en las redes sociales en las cuales se difunde información institucional: </w:t>
      </w:r>
    </w:p>
    <w:p w14:paraId="1133A2FE" w14:textId="77777777" w:rsidR="00234CA2" w:rsidRPr="002B613F" w:rsidRDefault="00234CA2" w:rsidP="00234CA2">
      <w:pPr>
        <w:spacing w:after="0" w:line="276" w:lineRule="auto"/>
        <w:jc w:val="both"/>
        <w:rPr>
          <w:rFonts w:ascii="Verdana" w:hAnsi="Verdana"/>
          <w:lang w:val="es-ES"/>
        </w:rPr>
      </w:pPr>
    </w:p>
    <w:p w14:paraId="05009570" w14:textId="77777777" w:rsidR="00234CA2" w:rsidRPr="002B613F" w:rsidRDefault="00234CA2" w:rsidP="00234CA2">
      <w:pPr>
        <w:spacing w:after="0" w:line="276" w:lineRule="auto"/>
        <w:jc w:val="both"/>
        <w:rPr>
          <w:rFonts w:ascii="Verdana" w:hAnsi="Verdana"/>
          <w:lang w:val="es-ES"/>
        </w:rPr>
      </w:pPr>
      <w:r w:rsidRPr="002B613F">
        <w:rPr>
          <w:rFonts w:ascii="Verdana" w:hAnsi="Verdana"/>
          <w:lang w:val="es-ES"/>
        </w:rPr>
        <w:t xml:space="preserve">Twitter: </w:t>
      </w:r>
      <w:r w:rsidRPr="002B613F">
        <w:rPr>
          <w:rStyle w:val="Hyperlink"/>
          <w:rFonts w:ascii="Verdana" w:hAnsi="Verdana" w:cs="Arial"/>
          <w:shd w:val="clear" w:color="auto" w:fill="FFFFFF"/>
          <w:lang w:val="es-ES"/>
        </w:rPr>
        <w:t>@colombiacompra</w:t>
      </w:r>
      <w:r w:rsidRPr="002B613F">
        <w:rPr>
          <w:rFonts w:ascii="Verdana" w:hAnsi="Verdana"/>
          <w:color w:val="4472C4" w:themeColor="accent1"/>
          <w:lang w:val="es-ES"/>
        </w:rPr>
        <w:t xml:space="preserve"> </w:t>
      </w:r>
    </w:p>
    <w:p w14:paraId="02718EC8" w14:textId="77777777" w:rsidR="00234CA2" w:rsidRPr="002B613F" w:rsidRDefault="00234CA2" w:rsidP="00234CA2">
      <w:pPr>
        <w:spacing w:after="0" w:line="276" w:lineRule="auto"/>
        <w:jc w:val="both"/>
        <w:rPr>
          <w:rFonts w:ascii="Verdana" w:hAnsi="Verdana"/>
          <w:lang w:val="es-ES"/>
        </w:rPr>
      </w:pPr>
      <w:r w:rsidRPr="002B613F">
        <w:rPr>
          <w:rFonts w:ascii="Verdana" w:hAnsi="Verdana"/>
          <w:lang w:val="es-ES"/>
        </w:rPr>
        <w:t xml:space="preserve">Facebook: </w:t>
      </w:r>
      <w:proofErr w:type="spellStart"/>
      <w:r w:rsidRPr="002B613F">
        <w:rPr>
          <w:rStyle w:val="Hyperlink"/>
          <w:rFonts w:ascii="Verdana" w:hAnsi="Verdana" w:cs="Arial"/>
          <w:shd w:val="clear" w:color="auto" w:fill="FFFFFF"/>
          <w:lang w:val="es-ES"/>
        </w:rPr>
        <w:t>ColombiaCompraEficiente</w:t>
      </w:r>
      <w:proofErr w:type="spellEnd"/>
    </w:p>
    <w:p w14:paraId="597F3EC2" w14:textId="77777777" w:rsidR="00234CA2" w:rsidRPr="002B613F" w:rsidRDefault="00234CA2" w:rsidP="00234CA2">
      <w:pPr>
        <w:spacing w:after="0" w:line="276" w:lineRule="auto"/>
        <w:jc w:val="both"/>
        <w:rPr>
          <w:rFonts w:ascii="Verdana" w:hAnsi="Verdana"/>
          <w:lang w:val="es-ES"/>
        </w:rPr>
      </w:pPr>
      <w:r w:rsidRPr="002B613F">
        <w:rPr>
          <w:rFonts w:ascii="Verdana" w:hAnsi="Verdana"/>
          <w:lang w:val="es-ES"/>
        </w:rPr>
        <w:t xml:space="preserve">LinkedIn: </w:t>
      </w:r>
      <w:r w:rsidRPr="002B613F">
        <w:rPr>
          <w:rStyle w:val="Hyperlink"/>
          <w:rFonts w:ascii="Verdana" w:hAnsi="Verdana" w:cs="Arial"/>
          <w:shd w:val="clear" w:color="auto" w:fill="FFFFFF"/>
          <w:lang w:val="es-ES"/>
        </w:rPr>
        <w:t xml:space="preserve">Agencia Nacional de Contratación Pública - Colombia Compra Eficiente </w:t>
      </w:r>
      <w:r w:rsidRPr="002B613F">
        <w:rPr>
          <w:rFonts w:ascii="Verdana" w:hAnsi="Verdana"/>
          <w:lang w:val="es-ES"/>
        </w:rPr>
        <w:t xml:space="preserve">Instagram: </w:t>
      </w:r>
      <w:r w:rsidRPr="002B613F">
        <w:rPr>
          <w:rStyle w:val="Hyperlink"/>
          <w:rFonts w:ascii="Verdana" w:hAnsi="Verdana" w:cs="Arial"/>
          <w:shd w:val="clear" w:color="auto" w:fill="FFFFFF"/>
          <w:lang w:val="es-ES"/>
        </w:rPr>
        <w:t>@colombiacompraeficiente_cce</w:t>
      </w:r>
    </w:p>
    <w:p w14:paraId="019789D9" w14:textId="77777777" w:rsidR="00234CA2" w:rsidRPr="002B613F" w:rsidRDefault="00234CA2" w:rsidP="00234CA2">
      <w:pPr>
        <w:widowControl w:val="0"/>
        <w:autoSpaceDE w:val="0"/>
        <w:autoSpaceDN w:val="0"/>
        <w:spacing w:after="0" w:line="276" w:lineRule="auto"/>
        <w:jc w:val="both"/>
        <w:rPr>
          <w:rFonts w:ascii="Verdana" w:hAnsi="Verdana" w:cs="Arial"/>
          <w:lang w:val="es-ES"/>
        </w:rPr>
      </w:pPr>
    </w:p>
    <w:p w14:paraId="2D900D7E" w14:textId="732AEE12" w:rsidR="00234CA2" w:rsidRPr="002B613F" w:rsidRDefault="00234CA2" w:rsidP="00234CA2">
      <w:pPr>
        <w:widowControl w:val="0"/>
        <w:autoSpaceDE w:val="0"/>
        <w:autoSpaceDN w:val="0"/>
        <w:spacing w:after="0" w:line="276" w:lineRule="auto"/>
        <w:jc w:val="both"/>
        <w:rPr>
          <w:rFonts w:ascii="Verdana" w:hAnsi="Verdana" w:cs="Arial"/>
          <w:lang w:val="es-ES"/>
        </w:rPr>
      </w:pPr>
      <w:r w:rsidRPr="002B613F">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A627571" w14:textId="13CFF857" w:rsidR="00234CA2" w:rsidRPr="002B613F" w:rsidRDefault="00234CA2" w:rsidP="00234CA2">
      <w:pPr>
        <w:widowControl w:val="0"/>
        <w:autoSpaceDE w:val="0"/>
        <w:autoSpaceDN w:val="0"/>
        <w:spacing w:after="0" w:line="276" w:lineRule="auto"/>
        <w:jc w:val="both"/>
        <w:rPr>
          <w:rFonts w:ascii="Verdana" w:hAnsi="Verdana" w:cs="Arial"/>
          <w:lang w:val="es-ES"/>
        </w:rPr>
      </w:pPr>
    </w:p>
    <w:p w14:paraId="4032A6A2" w14:textId="69968D3C" w:rsidR="00234CA2" w:rsidRDefault="00B853A1" w:rsidP="00B853A1">
      <w:pPr>
        <w:spacing w:after="0" w:line="276" w:lineRule="auto"/>
        <w:rPr>
          <w:rFonts w:ascii="Verdana" w:hAnsi="Verdana" w:cs="Arial"/>
          <w:color w:val="000000" w:themeColor="text1"/>
          <w:lang w:val="es-ES" w:eastAsia="es-CO"/>
        </w:rPr>
      </w:pPr>
      <w:r>
        <w:rPr>
          <w:rFonts w:ascii="Verdana" w:hAnsi="Verdana" w:cs="Arial"/>
          <w:noProof/>
          <w:color w:val="000000" w:themeColor="text1"/>
          <w:lang w:val="es-ES" w:eastAsia="es-CO"/>
        </w:rPr>
        <w:drawing>
          <wp:anchor distT="0" distB="0" distL="114300" distR="114300" simplePos="0" relativeHeight="251658240" behindDoc="0" locked="0" layoutInCell="1" allowOverlap="1" wp14:anchorId="105B2ACC" wp14:editId="5116F7A8">
            <wp:simplePos x="0" y="0"/>
            <wp:positionH relativeFrom="column">
              <wp:posOffset>1137496</wp:posOffset>
            </wp:positionH>
            <wp:positionV relativeFrom="paragraph">
              <wp:posOffset>241300</wp:posOffset>
            </wp:positionV>
            <wp:extent cx="3335655" cy="1242060"/>
            <wp:effectExtent l="0" t="0" r="4445" b="2540"/>
            <wp:wrapTopAndBottom/>
            <wp:docPr id="639157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57054" name="Picture 639157054"/>
                    <pic:cNvPicPr/>
                  </pic:nvPicPr>
                  <pic:blipFill>
                    <a:blip r:embed="rId17">
                      <a:extLst>
                        <a:ext uri="{28A0092B-C50C-407E-A947-70E740481C1C}">
                          <a14:useLocalDpi xmlns:a14="http://schemas.microsoft.com/office/drawing/2010/main" val="0"/>
                        </a:ext>
                      </a:extLst>
                    </a:blip>
                    <a:stretch>
                      <a:fillRect/>
                    </a:stretch>
                  </pic:blipFill>
                  <pic:spPr>
                    <a:xfrm>
                      <a:off x="0" y="0"/>
                      <a:ext cx="3335655" cy="1242060"/>
                    </a:xfrm>
                    <a:prstGeom prst="rect">
                      <a:avLst/>
                    </a:prstGeom>
                  </pic:spPr>
                </pic:pic>
              </a:graphicData>
            </a:graphic>
            <wp14:sizeRelH relativeFrom="page">
              <wp14:pctWidth>0</wp14:pctWidth>
            </wp14:sizeRelH>
            <wp14:sizeRelV relativeFrom="page">
              <wp14:pctHeight>0</wp14:pctHeight>
            </wp14:sizeRelV>
          </wp:anchor>
        </w:drawing>
      </w:r>
      <w:r w:rsidR="00234CA2" w:rsidRPr="002B613F">
        <w:rPr>
          <w:rFonts w:ascii="Verdana" w:eastAsia="Times New Roman" w:hAnsi="Verdana" w:cs="Arial"/>
          <w:color w:val="000000" w:themeColor="text1"/>
          <w:lang w:val="es-ES" w:eastAsia="es-CO"/>
        </w:rPr>
        <w:t>Atentamente,</w:t>
      </w:r>
      <w:r w:rsidR="00234CA2" w:rsidRPr="002B613F">
        <w:rPr>
          <w:rFonts w:ascii="Verdana" w:hAnsi="Verdana" w:cs="Arial"/>
          <w:color w:val="000000" w:themeColor="text1"/>
          <w:lang w:val="es-ES" w:eastAsia="es-CO"/>
        </w:rPr>
        <w:t xml:space="preserve"> </w:t>
      </w:r>
    </w:p>
    <w:p w14:paraId="718B2087" w14:textId="77777777" w:rsidR="00B853A1" w:rsidRPr="00B853A1" w:rsidRDefault="00B853A1" w:rsidP="00B853A1">
      <w:pPr>
        <w:spacing w:after="0" w:line="276" w:lineRule="auto"/>
        <w:rPr>
          <w:rFonts w:ascii="Verdana" w:hAnsi="Verdana" w:cs="Arial"/>
          <w:color w:val="000000" w:themeColor="text1"/>
          <w:lang w:val="es-ES" w:eastAsia="es-CO"/>
        </w:rPr>
      </w:pPr>
    </w:p>
    <w:tbl>
      <w:tblPr>
        <w:tblStyle w:val="TableGrid"/>
        <w:tblpPr w:leftFromText="180" w:rightFromText="180" w:vertAnchor="text" w:horzAnchor="margin" w:tblpY="-24"/>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A54B3" w:rsidRPr="002B613F" w14:paraId="5763791F" w14:textId="77777777" w:rsidTr="007A54B3">
        <w:trPr>
          <w:trHeight w:val="315"/>
        </w:trPr>
        <w:tc>
          <w:tcPr>
            <w:tcW w:w="893" w:type="dxa"/>
            <w:vAlign w:val="center"/>
            <w:hideMark/>
          </w:tcPr>
          <w:p w14:paraId="56CACC0F" w14:textId="77777777" w:rsidR="007A54B3" w:rsidRPr="002B613F" w:rsidRDefault="007A54B3" w:rsidP="007A54B3">
            <w:pPr>
              <w:contextualSpacing/>
              <w:rPr>
                <w:rFonts w:ascii="Verdana" w:hAnsi="Verdana" w:cs="Arial"/>
                <w:sz w:val="16"/>
                <w:szCs w:val="16"/>
                <w:lang w:val="es-ES" w:eastAsia="es-ES"/>
              </w:rPr>
            </w:pPr>
            <w:r w:rsidRPr="002B613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D0344F3" w14:textId="77777777" w:rsidR="007A54B3" w:rsidRPr="002B613F" w:rsidRDefault="007A54B3" w:rsidP="007A54B3">
            <w:pPr>
              <w:contextualSpacing/>
              <w:rPr>
                <w:rFonts w:ascii="Verdana" w:eastAsia="Arial" w:hAnsi="Verdana" w:cs="Arial"/>
                <w:color w:val="000000" w:themeColor="text1"/>
                <w:sz w:val="16"/>
                <w:szCs w:val="16"/>
                <w:lang w:val="es-ES"/>
              </w:rPr>
            </w:pPr>
            <w:r w:rsidRPr="002B613F">
              <w:rPr>
                <w:rFonts w:ascii="Verdana" w:eastAsia="Arial" w:hAnsi="Verdana" w:cs="Arial"/>
                <w:color w:val="000000" w:themeColor="text1"/>
                <w:sz w:val="16"/>
                <w:szCs w:val="16"/>
                <w:lang w:val="es-ES"/>
              </w:rPr>
              <w:t>Anamaría Bonilla Prieto</w:t>
            </w:r>
          </w:p>
          <w:p w14:paraId="4178EE87" w14:textId="77777777" w:rsidR="007A54B3" w:rsidRPr="002B613F" w:rsidRDefault="007A54B3" w:rsidP="007A54B3">
            <w:pPr>
              <w:contextualSpacing/>
              <w:rPr>
                <w:rFonts w:ascii="Verdana" w:eastAsia="Arial" w:hAnsi="Verdana" w:cs="Arial"/>
                <w:sz w:val="16"/>
                <w:szCs w:val="16"/>
                <w:lang w:val="es-ES"/>
              </w:rPr>
            </w:pPr>
            <w:r w:rsidRPr="002B613F">
              <w:rPr>
                <w:rStyle w:val="normaltextrun"/>
                <w:rFonts w:ascii="Verdana" w:eastAsia="Arial" w:hAnsi="Verdana" w:cs="Arial"/>
                <w:color w:val="000000" w:themeColor="text1"/>
                <w:sz w:val="16"/>
                <w:szCs w:val="16"/>
                <w:lang w:val="es-ES"/>
              </w:rPr>
              <w:t xml:space="preserve">Contratista de la Subdirección </w:t>
            </w:r>
            <w:r w:rsidRPr="002B613F">
              <w:rPr>
                <w:rStyle w:val="normaltextrun"/>
                <w:rFonts w:ascii="Verdana" w:eastAsia="Arial" w:hAnsi="Verdana" w:cs="Arial"/>
                <w:sz w:val="16"/>
                <w:szCs w:val="16"/>
                <w:lang w:val="es-ES"/>
              </w:rPr>
              <w:t>de Gestión Contractual</w:t>
            </w:r>
          </w:p>
        </w:tc>
      </w:tr>
      <w:tr w:rsidR="007A54B3" w:rsidRPr="002B613F" w14:paraId="5FD23CC1" w14:textId="77777777" w:rsidTr="007A54B3">
        <w:trPr>
          <w:trHeight w:val="330"/>
        </w:trPr>
        <w:tc>
          <w:tcPr>
            <w:tcW w:w="893" w:type="dxa"/>
            <w:vAlign w:val="center"/>
            <w:hideMark/>
          </w:tcPr>
          <w:p w14:paraId="1E2A906D" w14:textId="77777777" w:rsidR="007A54B3" w:rsidRPr="002B613F" w:rsidRDefault="007A54B3" w:rsidP="007A54B3">
            <w:pPr>
              <w:contextualSpacing/>
              <w:rPr>
                <w:rFonts w:ascii="Verdana" w:hAnsi="Verdana" w:cs="Arial"/>
                <w:sz w:val="16"/>
                <w:szCs w:val="16"/>
                <w:lang w:val="es-ES" w:eastAsia="es-ES"/>
              </w:rPr>
            </w:pPr>
            <w:r w:rsidRPr="002B613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1F36A3B" w14:textId="77777777" w:rsidR="007A54B3" w:rsidRPr="002B613F" w:rsidRDefault="007A54B3" w:rsidP="007A54B3">
            <w:pPr>
              <w:spacing w:line="276" w:lineRule="auto"/>
              <w:contextualSpacing/>
              <w:textAlignment w:val="baseline"/>
              <w:rPr>
                <w:rStyle w:val="normaltextrun"/>
                <w:rFonts w:ascii="Verdana" w:eastAsia="Arial" w:hAnsi="Verdana"/>
                <w:color w:val="000000" w:themeColor="text1"/>
                <w:sz w:val="16"/>
                <w:szCs w:val="16"/>
                <w:lang w:val="es-ES"/>
              </w:rPr>
            </w:pPr>
            <w:r w:rsidRPr="002B613F">
              <w:rPr>
                <w:rStyle w:val="normaltextrun"/>
                <w:rFonts w:ascii="Verdana" w:eastAsia="Arial" w:hAnsi="Verdana"/>
                <w:color w:val="000000" w:themeColor="text1"/>
                <w:sz w:val="16"/>
                <w:szCs w:val="16"/>
                <w:lang w:val="es-ES"/>
              </w:rPr>
              <w:t>Alejandro Sarmiento Cantillo</w:t>
            </w:r>
          </w:p>
          <w:p w14:paraId="523F41F5" w14:textId="77777777" w:rsidR="007A54B3" w:rsidRPr="002B613F" w:rsidRDefault="007A54B3" w:rsidP="007A54B3">
            <w:pPr>
              <w:pStyle w:val="paragraph"/>
              <w:spacing w:before="0" w:beforeAutospacing="0" w:after="0" w:afterAutospacing="0"/>
              <w:contextualSpacing/>
              <w:textAlignment w:val="baseline"/>
              <w:rPr>
                <w:rFonts w:ascii="Verdana" w:hAnsi="Verdana" w:cs="Segoe UI"/>
                <w:sz w:val="16"/>
                <w:szCs w:val="16"/>
                <w:lang w:val="es-ES"/>
              </w:rPr>
            </w:pPr>
            <w:r w:rsidRPr="002B613F">
              <w:rPr>
                <w:rStyle w:val="normaltextrun"/>
                <w:rFonts w:ascii="Verdana" w:eastAsia="Arial" w:hAnsi="Verdana"/>
                <w:color w:val="000000" w:themeColor="text1"/>
                <w:sz w:val="16"/>
                <w:szCs w:val="16"/>
                <w:lang w:val="es-ES" w:eastAsia="en-US"/>
              </w:rPr>
              <w:t xml:space="preserve">Gestor T1 – 15 </w:t>
            </w:r>
            <w:r w:rsidRPr="002B613F">
              <w:rPr>
                <w:rStyle w:val="normaltextrun"/>
                <w:rFonts w:ascii="Verdana" w:eastAsia="Arial" w:hAnsi="Verdana" w:cs="Arial"/>
                <w:color w:val="000000" w:themeColor="text1"/>
                <w:sz w:val="16"/>
                <w:szCs w:val="16"/>
                <w:lang w:val="es-ES" w:eastAsia="en-US"/>
              </w:rPr>
              <w:t>de la Subdirección de Gestión Contractual</w:t>
            </w:r>
            <w:r w:rsidRPr="002B613F">
              <w:rPr>
                <w:rStyle w:val="eop"/>
                <w:rFonts w:ascii="Verdana" w:hAnsi="Verdana" w:cs="Arial"/>
                <w:sz w:val="16"/>
                <w:szCs w:val="16"/>
                <w:lang w:val="es-ES"/>
              </w:rPr>
              <w:t> </w:t>
            </w:r>
          </w:p>
        </w:tc>
      </w:tr>
      <w:tr w:rsidR="007A54B3" w:rsidRPr="002B613F" w14:paraId="6273392B" w14:textId="77777777" w:rsidTr="007A54B3">
        <w:trPr>
          <w:trHeight w:val="300"/>
        </w:trPr>
        <w:tc>
          <w:tcPr>
            <w:tcW w:w="893" w:type="dxa"/>
            <w:vAlign w:val="center"/>
          </w:tcPr>
          <w:p w14:paraId="1F718F68" w14:textId="77777777" w:rsidR="007A54B3" w:rsidRPr="002B613F" w:rsidRDefault="007A54B3" w:rsidP="007A54B3">
            <w:pPr>
              <w:contextualSpacing/>
              <w:rPr>
                <w:rFonts w:ascii="Verdana" w:hAnsi="Verdana" w:cs="Arial"/>
                <w:sz w:val="16"/>
                <w:szCs w:val="16"/>
                <w:lang w:val="es-ES" w:eastAsia="es-ES"/>
              </w:rPr>
            </w:pPr>
            <w:r w:rsidRPr="002B613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DB25725" w14:textId="1984BB45" w:rsidR="00420DE9" w:rsidRPr="00420DE9" w:rsidRDefault="00420DE9" w:rsidP="00420DE9">
            <w:pPr>
              <w:textAlignment w:val="baseline"/>
              <w:rPr>
                <w:rStyle w:val="normaltextrun"/>
                <w:rFonts w:ascii="Verdana" w:eastAsia="Arial" w:hAnsi="Verdana"/>
                <w:sz w:val="16"/>
                <w:szCs w:val="16"/>
              </w:rPr>
            </w:pPr>
            <w:r w:rsidRPr="00420DE9">
              <w:rPr>
                <w:rStyle w:val="normaltextrun"/>
                <w:rFonts w:ascii="Verdana" w:eastAsia="Arial" w:hAnsi="Verdana"/>
                <w:sz w:val="16"/>
                <w:szCs w:val="16"/>
              </w:rPr>
              <w:t>William Javier Murcia Acevedo</w:t>
            </w:r>
          </w:p>
          <w:p w14:paraId="629753B5" w14:textId="2742BD80" w:rsidR="007A54B3" w:rsidRPr="00420DE9" w:rsidRDefault="00420DE9" w:rsidP="00420DE9">
            <w:pPr>
              <w:textAlignment w:val="baseline"/>
              <w:rPr>
                <w:rFonts w:ascii="Verdana" w:eastAsia="Times New Roman" w:hAnsi="Verdana" w:cs="Segoe UI"/>
                <w:b/>
                <w:bCs/>
                <w:color w:val="46589C"/>
                <w:lang w:val="es-ES" w:eastAsia="es-CO"/>
              </w:rPr>
            </w:pPr>
            <w:r w:rsidRPr="00420DE9">
              <w:rPr>
                <w:rStyle w:val="normaltextrun"/>
                <w:rFonts w:ascii="Verdana" w:eastAsia="Arial" w:hAnsi="Verdana"/>
                <w:sz w:val="16"/>
                <w:szCs w:val="16"/>
              </w:rPr>
              <w:t>Subdirector de Gestión Contractual (E)</w:t>
            </w:r>
          </w:p>
        </w:tc>
      </w:tr>
    </w:tbl>
    <w:p w14:paraId="722F7C7A" w14:textId="77777777" w:rsidR="00234CA2" w:rsidRPr="002B613F" w:rsidRDefault="00234CA2" w:rsidP="00234CA2">
      <w:pPr>
        <w:rPr>
          <w:lang w:val="es-ES"/>
        </w:rPr>
      </w:pPr>
    </w:p>
    <w:p w14:paraId="0F293BF4" w14:textId="6E796C5B" w:rsidR="00127233" w:rsidRPr="00234CA2" w:rsidRDefault="00127233" w:rsidP="00234CA2"/>
    <w:sectPr w:rsidR="00127233" w:rsidRPr="00234CA2"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3E796E" w14:textId="77777777" w:rsidR="006B79D2" w:rsidRDefault="006B79D2" w:rsidP="004A1847">
      <w:pPr>
        <w:spacing w:after="0" w:line="240" w:lineRule="auto"/>
      </w:pPr>
      <w:r>
        <w:separator/>
      </w:r>
    </w:p>
  </w:endnote>
  <w:endnote w:type="continuationSeparator" w:id="0">
    <w:p w14:paraId="02D95766" w14:textId="77777777" w:rsidR="006B79D2" w:rsidRDefault="006B79D2" w:rsidP="004A1847">
      <w:pPr>
        <w:spacing w:after="0" w:line="240" w:lineRule="auto"/>
      </w:pPr>
      <w:r>
        <w:continuationSeparator/>
      </w:r>
    </w:p>
  </w:endnote>
  <w:endnote w:type="continuationNotice" w:id="1">
    <w:p w14:paraId="387F97F7" w14:textId="77777777" w:rsidR="006B79D2" w:rsidRDefault="006B79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Arial"/>
    <w:panose1 w:val="020B0604020202020204"/>
    <w:charset w:val="00"/>
    <w:family w:val="auto"/>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F185A5" w14:textId="77777777" w:rsidR="006B79D2" w:rsidRDefault="006B79D2" w:rsidP="004A1847">
      <w:pPr>
        <w:spacing w:after="0" w:line="240" w:lineRule="auto"/>
      </w:pPr>
      <w:r>
        <w:separator/>
      </w:r>
    </w:p>
  </w:footnote>
  <w:footnote w:type="continuationSeparator" w:id="0">
    <w:p w14:paraId="5ECBDA72" w14:textId="77777777" w:rsidR="006B79D2" w:rsidRDefault="006B79D2" w:rsidP="004A1847">
      <w:pPr>
        <w:spacing w:after="0" w:line="240" w:lineRule="auto"/>
      </w:pPr>
      <w:r>
        <w:continuationSeparator/>
      </w:r>
    </w:p>
  </w:footnote>
  <w:footnote w:type="continuationNotice" w:id="1">
    <w:p w14:paraId="7ED75996" w14:textId="77777777" w:rsidR="006B79D2" w:rsidRDefault="006B79D2">
      <w:pPr>
        <w:spacing w:after="0" w:line="240" w:lineRule="auto"/>
      </w:pPr>
    </w:p>
  </w:footnote>
  <w:footnote w:id="2">
    <w:p w14:paraId="26BC6500" w14:textId="77777777" w:rsidR="00234CA2" w:rsidRPr="005E41DD" w:rsidRDefault="00234CA2" w:rsidP="00234CA2">
      <w:pPr>
        <w:pStyle w:val="FootnoteText"/>
        <w:snapToGrid w:val="0"/>
        <w:contextualSpacing/>
        <w:jc w:val="both"/>
        <w:rPr>
          <w:rFonts w:ascii="Verdana" w:hAnsi="Verdana" w:cs="Arial"/>
          <w:sz w:val="16"/>
          <w:szCs w:val="16"/>
          <w:lang w:val="pt-BR"/>
        </w:rPr>
      </w:pPr>
      <w:r w:rsidRPr="005E41DD">
        <w:rPr>
          <w:rStyle w:val="FootnoteReference"/>
          <w:rFonts w:ascii="Verdana" w:hAnsi="Verdana" w:cs="Arial"/>
          <w:sz w:val="16"/>
          <w:szCs w:val="16"/>
        </w:rPr>
        <w:footnoteRef/>
      </w:r>
      <w:r w:rsidRPr="005E41DD">
        <w:rPr>
          <w:rFonts w:ascii="Verdana" w:hAnsi="Verdana" w:cs="Arial"/>
          <w:sz w:val="16"/>
          <w:szCs w:val="16"/>
          <w:lang w:val="pt-BR"/>
        </w:rPr>
        <w:t xml:space="preserve"> Corte Constitucional. Sentencia C-1016 de 2012. M.P. Jorge Iván Palacio. </w:t>
      </w:r>
    </w:p>
    <w:p w14:paraId="247B8A2B" w14:textId="77777777" w:rsidR="00234CA2" w:rsidRPr="005E41DD" w:rsidRDefault="00234CA2" w:rsidP="00234CA2">
      <w:pPr>
        <w:pStyle w:val="FootnoteText"/>
        <w:snapToGrid w:val="0"/>
        <w:ind w:firstLine="708"/>
        <w:contextualSpacing/>
        <w:jc w:val="both"/>
        <w:rPr>
          <w:rFonts w:ascii="Verdana" w:hAnsi="Verdana" w:cs="Arial"/>
          <w:sz w:val="16"/>
          <w:szCs w:val="16"/>
          <w:lang w:val="pt-BR"/>
        </w:rPr>
      </w:pPr>
    </w:p>
  </w:footnote>
  <w:footnote w:id="3">
    <w:p w14:paraId="32704CF1" w14:textId="77777777" w:rsidR="00234CA2" w:rsidRPr="005E41DD" w:rsidRDefault="00234CA2" w:rsidP="00234CA2">
      <w:pPr>
        <w:pStyle w:val="FootnoteText"/>
        <w:snapToGrid w:val="0"/>
        <w:ind w:firstLine="708"/>
        <w:contextualSpacing/>
        <w:jc w:val="both"/>
        <w:rPr>
          <w:rFonts w:ascii="Verdana" w:hAnsi="Verdana"/>
          <w:sz w:val="16"/>
          <w:szCs w:val="16"/>
          <w:lang w:val="pt-BR"/>
        </w:rPr>
      </w:pPr>
      <w:r w:rsidRPr="005E41DD">
        <w:rPr>
          <w:rStyle w:val="FootnoteReference"/>
          <w:rFonts w:ascii="Verdana" w:hAnsi="Verdana"/>
          <w:sz w:val="16"/>
          <w:szCs w:val="16"/>
        </w:rPr>
        <w:footnoteRef/>
      </w:r>
      <w:r w:rsidRPr="005E41DD">
        <w:rPr>
          <w:rFonts w:ascii="Verdana" w:hAnsi="Verdana"/>
          <w:sz w:val="16"/>
          <w:szCs w:val="16"/>
        </w:rPr>
        <w:t xml:space="preserve"> Consejo de Estado. Sala de lo Contencioso Administrativo. Sección Tercera. Subsección A. Sentencia del 13 de noviembre de 2013. </w:t>
      </w:r>
      <w:r w:rsidRPr="005E41DD">
        <w:rPr>
          <w:rFonts w:ascii="Verdana" w:hAnsi="Verdana"/>
          <w:sz w:val="16"/>
          <w:szCs w:val="16"/>
          <w:lang w:val="pt-BR"/>
        </w:rPr>
        <w:t xml:space="preserve">Radicado: </w:t>
      </w:r>
      <w:r w:rsidRPr="005E41DD">
        <w:rPr>
          <w:rFonts w:ascii="Verdana" w:hAnsi="Verdana"/>
          <w:sz w:val="16"/>
          <w:szCs w:val="16"/>
          <w:lang w:val="es-CO"/>
        </w:rPr>
        <w:t>25000-23-26-000-1999-02197-01</w:t>
      </w:r>
      <w:r w:rsidRPr="005E41DD">
        <w:rPr>
          <w:rFonts w:ascii="Verdana" w:hAnsi="Verdana"/>
          <w:sz w:val="16"/>
          <w:szCs w:val="16"/>
          <w:lang w:val="pt-BR"/>
        </w:rPr>
        <w:t xml:space="preserve"> (25646). C.P. Mauricio Fajardo Gómez.  </w:t>
      </w:r>
    </w:p>
    <w:p w14:paraId="194491AB" w14:textId="77777777" w:rsidR="00234CA2" w:rsidRPr="005E41DD" w:rsidRDefault="00234CA2" w:rsidP="00234CA2">
      <w:pPr>
        <w:pStyle w:val="FootnoteText"/>
        <w:snapToGrid w:val="0"/>
        <w:contextualSpacing/>
        <w:jc w:val="both"/>
        <w:rPr>
          <w:rFonts w:ascii="Verdana" w:hAnsi="Verdana"/>
          <w:sz w:val="16"/>
          <w:szCs w:val="16"/>
          <w:lang w:val="pt-BR"/>
        </w:rPr>
      </w:pPr>
    </w:p>
  </w:footnote>
  <w:footnote w:id="4">
    <w:p w14:paraId="769517F9" w14:textId="77777777" w:rsidR="00234CA2" w:rsidRPr="005E41DD" w:rsidRDefault="00234CA2" w:rsidP="00234CA2">
      <w:pPr>
        <w:pStyle w:val="FootnoteText"/>
        <w:snapToGrid w:val="0"/>
        <w:ind w:firstLine="708"/>
        <w:contextualSpacing/>
        <w:jc w:val="both"/>
        <w:rPr>
          <w:rFonts w:ascii="Verdana" w:hAnsi="Verdana"/>
          <w:sz w:val="16"/>
          <w:szCs w:val="16"/>
          <w:lang w:val="pt-BR"/>
        </w:rPr>
      </w:pPr>
      <w:r w:rsidRPr="005E41DD">
        <w:rPr>
          <w:rStyle w:val="FootnoteReference"/>
          <w:rFonts w:ascii="Verdana" w:hAnsi="Verdana"/>
          <w:sz w:val="16"/>
          <w:szCs w:val="16"/>
        </w:rPr>
        <w:footnoteRef/>
      </w:r>
      <w:r w:rsidRPr="005E41DD">
        <w:rPr>
          <w:rFonts w:ascii="Verdana" w:hAnsi="Verdana"/>
          <w:sz w:val="16"/>
          <w:szCs w:val="16"/>
          <w:lang w:val="pt-BR"/>
        </w:rPr>
        <w:t xml:space="preserve"> Corte Constitucional. Sentencia C-415 de 1994. M.P. Eduardo Cifuentes Muñoz.</w:t>
      </w:r>
    </w:p>
  </w:footnote>
  <w:footnote w:id="5">
    <w:p w14:paraId="50C596E7" w14:textId="77777777" w:rsidR="00234CA2" w:rsidRPr="005E41DD" w:rsidRDefault="00234CA2" w:rsidP="00234CA2">
      <w:pPr>
        <w:pStyle w:val="FootnoteText"/>
        <w:snapToGrid w:val="0"/>
        <w:ind w:firstLine="708"/>
        <w:contextualSpacing/>
        <w:jc w:val="both"/>
        <w:rPr>
          <w:rFonts w:ascii="Verdana" w:hAnsi="Verdana"/>
          <w:sz w:val="16"/>
          <w:szCs w:val="16"/>
          <w:lang w:val="pt-BR"/>
        </w:rPr>
      </w:pPr>
      <w:r w:rsidRPr="005E41DD">
        <w:rPr>
          <w:rStyle w:val="FootnoteReference"/>
          <w:rFonts w:ascii="Verdana" w:hAnsi="Verdana"/>
          <w:sz w:val="16"/>
          <w:szCs w:val="16"/>
        </w:rPr>
        <w:footnoteRef/>
      </w:r>
      <w:r w:rsidRPr="005E41DD">
        <w:rPr>
          <w:rFonts w:ascii="Verdana" w:hAnsi="Verdana"/>
          <w:sz w:val="16"/>
          <w:szCs w:val="16"/>
          <w:lang w:val="pt-BR"/>
        </w:rPr>
        <w:t xml:space="preserve"> Ibidem.</w:t>
      </w:r>
    </w:p>
    <w:p w14:paraId="473B080A" w14:textId="77777777" w:rsidR="00234CA2" w:rsidRPr="005E41DD" w:rsidRDefault="00234CA2" w:rsidP="00234CA2">
      <w:pPr>
        <w:pStyle w:val="FootnoteText"/>
        <w:snapToGrid w:val="0"/>
        <w:contextualSpacing/>
        <w:jc w:val="both"/>
        <w:rPr>
          <w:rFonts w:ascii="Verdana" w:hAnsi="Verdana"/>
          <w:sz w:val="16"/>
          <w:szCs w:val="16"/>
          <w:lang w:val="pt-BR"/>
        </w:rPr>
      </w:pPr>
    </w:p>
  </w:footnote>
  <w:footnote w:id="6">
    <w:p w14:paraId="3EB04598" w14:textId="77777777" w:rsidR="00234CA2" w:rsidRPr="005E41DD" w:rsidRDefault="00234CA2" w:rsidP="00234CA2">
      <w:pPr>
        <w:pStyle w:val="FootnoteText"/>
        <w:snapToGrid w:val="0"/>
        <w:ind w:firstLine="708"/>
        <w:contextualSpacing/>
        <w:jc w:val="both"/>
        <w:rPr>
          <w:rFonts w:ascii="Verdana" w:hAnsi="Verdana"/>
          <w:sz w:val="16"/>
          <w:szCs w:val="16"/>
          <w:lang w:val="es-CO"/>
        </w:rPr>
      </w:pPr>
      <w:r w:rsidRPr="005E41DD">
        <w:rPr>
          <w:rStyle w:val="FootnoteReference"/>
          <w:rFonts w:ascii="Verdana" w:hAnsi="Verdana"/>
          <w:sz w:val="16"/>
          <w:szCs w:val="16"/>
        </w:rPr>
        <w:footnoteRef/>
      </w:r>
      <w:r w:rsidRPr="005E41DD">
        <w:rPr>
          <w:rFonts w:ascii="Verdana" w:hAnsi="Verdana"/>
          <w:sz w:val="16"/>
          <w:szCs w:val="16"/>
          <w:lang w:val="pt-BR"/>
        </w:rPr>
        <w:t xml:space="preserve"> Corte Constitucional. </w:t>
      </w:r>
      <w:r w:rsidRPr="005E41DD">
        <w:rPr>
          <w:rFonts w:ascii="Verdana" w:hAnsi="Verdana"/>
          <w:sz w:val="16"/>
          <w:szCs w:val="16"/>
        </w:rPr>
        <w:t xml:space="preserve">Sentencia C-780 de 2001. </w:t>
      </w:r>
      <w:r w:rsidRPr="005E41DD">
        <w:rPr>
          <w:rFonts w:ascii="Verdana" w:hAnsi="Verdana"/>
          <w:sz w:val="16"/>
          <w:szCs w:val="16"/>
          <w:lang w:val="es-CO"/>
        </w:rPr>
        <w:t xml:space="preserve">M.P. Jaime Córdoba Triviño. </w:t>
      </w:r>
    </w:p>
    <w:p w14:paraId="0B6AA985" w14:textId="77777777" w:rsidR="00234CA2" w:rsidRPr="005E41DD" w:rsidRDefault="00234CA2" w:rsidP="00234CA2">
      <w:pPr>
        <w:pStyle w:val="FootnoteText"/>
        <w:snapToGrid w:val="0"/>
        <w:contextualSpacing/>
        <w:jc w:val="both"/>
        <w:rPr>
          <w:rFonts w:ascii="Verdana" w:hAnsi="Verdana"/>
          <w:sz w:val="16"/>
          <w:szCs w:val="16"/>
          <w:lang w:val="es-CO"/>
        </w:rPr>
      </w:pPr>
    </w:p>
  </w:footnote>
  <w:footnote w:id="7">
    <w:p w14:paraId="15F609DE" w14:textId="77777777" w:rsidR="00234CA2" w:rsidRPr="005E41DD" w:rsidRDefault="00234CA2" w:rsidP="00234CA2">
      <w:pPr>
        <w:pStyle w:val="NormalWeb"/>
        <w:snapToGrid w:val="0"/>
        <w:spacing w:before="0" w:beforeAutospacing="0" w:after="0" w:afterAutospacing="0"/>
        <w:ind w:firstLine="708"/>
        <w:contextualSpacing/>
        <w:jc w:val="both"/>
        <w:rPr>
          <w:rFonts w:ascii="Verdana" w:eastAsia="Calibri" w:hAnsi="Verdana" w:cs="Arial"/>
          <w:sz w:val="16"/>
          <w:szCs w:val="16"/>
          <w:lang w:val="es-ES" w:eastAsia="en-US"/>
        </w:rPr>
      </w:pPr>
      <w:r w:rsidRPr="005E41DD">
        <w:rPr>
          <w:rStyle w:val="FootnoteReference"/>
          <w:rFonts w:ascii="Verdana" w:eastAsiaTheme="majorEastAsia" w:hAnsi="Verdana"/>
          <w:sz w:val="16"/>
          <w:szCs w:val="16"/>
        </w:rPr>
        <w:footnoteRef/>
      </w:r>
      <w:r w:rsidRPr="005E41DD">
        <w:rPr>
          <w:rFonts w:ascii="Verdana" w:hAnsi="Verdana"/>
          <w:sz w:val="16"/>
          <w:szCs w:val="16"/>
        </w:rPr>
        <w:t xml:space="preserve"> </w:t>
      </w:r>
      <w:r w:rsidRPr="005E41DD">
        <w:rPr>
          <w:rFonts w:ascii="Verdana" w:eastAsia="Calibri" w:hAnsi="Verdana" w:cs="Arial"/>
          <w:sz w:val="16"/>
          <w:szCs w:val="16"/>
          <w:lang w:val="es-ES" w:eastAsia="en-US"/>
        </w:rPr>
        <w:t>Ley 80 de 1993: «Artículo 8: 1o. Son inhábiles para participar en licitaciones o concursos y para celebrar contratos con las entidades estatales: </w:t>
      </w:r>
    </w:p>
    <w:p w14:paraId="1AE5461E"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a) Las personas que se hallen inhabilitadas para contratar por la Constitución y las leyes. </w:t>
      </w:r>
    </w:p>
    <w:p w14:paraId="68BFB6C7"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b) Quienes participaron en las licitaciones o concursos o celebraron los contratos de que trata el literal anterior estando inhabilitados. </w:t>
      </w:r>
    </w:p>
    <w:p w14:paraId="1DD3CDE1"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c) Quienes dieron lugar a la declaratoria de caducidad. </w:t>
      </w:r>
    </w:p>
    <w:p w14:paraId="618E058E"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d) Quienes en sentencia judicial hayan sido condenados a la pena accesoria de interdicción de derechos y funciones públicas y quienes hayan sido sancionados disciplinariamente con destitución. </w:t>
      </w:r>
    </w:p>
    <w:p w14:paraId="20780A1B"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e) Quienes sin justa causa se abstengan de suscribir el contrato estatal adjudicado. </w:t>
      </w:r>
    </w:p>
    <w:p w14:paraId="38286867"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f) Los servidores públicos. </w:t>
      </w:r>
    </w:p>
    <w:p w14:paraId="013A12E9"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2BF41FCE" w14:textId="77777777" w:rsidR="00234CA2" w:rsidRPr="005E41DD" w:rsidRDefault="00234CA2" w:rsidP="00234CA2">
      <w:pPr>
        <w:pStyle w:val="NormalWeb"/>
        <w:snapToGrid w:val="0"/>
        <w:spacing w:before="0" w:beforeAutospacing="0" w:after="0" w:afterAutospacing="0"/>
        <w:ind w:firstLine="708"/>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4F74ED4A"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i) Los socios de sociedades de personas a las cuales se haya declarado la caducidad, así como las sociedades de personas de las que aquellos formen parte con posterioridad a dicha declaratoria. </w:t>
      </w:r>
    </w:p>
    <w:p w14:paraId="53C011DA"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0A79B1D0"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79A73553"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5E41DD">
        <w:rPr>
          <w:rFonts w:ascii="Verdana" w:eastAsia="Calibri" w:hAnsi="Verdana"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5E41DD">
        <w:rPr>
          <w:rFonts w:ascii="Verdana" w:eastAsia="Calibri" w:hAnsi="Verdana"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5E41DD">
        <w:rPr>
          <w:rFonts w:ascii="Verdana" w:eastAsia="Calibri" w:hAnsi="Verdana" w:cs="Arial"/>
          <w:sz w:val="16"/>
          <w:szCs w:val="16"/>
          <w:lang w:val="es-ES" w:eastAsia="en-US"/>
        </w:rPr>
        <w:softHyphen/>
        <w:t>nería jurídica en los términos de ley, o cuyos representantes legales, ad</w:t>
      </w:r>
      <w:r w:rsidRPr="005E41DD">
        <w:rPr>
          <w:rFonts w:ascii="Verdana" w:eastAsia="Calibri" w:hAnsi="Verdana" w:cs="Arial"/>
          <w:sz w:val="16"/>
          <w:szCs w:val="16"/>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5E41DD">
        <w:rPr>
          <w:rFonts w:ascii="Verdana" w:eastAsia="Calibri" w:hAnsi="Verdana"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1EB5BD45"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w:t>
      </w:r>
    </w:p>
    <w:p w14:paraId="3D2ACD51" w14:textId="77777777" w:rsidR="00234CA2" w:rsidRPr="005E41DD" w:rsidRDefault="00234CA2" w:rsidP="00234CA2">
      <w:pPr>
        <w:pStyle w:val="NormalWeb"/>
        <w:snapToGrid w:val="0"/>
        <w:spacing w:before="0" w:beforeAutospacing="0" w:after="0" w:afterAutospacing="0"/>
        <w:ind w:firstLine="708"/>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2o. Tampoco podrán participar en licitaciones o concursos ni celebrar contratos estatales con la entidad respectiva: </w:t>
      </w:r>
    </w:p>
    <w:p w14:paraId="2E1380AE"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3D3C6E66"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52641B11"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656F371C"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76A22880" w14:textId="77777777" w:rsidR="00234CA2" w:rsidRPr="005E41DD" w:rsidRDefault="00234CA2" w:rsidP="00234CA2">
      <w:pPr>
        <w:pStyle w:val="NormalWeb"/>
        <w:snapToGrid w:val="0"/>
        <w:spacing w:before="0" w:beforeAutospacing="0" w:after="0" w:afterAutospacing="0"/>
        <w:contextualSpacing/>
        <w:jc w:val="both"/>
        <w:rPr>
          <w:rFonts w:ascii="Verdana" w:eastAsia="Calibri" w:hAnsi="Verdana" w:cs="Arial"/>
          <w:sz w:val="16"/>
          <w:szCs w:val="16"/>
          <w:lang w:val="es-ES" w:eastAsia="en-US"/>
        </w:rPr>
      </w:pPr>
      <w:r w:rsidRPr="005E41DD">
        <w:rPr>
          <w:rFonts w:ascii="Verdana" w:eastAsia="Calibri" w:hAnsi="Verdana" w:cs="Arial"/>
          <w:sz w:val="16"/>
          <w:szCs w:val="16"/>
          <w:lang w:val="es-ES" w:eastAsia="en-US"/>
        </w:rPr>
        <w:t>  </w:t>
      </w:r>
      <w:r w:rsidRPr="005E41DD">
        <w:rPr>
          <w:rFonts w:ascii="Verdana" w:eastAsia="Calibri" w:hAnsi="Verdana" w:cs="Arial"/>
          <w:sz w:val="16"/>
          <w:szCs w:val="16"/>
          <w:lang w:val="es-ES" w:eastAsia="en-US"/>
        </w:rPr>
        <w:tab/>
        <w:t>e) Los miembros de las juntas o consejos directivos. Esta incompatibilidad sólo se predica respecto de la entidad a la cual prestan sus servicios y de las del sector administrativo al que la misma esté adscrita o vinculada. </w:t>
      </w:r>
    </w:p>
    <w:p w14:paraId="45F8B5F4" w14:textId="77777777" w:rsidR="00234CA2" w:rsidRPr="005E41DD" w:rsidRDefault="00234CA2" w:rsidP="00234CA2">
      <w:pPr>
        <w:pStyle w:val="NormalWeb"/>
        <w:snapToGrid w:val="0"/>
        <w:spacing w:before="0" w:beforeAutospacing="0" w:after="0" w:afterAutospacing="0"/>
        <w:ind w:firstLine="708"/>
        <w:contextualSpacing/>
        <w:jc w:val="both"/>
        <w:rPr>
          <w:rFonts w:ascii="Verdana" w:eastAsia="Calibri" w:hAnsi="Verdana" w:cs="Arial"/>
          <w:sz w:val="16"/>
          <w:szCs w:val="16"/>
          <w:lang w:val="pt-BR" w:eastAsia="en-US"/>
        </w:rPr>
      </w:pPr>
      <w:r w:rsidRPr="005E41DD">
        <w:rPr>
          <w:rFonts w:ascii="Verdana" w:eastAsia="Calibri" w:hAnsi="Verdana" w:cs="Arial"/>
          <w:sz w:val="16"/>
          <w:szCs w:val="16"/>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w:t>
      </w:r>
      <w:r w:rsidRPr="005E41DD">
        <w:rPr>
          <w:rFonts w:ascii="Verdana" w:eastAsia="Calibri" w:hAnsi="Verdana" w:cs="Arial"/>
          <w:sz w:val="16"/>
          <w:szCs w:val="16"/>
          <w:lang w:val="pt-BR" w:eastAsia="en-US"/>
        </w:rPr>
        <w:t xml:space="preserve">(…). </w:t>
      </w:r>
    </w:p>
    <w:p w14:paraId="71692A6E" w14:textId="77777777" w:rsidR="00234CA2" w:rsidRPr="005E41DD" w:rsidRDefault="00234CA2" w:rsidP="00234CA2">
      <w:pPr>
        <w:pStyle w:val="FootnoteText"/>
        <w:snapToGrid w:val="0"/>
        <w:contextualSpacing/>
        <w:jc w:val="both"/>
        <w:rPr>
          <w:rFonts w:ascii="Verdana" w:hAnsi="Verdana"/>
          <w:sz w:val="16"/>
          <w:szCs w:val="16"/>
          <w:lang w:val="pt-BR"/>
        </w:rPr>
      </w:pPr>
    </w:p>
  </w:footnote>
  <w:footnote w:id="8">
    <w:p w14:paraId="6A8DA12A" w14:textId="77777777" w:rsidR="00234CA2" w:rsidRPr="005E41DD" w:rsidRDefault="00234CA2" w:rsidP="00234CA2">
      <w:pPr>
        <w:pStyle w:val="FootnoteText"/>
        <w:snapToGrid w:val="0"/>
        <w:ind w:firstLine="708"/>
        <w:contextualSpacing/>
        <w:jc w:val="both"/>
        <w:rPr>
          <w:rFonts w:ascii="Verdana" w:hAnsi="Verdana" w:cs="Arial"/>
          <w:sz w:val="16"/>
          <w:szCs w:val="16"/>
          <w:lang w:val="pt-BR"/>
        </w:rPr>
      </w:pPr>
      <w:r w:rsidRPr="005E41DD">
        <w:rPr>
          <w:rStyle w:val="FootnoteReference"/>
          <w:rFonts w:ascii="Verdana" w:hAnsi="Verdana"/>
          <w:sz w:val="16"/>
          <w:szCs w:val="16"/>
        </w:rPr>
        <w:footnoteRef/>
      </w:r>
      <w:r w:rsidRPr="005E41DD">
        <w:rPr>
          <w:rFonts w:ascii="Verdana" w:hAnsi="Verdana"/>
          <w:sz w:val="16"/>
          <w:szCs w:val="16"/>
          <w:lang w:val="pt-BR"/>
        </w:rPr>
        <w:t xml:space="preserve"> </w:t>
      </w:r>
      <w:r w:rsidRPr="005E41DD">
        <w:rPr>
          <w:rFonts w:ascii="Verdana" w:hAnsi="Verdana" w:cs="Arial"/>
          <w:sz w:val="16"/>
          <w:szCs w:val="16"/>
          <w:lang w:val="pt-BR"/>
        </w:rPr>
        <w:t>Ibídem. p. 69.</w:t>
      </w:r>
    </w:p>
    <w:p w14:paraId="566CB4FA" w14:textId="77777777" w:rsidR="00234CA2" w:rsidRPr="005E41DD" w:rsidRDefault="00234CA2" w:rsidP="00234CA2">
      <w:pPr>
        <w:pStyle w:val="FootnoteText"/>
        <w:snapToGrid w:val="0"/>
        <w:ind w:firstLine="708"/>
        <w:contextualSpacing/>
        <w:jc w:val="both"/>
        <w:rPr>
          <w:rFonts w:ascii="Verdana" w:hAnsi="Verdana"/>
          <w:sz w:val="16"/>
          <w:szCs w:val="16"/>
          <w:lang w:val="pt-BR"/>
        </w:rPr>
      </w:pPr>
    </w:p>
  </w:footnote>
  <w:footnote w:id="9">
    <w:p w14:paraId="2367CA2A" w14:textId="77777777" w:rsidR="00234CA2" w:rsidRPr="005E41DD" w:rsidRDefault="00234CA2" w:rsidP="00234CA2">
      <w:pPr>
        <w:pStyle w:val="FootnoteText"/>
        <w:snapToGrid w:val="0"/>
        <w:ind w:firstLine="708"/>
        <w:contextualSpacing/>
        <w:jc w:val="both"/>
        <w:rPr>
          <w:rFonts w:ascii="Verdana" w:hAnsi="Verdana" w:cs="Arial"/>
          <w:sz w:val="16"/>
          <w:szCs w:val="16"/>
          <w:lang w:val="es-ES"/>
        </w:rPr>
      </w:pPr>
      <w:r w:rsidRPr="005E41DD">
        <w:rPr>
          <w:rStyle w:val="FootnoteReference"/>
          <w:rFonts w:ascii="Verdana" w:hAnsi="Verdana"/>
          <w:sz w:val="16"/>
          <w:szCs w:val="16"/>
        </w:rPr>
        <w:footnoteRef/>
      </w:r>
      <w:r w:rsidRPr="005E41DD">
        <w:rPr>
          <w:rFonts w:ascii="Verdana" w:hAnsi="Verdana"/>
          <w:sz w:val="16"/>
          <w:szCs w:val="16"/>
          <w:lang w:val="pt-BR"/>
        </w:rPr>
        <w:t xml:space="preserve"> </w:t>
      </w:r>
      <w:r w:rsidRPr="005E41DD">
        <w:rPr>
          <w:rFonts w:ascii="Verdana" w:hAnsi="Verdana" w:cs="Arial"/>
          <w:sz w:val="16"/>
          <w:szCs w:val="16"/>
          <w:lang w:val="pt-BR"/>
        </w:rPr>
        <w:t xml:space="preserve">Corte Constitucional. Sentencia T-1039 de 2006. M.P. Humberto Sierra Porto. </w:t>
      </w:r>
      <w:r w:rsidRPr="005E41DD">
        <w:rPr>
          <w:rFonts w:ascii="Verdana" w:hAnsi="Verdana" w:cs="Arial"/>
          <w:sz w:val="16"/>
          <w:szCs w:val="16"/>
          <w:lang w:val="es-ES"/>
        </w:rPr>
        <w:t xml:space="preserve">La Corte Constitucional ha mantenido este criterio en las sentencias: C-903 de 2008. M.P. Jaime Araujo Rentería; C-101 de 2018. M.P. Gloria Stella Ortiz Delgado; entre otras. </w:t>
      </w:r>
    </w:p>
    <w:p w14:paraId="5FC383F3" w14:textId="77777777" w:rsidR="00234CA2" w:rsidRPr="005E41DD" w:rsidRDefault="00234CA2" w:rsidP="00234CA2">
      <w:pPr>
        <w:pStyle w:val="FootnoteText"/>
        <w:snapToGrid w:val="0"/>
        <w:contextualSpacing/>
        <w:jc w:val="both"/>
        <w:rPr>
          <w:rFonts w:ascii="Verdana" w:hAnsi="Verdana" w:cs="Arial"/>
          <w:sz w:val="16"/>
          <w:szCs w:val="16"/>
          <w:lang w:val="es-ES"/>
        </w:rPr>
      </w:pPr>
    </w:p>
  </w:footnote>
  <w:footnote w:id="10">
    <w:p w14:paraId="6AA9E12F" w14:textId="77777777" w:rsidR="00234CA2" w:rsidRPr="005E41DD" w:rsidRDefault="00234CA2" w:rsidP="00234CA2">
      <w:pPr>
        <w:pStyle w:val="FootnoteText"/>
        <w:snapToGrid w:val="0"/>
        <w:ind w:firstLine="708"/>
        <w:contextualSpacing/>
        <w:jc w:val="both"/>
        <w:rPr>
          <w:rFonts w:ascii="Verdana" w:hAnsi="Verdana" w:cs="Arial"/>
          <w:sz w:val="16"/>
          <w:szCs w:val="16"/>
          <w:lang w:val="es-ES"/>
        </w:rPr>
      </w:pPr>
      <w:r w:rsidRPr="005E41DD">
        <w:rPr>
          <w:rStyle w:val="FootnoteReference"/>
          <w:rFonts w:ascii="Verdana" w:hAnsi="Verdana"/>
          <w:sz w:val="16"/>
          <w:szCs w:val="16"/>
        </w:rPr>
        <w:footnoteRef/>
      </w:r>
      <w:r w:rsidRPr="005E41DD">
        <w:rPr>
          <w:rFonts w:ascii="Verdana" w:hAnsi="Verdana"/>
          <w:sz w:val="16"/>
          <w:szCs w:val="16"/>
        </w:rPr>
        <w:t xml:space="preserve"> </w:t>
      </w:r>
      <w:r w:rsidRPr="005E41DD">
        <w:rPr>
          <w:rFonts w:ascii="Verdana" w:hAnsi="Verdana" w:cs="Arial"/>
          <w:sz w:val="16"/>
          <w:szCs w:val="16"/>
          <w:lang w:val="es-ES"/>
        </w:rPr>
        <w:t xml:space="preserve">Consejo de Estado. Sala de Consulta y Servicio Civil. Concepto del 30 de abril de 2015. Radicado: </w:t>
      </w:r>
      <w:r w:rsidRPr="005E41DD">
        <w:rPr>
          <w:rFonts w:ascii="Verdana" w:hAnsi="Verdana" w:cs="Arial"/>
          <w:sz w:val="16"/>
          <w:szCs w:val="16"/>
          <w:lang w:val="es-CO"/>
        </w:rPr>
        <w:t>11001-03-06-000-2015-00058-00 (</w:t>
      </w:r>
      <w:r w:rsidRPr="005E41DD">
        <w:rPr>
          <w:rFonts w:ascii="Verdana" w:hAnsi="Verdana" w:cs="Arial"/>
          <w:sz w:val="16"/>
          <w:szCs w:val="16"/>
          <w:lang w:val="es-ES"/>
        </w:rPr>
        <w:t>2251). C.P: Álvaro Namén Vargas.</w:t>
      </w:r>
    </w:p>
    <w:p w14:paraId="1230B519" w14:textId="77777777" w:rsidR="00234CA2" w:rsidRPr="005E41DD" w:rsidRDefault="00234CA2" w:rsidP="00234CA2">
      <w:pPr>
        <w:pStyle w:val="FootnoteText"/>
        <w:snapToGrid w:val="0"/>
        <w:contextualSpacing/>
        <w:jc w:val="both"/>
        <w:rPr>
          <w:rFonts w:ascii="Verdana" w:hAnsi="Verdana"/>
          <w:sz w:val="16"/>
          <w:szCs w:val="16"/>
          <w:lang w:val="es-ES_tradnl"/>
        </w:rPr>
      </w:pPr>
    </w:p>
  </w:footnote>
  <w:footnote w:id="11">
    <w:p w14:paraId="71A03E92" w14:textId="77777777" w:rsidR="00234CA2" w:rsidRPr="005E41DD" w:rsidRDefault="00234CA2" w:rsidP="00234CA2">
      <w:pPr>
        <w:pStyle w:val="FootnoteText"/>
        <w:snapToGrid w:val="0"/>
        <w:ind w:firstLine="708"/>
        <w:contextualSpacing/>
        <w:jc w:val="both"/>
        <w:rPr>
          <w:rFonts w:ascii="Verdana" w:hAnsi="Verdana" w:cs="Arial"/>
          <w:sz w:val="16"/>
          <w:szCs w:val="16"/>
        </w:rPr>
      </w:pPr>
      <w:r w:rsidRPr="005E41DD">
        <w:rPr>
          <w:rStyle w:val="FootnoteReference"/>
          <w:rFonts w:ascii="Verdana" w:hAnsi="Verdana"/>
          <w:sz w:val="16"/>
          <w:szCs w:val="16"/>
        </w:rPr>
        <w:footnoteRef/>
      </w:r>
      <w:r w:rsidRPr="005E41DD">
        <w:rPr>
          <w:rFonts w:ascii="Verdana" w:hAnsi="Verdana"/>
          <w:sz w:val="16"/>
          <w:szCs w:val="16"/>
        </w:rPr>
        <w:t xml:space="preserve"> </w:t>
      </w:r>
      <w:r w:rsidRPr="005E41DD">
        <w:rPr>
          <w:rFonts w:ascii="Verdana" w:hAnsi="Verdana" w:cs="Arial"/>
          <w:sz w:val="16"/>
          <w:szCs w:val="16"/>
        </w:rPr>
        <w:t xml:space="preserve">Consejo de Estado. Sala de lo Contencioso Administrativo. Sección Tercera. Subsección A. Sentencia del 24 de junio de 2015. Radicado: </w:t>
      </w:r>
      <w:r w:rsidRPr="005E41DD">
        <w:rPr>
          <w:rFonts w:ascii="Verdana" w:hAnsi="Verdana" w:cs="Arial"/>
          <w:sz w:val="16"/>
          <w:szCs w:val="16"/>
          <w:lang w:val="es-CO"/>
        </w:rPr>
        <w:t>05001-23-31-000-1997-02636-01</w:t>
      </w:r>
      <w:r w:rsidRPr="005E41DD">
        <w:rPr>
          <w:rFonts w:ascii="Verdana" w:hAnsi="Verdana" w:cs="Arial"/>
          <w:sz w:val="16"/>
          <w:szCs w:val="16"/>
        </w:rPr>
        <w:t xml:space="preserve"> (40.635). C.P: Hernán Andrade Rincón (E).</w:t>
      </w:r>
    </w:p>
    <w:p w14:paraId="2B8D539D" w14:textId="77777777" w:rsidR="00234CA2" w:rsidRPr="005E41DD" w:rsidRDefault="00234CA2" w:rsidP="00234CA2">
      <w:pPr>
        <w:pStyle w:val="FootnoteText"/>
        <w:snapToGrid w:val="0"/>
        <w:contextualSpacing/>
        <w:jc w:val="both"/>
        <w:rPr>
          <w:rFonts w:ascii="Verdana" w:hAnsi="Verdana"/>
          <w:sz w:val="16"/>
          <w:szCs w:val="16"/>
          <w:lang w:val="es-ES_tradnl"/>
        </w:rPr>
      </w:pPr>
    </w:p>
  </w:footnote>
  <w:footnote w:id="12">
    <w:p w14:paraId="67CD6927" w14:textId="77777777" w:rsidR="00234CA2" w:rsidRPr="005E41DD" w:rsidRDefault="00234CA2" w:rsidP="00234CA2">
      <w:pPr>
        <w:pStyle w:val="FootnoteText"/>
        <w:snapToGrid w:val="0"/>
        <w:ind w:firstLine="708"/>
        <w:contextualSpacing/>
        <w:jc w:val="both"/>
        <w:rPr>
          <w:rFonts w:ascii="Verdana" w:hAnsi="Verdana" w:cs="Arial"/>
          <w:sz w:val="16"/>
          <w:szCs w:val="16"/>
        </w:rPr>
      </w:pPr>
      <w:r w:rsidRPr="005E41DD">
        <w:rPr>
          <w:rStyle w:val="FootnoteReference"/>
          <w:rFonts w:ascii="Verdana" w:hAnsi="Verdana"/>
          <w:sz w:val="16"/>
          <w:szCs w:val="16"/>
        </w:rPr>
        <w:footnoteRef/>
      </w:r>
      <w:r w:rsidRPr="005E41DD">
        <w:rPr>
          <w:rFonts w:ascii="Verdana" w:hAnsi="Verdana"/>
          <w:sz w:val="16"/>
          <w:szCs w:val="16"/>
        </w:rPr>
        <w:t xml:space="preserve"> </w:t>
      </w:r>
      <w:r w:rsidRPr="005E41DD">
        <w:rPr>
          <w:rFonts w:ascii="Verdana" w:hAnsi="Verdana" w:cs="Arial"/>
          <w:sz w:val="16"/>
          <w:szCs w:val="16"/>
        </w:rPr>
        <w:t xml:space="preserve">Consejo de Estado. Sala de lo Contencioso Administrativo. Sección Tercera. Subsección C. Sentencia del 22 de mayo de 2013. Radicado: </w:t>
      </w:r>
      <w:r w:rsidRPr="005E41DD">
        <w:rPr>
          <w:rFonts w:ascii="Verdana" w:hAnsi="Verdana" w:cs="Arial"/>
          <w:sz w:val="16"/>
          <w:szCs w:val="16"/>
          <w:lang w:val="es-CO"/>
        </w:rPr>
        <w:t>68001-23-15-000-1995-00152-01</w:t>
      </w:r>
      <w:r w:rsidRPr="005E41DD">
        <w:rPr>
          <w:rFonts w:ascii="Verdana" w:hAnsi="Verdana" w:cs="Arial"/>
          <w:sz w:val="16"/>
          <w:szCs w:val="16"/>
        </w:rPr>
        <w:t xml:space="preserve"> (24.057). C.P: Olga Mélida Valle De De La Hoz.</w:t>
      </w:r>
    </w:p>
  </w:footnote>
  <w:footnote w:id="13">
    <w:p w14:paraId="4E47E312" w14:textId="77777777" w:rsidR="00234CA2" w:rsidRPr="005E41DD" w:rsidRDefault="00234CA2" w:rsidP="00234CA2">
      <w:pPr>
        <w:pStyle w:val="FootnoteText"/>
        <w:snapToGrid w:val="0"/>
        <w:ind w:firstLine="708"/>
        <w:contextualSpacing/>
        <w:jc w:val="both"/>
        <w:rPr>
          <w:rFonts w:ascii="Verdana" w:hAnsi="Verdana" w:cs="Arial"/>
          <w:sz w:val="16"/>
          <w:szCs w:val="16"/>
          <w:lang w:val="pt-BR"/>
        </w:rPr>
      </w:pPr>
      <w:r w:rsidRPr="005E41DD">
        <w:rPr>
          <w:rStyle w:val="FootnoteReference"/>
          <w:rFonts w:ascii="Verdana" w:hAnsi="Verdana"/>
          <w:sz w:val="16"/>
          <w:szCs w:val="16"/>
        </w:rPr>
        <w:footnoteRef/>
      </w:r>
      <w:r w:rsidRPr="005E41DD">
        <w:rPr>
          <w:rFonts w:ascii="Verdana" w:hAnsi="Verdana"/>
          <w:sz w:val="16"/>
          <w:szCs w:val="16"/>
          <w:lang w:val="pt-BR"/>
        </w:rPr>
        <w:t xml:space="preserve"> </w:t>
      </w:r>
      <w:r w:rsidRPr="005E41DD">
        <w:rPr>
          <w:rFonts w:ascii="Verdana" w:hAnsi="Verdana" w:cs="Arial"/>
          <w:sz w:val="16"/>
          <w:szCs w:val="16"/>
          <w:lang w:val="pt-BR"/>
        </w:rPr>
        <w:t>Corte Constitucional. Sentencia C-415 de 1994. M.P. Eduardo Cifuentes Muñoz.</w:t>
      </w:r>
    </w:p>
  </w:footnote>
  <w:footnote w:id="14">
    <w:p w14:paraId="36DF0494" w14:textId="77777777" w:rsidR="00234CA2" w:rsidRPr="005E41DD" w:rsidRDefault="00234CA2" w:rsidP="00234CA2">
      <w:pPr>
        <w:pStyle w:val="FootnoteText"/>
        <w:snapToGrid w:val="0"/>
        <w:ind w:firstLine="708"/>
        <w:contextualSpacing/>
        <w:jc w:val="both"/>
        <w:rPr>
          <w:rFonts w:ascii="Verdana" w:hAnsi="Verdana"/>
          <w:sz w:val="16"/>
          <w:szCs w:val="16"/>
          <w:lang w:val="es-ES"/>
        </w:rPr>
      </w:pPr>
      <w:r w:rsidRPr="005E41DD">
        <w:rPr>
          <w:rStyle w:val="FootnoteReference"/>
          <w:rFonts w:ascii="Verdana" w:hAnsi="Verdana"/>
          <w:sz w:val="16"/>
          <w:szCs w:val="16"/>
        </w:rPr>
        <w:footnoteRef/>
      </w:r>
      <w:r w:rsidRPr="005E41DD">
        <w:rPr>
          <w:rFonts w:ascii="Verdana" w:hAnsi="Verdana"/>
          <w:sz w:val="16"/>
          <w:szCs w:val="16"/>
        </w:rPr>
        <w:t xml:space="preserve"> </w:t>
      </w:r>
      <w:r w:rsidRPr="005E41DD">
        <w:rPr>
          <w:rFonts w:ascii="Verdana" w:hAnsi="Verdana"/>
          <w:sz w:val="16"/>
          <w:szCs w:val="16"/>
          <w:lang w:val="es-CO"/>
        </w:rPr>
        <w:t>Consejo de Estado. Sala de lo Contencioso Administrativo. Sección Tercera. Subsección B. Sentencia del 19 de abril de 2023. Radicado: 25000-23-26-000-2010-00161-02 (65.828). C.P. Fredy Ibarra Martínez.</w:t>
      </w:r>
    </w:p>
  </w:footnote>
  <w:footnote w:id="15">
    <w:p w14:paraId="24BF6FD8" w14:textId="77777777" w:rsidR="00234CA2" w:rsidRPr="00953B08" w:rsidRDefault="00234CA2" w:rsidP="00234CA2">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themeColor="text1"/>
          <w:sz w:val="16"/>
          <w:szCs w:val="16"/>
        </w:rPr>
      </w:pPr>
      <w:r w:rsidRPr="00953B08">
        <w:rPr>
          <w:rFonts w:ascii="Verdana" w:hAnsi="Verdana" w:cs="Arial"/>
          <w:color w:val="000000" w:themeColor="text1"/>
          <w:sz w:val="16"/>
          <w:szCs w:val="16"/>
          <w:vertAlign w:val="superscript"/>
        </w:rPr>
        <w:footnoteRef/>
      </w:r>
      <w:r w:rsidRPr="00953B08">
        <w:rPr>
          <w:rFonts w:ascii="Verdana" w:eastAsia="Arial" w:hAnsi="Verdana" w:cs="Arial"/>
          <w:color w:val="000000" w:themeColor="text1"/>
          <w:sz w:val="16"/>
          <w:szCs w:val="16"/>
        </w:rPr>
        <w:t xml:space="preserve">  RODRÍGUEZ TAMAYO, Mauricio Fernando. Evaluación y rechazo de ofertas en la Ley 80 de 1993. Medellín: Librería Jurídica Sánchez, 2016. p. 190. </w:t>
      </w:r>
    </w:p>
    <w:p w14:paraId="5F326F48" w14:textId="77777777" w:rsidR="00234CA2" w:rsidRPr="00953B08" w:rsidRDefault="00234CA2" w:rsidP="00234CA2">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themeColor="text1"/>
          <w:sz w:val="16"/>
          <w:szCs w:val="16"/>
        </w:rPr>
      </w:pPr>
    </w:p>
  </w:footnote>
  <w:footnote w:id="16">
    <w:p w14:paraId="2CE417BE" w14:textId="77777777" w:rsidR="00234CA2" w:rsidRPr="00953B08" w:rsidRDefault="00234CA2" w:rsidP="00234CA2">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themeColor="text1"/>
          <w:sz w:val="16"/>
          <w:szCs w:val="16"/>
        </w:rPr>
      </w:pPr>
      <w:r w:rsidRPr="00953B08">
        <w:rPr>
          <w:rFonts w:ascii="Verdana" w:hAnsi="Verdana" w:cs="Arial"/>
          <w:color w:val="000000" w:themeColor="text1"/>
          <w:sz w:val="16"/>
          <w:szCs w:val="16"/>
          <w:vertAlign w:val="superscript"/>
        </w:rPr>
        <w:footnoteRef/>
      </w:r>
      <w:r w:rsidRPr="00953B08">
        <w:rPr>
          <w:rFonts w:ascii="Verdana" w:eastAsia="Arial" w:hAnsi="Verdana" w:cs="Arial"/>
          <w:color w:val="000000" w:themeColor="text1"/>
          <w:sz w:val="16"/>
          <w:szCs w:val="16"/>
        </w:rPr>
        <w:t xml:space="preserve">  Ley 80 de 1993 “</w:t>
      </w:r>
      <w:r w:rsidRPr="00953B08">
        <w:rPr>
          <w:rFonts w:ascii="Verdana" w:eastAsia="Arial" w:hAnsi="Verdana" w:cs="Arial"/>
          <w:bCs/>
          <w:color w:val="000000" w:themeColor="text1"/>
          <w:sz w:val="16"/>
          <w:szCs w:val="16"/>
        </w:rPr>
        <w:t>Articulo 24. Del principio de transparencia. </w:t>
      </w:r>
      <w:r w:rsidRPr="00953B08">
        <w:rPr>
          <w:rFonts w:ascii="Verdana" w:eastAsia="Arial" w:hAnsi="Verdana" w:cs="Arial"/>
          <w:color w:val="000000" w:themeColor="text1"/>
          <w:sz w:val="16"/>
          <w:szCs w:val="16"/>
        </w:rPr>
        <w:t xml:space="preserve">En virtud de este principio: </w:t>
      </w:r>
    </w:p>
    <w:p w14:paraId="456F8DCB" w14:textId="77777777" w:rsidR="00234CA2" w:rsidRPr="00953B08" w:rsidRDefault="00234CA2" w:rsidP="00234CA2">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themeColor="text1"/>
          <w:sz w:val="16"/>
          <w:szCs w:val="16"/>
        </w:rPr>
      </w:pPr>
      <w:r w:rsidRPr="00953B08">
        <w:rPr>
          <w:rFonts w:ascii="Verdana" w:eastAsia="Arial" w:hAnsi="Verdana" w:cs="Arial"/>
          <w:color w:val="000000" w:themeColor="text1"/>
          <w:sz w:val="16"/>
          <w:szCs w:val="16"/>
        </w:rPr>
        <w:t>[…]</w:t>
      </w:r>
    </w:p>
    <w:p w14:paraId="639F804E" w14:textId="77777777" w:rsidR="00234CA2" w:rsidRPr="00953B08" w:rsidRDefault="00234CA2" w:rsidP="00234CA2">
      <w:pPr>
        <w:snapToGrid w:val="0"/>
        <w:spacing w:after="0" w:line="240" w:lineRule="auto"/>
        <w:ind w:firstLine="709"/>
        <w:contextualSpacing/>
        <w:jc w:val="both"/>
        <w:rPr>
          <w:rFonts w:ascii="Verdana" w:eastAsia="Arial" w:hAnsi="Verdana" w:cs="Arial"/>
          <w:color w:val="000000" w:themeColor="text1"/>
          <w:sz w:val="16"/>
          <w:szCs w:val="16"/>
        </w:rPr>
      </w:pPr>
      <w:r w:rsidRPr="00953B08">
        <w:rPr>
          <w:rFonts w:ascii="Verdana" w:eastAsia="Arial" w:hAnsi="Verdana" w:cs="Arial"/>
          <w:color w:val="000000" w:themeColor="text1"/>
          <w:sz w:val="16"/>
          <w:szCs w:val="16"/>
        </w:rPr>
        <w:t>5o. En los pliegos de condiciones:</w:t>
      </w:r>
    </w:p>
    <w:p w14:paraId="790A2F30" w14:textId="77777777" w:rsidR="00234CA2" w:rsidRPr="00953B08" w:rsidRDefault="00234CA2" w:rsidP="00234CA2">
      <w:pPr>
        <w:snapToGrid w:val="0"/>
        <w:spacing w:after="0" w:line="240" w:lineRule="auto"/>
        <w:ind w:firstLine="709"/>
        <w:contextualSpacing/>
        <w:jc w:val="both"/>
        <w:rPr>
          <w:rFonts w:ascii="Verdana" w:eastAsia="Arial" w:hAnsi="Verdana" w:cs="Arial"/>
          <w:color w:val="000000" w:themeColor="text1"/>
          <w:sz w:val="16"/>
          <w:szCs w:val="16"/>
        </w:rPr>
      </w:pPr>
      <w:r w:rsidRPr="00953B08">
        <w:rPr>
          <w:rFonts w:ascii="Verdana" w:eastAsia="Arial" w:hAnsi="Verdana" w:cs="Arial"/>
          <w:color w:val="000000" w:themeColor="text1"/>
          <w:sz w:val="16"/>
          <w:szCs w:val="16"/>
        </w:rPr>
        <w:t>[…]</w:t>
      </w:r>
    </w:p>
    <w:p w14:paraId="16C13223" w14:textId="77777777" w:rsidR="00234CA2" w:rsidRPr="00953B08" w:rsidRDefault="00234CA2" w:rsidP="00234CA2">
      <w:pPr>
        <w:snapToGrid w:val="0"/>
        <w:spacing w:after="0" w:line="240" w:lineRule="auto"/>
        <w:ind w:firstLine="709"/>
        <w:contextualSpacing/>
        <w:jc w:val="both"/>
        <w:rPr>
          <w:rFonts w:ascii="Verdana" w:eastAsia="Arial" w:hAnsi="Verdana" w:cs="Arial"/>
          <w:color w:val="000000" w:themeColor="text1"/>
          <w:sz w:val="16"/>
          <w:szCs w:val="16"/>
        </w:rPr>
      </w:pPr>
      <w:r w:rsidRPr="00953B08">
        <w:rPr>
          <w:rFonts w:ascii="Verdana" w:eastAsia="Arial" w:hAnsi="Verdana" w:cs="Arial"/>
          <w:color w:val="000000" w:themeColor="text1"/>
          <w:sz w:val="16"/>
          <w:szCs w:val="16"/>
        </w:rPr>
        <w:t>b) Se definirán reglas objetivas, justas, claras y completas que permitan la confección de ofrecimientos de la misma índole, aseguren una escogencia objetiva y eviten la declaratoria de desierta de la licitación […]”.</w:t>
      </w:r>
    </w:p>
    <w:p w14:paraId="0CAD1932" w14:textId="77777777" w:rsidR="00234CA2" w:rsidRPr="00953B08" w:rsidRDefault="00234CA2" w:rsidP="00234CA2">
      <w:pPr>
        <w:snapToGrid w:val="0"/>
        <w:spacing w:after="0" w:line="240" w:lineRule="auto"/>
        <w:ind w:firstLine="709"/>
        <w:contextualSpacing/>
        <w:jc w:val="both"/>
        <w:rPr>
          <w:rFonts w:ascii="Verdana" w:eastAsia="Arial" w:hAnsi="Verdana" w:cs="Arial"/>
          <w:color w:val="000000" w:themeColor="text1"/>
          <w:sz w:val="16"/>
          <w:szCs w:val="16"/>
        </w:rPr>
      </w:pPr>
    </w:p>
  </w:footnote>
  <w:footnote w:id="17">
    <w:p w14:paraId="67AC5AA5" w14:textId="77777777" w:rsidR="00234CA2" w:rsidRPr="00953B08" w:rsidRDefault="00234CA2" w:rsidP="00234CA2">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themeColor="text1"/>
          <w:sz w:val="16"/>
          <w:szCs w:val="16"/>
        </w:rPr>
      </w:pPr>
      <w:r w:rsidRPr="00953B08">
        <w:rPr>
          <w:rFonts w:ascii="Verdana" w:hAnsi="Verdana" w:cs="Arial"/>
          <w:color w:val="000000" w:themeColor="text1"/>
          <w:sz w:val="16"/>
          <w:szCs w:val="16"/>
          <w:vertAlign w:val="superscript"/>
        </w:rPr>
        <w:footnoteRef/>
      </w:r>
      <w:r w:rsidRPr="00953B08">
        <w:rPr>
          <w:rFonts w:ascii="Verdana" w:eastAsia="Arial" w:hAnsi="Verdana" w:cs="Arial"/>
          <w:color w:val="000000" w:themeColor="text1"/>
          <w:sz w:val="16"/>
          <w:szCs w:val="16"/>
        </w:rPr>
        <w:t xml:space="preserve"> Decreto 1082 de 2015 “Artículo 2.2.1.1.2.1.3. Pliegos de condiciones. Los pliegos de condiciones deben contener por lo menos la siguiente información</w:t>
      </w:r>
    </w:p>
    <w:p w14:paraId="5A1E50B8" w14:textId="77777777" w:rsidR="00234CA2" w:rsidRPr="00953B08" w:rsidRDefault="00234CA2" w:rsidP="00234CA2">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themeColor="text1"/>
          <w:sz w:val="16"/>
          <w:szCs w:val="16"/>
        </w:rPr>
      </w:pPr>
      <w:r w:rsidRPr="00953B08">
        <w:rPr>
          <w:rFonts w:ascii="Verdana" w:eastAsia="Arial" w:hAnsi="Verdana" w:cs="Arial"/>
          <w:color w:val="000000" w:themeColor="text1"/>
          <w:sz w:val="16"/>
          <w:szCs w:val="16"/>
        </w:rPr>
        <w:t>[…]</w:t>
      </w:r>
    </w:p>
    <w:p w14:paraId="580B8872" w14:textId="77777777" w:rsidR="00234CA2" w:rsidRPr="00953B08" w:rsidRDefault="00234CA2" w:rsidP="00234CA2">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themeColor="text1"/>
          <w:sz w:val="16"/>
          <w:szCs w:val="16"/>
        </w:rPr>
      </w:pPr>
      <w:r w:rsidRPr="00953B08">
        <w:rPr>
          <w:rFonts w:ascii="Verdana" w:eastAsia="Arial" w:hAnsi="Verdana" w:cs="Arial"/>
          <w:color w:val="000000" w:themeColor="text1"/>
          <w:sz w:val="16"/>
          <w:szCs w:val="16"/>
        </w:rPr>
        <w:t>6. Las causas que dan lugar a rechazar una oferta […]”.</w:t>
      </w:r>
    </w:p>
  </w:footnote>
  <w:footnote w:id="18">
    <w:p w14:paraId="4D7E62F1" w14:textId="77777777" w:rsidR="00234CA2" w:rsidRPr="00953B08" w:rsidRDefault="00234CA2" w:rsidP="00234CA2">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themeColor="text1"/>
          <w:sz w:val="16"/>
          <w:szCs w:val="16"/>
        </w:rPr>
      </w:pPr>
      <w:r w:rsidRPr="00953B08">
        <w:rPr>
          <w:rFonts w:ascii="Verdana" w:hAnsi="Verdana" w:cs="Arial"/>
          <w:color w:val="000000" w:themeColor="text1"/>
          <w:sz w:val="16"/>
          <w:szCs w:val="16"/>
          <w:vertAlign w:val="superscript"/>
        </w:rPr>
        <w:footnoteRef/>
      </w:r>
      <w:r w:rsidRPr="00953B08">
        <w:rPr>
          <w:rFonts w:ascii="Verdana" w:eastAsia="Arial" w:hAnsi="Verdana" w:cs="Arial"/>
          <w:color w:val="000000" w:themeColor="text1"/>
          <w:sz w:val="16"/>
          <w:szCs w:val="16"/>
        </w:rPr>
        <w:t xml:space="preserve"> Consejo de Estado. Sala de lo Contencioso Administrativo. Sección Tercera Subsección B. Sentencia del 27 de abril de 2011. Radicado: 25000-23-26-000-1997-03924-01 (18.293). C.P. Ponente: Ruth Stella Correa Palacio. </w:t>
      </w:r>
    </w:p>
    <w:p w14:paraId="04A6961D" w14:textId="77777777" w:rsidR="00234CA2" w:rsidRPr="00953B08" w:rsidRDefault="00234CA2" w:rsidP="00234CA2">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themeColor="text1"/>
          <w:sz w:val="16"/>
          <w:szCs w:val="16"/>
        </w:rPr>
      </w:pPr>
    </w:p>
  </w:footnote>
  <w:footnote w:id="19">
    <w:p w14:paraId="05D992DB" w14:textId="77777777" w:rsidR="00234CA2" w:rsidRPr="00953B08" w:rsidRDefault="00234CA2" w:rsidP="00234CA2">
      <w:pPr>
        <w:pStyle w:val="FootnoteText"/>
        <w:snapToGrid w:val="0"/>
        <w:ind w:firstLine="709"/>
        <w:contextualSpacing/>
        <w:jc w:val="both"/>
        <w:rPr>
          <w:rFonts w:ascii="Verdana" w:eastAsia="Times New Roman" w:hAnsi="Verdana" w:cs="Arial"/>
          <w:sz w:val="16"/>
          <w:szCs w:val="16"/>
          <w:lang w:val="es-CO" w:eastAsia="es-CO"/>
        </w:rPr>
      </w:pPr>
      <w:r w:rsidRPr="00953B08">
        <w:rPr>
          <w:rStyle w:val="FootnoteReference"/>
          <w:rFonts w:ascii="Verdana" w:hAnsi="Verdana" w:cs="Arial"/>
          <w:sz w:val="16"/>
          <w:szCs w:val="16"/>
        </w:rPr>
        <w:footnoteRef/>
      </w:r>
      <w:r w:rsidRPr="00953B08">
        <w:rPr>
          <w:rFonts w:ascii="Verdana" w:hAnsi="Verdana" w:cs="Arial"/>
          <w:sz w:val="16"/>
          <w:szCs w:val="16"/>
        </w:rPr>
        <w:t xml:space="preserve"> </w:t>
      </w:r>
      <w:r w:rsidRPr="00953B08">
        <w:rPr>
          <w:rFonts w:ascii="Verdana" w:eastAsia="Times New Roman" w:hAnsi="Verdana" w:cs="Arial"/>
          <w:sz w:val="16"/>
          <w:szCs w:val="16"/>
          <w:lang w:val="es-CO" w:eastAsia="es-CO"/>
        </w:rPr>
        <w:t>Consejo de Estado. Sección Tercera. Sentencia del 21 de noviembre de 2013. Radicado 25000-23-26-000-1999-01850-01 (25.397). C.P. Carlos Alberto Zambrano Barrera.</w:t>
      </w:r>
    </w:p>
  </w:footnote>
  <w:footnote w:id="20">
    <w:p w14:paraId="06E39781" w14:textId="77777777" w:rsidR="00234CA2" w:rsidRDefault="00234CA2" w:rsidP="00234CA2">
      <w:pPr>
        <w:pStyle w:val="FootnoteText"/>
        <w:snapToGrid w:val="0"/>
        <w:ind w:firstLine="708"/>
        <w:contextualSpacing/>
        <w:jc w:val="both"/>
        <w:rPr>
          <w:rFonts w:ascii="Verdana" w:hAnsi="Verdana" w:cs="Arial"/>
          <w:sz w:val="16"/>
          <w:szCs w:val="16"/>
          <w:lang w:val="es-ES"/>
        </w:rPr>
      </w:pPr>
      <w:r>
        <w:rPr>
          <w:rStyle w:val="FootnoteReference"/>
          <w:rFonts w:ascii="Verdana" w:hAnsi="Verdana"/>
          <w:sz w:val="16"/>
          <w:szCs w:val="16"/>
        </w:rPr>
        <w:footnoteRef/>
      </w:r>
      <w:r>
        <w:rPr>
          <w:rFonts w:ascii="Verdana" w:hAnsi="Verdana" w:cs="Arial"/>
          <w:sz w:val="16"/>
          <w:szCs w:val="16"/>
          <w:lang w:val="es-ES"/>
        </w:rPr>
        <w:t xml:space="preserve"> Consejo de Estado. Sala de lo Contencioso Administrativo. Sección Tercera. Subsección B. Sentencia del 19 de abril de 2023. Radicado: 25000-23-26-000-2010-00161-02 (65.828). C.P. Fredy Ibarra Martínez.</w:t>
      </w:r>
    </w:p>
  </w:footnote>
  <w:footnote w:id="21">
    <w:p w14:paraId="6437EF53" w14:textId="77777777" w:rsidR="00234CA2" w:rsidRDefault="00234CA2" w:rsidP="00234CA2">
      <w:pPr>
        <w:pStyle w:val="FootnoteText"/>
        <w:snapToGrid w:val="0"/>
        <w:ind w:firstLine="708"/>
        <w:contextualSpacing/>
        <w:jc w:val="both"/>
        <w:rPr>
          <w:rFonts w:ascii="Verdana" w:hAnsi="Verdana" w:cs="Arial"/>
          <w:sz w:val="16"/>
          <w:szCs w:val="16"/>
          <w:lang w:val="es-ES"/>
        </w:rPr>
      </w:pPr>
      <w:r>
        <w:rPr>
          <w:rStyle w:val="FootnoteReference"/>
          <w:rFonts w:ascii="Verdana" w:hAnsi="Verdana"/>
          <w:sz w:val="16"/>
          <w:szCs w:val="16"/>
        </w:rPr>
        <w:footnoteRef/>
      </w:r>
      <w:r>
        <w:rPr>
          <w:rFonts w:ascii="Verdana" w:hAnsi="Verdana" w:cs="Arial"/>
          <w:sz w:val="16"/>
          <w:szCs w:val="16"/>
          <w:lang w:val="es-ES"/>
        </w:rPr>
        <w:t xml:space="preserve"> Ibidem.</w:t>
      </w:r>
    </w:p>
  </w:footnote>
  <w:footnote w:id="22">
    <w:p w14:paraId="50E53D96" w14:textId="77777777" w:rsidR="00234CA2" w:rsidRDefault="00234CA2" w:rsidP="00234CA2">
      <w:pPr>
        <w:pStyle w:val="FootnoteText"/>
        <w:snapToGrid w:val="0"/>
        <w:ind w:firstLine="708"/>
        <w:contextualSpacing/>
        <w:jc w:val="both"/>
        <w:rPr>
          <w:rFonts w:ascii="Verdana" w:hAnsi="Verdana" w:cs="Arial"/>
          <w:sz w:val="16"/>
          <w:szCs w:val="16"/>
          <w:lang w:val="es-ES"/>
        </w:rPr>
      </w:pPr>
      <w:r>
        <w:rPr>
          <w:rStyle w:val="FootnoteReference"/>
          <w:rFonts w:ascii="Verdana" w:hAnsi="Verdana"/>
          <w:sz w:val="16"/>
          <w:szCs w:val="16"/>
        </w:rPr>
        <w:footnoteRef/>
      </w:r>
      <w:r>
        <w:rPr>
          <w:rFonts w:ascii="Verdana" w:hAnsi="Verdana" w:cs="Arial"/>
          <w:sz w:val="16"/>
          <w:szCs w:val="16"/>
          <w:lang w:val="es-ES"/>
        </w:rPr>
        <w:t xml:space="preserve"> Consejo de Estado. Sala de lo Contencioso Administrativo. Sección Tercera. Sentencia del 21 de febrero de 2007. Radicado: 2005-00549-01 (AP). C.P. Alier Eduardo Hernández Enríquez. Citada en: Consejo de Estado. Sala de lo Contencioso Administrativo. Sección Tercera. Subsección B. Sentencia del 19 de abril de 2023. Radicado: 25000-23-26-000-2010-00161-02 (65.828). C.P. Fredy Ibarra Martínez.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10"/>
  </w:num>
  <w:num w:numId="17" w16cid:durableId="410347328">
    <w:abstractNumId w:val="2"/>
  </w:num>
  <w:num w:numId="18" w16cid:durableId="1657416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41D5"/>
    <w:rsid w:val="000A683E"/>
    <w:rsid w:val="000B19B9"/>
    <w:rsid w:val="000D0334"/>
    <w:rsid w:val="000D5DA7"/>
    <w:rsid w:val="000F6486"/>
    <w:rsid w:val="00116940"/>
    <w:rsid w:val="00125105"/>
    <w:rsid w:val="00127233"/>
    <w:rsid w:val="0015699B"/>
    <w:rsid w:val="001A33BF"/>
    <w:rsid w:val="001C7D6F"/>
    <w:rsid w:val="001E4177"/>
    <w:rsid w:val="001F0B24"/>
    <w:rsid w:val="001F7DC6"/>
    <w:rsid w:val="0022400B"/>
    <w:rsid w:val="00234CA2"/>
    <w:rsid w:val="002421BB"/>
    <w:rsid w:val="0025796E"/>
    <w:rsid w:val="002707A2"/>
    <w:rsid w:val="00277859"/>
    <w:rsid w:val="002951A0"/>
    <w:rsid w:val="002962BC"/>
    <w:rsid w:val="002A093D"/>
    <w:rsid w:val="002A0DD0"/>
    <w:rsid w:val="002A49AC"/>
    <w:rsid w:val="002A64FD"/>
    <w:rsid w:val="002C7A84"/>
    <w:rsid w:val="002E2BF8"/>
    <w:rsid w:val="002E4FD9"/>
    <w:rsid w:val="0030657A"/>
    <w:rsid w:val="00322A85"/>
    <w:rsid w:val="00324168"/>
    <w:rsid w:val="00330834"/>
    <w:rsid w:val="00344868"/>
    <w:rsid w:val="003448F4"/>
    <w:rsid w:val="00374F5E"/>
    <w:rsid w:val="00377E3E"/>
    <w:rsid w:val="003808DC"/>
    <w:rsid w:val="003A779E"/>
    <w:rsid w:val="003D0F4D"/>
    <w:rsid w:val="003D5B0D"/>
    <w:rsid w:val="003E0499"/>
    <w:rsid w:val="003E4F80"/>
    <w:rsid w:val="003E6439"/>
    <w:rsid w:val="003F3941"/>
    <w:rsid w:val="00406575"/>
    <w:rsid w:val="00414C74"/>
    <w:rsid w:val="00420DE9"/>
    <w:rsid w:val="0042722E"/>
    <w:rsid w:val="0044528D"/>
    <w:rsid w:val="00466E39"/>
    <w:rsid w:val="00492FA8"/>
    <w:rsid w:val="004A1847"/>
    <w:rsid w:val="004A305D"/>
    <w:rsid w:val="004F21C4"/>
    <w:rsid w:val="004F4BBF"/>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B79D2"/>
    <w:rsid w:val="00706C16"/>
    <w:rsid w:val="007340C3"/>
    <w:rsid w:val="0075235A"/>
    <w:rsid w:val="00756841"/>
    <w:rsid w:val="007649AB"/>
    <w:rsid w:val="00771D0C"/>
    <w:rsid w:val="007833AC"/>
    <w:rsid w:val="007A35A7"/>
    <w:rsid w:val="007A54B3"/>
    <w:rsid w:val="007B268C"/>
    <w:rsid w:val="007B7171"/>
    <w:rsid w:val="007C0C0F"/>
    <w:rsid w:val="007C3DC2"/>
    <w:rsid w:val="007E5497"/>
    <w:rsid w:val="00806F5F"/>
    <w:rsid w:val="00820278"/>
    <w:rsid w:val="008258C9"/>
    <w:rsid w:val="00844AE9"/>
    <w:rsid w:val="00867F95"/>
    <w:rsid w:val="008843B6"/>
    <w:rsid w:val="00891928"/>
    <w:rsid w:val="008944AC"/>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3F91"/>
    <w:rsid w:val="00A122D3"/>
    <w:rsid w:val="00A14468"/>
    <w:rsid w:val="00A17F13"/>
    <w:rsid w:val="00A20739"/>
    <w:rsid w:val="00A23AF9"/>
    <w:rsid w:val="00A33C78"/>
    <w:rsid w:val="00AA0F82"/>
    <w:rsid w:val="00AA4C2E"/>
    <w:rsid w:val="00AB0ADB"/>
    <w:rsid w:val="00AE7B7A"/>
    <w:rsid w:val="00B00C0E"/>
    <w:rsid w:val="00B01B1A"/>
    <w:rsid w:val="00B0381D"/>
    <w:rsid w:val="00B44A47"/>
    <w:rsid w:val="00B72CD3"/>
    <w:rsid w:val="00B72FFF"/>
    <w:rsid w:val="00B853A1"/>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12A7E"/>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4533"/>
    <w:rsid w:val="00E8772A"/>
    <w:rsid w:val="00E90511"/>
    <w:rsid w:val="00E90F6B"/>
    <w:rsid w:val="00E92C27"/>
    <w:rsid w:val="00EA0E3D"/>
    <w:rsid w:val="00EC38A7"/>
    <w:rsid w:val="00EE1AA8"/>
    <w:rsid w:val="00F23FEA"/>
    <w:rsid w:val="00F31EDC"/>
    <w:rsid w:val="00F462B3"/>
    <w:rsid w:val="00F5664F"/>
    <w:rsid w:val="00F666C4"/>
    <w:rsid w:val="00F76716"/>
    <w:rsid w:val="00F76AFC"/>
    <w:rsid w:val="00FA47C0"/>
    <w:rsid w:val="00FB5DD1"/>
    <w:rsid w:val="00FC2B5D"/>
    <w:rsid w:val="00FF1449"/>
    <w:rsid w:val="00FF4F30"/>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234CA2"/>
    <w:pPr>
      <w:spacing w:after="0"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234CA2"/>
    <w:rPr>
      <w:rFonts w:ascii="Geomanist Light" w:hAnsi="Geomanist Light"/>
      <w:lang w:val="es-ES"/>
    </w:rPr>
  </w:style>
  <w:style w:type="character" w:customStyle="1" w:styleId="NormalWebChar">
    <w:name w:val="Normal (Web) Char"/>
    <w:link w:val="NormalWeb"/>
    <w:uiPriority w:val="99"/>
    <w:locked/>
    <w:rsid w:val="00234CA2"/>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lonmosqueratejad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4A50A9-88B9-46E5-A5FB-2694F49B6B8F}"/>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22</Pages>
  <Words>6805</Words>
  <Characters>38789</Characters>
  <Application>Microsoft Office Word</Application>
  <DocSecurity>0</DocSecurity>
  <Lines>323</Lines>
  <Paragraphs>91</Paragraphs>
  <ScaleCrop>false</ScaleCrop>
  <Company/>
  <LinksUpToDate>false</LinksUpToDate>
  <CharactersWithSpaces>45503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4</cp:revision>
  <cp:lastPrinted>2023-01-10T21:18:00Z</cp:lastPrinted>
  <dcterms:created xsi:type="dcterms:W3CDTF">2026-10-22T16:57:00Z</dcterms:created>
  <dcterms:modified xsi:type="dcterms:W3CDTF">2026-10-22T17:04:00Z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