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568155" w14:textId="6F287CC4" w:rsidR="004A2204" w:rsidRPr="004A2204" w:rsidRDefault="004A2204" w:rsidP="004A2204">
      <w:pPr>
        <w:spacing w:after="0"/>
        <w:jc w:val="both"/>
        <w:rPr>
          <w:rFonts w:ascii="Verdana" w:eastAsia="Verdana" w:hAnsi="Verdana" w:cs="Verdana"/>
        </w:rPr>
      </w:pPr>
      <w:bookmarkStart w:id="0" w:name="_Hlk143780582"/>
      <w:r w:rsidRPr="004A2204">
        <w:rPr>
          <w:rFonts w:ascii="Verdana" w:eastAsia="Calibri" w:hAnsi="Verdana" w:cs="Arial"/>
          <w:b/>
          <w:bCs/>
          <w:lang w:val="es-ES" w:eastAsia="es-ES"/>
        </w:rPr>
        <w:t>CAPACIDAD RESIDUAL – Definición</w:t>
      </w:r>
    </w:p>
    <w:p w14:paraId="55AC67BA" w14:textId="77777777" w:rsidR="004A2204" w:rsidRPr="004A2204" w:rsidRDefault="004A2204" w:rsidP="004A2204">
      <w:pPr>
        <w:shd w:val="clear" w:color="auto" w:fill="FFFFFF"/>
        <w:spacing w:after="0" w:line="276" w:lineRule="auto"/>
        <w:jc w:val="both"/>
        <w:rPr>
          <w:rFonts w:ascii="Verdana" w:eastAsia="Calibri" w:hAnsi="Verdana" w:cs="Arial"/>
          <w:b/>
          <w:bCs/>
          <w:lang w:val="es-ES" w:eastAsia="es-ES"/>
        </w:rPr>
      </w:pPr>
    </w:p>
    <w:p w14:paraId="2DE01613" w14:textId="6762EBF6" w:rsidR="00C0420F" w:rsidRDefault="00C0420F" w:rsidP="00C0420F">
      <w:pPr>
        <w:spacing w:after="0" w:line="240" w:lineRule="auto"/>
        <w:jc w:val="both"/>
        <w:rPr>
          <w:rFonts w:ascii="Verdana" w:eastAsia="Calibri" w:hAnsi="Verdana" w:cs="Arial"/>
          <w:color w:val="000000"/>
          <w:sz w:val="20"/>
          <w:szCs w:val="20"/>
          <w:lang w:val="es-MX" w:eastAsia="en-GB"/>
        </w:rPr>
      </w:pPr>
      <w:r w:rsidRPr="00C0420F">
        <w:rPr>
          <w:rFonts w:ascii="Verdana" w:eastAsia="Calibri" w:hAnsi="Verdana" w:cs="Arial"/>
          <w:color w:val="000000"/>
          <w:sz w:val="20"/>
          <w:szCs w:val="20"/>
          <w:lang w:val="es-MX" w:eastAsia="en-GB"/>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 Por su parte, el Consejo de Estado ha definido la Capacidad Residual como “la diferencia que existe entre el potencial de contratación que se tiene y los compromisos que haya adquirido y que se encuentren en ejecución, para la fecha de presentación de la oferta”.</w:t>
      </w:r>
    </w:p>
    <w:p w14:paraId="6692693C" w14:textId="77777777" w:rsidR="00C0420F" w:rsidRPr="00C0420F" w:rsidRDefault="00C0420F" w:rsidP="00C0420F">
      <w:pPr>
        <w:spacing w:after="0" w:line="240" w:lineRule="auto"/>
        <w:jc w:val="both"/>
        <w:rPr>
          <w:rFonts w:ascii="Verdana" w:eastAsia="Calibri" w:hAnsi="Verdana" w:cs="Arial"/>
          <w:color w:val="000000"/>
          <w:sz w:val="20"/>
          <w:szCs w:val="20"/>
          <w:lang w:val="es-MX" w:eastAsia="en-GB"/>
        </w:rPr>
      </w:pPr>
    </w:p>
    <w:p w14:paraId="2DE91DC1" w14:textId="23FCA860" w:rsidR="004A2204" w:rsidRPr="00C0420F" w:rsidRDefault="00C0420F" w:rsidP="00C0420F">
      <w:pPr>
        <w:spacing w:after="0" w:line="240" w:lineRule="auto"/>
        <w:jc w:val="both"/>
        <w:rPr>
          <w:rFonts w:ascii="Verdana" w:eastAsia="Calibri" w:hAnsi="Verdana" w:cs="Arial"/>
          <w:color w:val="000000"/>
          <w:sz w:val="20"/>
          <w:szCs w:val="20"/>
          <w:lang w:val="es-MX" w:eastAsia="en-GB"/>
        </w:rPr>
      </w:pPr>
      <w:r w:rsidRPr="00C0420F">
        <w:rPr>
          <w:rFonts w:ascii="Verdana" w:eastAsia="Calibri" w:hAnsi="Verdana" w:cs="Arial"/>
          <w:color w:val="000000"/>
          <w:sz w:val="20"/>
          <w:szCs w:val="20"/>
          <w:lang w:val="es-MX" w:eastAsia="en-GB"/>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r w:rsidR="004A2204" w:rsidRPr="00C0420F">
        <w:rPr>
          <w:rFonts w:ascii="Verdana" w:eastAsia="Calibri" w:hAnsi="Verdana" w:cs="Arial"/>
          <w:color w:val="000000"/>
          <w:sz w:val="20"/>
          <w:szCs w:val="20"/>
          <w:lang w:val="es-MX" w:eastAsia="en-GB"/>
        </w:rPr>
        <w:t>[…]</w:t>
      </w:r>
    </w:p>
    <w:p w14:paraId="632734E0" w14:textId="77777777" w:rsidR="004A2204" w:rsidRPr="004A2204" w:rsidRDefault="004A2204" w:rsidP="004A2204">
      <w:pPr>
        <w:shd w:val="clear" w:color="auto" w:fill="FFFFFF"/>
        <w:spacing w:after="0" w:line="276" w:lineRule="auto"/>
        <w:jc w:val="both"/>
        <w:rPr>
          <w:rFonts w:ascii="Verdana" w:eastAsia="Calibri" w:hAnsi="Verdana" w:cs="Arial"/>
          <w:b/>
          <w:bCs/>
          <w:lang w:val="es-ES" w:eastAsia="es-ES"/>
        </w:rPr>
      </w:pPr>
    </w:p>
    <w:p w14:paraId="72246551" w14:textId="77777777" w:rsidR="004A2204" w:rsidRPr="004A2204" w:rsidRDefault="004A2204" w:rsidP="004A2204">
      <w:pPr>
        <w:autoSpaceDE w:val="0"/>
        <w:autoSpaceDN w:val="0"/>
        <w:adjustRightInd w:val="0"/>
        <w:spacing w:after="0" w:line="276" w:lineRule="auto"/>
        <w:jc w:val="both"/>
        <w:rPr>
          <w:rFonts w:ascii="Verdana" w:eastAsia="Calibri" w:hAnsi="Verdana" w:cs="Arial"/>
          <w:b/>
          <w:bCs/>
          <w:kern w:val="2"/>
          <w:lang w:eastAsia="es-MX"/>
          <w14:ligatures w14:val="standardContextual"/>
        </w:rPr>
      </w:pPr>
      <w:r w:rsidRPr="004A2204">
        <w:rPr>
          <w:rFonts w:ascii="Verdana" w:eastAsia="Calibri" w:hAnsi="Verdana" w:cs="Arial"/>
          <w:b/>
          <w:bCs/>
          <w:kern w:val="2"/>
          <w:lang w:eastAsia="es-MX"/>
          <w14:ligatures w14:val="standardContextual"/>
        </w:rPr>
        <w:t>CAPACIDAD RESIDUAL – Factores</w:t>
      </w:r>
    </w:p>
    <w:p w14:paraId="794FBC7F" w14:textId="77777777" w:rsidR="004A2204" w:rsidRPr="004A2204" w:rsidRDefault="004A2204" w:rsidP="004A2204">
      <w:pPr>
        <w:spacing w:after="0" w:line="276" w:lineRule="auto"/>
        <w:jc w:val="both"/>
        <w:rPr>
          <w:rFonts w:ascii="Verdana" w:eastAsia="Calibri" w:hAnsi="Verdana" w:cs="Arial"/>
          <w:color w:val="000000"/>
          <w:lang w:val="es-ES"/>
        </w:rPr>
      </w:pPr>
    </w:p>
    <w:p w14:paraId="3AF824C0" w14:textId="77777777" w:rsidR="00C0420F" w:rsidRDefault="00C0420F" w:rsidP="00C0420F">
      <w:pPr>
        <w:spacing w:after="0" w:line="240" w:lineRule="auto"/>
        <w:jc w:val="both"/>
        <w:rPr>
          <w:rFonts w:ascii="Verdana" w:eastAsia="Calibri" w:hAnsi="Verdana" w:cs="Arial"/>
          <w:color w:val="000000"/>
          <w:sz w:val="20"/>
          <w:szCs w:val="20"/>
          <w:lang w:eastAsia="en-GB"/>
        </w:rPr>
      </w:pPr>
      <w:r w:rsidRPr="00C0420F">
        <w:rPr>
          <w:rFonts w:ascii="Verdana" w:eastAsia="Calibri" w:hAnsi="Verdana" w:cs="Arial"/>
          <w:color w:val="000000"/>
          <w:sz w:val="20"/>
          <w:szCs w:val="20"/>
          <w:lang w:val="es-MX" w:eastAsia="en-GB"/>
        </w:rPr>
        <w:t xml:space="preserve">De acuerdo con </w:t>
      </w:r>
      <w:r w:rsidRPr="00C0420F">
        <w:rPr>
          <w:rFonts w:ascii="Verdana" w:eastAsia="Calibri" w:hAnsi="Verdana" w:cs="Arial"/>
          <w:color w:val="000000"/>
          <w:sz w:val="20"/>
          <w:szCs w:val="20"/>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636E78C2" w14:textId="77777777" w:rsidR="00C0420F" w:rsidRPr="00C0420F" w:rsidRDefault="00C0420F" w:rsidP="00C0420F">
      <w:pPr>
        <w:spacing w:after="0" w:line="240" w:lineRule="auto"/>
        <w:jc w:val="both"/>
        <w:rPr>
          <w:rFonts w:ascii="Verdana" w:eastAsia="Calibri" w:hAnsi="Verdana" w:cs="Arial"/>
          <w:color w:val="000000"/>
          <w:sz w:val="20"/>
          <w:szCs w:val="20"/>
          <w:lang w:eastAsia="en-GB"/>
        </w:rPr>
      </w:pPr>
    </w:p>
    <w:p w14:paraId="27D99338" w14:textId="4EF5E7D0" w:rsidR="004A2204" w:rsidRPr="00C0420F" w:rsidRDefault="00C0420F" w:rsidP="00C0420F">
      <w:pPr>
        <w:spacing w:after="0" w:line="240" w:lineRule="auto"/>
        <w:jc w:val="both"/>
        <w:rPr>
          <w:rFonts w:ascii="Verdana" w:eastAsia="Calibri" w:hAnsi="Verdana" w:cs="Arial"/>
          <w:color w:val="000000"/>
          <w:sz w:val="20"/>
          <w:szCs w:val="20"/>
          <w:lang w:val="es-MX" w:eastAsia="en-GB"/>
        </w:rPr>
      </w:pPr>
      <w:r w:rsidRPr="00C0420F">
        <w:rPr>
          <w:rFonts w:ascii="Verdana" w:eastAsia="Calibri" w:hAnsi="Verdana" w:cs="Arial"/>
          <w:color w:val="000000"/>
          <w:sz w:val="20"/>
          <w:szCs w:val="20"/>
          <w:lang w:val="es-MX" w:eastAsia="en-GB"/>
        </w:rPr>
        <w:t>Por su parte, el artículo 2.2.1.1.1.6.4 del Decreto 1082 de 2015 dispone que las Entidades Estatales deberán calcular la Capacidad Residual conforme a la metodología definida por la Agencia Nacional de Contratación Pública – Colombia Compra Eficiente. Para tales fines, resulta necesario tener en cuenta los factores de: i) Experiencia –E–, ii) Capacidad Financiera –CF–, iii) Capacidad Técnica –CT–, iv) Capacidad de Organización y v) los Saldos de los Contratos en Ejecución –SCE–.</w:t>
      </w:r>
    </w:p>
    <w:p w14:paraId="60F1996B" w14:textId="77777777" w:rsidR="004A2204" w:rsidRPr="004A2204" w:rsidRDefault="004A2204" w:rsidP="004A2204">
      <w:pPr>
        <w:spacing w:after="0" w:line="276" w:lineRule="auto"/>
        <w:jc w:val="both"/>
        <w:rPr>
          <w:rFonts w:ascii="Verdana" w:eastAsia="Calibri" w:hAnsi="Verdana" w:cs="Arial"/>
          <w:b/>
          <w:bCs/>
          <w:lang w:val="es-ES_tradnl" w:eastAsia="es-ES"/>
        </w:rPr>
      </w:pPr>
    </w:p>
    <w:p w14:paraId="2F97820D" w14:textId="77777777" w:rsidR="004A2204" w:rsidRPr="004A2204" w:rsidRDefault="004A2204" w:rsidP="004A2204">
      <w:pPr>
        <w:spacing w:after="0" w:line="276" w:lineRule="auto"/>
        <w:jc w:val="both"/>
        <w:rPr>
          <w:rFonts w:ascii="Verdana" w:eastAsia="Calibri" w:hAnsi="Verdana" w:cs="Times New Roman"/>
        </w:rPr>
      </w:pPr>
      <w:r w:rsidRPr="004A2204">
        <w:rPr>
          <w:rFonts w:ascii="Verdana" w:eastAsia="Calibri" w:hAnsi="Verdana" w:cs="Arial"/>
          <w:b/>
          <w:bCs/>
          <w:lang w:val="es-ES_tradnl" w:eastAsia="es-ES"/>
        </w:rPr>
        <w:t>CAPACIDAD TÉCNICA – Capacidad Residual del Proponente – Guía para Determinar y Verificar la Capacidad Residual del Proponente en los Procesos de Contratación de Obra Pública – Socios y profesionales en arquitectura, ingeniería y geología</w:t>
      </w:r>
    </w:p>
    <w:p w14:paraId="626500F1" w14:textId="77777777" w:rsidR="004A2204" w:rsidRPr="004A2204" w:rsidRDefault="004A2204" w:rsidP="004A2204">
      <w:pPr>
        <w:spacing w:after="0" w:line="276" w:lineRule="auto"/>
        <w:jc w:val="both"/>
        <w:rPr>
          <w:rFonts w:ascii="Verdana" w:eastAsia="Calibri" w:hAnsi="Verdana" w:cs="Arial"/>
          <w:b/>
          <w:bCs/>
          <w:lang w:val="es-ES_tradnl" w:eastAsia="es-ES"/>
        </w:rPr>
      </w:pPr>
    </w:p>
    <w:p w14:paraId="021D9E8D" w14:textId="77777777" w:rsidR="00C0420F" w:rsidRPr="00C0420F" w:rsidRDefault="00C0420F" w:rsidP="00C0420F">
      <w:pPr>
        <w:snapToGrid w:val="0"/>
        <w:spacing w:after="0" w:line="240" w:lineRule="auto"/>
        <w:jc w:val="both"/>
        <w:rPr>
          <w:rFonts w:ascii="Verdana" w:eastAsia="Calibri" w:hAnsi="Verdana" w:cs="Times New Roman"/>
          <w:i/>
          <w:iCs/>
          <w:sz w:val="20"/>
          <w:szCs w:val="20"/>
        </w:rPr>
      </w:pPr>
      <w:r w:rsidRPr="00C0420F">
        <w:rPr>
          <w:rFonts w:ascii="Verdana" w:eastAsia="Calibri" w:hAnsi="Verdana" w:cs="Times New Roman"/>
          <w:sz w:val="20"/>
          <w:szCs w:val="20"/>
        </w:rPr>
        <w:t xml:space="preserve">En relación al componente Capacidad Técnica (CT), el cual es objeto de su petición, la Guía establece que el puntaje por concepto de la Capacidad Técnica (CT) </w:t>
      </w:r>
      <w:r w:rsidRPr="00C0420F">
        <w:rPr>
          <w:rFonts w:ascii="Verdana" w:eastAsia="Calibri" w:hAnsi="Verdana" w:cs="Times New Roman"/>
          <w:i/>
          <w:iCs/>
          <w:sz w:val="20"/>
          <w:szCs w:val="20"/>
        </w:rPr>
        <w:t xml:space="preserve">“se asigna teniendo en cuenta el número de socios y profesionales de la arquitectura, ingeniería y </w:t>
      </w:r>
      <w:r w:rsidRPr="00C0420F">
        <w:rPr>
          <w:rFonts w:ascii="Verdana" w:eastAsia="Calibri" w:hAnsi="Verdana" w:cs="Times New Roman"/>
          <w:i/>
          <w:iCs/>
          <w:sz w:val="20"/>
          <w:szCs w:val="20"/>
        </w:rPr>
        <w:lastRenderedPageBreak/>
        <w:t xml:space="preserve">geología </w:t>
      </w:r>
      <w:r w:rsidRPr="00C0420F">
        <w:rPr>
          <w:rFonts w:ascii="Verdana" w:eastAsia="Calibri" w:hAnsi="Verdana" w:cs="Times New Roman"/>
          <w:b/>
          <w:bCs/>
          <w:i/>
          <w:iCs/>
          <w:sz w:val="20"/>
          <w:szCs w:val="20"/>
        </w:rPr>
        <w:t>vinculados mediante una relación laboral o contractual conforme a la cual desarrollen actividades relacionadas directamente a la construcción”.</w:t>
      </w:r>
      <w:r w:rsidRPr="00C0420F">
        <w:rPr>
          <w:rFonts w:ascii="Verdana" w:eastAsia="Calibri" w:hAnsi="Verdana" w:cs="Times New Roman"/>
          <w:i/>
          <w:iCs/>
          <w:sz w:val="20"/>
          <w:szCs w:val="20"/>
        </w:rPr>
        <w:t xml:space="preserve">  </w:t>
      </w:r>
    </w:p>
    <w:p w14:paraId="5CA132B9" w14:textId="77777777" w:rsidR="00C0420F" w:rsidRPr="00C0420F" w:rsidRDefault="00C0420F" w:rsidP="00C0420F">
      <w:pPr>
        <w:snapToGrid w:val="0"/>
        <w:spacing w:after="0" w:line="240" w:lineRule="auto"/>
        <w:jc w:val="both"/>
        <w:rPr>
          <w:rFonts w:ascii="Verdana" w:eastAsia="Calibri" w:hAnsi="Verdana" w:cs="Times New Roman"/>
          <w:i/>
          <w:iCs/>
          <w:sz w:val="20"/>
          <w:szCs w:val="20"/>
        </w:rPr>
      </w:pPr>
    </w:p>
    <w:p w14:paraId="45583D79" w14:textId="77777777" w:rsidR="00C0420F" w:rsidRPr="00C0420F" w:rsidRDefault="00C0420F" w:rsidP="00C0420F">
      <w:pPr>
        <w:snapToGrid w:val="0"/>
        <w:spacing w:after="0" w:line="240" w:lineRule="auto"/>
        <w:jc w:val="both"/>
        <w:rPr>
          <w:rFonts w:ascii="Verdana" w:eastAsia="Calibri" w:hAnsi="Verdana" w:cs="Times New Roman"/>
          <w:i/>
          <w:iCs/>
          <w:sz w:val="20"/>
          <w:szCs w:val="20"/>
        </w:rPr>
      </w:pPr>
      <w:r w:rsidRPr="00C0420F">
        <w:rPr>
          <w:rFonts w:ascii="Verdana" w:eastAsia="Calibri" w:hAnsi="Verdana" w:cs="Times New Roman"/>
          <w:i/>
          <w:iCs/>
          <w:sz w:val="20"/>
          <w:szCs w:val="20"/>
        </w:rPr>
        <w:t>El puntaje de la Capacidad Técnica (CT) se asigna con base en la siguiente tabla:</w:t>
      </w:r>
    </w:p>
    <w:p w14:paraId="262B2F60" w14:textId="0DD13155" w:rsidR="00C0420F" w:rsidRPr="00C0420F" w:rsidRDefault="00C0420F" w:rsidP="00C0420F">
      <w:pPr>
        <w:spacing w:after="0" w:line="240" w:lineRule="auto"/>
        <w:rPr>
          <w:rFonts w:ascii="Verdana" w:eastAsia="Calibri" w:hAnsi="Verdana" w:cs="Times New Roman"/>
          <w:sz w:val="20"/>
          <w:szCs w:val="20"/>
        </w:rPr>
      </w:pPr>
      <w:r w:rsidRPr="00C0420F">
        <w:rPr>
          <w:rFonts w:ascii="Verdana" w:eastAsia="Calibri" w:hAnsi="Verdana" w:cs="Times New Roman"/>
          <w:sz w:val="20"/>
          <w:szCs w:val="20"/>
        </w:rPr>
        <w:t>[…]</w:t>
      </w:r>
    </w:p>
    <w:p w14:paraId="61C548E5" w14:textId="77777777" w:rsidR="00C0420F" w:rsidRPr="00C0420F" w:rsidRDefault="00C0420F" w:rsidP="00C0420F">
      <w:pPr>
        <w:snapToGrid w:val="0"/>
        <w:spacing w:after="0" w:line="240" w:lineRule="auto"/>
        <w:jc w:val="both"/>
        <w:rPr>
          <w:rFonts w:ascii="Verdana" w:eastAsia="Calibri" w:hAnsi="Verdana" w:cs="Arial"/>
          <w:sz w:val="20"/>
          <w:szCs w:val="20"/>
        </w:rPr>
      </w:pPr>
      <w:r w:rsidRPr="00C0420F">
        <w:rPr>
          <w:rFonts w:ascii="Verdana" w:eastAsia="Calibri" w:hAnsi="Verdana" w:cs="Times New Roman"/>
          <w:sz w:val="20"/>
          <w:szCs w:val="20"/>
        </w:rPr>
        <w:t>De acuerdo con lo anteriormente señalado, es importante precisar que, s</w:t>
      </w:r>
      <w:r w:rsidRPr="00C0420F">
        <w:rPr>
          <w:rFonts w:ascii="Verdana" w:eastAsia="Calibri" w:hAnsi="Verdana" w:cs="Arial"/>
          <w:sz w:val="20"/>
          <w:szCs w:val="20"/>
        </w:rPr>
        <w:t xml:space="preserve">egún lo dispuesto en la Guía, para el cálculo de la Capacidad Técnica (CT) se tendrán en cuenta los socios y profesionales en arquitectura, ingeniería y geología, quienes </w:t>
      </w:r>
      <w:r w:rsidRPr="00C0420F">
        <w:rPr>
          <w:rFonts w:ascii="Verdana" w:eastAsia="Calibri" w:hAnsi="Verdana" w:cs="Arial"/>
          <w:i/>
          <w:iCs/>
          <w:sz w:val="20"/>
          <w:szCs w:val="20"/>
          <w:u w:val="single"/>
        </w:rPr>
        <w:t>deberán estar vinculados a través de una relación laboral o contractual conforme a la cual desarrollen actividades relacionadas directamente a la construcción</w:t>
      </w:r>
      <w:r w:rsidRPr="00C0420F">
        <w:rPr>
          <w:rFonts w:ascii="Verdana" w:eastAsia="Calibri" w:hAnsi="Verdana" w:cs="Arial"/>
          <w:sz w:val="20"/>
          <w:szCs w:val="20"/>
        </w:rPr>
        <w:t>. Es decir, en este factor, 1) es necesario que el profesional o socio se encuentre vinculado a la persona jurídica mediante una relación laboral o un contrato de otro orden, sin especificar su naturaleza.  Independiente de la forma de vinculación con el proponente, será necesario también que 2) sean profesionales en las áreas allí dispuestas y 3) que, en virtud de ese vínculo laboral o contractual, efectivamente se trate de personas que desarrollen actividades relacionadas directamente con la construcción.</w:t>
      </w:r>
    </w:p>
    <w:p w14:paraId="76C160B9" w14:textId="3CDCEA84" w:rsidR="004A2204" w:rsidRPr="004A2204" w:rsidRDefault="004A2204" w:rsidP="004A2204">
      <w:pPr>
        <w:snapToGrid w:val="0"/>
        <w:spacing w:after="0" w:line="240" w:lineRule="auto"/>
        <w:jc w:val="both"/>
        <w:rPr>
          <w:rFonts w:ascii="Verdana" w:eastAsia="Aptos" w:hAnsi="Verdana" w:cs="Times New Roman"/>
          <w:color w:val="000000"/>
          <w:sz w:val="20"/>
          <w:szCs w:val="20"/>
        </w:rPr>
      </w:pPr>
    </w:p>
    <w:p w14:paraId="73A87E22" w14:textId="77777777" w:rsidR="004A2204" w:rsidRPr="004A2204" w:rsidRDefault="004A2204" w:rsidP="004A2204">
      <w:pPr>
        <w:spacing w:after="0" w:line="240" w:lineRule="auto"/>
        <w:jc w:val="both"/>
        <w:rPr>
          <w:rFonts w:ascii="Verdana" w:eastAsia="Aptos" w:hAnsi="Verdana" w:cs="Times New Roman"/>
          <w:kern w:val="2"/>
          <w:sz w:val="20"/>
          <w:szCs w:val="20"/>
          <w:lang w:val="es-ES_tradnl"/>
          <w14:ligatures w14:val="standardContextual"/>
        </w:rPr>
      </w:pPr>
    </w:p>
    <w:p w14:paraId="21FBD1F8" w14:textId="77777777" w:rsidR="004A2204" w:rsidRPr="004A2204" w:rsidRDefault="004A2204" w:rsidP="004A2204">
      <w:pPr>
        <w:spacing w:after="120" w:line="276" w:lineRule="auto"/>
        <w:ind w:firstLine="709"/>
        <w:jc w:val="both"/>
        <w:rPr>
          <w:rFonts w:ascii="Verdana" w:eastAsia="Calibri" w:hAnsi="Verdana" w:cs="Arial"/>
          <w:lang w:eastAsia="en-GB"/>
        </w:rPr>
      </w:pPr>
    </w:p>
    <w:p w14:paraId="54B2D50F" w14:textId="77777777" w:rsidR="004A2204" w:rsidRPr="004A2204" w:rsidRDefault="004A2204" w:rsidP="004A2204">
      <w:pPr>
        <w:spacing w:after="0" w:line="240" w:lineRule="auto"/>
        <w:jc w:val="both"/>
        <w:rPr>
          <w:rFonts w:ascii="Verdana" w:eastAsia="Calibri" w:hAnsi="Verdana" w:cs="Times New Roman"/>
        </w:rPr>
      </w:pPr>
    </w:p>
    <w:p w14:paraId="6BA4829A" w14:textId="77777777" w:rsidR="004A2204" w:rsidRPr="004A2204" w:rsidRDefault="004A2204" w:rsidP="004A2204">
      <w:pPr>
        <w:spacing w:after="0" w:line="240" w:lineRule="auto"/>
        <w:jc w:val="both"/>
        <w:rPr>
          <w:rFonts w:ascii="Verdana" w:eastAsia="Calibri" w:hAnsi="Verdana" w:cs="Times New Roman"/>
        </w:rPr>
      </w:pPr>
    </w:p>
    <w:p w14:paraId="21334C34" w14:textId="77777777" w:rsidR="004A2204" w:rsidRPr="004A2204" w:rsidRDefault="004A2204" w:rsidP="004A2204">
      <w:pPr>
        <w:spacing w:after="0" w:line="240" w:lineRule="auto"/>
        <w:jc w:val="both"/>
        <w:rPr>
          <w:rFonts w:ascii="Verdana" w:eastAsia="Calibri" w:hAnsi="Verdana" w:cs="Times New Roman"/>
        </w:rPr>
      </w:pPr>
    </w:p>
    <w:p w14:paraId="47FF1CEA" w14:textId="77777777" w:rsidR="004A2204" w:rsidRPr="004A2204" w:rsidRDefault="004A2204" w:rsidP="004A2204">
      <w:pPr>
        <w:spacing w:after="0" w:line="240" w:lineRule="auto"/>
        <w:jc w:val="both"/>
        <w:rPr>
          <w:rFonts w:ascii="Verdana" w:eastAsia="Calibri" w:hAnsi="Verdana" w:cs="Times New Roman"/>
        </w:rPr>
      </w:pPr>
    </w:p>
    <w:p w14:paraId="2105156D" w14:textId="77777777" w:rsidR="004A2204" w:rsidRPr="004A2204" w:rsidRDefault="004A2204" w:rsidP="004A2204">
      <w:pPr>
        <w:spacing w:after="0" w:line="240" w:lineRule="auto"/>
        <w:jc w:val="both"/>
        <w:rPr>
          <w:rFonts w:ascii="Verdana" w:eastAsia="Calibri" w:hAnsi="Verdana" w:cs="Times New Roman"/>
        </w:rPr>
      </w:pPr>
    </w:p>
    <w:p w14:paraId="5B13B6F6" w14:textId="77777777" w:rsidR="004A2204" w:rsidRPr="004A2204" w:rsidRDefault="004A2204" w:rsidP="004A2204">
      <w:pPr>
        <w:spacing w:after="0" w:line="240" w:lineRule="auto"/>
        <w:jc w:val="both"/>
        <w:rPr>
          <w:rFonts w:ascii="Verdana" w:eastAsia="Calibri" w:hAnsi="Verdana" w:cs="Times New Roman"/>
        </w:rPr>
      </w:pPr>
    </w:p>
    <w:p w14:paraId="1E5ED655" w14:textId="77777777" w:rsidR="004A2204" w:rsidRPr="004A2204" w:rsidRDefault="004A2204" w:rsidP="004A2204">
      <w:pPr>
        <w:spacing w:after="0" w:line="240" w:lineRule="auto"/>
        <w:jc w:val="both"/>
        <w:rPr>
          <w:rFonts w:ascii="Verdana" w:eastAsia="Calibri" w:hAnsi="Verdana" w:cs="Times New Roman"/>
        </w:rPr>
      </w:pPr>
    </w:p>
    <w:p w14:paraId="375141FD" w14:textId="77777777" w:rsidR="004A2204" w:rsidRPr="004A2204" w:rsidRDefault="004A2204" w:rsidP="004A2204">
      <w:pPr>
        <w:spacing w:after="0" w:line="240" w:lineRule="auto"/>
        <w:jc w:val="both"/>
        <w:rPr>
          <w:rFonts w:ascii="Verdana" w:eastAsia="Calibri" w:hAnsi="Verdana" w:cs="Times New Roman"/>
        </w:rPr>
      </w:pPr>
    </w:p>
    <w:p w14:paraId="435D48D9" w14:textId="77777777" w:rsidR="004A2204" w:rsidRPr="004A2204" w:rsidRDefault="004A2204" w:rsidP="004A2204">
      <w:pPr>
        <w:spacing w:after="0" w:line="240" w:lineRule="auto"/>
        <w:jc w:val="both"/>
        <w:rPr>
          <w:rFonts w:ascii="Verdana" w:eastAsia="Calibri" w:hAnsi="Verdana" w:cs="Times New Roman"/>
        </w:rPr>
      </w:pPr>
    </w:p>
    <w:p w14:paraId="6CC080AD" w14:textId="77777777" w:rsidR="004A2204" w:rsidRPr="004A2204" w:rsidRDefault="004A2204" w:rsidP="004A2204">
      <w:pPr>
        <w:spacing w:after="0" w:line="240" w:lineRule="auto"/>
        <w:jc w:val="both"/>
        <w:rPr>
          <w:rFonts w:ascii="Verdana" w:eastAsia="Calibri" w:hAnsi="Verdana" w:cs="Times New Roman"/>
        </w:rPr>
      </w:pPr>
    </w:p>
    <w:p w14:paraId="30155081" w14:textId="77777777" w:rsidR="004A2204" w:rsidRPr="004A2204" w:rsidRDefault="004A2204" w:rsidP="004A2204">
      <w:pPr>
        <w:spacing w:after="0" w:line="240" w:lineRule="auto"/>
        <w:jc w:val="both"/>
        <w:rPr>
          <w:rFonts w:ascii="Verdana" w:eastAsia="Calibri" w:hAnsi="Verdana" w:cs="Times New Roman"/>
        </w:rPr>
      </w:pPr>
    </w:p>
    <w:p w14:paraId="3CBE2ED1" w14:textId="77777777" w:rsidR="004A2204" w:rsidRPr="004A2204" w:rsidRDefault="004A2204" w:rsidP="004A2204">
      <w:pPr>
        <w:spacing w:after="0" w:line="240" w:lineRule="auto"/>
        <w:jc w:val="both"/>
        <w:rPr>
          <w:rFonts w:ascii="Verdana" w:eastAsia="Calibri" w:hAnsi="Verdana" w:cs="Times New Roman"/>
        </w:rPr>
      </w:pPr>
    </w:p>
    <w:p w14:paraId="6716EC7A" w14:textId="77777777" w:rsidR="004A2204" w:rsidRPr="004A2204" w:rsidRDefault="004A2204" w:rsidP="004A2204">
      <w:pPr>
        <w:spacing w:after="0" w:line="240" w:lineRule="auto"/>
        <w:jc w:val="both"/>
        <w:rPr>
          <w:rFonts w:ascii="Verdana" w:eastAsia="Calibri" w:hAnsi="Verdana" w:cs="Times New Roman"/>
        </w:rPr>
      </w:pPr>
    </w:p>
    <w:p w14:paraId="757AFB61" w14:textId="77777777" w:rsidR="004A2204" w:rsidRPr="004A2204" w:rsidRDefault="004A2204" w:rsidP="004A2204">
      <w:pPr>
        <w:spacing w:after="0" w:line="240" w:lineRule="auto"/>
        <w:jc w:val="both"/>
        <w:rPr>
          <w:rFonts w:ascii="Verdana" w:eastAsia="Calibri" w:hAnsi="Verdana" w:cs="Times New Roman"/>
        </w:rPr>
      </w:pPr>
    </w:p>
    <w:p w14:paraId="0A0AAA22" w14:textId="77777777" w:rsidR="004A2204" w:rsidRPr="004A2204" w:rsidRDefault="004A2204" w:rsidP="004A2204">
      <w:pPr>
        <w:spacing w:after="0" w:line="240" w:lineRule="auto"/>
        <w:jc w:val="both"/>
        <w:rPr>
          <w:rFonts w:ascii="Verdana" w:eastAsia="Calibri" w:hAnsi="Verdana" w:cs="Times New Roman"/>
        </w:rPr>
      </w:pPr>
    </w:p>
    <w:p w14:paraId="562D916C" w14:textId="77777777" w:rsidR="004A2204" w:rsidRPr="004A2204" w:rsidRDefault="004A2204" w:rsidP="004A2204">
      <w:pPr>
        <w:spacing w:after="0" w:line="240" w:lineRule="auto"/>
        <w:jc w:val="both"/>
        <w:rPr>
          <w:rFonts w:ascii="Verdana" w:eastAsia="Calibri" w:hAnsi="Verdana" w:cs="Times New Roman"/>
        </w:rPr>
      </w:pPr>
    </w:p>
    <w:p w14:paraId="2D30C97B" w14:textId="77777777" w:rsidR="004A2204" w:rsidRPr="004A2204" w:rsidRDefault="004A2204" w:rsidP="004A2204">
      <w:pPr>
        <w:spacing w:after="0" w:line="240" w:lineRule="auto"/>
        <w:jc w:val="both"/>
        <w:rPr>
          <w:rFonts w:ascii="Verdana" w:eastAsia="Calibri" w:hAnsi="Verdana" w:cs="Times New Roman"/>
        </w:rPr>
      </w:pPr>
    </w:p>
    <w:p w14:paraId="43AE4714" w14:textId="77777777" w:rsidR="004A2204" w:rsidRPr="004A2204" w:rsidRDefault="004A2204" w:rsidP="004A2204">
      <w:pPr>
        <w:spacing w:after="0" w:line="240" w:lineRule="auto"/>
        <w:jc w:val="both"/>
        <w:rPr>
          <w:rFonts w:ascii="Verdana" w:eastAsia="Calibri" w:hAnsi="Verdana" w:cs="Times New Roman"/>
        </w:rPr>
      </w:pPr>
    </w:p>
    <w:p w14:paraId="0FE9AA7A" w14:textId="77777777" w:rsidR="004A2204" w:rsidRPr="004A2204" w:rsidRDefault="004A2204" w:rsidP="004A2204">
      <w:pPr>
        <w:spacing w:after="0" w:line="240" w:lineRule="auto"/>
        <w:jc w:val="both"/>
        <w:rPr>
          <w:rFonts w:ascii="Verdana" w:eastAsia="Calibri" w:hAnsi="Verdana" w:cs="Times New Roman"/>
        </w:rPr>
      </w:pPr>
    </w:p>
    <w:p w14:paraId="123DC67E" w14:textId="77777777" w:rsidR="004A2204" w:rsidRPr="004A2204" w:rsidRDefault="004A2204" w:rsidP="004A2204">
      <w:pPr>
        <w:spacing w:after="0" w:line="240" w:lineRule="auto"/>
        <w:jc w:val="both"/>
        <w:rPr>
          <w:rFonts w:ascii="Verdana" w:eastAsia="Calibri" w:hAnsi="Verdana" w:cs="Times New Roman"/>
        </w:rPr>
      </w:pPr>
    </w:p>
    <w:p w14:paraId="66F47DC7" w14:textId="77777777" w:rsidR="004A2204" w:rsidRPr="004A2204" w:rsidRDefault="004A2204" w:rsidP="004A2204">
      <w:pPr>
        <w:spacing w:after="0" w:line="240" w:lineRule="auto"/>
        <w:jc w:val="both"/>
        <w:rPr>
          <w:rFonts w:ascii="Verdana" w:eastAsia="Calibri" w:hAnsi="Verdana" w:cs="Times New Roman"/>
        </w:rPr>
      </w:pPr>
    </w:p>
    <w:p w14:paraId="4C8A295D" w14:textId="77777777" w:rsidR="004A2204" w:rsidRPr="004A2204" w:rsidRDefault="004A2204" w:rsidP="004A2204">
      <w:pPr>
        <w:spacing w:after="0" w:line="240" w:lineRule="auto"/>
        <w:jc w:val="both"/>
        <w:rPr>
          <w:rFonts w:ascii="Verdana" w:eastAsia="Calibri" w:hAnsi="Verdana" w:cs="Times New Roman"/>
        </w:rPr>
      </w:pPr>
    </w:p>
    <w:p w14:paraId="6B61A81A" w14:textId="77777777" w:rsidR="004A2204" w:rsidRPr="004A2204" w:rsidRDefault="004A2204" w:rsidP="004A2204">
      <w:pPr>
        <w:spacing w:after="0" w:line="276" w:lineRule="auto"/>
        <w:jc w:val="both"/>
        <w:rPr>
          <w:rFonts w:ascii="Verdana" w:eastAsia="Calibri" w:hAnsi="Verdana" w:cs="Times New Roman"/>
        </w:rPr>
      </w:pPr>
    </w:p>
    <w:p w14:paraId="1C7AED0D" w14:textId="77777777" w:rsidR="004A2204" w:rsidRPr="004A2204" w:rsidRDefault="004A2204" w:rsidP="004A2204">
      <w:pPr>
        <w:spacing w:after="0" w:line="276" w:lineRule="auto"/>
        <w:jc w:val="both"/>
        <w:rPr>
          <w:rFonts w:ascii="Verdana" w:eastAsia="Calibri" w:hAnsi="Verdana" w:cs="Times New Roman"/>
        </w:rPr>
      </w:pPr>
    </w:p>
    <w:p w14:paraId="0E7642F5" w14:textId="603DC879" w:rsidR="004A2204" w:rsidRDefault="00753898" w:rsidP="004A2204">
      <w:pPr>
        <w:spacing w:after="0" w:line="276" w:lineRule="auto"/>
        <w:jc w:val="both"/>
        <w:rPr>
          <w:rFonts w:ascii="Verdana" w:eastAsia="Verdana" w:hAnsi="Verdana" w:cs="Verdana"/>
        </w:rPr>
      </w:pPr>
      <w:r w:rsidRPr="30821638">
        <w:rPr>
          <w:rFonts w:ascii="Verdana" w:eastAsia="Verdana" w:hAnsi="Verdana" w:cs="Verdana"/>
        </w:rPr>
        <w:lastRenderedPageBreak/>
        <w:t xml:space="preserve">Bogotá D.C., </w:t>
      </w:r>
      <w:r w:rsidR="00363167">
        <w:rPr>
          <w:rFonts w:ascii="Verdana" w:eastAsia="Verdana" w:hAnsi="Verdana" w:cs="Verdana"/>
        </w:rPr>
        <w:t>13 Octubre 2026</w:t>
      </w:r>
    </w:p>
    <w:p w14:paraId="69F3781C" w14:textId="34FCF623" w:rsidR="004A2204" w:rsidRPr="004A2204" w:rsidRDefault="00363167" w:rsidP="00363167">
      <w:pPr>
        <w:spacing w:after="0" w:line="276"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677B5A9B" wp14:editId="67A19D50">
            <wp:extent cx="2983214" cy="867844"/>
            <wp:effectExtent l="0" t="0" r="1905" b="0"/>
            <wp:docPr id="3345199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519914" name="Imagen 334519914"/>
                    <pic:cNvPicPr/>
                  </pic:nvPicPr>
                  <pic:blipFill>
                    <a:blip r:embed="rId10">
                      <a:extLst>
                        <a:ext uri="{28A0092B-C50C-407E-A947-70E740481C1C}">
                          <a14:useLocalDpi xmlns:a14="http://schemas.microsoft.com/office/drawing/2010/main" val="0"/>
                        </a:ext>
                      </a:extLst>
                    </a:blip>
                    <a:stretch>
                      <a:fillRect/>
                    </a:stretch>
                  </pic:blipFill>
                  <pic:spPr>
                    <a:xfrm>
                      <a:off x="0" y="0"/>
                      <a:ext cx="2995898" cy="871534"/>
                    </a:xfrm>
                    <a:prstGeom prst="rect">
                      <a:avLst/>
                    </a:prstGeom>
                  </pic:spPr>
                </pic:pic>
              </a:graphicData>
            </a:graphic>
          </wp:inline>
        </w:drawing>
      </w:r>
    </w:p>
    <w:p w14:paraId="3C53B279" w14:textId="77777777" w:rsidR="004A2204" w:rsidRPr="004A2204" w:rsidRDefault="004A2204" w:rsidP="004A2204">
      <w:pPr>
        <w:spacing w:after="0" w:line="240" w:lineRule="auto"/>
        <w:jc w:val="both"/>
        <w:rPr>
          <w:rFonts w:ascii="Verdana" w:eastAsia="Calibri" w:hAnsi="Verdana" w:cs="Arial"/>
          <w:lang w:val="es-ES_tradnl" w:eastAsia="es-ES"/>
        </w:rPr>
      </w:pPr>
      <w:r w:rsidRPr="004A2204">
        <w:rPr>
          <w:rFonts w:ascii="Verdana" w:eastAsia="Calibri" w:hAnsi="Verdana" w:cs="Arial"/>
          <w:lang w:val="es-ES_tradnl" w:eastAsia="es-ES"/>
        </w:rPr>
        <w:t>Señor</w:t>
      </w:r>
    </w:p>
    <w:p w14:paraId="71F29FCD" w14:textId="77777777" w:rsidR="004A2204" w:rsidRPr="004A2204" w:rsidRDefault="004A2204" w:rsidP="004A2204">
      <w:pPr>
        <w:spacing w:after="0" w:line="240" w:lineRule="auto"/>
        <w:rPr>
          <w:rFonts w:ascii="Verdana" w:eastAsia="Calibri" w:hAnsi="Verdana" w:cs="Arial"/>
          <w:b/>
          <w:lang w:val="es-ES_tradnl" w:eastAsia="es-ES_tradnl"/>
        </w:rPr>
      </w:pPr>
      <w:r w:rsidRPr="004A2204">
        <w:rPr>
          <w:rFonts w:ascii="Verdana" w:eastAsia="Calibri" w:hAnsi="Verdana" w:cs="Arial"/>
          <w:b/>
          <w:lang w:val="es-ES_tradnl" w:eastAsia="es-ES_tradnl"/>
        </w:rPr>
        <w:t>Marlon Alain Mosquera Tejada</w:t>
      </w:r>
    </w:p>
    <w:p w14:paraId="03E95F22" w14:textId="77777777" w:rsidR="004A2204" w:rsidRPr="004A2204" w:rsidRDefault="004A2204" w:rsidP="004A2204">
      <w:pPr>
        <w:spacing w:after="0" w:line="240" w:lineRule="auto"/>
        <w:rPr>
          <w:rFonts w:ascii="Verdana" w:eastAsia="Calibri" w:hAnsi="Verdana" w:cs="Arial"/>
          <w:lang w:val="es-ES_tradnl" w:eastAsia="es-ES"/>
        </w:rPr>
      </w:pPr>
      <w:r w:rsidRPr="004A2204">
        <w:rPr>
          <w:rFonts w:ascii="Verdana" w:eastAsia="Calibri" w:hAnsi="Verdana" w:cs="Arial"/>
          <w:lang w:val="es-ES_tradnl" w:eastAsia="es-ES"/>
        </w:rPr>
        <w:t>Florencia, Caquetá</w:t>
      </w:r>
    </w:p>
    <w:p w14:paraId="2AF33EF2" w14:textId="77777777" w:rsidR="004A2204" w:rsidRPr="004A2204" w:rsidRDefault="004A2204" w:rsidP="004A2204">
      <w:pPr>
        <w:spacing w:after="0" w:line="240" w:lineRule="auto"/>
        <w:rPr>
          <w:rFonts w:ascii="Verdana" w:eastAsia="Calibri" w:hAnsi="Verdana" w:cs="Arial"/>
          <w:b/>
          <w:bCs/>
          <w:lang w:val="es-ES_tradnl" w:eastAsia="es-ES_tradnl"/>
        </w:rPr>
      </w:pPr>
    </w:p>
    <w:p w14:paraId="50C2881B" w14:textId="77777777" w:rsidR="004A2204" w:rsidRPr="004A2204" w:rsidRDefault="004A2204" w:rsidP="004A2204">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A2204" w:rsidRPr="004A2204" w14:paraId="3CFC9B8D" w14:textId="77777777" w:rsidTr="00E122B9">
        <w:trPr>
          <w:trHeight w:val="884"/>
        </w:trPr>
        <w:tc>
          <w:tcPr>
            <w:tcW w:w="2689" w:type="dxa"/>
          </w:tcPr>
          <w:p w14:paraId="51EC4481" w14:textId="77777777" w:rsidR="004A2204" w:rsidRPr="004A2204" w:rsidRDefault="004A2204" w:rsidP="004A2204">
            <w:pPr>
              <w:spacing w:before="100" w:beforeAutospacing="1" w:after="100" w:afterAutospacing="1"/>
              <w:jc w:val="both"/>
              <w:rPr>
                <w:rFonts w:ascii="Verdana" w:eastAsia="Calibri" w:hAnsi="Verdana" w:cs="Arial"/>
                <w:b/>
                <w:bCs/>
                <w:lang w:val="es-ES_tradnl" w:eastAsia="es-ES_tradnl"/>
              </w:rPr>
            </w:pPr>
          </w:p>
        </w:tc>
        <w:tc>
          <w:tcPr>
            <w:tcW w:w="6100" w:type="dxa"/>
          </w:tcPr>
          <w:p w14:paraId="700CFAC0" w14:textId="77777777" w:rsidR="004A2204" w:rsidRPr="004A2204" w:rsidRDefault="004A2204" w:rsidP="004A2204">
            <w:pPr>
              <w:spacing w:before="100" w:beforeAutospacing="1" w:after="100" w:afterAutospacing="1"/>
              <w:jc w:val="both"/>
              <w:rPr>
                <w:rFonts w:ascii="Verdana" w:eastAsia="Calibri" w:hAnsi="Verdana" w:cs="Arial"/>
                <w:b/>
                <w:bCs/>
                <w:lang w:val="es-ES_tradnl" w:eastAsia="es-ES"/>
              </w:rPr>
            </w:pPr>
            <w:r w:rsidRPr="004A2204">
              <w:rPr>
                <w:rFonts w:ascii="Verdana" w:eastAsia="Calibri" w:hAnsi="Verdana" w:cs="Arial"/>
                <w:b/>
                <w:bCs/>
                <w:lang w:val="es-ES_tradnl" w:eastAsia="es-ES"/>
              </w:rPr>
              <w:t>Concepto C – 1409 de 2026</w:t>
            </w:r>
          </w:p>
        </w:tc>
      </w:tr>
      <w:tr w:rsidR="004A2204" w:rsidRPr="004A2204" w14:paraId="25A43AD1" w14:textId="77777777" w:rsidTr="00E122B9">
        <w:trPr>
          <w:trHeight w:val="884"/>
        </w:trPr>
        <w:tc>
          <w:tcPr>
            <w:tcW w:w="2689" w:type="dxa"/>
          </w:tcPr>
          <w:p w14:paraId="41E8372E" w14:textId="77777777" w:rsidR="004A2204" w:rsidRPr="004A2204" w:rsidRDefault="004A2204" w:rsidP="004A2204">
            <w:pPr>
              <w:spacing w:before="100" w:beforeAutospacing="1" w:after="100" w:afterAutospacing="1"/>
              <w:jc w:val="both"/>
              <w:rPr>
                <w:rFonts w:ascii="Verdana" w:eastAsia="Calibri" w:hAnsi="Verdana" w:cs="Arial"/>
                <w:lang w:val="es-ES_tradnl" w:eastAsia="es-ES_tradnl"/>
              </w:rPr>
            </w:pPr>
            <w:r w:rsidRPr="004A2204">
              <w:rPr>
                <w:rFonts w:ascii="Verdana" w:eastAsia="Calibri" w:hAnsi="Verdana" w:cs="Arial"/>
                <w:b/>
                <w:lang w:val="es-ES_tradnl" w:eastAsia="es-ES_tradnl"/>
              </w:rPr>
              <w:t>Temas:</w:t>
            </w:r>
            <w:r w:rsidRPr="004A2204">
              <w:rPr>
                <w:rFonts w:ascii="Verdana" w:eastAsia="Calibri" w:hAnsi="Verdana" w:cs="Arial"/>
                <w:lang w:val="es-ES_tradnl" w:eastAsia="es-ES_tradnl"/>
              </w:rPr>
              <w:t xml:space="preserve">                   </w:t>
            </w:r>
          </w:p>
        </w:tc>
        <w:tc>
          <w:tcPr>
            <w:tcW w:w="6100" w:type="dxa"/>
          </w:tcPr>
          <w:p w14:paraId="0499BA14" w14:textId="0B079EC7" w:rsidR="004A2204" w:rsidRPr="004A2204" w:rsidRDefault="004A2204" w:rsidP="004A2204">
            <w:pPr>
              <w:spacing w:line="276" w:lineRule="auto"/>
              <w:jc w:val="both"/>
              <w:rPr>
                <w:rFonts w:ascii="Verdana" w:eastAsia="Calibri" w:hAnsi="Verdana" w:cs="Arial"/>
                <w:lang w:val="es-ES_tradnl" w:eastAsia="es-ES"/>
              </w:rPr>
            </w:pPr>
            <w:r w:rsidRPr="004A2204">
              <w:rPr>
                <w:rFonts w:ascii="Verdana" w:eastAsia="Calibri" w:hAnsi="Verdana" w:cs="Arial"/>
                <w:lang w:val="es-ES" w:eastAsia="es-ES"/>
              </w:rPr>
              <w:t>CAPACIDAD RESIDUAL – Definición</w:t>
            </w:r>
            <w:r w:rsidR="008B36C6">
              <w:rPr>
                <w:rFonts w:ascii="Verdana" w:eastAsia="Calibri" w:hAnsi="Verdana" w:cs="Arial"/>
                <w:lang w:val="es-ES" w:eastAsia="es-ES"/>
              </w:rPr>
              <w:t xml:space="preserve"> </w:t>
            </w:r>
            <w:r w:rsidRPr="004A2204">
              <w:rPr>
                <w:rFonts w:ascii="Verdana" w:eastAsia="Calibri" w:hAnsi="Verdana" w:cs="Arial"/>
                <w:lang w:val="es-ES" w:eastAsia="es-ES"/>
              </w:rPr>
              <w:t xml:space="preserve">/ </w:t>
            </w:r>
            <w:r w:rsidRPr="004A2204">
              <w:rPr>
                <w:rFonts w:ascii="Verdana" w:eastAsia="Calibri" w:hAnsi="Verdana" w:cs="Arial"/>
                <w:lang w:eastAsia="es-MX"/>
              </w:rPr>
              <w:t>CAPACIDAD RESIDUAL – Factores /</w:t>
            </w:r>
            <w:r w:rsidRPr="004A2204">
              <w:rPr>
                <w:rFonts w:ascii="Verdana" w:eastAsia="Calibri" w:hAnsi="Verdana" w:cs="Arial"/>
                <w:lang w:val="es-ES_tradnl" w:eastAsia="es-ES"/>
              </w:rPr>
              <w:t xml:space="preserve"> CAPACIDAD TÉCNICA – Capacidad Residual del Proponente – Guía para Determinar y Verificar la Capacidad Residual del Proponente en los Procesos de Contratación de Obra Pública – Socios y profesionales en arquitectura, ingeniería y geología</w:t>
            </w:r>
          </w:p>
          <w:p w14:paraId="188446FE" w14:textId="77777777" w:rsidR="004A2204" w:rsidRPr="004A2204" w:rsidRDefault="004A2204" w:rsidP="004A2204">
            <w:pPr>
              <w:spacing w:line="276" w:lineRule="auto"/>
              <w:jc w:val="both"/>
              <w:rPr>
                <w:rFonts w:ascii="Verdana" w:eastAsia="Calibri" w:hAnsi="Verdana" w:cs="Times New Roman"/>
              </w:rPr>
            </w:pPr>
          </w:p>
        </w:tc>
      </w:tr>
      <w:tr w:rsidR="004A2204" w:rsidRPr="004A2204" w14:paraId="69921CE2" w14:textId="77777777" w:rsidTr="00E122B9">
        <w:tc>
          <w:tcPr>
            <w:tcW w:w="2689" w:type="dxa"/>
          </w:tcPr>
          <w:p w14:paraId="287134C6" w14:textId="77777777" w:rsidR="004A2204" w:rsidRPr="004A2204" w:rsidRDefault="004A2204" w:rsidP="004A2204">
            <w:pPr>
              <w:spacing w:before="100" w:beforeAutospacing="1" w:after="100" w:afterAutospacing="1"/>
              <w:jc w:val="both"/>
              <w:rPr>
                <w:rFonts w:ascii="Verdana" w:eastAsia="Calibri" w:hAnsi="Verdana" w:cs="Arial"/>
                <w:b/>
                <w:lang w:val="es-ES_tradnl" w:eastAsia="es-ES_tradnl"/>
              </w:rPr>
            </w:pPr>
            <w:r w:rsidRPr="004A2204">
              <w:rPr>
                <w:rFonts w:ascii="Verdana" w:eastAsia="Calibri" w:hAnsi="Verdana" w:cs="Arial"/>
                <w:b/>
                <w:lang w:val="es-ES_tradnl" w:eastAsia="es-ES_tradnl"/>
              </w:rPr>
              <w:t>Radicación:</w:t>
            </w:r>
            <w:r w:rsidRPr="004A2204">
              <w:rPr>
                <w:rFonts w:ascii="Verdana" w:eastAsia="Calibri" w:hAnsi="Verdana" w:cs="Arial"/>
                <w:lang w:val="es-ES_tradnl" w:eastAsia="es-ES_tradnl"/>
              </w:rPr>
              <w:t xml:space="preserve">               </w:t>
            </w:r>
          </w:p>
        </w:tc>
        <w:tc>
          <w:tcPr>
            <w:tcW w:w="6100" w:type="dxa"/>
          </w:tcPr>
          <w:p w14:paraId="1A026966" w14:textId="77777777" w:rsidR="004A2204" w:rsidRPr="004A2204" w:rsidRDefault="004A2204" w:rsidP="004A2204">
            <w:pPr>
              <w:spacing w:before="100" w:beforeAutospacing="1" w:after="100" w:afterAutospacing="1" w:line="276" w:lineRule="auto"/>
              <w:jc w:val="both"/>
              <w:rPr>
                <w:rFonts w:ascii="Verdana" w:eastAsia="Calibri" w:hAnsi="Verdana" w:cs="Arial"/>
                <w:lang w:val="es-ES_tradnl" w:eastAsia="es-ES_tradnl"/>
              </w:rPr>
            </w:pPr>
            <w:r w:rsidRPr="004A2204">
              <w:rPr>
                <w:rFonts w:ascii="Verdana" w:eastAsia="Calibri" w:hAnsi="Verdana" w:cs="Arial"/>
                <w:lang w:val="es-ES_tradnl" w:eastAsia="es-ES_tradnl"/>
              </w:rPr>
              <w:t>Respuesta a consulta con radicado No. 1_2026_09_08_011897</w:t>
            </w:r>
          </w:p>
        </w:tc>
      </w:tr>
    </w:tbl>
    <w:p w14:paraId="256AF819" w14:textId="77777777" w:rsidR="004A2204" w:rsidRPr="004A2204" w:rsidRDefault="004A2204" w:rsidP="004A2204">
      <w:pPr>
        <w:spacing w:after="0" w:line="240" w:lineRule="auto"/>
        <w:jc w:val="both"/>
        <w:rPr>
          <w:rFonts w:ascii="Verdana" w:eastAsia="Calibri" w:hAnsi="Verdana" w:cs="Arial"/>
          <w:lang w:val="es-ES_tradnl" w:eastAsia="es-ES_tradnl"/>
        </w:rPr>
      </w:pPr>
    </w:p>
    <w:p w14:paraId="13BCA370" w14:textId="77777777" w:rsidR="004A2204" w:rsidRPr="004A2204" w:rsidRDefault="004A2204" w:rsidP="004A2204">
      <w:pPr>
        <w:spacing w:after="0" w:line="240" w:lineRule="auto"/>
        <w:jc w:val="both"/>
        <w:rPr>
          <w:rFonts w:ascii="Verdana" w:eastAsia="Calibri" w:hAnsi="Verdana" w:cs="Arial"/>
          <w:lang w:val="es-ES_tradnl" w:eastAsia="es-ES_tradnl"/>
        </w:rPr>
      </w:pPr>
    </w:p>
    <w:p w14:paraId="46D6B6AF" w14:textId="77777777" w:rsidR="004A2204" w:rsidRPr="004A2204" w:rsidRDefault="004A2204" w:rsidP="004A2204">
      <w:pPr>
        <w:spacing w:after="0" w:line="276" w:lineRule="auto"/>
        <w:jc w:val="both"/>
        <w:rPr>
          <w:rFonts w:ascii="Verdana" w:eastAsia="Calibri" w:hAnsi="Verdana" w:cs="Arial"/>
          <w:lang w:val="es-ES_tradnl" w:eastAsia="es-ES"/>
        </w:rPr>
      </w:pPr>
      <w:r w:rsidRPr="004A2204">
        <w:rPr>
          <w:rFonts w:ascii="Verdana" w:eastAsia="Calibri" w:hAnsi="Verdana" w:cs="Arial"/>
          <w:lang w:val="es-ES_tradnl" w:eastAsia="es-ES"/>
        </w:rPr>
        <w:t xml:space="preserve">Estimado señor Mosquera Tejada: </w:t>
      </w:r>
    </w:p>
    <w:p w14:paraId="362B3DDA" w14:textId="77777777" w:rsidR="004A2204" w:rsidRPr="004A2204" w:rsidRDefault="004A2204" w:rsidP="004A2204">
      <w:pPr>
        <w:tabs>
          <w:tab w:val="left" w:pos="3768"/>
        </w:tabs>
        <w:spacing w:after="0" w:line="276" w:lineRule="auto"/>
        <w:jc w:val="both"/>
        <w:rPr>
          <w:rFonts w:ascii="Verdana" w:eastAsia="Calibri" w:hAnsi="Verdana" w:cs="Arial"/>
          <w:lang w:val="es-ES_tradnl" w:eastAsia="es-ES"/>
        </w:rPr>
      </w:pPr>
      <w:r w:rsidRPr="004A2204">
        <w:rPr>
          <w:rFonts w:ascii="Verdana" w:eastAsia="Calibri" w:hAnsi="Verdana" w:cs="Arial"/>
          <w:lang w:val="es-ES_tradnl" w:eastAsia="es-ES"/>
        </w:rPr>
        <w:tab/>
      </w:r>
    </w:p>
    <w:p w14:paraId="33F0ABB6" w14:textId="77777777" w:rsidR="004A2204" w:rsidRPr="004A2204" w:rsidRDefault="004A2204" w:rsidP="004A2204">
      <w:pPr>
        <w:snapToGrid w:val="0"/>
        <w:spacing w:after="0" w:line="276" w:lineRule="auto"/>
        <w:jc w:val="both"/>
        <w:rPr>
          <w:rFonts w:ascii="Verdana" w:eastAsia="Calibri" w:hAnsi="Verdana" w:cs="Arial"/>
          <w:lang w:val="es-ES_tradnl" w:eastAsia="es-ES"/>
        </w:rPr>
      </w:pPr>
      <w:r w:rsidRPr="004A2204">
        <w:rPr>
          <w:rFonts w:ascii="Verdana" w:eastAsia="Calibri" w:hAnsi="Verdana" w:cs="Arial"/>
          <w:lang w:val="es-ES_tradnl" w:eastAsia="es-ES"/>
        </w:rPr>
        <w:t>En ejercicio de la competencia otorgada por los artículos 3, numeral 5º, y 11, numeral 8º, del Decreto Ley 4170 de 2011,</w:t>
      </w:r>
      <w:r w:rsidRPr="004A2204">
        <w:rPr>
          <w:rFonts w:ascii="Verdana" w:eastAsia="Arial MT" w:hAnsi="Verdana" w:cs="Arial MT"/>
          <w:lang w:val="es-ES_tradnl" w:eastAsia="es-ES"/>
        </w:rPr>
        <w:t xml:space="preserve"> </w:t>
      </w:r>
      <w:r w:rsidRPr="004A2204">
        <w:rPr>
          <w:rFonts w:ascii="Verdana" w:eastAsia="Calibri" w:hAnsi="Verdana" w:cs="Arial"/>
          <w:lang w:val="es-ES_tradnl"/>
        </w:rPr>
        <w:t xml:space="preserve">así como lo establecido en la Resolución No. 469 del 2025 expedida por esta Entidad, </w:t>
      </w:r>
      <w:r w:rsidRPr="004A2204">
        <w:rPr>
          <w:rFonts w:ascii="Verdana" w:eastAsia="Calibri" w:hAnsi="Verdana" w:cs="Arial"/>
          <w:lang w:val="es-ES_tradnl" w:eastAsia="es-ES"/>
        </w:rPr>
        <w:t>la Agencia Nacional de Contratación Pública –Colombia Compra Eficiente– responde su solicitud de consulta de fecha 8 de septiembre de 2026, en la cual manifiesta lo siguiente:</w:t>
      </w:r>
    </w:p>
    <w:p w14:paraId="32F844F4" w14:textId="77777777" w:rsidR="004A2204" w:rsidRPr="004A2204" w:rsidRDefault="004A2204" w:rsidP="004A2204">
      <w:pPr>
        <w:tabs>
          <w:tab w:val="left" w:pos="142"/>
          <w:tab w:val="left" w:pos="284"/>
        </w:tabs>
        <w:snapToGrid w:val="0"/>
        <w:spacing w:after="0" w:line="240" w:lineRule="auto"/>
        <w:jc w:val="both"/>
        <w:rPr>
          <w:rFonts w:ascii="Verdana" w:eastAsia="Century Gothic" w:hAnsi="Verdana" w:cs="Century Gothic"/>
          <w:b/>
          <w:bCs/>
          <w:lang w:val="es-ES_tradnl"/>
        </w:rPr>
      </w:pPr>
    </w:p>
    <w:p w14:paraId="797A0454" w14:textId="77777777" w:rsidR="004A2204" w:rsidRPr="004A2204" w:rsidRDefault="004A2204" w:rsidP="004A2204">
      <w:pPr>
        <w:snapToGrid w:val="0"/>
        <w:spacing w:after="0" w:line="240" w:lineRule="auto"/>
        <w:ind w:left="720" w:right="709"/>
        <w:jc w:val="both"/>
        <w:rPr>
          <w:rFonts w:ascii="Verdana" w:eastAsia="Century Gothic" w:hAnsi="Verdana" w:cs="Century Gothic"/>
          <w:sz w:val="21"/>
          <w:szCs w:val="21"/>
          <w:lang w:val="es-ES"/>
        </w:rPr>
      </w:pPr>
      <w:r w:rsidRPr="004A2204">
        <w:rPr>
          <w:rFonts w:ascii="Verdana" w:eastAsia="Century Gothic" w:hAnsi="Verdana" w:cs="Century Gothic"/>
          <w:sz w:val="21"/>
          <w:szCs w:val="21"/>
          <w:lang w:val="es-ES"/>
        </w:rPr>
        <w:t xml:space="preserve">“En el diligenciamiento del formato de capacidad técnica de la capacidad residual; Se debe relacionar los socios y/o accionistas que las empresas que NO TIENEN VINCULO LABORAL O CONTRACTUAL, o solo por ser socio hacen parte de la capacidad técnica y deben </w:t>
      </w:r>
      <w:proofErr w:type="gramStart"/>
      <w:r w:rsidRPr="004A2204">
        <w:rPr>
          <w:rFonts w:ascii="Verdana" w:eastAsia="Century Gothic" w:hAnsi="Verdana" w:cs="Century Gothic"/>
          <w:sz w:val="21"/>
          <w:szCs w:val="21"/>
          <w:lang w:val="es-ES"/>
        </w:rPr>
        <w:t>relacionarse ?</w:t>
      </w:r>
      <w:proofErr w:type="gramEnd"/>
      <w:r w:rsidRPr="004A2204">
        <w:rPr>
          <w:rFonts w:ascii="Verdana" w:eastAsia="Century Gothic" w:hAnsi="Verdana" w:cs="Century Gothic"/>
          <w:sz w:val="21"/>
          <w:szCs w:val="21"/>
          <w:lang w:val="es-ES"/>
        </w:rPr>
        <w:t>”</w:t>
      </w:r>
    </w:p>
    <w:p w14:paraId="5904F37D" w14:textId="77777777" w:rsidR="004A2204" w:rsidRPr="004A2204" w:rsidRDefault="004A2204" w:rsidP="004A2204">
      <w:pPr>
        <w:tabs>
          <w:tab w:val="left" w:pos="142"/>
          <w:tab w:val="left" w:pos="284"/>
        </w:tabs>
        <w:spacing w:line="276" w:lineRule="auto"/>
        <w:contextualSpacing/>
        <w:jc w:val="both"/>
        <w:rPr>
          <w:rFonts w:ascii="Verdana" w:eastAsia="Century Gothic" w:hAnsi="Verdana" w:cs="Century Gothic"/>
          <w:b/>
          <w:bCs/>
          <w:lang w:val="es-ES_tradnl"/>
        </w:rPr>
      </w:pPr>
    </w:p>
    <w:p w14:paraId="2DFDEEAF" w14:textId="77777777" w:rsidR="004A2204" w:rsidRPr="004A2204" w:rsidRDefault="004A2204" w:rsidP="004A2204">
      <w:pPr>
        <w:spacing w:after="120" w:line="276" w:lineRule="auto"/>
        <w:ind w:firstLine="709"/>
        <w:jc w:val="both"/>
        <w:rPr>
          <w:rFonts w:ascii="Verdana" w:eastAsia="Calibri" w:hAnsi="Verdana" w:cs="Arial"/>
          <w:lang w:val="es-ES" w:eastAsia="es-ES"/>
        </w:rPr>
      </w:pPr>
      <w:r w:rsidRPr="004A220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A2204">
        <w:rPr>
          <w:rFonts w:ascii="Calibri" w:eastAsia="Calibri" w:hAnsi="Calibri" w:cs="Times New Roman"/>
        </w:rPr>
        <w:tab/>
      </w:r>
    </w:p>
    <w:p w14:paraId="01BA751D" w14:textId="77777777" w:rsidR="004A2204" w:rsidRPr="004A2204" w:rsidRDefault="004A2204" w:rsidP="004A2204">
      <w:pPr>
        <w:snapToGrid w:val="0"/>
        <w:spacing w:after="0" w:line="276" w:lineRule="auto"/>
        <w:ind w:firstLine="709"/>
        <w:jc w:val="both"/>
        <w:rPr>
          <w:rFonts w:ascii="Verdana" w:eastAsia="Calibri" w:hAnsi="Verdana" w:cs="Arial"/>
          <w:lang w:val="es-ES_tradnl" w:eastAsia="es-ES"/>
        </w:rPr>
      </w:pPr>
      <w:r w:rsidRPr="004A2204">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92B7C3A" w14:textId="77777777" w:rsidR="004A2204" w:rsidRPr="004A2204" w:rsidRDefault="004A2204" w:rsidP="004A2204">
      <w:pPr>
        <w:snapToGrid w:val="0"/>
        <w:spacing w:after="0" w:line="276" w:lineRule="auto"/>
        <w:ind w:firstLine="709"/>
        <w:jc w:val="both"/>
        <w:rPr>
          <w:rFonts w:ascii="Verdana" w:eastAsia="Calibri" w:hAnsi="Verdana" w:cs="Arial"/>
          <w:lang w:val="es-ES_tradnl" w:eastAsia="es-ES"/>
        </w:rPr>
      </w:pPr>
    </w:p>
    <w:p w14:paraId="44499ABC" w14:textId="77777777" w:rsidR="004A2204" w:rsidRPr="004A2204" w:rsidRDefault="004A2204" w:rsidP="004A22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A2204">
        <w:rPr>
          <w:rFonts w:ascii="Verdana" w:eastAsia="Century Gothic" w:hAnsi="Verdana" w:cs="Century Gothic"/>
          <w:b/>
          <w:bCs/>
          <w:lang w:val="es-ES_tradnl"/>
        </w:rPr>
        <w:t>Problema planteado:</w:t>
      </w:r>
    </w:p>
    <w:p w14:paraId="56C1EAB9" w14:textId="77777777" w:rsidR="004A2204" w:rsidRPr="004A2204" w:rsidRDefault="004A2204" w:rsidP="004A2204">
      <w:pPr>
        <w:tabs>
          <w:tab w:val="left" w:pos="426"/>
        </w:tabs>
        <w:snapToGrid w:val="0"/>
        <w:spacing w:after="0" w:line="276" w:lineRule="auto"/>
        <w:jc w:val="both"/>
        <w:rPr>
          <w:rFonts w:ascii="Verdana" w:eastAsia="Century Gothic" w:hAnsi="Verdana" w:cs="Century Gothic"/>
          <w:lang w:val="es-ES_tradnl"/>
        </w:rPr>
      </w:pPr>
    </w:p>
    <w:p w14:paraId="68569F89" w14:textId="77777777" w:rsidR="004A2204" w:rsidRPr="004A2204" w:rsidRDefault="004A2204" w:rsidP="004A2204">
      <w:pPr>
        <w:snapToGrid w:val="0"/>
        <w:spacing w:after="0" w:line="276" w:lineRule="auto"/>
        <w:jc w:val="both"/>
        <w:rPr>
          <w:rFonts w:ascii="Verdana" w:eastAsia="Century Gothic" w:hAnsi="Verdana" w:cs="Century Gothic"/>
          <w:lang w:val="es-ES"/>
        </w:rPr>
      </w:pPr>
      <w:r w:rsidRPr="004A2204">
        <w:rPr>
          <w:rFonts w:ascii="Verdana" w:eastAsia="Century Gothic" w:hAnsi="Verdana" w:cs="Century Gothic"/>
          <w:lang w:val="es-ES"/>
        </w:rPr>
        <w:t>De acuerdo con el contenido de su solicitud, esta Agencia resolverá el siguiente problema jurídico sobre documentos tipo: ¿cuál es la condición que deben tener los socios y profesionales en arquitectura, ingeniería y geología, en el marco de la Capacidad Técnica –CT– para el cálculo de la Capacidad Residual del Proponente en procesos de contratación?</w:t>
      </w:r>
    </w:p>
    <w:p w14:paraId="5E332CED" w14:textId="77777777" w:rsidR="004A2204" w:rsidRPr="004A2204" w:rsidRDefault="004A2204" w:rsidP="004A2204">
      <w:pPr>
        <w:snapToGrid w:val="0"/>
        <w:spacing w:after="0" w:line="276" w:lineRule="auto"/>
        <w:jc w:val="both"/>
        <w:rPr>
          <w:rFonts w:ascii="Verdana" w:eastAsia="Calibri" w:hAnsi="Verdana" w:cs="Arial"/>
          <w:lang w:val="es-ES_tradnl"/>
        </w:rPr>
      </w:pPr>
    </w:p>
    <w:p w14:paraId="6C4F57FC" w14:textId="77777777" w:rsidR="004A2204" w:rsidRPr="004A2204" w:rsidRDefault="004A2204" w:rsidP="004A22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A2204">
        <w:rPr>
          <w:rFonts w:ascii="Verdana" w:eastAsia="Century Gothic" w:hAnsi="Verdana" w:cs="Century Gothic"/>
          <w:b/>
          <w:bCs/>
          <w:lang w:val="es-ES_tradnl"/>
        </w:rPr>
        <w:t>Respuesta:</w:t>
      </w:r>
    </w:p>
    <w:p w14:paraId="3AEF6139" w14:textId="77777777" w:rsidR="004A2204" w:rsidRPr="004A2204" w:rsidRDefault="004A2204" w:rsidP="004A2204">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2204" w:rsidRPr="004A2204" w14:paraId="6C5042AD" w14:textId="77777777" w:rsidTr="00E122B9">
        <w:tc>
          <w:tcPr>
            <w:tcW w:w="8828" w:type="dxa"/>
          </w:tcPr>
          <w:p w14:paraId="0C719928" w14:textId="77777777" w:rsidR="004A2204" w:rsidRPr="004A2204" w:rsidRDefault="004A2204" w:rsidP="004A2204">
            <w:pPr>
              <w:snapToGrid w:val="0"/>
              <w:spacing w:after="120" w:line="276" w:lineRule="auto"/>
              <w:jc w:val="both"/>
              <w:rPr>
                <w:rFonts w:ascii="Verdana" w:eastAsia="Aptos" w:hAnsi="Verdana" w:cs="Times New Roman"/>
                <w:color w:val="000000"/>
              </w:rPr>
            </w:pPr>
            <w:r w:rsidRPr="004A2204">
              <w:rPr>
                <w:rFonts w:ascii="Verdana" w:eastAsia="Aptos" w:hAnsi="Verdana" w:cs="Times New Roman"/>
                <w:color w:val="000000"/>
              </w:rPr>
              <w:t>Con fundamento en el artículo 2.2.1.1.1.6.4 del Decreto 1082 de 2015, la Agencia Nacional de Contratación Pública – Colombia Compra Eficiente expidió la “GUÍA PARA DETERMINAR Y VERIFICAR LA CAPACIDAD RESIDUAL DEL PROPONENTE EN LOS PROCESOS DE CONTRATACIÓN DE OBRA PÚBLICA”</w:t>
            </w:r>
            <w:r w:rsidRPr="004A2204">
              <w:rPr>
                <w:rFonts w:ascii="Verdana" w:eastAsia="Aptos" w:hAnsi="Verdana" w:cs="Times New Roman"/>
                <w:color w:val="000000"/>
                <w:vertAlign w:val="superscript"/>
              </w:rPr>
              <w:footnoteReference w:id="1"/>
            </w:r>
            <w:r w:rsidRPr="004A2204">
              <w:rPr>
                <w:rFonts w:ascii="Verdana" w:eastAsia="Aptos" w:hAnsi="Verdana" w:cs="Times New Roman"/>
                <w:color w:val="000000"/>
              </w:rPr>
              <w:t xml:space="preserve">, en </w:t>
            </w:r>
            <w:r w:rsidRPr="004A2204">
              <w:rPr>
                <w:rFonts w:ascii="Verdana" w:eastAsia="Aptos" w:hAnsi="Verdana" w:cs="Times New Roman"/>
                <w:color w:val="000000"/>
              </w:rPr>
              <w:lastRenderedPageBreak/>
              <w:t xml:space="preserve">la que estableció la metodología para el cálculo de la capacidad residual, la cual resulta de obligatoria observancia tanto para entidades como oferentes en los Procesos de Contratación de obra pública. </w:t>
            </w:r>
          </w:p>
          <w:p w14:paraId="7D0D5803" w14:textId="77777777" w:rsidR="004A2204" w:rsidRPr="004A2204" w:rsidRDefault="004A2204" w:rsidP="004A2204">
            <w:pPr>
              <w:snapToGrid w:val="0"/>
              <w:spacing w:line="276" w:lineRule="auto"/>
              <w:ind w:firstLine="709"/>
              <w:jc w:val="both"/>
              <w:rPr>
                <w:rFonts w:ascii="Verdana" w:eastAsia="Calibri" w:hAnsi="Verdana" w:cs="Times New Roman"/>
                <w:lang w:val="es-ES"/>
              </w:rPr>
            </w:pPr>
            <w:r w:rsidRPr="004A2204">
              <w:rPr>
                <w:rFonts w:ascii="Verdana" w:eastAsia="Aptos" w:hAnsi="Verdana" w:cs="Times New Roman"/>
                <w:color w:val="000000"/>
              </w:rPr>
              <w:t>Respecto a los documentos con los cuales los proponentes acreditan su Capacidad Residual o K de Contratación, la Guía en mención desarrolla de forma más específica cada uno de ellos, l</w:t>
            </w:r>
            <w:r w:rsidRPr="004A2204">
              <w:rPr>
                <w:rFonts w:ascii="Verdana" w:eastAsia="Calibri" w:hAnsi="Verdana" w:cs="Times New Roman"/>
              </w:rPr>
              <w:t>o cual se traduce en la aplicación de la siguiente fórmula:</w:t>
            </w:r>
          </w:p>
          <w:p w14:paraId="03F66C0C" w14:textId="77777777" w:rsidR="004A2204" w:rsidRPr="004A2204" w:rsidRDefault="004A2204" w:rsidP="004A2204">
            <w:pPr>
              <w:jc w:val="both"/>
              <w:rPr>
                <w:rFonts w:ascii="Verdana" w:eastAsia="Calibri" w:hAnsi="Verdana" w:cs="Times New Roman"/>
              </w:rPr>
            </w:pPr>
            <w:r w:rsidRPr="004A2204">
              <w:rPr>
                <w:rFonts w:ascii="Verdana" w:eastAsia="Calibri" w:hAnsi="Verdana" w:cs="Times New Roman"/>
              </w:rPr>
              <w:t xml:space="preserve">  </w:t>
            </w:r>
          </w:p>
          <w:p w14:paraId="1F9BACB4" w14:textId="77777777" w:rsidR="004A2204" w:rsidRPr="004A2204" w:rsidRDefault="004A2204" w:rsidP="004A2204">
            <w:pPr>
              <w:jc w:val="center"/>
              <w:rPr>
                <w:rFonts w:ascii="Verdana" w:eastAsia="Calibri" w:hAnsi="Verdana" w:cs="Times New Roman"/>
              </w:rPr>
            </w:pPr>
            <w:r w:rsidRPr="004A2204">
              <w:rPr>
                <w:rFonts w:ascii="Cambria Math" w:eastAsia="Calibri" w:hAnsi="Cambria Math" w:cs="Cambria Math"/>
              </w:rPr>
              <w:t>𝑪𝒂𝒑𝒂𝒄𝒊𝒅𝒂𝒅</w:t>
            </w:r>
            <w:r w:rsidRPr="004A2204">
              <w:rPr>
                <w:rFonts w:ascii="Verdana" w:eastAsia="Calibri" w:hAnsi="Verdana" w:cs="Times New Roman"/>
              </w:rPr>
              <w:t xml:space="preserve"> </w:t>
            </w:r>
            <w:r w:rsidRPr="004A2204">
              <w:rPr>
                <w:rFonts w:ascii="Cambria Math" w:eastAsia="Calibri" w:hAnsi="Cambria Math" w:cs="Cambria Math"/>
              </w:rPr>
              <w:t>𝑹𝒆𝒔𝒊𝒅𝒖𝒂𝒍</w:t>
            </w:r>
            <w:r w:rsidRPr="004A2204">
              <w:rPr>
                <w:rFonts w:ascii="Verdana" w:eastAsia="Calibri" w:hAnsi="Verdana" w:cs="Times New Roman"/>
              </w:rPr>
              <w:t xml:space="preserve"> </w:t>
            </w:r>
            <w:r w:rsidRPr="004A2204">
              <w:rPr>
                <w:rFonts w:ascii="Cambria Math" w:eastAsia="Calibri" w:hAnsi="Cambria Math" w:cs="Cambria Math"/>
              </w:rPr>
              <w:t>𝒅𝒆𝒍</w:t>
            </w:r>
            <w:r w:rsidRPr="004A2204">
              <w:rPr>
                <w:rFonts w:ascii="Verdana" w:eastAsia="Calibri" w:hAnsi="Verdana" w:cs="Times New Roman"/>
              </w:rPr>
              <w:t xml:space="preserve"> </w:t>
            </w:r>
            <w:r w:rsidRPr="004A2204">
              <w:rPr>
                <w:rFonts w:ascii="Cambria Math" w:eastAsia="Calibri" w:hAnsi="Cambria Math" w:cs="Cambria Math"/>
              </w:rPr>
              <w:t>𝑷𝒓𝒐𝒑𝒐𝒏𝒆𝒏𝒕𝒆</w:t>
            </w:r>
            <w:r w:rsidRPr="004A2204">
              <w:rPr>
                <w:rFonts w:ascii="Verdana" w:eastAsia="Calibri" w:hAnsi="Verdana" w:cs="Times New Roman"/>
              </w:rPr>
              <w:t xml:space="preserve"> = </w:t>
            </w:r>
            <w:r w:rsidRPr="004A2204">
              <w:rPr>
                <w:rFonts w:ascii="Cambria Math" w:eastAsia="Calibri" w:hAnsi="Cambria Math" w:cs="Cambria Math"/>
              </w:rPr>
              <w:t>𝐶𝑂</w:t>
            </w:r>
            <w:r w:rsidRPr="004A2204">
              <w:rPr>
                <w:rFonts w:ascii="Verdana" w:eastAsia="Calibri" w:hAnsi="Verdana" w:cs="Times New Roman"/>
              </w:rPr>
              <w:t xml:space="preserve"> </w:t>
            </w:r>
            <w:r w:rsidRPr="004A2204">
              <w:rPr>
                <w:rFonts w:ascii="Cambria Math" w:eastAsia="Calibri" w:hAnsi="Cambria Math" w:cs="Cambria Math"/>
              </w:rPr>
              <w:t>∗</w:t>
            </w:r>
            <w:r w:rsidRPr="004A2204">
              <w:rPr>
                <w:rFonts w:ascii="Verdana" w:eastAsia="Calibri" w:hAnsi="Verdana" w:cs="Times New Roman"/>
              </w:rPr>
              <w:t>(</w:t>
            </w:r>
            <w:r w:rsidRPr="004A2204">
              <w:rPr>
                <w:rFonts w:ascii="Cambria Math" w:eastAsia="Calibri" w:hAnsi="Cambria Math" w:cs="Cambria Math"/>
              </w:rPr>
              <w:t>𝐸</w:t>
            </w:r>
            <w:r w:rsidRPr="004A2204">
              <w:rPr>
                <w:rFonts w:ascii="Verdana" w:eastAsia="Calibri" w:hAnsi="Verdana" w:cs="Times New Roman"/>
              </w:rPr>
              <w:t>+</w:t>
            </w:r>
            <w:r w:rsidRPr="004A2204">
              <w:rPr>
                <w:rFonts w:ascii="Cambria Math" w:eastAsia="Calibri" w:hAnsi="Cambria Math" w:cs="Cambria Math"/>
              </w:rPr>
              <w:t>𝐶𝑇</w:t>
            </w:r>
            <w:r w:rsidRPr="004A2204">
              <w:rPr>
                <w:rFonts w:ascii="Verdana" w:eastAsia="Calibri" w:hAnsi="Verdana" w:cs="Times New Roman"/>
              </w:rPr>
              <w:t>+</w:t>
            </w:r>
            <w:r w:rsidRPr="004A2204">
              <w:rPr>
                <w:rFonts w:ascii="Cambria Math" w:eastAsia="Calibri" w:hAnsi="Cambria Math" w:cs="Cambria Math"/>
              </w:rPr>
              <w:t>𝐶𝐹</w:t>
            </w:r>
            <w:r w:rsidRPr="004A2204">
              <w:rPr>
                <w:rFonts w:ascii="Verdana" w:eastAsia="Calibri" w:hAnsi="Verdana" w:cs="Times New Roman"/>
              </w:rPr>
              <w:t xml:space="preserve"> 100 ) −</w:t>
            </w:r>
            <w:r w:rsidRPr="004A2204">
              <w:rPr>
                <w:rFonts w:ascii="Cambria Math" w:eastAsia="Calibri" w:hAnsi="Cambria Math" w:cs="Cambria Math"/>
              </w:rPr>
              <w:t>𝑆𝐶𝐸</w:t>
            </w:r>
          </w:p>
          <w:p w14:paraId="323D2C8A" w14:textId="77777777" w:rsidR="004A2204" w:rsidRPr="004A2204" w:rsidRDefault="004A2204" w:rsidP="004A2204">
            <w:pPr>
              <w:jc w:val="both"/>
              <w:rPr>
                <w:rFonts w:ascii="Verdana" w:eastAsia="Calibri" w:hAnsi="Verdana" w:cs="Times New Roman"/>
              </w:rPr>
            </w:pPr>
          </w:p>
          <w:p w14:paraId="6FE277FB" w14:textId="77777777" w:rsidR="004A2204" w:rsidRPr="004A2204" w:rsidRDefault="004A2204" w:rsidP="004A2204">
            <w:pPr>
              <w:spacing w:line="276" w:lineRule="auto"/>
              <w:ind w:firstLine="709"/>
              <w:jc w:val="both"/>
              <w:rPr>
                <w:rFonts w:ascii="Verdana" w:eastAsia="Calibri" w:hAnsi="Verdana" w:cs="Times New Roman"/>
              </w:rPr>
            </w:pPr>
            <w:r w:rsidRPr="004A2204">
              <w:rPr>
                <w:rFonts w:ascii="Verdana" w:eastAsia="Calibri" w:hAnsi="Verdana" w:cs="Times New Roman"/>
              </w:rPr>
              <w:t>A cada uno de los factores se le asigna el siguiente puntaje máximo:</w:t>
            </w:r>
          </w:p>
          <w:p w14:paraId="5E21CDD2" w14:textId="77777777" w:rsidR="004A2204" w:rsidRPr="004A2204" w:rsidRDefault="004A2204" w:rsidP="004A2204">
            <w:pPr>
              <w:ind w:firstLine="709"/>
              <w:jc w:val="both"/>
              <w:rPr>
                <w:rFonts w:ascii="Verdana" w:eastAsia="Calibri" w:hAnsi="Verdana" w:cs="Times New Roman"/>
              </w:rPr>
            </w:pPr>
          </w:p>
          <w:p w14:paraId="51E1D205" w14:textId="77777777" w:rsidR="004A2204" w:rsidRPr="004A2204" w:rsidRDefault="004A2204" w:rsidP="004A2204">
            <w:pPr>
              <w:jc w:val="center"/>
              <w:rPr>
                <w:rFonts w:ascii="Verdana" w:eastAsia="Calibri" w:hAnsi="Verdana" w:cs="Times New Roman"/>
                <w:b/>
                <w:bCs/>
                <w:sz w:val="16"/>
                <w:szCs w:val="16"/>
              </w:rPr>
            </w:pPr>
            <w:r w:rsidRPr="004A2204">
              <w:rPr>
                <w:rFonts w:ascii="Calibri" w:eastAsia="Calibri" w:hAnsi="Calibri" w:cs="Times New Roman"/>
                <w:noProof/>
              </w:rPr>
              <w:drawing>
                <wp:inline distT="0" distB="0" distL="0" distR="0" wp14:anchorId="49488F04" wp14:editId="7FA364A4">
                  <wp:extent cx="4786006" cy="1341911"/>
                  <wp:effectExtent l="0" t="0" r="0" b="0"/>
                  <wp:docPr id="16965152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26986" name=""/>
                          <pic:cNvPicPr/>
                        </pic:nvPicPr>
                        <pic:blipFill rotWithShape="1">
                          <a:blip r:embed="rId11"/>
                          <a:srcRect l="36435" t="45478" r="36220" b="40886"/>
                          <a:stretch>
                            <a:fillRect/>
                          </a:stretch>
                        </pic:blipFill>
                        <pic:spPr bwMode="auto">
                          <a:xfrm>
                            <a:off x="0" y="0"/>
                            <a:ext cx="4861761" cy="1363151"/>
                          </a:xfrm>
                          <a:prstGeom prst="rect">
                            <a:avLst/>
                          </a:prstGeom>
                          <a:ln>
                            <a:noFill/>
                          </a:ln>
                          <a:extLst>
                            <a:ext uri="{53640926-AAD7-44D8-BBD7-CCE9431645EC}">
                              <a14:shadowObscured xmlns:a14="http://schemas.microsoft.com/office/drawing/2010/main"/>
                            </a:ext>
                          </a:extLst>
                        </pic:spPr>
                      </pic:pic>
                    </a:graphicData>
                  </a:graphic>
                </wp:inline>
              </w:drawing>
            </w:r>
          </w:p>
          <w:p w14:paraId="5F42F6C3" w14:textId="77777777" w:rsidR="004A2204" w:rsidRPr="004A2204" w:rsidRDefault="004A2204" w:rsidP="004A2204">
            <w:pPr>
              <w:ind w:left="709" w:right="709"/>
              <w:jc w:val="both"/>
              <w:rPr>
                <w:rFonts w:ascii="Verdana" w:eastAsia="Calibri" w:hAnsi="Verdana" w:cs="Times New Roman"/>
                <w:sz w:val="18"/>
                <w:szCs w:val="18"/>
              </w:rPr>
            </w:pPr>
            <w:r w:rsidRPr="004A2204">
              <w:rPr>
                <w:rFonts w:ascii="Verdana" w:eastAsia="Calibri" w:hAnsi="Verdana" w:cs="Times New Roman"/>
                <w:b/>
                <w:bCs/>
                <w:sz w:val="18"/>
                <w:szCs w:val="18"/>
              </w:rPr>
              <w:t>Fuente:</w:t>
            </w:r>
            <w:r w:rsidRPr="004A2204">
              <w:rPr>
                <w:rFonts w:ascii="Verdana" w:eastAsia="Calibri" w:hAnsi="Verdana" w:cs="Times New Roman"/>
                <w:sz w:val="18"/>
                <w:szCs w:val="18"/>
              </w:rPr>
              <w:t xml:space="preserve"> Guía para determinar y verificar la capacidad residual del proponente en los procesos de contratación de obra pública</w:t>
            </w:r>
          </w:p>
          <w:p w14:paraId="270174BA" w14:textId="77777777" w:rsidR="004A2204" w:rsidRPr="004A2204" w:rsidRDefault="004A2204" w:rsidP="004A2204">
            <w:pPr>
              <w:ind w:left="709" w:right="709"/>
              <w:jc w:val="both"/>
              <w:rPr>
                <w:rFonts w:ascii="Verdana" w:eastAsia="Calibri" w:hAnsi="Verdana" w:cs="Times New Roman"/>
              </w:rPr>
            </w:pPr>
          </w:p>
          <w:p w14:paraId="7DE7CDE5" w14:textId="77777777" w:rsidR="004A2204" w:rsidRPr="004A2204" w:rsidRDefault="004A2204" w:rsidP="004A2204">
            <w:pPr>
              <w:snapToGrid w:val="0"/>
              <w:spacing w:after="120" w:line="276" w:lineRule="auto"/>
              <w:ind w:firstLine="709"/>
              <w:jc w:val="both"/>
              <w:rPr>
                <w:rFonts w:ascii="Verdana" w:eastAsia="Calibri" w:hAnsi="Verdana" w:cs="Times New Roman"/>
                <w:i/>
                <w:iCs/>
              </w:rPr>
            </w:pPr>
            <w:r w:rsidRPr="004A2204">
              <w:rPr>
                <w:rFonts w:ascii="Verdana" w:eastAsia="Calibri" w:hAnsi="Verdana" w:cs="Times New Roman"/>
              </w:rPr>
              <w:t xml:space="preserve">En relación al componente Capacidad Técnica (CT), el cual es objeto de su petición, la Guía establece que el puntaje por concepto de la Capacidad Técnica (CT) </w:t>
            </w:r>
            <w:r w:rsidRPr="004A2204">
              <w:rPr>
                <w:rFonts w:ascii="Verdana" w:eastAsia="Calibri" w:hAnsi="Verdana" w:cs="Times New Roman"/>
                <w:i/>
                <w:iCs/>
              </w:rPr>
              <w:t xml:space="preserve">“se asigna teniendo en cuenta el número de socios y profesionales de la arquitectura, ingeniería y geología </w:t>
            </w:r>
            <w:r w:rsidRPr="004A2204">
              <w:rPr>
                <w:rFonts w:ascii="Verdana" w:eastAsia="Calibri" w:hAnsi="Verdana" w:cs="Times New Roman"/>
                <w:b/>
                <w:bCs/>
                <w:i/>
                <w:iCs/>
              </w:rPr>
              <w:t>vinculados mediante una relación laboral o contractual conforme a la cual desarrollen actividades relacionadas directamente a la construcción”.</w:t>
            </w:r>
            <w:r w:rsidRPr="004A2204">
              <w:rPr>
                <w:rFonts w:ascii="Verdana" w:eastAsia="Calibri" w:hAnsi="Verdana" w:cs="Times New Roman"/>
                <w:i/>
                <w:iCs/>
              </w:rPr>
              <w:t xml:space="preserve">  </w:t>
            </w:r>
          </w:p>
          <w:p w14:paraId="40D2D196" w14:textId="77777777" w:rsidR="004A2204" w:rsidRPr="004A2204" w:rsidRDefault="004A2204" w:rsidP="004A2204">
            <w:pPr>
              <w:snapToGrid w:val="0"/>
              <w:spacing w:after="120" w:line="276" w:lineRule="auto"/>
              <w:ind w:firstLine="709"/>
              <w:jc w:val="both"/>
              <w:rPr>
                <w:rFonts w:ascii="Verdana" w:eastAsia="Calibri" w:hAnsi="Verdana" w:cs="Times New Roman"/>
                <w:i/>
                <w:iCs/>
              </w:rPr>
            </w:pPr>
            <w:r w:rsidRPr="004A2204">
              <w:rPr>
                <w:rFonts w:ascii="Verdana" w:eastAsia="Calibri" w:hAnsi="Verdana" w:cs="Times New Roman"/>
                <w:i/>
                <w:iCs/>
              </w:rPr>
              <w:t>El puntaje de la Capacidad Técnica (CT) se asigna con base en la siguiente tabla:</w:t>
            </w:r>
          </w:p>
          <w:p w14:paraId="72BF4A05" w14:textId="77777777" w:rsidR="004A2204" w:rsidRPr="004A2204" w:rsidRDefault="004A2204" w:rsidP="004A2204">
            <w:pPr>
              <w:snapToGrid w:val="0"/>
              <w:spacing w:after="120"/>
              <w:ind w:firstLine="709"/>
              <w:jc w:val="both"/>
              <w:rPr>
                <w:rFonts w:ascii="Verdana" w:eastAsia="Calibri" w:hAnsi="Verdana" w:cs="Times New Roman"/>
                <w:i/>
                <w:iCs/>
              </w:rPr>
            </w:pPr>
          </w:p>
          <w:p w14:paraId="2F879C8D" w14:textId="77777777" w:rsidR="004A2204" w:rsidRPr="004A2204" w:rsidRDefault="004A2204" w:rsidP="004A2204">
            <w:pPr>
              <w:jc w:val="center"/>
              <w:rPr>
                <w:rFonts w:ascii="Verdana" w:eastAsia="Calibri" w:hAnsi="Verdana" w:cs="Times New Roman"/>
                <w:i/>
                <w:iCs/>
              </w:rPr>
            </w:pPr>
            <w:r w:rsidRPr="004A2204">
              <w:rPr>
                <w:rFonts w:ascii="Calibri" w:eastAsia="Calibri" w:hAnsi="Calibri" w:cs="Times New Roman"/>
                <w:noProof/>
              </w:rPr>
              <w:lastRenderedPageBreak/>
              <w:drawing>
                <wp:inline distT="0" distB="0" distL="0" distR="0" wp14:anchorId="3A58DFC4" wp14:editId="7E8D232A">
                  <wp:extent cx="4507777" cy="1519555"/>
                  <wp:effectExtent l="0" t="0" r="7620" b="4445"/>
                  <wp:docPr id="17178281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011620" name=""/>
                          <pic:cNvPicPr/>
                        </pic:nvPicPr>
                        <pic:blipFill rotWithShape="1">
                          <a:blip r:embed="rId12"/>
                          <a:srcRect l="31753" t="59511" r="32077" b="24770"/>
                          <a:stretch>
                            <a:fillRect/>
                          </a:stretch>
                        </pic:blipFill>
                        <pic:spPr bwMode="auto">
                          <a:xfrm>
                            <a:off x="0" y="0"/>
                            <a:ext cx="4588117" cy="1546637"/>
                          </a:xfrm>
                          <a:prstGeom prst="rect">
                            <a:avLst/>
                          </a:prstGeom>
                          <a:ln>
                            <a:noFill/>
                          </a:ln>
                          <a:extLst>
                            <a:ext uri="{53640926-AAD7-44D8-BBD7-CCE9431645EC}">
                              <a14:shadowObscured xmlns:a14="http://schemas.microsoft.com/office/drawing/2010/main"/>
                            </a:ext>
                          </a:extLst>
                        </pic:spPr>
                      </pic:pic>
                    </a:graphicData>
                  </a:graphic>
                </wp:inline>
              </w:drawing>
            </w:r>
          </w:p>
          <w:p w14:paraId="008D9515" w14:textId="77777777" w:rsidR="004A2204" w:rsidRPr="004A2204" w:rsidRDefault="004A2204" w:rsidP="004A2204">
            <w:pPr>
              <w:snapToGrid w:val="0"/>
              <w:spacing w:after="120" w:line="276" w:lineRule="auto"/>
              <w:ind w:firstLine="709"/>
              <w:jc w:val="both"/>
              <w:rPr>
                <w:rFonts w:ascii="Verdana" w:eastAsia="Calibri" w:hAnsi="Verdana" w:cs="Arial"/>
              </w:rPr>
            </w:pPr>
            <w:r w:rsidRPr="004A2204">
              <w:rPr>
                <w:rFonts w:ascii="Verdana" w:eastAsia="Calibri" w:hAnsi="Verdana" w:cs="Times New Roman"/>
              </w:rPr>
              <w:t>De acuerdo con lo anteriormente señalado, es importante precisar que, s</w:t>
            </w:r>
            <w:r w:rsidRPr="004A2204">
              <w:rPr>
                <w:rFonts w:ascii="Verdana" w:eastAsia="Calibri" w:hAnsi="Verdana" w:cs="Arial"/>
              </w:rPr>
              <w:t xml:space="preserve">egún lo dispuesto en la Guía, para el cálculo de la Capacidad Técnica (CT) se tendrán en cuenta los socios y profesionales en arquitectura, ingeniería y geología, quienes </w:t>
            </w:r>
            <w:r w:rsidRPr="004A2204">
              <w:rPr>
                <w:rFonts w:ascii="Verdana" w:eastAsia="Calibri" w:hAnsi="Verdana" w:cs="Arial"/>
                <w:i/>
                <w:iCs/>
                <w:u w:val="single"/>
              </w:rPr>
              <w:t>deberán estar vinculados a través de una relación laboral o contractual conforme a la cual desarrollen actividades relacionadas directamente a la construcción</w:t>
            </w:r>
            <w:r w:rsidRPr="004A2204">
              <w:rPr>
                <w:rFonts w:ascii="Verdana" w:eastAsia="Calibri" w:hAnsi="Verdana" w:cs="Arial"/>
              </w:rPr>
              <w:t>. Es decir, en este factor, 1) es necesario que el profesional o socio se encuentre vinculado a la persona jurídica mediante una relación laboral o un contrato de otro orden, sin especificar su naturaleza.  Independiente de la forma de vinculación con el proponente, será necesario también que 2) sean profesionales en las áreas allí dispuestas y 3) que, en virtud de ese vínculo laboral o contractual, efectivamente se trate de personas que desarrollen actividades relacionadas directamente con la construcción.</w:t>
            </w:r>
          </w:p>
          <w:p w14:paraId="529D0186" w14:textId="77777777" w:rsidR="004A2204" w:rsidRPr="004A2204" w:rsidRDefault="004A2204" w:rsidP="004A2204">
            <w:pPr>
              <w:snapToGrid w:val="0"/>
              <w:spacing w:line="276" w:lineRule="auto"/>
              <w:ind w:firstLine="709"/>
              <w:jc w:val="both"/>
              <w:rPr>
                <w:rFonts w:ascii="Verdana" w:eastAsia="Calibri" w:hAnsi="Verdana" w:cs="Arial"/>
              </w:rPr>
            </w:pPr>
            <w:r w:rsidRPr="004A2204">
              <w:rPr>
                <w:rFonts w:ascii="Verdana" w:eastAsia="Calibri" w:hAnsi="Verdana" w:cs="Arial"/>
              </w:rPr>
              <w:t xml:space="preserve">En ese orden de ideas, no es suficiente que se acredite la condición de socio y/o profesional en Arquitectura, Ingeniería Civil y Geología, pues el factor CT de la capacidad residual exige que además estén vinculados mediante una relación laboral o contractual, en virtud de la cual desarrollen actividades relacionadas directamente a la construcción de obra. En efecto, tampoco será suficiente que el socio o profesional acredite estar vinculado a la sociedad, si no ejecuta o desarrolla este tipo de actividades, ni que en la práctica realice estas actividades si no es en virtud de un contrato laboral o de otro orden que permita verificarlo. En consecuencia, la ausencia de cualquiera de estos aspectos implica que no se configuren los supuestos exigidos en la Guía para calcular la capacidad residual del proponente. </w:t>
            </w:r>
          </w:p>
        </w:tc>
      </w:tr>
    </w:tbl>
    <w:p w14:paraId="5E1AD9B6" w14:textId="77777777" w:rsidR="004A2204" w:rsidRPr="004A2204" w:rsidRDefault="004A2204" w:rsidP="004A2204">
      <w:pPr>
        <w:tabs>
          <w:tab w:val="left" w:pos="142"/>
          <w:tab w:val="left" w:pos="284"/>
        </w:tabs>
        <w:snapToGrid w:val="0"/>
        <w:spacing w:after="0" w:line="276" w:lineRule="auto"/>
        <w:jc w:val="both"/>
        <w:rPr>
          <w:rFonts w:ascii="Verdana" w:eastAsia="Century Gothic" w:hAnsi="Verdana" w:cs="Century Gothic"/>
          <w:b/>
          <w:bCs/>
          <w:lang w:val="es-ES_tradnl"/>
        </w:rPr>
      </w:pPr>
    </w:p>
    <w:p w14:paraId="471F067D" w14:textId="77777777" w:rsidR="004A2204" w:rsidRPr="004A2204" w:rsidRDefault="004A2204" w:rsidP="004A22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A2204">
        <w:rPr>
          <w:rFonts w:ascii="Verdana" w:eastAsia="Century Gothic" w:hAnsi="Verdana" w:cs="Century Gothic"/>
          <w:b/>
          <w:bCs/>
          <w:lang w:val="es-ES_tradnl"/>
        </w:rPr>
        <w:t>Razones de la respuesta:</w:t>
      </w:r>
    </w:p>
    <w:p w14:paraId="0C48CE6B" w14:textId="77777777" w:rsidR="004A2204" w:rsidRPr="004A2204" w:rsidRDefault="004A2204" w:rsidP="004A2204">
      <w:pPr>
        <w:snapToGrid w:val="0"/>
        <w:spacing w:after="0" w:line="276" w:lineRule="auto"/>
        <w:jc w:val="both"/>
        <w:rPr>
          <w:rFonts w:ascii="Verdana" w:eastAsia="Calibri" w:hAnsi="Verdana" w:cs="Arial"/>
          <w:lang w:val="es-ES_tradnl"/>
        </w:rPr>
      </w:pPr>
    </w:p>
    <w:p w14:paraId="60238CA7" w14:textId="77777777" w:rsidR="004A2204" w:rsidRPr="004A2204" w:rsidRDefault="004A2204" w:rsidP="004A2204">
      <w:pPr>
        <w:snapToGrid w:val="0"/>
        <w:spacing w:after="0" w:line="276" w:lineRule="auto"/>
        <w:jc w:val="both"/>
        <w:rPr>
          <w:rFonts w:ascii="Verdana" w:eastAsia="Calibri" w:hAnsi="Verdana" w:cs="Arial"/>
          <w:lang w:val="es-ES_tradnl"/>
        </w:rPr>
      </w:pPr>
      <w:r w:rsidRPr="004A2204">
        <w:rPr>
          <w:rFonts w:ascii="Verdana" w:eastAsia="Calibri" w:hAnsi="Verdana" w:cs="Arial"/>
          <w:lang w:val="es-ES_tradnl"/>
        </w:rPr>
        <w:t xml:space="preserve">Lo anterior se sustenta en las siguientes consideraciones: </w:t>
      </w:r>
    </w:p>
    <w:p w14:paraId="4ED7BBD5" w14:textId="77777777" w:rsidR="004A2204" w:rsidRPr="004A2204" w:rsidRDefault="004A2204" w:rsidP="004A2204">
      <w:pPr>
        <w:snapToGrid w:val="0"/>
        <w:spacing w:after="0" w:line="276" w:lineRule="auto"/>
        <w:jc w:val="both"/>
        <w:rPr>
          <w:rFonts w:ascii="Verdana" w:eastAsia="Calibri" w:hAnsi="Verdana" w:cs="Arial"/>
          <w:lang w:val="es-ES_tradnl"/>
        </w:rPr>
      </w:pPr>
    </w:p>
    <w:p w14:paraId="454DBA10" w14:textId="77777777" w:rsidR="004A2204" w:rsidRPr="004A2204" w:rsidRDefault="004A2204" w:rsidP="004A2204">
      <w:pPr>
        <w:spacing w:after="120" w:line="276" w:lineRule="auto"/>
        <w:jc w:val="both"/>
        <w:rPr>
          <w:rFonts w:ascii="Verdana" w:eastAsia="Calibri" w:hAnsi="Verdana" w:cs="Arial"/>
          <w:color w:val="000000"/>
          <w:lang w:val="es-MX" w:eastAsia="en-GB"/>
        </w:rPr>
      </w:pPr>
      <w:r w:rsidRPr="004A2204">
        <w:rPr>
          <w:rFonts w:ascii="Verdana" w:eastAsia="Calibri" w:hAnsi="Verdana" w:cs="Arial"/>
          <w:color w:val="000000"/>
          <w:lang w:val="es-MX" w:eastAsia="en-GB"/>
        </w:rPr>
        <w:lastRenderedPageBreak/>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4A2204">
        <w:rPr>
          <w:rFonts w:ascii="Verdana" w:eastAsia="Calibri" w:hAnsi="Verdana" w:cs="Arial"/>
          <w:color w:val="000000"/>
          <w:vertAlign w:val="superscript"/>
          <w:lang w:val="es-MX" w:eastAsia="en-GB"/>
        </w:rPr>
        <w:footnoteReference w:id="2"/>
      </w:r>
      <w:r w:rsidRPr="004A2204">
        <w:rPr>
          <w:rFonts w:ascii="Verdana" w:eastAsia="Calibri" w:hAnsi="Verdana" w:cs="Arial"/>
          <w:color w:val="000000"/>
          <w:lang w:val="es-MX" w:eastAsia="en-GB"/>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4A2204">
        <w:rPr>
          <w:rFonts w:ascii="Verdana" w:eastAsia="Calibri" w:hAnsi="Verdana" w:cs="Arial"/>
          <w:color w:val="000000"/>
          <w:vertAlign w:val="superscript"/>
          <w:lang w:val="es-MX" w:eastAsia="en-GB"/>
        </w:rPr>
        <w:footnoteReference w:id="3"/>
      </w:r>
      <w:r w:rsidRPr="004A2204">
        <w:rPr>
          <w:rFonts w:ascii="Verdana" w:eastAsia="Calibri" w:hAnsi="Verdana" w:cs="Arial"/>
          <w:color w:val="000000"/>
          <w:lang w:val="es-MX" w:eastAsia="en-GB"/>
        </w:rPr>
        <w:t>.</w:t>
      </w:r>
    </w:p>
    <w:p w14:paraId="51E7CFED" w14:textId="77777777" w:rsidR="004A2204" w:rsidRPr="004A2204" w:rsidRDefault="004A2204" w:rsidP="004A2204">
      <w:pPr>
        <w:spacing w:before="120" w:after="0" w:line="276" w:lineRule="auto"/>
        <w:ind w:firstLine="709"/>
        <w:jc w:val="both"/>
        <w:rPr>
          <w:rFonts w:ascii="Verdana" w:eastAsia="Calibri" w:hAnsi="Verdana" w:cs="Arial"/>
          <w:color w:val="000000"/>
          <w:lang w:val="es-MX" w:eastAsia="en-GB"/>
        </w:rPr>
      </w:pPr>
      <w:r w:rsidRPr="004A2204">
        <w:rPr>
          <w:rFonts w:ascii="Verdana" w:eastAsia="Calibri" w:hAnsi="Verdana" w:cs="Arial"/>
          <w:color w:val="000000"/>
          <w:lang w:val="es-MX" w:eastAsia="en-GB"/>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4520A850" w14:textId="77777777" w:rsidR="004A2204" w:rsidRPr="004A2204" w:rsidRDefault="004A2204" w:rsidP="004A2204">
      <w:pPr>
        <w:spacing w:after="0" w:line="276" w:lineRule="auto"/>
        <w:ind w:firstLine="709"/>
        <w:jc w:val="both"/>
        <w:rPr>
          <w:rFonts w:ascii="Verdana" w:eastAsia="Calibri" w:hAnsi="Verdana" w:cs="Arial"/>
          <w:color w:val="000000"/>
          <w:lang w:val="es-MX" w:eastAsia="en-GB"/>
        </w:rPr>
      </w:pPr>
    </w:p>
    <w:p w14:paraId="10E5F083" w14:textId="77777777" w:rsidR="004A2204" w:rsidRPr="004A2204" w:rsidRDefault="004A2204" w:rsidP="004A2204">
      <w:pPr>
        <w:spacing w:after="0" w:line="240" w:lineRule="auto"/>
        <w:ind w:left="709" w:right="709"/>
        <w:contextualSpacing/>
        <w:jc w:val="both"/>
        <w:rPr>
          <w:rFonts w:ascii="Verdana" w:eastAsia="Calibri" w:hAnsi="Verdana" w:cs="Arial"/>
          <w:color w:val="000000"/>
          <w:sz w:val="21"/>
          <w:szCs w:val="21"/>
          <w:lang w:val="es-MX" w:eastAsia="en-GB"/>
        </w:rPr>
      </w:pPr>
      <w:r w:rsidRPr="004A2204">
        <w:rPr>
          <w:rFonts w:ascii="Verdana" w:eastAsia="Calibri" w:hAnsi="Verdana" w:cs="Arial"/>
          <w:color w:val="000000"/>
          <w:sz w:val="21"/>
          <w:szCs w:val="21"/>
          <w:lang w:val="es-MX" w:eastAsia="en-GB"/>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0489732" w14:textId="77777777" w:rsidR="004A2204" w:rsidRPr="004A2204" w:rsidRDefault="004A2204" w:rsidP="004A2204">
      <w:pPr>
        <w:spacing w:after="0" w:line="240" w:lineRule="auto"/>
        <w:ind w:left="709" w:right="709"/>
        <w:contextualSpacing/>
        <w:jc w:val="both"/>
        <w:rPr>
          <w:rFonts w:ascii="Verdana" w:eastAsia="Calibri" w:hAnsi="Verdana" w:cs="Arial"/>
          <w:color w:val="000000"/>
          <w:sz w:val="21"/>
          <w:szCs w:val="21"/>
          <w:lang w:val="es-MX" w:eastAsia="en-GB"/>
        </w:rPr>
      </w:pPr>
    </w:p>
    <w:p w14:paraId="5BDD4F8D" w14:textId="77777777" w:rsidR="004A2204" w:rsidRPr="004A2204" w:rsidRDefault="004A2204" w:rsidP="004A2204">
      <w:pPr>
        <w:spacing w:after="0" w:line="240" w:lineRule="auto"/>
        <w:ind w:left="709" w:right="709"/>
        <w:contextualSpacing/>
        <w:jc w:val="both"/>
        <w:rPr>
          <w:rFonts w:ascii="Verdana" w:eastAsia="Calibri" w:hAnsi="Verdana" w:cs="Arial"/>
          <w:color w:val="000000"/>
          <w:sz w:val="21"/>
          <w:szCs w:val="21"/>
          <w:lang w:val="es-MX" w:eastAsia="en-GB"/>
        </w:rPr>
      </w:pPr>
      <w:r w:rsidRPr="004A2204">
        <w:rPr>
          <w:rFonts w:ascii="Verdana" w:eastAsia="Calibri" w:hAnsi="Verdana" w:cs="Arial"/>
          <w:color w:val="000000"/>
          <w:sz w:val="21"/>
          <w:szCs w:val="21"/>
          <w:lang w:val="es-MX" w:eastAsia="en-GB"/>
        </w:rPr>
        <w:t xml:space="preserve">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w:t>
      </w:r>
      <w:r w:rsidRPr="004A2204">
        <w:rPr>
          <w:rFonts w:ascii="Verdana" w:eastAsia="Calibri" w:hAnsi="Verdana" w:cs="Arial"/>
          <w:color w:val="000000"/>
          <w:sz w:val="21"/>
          <w:szCs w:val="21"/>
          <w:lang w:val="es-MX" w:eastAsia="en-GB"/>
        </w:rPr>
        <w:lastRenderedPageBreak/>
        <w:t>real K de contratación, en cada oportunidad. El Gobierno Nacional reglamentará la materia”.</w:t>
      </w:r>
    </w:p>
    <w:p w14:paraId="5441ADC3" w14:textId="77777777" w:rsidR="004A2204" w:rsidRPr="004A2204" w:rsidRDefault="004A2204" w:rsidP="004A2204">
      <w:pPr>
        <w:spacing w:after="0" w:line="276" w:lineRule="auto"/>
        <w:ind w:right="709"/>
        <w:jc w:val="both"/>
        <w:rPr>
          <w:rFonts w:ascii="Verdana" w:eastAsia="Calibri" w:hAnsi="Verdana" w:cs="Arial"/>
          <w:color w:val="000000"/>
          <w:lang w:val="es-MX" w:eastAsia="en-GB"/>
        </w:rPr>
      </w:pPr>
    </w:p>
    <w:p w14:paraId="76B3EE00" w14:textId="77777777" w:rsidR="004A2204" w:rsidRPr="004A2204" w:rsidRDefault="004A2204" w:rsidP="004A2204">
      <w:pPr>
        <w:spacing w:after="120" w:line="276" w:lineRule="auto"/>
        <w:ind w:firstLine="709"/>
        <w:jc w:val="both"/>
        <w:rPr>
          <w:rFonts w:ascii="Verdana" w:eastAsia="Calibri" w:hAnsi="Verdana" w:cs="Arial"/>
          <w:color w:val="000000"/>
          <w:lang w:eastAsia="en-GB"/>
        </w:rPr>
      </w:pPr>
      <w:r w:rsidRPr="004A2204">
        <w:rPr>
          <w:rFonts w:ascii="Verdana" w:eastAsia="Calibri" w:hAnsi="Verdana" w:cs="Arial"/>
          <w:color w:val="000000"/>
          <w:lang w:val="es-MX" w:eastAsia="en-GB"/>
        </w:rPr>
        <w:t xml:space="preserve">De acuerdo con </w:t>
      </w:r>
      <w:r w:rsidRPr="004A2204">
        <w:rPr>
          <w:rFonts w:ascii="Verdana" w:eastAsia="Calibri" w:hAnsi="Verdana" w:cs="Arial"/>
          <w:color w:val="000000"/>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6FBE5FDF" w14:textId="77777777" w:rsidR="004A2204" w:rsidRPr="004A2204" w:rsidRDefault="004A2204" w:rsidP="004A2204">
      <w:pPr>
        <w:spacing w:after="120" w:line="276" w:lineRule="auto"/>
        <w:ind w:firstLine="709"/>
        <w:jc w:val="both"/>
        <w:rPr>
          <w:rFonts w:ascii="Verdana" w:eastAsia="Calibri" w:hAnsi="Verdana" w:cs="Arial"/>
          <w:color w:val="000000"/>
          <w:lang w:val="es-MX" w:eastAsia="en-GB"/>
        </w:rPr>
      </w:pPr>
      <w:bookmarkStart w:id="1" w:name="_Hlk103608376"/>
      <w:r w:rsidRPr="004A2204">
        <w:rPr>
          <w:rFonts w:ascii="Verdana" w:eastAsia="Calibri" w:hAnsi="Verdana" w:cs="Arial"/>
          <w:color w:val="000000"/>
          <w:lang w:val="es-MX" w:eastAsia="en-GB"/>
        </w:rPr>
        <w:t>Por su parte, el artículo 2.2.1.1.1.6.4 del Decreto 1082 de 2015 dispone que las Entidades Estatales deberán calcular la Capacidad Residual conforme a la metodología definida por la Agencia Nacional de Contratación Pública – Colombia Compra Eficiente. Para tales fines, resulta necesario tener en cuenta los factores de: i) Experiencia –E–, ii) Capacidad Financiera –CF–, iii) Capacidad Técnica –CT–, iv) Capacidad de Organización y v) los Saldos de los Contratos en Ejecución –SCE–.</w:t>
      </w:r>
    </w:p>
    <w:p w14:paraId="7570E12C" w14:textId="77777777" w:rsidR="004A2204" w:rsidRPr="004A2204" w:rsidRDefault="004A2204" w:rsidP="004A2204">
      <w:pPr>
        <w:snapToGrid w:val="0"/>
        <w:spacing w:after="120" w:line="276" w:lineRule="auto"/>
        <w:ind w:firstLine="709"/>
        <w:jc w:val="both"/>
        <w:rPr>
          <w:rFonts w:ascii="Verdana" w:eastAsia="Calibri" w:hAnsi="Verdana" w:cs="Arial"/>
          <w:lang w:val="es-MX" w:eastAsia="en-GB"/>
        </w:rPr>
      </w:pPr>
      <w:r w:rsidRPr="004A2204">
        <w:rPr>
          <w:rFonts w:ascii="Verdana" w:eastAsia="Calibri" w:hAnsi="Verdana" w:cs="Arial"/>
          <w:color w:val="000000"/>
          <w:lang w:val="es-MX" w:eastAsia="en-GB"/>
        </w:rPr>
        <w:t xml:space="preserve">De igual manera, </w:t>
      </w:r>
      <w:r w:rsidRPr="004A2204">
        <w:rPr>
          <w:rFonts w:ascii="Verdana" w:eastAsia="Calibri" w:hAnsi="Verdana" w:cs="Arial"/>
          <w:lang w:val="es-MX" w:eastAsia="en-GB"/>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bookmarkEnd w:id="1"/>
      <w:r w:rsidRPr="004A2204">
        <w:rPr>
          <w:rFonts w:ascii="Verdana" w:eastAsia="Calibri" w:hAnsi="Verdana" w:cs="Arial"/>
          <w:vertAlign w:val="superscript"/>
          <w:lang w:val="es-MX" w:eastAsia="en-GB"/>
        </w:rPr>
        <w:footnoteReference w:id="4"/>
      </w:r>
      <w:r w:rsidRPr="004A2204">
        <w:rPr>
          <w:rFonts w:ascii="Verdana" w:eastAsia="Calibri" w:hAnsi="Verdana" w:cs="Arial"/>
          <w:lang w:val="es-MX" w:eastAsia="en-GB"/>
        </w:rPr>
        <w:t xml:space="preserve">. </w:t>
      </w:r>
    </w:p>
    <w:p w14:paraId="067B5C3C" w14:textId="77777777" w:rsidR="004A2204" w:rsidRPr="004A2204" w:rsidRDefault="004A2204" w:rsidP="004A2204">
      <w:pPr>
        <w:snapToGrid w:val="0"/>
        <w:spacing w:after="0" w:line="276" w:lineRule="auto"/>
        <w:ind w:firstLine="709"/>
        <w:jc w:val="both"/>
        <w:rPr>
          <w:rFonts w:ascii="Verdana" w:eastAsia="Aptos" w:hAnsi="Verdana" w:cs="Times New Roman"/>
          <w:color w:val="000000"/>
        </w:rPr>
      </w:pPr>
      <w:r w:rsidRPr="004A2204">
        <w:rPr>
          <w:rFonts w:ascii="Verdana" w:eastAsia="Aptos" w:hAnsi="Verdana" w:cs="Times New Roman"/>
          <w:color w:val="000000"/>
        </w:rPr>
        <w:lastRenderedPageBreak/>
        <w:t>Este mismo artículo en párrafos posteriores establece de forma textual que la Agencia Nacional de Contratación Pública – Colombia Compra Eficiente definirá la metodología con la cual las Entidades Estatales deberán calcular la Capacidad Residual del proponente durante el desarrollo del proceso de selección:</w:t>
      </w:r>
    </w:p>
    <w:p w14:paraId="458E1807" w14:textId="77777777" w:rsidR="004A2204" w:rsidRPr="004A2204" w:rsidRDefault="004A2204" w:rsidP="004A2204">
      <w:pPr>
        <w:snapToGrid w:val="0"/>
        <w:spacing w:after="0" w:line="276" w:lineRule="auto"/>
        <w:ind w:firstLine="709"/>
        <w:jc w:val="both"/>
        <w:rPr>
          <w:rFonts w:ascii="Verdana" w:eastAsia="Aptos" w:hAnsi="Verdana" w:cs="Times New Roman"/>
          <w:color w:val="000000"/>
        </w:rPr>
      </w:pPr>
    </w:p>
    <w:p w14:paraId="773CA127" w14:textId="77777777" w:rsidR="004A2204" w:rsidRPr="004A2204" w:rsidRDefault="004A2204" w:rsidP="004A2204">
      <w:pPr>
        <w:snapToGrid w:val="0"/>
        <w:spacing w:after="0" w:line="240" w:lineRule="auto"/>
        <w:ind w:left="709" w:right="709"/>
        <w:jc w:val="both"/>
        <w:rPr>
          <w:rFonts w:ascii="Verdana" w:eastAsia="Aptos" w:hAnsi="Verdana" w:cs="Times New Roman"/>
          <w:color w:val="000000"/>
          <w:sz w:val="21"/>
          <w:szCs w:val="21"/>
        </w:rPr>
      </w:pPr>
      <w:r w:rsidRPr="004A2204">
        <w:rPr>
          <w:rFonts w:ascii="Verdana" w:eastAsia="Aptos" w:hAnsi="Verdana" w:cs="Times New Roman"/>
          <w:color w:val="000000"/>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6BFF427C" w14:textId="77777777" w:rsidR="004A2204" w:rsidRPr="004A2204" w:rsidRDefault="004A2204" w:rsidP="004A2204">
      <w:pPr>
        <w:snapToGrid w:val="0"/>
        <w:spacing w:after="0" w:line="276" w:lineRule="auto"/>
        <w:ind w:left="709" w:right="709"/>
        <w:jc w:val="both"/>
        <w:rPr>
          <w:rFonts w:ascii="Verdana" w:eastAsia="Aptos" w:hAnsi="Verdana" w:cs="Times New Roman"/>
          <w:color w:val="000000"/>
        </w:rPr>
      </w:pPr>
    </w:p>
    <w:p w14:paraId="3AA68FD9" w14:textId="77777777" w:rsidR="004A2204" w:rsidRPr="004A2204" w:rsidRDefault="004A2204" w:rsidP="004A2204">
      <w:pPr>
        <w:snapToGrid w:val="0"/>
        <w:spacing w:after="120" w:line="276" w:lineRule="auto"/>
        <w:ind w:firstLine="709"/>
        <w:jc w:val="both"/>
        <w:rPr>
          <w:rFonts w:ascii="Verdana" w:eastAsia="Aptos" w:hAnsi="Verdana" w:cs="Times New Roman"/>
          <w:color w:val="000000"/>
        </w:rPr>
      </w:pPr>
      <w:r w:rsidRPr="004A2204">
        <w:rPr>
          <w:rFonts w:ascii="Verdana" w:eastAsia="Aptos" w:hAnsi="Verdana" w:cs="Times New Roman"/>
          <w:color w:val="000000"/>
        </w:rPr>
        <w:t>Con fundamento en el mencionado artículo, la Agencia Nacional de Contratación Pública expidió la “GUÍA PARA DETERMINAR Y VERIFICAR LA CAPACIDAD RESIDUAL DEL PROPONENTE EN LOS PROCESOS DE CONTRATACIÓN DE OBRA PÚBLICA”</w:t>
      </w:r>
      <w:r w:rsidRPr="004A2204">
        <w:rPr>
          <w:rFonts w:ascii="Verdana" w:eastAsia="Aptos" w:hAnsi="Verdana" w:cs="Times New Roman"/>
          <w:color w:val="000000"/>
          <w:vertAlign w:val="superscript"/>
        </w:rPr>
        <w:footnoteReference w:id="5"/>
      </w:r>
      <w:r w:rsidRPr="004A2204">
        <w:rPr>
          <w:rFonts w:ascii="Verdana" w:eastAsia="Aptos" w:hAnsi="Verdana" w:cs="Times New Roman"/>
          <w:color w:val="000000"/>
        </w:rPr>
        <w:t xml:space="preserve">, en la que estableció la metodología para el cálculo de la capacidad residual, la cual resulta de obligatoria observancia tanto para entidades como oferentes en los Procesos de Contratación de obra pública. </w:t>
      </w:r>
    </w:p>
    <w:p w14:paraId="22E95AF7" w14:textId="77777777" w:rsidR="004A2204" w:rsidRPr="004A2204" w:rsidRDefault="004A2204" w:rsidP="004A2204">
      <w:pPr>
        <w:snapToGrid w:val="0"/>
        <w:spacing w:after="0" w:line="276" w:lineRule="auto"/>
        <w:ind w:firstLine="709"/>
        <w:jc w:val="both"/>
        <w:rPr>
          <w:rFonts w:ascii="Verdana" w:eastAsia="Calibri" w:hAnsi="Verdana" w:cs="Times New Roman"/>
          <w:lang w:val="es-ES"/>
        </w:rPr>
      </w:pPr>
      <w:r w:rsidRPr="004A2204">
        <w:rPr>
          <w:rFonts w:ascii="Verdana" w:eastAsia="Aptos" w:hAnsi="Verdana" w:cs="Times New Roman"/>
          <w:color w:val="000000"/>
        </w:rPr>
        <w:t>Respecto a los documentos con los cuales los proponentes acreditan su Capacidad Residual o K de Contratación, la Guía en mención desarrolla de forma más específica cada uno de ellos, l</w:t>
      </w:r>
      <w:r w:rsidRPr="004A2204">
        <w:rPr>
          <w:rFonts w:ascii="Verdana" w:eastAsia="Calibri" w:hAnsi="Verdana" w:cs="Times New Roman"/>
        </w:rPr>
        <w:t>o cual se traduce en la aplicación de la siguiente fórmula:</w:t>
      </w:r>
    </w:p>
    <w:p w14:paraId="6D53751E" w14:textId="77777777" w:rsidR="004A2204" w:rsidRPr="004A2204" w:rsidRDefault="004A2204" w:rsidP="004A2204">
      <w:pPr>
        <w:jc w:val="both"/>
        <w:rPr>
          <w:rFonts w:ascii="Verdana" w:eastAsia="Calibri" w:hAnsi="Verdana" w:cs="Times New Roman"/>
        </w:rPr>
      </w:pPr>
      <w:r w:rsidRPr="004A2204">
        <w:rPr>
          <w:rFonts w:ascii="Verdana" w:eastAsia="Calibri" w:hAnsi="Verdana" w:cs="Times New Roman"/>
        </w:rPr>
        <w:t xml:space="preserve">  </w:t>
      </w:r>
    </w:p>
    <w:p w14:paraId="35C0F35D" w14:textId="77777777" w:rsidR="004A2204" w:rsidRPr="004A2204" w:rsidRDefault="004A2204" w:rsidP="004A2204">
      <w:pPr>
        <w:jc w:val="center"/>
        <w:rPr>
          <w:rFonts w:ascii="Verdana" w:eastAsia="Calibri" w:hAnsi="Verdana" w:cs="Times New Roman"/>
        </w:rPr>
      </w:pPr>
      <w:r w:rsidRPr="004A2204">
        <w:rPr>
          <w:rFonts w:ascii="Cambria Math" w:eastAsia="Calibri" w:hAnsi="Cambria Math" w:cs="Cambria Math"/>
        </w:rPr>
        <w:t>𝑪𝒂𝒑𝒂𝒄𝒊𝒅𝒂𝒅</w:t>
      </w:r>
      <w:r w:rsidRPr="004A2204">
        <w:rPr>
          <w:rFonts w:ascii="Verdana" w:eastAsia="Calibri" w:hAnsi="Verdana" w:cs="Times New Roman"/>
        </w:rPr>
        <w:t xml:space="preserve"> </w:t>
      </w:r>
      <w:r w:rsidRPr="004A2204">
        <w:rPr>
          <w:rFonts w:ascii="Cambria Math" w:eastAsia="Calibri" w:hAnsi="Cambria Math" w:cs="Cambria Math"/>
        </w:rPr>
        <w:t>𝑹𝒆𝒔𝒊𝒅𝒖𝒂𝒍</w:t>
      </w:r>
      <w:r w:rsidRPr="004A2204">
        <w:rPr>
          <w:rFonts w:ascii="Verdana" w:eastAsia="Calibri" w:hAnsi="Verdana" w:cs="Times New Roman"/>
        </w:rPr>
        <w:t xml:space="preserve"> </w:t>
      </w:r>
      <w:r w:rsidRPr="004A2204">
        <w:rPr>
          <w:rFonts w:ascii="Cambria Math" w:eastAsia="Calibri" w:hAnsi="Cambria Math" w:cs="Cambria Math"/>
        </w:rPr>
        <w:t>𝒅𝒆𝒍</w:t>
      </w:r>
      <w:r w:rsidRPr="004A2204">
        <w:rPr>
          <w:rFonts w:ascii="Verdana" w:eastAsia="Calibri" w:hAnsi="Verdana" w:cs="Times New Roman"/>
        </w:rPr>
        <w:t xml:space="preserve"> </w:t>
      </w:r>
      <w:r w:rsidRPr="004A2204">
        <w:rPr>
          <w:rFonts w:ascii="Cambria Math" w:eastAsia="Calibri" w:hAnsi="Cambria Math" w:cs="Cambria Math"/>
        </w:rPr>
        <w:t>𝑷𝒓𝒐𝒑𝒐𝒏𝒆𝒏𝒕𝒆</w:t>
      </w:r>
      <w:r w:rsidRPr="004A2204">
        <w:rPr>
          <w:rFonts w:ascii="Verdana" w:eastAsia="Calibri" w:hAnsi="Verdana" w:cs="Times New Roman"/>
        </w:rPr>
        <w:t xml:space="preserve"> = </w:t>
      </w:r>
      <w:r w:rsidRPr="004A2204">
        <w:rPr>
          <w:rFonts w:ascii="Cambria Math" w:eastAsia="Calibri" w:hAnsi="Cambria Math" w:cs="Cambria Math"/>
        </w:rPr>
        <w:t>𝐶𝑂</w:t>
      </w:r>
      <w:r w:rsidRPr="004A2204">
        <w:rPr>
          <w:rFonts w:ascii="Verdana" w:eastAsia="Calibri" w:hAnsi="Verdana" w:cs="Times New Roman"/>
        </w:rPr>
        <w:t xml:space="preserve"> </w:t>
      </w:r>
      <w:r w:rsidRPr="004A2204">
        <w:rPr>
          <w:rFonts w:ascii="Cambria Math" w:eastAsia="Calibri" w:hAnsi="Cambria Math" w:cs="Cambria Math"/>
        </w:rPr>
        <w:t>∗</w:t>
      </w:r>
      <w:r w:rsidRPr="004A2204">
        <w:rPr>
          <w:rFonts w:ascii="Verdana" w:eastAsia="Calibri" w:hAnsi="Verdana" w:cs="Times New Roman"/>
        </w:rPr>
        <w:t>(</w:t>
      </w:r>
      <w:r w:rsidRPr="004A2204">
        <w:rPr>
          <w:rFonts w:ascii="Cambria Math" w:eastAsia="Calibri" w:hAnsi="Cambria Math" w:cs="Cambria Math"/>
        </w:rPr>
        <w:t>𝐸</w:t>
      </w:r>
      <w:r w:rsidRPr="004A2204">
        <w:rPr>
          <w:rFonts w:ascii="Verdana" w:eastAsia="Calibri" w:hAnsi="Verdana" w:cs="Times New Roman"/>
        </w:rPr>
        <w:t>+</w:t>
      </w:r>
      <w:r w:rsidRPr="004A2204">
        <w:rPr>
          <w:rFonts w:ascii="Cambria Math" w:eastAsia="Calibri" w:hAnsi="Cambria Math" w:cs="Cambria Math"/>
        </w:rPr>
        <w:t>𝐶𝑇</w:t>
      </w:r>
      <w:r w:rsidRPr="004A2204">
        <w:rPr>
          <w:rFonts w:ascii="Verdana" w:eastAsia="Calibri" w:hAnsi="Verdana" w:cs="Times New Roman"/>
        </w:rPr>
        <w:t>+</w:t>
      </w:r>
      <w:r w:rsidRPr="004A2204">
        <w:rPr>
          <w:rFonts w:ascii="Cambria Math" w:eastAsia="Calibri" w:hAnsi="Cambria Math" w:cs="Cambria Math"/>
        </w:rPr>
        <w:t>𝐶𝐹</w:t>
      </w:r>
      <w:r w:rsidRPr="004A2204">
        <w:rPr>
          <w:rFonts w:ascii="Verdana" w:eastAsia="Calibri" w:hAnsi="Verdana" w:cs="Times New Roman"/>
        </w:rPr>
        <w:t xml:space="preserve"> 100 ) −</w:t>
      </w:r>
      <w:r w:rsidRPr="004A2204">
        <w:rPr>
          <w:rFonts w:ascii="Cambria Math" w:eastAsia="Calibri" w:hAnsi="Cambria Math" w:cs="Cambria Math"/>
        </w:rPr>
        <w:t>𝑆𝐶𝐸</w:t>
      </w:r>
    </w:p>
    <w:p w14:paraId="46450D2D" w14:textId="77777777" w:rsidR="004A2204" w:rsidRPr="004A2204" w:rsidRDefault="004A2204" w:rsidP="004A2204">
      <w:pPr>
        <w:jc w:val="both"/>
        <w:rPr>
          <w:rFonts w:ascii="Verdana" w:eastAsia="Calibri" w:hAnsi="Verdana" w:cs="Times New Roman"/>
        </w:rPr>
      </w:pPr>
    </w:p>
    <w:p w14:paraId="621761BE" w14:textId="77777777" w:rsidR="004A2204" w:rsidRPr="004A2204" w:rsidRDefault="004A2204" w:rsidP="004A2204">
      <w:pPr>
        <w:spacing w:after="0" w:line="276" w:lineRule="auto"/>
        <w:ind w:firstLine="709"/>
        <w:jc w:val="both"/>
        <w:rPr>
          <w:rFonts w:ascii="Verdana" w:eastAsia="Calibri" w:hAnsi="Verdana" w:cs="Times New Roman"/>
        </w:rPr>
      </w:pPr>
      <w:r w:rsidRPr="004A2204">
        <w:rPr>
          <w:rFonts w:ascii="Verdana" w:eastAsia="Calibri" w:hAnsi="Verdana" w:cs="Times New Roman"/>
        </w:rPr>
        <w:lastRenderedPageBreak/>
        <w:t>A cada uno de los factores se le asigna el siguiente puntaje máximo:</w:t>
      </w:r>
    </w:p>
    <w:p w14:paraId="360DB387" w14:textId="77777777" w:rsidR="004A2204" w:rsidRPr="004A2204" w:rsidRDefault="004A2204" w:rsidP="004A2204">
      <w:pPr>
        <w:spacing w:after="0"/>
        <w:ind w:firstLine="709"/>
        <w:jc w:val="both"/>
        <w:rPr>
          <w:rFonts w:ascii="Verdana" w:eastAsia="Calibri" w:hAnsi="Verdana" w:cs="Times New Roman"/>
        </w:rPr>
      </w:pPr>
    </w:p>
    <w:p w14:paraId="46AD2566" w14:textId="77777777" w:rsidR="004A2204" w:rsidRPr="004A2204" w:rsidRDefault="004A2204" w:rsidP="004A2204">
      <w:pPr>
        <w:spacing w:after="0"/>
        <w:jc w:val="center"/>
        <w:rPr>
          <w:rFonts w:ascii="Verdana" w:eastAsia="Calibri" w:hAnsi="Verdana" w:cs="Times New Roman"/>
          <w:b/>
          <w:bCs/>
          <w:sz w:val="16"/>
          <w:szCs w:val="16"/>
        </w:rPr>
      </w:pPr>
      <w:r w:rsidRPr="004A2204">
        <w:rPr>
          <w:rFonts w:ascii="Calibri" w:eastAsia="Calibri" w:hAnsi="Calibri" w:cs="Times New Roman"/>
          <w:noProof/>
        </w:rPr>
        <w:drawing>
          <wp:inline distT="0" distB="0" distL="0" distR="0" wp14:anchorId="078AEE9C" wp14:editId="77F07CF5">
            <wp:extent cx="4786006" cy="1341911"/>
            <wp:effectExtent l="0" t="0" r="0" b="0"/>
            <wp:docPr id="3612269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26986" name=""/>
                    <pic:cNvPicPr/>
                  </pic:nvPicPr>
                  <pic:blipFill rotWithShape="1">
                    <a:blip r:embed="rId11"/>
                    <a:srcRect l="36435" t="45478" r="36220" b="40886"/>
                    <a:stretch>
                      <a:fillRect/>
                    </a:stretch>
                  </pic:blipFill>
                  <pic:spPr bwMode="auto">
                    <a:xfrm>
                      <a:off x="0" y="0"/>
                      <a:ext cx="4861761" cy="1363151"/>
                    </a:xfrm>
                    <a:prstGeom prst="rect">
                      <a:avLst/>
                    </a:prstGeom>
                    <a:ln>
                      <a:noFill/>
                    </a:ln>
                    <a:extLst>
                      <a:ext uri="{53640926-AAD7-44D8-BBD7-CCE9431645EC}">
                        <a14:shadowObscured xmlns:a14="http://schemas.microsoft.com/office/drawing/2010/main"/>
                      </a:ext>
                    </a:extLst>
                  </pic:spPr>
                </pic:pic>
              </a:graphicData>
            </a:graphic>
          </wp:inline>
        </w:drawing>
      </w:r>
    </w:p>
    <w:p w14:paraId="7B808E59" w14:textId="77777777" w:rsidR="004A2204" w:rsidRPr="004A2204" w:rsidRDefault="004A2204" w:rsidP="004A2204">
      <w:pPr>
        <w:spacing w:after="0"/>
        <w:ind w:left="709" w:right="709"/>
        <w:jc w:val="both"/>
        <w:rPr>
          <w:rFonts w:ascii="Verdana" w:eastAsia="Calibri" w:hAnsi="Verdana" w:cs="Times New Roman"/>
          <w:sz w:val="18"/>
          <w:szCs w:val="18"/>
        </w:rPr>
      </w:pPr>
      <w:r w:rsidRPr="004A2204">
        <w:rPr>
          <w:rFonts w:ascii="Verdana" w:eastAsia="Calibri" w:hAnsi="Verdana" w:cs="Times New Roman"/>
          <w:b/>
          <w:bCs/>
          <w:sz w:val="18"/>
          <w:szCs w:val="18"/>
        </w:rPr>
        <w:t>Fuente:</w:t>
      </w:r>
      <w:r w:rsidRPr="004A2204">
        <w:rPr>
          <w:rFonts w:ascii="Verdana" w:eastAsia="Calibri" w:hAnsi="Verdana" w:cs="Times New Roman"/>
          <w:sz w:val="18"/>
          <w:szCs w:val="18"/>
        </w:rPr>
        <w:t xml:space="preserve"> Guía para determinar y verificar la capacidad residual del proponente en los procesos de contratación de obra pública</w:t>
      </w:r>
    </w:p>
    <w:p w14:paraId="0DE1D370" w14:textId="77777777" w:rsidR="004A2204" w:rsidRPr="004A2204" w:rsidRDefault="004A2204" w:rsidP="004A2204">
      <w:pPr>
        <w:spacing w:after="0"/>
        <w:ind w:left="709" w:right="709"/>
        <w:jc w:val="both"/>
        <w:rPr>
          <w:rFonts w:ascii="Verdana" w:eastAsia="Calibri" w:hAnsi="Verdana" w:cs="Times New Roman"/>
        </w:rPr>
      </w:pPr>
    </w:p>
    <w:p w14:paraId="2B7920C4" w14:textId="77777777" w:rsidR="004A2204" w:rsidRPr="004A2204" w:rsidRDefault="004A2204" w:rsidP="004A2204">
      <w:pPr>
        <w:snapToGrid w:val="0"/>
        <w:spacing w:after="120" w:line="276" w:lineRule="auto"/>
        <w:ind w:firstLine="709"/>
        <w:jc w:val="both"/>
        <w:rPr>
          <w:rFonts w:ascii="Verdana" w:eastAsia="Calibri" w:hAnsi="Verdana" w:cs="Times New Roman"/>
          <w:i/>
          <w:iCs/>
        </w:rPr>
      </w:pPr>
      <w:r w:rsidRPr="004A2204">
        <w:rPr>
          <w:rFonts w:ascii="Verdana" w:eastAsia="Calibri" w:hAnsi="Verdana" w:cs="Times New Roman"/>
        </w:rPr>
        <w:t xml:space="preserve">En relación al componente Capacidad Técnica (CT), el cual es objeto de su petición, la Guía establece que el puntaje por concepto de la Capacidad Técnica (CT) </w:t>
      </w:r>
      <w:r w:rsidRPr="004A2204">
        <w:rPr>
          <w:rFonts w:ascii="Verdana" w:eastAsia="Calibri" w:hAnsi="Verdana" w:cs="Times New Roman"/>
          <w:i/>
          <w:iCs/>
        </w:rPr>
        <w:t xml:space="preserve">“se asigna teniendo en cuenta el número de socios y profesionales de la arquitectura, ingeniería y geología </w:t>
      </w:r>
      <w:r w:rsidRPr="004A2204">
        <w:rPr>
          <w:rFonts w:ascii="Verdana" w:eastAsia="Calibri" w:hAnsi="Verdana" w:cs="Times New Roman"/>
          <w:b/>
          <w:bCs/>
          <w:i/>
          <w:iCs/>
        </w:rPr>
        <w:t>vinculados mediante una relación laboral o contractual conforme a la cual desarrollen actividades relacionadas directamente a la construcción”.</w:t>
      </w:r>
      <w:r w:rsidRPr="004A2204">
        <w:rPr>
          <w:rFonts w:ascii="Verdana" w:eastAsia="Calibri" w:hAnsi="Verdana" w:cs="Times New Roman"/>
          <w:i/>
          <w:iCs/>
        </w:rPr>
        <w:t xml:space="preserve">  </w:t>
      </w:r>
    </w:p>
    <w:p w14:paraId="60EAD811" w14:textId="77777777" w:rsidR="004A2204" w:rsidRPr="004A2204" w:rsidRDefault="004A2204" w:rsidP="004A2204">
      <w:pPr>
        <w:snapToGrid w:val="0"/>
        <w:spacing w:after="120" w:line="276" w:lineRule="auto"/>
        <w:ind w:firstLine="709"/>
        <w:jc w:val="both"/>
        <w:rPr>
          <w:rFonts w:ascii="Verdana" w:eastAsia="Calibri" w:hAnsi="Verdana" w:cs="Times New Roman"/>
          <w:i/>
          <w:iCs/>
        </w:rPr>
      </w:pPr>
      <w:r w:rsidRPr="004A2204">
        <w:rPr>
          <w:rFonts w:ascii="Verdana" w:eastAsia="Calibri" w:hAnsi="Verdana" w:cs="Times New Roman"/>
          <w:i/>
          <w:iCs/>
        </w:rPr>
        <w:t>El puntaje de la Capacidad Técnica (CT) se asigna con base en la siguiente tabla:</w:t>
      </w:r>
    </w:p>
    <w:p w14:paraId="2C6FEE5A" w14:textId="77777777" w:rsidR="004A2204" w:rsidRPr="004A2204" w:rsidRDefault="004A2204" w:rsidP="004A2204">
      <w:pPr>
        <w:snapToGrid w:val="0"/>
        <w:spacing w:after="120"/>
        <w:ind w:firstLine="709"/>
        <w:jc w:val="both"/>
        <w:rPr>
          <w:rFonts w:ascii="Verdana" w:eastAsia="Calibri" w:hAnsi="Verdana" w:cs="Times New Roman"/>
          <w:i/>
          <w:iCs/>
        </w:rPr>
      </w:pPr>
    </w:p>
    <w:p w14:paraId="5D17B4EE" w14:textId="77777777" w:rsidR="004A2204" w:rsidRPr="004A2204" w:rsidRDefault="004A2204" w:rsidP="004A2204">
      <w:pPr>
        <w:jc w:val="center"/>
        <w:rPr>
          <w:rFonts w:ascii="Verdana" w:eastAsia="Calibri" w:hAnsi="Verdana" w:cs="Times New Roman"/>
          <w:i/>
          <w:iCs/>
        </w:rPr>
      </w:pPr>
      <w:r w:rsidRPr="004A2204">
        <w:rPr>
          <w:rFonts w:ascii="Calibri" w:eastAsia="Calibri" w:hAnsi="Calibri" w:cs="Times New Roman"/>
          <w:noProof/>
        </w:rPr>
        <w:drawing>
          <wp:inline distT="0" distB="0" distL="0" distR="0" wp14:anchorId="5FF6BC3C" wp14:editId="17A0461B">
            <wp:extent cx="4507777" cy="1519555"/>
            <wp:effectExtent l="0" t="0" r="7620" b="4445"/>
            <wp:docPr id="877011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011620" name=""/>
                    <pic:cNvPicPr/>
                  </pic:nvPicPr>
                  <pic:blipFill rotWithShape="1">
                    <a:blip r:embed="rId12"/>
                    <a:srcRect l="31753" t="59511" r="32077" b="24770"/>
                    <a:stretch>
                      <a:fillRect/>
                    </a:stretch>
                  </pic:blipFill>
                  <pic:spPr bwMode="auto">
                    <a:xfrm>
                      <a:off x="0" y="0"/>
                      <a:ext cx="4588117" cy="1546637"/>
                    </a:xfrm>
                    <a:prstGeom prst="rect">
                      <a:avLst/>
                    </a:prstGeom>
                    <a:ln>
                      <a:noFill/>
                    </a:ln>
                    <a:extLst>
                      <a:ext uri="{53640926-AAD7-44D8-BBD7-CCE9431645EC}">
                        <a14:shadowObscured xmlns:a14="http://schemas.microsoft.com/office/drawing/2010/main"/>
                      </a:ext>
                    </a:extLst>
                  </pic:spPr>
                </pic:pic>
              </a:graphicData>
            </a:graphic>
          </wp:inline>
        </w:drawing>
      </w:r>
    </w:p>
    <w:p w14:paraId="7184FE2D" w14:textId="77777777" w:rsidR="004A2204" w:rsidRPr="004A2204" w:rsidRDefault="004A2204" w:rsidP="004A2204">
      <w:pPr>
        <w:snapToGrid w:val="0"/>
        <w:spacing w:after="120" w:line="276" w:lineRule="auto"/>
        <w:ind w:firstLine="709"/>
        <w:jc w:val="both"/>
        <w:rPr>
          <w:rFonts w:ascii="Verdana" w:eastAsia="Calibri" w:hAnsi="Verdana" w:cs="Arial"/>
        </w:rPr>
      </w:pPr>
      <w:r w:rsidRPr="004A2204">
        <w:rPr>
          <w:rFonts w:ascii="Verdana" w:eastAsia="Calibri" w:hAnsi="Verdana" w:cs="Times New Roman"/>
        </w:rPr>
        <w:t>De acuerdo con lo anteriormente señalado, es importante precisar que, s</w:t>
      </w:r>
      <w:r w:rsidRPr="004A2204">
        <w:rPr>
          <w:rFonts w:ascii="Verdana" w:eastAsia="Calibri" w:hAnsi="Verdana" w:cs="Arial"/>
        </w:rPr>
        <w:t xml:space="preserve">egún lo dispuesto en la Guía, para el cálculo de la Capacidad Técnica (CT) se tendrán en cuenta los socios y profesionales en arquitectura, ingeniería y geología, quienes </w:t>
      </w:r>
      <w:r w:rsidRPr="004A2204">
        <w:rPr>
          <w:rFonts w:ascii="Verdana" w:eastAsia="Calibri" w:hAnsi="Verdana" w:cs="Arial"/>
          <w:i/>
          <w:iCs/>
          <w:u w:val="single"/>
        </w:rPr>
        <w:t>deberán estar vinculados a través de una relación laboral o contractual conforme a la cual desarrollen actividades relacionadas directamente a la construcción</w:t>
      </w:r>
      <w:r w:rsidRPr="004A2204">
        <w:rPr>
          <w:rFonts w:ascii="Verdana" w:eastAsia="Calibri" w:hAnsi="Verdana" w:cs="Arial"/>
        </w:rPr>
        <w:t xml:space="preserve">. Es decir, en este factor, 1) es necesario que el profesional o </w:t>
      </w:r>
      <w:r w:rsidRPr="004A2204">
        <w:rPr>
          <w:rFonts w:ascii="Verdana" w:eastAsia="Calibri" w:hAnsi="Verdana" w:cs="Arial"/>
        </w:rPr>
        <w:lastRenderedPageBreak/>
        <w:t>socio se encuentre vinculado a la persona jurídica mediante una relación laboral o un contrato de otro orden, sin especificar su naturaleza.  Independiente de la forma de vinculación con el proponente, será necesario también que 2) sean profesionales en las áreas allí dispuestas y 3) que, en virtud de ese vínculo laboral o contractual, efectivamente se trate de personas que desarrollen actividades relacionadas directamente con la construcción.</w:t>
      </w:r>
    </w:p>
    <w:p w14:paraId="1617FDE2" w14:textId="77777777" w:rsidR="004A2204" w:rsidRPr="004A2204" w:rsidRDefault="004A2204" w:rsidP="004A2204">
      <w:pPr>
        <w:snapToGrid w:val="0"/>
        <w:spacing w:after="0" w:line="276" w:lineRule="auto"/>
        <w:ind w:firstLine="709"/>
        <w:jc w:val="both"/>
        <w:rPr>
          <w:rFonts w:ascii="Verdana" w:eastAsia="Calibri" w:hAnsi="Verdana" w:cs="Arial"/>
        </w:rPr>
      </w:pPr>
      <w:r w:rsidRPr="004A2204">
        <w:rPr>
          <w:rFonts w:ascii="Verdana" w:eastAsia="Calibri" w:hAnsi="Verdana" w:cs="Arial"/>
        </w:rPr>
        <w:t xml:space="preserve">En ese orden de ideas, no es suficiente que se acredite la condición de socio y/o profesional en Arquitectura, Ingeniería Civil y Geología, pues el factor CT de la capacidad residual exige que además estén vinculados mediante una relación laboral o contractual, en virtud de la cual desarrollen actividades relacionadas directamente a la construcción de obra. En efecto, tampoco será suficiente que el socio o profesional acredite estar vinculado a la sociedad, si no ejecuta o desarrolla este tipo de actividades, ni que en la práctica realice estas actividades si no es en virtud de un contrato laboral o de otro orden que permita verificarlo. En consecuencia, la ausencia de cualquiera de estos aspectos implica que no se configuren los supuestos exigidos en la Guía para calcular la capacidad residual del proponente. </w:t>
      </w:r>
    </w:p>
    <w:p w14:paraId="3173928E" w14:textId="77777777" w:rsidR="004A2204" w:rsidRPr="004A2204" w:rsidRDefault="004A2204" w:rsidP="004A2204">
      <w:pPr>
        <w:spacing w:after="0" w:line="276" w:lineRule="auto"/>
        <w:jc w:val="both"/>
        <w:rPr>
          <w:rFonts w:ascii="Verdana" w:eastAsia="Aptos" w:hAnsi="Verdana" w:cs="Times New Roman"/>
          <w:kern w:val="2"/>
          <w14:ligatures w14:val="standardContextual"/>
        </w:rPr>
      </w:pPr>
    </w:p>
    <w:p w14:paraId="39CA280E" w14:textId="77777777" w:rsidR="004A2204" w:rsidRPr="004A2204" w:rsidRDefault="004A2204" w:rsidP="004A2204">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4A2204">
        <w:rPr>
          <w:rFonts w:ascii="Verdana" w:eastAsia="Century Gothic" w:hAnsi="Verdana" w:cs="Century Gothic"/>
          <w:b/>
          <w:bCs/>
          <w:lang w:val="es-ES_tradnl"/>
        </w:rPr>
        <w:t>Referencias normativas, jurisprudenciales y otras fuentes:</w:t>
      </w:r>
    </w:p>
    <w:p w14:paraId="1B6F6C17" w14:textId="77777777" w:rsidR="004A2204" w:rsidRPr="004A2204" w:rsidRDefault="004A2204" w:rsidP="004A2204">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4A2204" w:rsidRPr="004A2204" w14:paraId="566A4FA7" w14:textId="77777777" w:rsidTr="00E122B9">
        <w:trPr>
          <w:trHeight w:val="870"/>
        </w:trPr>
        <w:tc>
          <w:tcPr>
            <w:tcW w:w="8647" w:type="dxa"/>
          </w:tcPr>
          <w:p w14:paraId="1C928161" w14:textId="77777777" w:rsidR="004A2204" w:rsidRPr="004A2204" w:rsidRDefault="004A2204" w:rsidP="004A2204">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eastAsia="es-CO"/>
              </w:rPr>
            </w:pPr>
            <w:r w:rsidRPr="004A2204">
              <w:rPr>
                <w:rFonts w:ascii="Verdana" w:eastAsia="Calibri" w:hAnsi="Verdana" w:cs="Arial"/>
                <w:lang w:val="es-ES_tradnl" w:eastAsia="es-CO"/>
              </w:rPr>
              <w:t xml:space="preserve">Ley 2022 de 2020, artículo 1. </w:t>
            </w:r>
          </w:p>
          <w:p w14:paraId="3B7A239B" w14:textId="77777777" w:rsidR="004A2204" w:rsidRPr="004A2204" w:rsidRDefault="004A2204" w:rsidP="004A2204">
            <w:pPr>
              <w:widowControl w:val="0"/>
              <w:numPr>
                <w:ilvl w:val="0"/>
                <w:numId w:val="17"/>
              </w:numPr>
              <w:autoSpaceDE w:val="0"/>
              <w:autoSpaceDN w:val="0"/>
              <w:snapToGrid w:val="0"/>
              <w:spacing w:after="120" w:line="276" w:lineRule="auto"/>
              <w:jc w:val="both"/>
              <w:rPr>
                <w:rFonts w:ascii="Verdana" w:eastAsia="Calibri" w:hAnsi="Verdana" w:cs="Arial"/>
                <w:lang w:val="es-ES_tradnl" w:eastAsia="es-CO"/>
              </w:rPr>
            </w:pPr>
            <w:r w:rsidRPr="004A2204">
              <w:rPr>
                <w:rFonts w:ascii="Verdana" w:eastAsia="Calibri" w:hAnsi="Verdana" w:cs="Arial"/>
                <w:lang w:val="es-ES_tradnl" w:eastAsia="es-CO"/>
              </w:rPr>
              <w:t>Ley 1682 de 2013, artículo 72.</w:t>
            </w:r>
          </w:p>
          <w:p w14:paraId="57B4C215" w14:textId="77777777" w:rsidR="004A2204" w:rsidRPr="004A2204" w:rsidRDefault="004A2204" w:rsidP="004A2204">
            <w:pPr>
              <w:widowControl w:val="0"/>
              <w:numPr>
                <w:ilvl w:val="0"/>
                <w:numId w:val="17"/>
              </w:numPr>
              <w:autoSpaceDE w:val="0"/>
              <w:autoSpaceDN w:val="0"/>
              <w:snapToGrid w:val="0"/>
              <w:spacing w:after="120" w:line="276" w:lineRule="auto"/>
              <w:jc w:val="both"/>
              <w:rPr>
                <w:rFonts w:ascii="Verdana" w:eastAsia="Calibri" w:hAnsi="Verdana" w:cs="Arial"/>
                <w:lang w:val="es-ES_tradnl" w:eastAsia="es-CO"/>
              </w:rPr>
            </w:pPr>
            <w:r w:rsidRPr="004A2204">
              <w:rPr>
                <w:rFonts w:ascii="Verdana" w:eastAsia="Calibri" w:hAnsi="Verdana" w:cs="Arial"/>
                <w:lang w:val="es-ES_tradnl" w:eastAsia="es-CO"/>
              </w:rPr>
              <w:t>Ley 1150 de 2007, artículo 6.</w:t>
            </w:r>
          </w:p>
          <w:p w14:paraId="4C867220" w14:textId="77777777" w:rsidR="004A2204" w:rsidRPr="004A2204" w:rsidRDefault="004A2204" w:rsidP="004A2204">
            <w:pPr>
              <w:widowControl w:val="0"/>
              <w:numPr>
                <w:ilvl w:val="0"/>
                <w:numId w:val="17"/>
              </w:numPr>
              <w:autoSpaceDE w:val="0"/>
              <w:autoSpaceDN w:val="0"/>
              <w:snapToGrid w:val="0"/>
              <w:spacing w:after="120" w:line="276" w:lineRule="auto"/>
              <w:jc w:val="both"/>
              <w:rPr>
                <w:rFonts w:ascii="Verdana" w:eastAsia="Calibri" w:hAnsi="Verdana" w:cs="Arial"/>
                <w:lang w:val="es-ES_tradnl" w:eastAsia="es-CO"/>
              </w:rPr>
            </w:pPr>
            <w:r w:rsidRPr="004A2204">
              <w:rPr>
                <w:rFonts w:ascii="Verdana" w:eastAsia="Calibri" w:hAnsi="Verdana" w:cs="Arial"/>
                <w:lang w:val="es-ES_tradnl" w:eastAsia="es-CO"/>
              </w:rPr>
              <w:t>Decreto 1082 de 2015, artículos 2.2.1.1.1.3.1 y 2.2.1.1.1.6.4.</w:t>
            </w:r>
          </w:p>
          <w:p w14:paraId="5CD50EF0" w14:textId="77777777" w:rsidR="004A2204" w:rsidRPr="004A2204" w:rsidRDefault="004A2204" w:rsidP="004A2204">
            <w:pPr>
              <w:widowControl w:val="0"/>
              <w:numPr>
                <w:ilvl w:val="0"/>
                <w:numId w:val="17"/>
              </w:numPr>
              <w:autoSpaceDE w:val="0"/>
              <w:autoSpaceDN w:val="0"/>
              <w:snapToGrid w:val="0"/>
              <w:spacing w:after="120" w:line="276" w:lineRule="auto"/>
              <w:jc w:val="both"/>
              <w:rPr>
                <w:rFonts w:ascii="Verdana" w:eastAsia="Calibri" w:hAnsi="Verdana" w:cs="Arial"/>
                <w:lang w:val="es-ES_tradnl" w:eastAsia="es-CO"/>
              </w:rPr>
            </w:pPr>
            <w:r w:rsidRPr="004A2204">
              <w:rPr>
                <w:rFonts w:ascii="Verdana" w:eastAsia="Calibri" w:hAnsi="Verdana" w:cs="Arial"/>
                <w:lang w:val="es-ES_tradnl" w:eastAsia="es-CO"/>
              </w:rPr>
              <w:t>Consejo de Estado. Sección Tercera. Sentencia del 26 de junio de 2003. Rad. 13.354. C.P. María Elena Giraldo Gómez.</w:t>
            </w:r>
          </w:p>
          <w:p w14:paraId="74AAFACE" w14:textId="77777777" w:rsidR="004A2204" w:rsidRPr="004A2204" w:rsidRDefault="004A2204" w:rsidP="004A2204">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eastAsia="es-CO"/>
              </w:rPr>
            </w:pPr>
            <w:r w:rsidRPr="004A2204">
              <w:rPr>
                <w:rFonts w:ascii="Verdana" w:eastAsia="Calibri" w:hAnsi="Verdana" w:cs="Arial"/>
                <w:lang w:val="es-ES_tradnl" w:eastAsia="es-CO"/>
              </w:rPr>
              <w:t xml:space="preserve">Documentos Tipo expedidos por la Agencia Nacional de Contratación Pública – Colombia Compra Eficiente. Disponibles en: </w:t>
            </w:r>
            <w:hyperlink r:id="rId13" w:history="1">
              <w:r w:rsidRPr="004A2204">
                <w:rPr>
                  <w:rFonts w:ascii="Verdana" w:eastAsia="Calibri" w:hAnsi="Verdana" w:cs="Arial"/>
                  <w:color w:val="467886"/>
                  <w:u w:val="single"/>
                  <w:lang w:val="es-ES_tradnl" w:eastAsia="es-CO"/>
                </w:rPr>
                <w:t>https://www.colombiacompra.gov.co/normativa-y-relatoria/documentos-tipo</w:t>
              </w:r>
            </w:hyperlink>
            <w:r w:rsidRPr="004A2204">
              <w:rPr>
                <w:rFonts w:ascii="Verdana" w:eastAsia="Calibri" w:hAnsi="Verdana" w:cs="Arial"/>
                <w:lang w:val="es-ES_tradnl" w:eastAsia="es-CO"/>
              </w:rPr>
              <w:t xml:space="preserve">. </w:t>
            </w:r>
          </w:p>
          <w:p w14:paraId="5E64A712" w14:textId="77777777" w:rsidR="004A2204" w:rsidRPr="004A2204" w:rsidRDefault="004A2204" w:rsidP="004A2204">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eastAsia="es-CO"/>
              </w:rPr>
            </w:pPr>
            <w:r w:rsidRPr="004A2204">
              <w:rPr>
                <w:rFonts w:ascii="Verdana" w:eastAsia="Calibri" w:hAnsi="Verdana" w:cs="Arial"/>
                <w:color w:val="000000"/>
                <w:lang w:val="es-MX" w:eastAsia="en-GB"/>
              </w:rPr>
              <w:t xml:space="preserve">Guía para Determinar y Verificar la Capacidad Residual del Proponente en los Procesos de Contratación de Obra Pública. </w:t>
            </w:r>
            <w:r w:rsidRPr="004A2204">
              <w:rPr>
                <w:rFonts w:ascii="Verdana" w:eastAsia="Calibri" w:hAnsi="Verdana" w:cs="Arial"/>
                <w:lang w:val="es-ES_tradnl" w:eastAsia="es-CO"/>
              </w:rPr>
              <w:t xml:space="preserve">Agencia Nacional de Contratación Pública – Colombia Compra Eficiente. Disponible en: </w:t>
            </w:r>
            <w:hyperlink r:id="rId14" w:history="1">
              <w:r w:rsidRPr="004A2204">
                <w:rPr>
                  <w:rFonts w:ascii="Verdana" w:eastAsia="Calibri" w:hAnsi="Verdana" w:cs="Arial"/>
                  <w:color w:val="0000FF"/>
                  <w:u w:val="single"/>
                  <w:lang w:val="es-ES_tradnl" w:eastAsia="es-CO"/>
                </w:rPr>
                <w:t>https://www.colombiacompra.gov.co/normativa-y-relatoria/guias-y-manuales</w:t>
              </w:r>
            </w:hyperlink>
            <w:r w:rsidRPr="004A2204">
              <w:rPr>
                <w:rFonts w:ascii="Verdana" w:eastAsia="Calibri" w:hAnsi="Verdana" w:cs="Arial"/>
                <w:lang w:val="es-ES_tradnl" w:eastAsia="es-CO"/>
              </w:rPr>
              <w:t xml:space="preserve">. </w:t>
            </w:r>
          </w:p>
        </w:tc>
      </w:tr>
    </w:tbl>
    <w:p w14:paraId="477EAC02" w14:textId="77777777" w:rsidR="004A2204" w:rsidRPr="004A2204" w:rsidRDefault="004A2204" w:rsidP="004A2204">
      <w:pPr>
        <w:widowControl w:val="0"/>
        <w:autoSpaceDE w:val="0"/>
        <w:autoSpaceDN w:val="0"/>
        <w:snapToGrid w:val="0"/>
        <w:spacing w:after="0" w:line="276" w:lineRule="auto"/>
        <w:jc w:val="both"/>
        <w:rPr>
          <w:rFonts w:ascii="Verdana" w:eastAsia="Calibri" w:hAnsi="Verdana" w:cs="Arial"/>
          <w:lang w:val="es-ES_tradnl"/>
        </w:rPr>
      </w:pPr>
    </w:p>
    <w:p w14:paraId="6199A99B" w14:textId="77777777" w:rsidR="004A2204" w:rsidRPr="004A2204" w:rsidRDefault="004A2204" w:rsidP="004A22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A2204">
        <w:rPr>
          <w:rFonts w:ascii="Verdana" w:eastAsia="Century Gothic" w:hAnsi="Verdana" w:cs="Century Gothic"/>
          <w:b/>
          <w:bCs/>
          <w:lang w:val="es-ES_tradnl"/>
        </w:rPr>
        <w:t>Doctrina de la Agencia Nacional de Contratación Pública:</w:t>
      </w:r>
    </w:p>
    <w:p w14:paraId="5F0C9A30" w14:textId="77777777" w:rsidR="004A2204" w:rsidRPr="004A2204" w:rsidRDefault="004A2204" w:rsidP="004A2204">
      <w:pPr>
        <w:widowControl w:val="0"/>
        <w:autoSpaceDE w:val="0"/>
        <w:autoSpaceDN w:val="0"/>
        <w:snapToGrid w:val="0"/>
        <w:spacing w:after="0" w:line="276" w:lineRule="auto"/>
        <w:jc w:val="both"/>
        <w:rPr>
          <w:rFonts w:ascii="Verdana" w:eastAsia="Calibri" w:hAnsi="Verdana" w:cs="Arial"/>
          <w:lang w:val="es-ES_tradnl"/>
        </w:rPr>
      </w:pPr>
    </w:p>
    <w:p w14:paraId="01841F73" w14:textId="77777777" w:rsidR="004A2204" w:rsidRPr="004A2204" w:rsidRDefault="004A2204" w:rsidP="004A2204">
      <w:pPr>
        <w:spacing w:after="0" w:line="276" w:lineRule="auto"/>
        <w:jc w:val="both"/>
        <w:textAlignment w:val="baseline"/>
        <w:rPr>
          <w:rFonts w:ascii="Verdana" w:eastAsia="Calibri" w:hAnsi="Verdana" w:cs="Arial"/>
          <w:kern w:val="2"/>
          <w:shd w:val="clear" w:color="auto" w:fill="FFFFFF"/>
          <w:lang w:val="es-ES_tradnl"/>
          <w14:ligatures w14:val="standardContextual"/>
        </w:rPr>
      </w:pPr>
      <w:r w:rsidRPr="004A2204">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4A2204">
        <w:rPr>
          <w:rFonts w:ascii="Aptos" w:eastAsia="Aptos" w:hAnsi="Aptos" w:cs="Times New Roman"/>
          <w:kern w:val="2"/>
          <w:sz w:val="24"/>
          <w:szCs w:val="24"/>
          <w:lang w:val="es-ES_tradnl"/>
          <w14:ligatures w14:val="standardContextual"/>
        </w:rPr>
        <w:t xml:space="preserve"> </w:t>
      </w:r>
      <w:r w:rsidRPr="004A2204">
        <w:rPr>
          <w:rFonts w:ascii="Verdana" w:eastAsia="Calibri" w:hAnsi="Verdana" w:cs="Arial"/>
          <w:kern w:val="2"/>
          <w:shd w:val="clear" w:color="auto" w:fill="FFFFFF"/>
          <w:lang w:val="es-ES"/>
          <w14:ligatures w14:val="standardContextual"/>
        </w:rPr>
        <w:t>sobre la capacidad residual y la forma como esta se debe acreditar,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 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C-068 del 9 de marzo de 2022, C-220 del 22 de abril de 2022, C-351 del 23 de mayo de 2022, C-392 del 16 de junio de 2022, C-411 del 4 de diciembre de 2023, C-486 del 29 de mayo de 2025, C-687 del 5 de junio de 2026, entre otros.</w:t>
      </w:r>
    </w:p>
    <w:p w14:paraId="44B7237E" w14:textId="77777777" w:rsidR="004A2204" w:rsidRPr="004A2204" w:rsidRDefault="004A2204" w:rsidP="004A2204">
      <w:pPr>
        <w:spacing w:after="0" w:line="276" w:lineRule="auto"/>
        <w:jc w:val="both"/>
        <w:textAlignment w:val="baseline"/>
        <w:rPr>
          <w:rFonts w:ascii="Verdana" w:eastAsia="Calibri" w:hAnsi="Verdana" w:cs="Arial"/>
          <w:kern w:val="2"/>
          <w:shd w:val="clear" w:color="auto" w:fill="FFFFFF"/>
          <w:lang w:val="es-ES_tradnl"/>
          <w14:ligatures w14:val="standardContextual"/>
        </w:rPr>
      </w:pPr>
    </w:p>
    <w:p w14:paraId="40D972C4" w14:textId="77777777" w:rsidR="004A2204" w:rsidRPr="004A2204" w:rsidRDefault="004A2204" w:rsidP="004A2204">
      <w:pPr>
        <w:widowControl w:val="0"/>
        <w:autoSpaceDE w:val="0"/>
        <w:autoSpaceDN w:val="0"/>
        <w:spacing w:after="0" w:line="276" w:lineRule="auto"/>
        <w:jc w:val="both"/>
        <w:rPr>
          <w:rFonts w:ascii="Verdana" w:eastAsia="Times New Roman" w:hAnsi="Verdana" w:cs="Arial"/>
          <w:shd w:val="clear" w:color="auto" w:fill="FFFFFF"/>
          <w:lang w:val="es-ES"/>
        </w:rPr>
      </w:pPr>
      <w:r w:rsidRPr="004A2204">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5" w:history="1">
        <w:r w:rsidRPr="004A2204">
          <w:rPr>
            <w:rFonts w:ascii="Verdana" w:eastAsia="Aptos" w:hAnsi="Verdana" w:cs="Arial"/>
            <w:color w:val="0000FF"/>
            <w:kern w:val="2"/>
            <w:u w:val="single"/>
            <w:shd w:val="clear" w:color="auto" w:fill="FFFFFF"/>
            <w14:ligatures w14:val="standardContextual"/>
          </w:rPr>
          <w:t>https://relatoria.colombiacompra.gov.co/busqueda/conceptos</w:t>
        </w:r>
      </w:hyperlink>
      <w:r w:rsidRPr="004A2204">
        <w:rPr>
          <w:rFonts w:ascii="Verdana" w:eastAsia="Aptos" w:hAnsi="Verdana" w:cs="Arial"/>
          <w:kern w:val="2"/>
          <w:shd w:val="clear" w:color="auto" w:fill="FFFFFF"/>
          <w14:ligatures w14:val="standardContextual"/>
        </w:rPr>
        <w:t xml:space="preserve">. </w:t>
      </w:r>
      <w:r w:rsidRPr="004A2204">
        <w:rPr>
          <w:rFonts w:ascii="Verdana" w:eastAsia="Aptos" w:hAnsi="Verdana" w:cs="Arial"/>
          <w:color w:val="FF0000"/>
          <w:kern w:val="2"/>
          <w:shd w:val="clear" w:color="auto" w:fill="FFFFFF"/>
          <w:lang w:val="es-ES"/>
          <w14:ligatures w14:val="standardContextual"/>
        </w:rPr>
        <w:t xml:space="preserve">  </w:t>
      </w:r>
    </w:p>
    <w:p w14:paraId="71148DE9" w14:textId="77777777" w:rsidR="004A2204" w:rsidRPr="004A2204" w:rsidRDefault="004A2204" w:rsidP="004A2204">
      <w:pPr>
        <w:spacing w:after="0" w:line="240" w:lineRule="auto"/>
        <w:jc w:val="both"/>
        <w:rPr>
          <w:rFonts w:ascii="Verdana" w:eastAsia="Calibri" w:hAnsi="Verdana" w:cs="Arial"/>
          <w:color w:val="000000"/>
          <w:shd w:val="clear" w:color="auto" w:fill="FFFFFF"/>
        </w:rPr>
      </w:pPr>
    </w:p>
    <w:p w14:paraId="3C951323" w14:textId="77777777" w:rsidR="004A2204" w:rsidRPr="004A2204" w:rsidRDefault="004A2204" w:rsidP="004A2204">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4A2204">
        <w:rPr>
          <w:rFonts w:ascii="Verdana" w:eastAsia="Calibri" w:hAnsi="Verdana" w:cs="Arial"/>
          <w:kern w:val="2"/>
          <w:shd w:val="clear" w:color="auto" w:fill="FFFFFF"/>
          <w:lang w:val="es-ES_tradnl"/>
          <w14:ligatures w14:val="standardContextual"/>
        </w:rPr>
        <w:t>La</w:t>
      </w:r>
      <w:r w:rsidRPr="004A2204">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4A2204">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4A2204">
        <w:rPr>
          <w:rFonts w:ascii="Verdana" w:eastAsia="Calibri" w:hAnsi="Verdana" w:cs="Arial"/>
          <w:b/>
          <w:bCs/>
          <w:kern w:val="2"/>
          <w:shd w:val="clear" w:color="auto" w:fill="FFFFFF"/>
          <w:lang w:val="es-ES_tradnl"/>
          <w14:ligatures w14:val="standardContextual"/>
        </w:rPr>
        <w:t>Documentos Tipo</w:t>
      </w:r>
      <w:r w:rsidRPr="004A2204">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4A2204">
        <w:rPr>
          <w:rFonts w:ascii="Verdana" w:eastAsia="Calibri" w:hAnsi="Verdana" w:cs="Arial"/>
          <w:b/>
          <w:bCs/>
          <w:kern w:val="2"/>
          <w:shd w:val="clear" w:color="auto" w:fill="FFFFFF"/>
          <w:lang w:val="es-ES_tradnl"/>
          <w14:ligatures w14:val="standardContextual"/>
        </w:rPr>
        <w:t>transparencia</w:t>
      </w:r>
      <w:r w:rsidRPr="004A2204">
        <w:rPr>
          <w:rFonts w:ascii="Verdana" w:eastAsia="Calibri" w:hAnsi="Verdana" w:cs="Arial"/>
          <w:kern w:val="2"/>
          <w:shd w:val="clear" w:color="auto" w:fill="FFFFFF"/>
          <w:lang w:val="es-ES_tradnl"/>
          <w14:ligatures w14:val="standardContextual"/>
        </w:rPr>
        <w:t xml:space="preserve"> y promover un </w:t>
      </w:r>
      <w:r w:rsidRPr="004A2204">
        <w:rPr>
          <w:rFonts w:ascii="Verdana" w:eastAsia="Calibri" w:hAnsi="Verdana" w:cs="Arial"/>
          <w:kern w:val="2"/>
          <w:shd w:val="clear" w:color="auto" w:fill="FFFFFF"/>
          <w:lang w:val="es-ES_tradnl"/>
          <w14:ligatures w14:val="standardContextual"/>
        </w:rPr>
        <w:lastRenderedPageBreak/>
        <w:t>proceso de </w:t>
      </w:r>
      <w:r w:rsidRPr="004A2204">
        <w:rPr>
          <w:rFonts w:ascii="Verdana" w:eastAsia="Calibri" w:hAnsi="Verdana" w:cs="Arial"/>
          <w:b/>
          <w:bCs/>
          <w:kern w:val="2"/>
          <w:shd w:val="clear" w:color="auto" w:fill="FFFFFF"/>
          <w:lang w:val="es-ES_tradnl"/>
          <w14:ligatures w14:val="standardContextual"/>
        </w:rPr>
        <w:t>selección objetiva</w:t>
      </w:r>
      <w:r w:rsidRPr="004A2204">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E0C0A58" w14:textId="77777777" w:rsidR="004A2204" w:rsidRPr="004A2204" w:rsidRDefault="004A2204" w:rsidP="004A2204">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EF5A9A2" w14:textId="77777777" w:rsidR="004A2204" w:rsidRPr="004A2204" w:rsidRDefault="004A2204" w:rsidP="004A2204">
      <w:pPr>
        <w:spacing w:after="0" w:line="276" w:lineRule="auto"/>
        <w:jc w:val="both"/>
        <w:rPr>
          <w:rFonts w:ascii="Verdana" w:eastAsia="Aptos" w:hAnsi="Verdana" w:cs="Times New Roman"/>
          <w:kern w:val="2"/>
          <w:lang w:val="es-ES_tradnl"/>
          <w14:ligatures w14:val="standardContextual"/>
        </w:rPr>
      </w:pPr>
      <w:r w:rsidRPr="004A2204">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4A2204">
        <w:rPr>
          <w:rFonts w:ascii="Verdana" w:eastAsia="Aptos" w:hAnsi="Verdana" w:cs="Times New Roman"/>
          <w:b/>
          <w:bCs/>
          <w:kern w:val="2"/>
          <w14:ligatures w14:val="standardContextual"/>
        </w:rPr>
        <w:t>Guía para la Exigencia y Constitución de Garantías en los Procesos de Contratación</w:t>
      </w:r>
      <w:r w:rsidRPr="004A2204">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6" w:tgtFrame="_blank" w:tooltip="Original URL: https://www.colombiacompra.gov.co/archivos/manual/guia-de-garantias-en-procesos-de-contratacion. Click or tap if you trust this link." w:history="1">
        <w:r w:rsidRPr="004A2204">
          <w:rPr>
            <w:rFonts w:ascii="Verdana" w:eastAsia="Aptos" w:hAnsi="Verdana" w:cs="Times New Roman"/>
            <w:color w:val="0000FF"/>
            <w:kern w:val="2"/>
            <w:u w:val="single"/>
            <w14:ligatures w14:val="standardContextual"/>
          </w:rPr>
          <w:t>https://www.colombiacompra.gov.co/archivos/manual/guia-de-garantias-en-procesos-de-contratacion</w:t>
        </w:r>
      </w:hyperlink>
    </w:p>
    <w:p w14:paraId="6179999F" w14:textId="77777777" w:rsidR="004A2204" w:rsidRPr="004A2204" w:rsidRDefault="004A2204" w:rsidP="004A2204">
      <w:pPr>
        <w:spacing w:after="0" w:line="276" w:lineRule="auto"/>
        <w:jc w:val="both"/>
        <w:rPr>
          <w:rFonts w:ascii="Verdana" w:eastAsia="Aptos" w:hAnsi="Verdana" w:cs="Times New Roman"/>
          <w:kern w:val="2"/>
          <w14:ligatures w14:val="standardContextual"/>
        </w:rPr>
      </w:pPr>
    </w:p>
    <w:p w14:paraId="110746A6" w14:textId="77777777" w:rsidR="004A2204" w:rsidRPr="004A2204" w:rsidRDefault="004A2204" w:rsidP="004A2204">
      <w:pPr>
        <w:spacing w:after="0" w:line="276" w:lineRule="auto"/>
        <w:jc w:val="both"/>
        <w:rPr>
          <w:rFonts w:ascii="Verdana" w:eastAsia="Aptos" w:hAnsi="Verdana" w:cs="Times New Roman"/>
          <w:kern w:val="2"/>
          <w:lang w:val="es-ES_tradnl"/>
          <w14:ligatures w14:val="standardContextual"/>
        </w:rPr>
      </w:pPr>
      <w:r w:rsidRPr="004A2204">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4A2204">
        <w:rPr>
          <w:rFonts w:ascii="Verdana" w:eastAsia="Aptos" w:hAnsi="Verdana" w:cs="Times New Roman"/>
          <w:b/>
          <w:bCs/>
          <w:kern w:val="2"/>
          <w14:ligatures w14:val="standardContextual"/>
        </w:rPr>
        <w:t>Sistema Integral de Preferencias en favor de las personas con discapacidad</w:t>
      </w:r>
      <w:r w:rsidRPr="004A2204">
        <w:rPr>
          <w:rFonts w:ascii="Verdana" w:eastAsia="Aptos" w:hAnsi="Verdana" w:cs="Times New Roman"/>
          <w:kern w:val="2"/>
          <w14:ligatures w14:val="standardContextual"/>
        </w:rPr>
        <w:t>, en cumplimiento del artículo 13 de la Ley Estatutaria 1618 de 2013. Para orientar su aplicación, esta Agencia expidió la </w:t>
      </w:r>
      <w:r w:rsidRPr="004A2204">
        <w:rPr>
          <w:rFonts w:ascii="Verdana" w:eastAsia="Aptos" w:hAnsi="Verdana" w:cs="Times New Roman"/>
          <w:b/>
          <w:bCs/>
          <w:kern w:val="2"/>
          <w14:ligatures w14:val="standardContextual"/>
        </w:rPr>
        <w:t>Circular Externa 003 del 12 de mayo de 2026, </w:t>
      </w:r>
      <w:r w:rsidRPr="004A2204">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7" w:tgtFrame="_blank" w:tooltip="Original URL: https://www.colombiacompra.gov.co/archivos/circular/circular-externa-003-de-2026. Click or tap if you trust this link." w:history="1">
        <w:r w:rsidRPr="004A2204">
          <w:rPr>
            <w:rFonts w:ascii="Verdana" w:eastAsia="Aptos" w:hAnsi="Verdana" w:cs="Times New Roman"/>
            <w:color w:val="0000FF"/>
            <w:kern w:val="2"/>
            <w:u w:val="single"/>
            <w14:ligatures w14:val="standardContextual"/>
          </w:rPr>
          <w:t>https://www.colombiacompra.gov.co/archivos/circular/circular-externa-003-de-2026</w:t>
        </w:r>
      </w:hyperlink>
    </w:p>
    <w:p w14:paraId="5F2E18A2" w14:textId="77777777" w:rsidR="004A2204" w:rsidRPr="004A2204" w:rsidRDefault="004A2204" w:rsidP="004A2204">
      <w:pPr>
        <w:spacing w:after="0" w:line="276" w:lineRule="auto"/>
        <w:jc w:val="both"/>
        <w:rPr>
          <w:rFonts w:ascii="Verdana" w:eastAsia="Aptos" w:hAnsi="Verdana" w:cs="Times New Roman"/>
          <w:kern w:val="2"/>
          <w14:ligatures w14:val="standardContextual"/>
        </w:rPr>
      </w:pPr>
    </w:p>
    <w:p w14:paraId="0673DFE3" w14:textId="77777777" w:rsidR="004A2204" w:rsidRPr="004A2204" w:rsidRDefault="004A2204" w:rsidP="004A2204">
      <w:pPr>
        <w:spacing w:after="0" w:line="276" w:lineRule="auto"/>
        <w:jc w:val="both"/>
        <w:rPr>
          <w:rFonts w:ascii="Verdana" w:eastAsia="Aptos" w:hAnsi="Verdana" w:cs="Times New Roman"/>
          <w:kern w:val="2"/>
          <w:lang w:val="es-ES_tradnl"/>
          <w14:ligatures w14:val="standardContextual"/>
        </w:rPr>
      </w:pPr>
      <w:r w:rsidRPr="004A2204">
        <w:rPr>
          <w:rFonts w:ascii="Verdana" w:eastAsia="Aptos" w:hAnsi="Verdana" w:cs="Times New Roman"/>
          <w:kern w:val="2"/>
          <w14:ligatures w14:val="standardContextual"/>
        </w:rPr>
        <w:t>Recuerde también que la</w:t>
      </w:r>
      <w:r w:rsidRPr="004A2204">
        <w:rPr>
          <w:rFonts w:ascii="Verdana" w:eastAsia="Aptos" w:hAnsi="Verdana" w:cs="Times New Roman"/>
          <w:b/>
          <w:bCs/>
          <w:kern w:val="2"/>
          <w14:ligatures w14:val="standardContextual"/>
        </w:rPr>
        <w:t> información sobre sanciones e inhabilidades </w:t>
      </w:r>
      <w:r w:rsidRPr="004A2204">
        <w:rPr>
          <w:rFonts w:ascii="Verdana" w:eastAsia="Aptos" w:hAnsi="Verdana" w:cs="Times New Roman"/>
          <w:kern w:val="2"/>
          <w14:ligatures w14:val="standardContextual"/>
        </w:rPr>
        <w:t>solo cumple su función preventiva si llega oportunamente a los registros públicos. Sobre este deber, esta Agencia expidió la </w:t>
      </w:r>
      <w:r w:rsidRPr="004A2204">
        <w:rPr>
          <w:rFonts w:ascii="Verdana" w:eastAsia="Aptos" w:hAnsi="Verdana" w:cs="Times New Roman"/>
          <w:b/>
          <w:bCs/>
          <w:kern w:val="2"/>
          <w14:ligatures w14:val="standardContextual"/>
        </w:rPr>
        <w:t>Circular Externa 002 del 5 de mayo de 2026,</w:t>
      </w:r>
      <w:r w:rsidRPr="004A2204">
        <w:rPr>
          <w:rFonts w:ascii="Verdana" w:eastAsia="Aptos" w:hAnsi="Verdana" w:cs="Times New Roman"/>
          <w:kern w:val="2"/>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w:t>
      </w:r>
      <w:r w:rsidRPr="004A2204">
        <w:rPr>
          <w:rFonts w:ascii="Verdana" w:eastAsia="Aptos" w:hAnsi="Verdana" w:cs="Times New Roman"/>
          <w:kern w:val="2"/>
          <w14:ligatures w14:val="standardContextual"/>
        </w:rPr>
        <w:lastRenderedPageBreak/>
        <w:t>disciplinarias de omitir este deber. Consúltala aquí: </w:t>
      </w:r>
      <w:hyperlink r:id="rId18" w:tgtFrame="_blank" w:tooltip="Original URL: https://www.colombiacompra.gov.co/archivos/circular/circular-externa-002-de-2026. Click or tap if you trust this link." w:history="1">
        <w:r w:rsidRPr="004A2204">
          <w:rPr>
            <w:rFonts w:ascii="Verdana" w:eastAsia="Aptos" w:hAnsi="Verdana" w:cs="Times New Roman"/>
            <w:color w:val="0000FF"/>
            <w:kern w:val="2"/>
            <w:u w:val="single"/>
            <w14:ligatures w14:val="standardContextual"/>
          </w:rPr>
          <w:t>https://www.colombiacompra.gov.co/archivos/circular/circular-externa-002-de-2026</w:t>
        </w:r>
      </w:hyperlink>
    </w:p>
    <w:p w14:paraId="2660C38F" w14:textId="77777777" w:rsidR="004A2204" w:rsidRPr="004A2204" w:rsidRDefault="004A2204" w:rsidP="004A2204">
      <w:pPr>
        <w:spacing w:after="0" w:line="276" w:lineRule="auto"/>
        <w:jc w:val="both"/>
        <w:rPr>
          <w:rFonts w:ascii="Verdana" w:eastAsia="Aptos" w:hAnsi="Verdana" w:cs="Times New Roman"/>
          <w:kern w:val="2"/>
          <w14:ligatures w14:val="standardContextual"/>
        </w:rPr>
      </w:pPr>
    </w:p>
    <w:p w14:paraId="693B1259" w14:textId="77777777" w:rsidR="004A2204" w:rsidRPr="004A2204" w:rsidRDefault="004A2204" w:rsidP="004A2204">
      <w:pPr>
        <w:spacing w:after="0" w:line="276" w:lineRule="auto"/>
        <w:jc w:val="both"/>
        <w:rPr>
          <w:rFonts w:ascii="Verdana" w:eastAsia="Aptos" w:hAnsi="Verdana" w:cs="Times New Roman"/>
          <w:kern w:val="2"/>
          <w14:ligatures w14:val="standardContextual"/>
        </w:rPr>
      </w:pPr>
      <w:r w:rsidRPr="004A2204">
        <w:rPr>
          <w:rFonts w:ascii="Verdana" w:eastAsia="Aptos" w:hAnsi="Verdana" w:cs="Times New Roman"/>
          <w:kern w:val="2"/>
          <w14:ligatures w14:val="standardContextual"/>
        </w:rPr>
        <w:t>Si quiere seguir de cerca la actividad de la Agencia, la tercera edición de 2026 del</w:t>
      </w:r>
      <w:r w:rsidRPr="004A2204">
        <w:rPr>
          <w:rFonts w:ascii="Verdana" w:eastAsia="Aptos" w:hAnsi="Verdana" w:cs="Times New Roman"/>
          <w:b/>
          <w:bCs/>
          <w:kern w:val="2"/>
          <w14:ligatures w14:val="standardContextual"/>
        </w:rPr>
        <w:t> Radar de la Compra Pública</w:t>
      </w:r>
      <w:r w:rsidRPr="004A2204">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9" w:tgtFrame="_blank" w:tooltip="Original URL: https://www.colombiacompra.gov.co/archivos/boletin/boletin-edicion-n-3-de-2026-radar-de-la-compra-publica. Click or tap if you trust this link." w:history="1">
        <w:r w:rsidRPr="004A2204">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1A3BD286" w14:textId="77777777" w:rsidR="004A2204" w:rsidRPr="004A2204" w:rsidRDefault="004A2204" w:rsidP="004A2204">
      <w:pPr>
        <w:widowControl w:val="0"/>
        <w:autoSpaceDE w:val="0"/>
        <w:autoSpaceDN w:val="0"/>
        <w:spacing w:after="0" w:line="276" w:lineRule="auto"/>
        <w:jc w:val="both"/>
        <w:rPr>
          <w:rFonts w:ascii="Verdana" w:eastAsia="Calibri" w:hAnsi="Verdana" w:cs="Arial"/>
          <w:shd w:val="clear" w:color="auto" w:fill="FFFFFF"/>
          <w:lang w:val="es-ES_tradnl"/>
        </w:rPr>
      </w:pPr>
    </w:p>
    <w:p w14:paraId="040831A1" w14:textId="77777777" w:rsidR="004A2204" w:rsidRPr="004A2204" w:rsidRDefault="004A2204" w:rsidP="004A2204">
      <w:pPr>
        <w:spacing w:after="0" w:line="276" w:lineRule="auto"/>
        <w:jc w:val="both"/>
        <w:rPr>
          <w:rFonts w:ascii="Verdana" w:eastAsia="Calibri" w:hAnsi="Verdana" w:cs="Times New Roman"/>
          <w:lang w:val="es-ES_tradnl"/>
        </w:rPr>
      </w:pPr>
      <w:r w:rsidRPr="004A2204">
        <w:rPr>
          <w:rFonts w:ascii="Verdana" w:eastAsia="Calibri" w:hAnsi="Verdana" w:cs="Times New Roman"/>
          <w:lang w:val="es-ES_tradnl"/>
        </w:rPr>
        <w:t xml:space="preserve">Por último, los invitamos a seguirnos en las redes sociales, en las cuales se difunde información institucional: </w:t>
      </w:r>
    </w:p>
    <w:p w14:paraId="4964A3E3" w14:textId="77777777" w:rsidR="004A2204" w:rsidRPr="004A2204" w:rsidRDefault="004A2204" w:rsidP="004A2204">
      <w:pPr>
        <w:spacing w:after="0" w:line="240" w:lineRule="auto"/>
        <w:jc w:val="both"/>
        <w:rPr>
          <w:rFonts w:ascii="Verdana" w:eastAsia="Calibri" w:hAnsi="Verdana" w:cs="Times New Roman"/>
          <w:kern w:val="2"/>
          <w:lang w:val="es-ES_tradnl"/>
          <w14:ligatures w14:val="standardContextual"/>
        </w:rPr>
      </w:pPr>
    </w:p>
    <w:p w14:paraId="34F0105C" w14:textId="77777777" w:rsidR="004A2204" w:rsidRPr="004A2204" w:rsidRDefault="004A2204" w:rsidP="004A2204">
      <w:pPr>
        <w:spacing w:after="0" w:line="240" w:lineRule="auto"/>
        <w:jc w:val="both"/>
        <w:rPr>
          <w:rFonts w:ascii="Verdana" w:eastAsia="Calibri" w:hAnsi="Verdana" w:cs="Times New Roman"/>
          <w:kern w:val="2"/>
          <w:lang w:val="es-ES_tradnl"/>
          <w14:ligatures w14:val="standardContextual"/>
        </w:rPr>
      </w:pPr>
      <w:r w:rsidRPr="004A2204">
        <w:rPr>
          <w:rFonts w:ascii="Verdana" w:eastAsia="Calibri" w:hAnsi="Verdana" w:cs="Times New Roman"/>
          <w:kern w:val="2"/>
          <w:lang w:val="es-ES_tradnl"/>
          <w14:ligatures w14:val="standardContextual"/>
        </w:rPr>
        <w:t xml:space="preserve">X: </w:t>
      </w:r>
      <w:r w:rsidRPr="004A2204">
        <w:rPr>
          <w:rFonts w:ascii="Verdana" w:eastAsia="Calibri" w:hAnsi="Verdana" w:cs="Times New Roman"/>
          <w:kern w:val="2"/>
          <w:u w:val="single"/>
          <w:lang w:val="es-ES_tradnl"/>
          <w14:ligatures w14:val="standardContextual"/>
        </w:rPr>
        <w:t>@colombiacompra</w:t>
      </w:r>
      <w:r w:rsidRPr="004A2204">
        <w:rPr>
          <w:rFonts w:ascii="Verdana" w:eastAsia="Calibri" w:hAnsi="Verdana" w:cs="Times New Roman"/>
          <w:kern w:val="2"/>
          <w:lang w:val="es-ES_tradnl"/>
          <w14:ligatures w14:val="standardContextual"/>
        </w:rPr>
        <w:t xml:space="preserve"> </w:t>
      </w:r>
    </w:p>
    <w:p w14:paraId="78B06B8A" w14:textId="77777777" w:rsidR="004A2204" w:rsidRPr="004A2204" w:rsidRDefault="004A2204" w:rsidP="004A2204">
      <w:pPr>
        <w:spacing w:after="0" w:line="240" w:lineRule="auto"/>
        <w:jc w:val="both"/>
        <w:rPr>
          <w:rFonts w:ascii="Verdana" w:eastAsia="Calibri" w:hAnsi="Verdana" w:cs="Times New Roman"/>
          <w:kern w:val="2"/>
          <w:lang w:val="es-ES"/>
          <w14:ligatures w14:val="standardContextual"/>
        </w:rPr>
      </w:pPr>
      <w:r w:rsidRPr="004A2204">
        <w:rPr>
          <w:rFonts w:ascii="Verdana" w:eastAsia="Calibri" w:hAnsi="Verdana" w:cs="Times New Roman"/>
          <w:kern w:val="2"/>
          <w:lang w:val="es-ES"/>
          <w14:ligatures w14:val="standardContextual"/>
        </w:rPr>
        <w:t xml:space="preserve">Facebook: </w:t>
      </w:r>
      <w:proofErr w:type="spellStart"/>
      <w:r w:rsidRPr="004A2204">
        <w:rPr>
          <w:rFonts w:ascii="Verdana" w:eastAsia="Calibri" w:hAnsi="Verdana" w:cs="Times New Roman"/>
          <w:kern w:val="2"/>
          <w:u w:val="single"/>
          <w:lang w:val="es-ES"/>
          <w14:ligatures w14:val="standardContextual"/>
        </w:rPr>
        <w:t>ColombiaCompraEficiente</w:t>
      </w:r>
      <w:proofErr w:type="spellEnd"/>
    </w:p>
    <w:p w14:paraId="231A9056" w14:textId="77777777" w:rsidR="004A2204" w:rsidRPr="004A2204" w:rsidRDefault="004A2204" w:rsidP="004A2204">
      <w:pPr>
        <w:spacing w:after="0" w:line="240" w:lineRule="auto"/>
        <w:jc w:val="both"/>
        <w:rPr>
          <w:rFonts w:ascii="Verdana" w:eastAsia="Calibri" w:hAnsi="Verdana" w:cs="Times New Roman"/>
          <w:kern w:val="2"/>
          <w:lang w:val="es-ES_tradnl"/>
          <w14:ligatures w14:val="standardContextual"/>
        </w:rPr>
      </w:pPr>
      <w:r w:rsidRPr="004A2204">
        <w:rPr>
          <w:rFonts w:ascii="Verdana" w:eastAsia="Calibri" w:hAnsi="Verdana" w:cs="Times New Roman"/>
          <w:kern w:val="2"/>
          <w:lang w:val="es-ES_tradnl"/>
          <w14:ligatures w14:val="standardContextual"/>
        </w:rPr>
        <w:t xml:space="preserve">LinkedIn: </w:t>
      </w:r>
      <w:r w:rsidRPr="004A2204">
        <w:rPr>
          <w:rFonts w:ascii="Verdana" w:eastAsia="Calibri" w:hAnsi="Verdana" w:cs="Times New Roman"/>
          <w:kern w:val="2"/>
          <w:u w:val="single"/>
          <w:lang w:val="es-ES_tradnl"/>
          <w14:ligatures w14:val="standardContextual"/>
        </w:rPr>
        <w:t>Agencia Nacional de Contratación Pública - Colombia Compra Eficiente</w:t>
      </w:r>
      <w:r w:rsidRPr="004A2204">
        <w:rPr>
          <w:rFonts w:ascii="Verdana" w:eastAsia="Calibri" w:hAnsi="Verdana" w:cs="Times New Roman"/>
          <w:kern w:val="2"/>
          <w:lang w:val="es-ES_tradnl"/>
          <w14:ligatures w14:val="standardContextual"/>
        </w:rPr>
        <w:t xml:space="preserve"> Instagram: </w:t>
      </w:r>
      <w:r w:rsidRPr="004A2204">
        <w:rPr>
          <w:rFonts w:ascii="Verdana" w:eastAsia="Calibri" w:hAnsi="Verdana" w:cs="Times New Roman"/>
          <w:kern w:val="2"/>
          <w:u w:val="single"/>
          <w:lang w:val="es-ES_tradnl"/>
          <w14:ligatures w14:val="standardContextual"/>
        </w:rPr>
        <w:t>@colombiacompraeficiente_cce</w:t>
      </w:r>
    </w:p>
    <w:p w14:paraId="4D1FE8D1" w14:textId="77777777" w:rsidR="004A2204" w:rsidRPr="004A2204" w:rsidRDefault="004A2204" w:rsidP="004A2204">
      <w:pPr>
        <w:spacing w:after="0" w:line="240" w:lineRule="auto"/>
        <w:jc w:val="both"/>
        <w:rPr>
          <w:rFonts w:ascii="Verdana" w:eastAsia="Calibri" w:hAnsi="Verdana" w:cs="Times New Roman"/>
          <w:kern w:val="2"/>
          <w:lang w:val="es-ES_tradnl"/>
          <w14:ligatures w14:val="standardContextual"/>
        </w:rPr>
      </w:pPr>
    </w:p>
    <w:p w14:paraId="5C336EE5" w14:textId="77777777" w:rsidR="004A2204" w:rsidRPr="004A2204" w:rsidRDefault="004A2204" w:rsidP="004A2204">
      <w:pPr>
        <w:widowControl w:val="0"/>
        <w:autoSpaceDE w:val="0"/>
        <w:autoSpaceDN w:val="0"/>
        <w:spacing w:after="0" w:line="276" w:lineRule="auto"/>
        <w:jc w:val="both"/>
        <w:rPr>
          <w:rFonts w:ascii="Verdana" w:eastAsia="Calibri" w:hAnsi="Verdana" w:cs="Arial"/>
          <w:kern w:val="2"/>
          <w:lang w:val="es-ES_tradnl"/>
          <w14:ligatures w14:val="standardContextual"/>
        </w:rPr>
      </w:pPr>
      <w:r w:rsidRPr="004A2204">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C322048" w14:textId="77777777" w:rsidR="004A2204" w:rsidRPr="004A2204" w:rsidRDefault="004A2204" w:rsidP="004A2204">
      <w:pPr>
        <w:widowControl w:val="0"/>
        <w:autoSpaceDE w:val="0"/>
        <w:autoSpaceDN w:val="0"/>
        <w:spacing w:after="0" w:line="276" w:lineRule="auto"/>
        <w:jc w:val="both"/>
        <w:rPr>
          <w:rFonts w:ascii="Verdana" w:eastAsia="Calibri" w:hAnsi="Verdana" w:cs="Arial"/>
          <w:lang w:val="es-ES_tradnl"/>
        </w:rPr>
      </w:pPr>
    </w:p>
    <w:p w14:paraId="6A0D42DE" w14:textId="77777777" w:rsidR="004A2204" w:rsidRPr="004A2204" w:rsidRDefault="004A2204" w:rsidP="004A2204">
      <w:pPr>
        <w:spacing w:after="0" w:line="240" w:lineRule="auto"/>
        <w:rPr>
          <w:rFonts w:ascii="Verdana" w:eastAsia="Calibri" w:hAnsi="Verdana" w:cs="Arial"/>
          <w:lang w:val="es-ES_tradnl" w:eastAsia="es-CO"/>
        </w:rPr>
      </w:pPr>
      <w:r w:rsidRPr="004A2204">
        <w:rPr>
          <w:rFonts w:ascii="Verdana" w:eastAsia="Times New Roman" w:hAnsi="Verdana" w:cs="Arial"/>
          <w:lang w:val="es-ES_tradnl" w:eastAsia="es-CO"/>
        </w:rPr>
        <w:t>Atentamente,</w:t>
      </w:r>
      <w:r w:rsidRPr="004A2204">
        <w:rPr>
          <w:rFonts w:ascii="Verdana" w:eastAsia="Calibri" w:hAnsi="Verdana" w:cs="Arial"/>
          <w:lang w:val="es-ES_tradnl" w:eastAsia="es-CO"/>
        </w:rPr>
        <w:t xml:space="preserve"> </w:t>
      </w:r>
    </w:p>
    <w:p w14:paraId="19CB4140" w14:textId="75EB0764" w:rsidR="004A2204" w:rsidRPr="004A2204" w:rsidRDefault="00516907" w:rsidP="004A2204">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54876CB5" wp14:editId="6A622C73">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219498" cy="1195115"/>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2204" w:rsidRPr="004A2204" w14:paraId="68F74FD4" w14:textId="77777777" w:rsidTr="00E122B9">
        <w:trPr>
          <w:trHeight w:val="315"/>
        </w:trPr>
        <w:tc>
          <w:tcPr>
            <w:tcW w:w="893" w:type="dxa"/>
            <w:vAlign w:val="center"/>
            <w:hideMark/>
          </w:tcPr>
          <w:p w14:paraId="2592FEBB" w14:textId="77777777" w:rsidR="004A2204" w:rsidRPr="004A2204" w:rsidRDefault="004A2204" w:rsidP="004A2204">
            <w:pPr>
              <w:rPr>
                <w:rFonts w:ascii="Verdana" w:eastAsia="Calibri" w:hAnsi="Verdana" w:cs="Arial"/>
                <w:sz w:val="16"/>
                <w:szCs w:val="16"/>
                <w:lang w:val="es-ES_tradnl" w:eastAsia="es-ES"/>
              </w:rPr>
            </w:pPr>
            <w:r w:rsidRPr="004A2204">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1343148B" w14:textId="77777777" w:rsidR="004A2204" w:rsidRPr="004A2204" w:rsidRDefault="004A2204" w:rsidP="004A2204">
            <w:pPr>
              <w:rPr>
                <w:rFonts w:ascii="Verdana" w:eastAsia="Arial" w:hAnsi="Verdana" w:cs="Arial"/>
                <w:sz w:val="16"/>
                <w:szCs w:val="16"/>
                <w:lang w:val="es-ES_tradnl" w:eastAsia="es-CO"/>
              </w:rPr>
            </w:pPr>
            <w:r w:rsidRPr="004A2204">
              <w:rPr>
                <w:rFonts w:ascii="Verdana" w:eastAsia="Arial" w:hAnsi="Verdana" w:cs="Arial"/>
                <w:sz w:val="16"/>
                <w:szCs w:val="16"/>
                <w:lang w:val="es-ES_tradnl" w:eastAsia="es-CO"/>
              </w:rPr>
              <w:t>Kevin Arlid Herrera Santa</w:t>
            </w:r>
          </w:p>
          <w:p w14:paraId="0F77CC5A" w14:textId="77777777" w:rsidR="004A2204" w:rsidRPr="004A2204" w:rsidRDefault="004A2204" w:rsidP="004A2204">
            <w:pPr>
              <w:rPr>
                <w:rFonts w:ascii="Verdana" w:eastAsia="Arial" w:hAnsi="Verdana" w:cs="Arial"/>
                <w:sz w:val="16"/>
                <w:szCs w:val="16"/>
                <w:lang w:val="es-ES_tradnl" w:eastAsia="es-CO"/>
              </w:rPr>
            </w:pPr>
            <w:r w:rsidRPr="004A2204">
              <w:rPr>
                <w:rFonts w:ascii="Verdana" w:eastAsia="Arial" w:hAnsi="Verdana" w:cs="Arial"/>
                <w:sz w:val="16"/>
                <w:szCs w:val="16"/>
                <w:lang w:val="es-ES_tradnl" w:eastAsia="es-CO"/>
              </w:rPr>
              <w:t xml:space="preserve">Contratista de la Subdirección de Gestión Contractual </w:t>
            </w:r>
          </w:p>
          <w:p w14:paraId="01E7407D" w14:textId="77777777" w:rsidR="004A2204" w:rsidRPr="004A2204" w:rsidRDefault="004A2204" w:rsidP="004A2204">
            <w:pPr>
              <w:rPr>
                <w:rFonts w:ascii="Verdana" w:eastAsia="Arial" w:hAnsi="Verdana" w:cs="Arial"/>
                <w:sz w:val="16"/>
                <w:szCs w:val="16"/>
                <w:lang w:val="es-ES_tradnl" w:eastAsia="es-CO"/>
              </w:rPr>
            </w:pPr>
            <w:r w:rsidRPr="004A2204">
              <w:rPr>
                <w:rFonts w:ascii="Verdana" w:eastAsia="Arial" w:hAnsi="Verdana" w:cs="Arial"/>
                <w:sz w:val="16"/>
                <w:szCs w:val="16"/>
                <w:lang w:val="es-ES_tradnl" w:eastAsia="es-CO"/>
              </w:rPr>
              <w:t>Alejandro Gamboa Cárdenas</w:t>
            </w:r>
          </w:p>
          <w:p w14:paraId="1FA199D5" w14:textId="77777777" w:rsidR="004A2204" w:rsidRPr="004A2204" w:rsidRDefault="004A2204" w:rsidP="004A2204">
            <w:pPr>
              <w:rPr>
                <w:rFonts w:ascii="Verdana" w:eastAsia="Arial" w:hAnsi="Verdana" w:cs="Arial"/>
                <w:sz w:val="16"/>
                <w:szCs w:val="16"/>
                <w:lang w:val="es-ES_tradnl" w:eastAsia="es-CO"/>
              </w:rPr>
            </w:pPr>
            <w:r w:rsidRPr="004A2204">
              <w:rPr>
                <w:rFonts w:ascii="Verdana" w:eastAsia="Arial" w:hAnsi="Verdana" w:cs="Arial"/>
                <w:sz w:val="16"/>
                <w:szCs w:val="16"/>
                <w:lang w:val="es-ES_tradnl" w:eastAsia="es-CO"/>
              </w:rPr>
              <w:t xml:space="preserve">Contratista de la Subdirección de Gestión Contractual </w:t>
            </w:r>
          </w:p>
          <w:p w14:paraId="1597507C" w14:textId="77777777" w:rsidR="004A2204" w:rsidRPr="004A2204" w:rsidRDefault="004A2204" w:rsidP="004A2204">
            <w:pPr>
              <w:rPr>
                <w:rFonts w:ascii="Verdana" w:eastAsia="Arial" w:hAnsi="Verdana" w:cs="Arial"/>
                <w:sz w:val="16"/>
                <w:szCs w:val="16"/>
                <w:lang w:val="es-ES_tradnl" w:eastAsia="es-CO"/>
              </w:rPr>
            </w:pPr>
          </w:p>
        </w:tc>
      </w:tr>
      <w:tr w:rsidR="004A2204" w:rsidRPr="004A2204" w14:paraId="39C2C72A" w14:textId="77777777" w:rsidTr="00E122B9">
        <w:trPr>
          <w:trHeight w:val="330"/>
        </w:trPr>
        <w:tc>
          <w:tcPr>
            <w:tcW w:w="893" w:type="dxa"/>
            <w:vAlign w:val="center"/>
            <w:hideMark/>
          </w:tcPr>
          <w:p w14:paraId="72BE6D5A" w14:textId="77777777" w:rsidR="004A2204" w:rsidRPr="004A2204" w:rsidRDefault="004A2204" w:rsidP="004A2204">
            <w:pPr>
              <w:rPr>
                <w:rFonts w:ascii="Verdana" w:eastAsia="Calibri" w:hAnsi="Verdana" w:cs="Arial"/>
                <w:sz w:val="16"/>
                <w:szCs w:val="16"/>
                <w:lang w:val="es-ES_tradnl" w:eastAsia="es-ES"/>
              </w:rPr>
            </w:pPr>
            <w:r w:rsidRPr="004A2204">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0E7600C5" w14:textId="77777777" w:rsidR="004A2204" w:rsidRPr="004A2204" w:rsidRDefault="004A2204" w:rsidP="004A2204">
            <w:pPr>
              <w:textAlignment w:val="baseline"/>
              <w:rPr>
                <w:rFonts w:ascii="Verdana" w:eastAsia="Times New Roman" w:hAnsi="Verdana" w:cs="Segoe UI"/>
                <w:sz w:val="16"/>
                <w:szCs w:val="16"/>
                <w:lang w:val="es-ES_tradnl" w:eastAsia="es-ES_tradnl"/>
              </w:rPr>
            </w:pPr>
            <w:r w:rsidRPr="004A2204">
              <w:rPr>
                <w:rFonts w:ascii="Verdana" w:eastAsia="Times New Roman" w:hAnsi="Verdana" w:cs="Segoe UI"/>
                <w:sz w:val="16"/>
                <w:szCs w:val="16"/>
                <w:lang w:val="es-ES_tradnl" w:eastAsia="es-ES_tradnl"/>
              </w:rPr>
              <w:t xml:space="preserve">Adriana </w:t>
            </w:r>
            <w:proofErr w:type="spellStart"/>
            <w:r w:rsidRPr="004A2204">
              <w:rPr>
                <w:rFonts w:ascii="Verdana" w:eastAsia="Times New Roman" w:hAnsi="Verdana" w:cs="Segoe UI"/>
                <w:sz w:val="16"/>
                <w:szCs w:val="16"/>
                <w:lang w:val="es-ES_tradnl" w:eastAsia="es-ES_tradnl"/>
              </w:rPr>
              <w:t>Katerine</w:t>
            </w:r>
            <w:proofErr w:type="spellEnd"/>
            <w:r w:rsidRPr="004A2204">
              <w:rPr>
                <w:rFonts w:ascii="Verdana" w:eastAsia="Times New Roman" w:hAnsi="Verdana" w:cs="Segoe UI"/>
                <w:sz w:val="16"/>
                <w:szCs w:val="16"/>
                <w:lang w:val="es-ES_tradnl" w:eastAsia="es-ES_tradnl"/>
              </w:rPr>
              <w:t xml:space="preserve"> López Rodríguez</w:t>
            </w:r>
          </w:p>
          <w:p w14:paraId="60084EC5" w14:textId="77777777" w:rsidR="004A2204" w:rsidRPr="004A2204" w:rsidRDefault="004A2204" w:rsidP="004A2204">
            <w:pPr>
              <w:textAlignment w:val="baseline"/>
              <w:rPr>
                <w:rFonts w:ascii="Verdana" w:eastAsia="Times New Roman" w:hAnsi="Verdana" w:cs="Segoe UI"/>
                <w:sz w:val="16"/>
                <w:szCs w:val="16"/>
                <w:lang w:val="es-ES_tradnl" w:eastAsia="es-ES_tradnl"/>
              </w:rPr>
            </w:pPr>
            <w:r w:rsidRPr="004A2204">
              <w:rPr>
                <w:rFonts w:ascii="Verdana" w:eastAsia="Times New Roman" w:hAnsi="Verdana" w:cs="Arial"/>
                <w:sz w:val="16"/>
                <w:szCs w:val="16"/>
                <w:lang w:val="es-ES_tradnl" w:eastAsia="es-ES_tradnl"/>
              </w:rPr>
              <w:lastRenderedPageBreak/>
              <w:t>Contratista de la Subdirección de Gestión Contractual </w:t>
            </w:r>
          </w:p>
        </w:tc>
      </w:tr>
      <w:tr w:rsidR="004A2204" w:rsidRPr="004A2204" w14:paraId="632EB171" w14:textId="77777777" w:rsidTr="00E122B9">
        <w:trPr>
          <w:trHeight w:val="300"/>
        </w:trPr>
        <w:tc>
          <w:tcPr>
            <w:tcW w:w="893" w:type="dxa"/>
            <w:vAlign w:val="center"/>
          </w:tcPr>
          <w:p w14:paraId="005F69CF" w14:textId="77777777" w:rsidR="004A2204" w:rsidRPr="004A2204" w:rsidRDefault="004A2204" w:rsidP="004A2204">
            <w:pPr>
              <w:rPr>
                <w:rFonts w:ascii="Verdana" w:eastAsia="Calibri" w:hAnsi="Verdana" w:cs="Arial"/>
                <w:sz w:val="16"/>
                <w:szCs w:val="16"/>
                <w:lang w:val="es-ES_tradnl" w:eastAsia="es-ES"/>
              </w:rPr>
            </w:pPr>
            <w:r w:rsidRPr="004A2204">
              <w:rPr>
                <w:rFonts w:ascii="Verdana" w:eastAsia="Calibri" w:hAnsi="Verdana" w:cs="Arial"/>
                <w:sz w:val="16"/>
                <w:szCs w:val="16"/>
                <w:lang w:val="es-ES_tradnl" w:eastAsia="es-ES"/>
              </w:rPr>
              <w:lastRenderedPageBreak/>
              <w:t>Aprobó:</w:t>
            </w:r>
          </w:p>
        </w:tc>
        <w:tc>
          <w:tcPr>
            <w:tcW w:w="5628" w:type="dxa"/>
            <w:tcBorders>
              <w:top w:val="dotted" w:sz="4" w:space="0" w:color="7F7F7F"/>
              <w:left w:val="nil"/>
              <w:bottom w:val="dotted" w:sz="4" w:space="0" w:color="7F7F7F"/>
              <w:right w:val="nil"/>
            </w:tcBorders>
            <w:vAlign w:val="center"/>
          </w:tcPr>
          <w:p w14:paraId="676ACB9D" w14:textId="77777777" w:rsidR="004A2204" w:rsidRPr="004A2204" w:rsidRDefault="004A2204" w:rsidP="004A2204">
            <w:pPr>
              <w:rPr>
                <w:rFonts w:ascii="Verdana" w:eastAsia="Calibri" w:hAnsi="Verdana" w:cs="Arial"/>
                <w:sz w:val="16"/>
                <w:szCs w:val="16"/>
                <w:lang w:val="es-ES" w:eastAsia="es-ES"/>
              </w:rPr>
            </w:pPr>
            <w:r w:rsidRPr="004A2204">
              <w:rPr>
                <w:rFonts w:ascii="Verdana" w:eastAsia="Calibri" w:hAnsi="Verdana" w:cs="Arial"/>
                <w:sz w:val="16"/>
                <w:szCs w:val="16"/>
                <w:lang w:val="es-ES" w:eastAsia="es-ES"/>
              </w:rPr>
              <w:t>Carolina Quintero Gacharná</w:t>
            </w:r>
          </w:p>
          <w:p w14:paraId="071246B1" w14:textId="77777777" w:rsidR="004A2204" w:rsidRPr="004A2204" w:rsidRDefault="004A2204" w:rsidP="004A2204">
            <w:pPr>
              <w:rPr>
                <w:rFonts w:ascii="Verdana" w:eastAsia="Calibri" w:hAnsi="Verdana" w:cs="Arial"/>
                <w:sz w:val="16"/>
                <w:szCs w:val="16"/>
                <w:lang w:val="es-ES_tradnl" w:eastAsia="es-ES"/>
              </w:rPr>
            </w:pPr>
            <w:r w:rsidRPr="004A2204">
              <w:rPr>
                <w:rFonts w:ascii="Verdana" w:eastAsia="Calibri" w:hAnsi="Verdana" w:cs="Arial"/>
                <w:sz w:val="16"/>
                <w:szCs w:val="16"/>
                <w:lang w:val="es-ES_tradnl" w:eastAsia="es-ES"/>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69BC4D14" w14:textId="76AD680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21F7E6" w14:textId="77777777" w:rsidR="007C776C" w:rsidRDefault="007C776C" w:rsidP="004A1847">
      <w:pPr>
        <w:spacing w:after="0" w:line="240" w:lineRule="auto"/>
      </w:pPr>
      <w:r>
        <w:separator/>
      </w:r>
    </w:p>
  </w:endnote>
  <w:endnote w:type="continuationSeparator" w:id="0">
    <w:p w14:paraId="720E6D46" w14:textId="77777777" w:rsidR="007C776C" w:rsidRDefault="007C776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008A86" w14:textId="77777777" w:rsidR="007C776C" w:rsidRDefault="007C776C" w:rsidP="004A1847">
      <w:pPr>
        <w:spacing w:after="0" w:line="240" w:lineRule="auto"/>
      </w:pPr>
      <w:r>
        <w:separator/>
      </w:r>
    </w:p>
  </w:footnote>
  <w:footnote w:type="continuationSeparator" w:id="0">
    <w:p w14:paraId="76D08EF3" w14:textId="77777777" w:rsidR="007C776C" w:rsidRDefault="007C776C" w:rsidP="004A1847">
      <w:pPr>
        <w:spacing w:after="0" w:line="240" w:lineRule="auto"/>
      </w:pPr>
      <w:r>
        <w:continuationSeparator/>
      </w:r>
    </w:p>
  </w:footnote>
  <w:footnote w:id="1">
    <w:p w14:paraId="589E6321" w14:textId="77777777" w:rsidR="004A2204" w:rsidRPr="007C24C0" w:rsidRDefault="004A2204" w:rsidP="004A2204">
      <w:pPr>
        <w:pStyle w:val="Textonotapie"/>
        <w:ind w:firstLine="709"/>
        <w:jc w:val="both"/>
        <w:rPr>
          <w:rFonts w:ascii="Verdana" w:hAnsi="Verdana"/>
          <w:sz w:val="18"/>
          <w:szCs w:val="18"/>
        </w:rPr>
      </w:pPr>
      <w:r w:rsidRPr="007C24C0">
        <w:rPr>
          <w:rStyle w:val="Refdenotaalpie"/>
          <w:rFonts w:ascii="Verdana" w:hAnsi="Verdana"/>
          <w:sz w:val="18"/>
          <w:szCs w:val="18"/>
        </w:rPr>
        <w:footnoteRef/>
      </w:r>
      <w:r w:rsidRPr="007C24C0">
        <w:rPr>
          <w:rFonts w:ascii="Verdana" w:hAnsi="Verdana"/>
          <w:sz w:val="18"/>
          <w:szCs w:val="18"/>
        </w:rPr>
        <w:t xml:space="preserve"> Disponible en: </w:t>
      </w:r>
      <w:hyperlink r:id="rId1" w:history="1">
        <w:r w:rsidRPr="007C24C0">
          <w:rPr>
            <w:rStyle w:val="Hipervnculo"/>
            <w:rFonts w:ascii="Verdana" w:hAnsi="Verdana"/>
            <w:sz w:val="18"/>
            <w:szCs w:val="18"/>
          </w:rPr>
          <w:t>https://www.colombiacompra.gov.co/wp-content/uploads/2024/08/2023-Guia-para-determinar-y-verificar-la-Capacidad-Residual-del-proponente-en-los-Procesos-de-Contratacion-de-obra-publica-CCE-REC-GI-22.pdf</w:t>
        </w:r>
      </w:hyperlink>
      <w:r w:rsidRPr="007C24C0">
        <w:rPr>
          <w:rFonts w:ascii="Verdana" w:hAnsi="Verdana"/>
          <w:sz w:val="18"/>
          <w:szCs w:val="18"/>
        </w:rPr>
        <w:t xml:space="preserve"> </w:t>
      </w:r>
    </w:p>
  </w:footnote>
  <w:footnote w:id="2">
    <w:p w14:paraId="789949C2" w14:textId="77777777" w:rsidR="004A2204" w:rsidRPr="007C24C0" w:rsidRDefault="004A2204" w:rsidP="004A2204">
      <w:pPr>
        <w:pStyle w:val="fn1"/>
        <w:ind w:firstLine="709"/>
        <w:contextualSpacing/>
        <w:jc w:val="both"/>
        <w:rPr>
          <w:rFonts w:ascii="Verdana" w:eastAsia="Calibri" w:hAnsi="Verdana" w:cs="Arial"/>
          <w:color w:val="000000"/>
          <w:sz w:val="18"/>
          <w:szCs w:val="18"/>
        </w:rPr>
      </w:pPr>
      <w:r w:rsidRPr="007C24C0">
        <w:rPr>
          <w:rStyle w:val="Refdenotaalpie"/>
          <w:rFonts w:ascii="Verdana" w:hAnsi="Verdana" w:cs="Arial"/>
          <w:color w:val="000000"/>
          <w:sz w:val="18"/>
          <w:szCs w:val="18"/>
        </w:rPr>
        <w:footnoteRef/>
      </w:r>
      <w:r w:rsidRPr="007C24C0">
        <w:rPr>
          <w:rFonts w:ascii="Verdana" w:hAnsi="Verdana" w:cs="Arial"/>
          <w:color w:val="000000"/>
          <w:sz w:val="18"/>
          <w:szCs w:val="18"/>
        </w:rPr>
        <w:t xml:space="preserve"> </w:t>
      </w:r>
      <w:r w:rsidRPr="007C24C0">
        <w:rPr>
          <w:rFonts w:ascii="Verdana" w:eastAsia="Calibri" w:hAnsi="Verdana" w:cs="Arial"/>
          <w:color w:val="000000"/>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2BAF8A6B" w14:textId="77777777" w:rsidR="004A2204" w:rsidRPr="007C24C0" w:rsidRDefault="004A2204" w:rsidP="004A2204">
      <w:pPr>
        <w:pStyle w:val="fn1"/>
        <w:ind w:firstLine="709"/>
        <w:contextualSpacing/>
        <w:jc w:val="both"/>
        <w:rPr>
          <w:rFonts w:ascii="Verdana" w:eastAsia="Calibri" w:hAnsi="Verdana" w:cs="Arial"/>
          <w:color w:val="000000"/>
          <w:sz w:val="18"/>
          <w:szCs w:val="18"/>
        </w:rPr>
      </w:pPr>
      <w:r w:rsidRPr="007C24C0">
        <w:rPr>
          <w:rFonts w:ascii="Verdana" w:eastAsia="Calibri" w:hAnsi="Verdana" w:cs="Arial"/>
          <w:color w:val="000000"/>
          <w:sz w:val="18"/>
          <w:szCs w:val="18"/>
        </w:rPr>
        <w:t>[…]</w:t>
      </w:r>
    </w:p>
    <w:p w14:paraId="085DF6ED" w14:textId="77777777" w:rsidR="004A2204" w:rsidRPr="007C24C0" w:rsidRDefault="004A2204" w:rsidP="004A2204">
      <w:pPr>
        <w:pStyle w:val="fn1"/>
        <w:ind w:firstLine="709"/>
        <w:contextualSpacing/>
        <w:jc w:val="both"/>
        <w:rPr>
          <w:rFonts w:ascii="Verdana" w:hAnsi="Verdana" w:cs="Arial"/>
          <w:color w:val="000000"/>
          <w:sz w:val="18"/>
          <w:szCs w:val="18"/>
          <w:lang w:val="es-CO"/>
        </w:rPr>
      </w:pPr>
      <w:r w:rsidRPr="007C24C0">
        <w:rPr>
          <w:rFonts w:ascii="Verdana" w:eastAsia="Calibri" w:hAnsi="Verdana" w:cs="Arial"/>
          <w:color w:val="000000"/>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7C24C0">
        <w:rPr>
          <w:rFonts w:ascii="Verdana" w:hAnsi="Verdana" w:cs="Arial"/>
          <w:color w:val="000000"/>
          <w:sz w:val="18"/>
          <w:szCs w:val="18"/>
          <w:lang w:val="es-CO"/>
        </w:rPr>
        <w:t xml:space="preserve"> </w:t>
      </w:r>
    </w:p>
  </w:footnote>
  <w:footnote w:id="3">
    <w:p w14:paraId="17D6A396" w14:textId="77777777" w:rsidR="004A2204" w:rsidRPr="007C24C0" w:rsidRDefault="004A2204" w:rsidP="004A2204">
      <w:pPr>
        <w:pStyle w:val="fn1"/>
        <w:ind w:firstLine="709"/>
        <w:contextualSpacing/>
        <w:jc w:val="both"/>
        <w:rPr>
          <w:rFonts w:ascii="Verdana" w:hAnsi="Verdana" w:cs="Arial"/>
          <w:color w:val="000000"/>
          <w:sz w:val="18"/>
          <w:szCs w:val="18"/>
          <w:lang w:val="es-CO"/>
        </w:rPr>
      </w:pPr>
      <w:r w:rsidRPr="007C24C0">
        <w:rPr>
          <w:rFonts w:ascii="Verdana" w:eastAsia="Calibri" w:hAnsi="Verdana" w:cs="Arial"/>
          <w:color w:val="000000"/>
          <w:sz w:val="18"/>
          <w:szCs w:val="18"/>
          <w:vertAlign w:val="superscript"/>
        </w:rPr>
        <w:footnoteRef/>
      </w:r>
      <w:r w:rsidRPr="007C24C0">
        <w:rPr>
          <w:rFonts w:ascii="Verdana" w:eastAsia="Calibri" w:hAnsi="Verdana" w:cs="Arial"/>
          <w:color w:val="000000"/>
          <w:sz w:val="18"/>
          <w:szCs w:val="18"/>
          <w:vertAlign w:val="superscript"/>
        </w:rPr>
        <w:t xml:space="preserve"> </w:t>
      </w:r>
      <w:r w:rsidRPr="007C24C0">
        <w:rPr>
          <w:rFonts w:ascii="Verdana" w:eastAsia="Calibri" w:hAnsi="Verdana" w:cs="Arial"/>
          <w:color w:val="000000"/>
          <w:sz w:val="18"/>
          <w:szCs w:val="18"/>
        </w:rPr>
        <w:t xml:space="preserve">Consejo de Estado. Sección Tercera. Sentencia del 26 de junio de 2003. Rad. 13.354. C.P. María Elena Giraldo Gómez. </w:t>
      </w:r>
    </w:p>
  </w:footnote>
  <w:footnote w:id="4">
    <w:p w14:paraId="204E81E4" w14:textId="77777777" w:rsidR="004A2204" w:rsidRPr="007C24C0" w:rsidRDefault="004A2204" w:rsidP="004A2204">
      <w:pPr>
        <w:pStyle w:val="NormalWeb1"/>
        <w:shd w:val="clear" w:color="auto" w:fill="FFFFFF"/>
        <w:ind w:firstLine="709"/>
        <w:contextualSpacing/>
        <w:jc w:val="both"/>
        <w:rPr>
          <w:rFonts w:ascii="Verdana" w:hAnsi="Verdana" w:cs="Arial"/>
          <w:sz w:val="18"/>
          <w:szCs w:val="18"/>
        </w:rPr>
      </w:pPr>
      <w:r w:rsidRPr="007C24C0">
        <w:rPr>
          <w:rStyle w:val="Refdenotaalpie"/>
          <w:rFonts w:ascii="Verdana" w:eastAsia="Times New Roman" w:hAnsi="Verdana" w:cs="Arial"/>
          <w:sz w:val="18"/>
          <w:szCs w:val="18"/>
        </w:rPr>
        <w:footnoteRef/>
      </w:r>
      <w:r w:rsidRPr="007C24C0">
        <w:rPr>
          <w:rStyle w:val="Refdenotaalpie"/>
          <w:rFonts w:ascii="Verdana" w:eastAsia="Times New Roman" w:hAnsi="Verdana" w:cs="Arial"/>
          <w:sz w:val="18"/>
          <w:szCs w:val="18"/>
        </w:rPr>
        <w:t xml:space="preserve"> </w:t>
      </w:r>
      <w:r w:rsidRPr="007C24C0">
        <w:rPr>
          <w:rFonts w:ascii="Verdana" w:eastAsia="Times New Roman" w:hAnsi="Verdana" w:cs="Arial"/>
          <w:sz w:val="18"/>
          <w:szCs w:val="18"/>
        </w:rPr>
        <w:t xml:space="preserve">Decreto 1082 de 2015: </w:t>
      </w:r>
      <w:r w:rsidRPr="007C24C0">
        <w:rPr>
          <w:rFonts w:ascii="Verdana" w:hAnsi="Verdana" w:cs="Arial"/>
          <w:sz w:val="18"/>
          <w:szCs w:val="18"/>
        </w:rPr>
        <w:t>“Artículo 2.2.1.1.1.6.4. Capacidad Residual: El interesado en celebrar contratos de obra pública con Entidades Estatales debe acreditar su Capacidad Residual o K de Contratación con los siguientes documentos:</w:t>
      </w:r>
    </w:p>
    <w:p w14:paraId="7ED9DDD8" w14:textId="77777777" w:rsidR="004A2204" w:rsidRPr="007C24C0" w:rsidRDefault="004A2204" w:rsidP="004A2204">
      <w:pPr>
        <w:shd w:val="clear" w:color="auto" w:fill="FFFFFF"/>
        <w:ind w:firstLine="709"/>
        <w:contextualSpacing/>
        <w:jc w:val="both"/>
        <w:rPr>
          <w:rFonts w:ascii="Verdana" w:hAnsi="Verdana" w:cs="Arial"/>
          <w:sz w:val="18"/>
          <w:szCs w:val="18"/>
        </w:rPr>
      </w:pPr>
      <w:r w:rsidRPr="007C24C0">
        <w:rPr>
          <w:rFonts w:ascii="Verdana" w:hAnsi="Verdana"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07209564" w14:textId="77777777" w:rsidR="004A2204" w:rsidRPr="007C24C0" w:rsidRDefault="004A2204" w:rsidP="004A2204">
      <w:pPr>
        <w:shd w:val="clear" w:color="auto" w:fill="FFFFFF"/>
        <w:ind w:firstLine="709"/>
        <w:contextualSpacing/>
        <w:jc w:val="both"/>
        <w:rPr>
          <w:rFonts w:ascii="Verdana" w:hAnsi="Verdana" w:cs="Arial"/>
          <w:sz w:val="18"/>
          <w:szCs w:val="18"/>
        </w:rPr>
      </w:pPr>
      <w:r w:rsidRPr="007C24C0">
        <w:rPr>
          <w:rFonts w:ascii="Verdana" w:hAnsi="Verdana"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80FE2CA" w14:textId="77777777" w:rsidR="004A2204" w:rsidRPr="007C24C0" w:rsidRDefault="004A2204" w:rsidP="004A2204">
      <w:pPr>
        <w:shd w:val="clear" w:color="auto" w:fill="FFFFFF"/>
        <w:ind w:firstLine="709"/>
        <w:contextualSpacing/>
        <w:jc w:val="both"/>
        <w:rPr>
          <w:rFonts w:ascii="Verdana" w:hAnsi="Verdana" w:cs="Arial"/>
          <w:sz w:val="18"/>
          <w:szCs w:val="18"/>
        </w:rPr>
      </w:pPr>
      <w:r w:rsidRPr="007C24C0">
        <w:rPr>
          <w:rFonts w:ascii="Verdana" w:hAnsi="Verdana"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647C2178" w14:textId="77777777" w:rsidR="004A2204" w:rsidRPr="007C24C0" w:rsidRDefault="004A2204" w:rsidP="004A2204">
      <w:pPr>
        <w:pStyle w:val="Textonotapie"/>
        <w:ind w:firstLine="709"/>
        <w:jc w:val="both"/>
        <w:rPr>
          <w:rFonts w:ascii="Verdana" w:hAnsi="Verdana"/>
          <w:sz w:val="18"/>
          <w:szCs w:val="18"/>
        </w:rPr>
      </w:pPr>
      <w:r w:rsidRPr="007C24C0">
        <w:rPr>
          <w:rStyle w:val="Refdenotaalpie"/>
          <w:rFonts w:ascii="Verdana" w:hAnsi="Verdana"/>
          <w:sz w:val="18"/>
          <w:szCs w:val="18"/>
        </w:rPr>
        <w:footnoteRef/>
      </w:r>
      <w:r w:rsidRPr="007C24C0">
        <w:rPr>
          <w:rFonts w:ascii="Verdana" w:hAnsi="Verdana"/>
          <w:sz w:val="18"/>
          <w:szCs w:val="18"/>
        </w:rPr>
        <w:t xml:space="preserve"> </w:t>
      </w:r>
      <w:r w:rsidRPr="007C24C0">
        <w:rPr>
          <w:rFonts w:ascii="Verdana" w:hAnsi="Verdana"/>
          <w:sz w:val="18"/>
          <w:szCs w:val="18"/>
        </w:rPr>
        <w:t xml:space="preserve">Disponible en: </w:t>
      </w:r>
      <w:hyperlink r:id="rId2" w:history="1">
        <w:r w:rsidRPr="007C24C0">
          <w:rPr>
            <w:rStyle w:val="Hipervnculo"/>
            <w:rFonts w:ascii="Verdana" w:hAnsi="Verdana"/>
            <w:sz w:val="18"/>
            <w:szCs w:val="18"/>
          </w:rPr>
          <w:t>https://www.colombiacompra.gov.co/wp-content/uploads/2024/08/2023-Guia-para-determinar-y-verificar-la-Capacidad-Residual-del-proponente-en-los-Procesos-de-Contratacion-de-obra-publica-CCE-REC-GI-22.pdf</w:t>
        </w:r>
      </w:hyperlink>
      <w:r w:rsidRPr="007C24C0">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0452"/>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176E"/>
    <w:rsid w:val="002C7A84"/>
    <w:rsid w:val="002E2BF8"/>
    <w:rsid w:val="002E4FD9"/>
    <w:rsid w:val="0030657A"/>
    <w:rsid w:val="00322A85"/>
    <w:rsid w:val="00322AD9"/>
    <w:rsid w:val="00324168"/>
    <w:rsid w:val="00330834"/>
    <w:rsid w:val="003448F4"/>
    <w:rsid w:val="00363167"/>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2204"/>
    <w:rsid w:val="004A305D"/>
    <w:rsid w:val="004F21C4"/>
    <w:rsid w:val="004F685F"/>
    <w:rsid w:val="00516907"/>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3898"/>
    <w:rsid w:val="00756841"/>
    <w:rsid w:val="007649AB"/>
    <w:rsid w:val="00771D0C"/>
    <w:rsid w:val="007833AC"/>
    <w:rsid w:val="007B268C"/>
    <w:rsid w:val="007B7171"/>
    <w:rsid w:val="007C0C0F"/>
    <w:rsid w:val="007C3DC2"/>
    <w:rsid w:val="007C776C"/>
    <w:rsid w:val="007E5497"/>
    <w:rsid w:val="00806F5F"/>
    <w:rsid w:val="00820278"/>
    <w:rsid w:val="008258C9"/>
    <w:rsid w:val="00844AE9"/>
    <w:rsid w:val="00867F95"/>
    <w:rsid w:val="008843B6"/>
    <w:rsid w:val="00891928"/>
    <w:rsid w:val="008A446D"/>
    <w:rsid w:val="008B25F1"/>
    <w:rsid w:val="008B36C6"/>
    <w:rsid w:val="008D180B"/>
    <w:rsid w:val="008F0EA7"/>
    <w:rsid w:val="00923EEF"/>
    <w:rsid w:val="009419F9"/>
    <w:rsid w:val="00954856"/>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25B25"/>
    <w:rsid w:val="00A33C78"/>
    <w:rsid w:val="00AB0ADB"/>
    <w:rsid w:val="00B00C0E"/>
    <w:rsid w:val="00B01B1A"/>
    <w:rsid w:val="00B0381D"/>
    <w:rsid w:val="00B44A47"/>
    <w:rsid w:val="00B72812"/>
    <w:rsid w:val="00B72CD3"/>
    <w:rsid w:val="00B72FFF"/>
    <w:rsid w:val="00BC3D36"/>
    <w:rsid w:val="00BD54A6"/>
    <w:rsid w:val="00BD7F72"/>
    <w:rsid w:val="00BF7425"/>
    <w:rsid w:val="00C0420F"/>
    <w:rsid w:val="00C04FB3"/>
    <w:rsid w:val="00C11D8B"/>
    <w:rsid w:val="00C15139"/>
    <w:rsid w:val="00C329F3"/>
    <w:rsid w:val="00C330EB"/>
    <w:rsid w:val="00C50D69"/>
    <w:rsid w:val="00C5365C"/>
    <w:rsid w:val="00C63767"/>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28E3"/>
    <w:rsid w:val="00FA47C0"/>
    <w:rsid w:val="00FB5DD1"/>
    <w:rsid w:val="00FB7EB5"/>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fn1">
    <w:name w:val="fn1"/>
    <w:basedOn w:val="Normal"/>
    <w:next w:val="Textonotapie"/>
    <w:uiPriority w:val="99"/>
    <w:unhideWhenUsed/>
    <w:qFormat/>
    <w:rsid w:val="004A2204"/>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4A2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A2204"/>
    <w:pPr>
      <w:spacing w:line="240" w:lineRule="exact"/>
    </w:pPr>
    <w:rPr>
      <w:vertAlign w:val="superscript"/>
    </w:rPr>
  </w:style>
  <w:style w:type="paragraph" w:customStyle="1" w:styleId="NormalWeb1">
    <w:name w:val="Normal (Web)1"/>
    <w:basedOn w:val="Normal"/>
    <w:next w:val="NormalWeb"/>
    <w:uiPriority w:val="99"/>
    <w:semiHidden/>
    <w:unhideWhenUsed/>
    <w:rsid w:val="004A2204"/>
    <w:pPr>
      <w:spacing w:after="0" w:line="240" w:lineRule="auto"/>
    </w:pPr>
    <w:rPr>
      <w:rFonts w:ascii="Times New Roman" w:hAnsi="Times New Roman" w:cs="Times New Roman"/>
      <w:kern w:val="2"/>
      <w:sz w:val="24"/>
      <w:szCs w:val="24"/>
      <w:lang w:val="es-ES_trad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guias-y-manuales"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2023-Guia-para-determinar-y-verificar-la-Capacidad-Residual-del-proponente-en-los-Procesos-de-Contratacion-de-obra-publica-CCE-REC-GI-22.pdf" TargetMode="External"/><Relationship Id="rId1" Type="http://schemas.openxmlformats.org/officeDocument/2006/relationships/hyperlink" Target="https://www.colombiacompra.gov.co/wp-content/uploads/2024/08/2023-Guia-para-determinar-y-verificar-la-Capacidad-Residual-del-proponente-en-los-Procesos-de-Contratacion-de-obra-publica-CCE-REC-GI-2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D9D3A0A-2422-4C9C-B8B2-F4AA664FD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15</Pages>
  <Words>4212</Words>
  <Characters>23170</Characters>
  <Application>Microsoft Office Word</Application>
  <DocSecurity>0</DocSecurity>
  <Lines>193</Lines>
  <Paragraphs>54</Paragraphs>
  <ScaleCrop>false</ScaleCrop>
  <Company/>
  <LinksUpToDate>false</LinksUpToDate>
  <CharactersWithSpaces>27328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8</cp:revision>
  <cp:lastPrinted>2023-01-10T21:18:00Z</cp:lastPrinted>
  <dcterms:created xsi:type="dcterms:W3CDTF">2026-10-09T22:49:00Z</dcterms:created>
  <dcterms:modified xsi:type="dcterms:W3CDTF">2026-10-27T00:40:00Z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