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B7CB9" w14:textId="77777777" w:rsidR="004A0EC9" w:rsidRPr="00ED7AD8" w:rsidRDefault="004A0EC9" w:rsidP="004A0EC9">
      <w:pPr>
        <w:spacing w:after="0" w:line="240" w:lineRule="auto"/>
        <w:jc w:val="both"/>
        <w:rPr>
          <w:rFonts w:ascii="Verdana" w:hAnsi="Verdana"/>
          <w:b/>
        </w:rPr>
      </w:pPr>
      <w:r w:rsidRPr="00ED7AD8">
        <w:rPr>
          <w:rFonts w:ascii="Verdana" w:hAnsi="Verdana" w:cs="Arial"/>
          <w:b/>
          <w:bCs/>
          <w:lang w:eastAsia="es-ES" w:bidi="es-ES"/>
        </w:rPr>
        <w:t>ADICIÓN – Concepto – Distintos supuestos – Prohibición – Adición en más del 50%</w:t>
      </w:r>
    </w:p>
    <w:p w14:paraId="016C82E1" w14:textId="77777777" w:rsidR="004A0EC9" w:rsidRDefault="004A0EC9" w:rsidP="004A0EC9">
      <w:pPr>
        <w:spacing w:after="0" w:line="240" w:lineRule="auto"/>
        <w:rPr>
          <w:rFonts w:ascii="Verdana" w:hAnsi="Verdana"/>
        </w:rPr>
      </w:pPr>
    </w:p>
    <w:p w14:paraId="3AE591A9" w14:textId="77777777" w:rsidR="004A0EC9" w:rsidRPr="001631FE" w:rsidRDefault="004A0EC9" w:rsidP="004A0EC9">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631FE">
        <w:rPr>
          <w:rFonts w:ascii="Verdana" w:eastAsia="Calibri" w:hAnsi="Verdana" w:cs="Arial"/>
          <w:color w:val="000000"/>
          <w:sz w:val="20"/>
          <w:szCs w:val="20"/>
          <w:lang w:eastAsia="es-ES_tradnl"/>
        </w:rPr>
        <w:t>ii</w:t>
      </w:r>
      <w:proofErr w:type="spellEnd"/>
      <w:r w:rsidRPr="001631FE">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1411C269" w14:textId="77777777" w:rsidR="004A0EC9" w:rsidRDefault="004A0EC9" w:rsidP="004A0EC9">
      <w:pPr>
        <w:spacing w:after="0" w:line="240" w:lineRule="auto"/>
        <w:rPr>
          <w:rFonts w:ascii="Verdana" w:hAnsi="Verdana"/>
        </w:rPr>
      </w:pPr>
    </w:p>
    <w:p w14:paraId="085BF610" w14:textId="77777777" w:rsidR="004A0EC9" w:rsidRPr="00ED7AD8" w:rsidRDefault="004A0EC9" w:rsidP="004A0EC9">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4AFB74F7" w14:textId="77777777" w:rsidR="004A0EC9" w:rsidRDefault="004A0EC9" w:rsidP="004A0EC9">
      <w:pPr>
        <w:spacing w:after="0" w:line="240" w:lineRule="auto"/>
        <w:jc w:val="both"/>
        <w:rPr>
          <w:rFonts w:ascii="Verdana" w:hAnsi="Verdana" w:cs="Arial"/>
          <w:b/>
          <w:bCs/>
          <w:lang w:eastAsia="es-ES" w:bidi="es-ES"/>
        </w:rPr>
      </w:pPr>
    </w:p>
    <w:p w14:paraId="2BC30791" w14:textId="77777777" w:rsidR="004A0EC9" w:rsidRPr="00E45B7D" w:rsidRDefault="004A0EC9" w:rsidP="004A0EC9">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7406055D" w14:textId="77777777" w:rsidR="004A0EC9" w:rsidRDefault="004A0EC9" w:rsidP="004A0EC9">
      <w:pPr>
        <w:spacing w:after="0" w:line="240" w:lineRule="auto"/>
        <w:jc w:val="both"/>
        <w:rPr>
          <w:rFonts w:ascii="Verdana" w:eastAsia="Calibri" w:hAnsi="Verdana" w:cs="Arial"/>
          <w:color w:val="000000"/>
          <w:sz w:val="20"/>
          <w:szCs w:val="20"/>
          <w:lang w:eastAsia="es-ES_tradnl"/>
        </w:rPr>
      </w:pPr>
    </w:p>
    <w:p w14:paraId="2608A9C3" w14:textId="77777777" w:rsidR="004A0EC9" w:rsidRDefault="004A0EC9" w:rsidP="004A0EC9">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356563C0" w14:textId="77777777" w:rsidR="004A0EC9" w:rsidRPr="008E7B73" w:rsidRDefault="004A0EC9" w:rsidP="004A0EC9">
      <w:pPr>
        <w:spacing w:after="0" w:line="240" w:lineRule="auto"/>
        <w:jc w:val="both"/>
        <w:rPr>
          <w:rFonts w:ascii="Verdana" w:eastAsia="Calibri" w:hAnsi="Verdana" w:cs="Arial"/>
          <w:color w:val="000000"/>
          <w:sz w:val="20"/>
          <w:szCs w:val="20"/>
          <w:lang w:eastAsia="es-ES_tradnl"/>
        </w:rPr>
      </w:pPr>
    </w:p>
    <w:p w14:paraId="0DB08249" w14:textId="77777777" w:rsidR="004A0EC9" w:rsidRDefault="004A0EC9" w:rsidP="004A0EC9">
      <w:pPr>
        <w:spacing w:line="276" w:lineRule="auto"/>
        <w:jc w:val="both"/>
        <w:rPr>
          <w:rFonts w:ascii="Verdana" w:hAnsi="Verdana" w:cs="Arial"/>
          <w:b/>
          <w:bCs/>
          <w:lang w:val="es-ES" w:eastAsia="es-ES"/>
        </w:rPr>
      </w:pPr>
      <w:r w:rsidRPr="008E7B73">
        <w:rPr>
          <w:rFonts w:ascii="Verdana" w:hAnsi="Verdana" w:cs="Arial"/>
          <w:b/>
          <w:bCs/>
          <w:lang w:val="es-ES" w:eastAsia="es-ES"/>
        </w:rPr>
        <w:lastRenderedPageBreak/>
        <w:t>REAJUSTE Y REVISIÓN DE PRECIOS – Límite de adiciones –</w:t>
      </w:r>
      <w:r>
        <w:rPr>
          <w:rFonts w:ascii="Verdana" w:hAnsi="Verdana" w:cs="Arial"/>
          <w:b/>
          <w:bCs/>
          <w:lang w:val="es-ES" w:eastAsia="es-ES"/>
        </w:rPr>
        <w:t xml:space="preserve"> Cambio de vigencia</w:t>
      </w:r>
      <w:r w:rsidRPr="008E7B73">
        <w:rPr>
          <w:rFonts w:ascii="Verdana" w:hAnsi="Verdana" w:cs="Arial"/>
          <w:b/>
          <w:bCs/>
          <w:lang w:val="es-ES" w:eastAsia="es-ES"/>
        </w:rPr>
        <w:t xml:space="preserve"> </w:t>
      </w:r>
      <w:r w:rsidRPr="00A14630">
        <w:rPr>
          <w:rFonts w:ascii="Verdana" w:hAnsi="Verdana" w:cs="Arial"/>
          <w:lang w:val="es-ES" w:eastAsia="es-ES"/>
        </w:rPr>
        <w:t>–</w:t>
      </w:r>
      <w:r>
        <w:rPr>
          <w:rFonts w:ascii="Verdana" w:hAnsi="Verdana" w:cs="Arial"/>
          <w:lang w:val="es-ES" w:eastAsia="es-ES"/>
        </w:rPr>
        <w:t xml:space="preserve"> </w:t>
      </w:r>
      <w:r w:rsidRPr="008E7B73">
        <w:rPr>
          <w:rFonts w:ascii="Verdana" w:hAnsi="Verdana" w:cs="Arial"/>
          <w:b/>
          <w:bCs/>
          <w:lang w:val="es-ES" w:eastAsia="es-ES"/>
        </w:rPr>
        <w:t xml:space="preserve">Alcance </w:t>
      </w:r>
    </w:p>
    <w:p w14:paraId="4782F393" w14:textId="77777777" w:rsidR="004A0EC9" w:rsidRPr="00145C49" w:rsidRDefault="004A0EC9" w:rsidP="004A0EC9">
      <w:pPr>
        <w:spacing w:before="120" w:after="120" w:line="240" w:lineRule="auto"/>
        <w:jc w:val="both"/>
        <w:rPr>
          <w:rFonts w:ascii="Verdana" w:hAnsi="Verdana" w:cs="Arial"/>
          <w:color w:val="000000" w:themeColor="text1"/>
          <w:sz w:val="20"/>
          <w:szCs w:val="20"/>
        </w:rPr>
      </w:pPr>
      <w:r w:rsidRPr="00145C49">
        <w:rPr>
          <w:rFonts w:ascii="Verdana" w:hAnsi="Verdana" w:cs="Arial"/>
          <w:color w:val="000000" w:themeColor="text1"/>
          <w:sz w:val="20"/>
          <w:szCs w:val="20"/>
        </w:rPr>
        <w:t>En particular, el cambio de vigencia contractual puede generar la aplicación de las fórmulas de reajuste o actualización de precios previstas en el contrato. Este mayor valor no constituye, por sí mismo, una adición sometida al límite del 50 %, en la medida en que corresponda a ítems o prestaciones ya definidos y pactados, puesto que el reajuste opera precisamente como un mecanismo de preservación de las condiciones económicas del contrato frente a las fluctuaciones de los costos y no como una modificación de su contenido prestacional.</w:t>
      </w:r>
    </w:p>
    <w:p w14:paraId="05C72C11" w14:textId="77777777" w:rsidR="004A0EC9" w:rsidRPr="00145C49" w:rsidRDefault="004A0EC9" w:rsidP="004A0EC9">
      <w:pPr>
        <w:spacing w:before="120" w:after="120" w:line="240" w:lineRule="auto"/>
        <w:jc w:val="both"/>
        <w:rPr>
          <w:rFonts w:ascii="Verdana" w:hAnsi="Verdana" w:cs="Arial"/>
          <w:color w:val="000000" w:themeColor="text1"/>
          <w:sz w:val="20"/>
          <w:szCs w:val="20"/>
        </w:rPr>
      </w:pPr>
      <w:r w:rsidRPr="00145C49">
        <w:rPr>
          <w:rFonts w:ascii="Verdana" w:hAnsi="Verdana" w:cs="Arial"/>
          <w:color w:val="000000" w:themeColor="text1"/>
          <w:sz w:val="20"/>
          <w:szCs w:val="20"/>
        </w:rPr>
        <w:t xml:space="preserve">En consecuencia, si el reconocimiento económico corresponde exclusivamente a la actualización de los precios de prestaciones ya pactadas, no se computa dentro del 50 %, mientras que si el mayor valor supone incorporar nuevas prestaciones, otras obligaciones o una ampliación del contenido contractual, estará sometido al límite legal, sin perjuicio de los dispuesto sobre el reconocimiento de las mayores cantidades de obra. </w:t>
      </w:r>
    </w:p>
    <w:p w14:paraId="44F23D9A" w14:textId="77777777" w:rsidR="004A0EC9" w:rsidRDefault="004A0EC9" w:rsidP="004A0EC9">
      <w:pPr>
        <w:spacing w:before="120" w:after="120" w:line="240" w:lineRule="auto"/>
        <w:jc w:val="both"/>
        <w:rPr>
          <w:rFonts w:ascii="Verdana" w:hAnsi="Verdana" w:cs="Arial"/>
          <w:color w:val="000000" w:themeColor="text1"/>
          <w:sz w:val="20"/>
          <w:szCs w:val="20"/>
        </w:rPr>
      </w:pPr>
      <w:r w:rsidRPr="00145C49">
        <w:rPr>
          <w:rFonts w:ascii="Verdana" w:hAnsi="Verdana" w:cs="Arial"/>
          <w:color w:val="000000" w:themeColor="text1"/>
          <w:sz w:val="20"/>
          <w:szCs w:val="20"/>
        </w:rPr>
        <w:t>Por tanto, los reajustes de precios derivados del cambio de vigencia no consumen el límite de adición del artículo 40 de la Ley 80 de 1993, siempre que correspondan a la aplicación del mecanismo de ajuste previsto para las prestaciones originalmente pactadas y no encubran una verdadera adición contractual. Esta conclusión debe distinguirse de los casos en que la entidad requiere ejecutar la obra con un presupuesto adicional por fuera de las prestaciones inicialmente previstas, supuesto en el cual sí deberá modificar el contrato y sujetarse al límite legal</w:t>
      </w:r>
      <w:r>
        <w:rPr>
          <w:rFonts w:ascii="Verdana" w:hAnsi="Verdana" w:cs="Arial"/>
          <w:color w:val="000000" w:themeColor="text1"/>
          <w:sz w:val="20"/>
          <w:szCs w:val="20"/>
        </w:rPr>
        <w:t>.</w:t>
      </w:r>
    </w:p>
    <w:p w14:paraId="1C3203FB"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45CF6F27"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41E80322"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7CCD12A1"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62509E2D"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49D10F92"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744F2B1A"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1C358733"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4C9061A7"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59FF315D" w14:textId="77777777" w:rsidR="004A0EC9" w:rsidRDefault="004A0EC9" w:rsidP="004A0EC9">
      <w:pPr>
        <w:widowControl w:val="0"/>
        <w:spacing w:after="0" w:line="276" w:lineRule="auto"/>
        <w:jc w:val="both"/>
        <w:rPr>
          <w:rFonts w:ascii="Verdana" w:hAnsi="Verdana" w:cs="Arial"/>
          <w:color w:val="000000" w:themeColor="text1"/>
          <w:sz w:val="20"/>
          <w:szCs w:val="20"/>
        </w:rPr>
      </w:pPr>
    </w:p>
    <w:p w14:paraId="2E1593A1" w14:textId="77777777" w:rsidR="004A0EC9" w:rsidRDefault="004A0EC9" w:rsidP="004A0EC9">
      <w:pPr>
        <w:widowControl w:val="0"/>
        <w:spacing w:after="0" w:line="276" w:lineRule="auto"/>
        <w:jc w:val="both"/>
        <w:rPr>
          <w:rFonts w:ascii="Verdana" w:hAnsi="Verdana"/>
          <w:lang w:val="es-ES"/>
        </w:rPr>
      </w:pPr>
    </w:p>
    <w:p w14:paraId="0CCD4EF9" w14:textId="77777777" w:rsidR="004A0EC9" w:rsidRDefault="004A0EC9" w:rsidP="004A0EC9">
      <w:pPr>
        <w:widowControl w:val="0"/>
        <w:spacing w:after="0" w:line="276" w:lineRule="auto"/>
        <w:jc w:val="both"/>
        <w:rPr>
          <w:rFonts w:ascii="Verdana" w:hAnsi="Verdana"/>
          <w:lang w:val="es-ES"/>
        </w:rPr>
      </w:pPr>
    </w:p>
    <w:p w14:paraId="3B5B64DF" w14:textId="77777777" w:rsidR="004A0EC9" w:rsidRDefault="004A0EC9" w:rsidP="004A0EC9">
      <w:pPr>
        <w:widowControl w:val="0"/>
        <w:spacing w:after="0" w:line="276" w:lineRule="auto"/>
        <w:jc w:val="both"/>
        <w:rPr>
          <w:rFonts w:ascii="Verdana" w:hAnsi="Verdana"/>
          <w:lang w:val="es-ES"/>
        </w:rPr>
      </w:pPr>
    </w:p>
    <w:p w14:paraId="3C39A49D" w14:textId="77777777" w:rsidR="004A0EC9" w:rsidRDefault="004A0EC9" w:rsidP="004A0EC9">
      <w:pPr>
        <w:widowControl w:val="0"/>
        <w:spacing w:after="0" w:line="276" w:lineRule="auto"/>
        <w:jc w:val="both"/>
        <w:rPr>
          <w:rFonts w:ascii="Verdana" w:hAnsi="Verdana"/>
          <w:lang w:val="es-ES"/>
        </w:rPr>
      </w:pPr>
    </w:p>
    <w:p w14:paraId="0A6D0091" w14:textId="77777777" w:rsidR="004A0EC9" w:rsidRDefault="004A0EC9" w:rsidP="004A0EC9">
      <w:pPr>
        <w:widowControl w:val="0"/>
        <w:spacing w:after="0" w:line="276" w:lineRule="auto"/>
        <w:jc w:val="both"/>
        <w:rPr>
          <w:rFonts w:ascii="Verdana" w:hAnsi="Verdana"/>
          <w:lang w:val="es-ES"/>
        </w:rPr>
      </w:pPr>
    </w:p>
    <w:p w14:paraId="12BB72E0" w14:textId="77777777" w:rsidR="004A0EC9" w:rsidRDefault="004A0EC9" w:rsidP="004A0EC9">
      <w:pPr>
        <w:widowControl w:val="0"/>
        <w:spacing w:after="0" w:line="276" w:lineRule="auto"/>
        <w:jc w:val="both"/>
        <w:rPr>
          <w:rFonts w:ascii="Verdana" w:hAnsi="Verdana"/>
          <w:lang w:val="es-ES"/>
        </w:rPr>
      </w:pPr>
    </w:p>
    <w:p w14:paraId="3C32B7B1" w14:textId="77777777" w:rsidR="004A0EC9" w:rsidRDefault="004A0EC9" w:rsidP="004A0EC9">
      <w:pPr>
        <w:widowControl w:val="0"/>
        <w:spacing w:after="0" w:line="276" w:lineRule="auto"/>
        <w:jc w:val="both"/>
        <w:rPr>
          <w:rFonts w:ascii="Verdana" w:hAnsi="Verdana"/>
          <w:lang w:val="es-ES"/>
        </w:rPr>
      </w:pPr>
    </w:p>
    <w:p w14:paraId="00BDE39C" w14:textId="77777777" w:rsidR="004A0EC9" w:rsidRDefault="004A0EC9" w:rsidP="004A0EC9">
      <w:pPr>
        <w:widowControl w:val="0"/>
        <w:spacing w:after="0" w:line="276" w:lineRule="auto"/>
        <w:jc w:val="both"/>
        <w:rPr>
          <w:rFonts w:ascii="Verdana" w:hAnsi="Verdana"/>
          <w:lang w:val="es-ES"/>
        </w:rPr>
      </w:pPr>
    </w:p>
    <w:p w14:paraId="0FD19724" w14:textId="77777777" w:rsidR="004A0EC9" w:rsidRDefault="004A0EC9" w:rsidP="004A0EC9">
      <w:pPr>
        <w:widowControl w:val="0"/>
        <w:spacing w:after="0" w:line="276" w:lineRule="auto"/>
        <w:jc w:val="both"/>
        <w:rPr>
          <w:rFonts w:ascii="Verdana" w:hAnsi="Verdana"/>
          <w:lang w:val="es-ES"/>
        </w:rPr>
      </w:pPr>
    </w:p>
    <w:p w14:paraId="769FEDC8" w14:textId="6E5AD04D" w:rsidR="004A0EC9" w:rsidRPr="00593A5F" w:rsidRDefault="004A0EC9" w:rsidP="004A0EC9">
      <w:pPr>
        <w:spacing w:after="0" w:line="240" w:lineRule="auto"/>
        <w:rPr>
          <w:rFonts w:ascii="Verdana" w:eastAsia="Geomanist Light" w:hAnsi="Verdana" w:cs="Arial"/>
          <w:color w:val="201F1E"/>
          <w:lang w:val="es-MX"/>
        </w:rPr>
      </w:pPr>
      <w:r w:rsidRPr="00F04F3B">
        <w:rPr>
          <w:rFonts w:ascii="Verdana" w:hAnsi="Verdana"/>
          <w:lang w:val="es-ES"/>
        </w:rPr>
        <w:t xml:space="preserve">Bogotá D.C., </w:t>
      </w:r>
      <w:r w:rsidR="000D48B1">
        <w:rPr>
          <w:rFonts w:ascii="Verdana" w:eastAsia="Geomanist Light" w:hAnsi="Verdana" w:cs="Arial"/>
          <w:color w:val="201F1E"/>
        </w:rPr>
        <w:t>29 de septiembre de 2026</w:t>
      </w:r>
    </w:p>
    <w:p w14:paraId="707215B7" w14:textId="77777777" w:rsidR="004A0EC9" w:rsidRPr="00F04F3B" w:rsidRDefault="004A0EC9" w:rsidP="004A0EC9">
      <w:pPr>
        <w:widowControl w:val="0"/>
        <w:spacing w:after="0" w:line="276" w:lineRule="auto"/>
        <w:jc w:val="both"/>
        <w:rPr>
          <w:rFonts w:ascii="Verdana" w:hAnsi="Verdana"/>
          <w:lang w:val="es-ES"/>
        </w:rPr>
      </w:pPr>
    </w:p>
    <w:p w14:paraId="63B8000B" w14:textId="4B631797" w:rsidR="004A0EC9" w:rsidRPr="00F04F3B" w:rsidRDefault="000D48B1" w:rsidP="000D48B1">
      <w:pPr>
        <w:spacing w:after="0"/>
        <w:jc w:val="right"/>
        <w:rPr>
          <w:rFonts w:ascii="Verdana" w:hAnsi="Verdana"/>
          <w:lang w:val="es-ES"/>
        </w:rPr>
      </w:pPr>
      <w:r w:rsidRPr="000D48B1">
        <w:rPr>
          <w:rFonts w:ascii="Verdana" w:hAnsi="Verdana"/>
          <w:noProof/>
          <w:lang w:val="es-ES"/>
        </w:rPr>
        <w:drawing>
          <wp:anchor distT="0" distB="0" distL="114300" distR="114300" simplePos="0" relativeHeight="251658240" behindDoc="0" locked="0" layoutInCell="1" allowOverlap="1" wp14:anchorId="0911DF79" wp14:editId="5FEF0B3C">
            <wp:simplePos x="0" y="0"/>
            <wp:positionH relativeFrom="column">
              <wp:posOffset>3515311</wp:posOffset>
            </wp:positionH>
            <wp:positionV relativeFrom="paragraph">
              <wp:posOffset>-342</wp:posOffset>
            </wp:positionV>
            <wp:extent cx="2086708" cy="802640"/>
            <wp:effectExtent l="0" t="0" r="8890" b="0"/>
            <wp:wrapSquare wrapText="bothSides"/>
            <wp:docPr id="21266943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86708" cy="802640"/>
                    </a:xfrm>
                    <a:prstGeom prst="rect">
                      <a:avLst/>
                    </a:prstGeom>
                    <a:noFill/>
                    <a:ln>
                      <a:noFill/>
                    </a:ln>
                  </pic:spPr>
                </pic:pic>
              </a:graphicData>
            </a:graphic>
          </wp:anchor>
        </w:drawing>
      </w:r>
    </w:p>
    <w:p w14:paraId="24E69BDC" w14:textId="77777777" w:rsidR="004A0EC9" w:rsidRDefault="004A0EC9" w:rsidP="004A0EC9">
      <w:pPr>
        <w:spacing w:after="0" w:line="240" w:lineRule="auto"/>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(a)</w:t>
      </w:r>
    </w:p>
    <w:p w14:paraId="3DF6160C" w14:textId="77777777" w:rsidR="004A0EC9" w:rsidRDefault="004A0EC9" w:rsidP="004A0EC9">
      <w:pPr>
        <w:spacing w:after="0" w:line="240" w:lineRule="auto"/>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Anónimo</w:t>
      </w:r>
    </w:p>
    <w:p w14:paraId="24B89D02" w14:textId="77777777" w:rsidR="004A0EC9" w:rsidRPr="009347C6" w:rsidRDefault="004A0EC9" w:rsidP="004A0EC9">
      <w:pPr>
        <w:spacing w:after="0" w:line="240" w:lineRule="auto"/>
        <w:rPr>
          <w:rFonts w:ascii="Verdana" w:eastAsia="Calibri" w:hAnsi="Verdana" w:cs="Arial"/>
          <w:color w:val="000000" w:themeColor="text1"/>
          <w:lang w:val="es-ES" w:eastAsia="es-ES"/>
        </w:rPr>
      </w:pPr>
      <w:r w:rsidRPr="009347C6">
        <w:rPr>
          <w:rFonts w:ascii="Verdana" w:eastAsia="Calibri" w:hAnsi="Verdana" w:cs="Arial"/>
          <w:color w:val="000000" w:themeColor="text1"/>
          <w:lang w:val="es-ES" w:eastAsia="es-ES"/>
        </w:rPr>
        <w:t>cristinaaguirre071@gmail.com</w:t>
      </w:r>
    </w:p>
    <w:p w14:paraId="596C169D" w14:textId="77777777" w:rsidR="004A0EC9" w:rsidRPr="00A85D2A" w:rsidRDefault="004A0EC9" w:rsidP="004A0EC9">
      <w:pPr>
        <w:spacing w:after="0" w:line="240" w:lineRule="auto"/>
        <w:rPr>
          <w:rFonts w:ascii="Verdana" w:eastAsia="Calibri" w:hAnsi="Verdana" w:cs="Arial"/>
          <w:color w:val="000000" w:themeColor="text1"/>
          <w:lang w:val="es-ES" w:eastAsia="es-ES"/>
        </w:rPr>
      </w:pPr>
      <w:r w:rsidRPr="00A85D2A">
        <w:rPr>
          <w:rFonts w:ascii="Verdana" w:eastAsia="Calibri" w:hAnsi="Verdana" w:cs="Arial"/>
          <w:color w:val="000000" w:themeColor="text1"/>
          <w:lang w:val="es-ES" w:eastAsia="es-ES"/>
        </w:rPr>
        <w:t xml:space="preserve">Ciudad </w:t>
      </w:r>
    </w:p>
    <w:p w14:paraId="22AC6A6A" w14:textId="77777777" w:rsidR="004A0EC9" w:rsidRPr="00F04F3B" w:rsidRDefault="004A0EC9" w:rsidP="004A0EC9">
      <w:pPr>
        <w:spacing w:after="0" w:line="240" w:lineRule="auto"/>
        <w:rPr>
          <w:rFonts w:ascii="Verdana" w:eastAsia="Calibri" w:hAnsi="Verdana" w:cs="Arial"/>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A0EC9" w:rsidRPr="00F04F3B" w14:paraId="7099E3E8" w14:textId="77777777" w:rsidTr="00B72C0D">
        <w:trPr>
          <w:trHeight w:val="300"/>
        </w:trPr>
        <w:tc>
          <w:tcPr>
            <w:tcW w:w="2410" w:type="dxa"/>
          </w:tcPr>
          <w:p w14:paraId="4B7B3521" w14:textId="77777777" w:rsidR="004A0EC9" w:rsidRPr="00F04F3B" w:rsidRDefault="004A0EC9" w:rsidP="00B72C0D">
            <w:pPr>
              <w:ind w:left="-142"/>
              <w:jc w:val="both"/>
              <w:rPr>
                <w:rFonts w:ascii="Verdana" w:eastAsia="Calibri" w:hAnsi="Verdana" w:cs="Arial"/>
                <w:b/>
                <w:bCs/>
                <w:color w:val="000000" w:themeColor="text1"/>
                <w:lang w:val="es-ES" w:eastAsia="es-ES_tradnl"/>
              </w:rPr>
            </w:pPr>
          </w:p>
        </w:tc>
        <w:tc>
          <w:tcPr>
            <w:tcW w:w="6100" w:type="dxa"/>
          </w:tcPr>
          <w:p w14:paraId="50B21DE9" w14:textId="77777777" w:rsidR="004A0EC9" w:rsidRPr="00F04F3B" w:rsidRDefault="004A0EC9" w:rsidP="00B72C0D">
            <w:pPr>
              <w:jc w:val="both"/>
              <w:rPr>
                <w:rFonts w:ascii="Verdana" w:eastAsia="Calibri" w:hAnsi="Verdana" w:cs="Arial"/>
                <w:b/>
                <w:bCs/>
                <w:color w:val="000000" w:themeColor="text1"/>
                <w:lang w:val="es-ES" w:eastAsia="es-ES"/>
              </w:rPr>
            </w:pPr>
          </w:p>
          <w:p w14:paraId="5C325533" w14:textId="77777777" w:rsidR="004A0EC9" w:rsidRDefault="004A0EC9" w:rsidP="00B72C0D">
            <w:pPr>
              <w:ind w:left="3"/>
              <w:jc w:val="both"/>
              <w:rPr>
                <w:rFonts w:ascii="Verdana" w:eastAsia="Calibri" w:hAnsi="Verdana" w:cs="Arial"/>
                <w:b/>
                <w:bCs/>
                <w:color w:val="000000" w:themeColor="text1"/>
                <w:lang w:val="es-ES" w:eastAsia="es-ES"/>
              </w:rPr>
            </w:pPr>
            <w:r w:rsidRPr="00F04F3B">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1411</w:t>
            </w:r>
            <w:r w:rsidRPr="00F04F3B">
              <w:rPr>
                <w:rFonts w:ascii="Verdana" w:eastAsia="Calibri" w:hAnsi="Verdana" w:cs="Arial"/>
                <w:b/>
                <w:bCs/>
                <w:color w:val="000000" w:themeColor="text1"/>
                <w:lang w:val="es-ES" w:eastAsia="es-ES"/>
              </w:rPr>
              <w:t xml:space="preserve"> de 2026</w:t>
            </w:r>
          </w:p>
          <w:p w14:paraId="11FB7267" w14:textId="77777777" w:rsidR="004A0EC9" w:rsidRPr="00F04F3B" w:rsidRDefault="004A0EC9" w:rsidP="00B72C0D">
            <w:pPr>
              <w:ind w:left="3"/>
              <w:jc w:val="both"/>
              <w:rPr>
                <w:rFonts w:ascii="Verdana" w:eastAsia="Calibri" w:hAnsi="Verdana" w:cs="Arial"/>
                <w:b/>
                <w:bCs/>
                <w:color w:val="000000" w:themeColor="text1"/>
                <w:lang w:val="es-ES" w:eastAsia="es-ES"/>
              </w:rPr>
            </w:pPr>
          </w:p>
          <w:p w14:paraId="766089F8" w14:textId="77777777" w:rsidR="004A0EC9" w:rsidRPr="00F04F3B" w:rsidRDefault="004A0EC9" w:rsidP="00B72C0D">
            <w:pPr>
              <w:ind w:left="3"/>
              <w:jc w:val="both"/>
              <w:rPr>
                <w:rFonts w:ascii="Verdana" w:eastAsia="Calibri" w:hAnsi="Verdana" w:cs="Arial"/>
                <w:b/>
                <w:bCs/>
                <w:color w:val="000000" w:themeColor="text1"/>
                <w:lang w:val="es-ES" w:eastAsia="es-ES"/>
              </w:rPr>
            </w:pPr>
          </w:p>
        </w:tc>
      </w:tr>
      <w:tr w:rsidR="004A0EC9" w:rsidRPr="00F04F3B" w14:paraId="2EDB19E7" w14:textId="77777777" w:rsidTr="00B72C0D">
        <w:trPr>
          <w:trHeight w:val="300"/>
        </w:trPr>
        <w:tc>
          <w:tcPr>
            <w:tcW w:w="2410" w:type="dxa"/>
          </w:tcPr>
          <w:p w14:paraId="5AC91C03" w14:textId="77777777" w:rsidR="004A0EC9" w:rsidRPr="00F04F3B" w:rsidRDefault="004A0EC9" w:rsidP="00B72C0D">
            <w:pPr>
              <w:ind w:left="424" w:firstLine="142"/>
              <w:jc w:val="both"/>
              <w:rPr>
                <w:rFonts w:ascii="Verdana" w:eastAsia="Calibri" w:hAnsi="Verdana" w:cs="Arial"/>
                <w:color w:val="000000" w:themeColor="text1"/>
                <w:lang w:val="es-ES" w:eastAsia="es-ES_tradnl"/>
              </w:rPr>
            </w:pPr>
            <w:r w:rsidRPr="00F04F3B">
              <w:rPr>
                <w:rFonts w:ascii="Verdana" w:eastAsia="Calibri" w:hAnsi="Verdana" w:cs="Arial"/>
                <w:b/>
                <w:color w:val="000000" w:themeColor="text1"/>
                <w:lang w:val="es-ES" w:eastAsia="es-ES_tradnl"/>
              </w:rPr>
              <w:t>Temas:</w:t>
            </w:r>
            <w:r w:rsidRPr="00F04F3B">
              <w:rPr>
                <w:rFonts w:ascii="Verdana" w:eastAsia="Calibri" w:hAnsi="Verdana" w:cs="Arial"/>
                <w:color w:val="000000" w:themeColor="text1"/>
                <w:lang w:val="es-ES" w:eastAsia="es-ES_tradnl"/>
              </w:rPr>
              <w:t xml:space="preserve">                  </w:t>
            </w:r>
          </w:p>
        </w:tc>
        <w:tc>
          <w:tcPr>
            <w:tcW w:w="6100" w:type="dxa"/>
          </w:tcPr>
          <w:p w14:paraId="70448C1C" w14:textId="77777777" w:rsidR="004A0EC9" w:rsidRPr="00F04F3B" w:rsidRDefault="004A0EC9" w:rsidP="00B72C0D">
            <w:pPr>
              <w:spacing w:line="276" w:lineRule="auto"/>
              <w:jc w:val="both"/>
              <w:rPr>
                <w:rFonts w:ascii="Verdana" w:hAnsi="Verdana" w:cs="Arial"/>
                <w:lang w:val="es-ES" w:eastAsia="es-ES"/>
              </w:rPr>
            </w:pPr>
            <w:r w:rsidRPr="00DD681C">
              <w:rPr>
                <w:rFonts w:ascii="Verdana" w:hAnsi="Verdana" w:cs="Arial"/>
                <w:bCs/>
                <w:lang w:eastAsia="es-ES" w:bidi="es-ES"/>
              </w:rPr>
              <w:t xml:space="preserve">ADICIÓN – Concepto – Distintos supuestos – Prohibición – Adición en más del 50% / ADICIÓN – Prohibición – Monto – Cálculo – Parágrafo artículo 40 – Ley 80 de 1993 </w:t>
            </w:r>
            <w:r w:rsidRPr="00F04F3B">
              <w:rPr>
                <w:rFonts w:ascii="Verdana" w:hAnsi="Verdana" w:cs="Arial"/>
                <w:lang w:val="es-ES" w:eastAsia="es-ES"/>
              </w:rPr>
              <w:t xml:space="preserve">/ </w:t>
            </w:r>
            <w:r>
              <w:rPr>
                <w:rFonts w:ascii="Verdana" w:hAnsi="Verdana" w:cs="Arial"/>
                <w:lang w:val="es-ES" w:eastAsia="es-ES"/>
              </w:rPr>
              <w:t>REAJUSTE Y REVISIÓN DE PRECIOS</w:t>
            </w:r>
            <w:r>
              <w:rPr>
                <w:rFonts w:ascii="Verdana" w:hAnsi="Verdana" w:cs="Arial"/>
                <w:highlight w:val="yellow"/>
                <w:lang w:val="es-ES" w:eastAsia="es-ES"/>
              </w:rPr>
              <w:t xml:space="preserve"> </w:t>
            </w:r>
            <w:r w:rsidRPr="00A14630">
              <w:rPr>
                <w:rFonts w:ascii="Verdana" w:hAnsi="Verdana" w:cs="Arial"/>
                <w:lang w:val="es-ES" w:eastAsia="es-ES"/>
              </w:rPr>
              <w:t>– Límite</w:t>
            </w:r>
            <w:r>
              <w:rPr>
                <w:rFonts w:ascii="Verdana" w:hAnsi="Verdana" w:cs="Arial"/>
                <w:lang w:val="es-ES" w:eastAsia="es-ES"/>
              </w:rPr>
              <w:t xml:space="preserve"> de adiciones </w:t>
            </w:r>
            <w:r w:rsidRPr="00A14630">
              <w:rPr>
                <w:rFonts w:ascii="Verdana" w:hAnsi="Verdana" w:cs="Arial"/>
                <w:lang w:val="es-ES" w:eastAsia="es-ES"/>
              </w:rPr>
              <w:t>–</w:t>
            </w:r>
            <w:r>
              <w:rPr>
                <w:rFonts w:ascii="Verdana" w:hAnsi="Verdana" w:cs="Arial"/>
                <w:lang w:val="es-ES" w:eastAsia="es-ES"/>
              </w:rPr>
              <w:t xml:space="preserve"> Cambio de vigencia </w:t>
            </w:r>
            <w:r w:rsidRPr="00A14630">
              <w:rPr>
                <w:rFonts w:ascii="Verdana" w:hAnsi="Verdana" w:cs="Arial"/>
                <w:lang w:val="es-ES" w:eastAsia="es-ES"/>
              </w:rPr>
              <w:t>–</w:t>
            </w:r>
            <w:r>
              <w:rPr>
                <w:rFonts w:ascii="Verdana" w:hAnsi="Verdana" w:cs="Arial"/>
                <w:lang w:val="es-ES" w:eastAsia="es-ES"/>
              </w:rPr>
              <w:t xml:space="preserve"> Alcance</w:t>
            </w:r>
          </w:p>
          <w:p w14:paraId="10BFF307" w14:textId="77777777" w:rsidR="004A0EC9" w:rsidRPr="00F04F3B" w:rsidRDefault="004A0EC9" w:rsidP="00B72C0D">
            <w:pPr>
              <w:spacing w:line="276" w:lineRule="auto"/>
              <w:jc w:val="both"/>
              <w:rPr>
                <w:rFonts w:ascii="Verdana" w:eastAsia="Calibri" w:hAnsi="Verdana" w:cs="Arial"/>
                <w:color w:val="000000" w:themeColor="text1"/>
                <w:lang w:val="es-ES" w:eastAsia="es-ES"/>
              </w:rPr>
            </w:pPr>
          </w:p>
        </w:tc>
      </w:tr>
      <w:tr w:rsidR="004A0EC9" w:rsidRPr="00F04F3B" w14:paraId="222E39CC" w14:textId="77777777" w:rsidTr="00B72C0D">
        <w:trPr>
          <w:trHeight w:val="300"/>
        </w:trPr>
        <w:tc>
          <w:tcPr>
            <w:tcW w:w="2410" w:type="dxa"/>
          </w:tcPr>
          <w:p w14:paraId="267D7BE6" w14:textId="77777777" w:rsidR="004A0EC9" w:rsidRPr="00F04F3B" w:rsidRDefault="004A0EC9" w:rsidP="00B72C0D">
            <w:pPr>
              <w:ind w:left="561"/>
              <w:jc w:val="both"/>
              <w:rPr>
                <w:rFonts w:ascii="Verdana" w:eastAsia="Calibri" w:hAnsi="Verdana" w:cs="Arial"/>
                <w:b/>
                <w:color w:val="000000" w:themeColor="text1"/>
                <w:lang w:val="es-ES" w:eastAsia="es-ES_tradnl"/>
              </w:rPr>
            </w:pPr>
            <w:r w:rsidRPr="00F04F3B">
              <w:rPr>
                <w:rFonts w:ascii="Verdana" w:eastAsia="Calibri" w:hAnsi="Verdana" w:cs="Arial"/>
                <w:b/>
                <w:color w:val="000000" w:themeColor="text1"/>
                <w:lang w:val="es-ES" w:eastAsia="es-ES_tradnl"/>
              </w:rPr>
              <w:t xml:space="preserve">Radicación:              </w:t>
            </w:r>
          </w:p>
        </w:tc>
        <w:tc>
          <w:tcPr>
            <w:tcW w:w="6100" w:type="dxa"/>
          </w:tcPr>
          <w:p w14:paraId="3706FD3F" w14:textId="17A119E5" w:rsidR="004A0EC9" w:rsidRPr="00F04F3B" w:rsidRDefault="004A0EC9" w:rsidP="00B72C0D">
            <w:pPr>
              <w:ind w:left="3"/>
              <w:jc w:val="both"/>
              <w:rPr>
                <w:rFonts w:ascii="Verdana" w:hAnsi="Verdana"/>
                <w:bCs/>
                <w:color w:val="000000"/>
                <w:lang w:val="es-ES"/>
              </w:rPr>
            </w:pPr>
            <w:r w:rsidRPr="00F04F3B">
              <w:rPr>
                <w:rFonts w:ascii="Verdana" w:eastAsia="Calibri" w:hAnsi="Verdana" w:cs="Arial"/>
                <w:bCs/>
                <w:color w:val="000000" w:themeColor="text1"/>
                <w:lang w:val="es-ES" w:eastAsia="es-ES"/>
              </w:rPr>
              <w:t xml:space="preserve">Respuesta a consulta con radicado No. </w:t>
            </w:r>
            <w:r w:rsidR="00BB59C2" w:rsidRPr="00BB59C2">
              <w:rPr>
                <w:rFonts w:ascii="Verdana" w:eastAsia="Calibri" w:hAnsi="Verdana" w:cs="Arial"/>
                <w:bCs/>
                <w:color w:val="000000" w:themeColor="text1"/>
                <w:lang w:val="es-ES" w:eastAsia="es-ES"/>
              </w:rPr>
              <w:t>1_2026_09_08_011909</w:t>
            </w:r>
          </w:p>
        </w:tc>
      </w:tr>
    </w:tbl>
    <w:p w14:paraId="626C0DC4" w14:textId="77777777" w:rsidR="004A0EC9" w:rsidRPr="00F04F3B" w:rsidRDefault="004A0EC9" w:rsidP="004A0EC9">
      <w:pPr>
        <w:spacing w:after="0" w:line="276" w:lineRule="auto"/>
        <w:jc w:val="both"/>
        <w:rPr>
          <w:rFonts w:ascii="Verdana" w:eastAsia="Calibri" w:hAnsi="Verdana" w:cs="Arial"/>
          <w:color w:val="000000" w:themeColor="text1"/>
          <w:lang w:val="es-ES" w:eastAsia="es-ES"/>
        </w:rPr>
      </w:pPr>
    </w:p>
    <w:p w14:paraId="6658FD0E" w14:textId="77777777" w:rsidR="004A0EC9" w:rsidRPr="00F04F3B" w:rsidRDefault="004A0EC9" w:rsidP="004A0EC9">
      <w:pPr>
        <w:spacing w:after="0" w:line="276" w:lineRule="auto"/>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 (a)</w:t>
      </w:r>
      <w:r w:rsidRPr="00F04F3B">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 (a)</w:t>
      </w:r>
      <w:r w:rsidRPr="00F04F3B">
        <w:rPr>
          <w:rFonts w:ascii="Verdana" w:eastAsia="Calibri" w:hAnsi="Verdana" w:cs="Arial"/>
          <w:color w:val="000000" w:themeColor="text1"/>
          <w:lang w:val="es-ES" w:eastAsia="es-ES"/>
        </w:rPr>
        <w:t xml:space="preserve">: </w:t>
      </w:r>
    </w:p>
    <w:p w14:paraId="7EF0EEA7" w14:textId="77777777" w:rsidR="004A0EC9" w:rsidRPr="00F04F3B" w:rsidRDefault="004A0EC9" w:rsidP="004A0EC9">
      <w:pPr>
        <w:tabs>
          <w:tab w:val="left" w:pos="3768"/>
        </w:tabs>
        <w:spacing w:after="0" w:line="276" w:lineRule="auto"/>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ab/>
      </w:r>
    </w:p>
    <w:p w14:paraId="7C00846F" w14:textId="77777777" w:rsidR="004A0EC9" w:rsidRPr="00F04F3B" w:rsidRDefault="004A0EC9" w:rsidP="004A0EC9">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 xml:space="preserve">la Agencia Nacional de Contratación Pública – Colombia Compra Eficiente </w:t>
      </w:r>
      <w:r w:rsidRPr="00F04F3B">
        <w:rPr>
          <w:rFonts w:ascii="Verdana" w:eastAsia="Calibri" w:hAnsi="Verdana" w:cs="Arial"/>
          <w:color w:val="000000" w:themeColor="text1"/>
          <w:lang w:val="es-ES" w:eastAsia="es-ES"/>
        </w:rPr>
        <w:t xml:space="preserve">responde su solicitud de consulta del </w:t>
      </w:r>
      <w:r>
        <w:rPr>
          <w:rFonts w:ascii="Verdana" w:eastAsia="Calibri" w:hAnsi="Verdana" w:cs="Arial"/>
          <w:color w:val="000000" w:themeColor="text1"/>
          <w:lang w:val="es-ES" w:eastAsia="es-ES"/>
        </w:rPr>
        <w:t>8</w:t>
      </w:r>
      <w:r w:rsidRPr="00F04F3B">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de septiembre</w:t>
      </w:r>
      <w:r w:rsidRPr="00F04F3B">
        <w:rPr>
          <w:rFonts w:ascii="Verdana" w:eastAsia="Calibri" w:hAnsi="Verdana" w:cs="Arial"/>
          <w:color w:val="000000" w:themeColor="text1"/>
          <w:lang w:val="es-ES" w:eastAsia="es-ES"/>
        </w:rPr>
        <w:t xml:space="preserve"> de 2026, en la cual manifiesta lo siguiente: </w:t>
      </w:r>
    </w:p>
    <w:p w14:paraId="3AE59B9F" w14:textId="77777777" w:rsidR="004A0EC9" w:rsidRPr="00F04F3B" w:rsidRDefault="004A0EC9" w:rsidP="004A0EC9">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p>
    <w:p w14:paraId="15900200" w14:textId="77777777" w:rsidR="004A0EC9" w:rsidRPr="00F04F3B" w:rsidRDefault="004A0EC9" w:rsidP="004A0EC9">
      <w:pPr>
        <w:spacing w:line="240" w:lineRule="auto"/>
        <w:ind w:left="709" w:right="709"/>
        <w:jc w:val="both"/>
        <w:rPr>
          <w:rFonts w:ascii="Verdana" w:eastAsia="Calibri" w:hAnsi="Verdana" w:cs="Arial"/>
          <w:i/>
          <w:iCs/>
          <w:sz w:val="20"/>
          <w:szCs w:val="20"/>
          <w:lang w:val="es-ES"/>
        </w:rPr>
      </w:pPr>
      <w:r w:rsidRPr="00F04F3B">
        <w:rPr>
          <w:rFonts w:ascii="Verdana" w:eastAsia="Calibri" w:hAnsi="Verdana" w:cs="Arial"/>
          <w:i/>
          <w:iCs/>
          <w:sz w:val="20"/>
          <w:szCs w:val="20"/>
          <w:lang w:val="es-ES"/>
        </w:rPr>
        <w:t>“</w:t>
      </w:r>
      <w:r w:rsidRPr="00EB7D0F">
        <w:rPr>
          <w:rFonts w:ascii="Verdana" w:eastAsia="Calibri" w:hAnsi="Verdana" w:cs="Arial"/>
          <w:i/>
          <w:iCs/>
          <w:sz w:val="20"/>
          <w:szCs w:val="20"/>
        </w:rPr>
        <w:t xml:space="preserve">¿LOS REAJUSTES HECHOS AL VALOR DEL CONTRATO SE TOMAN COMO SI FUERAN UN ADICION AL VALOR INICIAL DEL </w:t>
      </w:r>
      <w:proofErr w:type="gramStart"/>
      <w:r w:rsidRPr="00EB7D0F">
        <w:rPr>
          <w:rFonts w:ascii="Verdana" w:eastAsia="Calibri" w:hAnsi="Verdana" w:cs="Arial"/>
          <w:i/>
          <w:iCs/>
          <w:sz w:val="20"/>
          <w:szCs w:val="20"/>
        </w:rPr>
        <w:t>CONTRATO ?</w:t>
      </w:r>
      <w:proofErr w:type="gramEnd"/>
      <w:r w:rsidRPr="00EB7D0F">
        <w:rPr>
          <w:rFonts w:ascii="Verdana" w:eastAsia="Calibri" w:hAnsi="Verdana" w:cs="Arial"/>
          <w:i/>
          <w:iCs/>
          <w:sz w:val="20"/>
          <w:szCs w:val="20"/>
        </w:rPr>
        <w:t xml:space="preserve"> ES DECIR: TENGO UN PROCESO DE SELECCION BAJO LA MODALIDAD DE LICITACION PUBLICA QUE DIO INICIO EN EL 2025, ADJUDICANDOSE EL PROCESO EN EL 2026, DE LA EJECUCION DEL CONTRATO SE REALIZO UN REAJUSTE DEL VALOR DEL CONTRATO POR CUANTO SE HIZO NECESARIO AJUSTAR POR EL CAMBIO DEL SMMLV , EN ESE SENTIDO SE SUSCRIBIO UN OTROSI MODIFICANDO EL VALOR DEL CONTRATO CON LA FINALIDAD DE REAJUSTARLO, EN ESE ORDEN DE IDEAS EL REAJUSTE CUENTA COMO UN ADICIONAL DEL CONTRATO PARA EFECTOS DE LO INDICADO EN EL </w:t>
      </w:r>
      <w:r w:rsidRPr="00EB7D0F">
        <w:rPr>
          <w:rFonts w:ascii="Verdana" w:eastAsia="Calibri" w:hAnsi="Verdana" w:cs="Arial"/>
          <w:i/>
          <w:iCs/>
          <w:sz w:val="20"/>
          <w:szCs w:val="20"/>
        </w:rPr>
        <w:lastRenderedPageBreak/>
        <w:t>ARTICULO 40 DE LA LEY 80 QUE INDICA " Los contratos no podrán adicionarse en más del cincuenta por ciento (50%) de su valor inicial, expresado éste en salarios mínimos legales mensuales". CUAL ES LA OPERACION QUE SE DEBE REALIZAR CON LO INDICADO EN EL ARTICULO 40 DE LA LEY 80 QUE INDICA.</w:t>
      </w:r>
      <w:r>
        <w:rPr>
          <w:rFonts w:ascii="Verdana" w:eastAsia="Calibri" w:hAnsi="Verdana" w:cs="Arial"/>
          <w:i/>
          <w:iCs/>
          <w:sz w:val="20"/>
          <w:szCs w:val="20"/>
        </w:rPr>
        <w:t>”</w:t>
      </w:r>
    </w:p>
    <w:p w14:paraId="50A9684E" w14:textId="77777777" w:rsidR="004A0EC9" w:rsidRPr="00F04F3B" w:rsidRDefault="004A0EC9" w:rsidP="004A0EC9">
      <w:pPr>
        <w:spacing w:after="0" w:line="276" w:lineRule="auto"/>
        <w:ind w:right="709"/>
        <w:jc w:val="both"/>
        <w:rPr>
          <w:rFonts w:ascii="Verdana" w:eastAsia="Calibri" w:hAnsi="Verdana" w:cs="Arial"/>
          <w:lang w:val="es-ES"/>
        </w:rPr>
      </w:pPr>
    </w:p>
    <w:p w14:paraId="0E135BEB" w14:textId="77777777" w:rsidR="004A0EC9" w:rsidRPr="00F04F3B" w:rsidRDefault="004A0EC9" w:rsidP="004A0EC9">
      <w:pPr>
        <w:spacing w:after="120" w:line="276" w:lineRule="auto"/>
        <w:ind w:firstLine="708"/>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04F3B">
        <w:rPr>
          <w:rFonts w:ascii="Verdana" w:hAnsi="Verdana"/>
          <w:lang w:val="es-ES"/>
        </w:rPr>
        <w:tab/>
      </w:r>
    </w:p>
    <w:p w14:paraId="17BA0936" w14:textId="77777777" w:rsidR="004A0EC9" w:rsidRPr="00F04F3B" w:rsidRDefault="004A0EC9" w:rsidP="004A0EC9">
      <w:pPr>
        <w:spacing w:after="0" w:line="276" w:lineRule="auto"/>
        <w:ind w:firstLine="709"/>
        <w:jc w:val="both"/>
        <w:rPr>
          <w:rFonts w:ascii="Verdana" w:eastAsia="Calibri" w:hAnsi="Verdana" w:cs="Arial"/>
          <w:color w:val="000000" w:themeColor="text1"/>
          <w:lang w:val="es-ES" w:eastAsia="es-ES"/>
        </w:rPr>
      </w:pPr>
      <w:r w:rsidRPr="00F04F3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70010FE" w14:textId="77777777" w:rsidR="004A0EC9" w:rsidRPr="00F04F3B" w:rsidRDefault="004A0EC9" w:rsidP="004A0EC9">
      <w:pPr>
        <w:spacing w:after="0" w:line="276" w:lineRule="auto"/>
        <w:jc w:val="both"/>
        <w:rPr>
          <w:rFonts w:ascii="Verdana" w:eastAsia="Calibri" w:hAnsi="Verdana" w:cs="Arial"/>
          <w:color w:val="000000" w:themeColor="text1"/>
          <w:lang w:val="es-ES" w:eastAsia="es-ES"/>
        </w:rPr>
      </w:pPr>
    </w:p>
    <w:p w14:paraId="3898B8D7" w14:textId="77777777" w:rsidR="004A0EC9" w:rsidRPr="00F04F3B" w:rsidRDefault="004A0EC9" w:rsidP="004A0EC9">
      <w:pPr>
        <w:pStyle w:val="Prrafodelista"/>
        <w:numPr>
          <w:ilvl w:val="0"/>
          <w:numId w:val="18"/>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bCs/>
          <w:color w:val="000000" w:themeColor="text1"/>
        </w:rPr>
        <w:t>Problema planteado:</w:t>
      </w:r>
    </w:p>
    <w:p w14:paraId="55F7DE68" w14:textId="77777777" w:rsidR="004A0EC9" w:rsidRPr="00F04F3B" w:rsidRDefault="004A0EC9" w:rsidP="004A0EC9">
      <w:pPr>
        <w:tabs>
          <w:tab w:val="left" w:pos="426"/>
        </w:tabs>
        <w:spacing w:after="0" w:line="276" w:lineRule="auto"/>
        <w:jc w:val="both"/>
        <w:rPr>
          <w:rFonts w:ascii="Verdana" w:eastAsia="Century Gothic" w:hAnsi="Verdana" w:cs="Century Gothic"/>
          <w:color w:val="000000" w:themeColor="text1"/>
          <w:lang w:val="es-ES"/>
        </w:rPr>
      </w:pPr>
    </w:p>
    <w:p w14:paraId="211C0E81" w14:textId="77777777" w:rsidR="004A0EC9" w:rsidRPr="00F04F3B" w:rsidRDefault="004A0EC9" w:rsidP="004A0EC9">
      <w:pPr>
        <w:spacing w:line="276" w:lineRule="auto"/>
        <w:jc w:val="both"/>
        <w:rPr>
          <w:rFonts w:ascii="Verdana" w:eastAsia="Century Gothic" w:hAnsi="Verdana" w:cs="Century Gothic"/>
          <w:color w:val="000000" w:themeColor="text1"/>
          <w:lang w:val="es-ES"/>
        </w:rPr>
      </w:pPr>
      <w:r w:rsidRPr="00F04F3B">
        <w:rPr>
          <w:rFonts w:ascii="Verdana" w:eastAsia="Century Gothic" w:hAnsi="Verdana" w:cs="Century Gothic"/>
          <w:color w:val="000000" w:themeColor="text1"/>
          <w:lang w:val="es-ES"/>
        </w:rPr>
        <w:t xml:space="preserve">De acuerdo con el contenido de su solicitud, esta Agencia resolverá </w:t>
      </w:r>
      <w:r>
        <w:rPr>
          <w:rFonts w:ascii="Verdana" w:eastAsia="Century Gothic" w:hAnsi="Verdana" w:cs="Century Gothic"/>
          <w:color w:val="000000" w:themeColor="text1"/>
          <w:lang w:val="es-ES"/>
        </w:rPr>
        <w:t>el</w:t>
      </w:r>
      <w:r w:rsidRPr="00F04F3B">
        <w:rPr>
          <w:rFonts w:ascii="Verdana" w:eastAsia="Century Gothic" w:hAnsi="Verdana" w:cs="Century Gothic"/>
          <w:color w:val="000000" w:themeColor="text1"/>
          <w:lang w:val="es-ES"/>
        </w:rPr>
        <w:t xml:space="preserve"> siguiente problema jurídico: </w:t>
      </w:r>
      <w:r>
        <w:rPr>
          <w:rFonts w:ascii="Verdana" w:eastAsia="Century Gothic" w:hAnsi="Verdana" w:cs="Century Gothic"/>
        </w:rPr>
        <w:t>¿Cuál es el alcance del límite establecido en el artículo 40 de la Ley 80 de 1993 con respecto a los reajustes de precios por cambio de vigencia?</w:t>
      </w:r>
    </w:p>
    <w:p w14:paraId="4C6532B8" w14:textId="77777777" w:rsidR="004A0EC9" w:rsidRPr="00F04F3B" w:rsidRDefault="004A0EC9" w:rsidP="004A0EC9">
      <w:pPr>
        <w:pStyle w:val="Prrafodelista"/>
        <w:numPr>
          <w:ilvl w:val="0"/>
          <w:numId w:val="17"/>
        </w:numPr>
        <w:tabs>
          <w:tab w:val="left" w:pos="142"/>
          <w:tab w:val="left" w:pos="284"/>
        </w:tabs>
        <w:spacing w:after="0" w:line="276" w:lineRule="auto"/>
        <w:ind w:left="709"/>
        <w:jc w:val="both"/>
        <w:rPr>
          <w:rFonts w:ascii="Verdana" w:eastAsia="Century Gothic" w:hAnsi="Verdana" w:cs="Century Gothic"/>
          <w:b/>
          <w:color w:val="000000" w:themeColor="text1"/>
        </w:rPr>
      </w:pPr>
      <w:r w:rsidRPr="00F04F3B">
        <w:rPr>
          <w:rFonts w:ascii="Verdana" w:eastAsia="Century Gothic" w:hAnsi="Verdana" w:cs="Century Gothic"/>
          <w:b/>
          <w:bCs/>
          <w:color w:val="000000" w:themeColor="text1"/>
        </w:rPr>
        <w:t>Respuesta:</w:t>
      </w:r>
    </w:p>
    <w:p w14:paraId="61579E19" w14:textId="77777777" w:rsidR="004A0EC9" w:rsidRPr="00F04F3B" w:rsidRDefault="004A0EC9" w:rsidP="004A0EC9">
      <w:pPr>
        <w:spacing w:after="0" w:line="276" w:lineRule="auto"/>
        <w:jc w:val="both"/>
        <w:rPr>
          <w:rFonts w:ascii="Verdana" w:eastAsia="Calibri" w:hAnsi="Verdana" w:cs="Arial"/>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0EC9" w:rsidRPr="00F04F3B" w14:paraId="43324A05" w14:textId="77777777" w:rsidTr="00B72C0D">
        <w:trPr>
          <w:trHeight w:val="300"/>
        </w:trPr>
        <w:tc>
          <w:tcPr>
            <w:tcW w:w="8828" w:type="dxa"/>
          </w:tcPr>
          <w:p w14:paraId="79591C71" w14:textId="77777777" w:rsidR="004A0EC9" w:rsidRDefault="004A0EC9" w:rsidP="00B72C0D">
            <w:pPr>
              <w:spacing w:before="120" w:after="120" w:line="276" w:lineRule="auto"/>
              <w:jc w:val="both"/>
              <w:rPr>
                <w:rFonts w:ascii="Verdana" w:hAnsi="Verdana" w:cs="Arial"/>
                <w:color w:val="000000" w:themeColor="text1"/>
              </w:rPr>
            </w:pPr>
            <w:r w:rsidRPr="00A06C92">
              <w:rPr>
                <w:rFonts w:ascii="Verdana" w:hAnsi="Verdana" w:cs="Arial"/>
                <w:color w:val="000000" w:themeColor="text1"/>
              </w:rPr>
              <w:t>El límite previsto en el parágrafo del artículo 40 de la Ley 80 de 1993 se refiere</w:t>
            </w:r>
            <w:r>
              <w:rPr>
                <w:rFonts w:ascii="Verdana" w:hAnsi="Verdana" w:cs="Arial"/>
                <w:color w:val="000000" w:themeColor="text1"/>
              </w:rPr>
              <w:t xml:space="preserve"> </w:t>
            </w:r>
            <w:r w:rsidRPr="00A06C92">
              <w:rPr>
                <w:rFonts w:ascii="Verdana" w:hAnsi="Verdana" w:cs="Arial"/>
                <w:color w:val="000000" w:themeColor="text1"/>
              </w:rPr>
              <w:t xml:space="preserve">a las adiciones contractuales que impliquen una ampliación del contenido </w:t>
            </w:r>
            <w:r w:rsidRPr="00A06C92">
              <w:rPr>
                <w:rFonts w:ascii="Verdana" w:hAnsi="Verdana" w:cs="Arial"/>
                <w:color w:val="000000" w:themeColor="text1"/>
              </w:rPr>
              <w:lastRenderedPageBreak/>
              <w:t xml:space="preserve">prestacional del contrato, de manera que el valor correspondiente a estas no puede superar el cincuenta por ciento (50 %) del valor inicial, expresado en salarios mínimos legales mensuales. Sin embargo, </w:t>
            </w:r>
            <w:r>
              <w:rPr>
                <w:rFonts w:ascii="Verdana" w:hAnsi="Verdana" w:cs="Arial"/>
                <w:color w:val="000000" w:themeColor="text1"/>
              </w:rPr>
              <w:t xml:space="preserve">conforme lo señala la jurisprudencia del Consejo de Estado, </w:t>
            </w:r>
            <w:r w:rsidRPr="00A06C92">
              <w:rPr>
                <w:rFonts w:ascii="Verdana" w:hAnsi="Verdana" w:cs="Arial"/>
                <w:color w:val="000000" w:themeColor="text1"/>
              </w:rPr>
              <w:t xml:space="preserve">este límite no se extiende </w:t>
            </w:r>
            <w:r>
              <w:rPr>
                <w:rFonts w:ascii="Verdana" w:hAnsi="Verdana" w:cs="Arial"/>
                <w:color w:val="000000" w:themeColor="text1"/>
              </w:rPr>
              <w:t xml:space="preserve">a </w:t>
            </w:r>
            <w:r w:rsidRPr="00A06C92">
              <w:rPr>
                <w:rFonts w:ascii="Verdana" w:hAnsi="Verdana" w:cs="Arial"/>
                <w:color w:val="000000" w:themeColor="text1"/>
              </w:rPr>
              <w:t>la aplicación de mecanismos de reajuste o actualización de precios pactados para prestaciones ya previstas en el contrato, pues estos no tienen por objeto adicionar nuevas obligaciones, sino preservar la equivalencia económica de las prestaciones durante su ejecución.</w:t>
            </w:r>
          </w:p>
          <w:p w14:paraId="6AA50273" w14:textId="77777777" w:rsidR="004A0EC9" w:rsidRPr="00252E81" w:rsidRDefault="004A0EC9" w:rsidP="00B72C0D">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252E81">
              <w:rPr>
                <w:rFonts w:ascii="Verdana" w:eastAsia="Arial" w:hAnsi="Verdana" w:cs="Arial"/>
                <w:color w:val="000000" w:themeColor="text1"/>
                <w:lang w:val="es-ES" w:eastAsia="es-ES" w:bidi="es-ES"/>
              </w:rPr>
              <w:t xml:space="preserve">En particular, el cambio de vigencia contractual puede generar la aplicación de las fórmulas de reajuste o actualización de precios previstas en el contrato. El mayor valor que resulte de su aplicación no constituye, por sí mismo, una adición sometida al límite del 50 %, en la medida en que corresponda a ítems o prestaciones ya definidos y pactados. En este supuesto, el reajuste opera como un mecanismo de actualización del precio de las prestaciones originalmente convenidas y no como una </w:t>
            </w:r>
            <w:r>
              <w:rPr>
                <w:rFonts w:ascii="Verdana" w:eastAsia="Arial" w:hAnsi="Verdana" w:cs="Arial"/>
                <w:color w:val="000000" w:themeColor="text1"/>
                <w:lang w:val="es-ES" w:eastAsia="es-ES" w:bidi="es-ES"/>
              </w:rPr>
              <w:t xml:space="preserve">adición </w:t>
            </w:r>
            <w:r w:rsidRPr="00252E81">
              <w:rPr>
                <w:rFonts w:ascii="Verdana" w:eastAsia="Arial" w:hAnsi="Verdana" w:cs="Arial"/>
                <w:color w:val="000000" w:themeColor="text1"/>
                <w:lang w:val="es-ES" w:eastAsia="es-ES" w:bidi="es-ES"/>
              </w:rPr>
              <w:t>de su contenido prestacional.</w:t>
            </w:r>
          </w:p>
          <w:p w14:paraId="575BE917" w14:textId="77777777" w:rsidR="004A0EC9" w:rsidRPr="00252E81" w:rsidRDefault="004A0EC9" w:rsidP="00B72C0D">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252E81">
              <w:rPr>
                <w:rFonts w:ascii="Verdana" w:eastAsia="Arial" w:hAnsi="Verdana" w:cs="Arial"/>
                <w:color w:val="000000" w:themeColor="text1"/>
                <w:lang w:val="es-ES" w:eastAsia="es-ES" w:bidi="es-ES"/>
              </w:rPr>
              <w:t>En c</w:t>
            </w:r>
            <w:r>
              <w:rPr>
                <w:rFonts w:ascii="Verdana" w:eastAsia="Arial" w:hAnsi="Verdana" w:cs="Arial"/>
                <w:color w:val="000000" w:themeColor="text1"/>
                <w:lang w:val="es-ES" w:eastAsia="es-ES" w:bidi="es-ES"/>
              </w:rPr>
              <w:t>o</w:t>
            </w:r>
            <w:r w:rsidRPr="00252E81">
              <w:rPr>
                <w:rFonts w:ascii="Verdana" w:eastAsia="Arial" w:hAnsi="Verdana" w:cs="Arial"/>
                <w:color w:val="000000" w:themeColor="text1"/>
                <w:lang w:val="es-ES" w:eastAsia="es-ES" w:bidi="es-ES"/>
              </w:rPr>
              <w:t xml:space="preserve">nsecuencia, si el reconocimiento económico corresponde exclusivamente a la actualización de los precios de prestaciones ya pactadas, no se computa dentro del 50 %; mientras que, si el mayor valor supone incorporar nuevas prestaciones, otras obligaciones o una ampliación del contenido contractual, estará sometido al límite legal, sin perjuicio de lo dispuesto respecto de las mayores cantidades de obra cuando resulte aplicable. </w:t>
            </w:r>
          </w:p>
          <w:p w14:paraId="7C0A0619" w14:textId="77777777" w:rsidR="004A0EC9" w:rsidRPr="00252E81" w:rsidRDefault="004A0EC9" w:rsidP="00B72C0D">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252E81">
              <w:rPr>
                <w:rFonts w:ascii="Verdana" w:eastAsia="Arial" w:hAnsi="Verdana" w:cs="Arial"/>
                <w:color w:val="000000" w:themeColor="text1"/>
                <w:lang w:val="es-ES" w:eastAsia="es-ES" w:bidi="es-ES"/>
              </w:rPr>
              <w:t xml:space="preserve">Para establecer el límite del artículo 40 respecto de las adiciones que sí se encuentren sometidas a este, debe tomarse el valor inicial del contrato y expresarlo en SMMLV, para lo cual se divide el valor inicial en pesos entre el SMMLV vigente al momento de la celebración del contrato. El resultado corresponde al valor inicial expresado en SMMLV y sobre este se calcula el 50 %, que constituye el límite máximo de las adiciones. Las adiciones que se realicen durante la ejecución se expresan igualmente en SMMLV para efectos de verificar su acumulación frente a dicho límite. </w:t>
            </w:r>
          </w:p>
          <w:p w14:paraId="2798D8C1" w14:textId="77777777" w:rsidR="004A0EC9" w:rsidRPr="00252E81" w:rsidRDefault="004A0EC9" w:rsidP="00B72C0D">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252E81">
              <w:rPr>
                <w:rFonts w:ascii="Verdana" w:eastAsia="Arial" w:hAnsi="Verdana" w:cs="Arial"/>
                <w:color w:val="000000" w:themeColor="text1"/>
                <w:lang w:val="es-ES" w:eastAsia="es-ES" w:bidi="es-ES"/>
              </w:rPr>
              <w:t xml:space="preserve">Por tanto, en el supuesto planteado, </w:t>
            </w:r>
            <w:r>
              <w:rPr>
                <w:rFonts w:ascii="Verdana" w:eastAsia="Arial" w:hAnsi="Verdana" w:cs="Arial"/>
                <w:color w:val="000000" w:themeColor="text1"/>
                <w:lang w:val="es-ES" w:eastAsia="es-ES" w:bidi="es-ES"/>
              </w:rPr>
              <w:t xml:space="preserve">si </w:t>
            </w:r>
            <w:r w:rsidRPr="00252E81">
              <w:rPr>
                <w:rFonts w:ascii="Verdana" w:eastAsia="Arial" w:hAnsi="Verdana" w:cs="Arial"/>
                <w:color w:val="000000" w:themeColor="text1"/>
                <w:lang w:val="es-ES" w:eastAsia="es-ES" w:bidi="es-ES"/>
              </w:rPr>
              <w:t xml:space="preserve">dicho mayor valor corresponde exclusivamente a la aplicación del mecanismo de reajuste previsto para las prestaciones originalmente pactadas, no consume el límite de adición del artículo 40. Si, por el contrario, el incremento corresponde a nuevas </w:t>
            </w:r>
            <w:r w:rsidRPr="00252E81">
              <w:rPr>
                <w:rFonts w:ascii="Verdana" w:eastAsia="Arial" w:hAnsi="Verdana" w:cs="Arial"/>
                <w:color w:val="000000" w:themeColor="text1"/>
                <w:lang w:val="es-ES" w:eastAsia="es-ES" w:bidi="es-ES"/>
              </w:rPr>
              <w:lastRenderedPageBreak/>
              <w:t xml:space="preserve">prestaciones, mayores obligaciones o una ampliación del contenido contractual, deberá considerarse una verdadera adición y someterse al límite legal. </w:t>
            </w:r>
          </w:p>
          <w:p w14:paraId="2DC03EB4" w14:textId="77777777" w:rsidR="004A0EC9" w:rsidRPr="0081321C" w:rsidRDefault="004A0EC9" w:rsidP="00B72C0D">
            <w:pPr>
              <w:widowControl w:val="0"/>
              <w:autoSpaceDE w:val="0"/>
              <w:autoSpaceDN w:val="0"/>
              <w:spacing w:before="120" w:line="276" w:lineRule="auto"/>
              <w:ind w:firstLine="709"/>
              <w:jc w:val="both"/>
              <w:rPr>
                <w:rFonts w:ascii="Verdana" w:eastAsia="Arial" w:hAnsi="Verdana" w:cs="Arial"/>
                <w:color w:val="000000" w:themeColor="text1"/>
                <w:lang w:val="es-ES" w:eastAsia="es-ES" w:bidi="es-ES"/>
              </w:rPr>
            </w:pPr>
            <w:r w:rsidRPr="00252E81">
              <w:rPr>
                <w:rFonts w:ascii="Verdana" w:eastAsia="Arial" w:hAnsi="Verdana" w:cs="Arial"/>
                <w:color w:val="000000" w:themeColor="text1"/>
                <w:lang w:val="es-ES" w:eastAsia="es-ES" w:bidi="es-ES"/>
              </w:rPr>
              <w:t>En conclusión, el reajuste de precios derivado del cambio de vigencia no se suma automáticamente al valor de las adiciones para efectos del límite del artículo 40 de la Ley 80 de 1993. Su exclusión depende de que corresponda efectivamente a la actualización del precio de prestaciones ya pactadas. Por tanto, en el caso consultado, antes de realizar la operación del 50 % debe determinarse la naturaleza del mayor valor reconocido mediante el otrosí</w:t>
            </w:r>
            <w:r>
              <w:rPr>
                <w:rFonts w:ascii="Verdana" w:eastAsia="Arial" w:hAnsi="Verdana" w:cs="Arial"/>
                <w:color w:val="000000" w:themeColor="text1"/>
                <w:lang w:val="es-ES" w:eastAsia="es-ES" w:bidi="es-ES"/>
              </w:rPr>
              <w:t>, de manera que</w:t>
            </w:r>
            <w:r w:rsidRPr="00252E81">
              <w:rPr>
                <w:rFonts w:ascii="Verdana" w:eastAsia="Arial" w:hAnsi="Verdana" w:cs="Arial"/>
                <w:color w:val="000000" w:themeColor="text1"/>
                <w:lang w:val="es-ES" w:eastAsia="es-ES" w:bidi="es-ES"/>
              </w:rPr>
              <w:t xml:space="preserve"> si es un reajuste propiamente dicho, se mantiene por fuera de la sumatoria de adiciones</w:t>
            </w:r>
            <w:r>
              <w:rPr>
                <w:rFonts w:ascii="Verdana" w:eastAsia="Arial" w:hAnsi="Verdana" w:cs="Arial"/>
                <w:color w:val="000000" w:themeColor="text1"/>
                <w:lang w:val="es-ES" w:eastAsia="es-ES" w:bidi="es-ES"/>
              </w:rPr>
              <w:t>, en cambio</w:t>
            </w:r>
            <w:r w:rsidRPr="00252E81">
              <w:rPr>
                <w:rFonts w:ascii="Verdana" w:eastAsia="Arial" w:hAnsi="Verdana" w:cs="Arial"/>
                <w:color w:val="000000" w:themeColor="text1"/>
                <w:lang w:val="es-ES" w:eastAsia="es-ES" w:bidi="es-ES"/>
              </w:rPr>
              <w:t xml:space="preserve"> sí constituye una modificación del contenido prestacional, debe incluirse en el cálculo.</w:t>
            </w:r>
          </w:p>
        </w:tc>
      </w:tr>
    </w:tbl>
    <w:p w14:paraId="7B4E785B" w14:textId="77777777" w:rsidR="004A0EC9" w:rsidRPr="00F04F3B" w:rsidRDefault="004A0EC9" w:rsidP="004A0EC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C6C3366" w14:textId="77777777" w:rsidR="004A0EC9" w:rsidRPr="00F04F3B" w:rsidRDefault="004A0EC9" w:rsidP="004A0EC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t>Razones de la respuesta:</w:t>
      </w:r>
    </w:p>
    <w:p w14:paraId="2DFC78BE" w14:textId="77777777" w:rsidR="004A0EC9" w:rsidRPr="00F04F3B" w:rsidRDefault="004A0EC9" w:rsidP="004A0EC9">
      <w:pPr>
        <w:spacing w:after="0" w:line="276" w:lineRule="auto"/>
        <w:jc w:val="both"/>
        <w:rPr>
          <w:rFonts w:ascii="Verdana" w:eastAsia="Calibri" w:hAnsi="Verdana" w:cs="Arial"/>
          <w:color w:val="000000" w:themeColor="text1"/>
          <w:lang w:val="es-ES"/>
        </w:rPr>
      </w:pPr>
    </w:p>
    <w:p w14:paraId="49B0DCB3" w14:textId="77777777" w:rsidR="004A0EC9" w:rsidRDefault="004A0EC9" w:rsidP="004A0EC9">
      <w:pPr>
        <w:spacing w:after="0" w:line="276" w:lineRule="auto"/>
        <w:jc w:val="both"/>
        <w:rPr>
          <w:rFonts w:ascii="Verdana" w:eastAsia="Calibri" w:hAnsi="Verdana" w:cs="Arial"/>
          <w:color w:val="000000" w:themeColor="text1"/>
          <w:lang w:val="es-ES"/>
        </w:rPr>
      </w:pPr>
      <w:r w:rsidRPr="00F04F3B">
        <w:rPr>
          <w:rFonts w:ascii="Verdana" w:eastAsia="Calibri" w:hAnsi="Verdana" w:cs="Arial"/>
          <w:color w:val="000000" w:themeColor="text1"/>
          <w:lang w:val="es-ES"/>
        </w:rPr>
        <w:t xml:space="preserve">Lo anterior se sustenta en las siguientes consideraciones: </w:t>
      </w:r>
    </w:p>
    <w:p w14:paraId="210FAA67" w14:textId="77777777" w:rsidR="004A0EC9" w:rsidRPr="00F04F3B" w:rsidRDefault="004A0EC9" w:rsidP="004A0EC9">
      <w:pPr>
        <w:spacing w:after="0" w:line="276" w:lineRule="auto"/>
        <w:jc w:val="both"/>
        <w:rPr>
          <w:rFonts w:ascii="Verdana" w:eastAsia="Calibri" w:hAnsi="Verdana" w:cs="Arial"/>
          <w:color w:val="000000" w:themeColor="text1"/>
          <w:lang w:val="es-ES"/>
        </w:rPr>
      </w:pPr>
    </w:p>
    <w:p w14:paraId="7108F00E" w14:textId="77777777" w:rsidR="004A0EC9" w:rsidRDefault="004A0EC9" w:rsidP="004A0EC9">
      <w:pPr>
        <w:tabs>
          <w:tab w:val="left" w:pos="284"/>
        </w:tabs>
        <w:spacing w:line="276" w:lineRule="auto"/>
        <w:jc w:val="both"/>
        <w:rPr>
          <w:rFonts w:ascii="Verdana" w:eastAsia="Arial" w:hAnsi="Verdana" w:cs="Arial"/>
          <w:color w:val="000000"/>
          <w:lang w:eastAsia="es-ES" w:bidi="es-ES"/>
        </w:rPr>
      </w:pPr>
      <w:r w:rsidRPr="00EC70DD">
        <w:rPr>
          <w:rFonts w:ascii="Verdana" w:eastAsia="Verdana" w:hAnsi="Verdana" w:cs="Verdana"/>
          <w:lang w:val="es-ES"/>
        </w:rPr>
        <w:t>i</w:t>
      </w:r>
      <w:r>
        <w:rPr>
          <w:rFonts w:ascii="Verdana" w:eastAsia="Verdana" w:hAnsi="Verdana" w:cs="Verdana"/>
          <w:lang w:val="es-ES"/>
        </w:rPr>
        <w:t xml:space="preserve">. </w:t>
      </w:r>
      <w:r>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Pr>
          <w:rFonts w:ascii="Verdana" w:eastAsia="Arial" w:hAnsi="Verdana" w:cs="Arial"/>
          <w:i/>
          <w:iCs/>
          <w:color w:val="000000"/>
          <w:lang w:eastAsia="es-ES" w:bidi="es-ES"/>
        </w:rPr>
        <w:t xml:space="preserve">adición </w:t>
      </w:r>
      <w:r>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7EEE4397" w14:textId="77777777" w:rsidR="004A0EC9" w:rsidRDefault="004A0EC9" w:rsidP="004A0EC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Pr>
          <w:rFonts w:ascii="Verdana" w:eastAsia="Calibri" w:hAnsi="Verdana" w:cs="Arial"/>
          <w:color w:val="000000"/>
          <w:szCs w:val="24"/>
          <w:lang w:eastAsia="es-ES_tradnl"/>
        </w:rPr>
        <w:t>ii</w:t>
      </w:r>
      <w:proofErr w:type="spellEnd"/>
      <w:r>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w:t>
      </w:r>
      <w:r>
        <w:rPr>
          <w:rFonts w:ascii="Verdana" w:eastAsia="Calibri" w:hAnsi="Verdana" w:cs="Arial"/>
          <w:color w:val="000000"/>
          <w:szCs w:val="24"/>
          <w:lang w:eastAsia="es-ES_tradnl"/>
        </w:rPr>
        <w:lastRenderedPageBreak/>
        <w:t xml:space="preserve">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15A3F776" w14:textId="77777777" w:rsidR="004A0EC9" w:rsidRDefault="004A0EC9" w:rsidP="004A0EC9">
      <w:pPr>
        <w:spacing w:after="120" w:line="276" w:lineRule="auto"/>
        <w:ind w:firstLine="709"/>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Lo importante es que, frente a </w:t>
      </w:r>
      <w:r w:rsidRPr="007D366B">
        <w:rPr>
          <w:rFonts w:ascii="Verdana" w:eastAsia="Calibri" w:hAnsi="Verdana" w:cs="Arial"/>
          <w:color w:val="000000"/>
          <w:szCs w:val="24"/>
          <w:lang w:eastAsia="es-ES_tradnl"/>
        </w:rPr>
        <w:t>cualquier incremento del valor inicial</w:t>
      </w:r>
      <w:r>
        <w:rPr>
          <w:rFonts w:ascii="Verdana" w:eastAsia="Calibri" w:hAnsi="Verdana" w:cs="Arial"/>
          <w:color w:val="000000"/>
          <w:szCs w:val="24"/>
          <w:lang w:eastAsia="es-ES_tradnl"/>
        </w:rPr>
        <w:t xml:space="preserve"> del contrato</w:t>
      </w:r>
      <w:r>
        <w:rPr>
          <w:rFonts w:ascii="Verdana" w:eastAsia="Calibri" w:hAnsi="Verdana" w:cs="Arial"/>
          <w:i/>
          <w:iCs/>
          <w:color w:val="000000"/>
          <w:szCs w:val="24"/>
          <w:lang w:eastAsia="es-ES_tradnl"/>
        </w:rPr>
        <w:t xml:space="preserve"> </w:t>
      </w:r>
      <w:r>
        <w:rPr>
          <w:rFonts w:ascii="Verdana" w:eastAsia="Calibri" w:hAnsi="Verdana" w:cs="Arial"/>
          <w:color w:val="000000"/>
          <w:szCs w:val="24"/>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EGCAP</w:t>
      </w:r>
      <w:r>
        <w:rPr>
          <w:rFonts w:ascii="Verdana" w:eastAsia="Calibri" w:hAnsi="Verdana" w:cs="Arial"/>
          <w:color w:val="000000"/>
          <w:szCs w:val="24"/>
          <w:vertAlign w:val="superscript"/>
          <w:lang w:eastAsia="es-ES_tradnl"/>
        </w:rPr>
        <w:footnoteReference w:id="2"/>
      </w:r>
      <w:r>
        <w:rPr>
          <w:rFonts w:ascii="Verdana" w:eastAsia="Calibri" w:hAnsi="Verdana" w:cs="Arial"/>
          <w:color w:val="000000"/>
          <w:szCs w:val="24"/>
          <w:lang w:eastAsia="es-ES_tradnl"/>
        </w:rPr>
        <w:t>.</w:t>
      </w:r>
    </w:p>
    <w:p w14:paraId="4E592A3B" w14:textId="77777777" w:rsidR="004A0EC9" w:rsidRDefault="004A0EC9" w:rsidP="004A0EC9">
      <w:pPr>
        <w:spacing w:after="120" w:line="276" w:lineRule="auto"/>
        <w:ind w:firstLine="709"/>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dos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4DB5F465" w14:textId="77777777" w:rsidR="004A0EC9" w:rsidRDefault="004A0EC9" w:rsidP="004A0EC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lastRenderedPageBreak/>
        <w:t xml:space="preserve">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 expresada en SMLMV, y valga la redundancia, el valor inicial es el contemplado en el contrato originario y cualquier alteración a ese valor constituirá, técnicamente, una adición, independientemente de cuál sea su causa. </w:t>
      </w:r>
    </w:p>
    <w:p w14:paraId="586DB429" w14:textId="77777777" w:rsidR="004A0EC9" w:rsidRDefault="004A0EC9" w:rsidP="004A0EC9">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Sin perjuicio de lo anterior, actualmente existe una posibilidad para adicionar contratos en más del cincuenta por ciento (50%) del valor inicial del contrato expresado en SMLMV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03A57133" w14:textId="77777777" w:rsidR="004A0EC9" w:rsidRDefault="004A0EC9" w:rsidP="004A0EC9">
      <w:pPr>
        <w:spacing w:after="120" w:line="276" w:lineRule="auto"/>
        <w:ind w:firstLine="709"/>
        <w:jc w:val="both"/>
        <w:rPr>
          <w:rFonts w:ascii="Verdana" w:hAnsi="Verdana" w:cs="Arial"/>
          <w:lang w:eastAsia="es-ES_tradnl"/>
        </w:rPr>
      </w:pPr>
      <w:r>
        <w:rPr>
          <w:rFonts w:ascii="Verdana" w:eastAsia="Calibri" w:hAnsi="Verdana" w:cs="Arial"/>
          <w:color w:val="000000"/>
          <w:szCs w:val="24"/>
          <w:lang w:eastAsia="es-ES_tradnl"/>
        </w:rPr>
        <w:t xml:space="preserve">Igualmente, </w:t>
      </w:r>
      <w:r>
        <w:rPr>
          <w:rFonts w:ascii="Verdana" w:hAnsi="Verdana" w:cs="Arial"/>
          <w:szCs w:val="24"/>
          <w:lang w:eastAsia="es-ES_tradnl"/>
        </w:rPr>
        <w:t>conforme ha precisado esta Subdirección, en línea con lo dispuesto por la jurisprudencia del Consejo de Estado, el límite a la adición previsto en segundo inciso del parágrafo del artículo 40 de la Ley 80 de 1993, no resulta aplicable a</w:t>
      </w:r>
      <w:r>
        <w:rPr>
          <w:rFonts w:ascii="Verdana" w:hAnsi="Verdana" w:cs="Arial"/>
          <w:lang w:eastAsia="es-ES_tradnl"/>
        </w:rPr>
        <w:t xml:space="preserve"> las mayores cantidades que deban ejecutarse en el marco de contratos cuya contraprestación se haya pactado bajo la modalidad de precios unitarios</w:t>
      </w:r>
      <w:r>
        <w:rPr>
          <w:rStyle w:val="Refdenotaalpie"/>
          <w:rFonts w:ascii="Verdana" w:hAnsi="Verdana" w:cs="Arial"/>
          <w:lang w:eastAsia="es-ES_tradnl"/>
        </w:rPr>
        <w:footnoteReference w:id="3"/>
      </w:r>
      <w:r>
        <w:rPr>
          <w:rFonts w:ascii="Verdana" w:hAnsi="Verdana" w:cs="Arial"/>
          <w:lang w:eastAsia="es-ES_tradnl"/>
        </w:rPr>
        <w:t xml:space="preserve">. </w:t>
      </w:r>
      <w:r>
        <w:rPr>
          <w:rFonts w:ascii="Verdana" w:eastAsia="Calibri" w:hAnsi="Verdana" w:cs="Arial"/>
        </w:rPr>
        <w:t xml:space="preserve">De acuerdo con la jurisprudencia reciente, esta limitación no es aplicable a dichos contratos, </w:t>
      </w:r>
      <w:r>
        <w:rPr>
          <w:rFonts w:ascii="Verdana" w:hAnsi="Verdana" w:cs="Arial"/>
          <w:lang w:eastAsia="es-ES_tradnl"/>
        </w:rPr>
        <w:t>por cuanto en estos contratos el valor estipulado es estimativo y está sujeto a multiplicar las cantidades de obra ejecutadas por el precio de cada una de ellas</w:t>
      </w:r>
      <w:r>
        <w:rPr>
          <w:rStyle w:val="Refdenotaalpie"/>
          <w:rFonts w:ascii="Verdana" w:hAnsi="Verdana" w:cs="Arial"/>
          <w:lang w:eastAsia="es-ES_tradnl"/>
        </w:rPr>
        <w:footnoteReference w:id="4"/>
      </w:r>
      <w:r>
        <w:rPr>
          <w:rFonts w:ascii="Verdana" w:hAnsi="Verdana" w:cs="Arial"/>
          <w:lang w:eastAsia="es-ES_tradnl"/>
        </w:rPr>
        <w:t>.</w:t>
      </w:r>
    </w:p>
    <w:p w14:paraId="7CF45F01" w14:textId="77777777" w:rsidR="004A0EC9" w:rsidRDefault="004A0EC9" w:rsidP="004A0EC9">
      <w:pPr>
        <w:spacing w:after="120" w:line="276" w:lineRule="auto"/>
        <w:ind w:firstLine="708"/>
        <w:jc w:val="both"/>
        <w:rPr>
          <w:rFonts w:ascii="Verdana" w:hAnsi="Verdana"/>
        </w:rPr>
      </w:pPr>
      <w:r>
        <w:rPr>
          <w:rFonts w:ascii="Verdana" w:eastAsia="Calibri" w:hAnsi="Verdana" w:cs="Arial"/>
        </w:rPr>
        <w:t xml:space="preserve">Sin perjuicio de lo expuesto, </w:t>
      </w:r>
      <w:r>
        <w:rPr>
          <w:rFonts w:ascii="Verdana" w:hAnsi="Verdana"/>
        </w:rPr>
        <w:t xml:space="preserve">fuera de los límites cuantitativos establecidos en el parágrafo del artículo 40 de la Ley 80 de 1993 y de la cláusula excepcional </w:t>
      </w:r>
      <w:r>
        <w:rPr>
          <w:rFonts w:ascii="Verdana" w:hAnsi="Verdana"/>
        </w:rPr>
        <w:lastRenderedPageBreak/>
        <w:t xml:space="preserve">de modificación de los contratos estatales, no existe un desarrollo legal o reglamentario sobre las reglas aplicables a la modificación del contrato estatales. </w:t>
      </w:r>
      <w:r>
        <w:rPr>
          <w:rFonts w:ascii="Verdana" w:eastAsia="Calibri" w:hAnsi="Verdana" w:cs="Arial"/>
          <w:lang w:val="es-MX" w:eastAsia="es-ES_tradnl"/>
        </w:rPr>
        <w:t>E</w:t>
      </w:r>
      <w:r>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Pr>
          <w:rFonts w:ascii="Verdana" w:eastAsia="Arial" w:hAnsi="Verdana" w:cs="Arial"/>
          <w:lang w:val="es-ES_tradnl" w:eastAsia="es-ES" w:bidi="es-ES"/>
        </w:rPr>
        <w:t>.</w:t>
      </w:r>
      <w:r>
        <w:rPr>
          <w:rFonts w:ascii="Verdana" w:eastAsia="Calibri" w:hAnsi="Verdana" w:cs="Arial"/>
          <w:bCs/>
          <w:lang w:val="es-ES_tradnl" w:eastAsia="es-ES_tradnl"/>
        </w:rPr>
        <w:t xml:space="preserve"> </w:t>
      </w:r>
    </w:p>
    <w:p w14:paraId="45EDB362" w14:textId="77777777" w:rsidR="004A0EC9" w:rsidRDefault="004A0EC9" w:rsidP="004A0EC9">
      <w:pPr>
        <w:widowControl w:val="0"/>
        <w:tabs>
          <w:tab w:val="left" w:pos="709"/>
        </w:tabs>
        <w:autoSpaceDE w:val="0"/>
        <w:autoSpaceDN w:val="0"/>
        <w:spacing w:after="0" w:line="276" w:lineRule="auto"/>
        <w:jc w:val="both"/>
        <w:rPr>
          <w:rFonts w:ascii="Verdana" w:hAnsi="Verdana"/>
        </w:rPr>
      </w:pPr>
      <w:r>
        <w:rPr>
          <w:rFonts w:ascii="Verdana" w:eastAsia="Calibri" w:hAnsi="Verdana" w:cs="Arial"/>
          <w:bCs/>
          <w:lang w:eastAsia="es-ES_tradnl"/>
        </w:rPr>
        <w:tab/>
      </w:r>
      <w:r>
        <w:rPr>
          <w:rFonts w:ascii="Verdana" w:eastAsia="Calibri" w:hAnsi="Verdana" w:cs="Arial"/>
          <w:lang w:eastAsia="es-ES_tradnl"/>
        </w:rPr>
        <w:t>Sumado a lo anterior, la posibilidad de ejecutar por encima del valor inicialmente estimado un contrato estructurado en el marco del sistema precios unitarios no puede usarse para desconocer la modalidad de selección aplicable al caso, de acuerdo con la cuantía del Proceso de Contratación, con miras a garantizar la transparencia, la selección objetiva y el principio de planeación en la actividad contractual.</w:t>
      </w:r>
      <w:r>
        <w:rPr>
          <w:rFonts w:ascii="Verdana" w:eastAsia="Calibri" w:hAnsi="Verdana" w:cs="Arial"/>
        </w:rPr>
        <w:t xml:space="preserve"> Si bien en los contratos pactados en la </w:t>
      </w:r>
      <w:r>
        <w:rPr>
          <w:rFonts w:ascii="Verdana" w:hAnsi="Verdana"/>
        </w:rPr>
        <w:t>modalidad de precios unitarios el valor inicial es estimativo, mientras que el valor real es el que resulta una vez se ha terminado la ejecución del contrato, lo cierto es que el valor estimado debe obedecer a estudios previos que determinen de la manera más exacta posible las cantidades de obra. Esto además es el presupuesto sobre el cual la Entidad Estatal contratante genera las apropiaciones presupuestales para ejecutar el contrato.</w:t>
      </w:r>
    </w:p>
    <w:p w14:paraId="4B07808E" w14:textId="77777777" w:rsidR="004A0EC9" w:rsidRPr="0080748C" w:rsidRDefault="004A0EC9" w:rsidP="004A0EC9">
      <w:pPr>
        <w:widowControl w:val="0"/>
        <w:tabs>
          <w:tab w:val="left" w:pos="709"/>
        </w:tabs>
        <w:autoSpaceDE w:val="0"/>
        <w:autoSpaceDN w:val="0"/>
        <w:spacing w:after="0" w:line="276" w:lineRule="auto"/>
        <w:jc w:val="both"/>
        <w:rPr>
          <w:rFonts w:ascii="Verdana" w:hAnsi="Verdana"/>
        </w:rPr>
      </w:pPr>
    </w:p>
    <w:p w14:paraId="79DBAC23" w14:textId="77777777" w:rsidR="004A0EC9" w:rsidRPr="003313B3" w:rsidRDefault="004A0EC9" w:rsidP="004A0EC9">
      <w:pPr>
        <w:spacing w:line="276" w:lineRule="auto"/>
        <w:jc w:val="both"/>
        <w:rPr>
          <w:rFonts w:ascii="Verdana" w:eastAsia="Century Gothic" w:hAnsi="Verdana" w:cs="Century Gothic"/>
          <w:color w:val="000000" w:themeColor="text1"/>
          <w:lang w:val="es-ES"/>
        </w:rPr>
      </w:pPr>
      <w:proofErr w:type="spellStart"/>
      <w:r w:rsidRPr="00B66367">
        <w:rPr>
          <w:rFonts w:ascii="Verdana" w:hAnsi="Verdana"/>
          <w:lang w:val="es-ES"/>
        </w:rPr>
        <w:t>ii</w:t>
      </w:r>
      <w:proofErr w:type="spellEnd"/>
      <w:r>
        <w:rPr>
          <w:rFonts w:ascii="Verdana" w:hAnsi="Verdana"/>
          <w:b/>
          <w:bCs/>
          <w:lang w:val="es-ES"/>
        </w:rPr>
        <w:t>.</w:t>
      </w:r>
      <w:r w:rsidRPr="00F04F3B">
        <w:rPr>
          <w:rFonts w:ascii="Verdana" w:hAnsi="Verdana"/>
          <w:lang w:val="es-ES"/>
        </w:rPr>
        <w:t xml:space="preserve"> </w:t>
      </w:r>
      <w:r>
        <w:rPr>
          <w:rFonts w:ascii="Verdana" w:hAnsi="Verdana"/>
          <w:lang w:val="es-ES"/>
        </w:rPr>
        <w:t xml:space="preserve">Ahora bien, frente a lo expuesto resulta pertinente hacer referencia a la aplicación del límite del parágrafo del artículo 40 de la Ley 80 de 1993 en relación con </w:t>
      </w:r>
      <w:r>
        <w:rPr>
          <w:rFonts w:ascii="Verdana" w:eastAsia="Century Gothic" w:hAnsi="Verdana" w:cs="Century Gothic"/>
          <w:color w:val="000000" w:themeColor="text1"/>
          <w:lang w:val="es-ES"/>
        </w:rPr>
        <w:t>los mecanismos de</w:t>
      </w:r>
      <w:r w:rsidRPr="00F04F3B">
        <w:rPr>
          <w:rFonts w:ascii="Verdana" w:eastAsia="Century Gothic" w:hAnsi="Verdana" w:cs="Century Gothic"/>
          <w:color w:val="000000" w:themeColor="text1"/>
          <w:lang w:val="es-ES"/>
        </w:rPr>
        <w:t xml:space="preserve"> reajuste </w:t>
      </w:r>
      <w:r>
        <w:rPr>
          <w:rFonts w:ascii="Verdana" w:eastAsia="Century Gothic" w:hAnsi="Verdana" w:cs="Century Gothic"/>
          <w:color w:val="000000" w:themeColor="text1"/>
          <w:lang w:val="es-ES"/>
        </w:rPr>
        <w:t xml:space="preserve">y de revisión </w:t>
      </w:r>
      <w:r w:rsidRPr="00F04F3B">
        <w:rPr>
          <w:rFonts w:ascii="Verdana" w:eastAsia="Century Gothic" w:hAnsi="Verdana" w:cs="Century Gothic"/>
          <w:color w:val="000000" w:themeColor="text1"/>
          <w:lang w:val="es-ES"/>
        </w:rPr>
        <w:t>de precios</w:t>
      </w:r>
      <w:r>
        <w:rPr>
          <w:rFonts w:ascii="Verdana" w:eastAsia="Century Gothic" w:hAnsi="Verdana" w:cs="Century Gothic"/>
          <w:color w:val="000000" w:themeColor="text1"/>
          <w:lang w:val="es-ES"/>
        </w:rPr>
        <w:t xml:space="preserve">. </w:t>
      </w:r>
      <w:r w:rsidRPr="00F04F3B">
        <w:rPr>
          <w:rFonts w:ascii="Verdana" w:eastAsia="Arial" w:hAnsi="Verdana" w:cs="Arial"/>
          <w:color w:val="000000" w:themeColor="text1"/>
          <w:lang w:val="es-ES" w:eastAsia="es-ES" w:bidi="es-ES"/>
        </w:rPr>
        <w:t xml:space="preserve">Por remisión de los artículos 13, 32 y 40 del EGCAP al derecho privado, el contrato es ley para las partes conforme al artículo 1602 del Código Civil. Sin embargo, aunque la </w:t>
      </w:r>
      <w:r w:rsidRPr="00F04F3B">
        <w:rPr>
          <w:rFonts w:ascii="Verdana" w:eastAsia="Arial" w:hAnsi="Verdana" w:cs="Arial"/>
          <w:i/>
          <w:iCs/>
          <w:color w:val="000000" w:themeColor="text1"/>
          <w:lang w:val="es-ES" w:eastAsia="es-ES" w:bidi="es-ES"/>
        </w:rPr>
        <w:t>regla general</w:t>
      </w:r>
      <w:r w:rsidRPr="00F04F3B">
        <w:rPr>
          <w:rFonts w:ascii="Verdana" w:eastAsia="Arial" w:hAnsi="Verdana" w:cs="Arial"/>
          <w:color w:val="000000" w:themeColor="text1"/>
          <w:lang w:val="es-ES" w:eastAsia="es-ES" w:bidi="es-ES"/>
        </w:rPr>
        <w:t xml:space="preserve"> es el cumplimiento de los precios pactados, </w:t>
      </w:r>
      <w:r w:rsidRPr="00F04F3B">
        <w:rPr>
          <w:rFonts w:ascii="Verdana" w:eastAsia="Arial" w:hAnsi="Verdana" w:cs="Arial"/>
          <w:i/>
          <w:iCs/>
          <w:color w:val="000000" w:themeColor="text1"/>
          <w:lang w:val="es-ES" w:eastAsia="es-ES" w:bidi="es-ES"/>
        </w:rPr>
        <w:t>de forma excepcional</w:t>
      </w:r>
      <w:r w:rsidRPr="00F04F3B">
        <w:rPr>
          <w:rFonts w:ascii="Verdana" w:eastAsia="Arial" w:hAnsi="Verdana" w:cs="Arial"/>
          <w:color w:val="000000" w:themeColor="text1"/>
          <w:lang w:val="es-ES" w:eastAsia="es-ES" w:bidi="es-ES"/>
        </w:rPr>
        <w:t xml:space="preserve"> pueden surgir circunstancias imprevistas que hagan la ejecución excesivamente gravosa, por lo que se han creado mecanismos para mantener la equidad y el equilibrio entre las obligaciones. De esta manera, los contratos estatales deben pactarse sobre la base de la interdependencia entre las prestaciones, esto es, que exista reciprocidad entre los derechos y las obligaciones de las entidades y los particulares, de tal forma que estas sean equivalentes y se mantengan durante la ejecución contractual. Esto se fundamenta en el principio del equilibrio </w:t>
      </w:r>
      <w:r w:rsidRPr="00F04F3B">
        <w:rPr>
          <w:rFonts w:ascii="Verdana" w:eastAsia="Arial" w:hAnsi="Verdana" w:cs="Arial"/>
          <w:color w:val="000000" w:themeColor="text1"/>
          <w:lang w:val="es-ES" w:eastAsia="es-ES" w:bidi="es-ES"/>
        </w:rPr>
        <w:lastRenderedPageBreak/>
        <w:t xml:space="preserve">financiero del contrato previsto en el artículo 27 de la Ley 80 de 1993 que prescribe lo siguiente: </w:t>
      </w:r>
    </w:p>
    <w:p w14:paraId="7B67B1C6" w14:textId="77777777" w:rsidR="004A0EC9" w:rsidRPr="00F04F3B" w:rsidRDefault="004A0EC9" w:rsidP="004A0EC9">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541BEAE5" w14:textId="77777777" w:rsidR="004A0EC9" w:rsidRPr="00F04F3B" w:rsidRDefault="004A0EC9" w:rsidP="004A0EC9">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“En los contratos estatales se mantendrá la igualdad o equivalencia entre derechos y obligaciones surgidos al momento de proponer o de contratar, según el caso. Si dicha igualdad o equivalencia se rompe por causas no imputables a quien resulte afectado, las partes adoptarán en el menor tiempo posible las medidas necesarias para su restablecimiento. Para tales efectos, las partes suscribirán los acuerdos y pactos necesarios sobre cuantía, condiciones y forma de pago de gastos adicionales, reconocimiento de costos financieros e intereses, si a ello hubiere lugar, ajustando la cancelación a las disponibilidades de la apropiación de que trata el numeral 14 del artículo </w:t>
      </w:r>
      <w:hyperlink r:id="rId12" w:anchor="25" w:history="1">
        <w:r w:rsidRPr="00F04F3B">
          <w:rPr>
            <w:rFonts w:ascii="Verdana" w:hAnsi="Verdana" w:cs="Arial"/>
            <w:sz w:val="20"/>
            <w:szCs w:val="20"/>
            <w:lang w:val="es-ES" w:eastAsia="es-ES" w:bidi="es-ES"/>
          </w:rPr>
          <w:t>25</w:t>
        </w:r>
      </w:hyperlink>
      <w:r w:rsidRPr="00F04F3B">
        <w:rPr>
          <w:rFonts w:ascii="Verdana" w:eastAsia="Arial" w:hAnsi="Verdana" w:cs="Arial"/>
          <w:color w:val="000000" w:themeColor="text1"/>
          <w:sz w:val="20"/>
          <w:szCs w:val="20"/>
          <w:lang w:val="es-ES" w:eastAsia="es-ES" w:bidi="es-ES"/>
        </w:rPr>
        <w:t>. En todo caso, las entidades deberán adoptar las medidas necesarias que aseguren la efectividad de estos pagos y reconocimientos al contratista en la misma o en la siguiente vigencia de que se trate”.</w:t>
      </w:r>
    </w:p>
    <w:p w14:paraId="4E0F37AB" w14:textId="77777777" w:rsidR="004A0EC9" w:rsidRPr="00F04F3B" w:rsidRDefault="004A0EC9" w:rsidP="004A0EC9">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8D78B37" w14:textId="77777777" w:rsidR="004A0EC9" w:rsidRPr="00F04F3B" w:rsidRDefault="004A0EC9" w:rsidP="004A0EC9">
      <w:pPr>
        <w:autoSpaceDE w:val="0"/>
        <w:autoSpaceDN w:val="0"/>
        <w:adjustRightInd w:val="0"/>
        <w:spacing w:after="0" w:line="276" w:lineRule="auto"/>
        <w:ind w:firstLine="709"/>
        <w:jc w:val="both"/>
        <w:rPr>
          <w:rFonts w:ascii="Verdana" w:hAnsi="Verdana" w:cs="Arial"/>
          <w:lang w:val="es-ES"/>
        </w:rPr>
      </w:pPr>
      <w:r w:rsidRPr="00F04F3B">
        <w:rPr>
          <w:rFonts w:ascii="Verdana" w:eastAsia="Arial" w:hAnsi="Verdana" w:cs="Arial"/>
          <w:color w:val="000000" w:themeColor="text1"/>
          <w:lang w:val="es-ES" w:eastAsia="es-ES" w:bidi="es-ES"/>
        </w:rPr>
        <w:t>Sobre el principio del equilibrio financiero del contrato, el Consejo de Estado ha señalado que consiste “en garantizar el mantenimiento de la igualdad o equivalencia entre derechos y obligaciones surgidos al momento de proponer o de contratar, según el caso, de manera que si se rompe por causas sobrevinientes, imprevisibles y no imputables a quien resulte afectado, las partes adoptarán las medidas necesarias para su restablecimiento, so pena de incurrir en una responsabilidad contractual tendiente a restituir tal equilibrio”</w:t>
      </w:r>
      <w:r w:rsidRPr="00F04F3B">
        <w:rPr>
          <w:rStyle w:val="Refdenotaalpie"/>
          <w:rFonts w:ascii="Verdana" w:eastAsia="Arial" w:hAnsi="Verdana" w:cs="Arial"/>
          <w:color w:val="000000" w:themeColor="text1"/>
          <w:lang w:val="es-ES" w:eastAsia="es-ES" w:bidi="es-ES"/>
        </w:rPr>
        <w:footnoteReference w:id="5"/>
      </w:r>
      <w:r w:rsidRPr="00F04F3B">
        <w:rPr>
          <w:rFonts w:ascii="Verdana" w:eastAsia="Arial" w:hAnsi="Verdana" w:cs="Arial"/>
          <w:color w:val="000000" w:themeColor="text1"/>
          <w:lang w:val="es-ES" w:eastAsia="es-ES" w:bidi="es-ES"/>
        </w:rPr>
        <w:t>. En concordancia, la doctrina ha indicado que con este</w:t>
      </w:r>
      <w:r w:rsidRPr="00F04F3B">
        <w:rPr>
          <w:rFonts w:ascii="Verdana" w:hAnsi="Verdana" w:cs="Arial"/>
          <w:lang w:val="es-ES"/>
        </w:rPr>
        <w:t xml:space="preserve"> principio, también denominado </w:t>
      </w:r>
      <w:r w:rsidRPr="00F04F3B">
        <w:rPr>
          <w:rFonts w:ascii="Verdana" w:eastAsia="Arial" w:hAnsi="Verdana" w:cs="Arial"/>
          <w:color w:val="000000" w:themeColor="text1"/>
          <w:lang w:val="es-ES" w:eastAsia="es-ES" w:bidi="es-ES"/>
        </w:rPr>
        <w:t>“</w:t>
      </w:r>
      <w:r w:rsidRPr="00F04F3B">
        <w:rPr>
          <w:rFonts w:ascii="Verdana" w:hAnsi="Verdana" w:cs="Arial"/>
          <w:lang w:val="es-ES"/>
        </w:rPr>
        <w:t>el de la honesta equivalencia de prestaciones</w:t>
      </w:r>
      <w:r w:rsidRPr="00F04F3B">
        <w:rPr>
          <w:rFonts w:ascii="Verdana" w:eastAsia="Arial" w:hAnsi="Verdana" w:cs="Arial"/>
          <w:color w:val="000000" w:themeColor="text1"/>
          <w:lang w:val="es-ES" w:eastAsia="es-ES" w:bidi="es-ES"/>
        </w:rPr>
        <w:t>”</w:t>
      </w:r>
      <w:r w:rsidRPr="00F04F3B">
        <w:rPr>
          <w:rFonts w:ascii="Verdana" w:hAnsi="Verdana" w:cs="Arial"/>
          <w:lang w:val="es-ES"/>
        </w:rPr>
        <w:t xml:space="preserve">, se privilegia el carácter conmutativo o sinalagmático que, por regla general, tiene el contrato estatal, </w:t>
      </w:r>
      <w:r w:rsidRPr="00F04F3B">
        <w:rPr>
          <w:rFonts w:ascii="Verdana" w:eastAsia="Arial" w:hAnsi="Verdana" w:cs="Arial"/>
          <w:color w:val="000000" w:themeColor="text1"/>
          <w:lang w:val="es-ES" w:eastAsia="es-ES" w:bidi="es-ES"/>
        </w:rPr>
        <w:t>“</w:t>
      </w:r>
      <w:r w:rsidRPr="00F04F3B">
        <w:rPr>
          <w:rFonts w:ascii="Verdana" w:hAnsi="Verdana" w:cs="Arial"/>
          <w:lang w:val="es-ES"/>
        </w:rPr>
        <w:t xml:space="preserve">lo que significa que las prestaciones (derechos y obligaciones) asumidas por una parte contractual se entienden como equivalentes a las de la otra parte y obliga a la adopción de medidas tendientes a garantizar que esa igualdad existente en términos económicos al tiempo de su celebración se conserve y permanezca intacta durante su ejecución, y a que se restablezca esa </w:t>
      </w:r>
      <w:r w:rsidRPr="00F04F3B">
        <w:rPr>
          <w:rFonts w:ascii="Verdana" w:hAnsi="Verdana" w:cs="Arial"/>
          <w:lang w:val="es-ES"/>
        </w:rPr>
        <w:lastRenderedPageBreak/>
        <w:t>equivalencia en caso de su ruptura por circunstancias o causas sobrevinientes, imprevisibles e imputables o no a ellas</w:t>
      </w:r>
      <w:r w:rsidRPr="00F04F3B">
        <w:rPr>
          <w:rFonts w:ascii="Verdana" w:eastAsia="Arial" w:hAnsi="Verdana" w:cs="Arial"/>
          <w:color w:val="000000" w:themeColor="text1"/>
          <w:lang w:val="es-ES" w:eastAsia="es-ES" w:bidi="es-ES"/>
        </w:rPr>
        <w:t>”</w:t>
      </w:r>
      <w:r w:rsidRPr="00F04F3B">
        <w:rPr>
          <w:rStyle w:val="Refdenotaalpie"/>
          <w:rFonts w:ascii="Verdana" w:eastAsia="Arial" w:hAnsi="Verdana" w:cs="Arial"/>
          <w:color w:val="000000" w:themeColor="text1"/>
          <w:lang w:val="es-ES" w:eastAsia="es-ES" w:bidi="es-ES"/>
        </w:rPr>
        <w:footnoteReference w:id="6"/>
      </w:r>
      <w:r w:rsidRPr="00F04F3B">
        <w:rPr>
          <w:rFonts w:ascii="Verdana" w:hAnsi="Verdana" w:cs="Arial"/>
          <w:lang w:val="es-ES"/>
        </w:rPr>
        <w:t xml:space="preserve">.  </w:t>
      </w:r>
    </w:p>
    <w:p w14:paraId="40048CA1"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Conforme a lo anterior el equilibrio financiero del contrato se constituye en un principio medular de la contratación estatal que busca, precisamente, mantener las mismas condiciones existente al tiempo de su celebración, de tal suerte que las prestaciones de las partes permanezcan hasta su terminación. De este modo, si la equivalencia entre las prestaciones se quebranta por causas no imputables a quien resulte afectado es necesario adoptar las medidas correspondientes para restablecer la ecuación contractual.</w:t>
      </w:r>
    </w:p>
    <w:p w14:paraId="0993D98E"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Además de lo previsto en el artículo 27 de la Ley 80 de 1993, la obligación de mantener el equilibrio económico del contrato se encuentra establecida en diferentes disposiciones de dicha Ley. En efecto, el numeral 3 del artículo 4 </w:t>
      </w:r>
      <w:r w:rsidRPr="00F04F3B">
        <w:rPr>
          <w:rFonts w:ascii="Verdana" w:eastAsia="Arial" w:hAnsi="Verdana" w:cs="Arial"/>
          <w:i/>
          <w:iCs/>
          <w:color w:val="000000" w:themeColor="text1"/>
          <w:lang w:val="es-ES" w:eastAsia="es-ES" w:bidi="es-ES"/>
        </w:rPr>
        <w:t>ibidem</w:t>
      </w:r>
      <w:r w:rsidRPr="00F04F3B">
        <w:rPr>
          <w:rFonts w:ascii="Verdana" w:eastAsia="Arial" w:hAnsi="Verdana" w:cs="Arial"/>
          <w:color w:val="000000" w:themeColor="text1"/>
          <w:lang w:val="es-ES" w:eastAsia="es-ES" w:bidi="es-ES"/>
        </w:rPr>
        <w:t xml:space="preserve"> señala que las entidades estatales solicitarán la actualización o la revisión de los precios cuando se produzcan fenómenos que alteren en su contra </w:t>
      </w:r>
      <w:r w:rsidRPr="00F04F3B">
        <w:rPr>
          <w:rFonts w:ascii="Verdana" w:eastAsia="Arial" w:hAnsi="Verdana" w:cs="Arial"/>
          <w:i/>
          <w:iCs/>
          <w:color w:val="000000" w:themeColor="text1"/>
          <w:lang w:val="es-ES" w:eastAsia="es-ES" w:bidi="es-ES"/>
        </w:rPr>
        <w:t>el equilibrio económico o financiero</w:t>
      </w:r>
      <w:r w:rsidRPr="00F04F3B">
        <w:rPr>
          <w:rFonts w:ascii="Verdana" w:eastAsia="Arial" w:hAnsi="Verdana" w:cs="Arial"/>
          <w:color w:val="000000" w:themeColor="text1"/>
          <w:lang w:val="es-ES" w:eastAsia="es-ES" w:bidi="es-ES"/>
        </w:rPr>
        <w:t xml:space="preserve"> del contrato. Asimismo, el numeral 8 del artículo en comento señala que las entidades deberán adoptar las medidas necesarias para mantener durante el desarrollo y ejecución del contrato las condiciones técnicas, económicas y financieras existentes al momento de proponer en los casos en que se hubiere realizado licitación o concurso, o de contratar en los casos de contratación directa, para lo cual se emplearán los mecanismos de revisión y reajuste de precios. De acuerdo con la jurisprudencia:</w:t>
      </w:r>
    </w:p>
    <w:p w14:paraId="080DC0A1" w14:textId="77777777" w:rsidR="004A0EC9" w:rsidRPr="00F04F3B" w:rsidRDefault="004A0EC9" w:rsidP="004A0EC9">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12A3A221" w14:textId="77777777" w:rsidR="004A0EC9" w:rsidRPr="00F04F3B" w:rsidRDefault="004A0EC9" w:rsidP="004A0EC9">
      <w:pPr>
        <w:widowControl w:val="0"/>
        <w:autoSpaceDE w:val="0"/>
        <w:autoSpaceDN w:val="0"/>
        <w:spacing w:after="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la cláusula de estabilización o ajuste de precios resulta ser una medida preventiva frente a una situación previsible que puede afectar el resultado económico final del contrato en contra de cualquiera de las partes, y que se resuelve mediante la inclusión de la respectiva estipulación, normalmente expresada en una fórmula matemática concebida en función de los factores que inciden en los costos de ejecución del contrato. Por tanto, es un mecanismo que tiende a preservar la naturaleza conmutativa de los contratos y a garantizar que la equivalencia inicialmente acordada entre las prestaciones recíprocas se mantenga a lo largo de la ejecución del negocio jurídico, en tal forma que la remuneración recibida finalmente por el contratista corresponda a la que contempló al momento de presentar su propuesta y celebrar el contrato.</w:t>
      </w:r>
    </w:p>
    <w:p w14:paraId="2A8F83F6" w14:textId="77777777" w:rsidR="004A0EC9" w:rsidRPr="00F04F3B" w:rsidRDefault="004A0EC9" w:rsidP="004A0EC9">
      <w:pPr>
        <w:widowControl w:val="0"/>
        <w:autoSpaceDE w:val="0"/>
        <w:autoSpaceDN w:val="0"/>
        <w:spacing w:before="120" w:after="0" w:line="240" w:lineRule="auto"/>
        <w:ind w:left="709" w:right="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sz w:val="20"/>
          <w:szCs w:val="20"/>
          <w:lang w:val="es-ES" w:eastAsia="es-ES" w:bidi="es-ES"/>
        </w:rPr>
        <w:lastRenderedPageBreak/>
        <w:t>De igual modo, paralelamente con la actualización de precios la Ley 80 de 1993 también contempla la figura de la revisión de precios, la cual opera cuando sobrevengan hechos económicos que hagan ineficaz o insuficiente la fórmula de reajuste o cuando las partes no han pactado un sistema de ajuste o actualización de los precios y estos sufren alteración como resultado de los fenómenos económicos mencionados, como la inflación o el alza de precios, eventos estos en los cuales puede solicitarse al juez la corrección de la cláusula de ajuste pactada y la revisión de los precios”</w:t>
      </w:r>
      <w:r w:rsidRPr="00F04F3B">
        <w:rPr>
          <w:rStyle w:val="Refdenotaalpie"/>
          <w:rFonts w:ascii="Verdana" w:eastAsia="Arial" w:hAnsi="Verdana" w:cs="Arial"/>
          <w:color w:val="000000" w:themeColor="text1"/>
          <w:sz w:val="20"/>
          <w:szCs w:val="20"/>
          <w:lang w:val="es-ES" w:eastAsia="es-ES" w:bidi="es-ES"/>
        </w:rPr>
        <w:footnoteReference w:id="7"/>
      </w:r>
      <w:r w:rsidRPr="00F04F3B">
        <w:rPr>
          <w:rFonts w:ascii="Verdana" w:eastAsia="Arial" w:hAnsi="Verdana" w:cs="Arial"/>
          <w:color w:val="000000" w:themeColor="text1"/>
          <w:sz w:val="20"/>
          <w:szCs w:val="20"/>
          <w:lang w:val="es-ES" w:eastAsia="es-ES" w:bidi="es-ES"/>
        </w:rPr>
        <w:t>.</w:t>
      </w:r>
    </w:p>
    <w:p w14:paraId="5EC64224" w14:textId="77777777" w:rsidR="004A0EC9" w:rsidRPr="00F04F3B" w:rsidRDefault="004A0EC9" w:rsidP="004A0EC9">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p>
    <w:p w14:paraId="76E44DBF" w14:textId="77777777" w:rsidR="004A0EC9" w:rsidRDefault="004A0EC9" w:rsidP="004A0EC9">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Por su parte, el numeral 1 del artículo 5 de la Ley 80 de 1993 indica que el contratista tiene derecho a recibir oportunamente la remuneración pactada y a que el valor intrínseco de la misma no se altere o modifique durante la vigencia del contrato. En consecuencia, tendrán derecho, previa solicitud, a que la administración les restablezca </w:t>
      </w:r>
      <w:r w:rsidRPr="00F04F3B">
        <w:rPr>
          <w:rFonts w:ascii="Verdana" w:eastAsia="Arial" w:hAnsi="Verdana" w:cs="Arial"/>
          <w:i/>
          <w:iCs/>
          <w:color w:val="000000" w:themeColor="text1"/>
          <w:lang w:val="es-ES" w:eastAsia="es-ES" w:bidi="es-ES"/>
        </w:rPr>
        <w:t>el equilibrio de la ecuación económica</w:t>
      </w:r>
      <w:r w:rsidRPr="00F04F3B">
        <w:rPr>
          <w:rFonts w:ascii="Verdana" w:eastAsia="Arial" w:hAnsi="Verdana" w:cs="Arial"/>
          <w:color w:val="000000" w:themeColor="text1"/>
          <w:lang w:val="es-ES" w:eastAsia="es-ES" w:bidi="es-ES"/>
        </w:rPr>
        <w:t xml:space="preserve"> del contrato por la ocurrencia de situaciones </w:t>
      </w:r>
      <w:r w:rsidRPr="00F04F3B">
        <w:rPr>
          <w:rFonts w:ascii="Verdana" w:eastAsia="Arial" w:hAnsi="Verdana" w:cs="Arial"/>
          <w:color w:val="000000" w:themeColor="text1"/>
          <w:u w:val="single"/>
          <w:lang w:val="es-ES" w:eastAsia="es-ES" w:bidi="es-ES"/>
        </w:rPr>
        <w:t>imprevistas</w:t>
      </w:r>
      <w:r w:rsidRPr="00F04F3B">
        <w:rPr>
          <w:rFonts w:ascii="Verdana" w:eastAsia="Arial" w:hAnsi="Verdana" w:cs="Arial"/>
          <w:color w:val="000000" w:themeColor="text1"/>
          <w:lang w:val="es-ES" w:eastAsia="es-ES" w:bidi="es-ES"/>
        </w:rPr>
        <w:t xml:space="preserve"> que no sean imputables a los contratistas. Si dicho equilibrio se rompe por incumplimiento de la entidad estatal contratante, tendrá que restablecerse la ecuación surgida al momento del nacimiento del contrato. </w:t>
      </w:r>
    </w:p>
    <w:p w14:paraId="2F877D17"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Según se advierte, el Estatuto General de Contratación de la Administración Pública establece la necesidad de mantener durante la ejecución del contrato el equilibrio o equivalencia de las prestaciones de las partes surgidas al momento de contratar, para lo cual determina deberes y derechos para las entidades estatales y los contratistas en pro de su conservación. Dentro de estas obligaciones se prevé el deber de la entidad de adoptar las medidas correspondientes de manera que se pueda precaver las diferencias que se lleguen a presentar como consecuencia de la vulneración del principio del equilibrio económico del contrato y evitar una mayor onerosidad.</w:t>
      </w:r>
    </w:p>
    <w:p w14:paraId="7BD6B9FD" w14:textId="77777777" w:rsidR="004A0EC9" w:rsidRPr="00F04F3B" w:rsidRDefault="004A0EC9" w:rsidP="004A0EC9">
      <w:pPr>
        <w:widowControl w:val="0"/>
        <w:autoSpaceDE w:val="0"/>
        <w:autoSpaceDN w:val="0"/>
        <w:spacing w:before="120" w:after="0" w:line="276" w:lineRule="auto"/>
        <w:ind w:firstLine="708"/>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En relación con las causas por las cuales puede verse afectado el equilibrio económico del contrato y su procedencia el Consejo de Estado ha desarrollado ampliamente la materia. En tal sentido, ha manifestado reiteradamente que el desequilibrio económico del contrato se puede presentar por diferentes situaciones: </w:t>
      </w:r>
    </w:p>
    <w:p w14:paraId="77AA088E" w14:textId="77777777" w:rsidR="004A0EC9" w:rsidRPr="00F04F3B" w:rsidRDefault="004A0EC9" w:rsidP="004A0EC9">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51173449" w14:textId="77777777" w:rsidR="004A0EC9" w:rsidRPr="00F04F3B" w:rsidRDefault="004A0EC9" w:rsidP="004A0EC9">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xml:space="preserve">“a) Actos o hechos de la entidad administrativa contratante, como cuando no cumple con las obligaciones derivadas del contrato o introduce </w:t>
      </w:r>
      <w:r w:rsidRPr="00F04F3B">
        <w:rPr>
          <w:rFonts w:ascii="Verdana" w:eastAsia="Arial" w:hAnsi="Verdana" w:cs="Arial"/>
          <w:color w:val="000000" w:themeColor="text1"/>
          <w:sz w:val="20"/>
          <w:szCs w:val="20"/>
          <w:lang w:val="es-ES" w:eastAsia="es-ES" w:bidi="es-ES"/>
        </w:rPr>
        <w:lastRenderedPageBreak/>
        <w:t xml:space="preserve">modificaciones al mismo -ius variandi-, sean éstas abusivas o no. </w:t>
      </w:r>
    </w:p>
    <w:p w14:paraId="023DA260" w14:textId="77777777" w:rsidR="004A0EC9" w:rsidRPr="00F04F3B" w:rsidRDefault="004A0EC9" w:rsidP="004A0EC9">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 xml:space="preserve">b) Actos generales de la administración como Estado, o ‘teoría del hecho del príncipe’, como cuando en ejercicio de sus potestades constitucionales y legales, cuya voluntad se manifiesta mediante leyes o actos administrativos de carácter general, afecta negativamente el contrato. </w:t>
      </w:r>
    </w:p>
    <w:p w14:paraId="118AE5CA" w14:textId="77777777" w:rsidR="004A0EC9" w:rsidRPr="00F04F3B" w:rsidRDefault="004A0EC9" w:rsidP="004A0EC9">
      <w:pPr>
        <w:widowControl w:val="0"/>
        <w:autoSpaceDE w:val="0"/>
        <w:autoSpaceDN w:val="0"/>
        <w:spacing w:after="120" w:line="240" w:lineRule="auto"/>
        <w:ind w:left="709" w:right="709"/>
        <w:jc w:val="both"/>
        <w:rPr>
          <w:rFonts w:ascii="Verdana" w:eastAsia="Arial" w:hAnsi="Verdana" w:cs="Arial"/>
          <w:color w:val="000000" w:themeColor="text1"/>
          <w:sz w:val="20"/>
          <w:szCs w:val="20"/>
          <w:lang w:val="es-ES" w:eastAsia="es-ES" w:bidi="es-ES"/>
        </w:rPr>
      </w:pPr>
      <w:r w:rsidRPr="00F04F3B">
        <w:rPr>
          <w:rFonts w:ascii="Verdana" w:eastAsia="Arial" w:hAnsi="Verdana" w:cs="Arial"/>
          <w:color w:val="000000" w:themeColor="text1"/>
          <w:sz w:val="20"/>
          <w:szCs w:val="20"/>
          <w:lang w:val="es-ES" w:eastAsia="es-ES" w:bidi="es-ES"/>
        </w:rPr>
        <w:t>c) Factores exógenos a las partes del negocio, o ‘teoría de la imprevisión’, o ‘sujeciones materiales imprevistas’, que involucran circunstancias no imputables al Estado y externas al contrato pero con incidencia en él.</w:t>
      </w:r>
    </w:p>
    <w:p w14:paraId="189E309B" w14:textId="77777777" w:rsidR="004A0EC9" w:rsidRPr="00F04F3B" w:rsidRDefault="004A0EC9" w:rsidP="004A0EC9">
      <w:pPr>
        <w:widowControl w:val="0"/>
        <w:autoSpaceDE w:val="0"/>
        <w:autoSpaceDN w:val="0"/>
        <w:spacing w:after="0" w:line="240" w:lineRule="auto"/>
        <w:ind w:left="709" w:right="709"/>
        <w:jc w:val="both"/>
        <w:rPr>
          <w:rFonts w:ascii="Verdana" w:eastAsia="Arial" w:hAnsi="Verdana" w:cs="Arial"/>
          <w:color w:val="000000" w:themeColor="text1"/>
          <w:sz w:val="21"/>
          <w:szCs w:val="21"/>
          <w:lang w:val="es-ES" w:eastAsia="es-ES" w:bidi="es-ES"/>
        </w:rPr>
      </w:pPr>
      <w:r w:rsidRPr="00F04F3B">
        <w:rPr>
          <w:rFonts w:ascii="Verdana" w:eastAsia="Arial" w:hAnsi="Verdana" w:cs="Arial"/>
          <w:color w:val="000000" w:themeColor="text1"/>
          <w:sz w:val="20"/>
          <w:szCs w:val="20"/>
          <w:lang w:val="es-ES" w:eastAsia="es-ES" w:bidi="es-ES"/>
        </w:rPr>
        <w:t>En todos estos eventos surge la obligación de la administración contratante de auxiliar al contratista colaborador asumiendo mediante una compensación -llevarlo hasta el punto de no pérdida- o nace el deber de indemnizarlo integralmente, según el caso y si se cumplen los requisitos señalados para cada figura”</w:t>
      </w:r>
      <w:r w:rsidRPr="00F04F3B">
        <w:rPr>
          <w:rStyle w:val="Refdenotaalpie"/>
          <w:rFonts w:ascii="Verdana" w:eastAsia="Arial" w:hAnsi="Verdana" w:cs="Arial"/>
          <w:color w:val="000000" w:themeColor="text1"/>
          <w:sz w:val="20"/>
          <w:szCs w:val="20"/>
          <w:lang w:val="es-ES" w:eastAsia="es-ES" w:bidi="es-ES"/>
        </w:rPr>
        <w:footnoteReference w:id="8"/>
      </w:r>
      <w:r w:rsidRPr="00F04F3B">
        <w:rPr>
          <w:rFonts w:ascii="Verdana" w:eastAsia="Arial" w:hAnsi="Verdana" w:cs="Arial"/>
          <w:color w:val="000000" w:themeColor="text1"/>
          <w:sz w:val="20"/>
          <w:szCs w:val="20"/>
          <w:lang w:val="es-ES" w:eastAsia="es-ES" w:bidi="es-ES"/>
        </w:rPr>
        <w:t>.</w:t>
      </w:r>
    </w:p>
    <w:p w14:paraId="07BB79F6" w14:textId="77777777" w:rsidR="004A0EC9" w:rsidRPr="00F04F3B" w:rsidRDefault="004A0EC9" w:rsidP="004A0EC9">
      <w:pPr>
        <w:widowControl w:val="0"/>
        <w:autoSpaceDE w:val="0"/>
        <w:autoSpaceDN w:val="0"/>
        <w:spacing w:after="0" w:line="276" w:lineRule="auto"/>
        <w:ind w:left="709" w:right="709"/>
        <w:jc w:val="both"/>
        <w:rPr>
          <w:rFonts w:ascii="Verdana" w:eastAsia="Arial" w:hAnsi="Verdana" w:cs="Arial"/>
          <w:color w:val="000000" w:themeColor="text1"/>
          <w:lang w:val="es-ES" w:eastAsia="es-ES" w:bidi="es-ES"/>
        </w:rPr>
      </w:pPr>
    </w:p>
    <w:p w14:paraId="3E428911" w14:textId="77777777" w:rsidR="004A0EC9" w:rsidRPr="00F04F3B" w:rsidRDefault="004A0EC9" w:rsidP="004A0EC9">
      <w:pPr>
        <w:widowControl w:val="0"/>
        <w:autoSpaceDE w:val="0"/>
        <w:autoSpaceDN w:val="0"/>
        <w:spacing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En lo que atañe a la procedencia del restablecimiento del equilibrio financiero del contrato cuando este se vulnera, la jurisprudencia ha señalado que para estos efectos es imperativo la prueba del menoscabo, demostrar que este es grave y que además no corresponde a un riesgo propio de la actividad que deba ser asumido por una de las partes contractuales</w:t>
      </w:r>
      <w:r w:rsidRPr="00F04F3B">
        <w:rPr>
          <w:rStyle w:val="Refdenotaalpie"/>
          <w:rFonts w:ascii="Verdana" w:eastAsia="Arial" w:hAnsi="Verdana" w:cs="Arial"/>
          <w:color w:val="000000" w:themeColor="text1"/>
          <w:lang w:val="es-ES" w:eastAsia="es-ES" w:bidi="es-ES"/>
        </w:rPr>
        <w:footnoteReference w:id="9"/>
      </w:r>
      <w:r w:rsidRPr="00F04F3B">
        <w:rPr>
          <w:rFonts w:ascii="Verdana" w:eastAsia="Arial" w:hAnsi="Verdana" w:cs="Arial"/>
          <w:color w:val="000000" w:themeColor="text1"/>
          <w:lang w:val="es-ES" w:eastAsia="es-ES" w:bidi="es-ES"/>
        </w:rPr>
        <w:t xml:space="preserve">. </w:t>
      </w:r>
    </w:p>
    <w:p w14:paraId="19911B95"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Bajo estas consideraciones y más allá de las distintas posturas que se han generado al interior del Consejo de Estado en torno a la oportunidad de la reclamación del restablecimiento del equilibrio económico del contrato, lo relevante de lo expuesto, para efectos de la consulta, es que este restablecimiento podrá realizarlo directamente la Administración durante la ejecución del contrato adoptando las medidas necesarias que aseguren la efectividad de los pagos y reconocimientos al contratista que haya lugar. Estas medidas podrán materializarse a través de los distintos acuerdos que suscriban las partes como prórrogas, adiciones, otrosíes o cualquier acuerdo modificatorio que se considere necesarios para solventar el desequilibrio del contrato de acuerdo con las particularidades de cada caso. Igualmente, podrá efectuarse dicho reconocimiento por parte del juez mediante el ejercicio de la acción judicial correspondiente. </w:t>
      </w:r>
    </w:p>
    <w:p w14:paraId="6EDBE4C3"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lastRenderedPageBreak/>
        <w:t>Ello encuentra sustento legal en los artículos 4.8, 5.1 y 27 de la Ley 80 de 1993, que, como se explicó, imponen el deber a la entidad de adoptar las medidas necesarias para mantener durante el desarrollo y ejecución del contrato las condiciones técnicas, económicas y financieras existentes al momento de su celebración y restablecer la ecuación financiera del contrato cuando a ello haya lugar. Para estos efectos, le corresponde a la entidad realizar un análisis detallado del asunto, revisar su procedencia, verificar las circunstancias fácticas y jurídicas que fundamente dicho restablecimiento y las limitaciones legales sobre el particular, de manera que mediante los acuerdos que se celebren se autorregulen los intereses de las partes.</w:t>
      </w:r>
    </w:p>
    <w:p w14:paraId="04E4118B"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Aunado a lo expuesto, la jurisprudencia resalta que la posibilidad de modificar los contratos estatales es una especial forma de hacer prevalecer la finalidad de este, en particular en aquellos contratos de largo plazo, como el de obra, en los que es difícil prever todas las contingencias que puedan afectar su ejecución. De esta manera, la Administración podrá variar, dadas ciertas condiciones, algunos aspectos del contrato cuando sea necesario para el cumplimiento del objeto y de los fines generales del Estado, por lo que</w:t>
      </w:r>
      <w:r w:rsidRPr="00F04F3B">
        <w:rPr>
          <w:rFonts w:ascii="Verdana" w:eastAsia="Arial" w:hAnsi="Verdana" w:cs="Arial"/>
          <w:lang w:val="es-ES" w:eastAsia="es-ES" w:bidi="es-ES"/>
        </w:rPr>
        <w:t xml:space="preserve"> es </w:t>
      </w:r>
      <w:r w:rsidRPr="00F04F3B">
        <w:rPr>
          <w:rFonts w:ascii="Verdana" w:eastAsia="Arial" w:hAnsi="Verdana" w:cs="Arial"/>
          <w:color w:val="000000" w:themeColor="text1"/>
          <w:lang w:val="es-ES" w:eastAsia="es-ES" w:bidi="es-ES"/>
        </w:rPr>
        <w:t>“</w:t>
      </w:r>
      <w:r w:rsidRPr="00F04F3B">
        <w:rPr>
          <w:rFonts w:ascii="Verdana" w:eastAsia="Arial" w:hAnsi="Verdana" w:cs="Arial"/>
          <w:lang w:val="es-ES" w:eastAsia="es-ES" w:bidi="es-ES"/>
        </w:rPr>
        <w:t>preciso entonces el diseño de reglas que permitan la adaptación y la resolución pacífica de las controversias para evitar el fracaso</w:t>
      </w:r>
      <w:r w:rsidRPr="00F04F3B">
        <w:rPr>
          <w:rFonts w:ascii="Verdana" w:eastAsia="Arial" w:hAnsi="Verdana" w:cs="Arial"/>
          <w:color w:val="000000" w:themeColor="text1"/>
          <w:lang w:val="es-ES" w:eastAsia="es-ES" w:bidi="es-ES"/>
        </w:rPr>
        <w:t>”</w:t>
      </w:r>
      <w:r w:rsidRPr="00F04F3B">
        <w:rPr>
          <w:rStyle w:val="Refdenotaalpie"/>
          <w:rFonts w:ascii="Verdana" w:eastAsia="Arial" w:hAnsi="Verdana" w:cs="Arial"/>
          <w:color w:val="000000" w:themeColor="text1"/>
          <w:lang w:val="es-ES" w:eastAsia="es-ES" w:bidi="es-ES"/>
        </w:rPr>
        <w:footnoteReference w:id="10"/>
      </w:r>
      <w:r w:rsidRPr="00F04F3B">
        <w:rPr>
          <w:rFonts w:ascii="Verdana" w:eastAsia="Arial" w:hAnsi="Verdana" w:cs="Arial"/>
          <w:lang w:val="es-ES" w:eastAsia="es-ES" w:bidi="es-ES"/>
        </w:rPr>
        <w:t>.</w:t>
      </w:r>
      <w:r w:rsidRPr="00F04F3B">
        <w:rPr>
          <w:rFonts w:ascii="Verdana" w:eastAsia="Arial" w:hAnsi="Verdana" w:cs="Arial"/>
          <w:sz w:val="21"/>
          <w:szCs w:val="21"/>
          <w:lang w:val="es-ES" w:eastAsia="es-ES" w:bidi="es-ES"/>
        </w:rPr>
        <w:t xml:space="preserve"> </w:t>
      </w:r>
    </w:p>
    <w:p w14:paraId="3C81A8FC" w14:textId="77777777" w:rsidR="004A0EC9" w:rsidRPr="00F04F3B"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En armonía con lo anterior, la doctrina ha señalado que “durante la vigencia del contrato, esto es, el periodo que comprende el interregno que va desde el perfeccionamiento del contrato (acuerdo sobre el objeto y la contraprestación elevado a escrito al tenor del art. 41 </w:t>
      </w:r>
      <w:proofErr w:type="spellStart"/>
      <w:r w:rsidRPr="00F04F3B">
        <w:rPr>
          <w:rFonts w:ascii="Verdana" w:eastAsia="Arial" w:hAnsi="Verdana" w:cs="Arial"/>
          <w:color w:val="000000" w:themeColor="text1"/>
          <w:lang w:val="es-ES" w:eastAsia="es-ES" w:bidi="es-ES"/>
        </w:rPr>
        <w:t>inc</w:t>
      </w:r>
      <w:proofErr w:type="spellEnd"/>
      <w:r w:rsidRPr="00F04F3B">
        <w:rPr>
          <w:rFonts w:ascii="Verdana" w:eastAsia="Arial" w:hAnsi="Verdana" w:cs="Arial"/>
          <w:color w:val="000000" w:themeColor="text1"/>
          <w:lang w:val="es-ES" w:eastAsia="es-ES" w:bidi="es-ES"/>
        </w:rPr>
        <w:t xml:space="preserve"> 1° de la Ley 80 de 1993) hasta su liquidación, los contratantes tienen la potestad de pactar lo que consideren necesario a efectos de reequilibrar la ecuación contractual, por ejemplo, pueden ajustar la cuantía, las condiciones de ejecución, las formas de pago, los costos financieros y los interés, en el evento en que los haya”</w:t>
      </w:r>
      <w:r w:rsidRPr="00F04F3B">
        <w:rPr>
          <w:rStyle w:val="Refdenotaalpie"/>
          <w:rFonts w:ascii="Verdana" w:eastAsia="Arial" w:hAnsi="Verdana" w:cs="Arial"/>
          <w:color w:val="000000" w:themeColor="text1"/>
          <w:lang w:val="es-ES" w:eastAsia="es-ES" w:bidi="es-ES"/>
        </w:rPr>
        <w:footnoteReference w:id="11"/>
      </w:r>
      <w:r w:rsidRPr="00F04F3B">
        <w:rPr>
          <w:rFonts w:ascii="Verdana" w:eastAsia="Arial" w:hAnsi="Verdana" w:cs="Arial"/>
          <w:color w:val="000000" w:themeColor="text1"/>
          <w:lang w:val="es-ES" w:eastAsia="es-ES" w:bidi="es-ES"/>
        </w:rPr>
        <w:t xml:space="preserve">. </w:t>
      </w:r>
    </w:p>
    <w:p w14:paraId="553C9AD2" w14:textId="77777777" w:rsidR="004A0EC9" w:rsidRDefault="004A0EC9" w:rsidP="004A0EC9">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Así la cosas, con fundamento en el EGCAP, en la jurisprudencia y en la doctrina puede concluirse que cuando se presenten situaciones que generen el desequilibrio económico del contrato, previa revisión de su procedencia, conforme el análisis del caso concreto, la entidad deberá adoptar las medidas </w:t>
      </w:r>
      <w:r w:rsidRPr="00F04F3B">
        <w:rPr>
          <w:rFonts w:ascii="Verdana" w:eastAsia="Arial" w:hAnsi="Verdana" w:cs="Arial"/>
          <w:color w:val="000000" w:themeColor="text1"/>
          <w:lang w:val="es-ES" w:eastAsia="es-ES" w:bidi="es-ES"/>
        </w:rPr>
        <w:lastRenderedPageBreak/>
        <w:t xml:space="preserve">correspondientes para su restablecimiento, si a ello hay lugar, para lo cual tiene la potestad de suscribir los acuerdos necesarios sobre cuantía, condiciones, forma de pago, etc. </w:t>
      </w:r>
    </w:p>
    <w:p w14:paraId="110C4AE0" w14:textId="77777777" w:rsidR="004A0EC9" w:rsidRDefault="004A0EC9" w:rsidP="004A0EC9">
      <w:pPr>
        <w:widowControl w:val="0"/>
        <w:autoSpaceDE w:val="0"/>
        <w:autoSpaceDN w:val="0"/>
        <w:spacing w:before="120" w:after="120" w:line="276" w:lineRule="auto"/>
        <w:ind w:firstLine="709"/>
        <w:jc w:val="both"/>
        <w:rPr>
          <w:rFonts w:ascii="Verdana" w:eastAsia="Century Gothic" w:hAnsi="Verdana" w:cs="Century Gothic"/>
          <w:color w:val="000000" w:themeColor="text1"/>
          <w:lang w:val="es-ES"/>
        </w:rPr>
      </w:pPr>
      <w:r w:rsidRPr="00F04F3B">
        <w:rPr>
          <w:rFonts w:ascii="Verdana" w:eastAsia="Arial" w:hAnsi="Verdana" w:cs="Arial"/>
          <w:color w:val="000000" w:themeColor="text1"/>
          <w:lang w:val="es-ES" w:eastAsia="es-ES" w:bidi="es-ES"/>
        </w:rPr>
        <w:t xml:space="preserve">Frente al caso objeto de consulta, es relevante considerar que </w:t>
      </w:r>
      <w:r w:rsidRPr="00F04F3B">
        <w:rPr>
          <w:rFonts w:ascii="Verdana" w:eastAsia="Century Gothic" w:hAnsi="Verdana" w:cs="Century Gothic"/>
          <w:color w:val="000000" w:themeColor="text1"/>
          <w:lang w:val="es-ES"/>
        </w:rPr>
        <w:t>la jurisprudencia del Consejo de Estado ha precisado que, aunque el parágrafo del artículo 40 comporta una prohibición de adicionar en precio los contratos, de las adiciones proscritas se han excluido las estipulaciones dirigidas a reajustar los precios pactados y aquellas con las que se busca restablecer el equilibrio económico del contrato</w:t>
      </w:r>
      <w:r w:rsidRPr="00F04F3B">
        <w:rPr>
          <w:rStyle w:val="Refdenotaalpie"/>
          <w:rFonts w:ascii="Verdana" w:eastAsia="Century Gothic" w:hAnsi="Verdana" w:cs="Century Gothic"/>
          <w:color w:val="000000" w:themeColor="text1"/>
          <w:lang w:val="es-ES"/>
        </w:rPr>
        <w:footnoteReference w:id="12"/>
      </w:r>
      <w:r w:rsidRPr="00F04F3B">
        <w:rPr>
          <w:rFonts w:ascii="Verdana" w:eastAsia="Century Gothic" w:hAnsi="Verdana" w:cs="Century Gothic"/>
          <w:color w:val="000000" w:themeColor="text1"/>
          <w:lang w:val="es-ES"/>
        </w:rPr>
        <w:t xml:space="preserve">. Esto se debe a que la adición supone agregar obligaciones al contrato y por ello incrementa su valor; en cambio, el reajuste actualiza el precio de prestaciones ya pactadas para conservar su valor intrínseco, y el restablecimiento restaura la ecuación económica rota, en cumplimiento de los deberes que el Estatuto impone a la entidad contratante. </w:t>
      </w:r>
    </w:p>
    <w:p w14:paraId="1FA12C06" w14:textId="77777777" w:rsidR="004A0EC9" w:rsidRPr="003E527C" w:rsidRDefault="004A0EC9" w:rsidP="004A0EC9">
      <w:pPr>
        <w:spacing w:before="120" w:after="0" w:line="276" w:lineRule="auto"/>
        <w:ind w:firstLine="709"/>
        <w:jc w:val="both"/>
        <w:rPr>
          <w:rFonts w:ascii="Verdana" w:hAnsi="Verdana" w:cs="Arial"/>
          <w:szCs w:val="24"/>
          <w:lang w:val="es-MX" w:eastAsia="es-ES_tradnl"/>
        </w:rPr>
      </w:pPr>
      <w:r>
        <w:rPr>
          <w:rFonts w:ascii="Verdana" w:hAnsi="Verdana" w:cs="Arial"/>
          <w:szCs w:val="24"/>
          <w:lang w:val="es-MX" w:eastAsia="es-ES_tradnl"/>
        </w:rPr>
        <w:t>En este mismo sentido, se destaca que l</w:t>
      </w:r>
      <w:r w:rsidRPr="003E527C">
        <w:rPr>
          <w:rFonts w:ascii="Verdana" w:hAnsi="Verdana" w:cs="Arial"/>
          <w:szCs w:val="24"/>
          <w:lang w:val="es-MX" w:eastAsia="es-ES_tradnl"/>
        </w:rPr>
        <w:t>a Sala de Consulta y Servicio Civil</w:t>
      </w:r>
      <w:r w:rsidRPr="003E527C">
        <w:rPr>
          <w:rFonts w:ascii="Verdana" w:hAnsi="Verdana" w:cs="Arial"/>
        </w:rPr>
        <w:t xml:space="preserve"> del Consejo de Estado mediante concepto del </w:t>
      </w:r>
      <w:r w:rsidRPr="003E527C">
        <w:rPr>
          <w:rFonts w:ascii="Verdana" w:hAnsi="Verdana" w:cs="Arial"/>
          <w:szCs w:val="24"/>
          <w:lang w:val="es-MX" w:eastAsia="es-ES_tradnl"/>
        </w:rPr>
        <w:t xml:space="preserve">6 de junio de 2018 señaló que además de los contratos de interventoría, también podrán adicionarse en más del 50% en estos dos eventos: i) cuando en un contrato de obra se pacte el mecanismo de ajuste de precios y </w:t>
      </w:r>
      <w:proofErr w:type="spellStart"/>
      <w:r w:rsidRPr="003E527C">
        <w:rPr>
          <w:rFonts w:ascii="Verdana" w:hAnsi="Verdana" w:cs="Arial"/>
          <w:szCs w:val="24"/>
          <w:lang w:val="es-MX" w:eastAsia="es-ES_tradnl"/>
        </w:rPr>
        <w:t>ii</w:t>
      </w:r>
      <w:proofErr w:type="spellEnd"/>
      <w:r w:rsidRPr="003E527C">
        <w:rPr>
          <w:rFonts w:ascii="Verdana" w:hAnsi="Verdana" w:cs="Arial"/>
          <w:szCs w:val="24"/>
          <w:lang w:val="es-MX" w:eastAsia="es-ES_tradnl"/>
        </w:rPr>
        <w:t xml:space="preserve">) por el restablecimiento del equilibrio económico del contrato. Al respecto manifestó lo siguiente: </w:t>
      </w:r>
    </w:p>
    <w:p w14:paraId="0522A1F3" w14:textId="77777777" w:rsidR="004A0EC9" w:rsidRPr="003E527C" w:rsidRDefault="004A0EC9" w:rsidP="004A0EC9">
      <w:pPr>
        <w:spacing w:after="0" w:line="276" w:lineRule="auto"/>
        <w:ind w:firstLine="709"/>
        <w:jc w:val="both"/>
        <w:rPr>
          <w:rFonts w:ascii="Verdana" w:hAnsi="Verdana" w:cs="Arial"/>
          <w:sz w:val="20"/>
          <w:szCs w:val="20"/>
          <w:lang w:val="es-MX" w:eastAsia="es-ES_tradnl"/>
        </w:rPr>
      </w:pPr>
    </w:p>
    <w:p w14:paraId="1CAB8A7F" w14:textId="77777777" w:rsidR="004A0EC9" w:rsidRPr="003E527C" w:rsidRDefault="004A0EC9" w:rsidP="004A0EC9">
      <w:pPr>
        <w:widowControl w:val="0"/>
        <w:autoSpaceDE w:val="0"/>
        <w:autoSpaceDN w:val="0"/>
        <w:spacing w:after="0" w:line="240" w:lineRule="auto"/>
        <w:ind w:left="709" w:right="760"/>
        <w:jc w:val="both"/>
        <w:rPr>
          <w:rFonts w:ascii="Verdana" w:hAnsi="Verdana" w:cs="Arial"/>
          <w:sz w:val="20"/>
          <w:szCs w:val="20"/>
          <w:lang w:val="es-MX" w:eastAsia="es-ES_tradnl"/>
        </w:rPr>
      </w:pPr>
      <w:r w:rsidRPr="003E527C">
        <w:rPr>
          <w:rFonts w:ascii="Verdana" w:hAnsi="Verdana" w:cs="Arial"/>
          <w:sz w:val="20"/>
          <w:szCs w:val="20"/>
          <w:lang w:val="es-MX" w:eastAsia="es-ES_tradnl"/>
        </w:rPr>
        <w:t>Existen, además, otras situaciones jurídicas que se presenta en materia contractual y que afectan el valor del contrato, pero que de conformidad con la Ley y la jurisprudencia tampoco están sujetas al límite cuantitativo del 50% del valor inicial del contrato. Estas son: i</w:t>
      </w:r>
      <w:r w:rsidRPr="009432AC">
        <w:rPr>
          <w:rFonts w:ascii="Verdana" w:hAnsi="Verdana" w:cs="Arial"/>
          <w:i/>
          <w:iCs/>
          <w:sz w:val="20"/>
          <w:szCs w:val="20"/>
          <w:lang w:val="es-MX" w:eastAsia="es-ES_tradnl"/>
        </w:rPr>
        <w:t>) cuando en un contrato de obra pública se pactaron mecanismos de ajustes de precios,</w:t>
      </w:r>
      <w:r w:rsidRPr="003E527C">
        <w:rPr>
          <w:rFonts w:ascii="Verdana" w:hAnsi="Verdana" w:cs="Arial"/>
          <w:sz w:val="20"/>
          <w:szCs w:val="20"/>
          <w:lang w:val="es-MX" w:eastAsia="es-ES_tradnl"/>
        </w:rPr>
        <w:t xml:space="preserve"> (</w:t>
      </w:r>
      <w:proofErr w:type="spellStart"/>
      <w:r w:rsidRPr="003E527C">
        <w:rPr>
          <w:rFonts w:ascii="Verdana" w:hAnsi="Verdana" w:cs="Arial"/>
          <w:sz w:val="20"/>
          <w:szCs w:val="20"/>
          <w:lang w:val="es-MX" w:eastAsia="es-ES_tradnl"/>
        </w:rPr>
        <w:t>ii</w:t>
      </w:r>
      <w:proofErr w:type="spellEnd"/>
      <w:r w:rsidRPr="003E527C">
        <w:rPr>
          <w:rFonts w:ascii="Verdana" w:hAnsi="Verdana" w:cs="Arial"/>
          <w:sz w:val="20"/>
          <w:szCs w:val="20"/>
          <w:lang w:val="es-MX" w:eastAsia="es-ES_tradnl"/>
        </w:rPr>
        <w:t>) por restablecimiento del equilibrio económico del contrato, siempre y cuando exista plena prueba que acredite los requisitos para proceder al restablecimiento y (</w:t>
      </w:r>
      <w:proofErr w:type="spellStart"/>
      <w:r w:rsidRPr="003E527C">
        <w:rPr>
          <w:rFonts w:ascii="Verdana" w:hAnsi="Verdana" w:cs="Arial"/>
          <w:sz w:val="20"/>
          <w:szCs w:val="20"/>
          <w:lang w:val="es-MX" w:eastAsia="es-ES_tradnl"/>
        </w:rPr>
        <w:t>iii</w:t>
      </w:r>
      <w:proofErr w:type="spellEnd"/>
      <w:r w:rsidRPr="003E527C">
        <w:rPr>
          <w:rFonts w:ascii="Verdana" w:hAnsi="Verdana" w:cs="Arial"/>
          <w:sz w:val="20"/>
          <w:szCs w:val="20"/>
          <w:lang w:val="es-MX" w:eastAsia="es-ES_tradnl"/>
        </w:rPr>
        <w:t>) en los contratos de interventoría, cuando se den las situaciones previstas en la ley</w:t>
      </w:r>
      <w:r w:rsidRPr="003E527C">
        <w:rPr>
          <w:rStyle w:val="Refdenotaalpie"/>
          <w:rFonts w:ascii="Verdana" w:hAnsi="Verdana" w:cs="Arial"/>
          <w:sz w:val="20"/>
          <w:szCs w:val="20"/>
          <w:lang w:val="es-MX" w:eastAsia="es-ES_tradnl"/>
        </w:rPr>
        <w:footnoteReference w:id="13"/>
      </w:r>
      <w:r w:rsidRPr="003E527C">
        <w:rPr>
          <w:rFonts w:ascii="Verdana" w:hAnsi="Verdana" w:cs="Arial"/>
          <w:sz w:val="20"/>
          <w:szCs w:val="20"/>
          <w:lang w:val="es-MX" w:eastAsia="es-ES_tradnl"/>
        </w:rPr>
        <w:t xml:space="preserve">. </w:t>
      </w:r>
      <w:r>
        <w:rPr>
          <w:rFonts w:ascii="Verdana" w:hAnsi="Verdana" w:cs="Arial"/>
          <w:sz w:val="20"/>
          <w:szCs w:val="20"/>
          <w:lang w:val="es-MX" w:eastAsia="es-ES_tradnl"/>
        </w:rPr>
        <w:t>(Énfasis por fuera de texto)</w:t>
      </w:r>
    </w:p>
    <w:p w14:paraId="7BECEBD8" w14:textId="77777777" w:rsidR="004A0EC9" w:rsidRPr="003E527C" w:rsidRDefault="004A0EC9" w:rsidP="004A0EC9">
      <w:pPr>
        <w:spacing w:after="0" w:line="276" w:lineRule="auto"/>
        <w:ind w:left="709" w:right="709"/>
        <w:jc w:val="both"/>
        <w:rPr>
          <w:rFonts w:ascii="Verdana" w:hAnsi="Verdana" w:cs="Arial"/>
          <w:sz w:val="21"/>
          <w:szCs w:val="21"/>
          <w:lang w:val="es-MX" w:eastAsia="es-ES_tradnl"/>
        </w:rPr>
      </w:pPr>
    </w:p>
    <w:p w14:paraId="4B20C922" w14:textId="77777777" w:rsidR="004A0EC9" w:rsidRDefault="004A0EC9" w:rsidP="004A0EC9">
      <w:pPr>
        <w:widowControl w:val="0"/>
        <w:autoSpaceDE w:val="0"/>
        <w:autoSpaceDN w:val="0"/>
        <w:spacing w:before="120" w:after="120" w:line="276" w:lineRule="auto"/>
        <w:ind w:firstLine="709"/>
        <w:jc w:val="both"/>
        <w:rPr>
          <w:rFonts w:ascii="Verdana" w:hAnsi="Verdana" w:cs="Arial"/>
        </w:rPr>
      </w:pPr>
      <w:r>
        <w:rPr>
          <w:rFonts w:ascii="Verdana" w:hAnsi="Verdana" w:cs="Arial"/>
        </w:rPr>
        <w:t xml:space="preserve">Reiterando lo anterior, en concepto del 6 de marzo de 2024, la Sala de Consulta y Servicio Civil señaló que en la adición del contrato no se incluye la </w:t>
      </w:r>
      <w:r>
        <w:rPr>
          <w:rFonts w:ascii="Verdana" w:hAnsi="Verdana" w:cs="Arial"/>
        </w:rPr>
        <w:lastRenderedPageBreak/>
        <w:t>simple actualización de precios estipulada por las partes:</w:t>
      </w:r>
    </w:p>
    <w:p w14:paraId="43D10D5F" w14:textId="77777777" w:rsidR="004A0EC9" w:rsidRDefault="004A0EC9" w:rsidP="004A0EC9">
      <w:pPr>
        <w:widowControl w:val="0"/>
        <w:autoSpaceDE w:val="0"/>
        <w:autoSpaceDN w:val="0"/>
        <w:spacing w:after="0" w:line="240" w:lineRule="auto"/>
        <w:ind w:firstLine="709"/>
        <w:jc w:val="both"/>
        <w:rPr>
          <w:rFonts w:ascii="Verdana" w:hAnsi="Verdana" w:cs="Arial"/>
        </w:rPr>
      </w:pPr>
    </w:p>
    <w:p w14:paraId="45FABE31" w14:textId="77777777" w:rsidR="004A0EC9" w:rsidRPr="00D67641" w:rsidRDefault="004A0EC9" w:rsidP="004A0EC9">
      <w:pPr>
        <w:widowControl w:val="0"/>
        <w:autoSpaceDE w:val="0"/>
        <w:autoSpaceDN w:val="0"/>
        <w:spacing w:after="0" w:line="240" w:lineRule="auto"/>
        <w:ind w:left="709" w:right="760"/>
        <w:jc w:val="both"/>
        <w:rPr>
          <w:rFonts w:ascii="Verdana" w:hAnsi="Verdana" w:cs="Arial"/>
          <w:sz w:val="20"/>
          <w:szCs w:val="20"/>
          <w:lang w:val="es-MX" w:eastAsia="es-ES_tradnl"/>
        </w:rPr>
      </w:pPr>
      <w:r w:rsidRPr="00C86DC4">
        <w:rPr>
          <w:rFonts w:ascii="Verdana" w:hAnsi="Verdana" w:cs="Arial"/>
          <w:sz w:val="20"/>
          <w:szCs w:val="20"/>
          <w:lang w:val="es-MX" w:eastAsia="es-ES_tradnl"/>
        </w:rPr>
        <w:t>“la adición de los contratos estatales consiste en una modificación a los mismos, efectuada por las partes, de común acuerdo, o unilateralmente por la entidad estatal, para: (i) agregar al objeto inicial del contrato bienes, obras, servicios o actividades no previstas inicialmente en dicho objeto, pero que guardan una estrecha relación con el mismo y se requieren para su debida ejecución y, en últimas, para el logro de la finalidad perseguida con el contrato, y/o (</w:t>
      </w:r>
      <w:proofErr w:type="spellStart"/>
      <w:r w:rsidRPr="00C86DC4">
        <w:rPr>
          <w:rFonts w:ascii="Verdana" w:hAnsi="Verdana" w:cs="Arial"/>
          <w:sz w:val="20"/>
          <w:szCs w:val="20"/>
          <w:lang w:val="es-MX" w:eastAsia="es-ES_tradnl"/>
        </w:rPr>
        <w:t>ii</w:t>
      </w:r>
      <w:proofErr w:type="spellEnd"/>
      <w:r w:rsidRPr="00C86DC4">
        <w:rPr>
          <w:rFonts w:ascii="Verdana" w:hAnsi="Verdana" w:cs="Arial"/>
          <w:sz w:val="20"/>
          <w:szCs w:val="20"/>
          <w:lang w:val="es-MX" w:eastAsia="es-ES_tradnl"/>
        </w:rPr>
        <w:t xml:space="preserve">) modificar el precio del contrato, entendido éste como el precio global acordado, los precios unitarios, el valor de los honorarios reconocidos al contratista etc., según la modalidad de remuneración acordada, siempre que dicho ajuste tenga un fundamento legal, técnico y económico, </w:t>
      </w:r>
      <w:r w:rsidRPr="00774309">
        <w:rPr>
          <w:rFonts w:ascii="Verdana" w:hAnsi="Verdana" w:cs="Arial"/>
          <w:i/>
          <w:iCs/>
          <w:sz w:val="20"/>
          <w:szCs w:val="20"/>
          <w:lang w:val="es-MX" w:eastAsia="es-ES_tradnl"/>
        </w:rPr>
        <w:t>y no se trate de la simple actualización de los precios estipulada inicialmente por las partes (cláusulas de actualización o reajuste de valor) o de la revisión de los mismos por el acaecimiento de hechos sobrevinientes extraordinarios o imprevisibles (teoría de la imprevisión, hecho del príncipe etc.)</w:t>
      </w:r>
      <w:r w:rsidRPr="00774309">
        <w:rPr>
          <w:rStyle w:val="Refdenotaalpie"/>
          <w:rFonts w:ascii="Verdana" w:hAnsi="Verdana" w:cs="Arial"/>
          <w:i/>
          <w:iCs/>
          <w:sz w:val="20"/>
          <w:szCs w:val="20"/>
          <w:lang w:val="es-MX" w:eastAsia="es-ES_tradnl"/>
        </w:rPr>
        <w:footnoteReference w:id="14"/>
      </w:r>
      <w:r>
        <w:rPr>
          <w:rFonts w:ascii="Verdana" w:hAnsi="Verdana" w:cs="Arial"/>
          <w:i/>
          <w:iCs/>
          <w:sz w:val="20"/>
          <w:szCs w:val="20"/>
          <w:lang w:val="es-MX" w:eastAsia="es-ES_tradnl"/>
        </w:rPr>
        <w:t xml:space="preserve">. </w:t>
      </w:r>
      <w:r>
        <w:rPr>
          <w:rFonts w:ascii="Verdana" w:hAnsi="Verdana" w:cs="Arial"/>
          <w:sz w:val="20"/>
          <w:szCs w:val="20"/>
          <w:lang w:val="es-MX" w:eastAsia="es-ES_tradnl"/>
        </w:rPr>
        <w:t>(Énfasis por fuera de texto)</w:t>
      </w:r>
    </w:p>
    <w:p w14:paraId="3F5F3EFC" w14:textId="77777777" w:rsidR="004A0EC9" w:rsidRDefault="004A0EC9" w:rsidP="004A0EC9">
      <w:pPr>
        <w:widowControl w:val="0"/>
        <w:autoSpaceDE w:val="0"/>
        <w:autoSpaceDN w:val="0"/>
        <w:spacing w:before="120" w:after="120" w:line="276" w:lineRule="auto"/>
        <w:ind w:firstLine="709"/>
        <w:jc w:val="both"/>
        <w:rPr>
          <w:rFonts w:ascii="Verdana" w:hAnsi="Verdana" w:cs="Arial"/>
        </w:rPr>
      </w:pPr>
    </w:p>
    <w:p w14:paraId="44001393" w14:textId="77777777" w:rsidR="004A0EC9" w:rsidRPr="003E527C" w:rsidRDefault="004A0EC9" w:rsidP="004A0EC9">
      <w:pPr>
        <w:widowControl w:val="0"/>
        <w:autoSpaceDE w:val="0"/>
        <w:autoSpaceDN w:val="0"/>
        <w:spacing w:before="120" w:after="120" w:line="276" w:lineRule="auto"/>
        <w:ind w:firstLine="709"/>
        <w:jc w:val="both"/>
        <w:rPr>
          <w:rFonts w:ascii="Verdana" w:eastAsia="Century Gothic" w:hAnsi="Verdana" w:cs="Century Gothic"/>
          <w:color w:val="000000" w:themeColor="text1"/>
          <w:lang w:val="es-ES"/>
        </w:rPr>
      </w:pPr>
      <w:r w:rsidRPr="003E527C">
        <w:rPr>
          <w:rFonts w:ascii="Verdana" w:hAnsi="Verdana" w:cs="Arial"/>
        </w:rPr>
        <w:t xml:space="preserve">En línea con lo anterior, la doctrina ha indicado que el reajuste de precios no </w:t>
      </w:r>
      <w:r>
        <w:rPr>
          <w:rFonts w:ascii="Verdana" w:hAnsi="Verdana" w:cs="Arial"/>
          <w:lang w:val="es-ES_tradnl"/>
        </w:rPr>
        <w:t>“</w:t>
      </w:r>
      <w:r w:rsidRPr="003E527C">
        <w:rPr>
          <w:rFonts w:ascii="Verdana" w:hAnsi="Verdana" w:cs="Arial"/>
        </w:rPr>
        <w:t>busca una modificación del contrato, como es propio de los contratos adicionales, sino su preservación en las condiciones iniciales, frente a las fluctuaciones que pueden tener lo valores de los insumos del objeto contractual</w:t>
      </w:r>
      <w:r w:rsidRPr="003E527C">
        <w:rPr>
          <w:rStyle w:val="Refdenotaalpie"/>
          <w:rFonts w:ascii="Verdana" w:hAnsi="Verdana" w:cs="Arial"/>
          <w:lang w:val="es-ES_tradnl"/>
        </w:rPr>
        <w:footnoteReference w:id="15"/>
      </w:r>
      <w:r>
        <w:rPr>
          <w:rFonts w:ascii="Verdana" w:hAnsi="Verdana" w:cs="Arial"/>
        </w:rPr>
        <w:t>”.</w:t>
      </w:r>
    </w:p>
    <w:p w14:paraId="51FBD9EC" w14:textId="77777777" w:rsidR="004A0EC9" w:rsidRDefault="004A0EC9" w:rsidP="004A0EC9">
      <w:pPr>
        <w:widowControl w:val="0"/>
        <w:autoSpaceDE w:val="0"/>
        <w:autoSpaceDN w:val="0"/>
        <w:spacing w:before="120" w:after="12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 xml:space="preserve">Por lo </w:t>
      </w:r>
      <w:r>
        <w:rPr>
          <w:rFonts w:ascii="Verdana" w:eastAsia="Arial" w:hAnsi="Verdana" w:cs="Arial"/>
          <w:color w:val="000000" w:themeColor="text1"/>
          <w:lang w:val="es-ES" w:eastAsia="es-ES" w:bidi="es-ES"/>
        </w:rPr>
        <w:t>expuesto</w:t>
      </w:r>
      <w:r w:rsidRPr="00F04F3B">
        <w:rPr>
          <w:rFonts w:ascii="Verdana" w:eastAsia="Arial" w:hAnsi="Verdana" w:cs="Arial"/>
          <w:color w:val="000000" w:themeColor="text1"/>
          <w:lang w:val="es-ES" w:eastAsia="es-ES" w:bidi="es-ES"/>
        </w:rPr>
        <w:t xml:space="preserve">, </w:t>
      </w:r>
      <w:r>
        <w:rPr>
          <w:rFonts w:ascii="Verdana" w:eastAsia="Arial" w:hAnsi="Verdana" w:cs="Arial"/>
          <w:color w:val="000000" w:themeColor="text1"/>
          <w:lang w:val="es-ES" w:eastAsia="es-ES" w:bidi="es-ES"/>
        </w:rPr>
        <w:t xml:space="preserve">el </w:t>
      </w:r>
      <w:r w:rsidRPr="00F04F3B">
        <w:rPr>
          <w:rFonts w:ascii="Verdana" w:eastAsia="Arial" w:hAnsi="Verdana" w:cs="Arial"/>
          <w:color w:val="000000" w:themeColor="text1"/>
          <w:lang w:val="es-ES" w:eastAsia="es-ES" w:bidi="es-ES"/>
        </w:rPr>
        <w:t>aumento de</w:t>
      </w:r>
      <w:r>
        <w:rPr>
          <w:rFonts w:ascii="Verdana" w:eastAsia="Arial" w:hAnsi="Verdana" w:cs="Arial"/>
          <w:color w:val="000000" w:themeColor="text1"/>
          <w:lang w:val="es-ES" w:eastAsia="es-ES" w:bidi="es-ES"/>
        </w:rPr>
        <w:t>l</w:t>
      </w:r>
      <w:r w:rsidRPr="00F04F3B">
        <w:rPr>
          <w:rFonts w:ascii="Verdana" w:eastAsia="Arial" w:hAnsi="Verdana" w:cs="Arial"/>
          <w:color w:val="000000" w:themeColor="text1"/>
          <w:lang w:val="es-ES" w:eastAsia="es-ES" w:bidi="es-ES"/>
        </w:rPr>
        <w:t xml:space="preserve"> valor derivado del </w:t>
      </w:r>
      <w:r>
        <w:rPr>
          <w:rFonts w:ascii="Verdana" w:eastAsia="Arial" w:hAnsi="Verdana" w:cs="Arial"/>
          <w:color w:val="000000" w:themeColor="text1"/>
          <w:lang w:val="es-ES" w:eastAsia="es-ES" w:bidi="es-ES"/>
        </w:rPr>
        <w:t xml:space="preserve">mecanismo de ajuste de precios o del </w:t>
      </w:r>
      <w:r w:rsidRPr="00F04F3B">
        <w:rPr>
          <w:rFonts w:ascii="Verdana" w:eastAsia="Arial" w:hAnsi="Verdana" w:cs="Arial"/>
          <w:color w:val="000000" w:themeColor="text1"/>
          <w:lang w:val="es-ES" w:eastAsia="es-ES" w:bidi="es-ES"/>
        </w:rPr>
        <w:t>restablecimiento del equilibrio no queda sujeto al tope del 50 %, mientras que sí rige plenamente cuando se trata de la celebración de una adición contractual. Frente a esta última, el límite opera frente a cualquier incremento del valor inicial del contrato, que es lo que implica una adición, e independientemente del nombre que se le dé al acuerdo. De este modo, el tope recae sobre lo que jurídicamente constituye una adición —la ampliación del contenido prestacional—, no sobre el reajuste ni sobre el restablecimiento</w:t>
      </w:r>
      <w:r>
        <w:rPr>
          <w:rFonts w:ascii="Verdana" w:eastAsia="Arial" w:hAnsi="Verdana" w:cs="Arial"/>
          <w:color w:val="000000" w:themeColor="text1"/>
          <w:lang w:val="es-ES" w:eastAsia="es-ES" w:bidi="es-ES"/>
        </w:rPr>
        <w:t>.</w:t>
      </w:r>
    </w:p>
    <w:p w14:paraId="45E425AD" w14:textId="77777777" w:rsidR="004A0EC9" w:rsidRDefault="004A0EC9" w:rsidP="004A0EC9">
      <w:pPr>
        <w:spacing w:before="120" w:after="120" w:line="276" w:lineRule="auto"/>
        <w:ind w:firstLine="743"/>
        <w:jc w:val="both"/>
        <w:rPr>
          <w:rFonts w:ascii="Verdana" w:hAnsi="Verdana" w:cs="Arial"/>
          <w:color w:val="000000" w:themeColor="text1"/>
        </w:rPr>
      </w:pPr>
      <w:r w:rsidRPr="00A06C92">
        <w:rPr>
          <w:rFonts w:ascii="Verdana" w:hAnsi="Verdana" w:cs="Arial"/>
          <w:color w:val="000000" w:themeColor="text1"/>
        </w:rPr>
        <w:t xml:space="preserve">En particular, el cambio de vigencia contractual puede generar la aplicación de las fórmulas de reajuste o actualización de precios previstas en el </w:t>
      </w:r>
      <w:r w:rsidRPr="00A06C92">
        <w:rPr>
          <w:rFonts w:ascii="Verdana" w:hAnsi="Verdana" w:cs="Arial"/>
          <w:color w:val="000000" w:themeColor="text1"/>
        </w:rPr>
        <w:lastRenderedPageBreak/>
        <w:t>contrato. Este mayor valor no constituye, por sí mismo, una adición sometida al límite del 50 %, en la medida en que corresponda a ítems o prestaciones ya definidos y pactados</w:t>
      </w:r>
      <w:r>
        <w:rPr>
          <w:rFonts w:ascii="Verdana" w:hAnsi="Verdana" w:cs="Arial"/>
          <w:color w:val="000000" w:themeColor="text1"/>
        </w:rPr>
        <w:t>, puesto que e</w:t>
      </w:r>
      <w:r w:rsidRPr="00A06C92">
        <w:rPr>
          <w:rFonts w:ascii="Verdana" w:hAnsi="Verdana" w:cs="Arial"/>
          <w:color w:val="000000" w:themeColor="text1"/>
        </w:rPr>
        <w:t>l reajuste opera precisamente como un mecanismo de preservación de las condiciones económicas del contrato frente a las fluctuaciones de los costos y no como una modificación de su contenido prestacional.</w:t>
      </w:r>
    </w:p>
    <w:p w14:paraId="5C8629C0" w14:textId="77777777" w:rsidR="004A0EC9" w:rsidRDefault="004A0EC9" w:rsidP="004A0EC9">
      <w:pPr>
        <w:widowControl w:val="0"/>
        <w:autoSpaceDE w:val="0"/>
        <w:autoSpaceDN w:val="0"/>
        <w:spacing w:before="120" w:after="120" w:line="276" w:lineRule="auto"/>
        <w:ind w:firstLine="709"/>
        <w:jc w:val="both"/>
        <w:rPr>
          <w:rFonts w:ascii="Verdana" w:hAnsi="Verdana" w:cs="Arial"/>
          <w:color w:val="000000" w:themeColor="text1"/>
        </w:rPr>
      </w:pPr>
      <w:r w:rsidRPr="00A06C92">
        <w:rPr>
          <w:rFonts w:ascii="Verdana" w:hAnsi="Verdana" w:cs="Arial"/>
          <w:color w:val="000000" w:themeColor="text1"/>
        </w:rPr>
        <w:t>En consecuencia,</w:t>
      </w:r>
      <w:r>
        <w:rPr>
          <w:rFonts w:ascii="Verdana" w:hAnsi="Verdana" w:cs="Arial"/>
          <w:color w:val="000000" w:themeColor="text1"/>
        </w:rPr>
        <w:t xml:space="preserve"> </w:t>
      </w:r>
      <w:r w:rsidRPr="00A06C92">
        <w:rPr>
          <w:rFonts w:ascii="Verdana" w:hAnsi="Verdana" w:cs="Arial"/>
          <w:color w:val="000000" w:themeColor="text1"/>
        </w:rPr>
        <w:t>si e</w:t>
      </w:r>
      <w:r>
        <w:rPr>
          <w:rFonts w:ascii="Verdana" w:hAnsi="Verdana" w:cs="Arial"/>
          <w:color w:val="000000" w:themeColor="text1"/>
        </w:rPr>
        <w:t>l reconocimiento económico</w:t>
      </w:r>
      <w:r w:rsidRPr="00A06C92">
        <w:rPr>
          <w:rFonts w:ascii="Verdana" w:hAnsi="Verdana" w:cs="Arial"/>
          <w:color w:val="000000" w:themeColor="text1"/>
        </w:rPr>
        <w:t xml:space="preserve"> corresponde exclusivamente a la actualización de los precios de prestaciones ya pactadas, no se computa dentro del 50 %</w:t>
      </w:r>
      <w:r>
        <w:rPr>
          <w:rFonts w:ascii="Verdana" w:hAnsi="Verdana" w:cs="Arial"/>
          <w:color w:val="000000" w:themeColor="text1"/>
        </w:rPr>
        <w:t xml:space="preserve">, mientras que </w:t>
      </w:r>
      <w:r w:rsidRPr="00A06C92">
        <w:rPr>
          <w:rFonts w:ascii="Verdana" w:hAnsi="Verdana" w:cs="Arial"/>
          <w:color w:val="000000" w:themeColor="text1"/>
        </w:rPr>
        <w:t>si</w:t>
      </w:r>
      <w:r>
        <w:rPr>
          <w:rFonts w:ascii="Verdana" w:hAnsi="Verdana" w:cs="Arial"/>
          <w:color w:val="000000" w:themeColor="text1"/>
        </w:rPr>
        <w:t xml:space="preserve"> </w:t>
      </w:r>
      <w:r w:rsidRPr="00A06C92">
        <w:rPr>
          <w:rFonts w:ascii="Verdana" w:hAnsi="Verdana" w:cs="Arial"/>
          <w:color w:val="000000" w:themeColor="text1"/>
        </w:rPr>
        <w:t xml:space="preserve">el mayor valor supone incorporar nuevas prestaciones, </w:t>
      </w:r>
      <w:r>
        <w:rPr>
          <w:rFonts w:ascii="Verdana" w:hAnsi="Verdana" w:cs="Arial"/>
          <w:color w:val="000000" w:themeColor="text1"/>
        </w:rPr>
        <w:t xml:space="preserve">otras </w:t>
      </w:r>
      <w:r w:rsidRPr="00A06C92">
        <w:rPr>
          <w:rFonts w:ascii="Verdana" w:hAnsi="Verdana" w:cs="Arial"/>
          <w:color w:val="000000" w:themeColor="text1"/>
        </w:rPr>
        <w:t>obligaciones o una ampliación del contenido contractual, estará sometido al límite legal</w:t>
      </w:r>
      <w:r>
        <w:rPr>
          <w:rFonts w:ascii="Verdana" w:hAnsi="Verdana" w:cs="Arial"/>
          <w:color w:val="000000" w:themeColor="text1"/>
        </w:rPr>
        <w:t xml:space="preserve">, sin perjuicio de los dispuesto sobre el reconocimiento de las mayores cantidades de obra. </w:t>
      </w:r>
    </w:p>
    <w:p w14:paraId="21FC84AB" w14:textId="77777777" w:rsidR="004A0EC9" w:rsidRPr="00F04F3B" w:rsidRDefault="004A0EC9" w:rsidP="004A0EC9">
      <w:pPr>
        <w:spacing w:before="120" w:after="120" w:line="276" w:lineRule="auto"/>
        <w:ind w:firstLine="743"/>
        <w:jc w:val="both"/>
        <w:rPr>
          <w:rFonts w:ascii="Verdana" w:eastAsia="Arial" w:hAnsi="Verdana" w:cs="Arial"/>
          <w:color w:val="000000" w:themeColor="text1"/>
          <w:lang w:val="es-ES" w:eastAsia="es-ES" w:bidi="es-ES"/>
        </w:rPr>
      </w:pPr>
      <w:r w:rsidRPr="00A06C92">
        <w:rPr>
          <w:rFonts w:ascii="Verdana" w:hAnsi="Verdana" w:cs="Arial"/>
          <w:color w:val="000000" w:themeColor="text1"/>
        </w:rPr>
        <w:t>Por tanto, los reajustes de precios derivados del cambio de vigencia no consumen el límite de adición del artículo 40 de la Ley 80 de 1993, siempre que correspondan a la aplicación del mecanismo de ajuste previsto para las prestaciones originalmente pactadas y no encubran una verdadera adición contractual. Esta conclusión debe distinguirse de los casos en que la entidad requiere ejecutar la obra con un presupuesto adicional por fuera de las prestaciones inicialmente previstas, supuesto en el cual sí deberá modificar el contrato y sujetarse al límite legal</w:t>
      </w:r>
      <w:r>
        <w:rPr>
          <w:rFonts w:ascii="Verdana" w:hAnsi="Verdana" w:cs="Arial"/>
          <w:color w:val="000000" w:themeColor="text1"/>
        </w:rPr>
        <w:t>.</w:t>
      </w:r>
    </w:p>
    <w:p w14:paraId="6F7A4665" w14:textId="77777777" w:rsidR="004A0EC9"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sidRPr="00F04F3B">
        <w:rPr>
          <w:rFonts w:ascii="Verdana" w:eastAsia="Arial" w:hAnsi="Verdana" w:cs="Arial"/>
          <w:color w:val="000000" w:themeColor="text1"/>
          <w:lang w:val="es-ES" w:eastAsia="es-ES" w:bidi="es-ES"/>
        </w:rPr>
        <w:t>En co</w:t>
      </w:r>
      <w:r>
        <w:rPr>
          <w:rFonts w:ascii="Verdana" w:eastAsia="Arial" w:hAnsi="Verdana" w:cs="Arial"/>
          <w:color w:val="000000" w:themeColor="text1"/>
          <w:lang w:val="es-ES" w:eastAsia="es-ES" w:bidi="es-ES"/>
        </w:rPr>
        <w:t>nclusión</w:t>
      </w:r>
      <w:r w:rsidRPr="00F04F3B">
        <w:rPr>
          <w:rFonts w:ascii="Verdana" w:eastAsia="Arial" w:hAnsi="Verdana" w:cs="Arial"/>
          <w:color w:val="000000" w:themeColor="text1"/>
          <w:lang w:val="es-ES" w:eastAsia="es-ES" w:bidi="es-ES"/>
        </w:rPr>
        <w:t xml:space="preserve">, el mayor valor que corresponda a la actualización de precios de ítems ya definidos (reajuste) o al restablecimiento del equilibrio por </w:t>
      </w:r>
      <w:proofErr w:type="gramStart"/>
      <w:r w:rsidRPr="00F04F3B">
        <w:rPr>
          <w:rFonts w:ascii="Verdana" w:eastAsia="Arial" w:hAnsi="Verdana" w:cs="Arial"/>
          <w:color w:val="000000" w:themeColor="text1"/>
          <w:lang w:val="es-ES" w:eastAsia="es-ES" w:bidi="es-ES"/>
        </w:rPr>
        <w:t xml:space="preserve">un </w:t>
      </w:r>
      <w:r>
        <w:rPr>
          <w:rFonts w:ascii="Verdana" w:eastAsia="Arial" w:hAnsi="Verdana" w:cs="Arial"/>
          <w:color w:val="000000" w:themeColor="text1"/>
          <w:lang w:val="es-ES" w:eastAsia="es-ES" w:bidi="es-ES"/>
        </w:rPr>
        <w:t>a</w:t>
      </w:r>
      <w:r w:rsidRPr="00F04F3B">
        <w:rPr>
          <w:rFonts w:ascii="Verdana" w:eastAsia="Arial" w:hAnsi="Verdana" w:cs="Arial"/>
          <w:color w:val="000000" w:themeColor="text1"/>
          <w:lang w:val="es-ES" w:eastAsia="es-ES" w:bidi="es-ES"/>
        </w:rPr>
        <w:t>lea extraordinaria</w:t>
      </w:r>
      <w:proofErr w:type="gramEnd"/>
      <w:r w:rsidRPr="00F04F3B">
        <w:rPr>
          <w:rFonts w:ascii="Verdana" w:eastAsia="Arial" w:hAnsi="Verdana" w:cs="Arial"/>
          <w:color w:val="000000" w:themeColor="text1"/>
          <w:lang w:val="es-ES" w:eastAsia="es-ES" w:bidi="es-ES"/>
        </w:rPr>
        <w:t xml:space="preserve"> no se computa dentro del cincuenta por ciento (50 %)</w:t>
      </w:r>
      <w:r>
        <w:rPr>
          <w:rFonts w:ascii="Verdana" w:eastAsia="Arial" w:hAnsi="Verdana" w:cs="Arial"/>
          <w:color w:val="000000" w:themeColor="text1"/>
          <w:lang w:val="es-ES" w:eastAsia="es-ES" w:bidi="es-ES"/>
        </w:rPr>
        <w:t xml:space="preserve">. </w:t>
      </w:r>
      <w:r w:rsidRPr="00F04F3B">
        <w:rPr>
          <w:rFonts w:ascii="Verdana" w:eastAsia="Arial" w:hAnsi="Verdana" w:cs="Arial"/>
          <w:color w:val="000000" w:themeColor="text1"/>
          <w:lang w:val="es-ES" w:eastAsia="es-ES" w:bidi="es-ES"/>
        </w:rPr>
        <w:t>Con todo, esta calificación no puede convertirse en un argumento para eludir el tope: el reajuste presupone precios de prestaciones ya pactadas, y el restablecimiento exige acreditar una afectación grave, sobreviniente, imprevisible y no imputable a la parte afectada, en los términos del artículo 27 de la Ley 80 de 1993; de lo contrario, el incremento constituye una adición y queda sometido al límite del artículo 40</w:t>
      </w:r>
      <w:r>
        <w:rPr>
          <w:rFonts w:ascii="Verdana" w:eastAsia="Arial" w:hAnsi="Verdana" w:cs="Arial"/>
          <w:color w:val="000000" w:themeColor="text1"/>
          <w:lang w:val="es-ES" w:eastAsia="es-ES" w:bidi="es-ES"/>
        </w:rPr>
        <w:t>.</w:t>
      </w:r>
    </w:p>
    <w:p w14:paraId="40EB8C53" w14:textId="77777777" w:rsidR="004A0EC9"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r>
        <w:rPr>
          <w:rFonts w:ascii="Verdana" w:hAnsi="Verdana" w:cs="Arial"/>
          <w:lang w:eastAsia="es-ES"/>
        </w:rPr>
        <w:t xml:space="preserve">Al margen de la explicación precedente debe advertirse que el análisis requerido para resolver problemas específicos en torno a los reconocimientos económicos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w:t>
      </w:r>
      <w:r>
        <w:rPr>
          <w:rFonts w:ascii="Verdana" w:hAnsi="Verdana" w:cs="Arial"/>
          <w:lang w:eastAsia="es-ES"/>
        </w:rPr>
        <w:lastRenderedPageBreak/>
        <w:t xml:space="preserve">consulta. </w:t>
      </w:r>
      <w:r>
        <w:rPr>
          <w:rStyle w:val="s15"/>
          <w:rFonts w:ascii="Verdana" w:hAnsi="Verdana"/>
          <w:color w:val="000000"/>
        </w:rPr>
        <w:t>Por lo anterior, previo</w:t>
      </w:r>
      <w:r>
        <w:rPr>
          <w:rStyle w:val="apple-converted-space"/>
          <w:rFonts w:ascii="Verdana" w:hAnsi="Verdana"/>
          <w:color w:val="000000"/>
        </w:rPr>
        <w:t> </w:t>
      </w:r>
      <w:r>
        <w:rPr>
          <w:rStyle w:val="s15"/>
          <w:rFonts w:ascii="Verdana" w:hAnsi="Verdana"/>
          <w:color w:val="000000"/>
        </w:rPr>
        <w:t xml:space="preserve">concepto de sus </w:t>
      </w:r>
      <w:proofErr w:type="gramStart"/>
      <w:r>
        <w:rPr>
          <w:rStyle w:val="s15"/>
          <w:rFonts w:ascii="Verdana" w:hAnsi="Verdana"/>
          <w:color w:val="000000"/>
        </w:rPr>
        <w:t>asesores,</w:t>
      </w:r>
      <w:proofErr w:type="gramEnd"/>
      <w:r>
        <w:rPr>
          <w:rStyle w:val="s15"/>
          <w:rFonts w:ascii="Verdana" w:hAnsi="Verdana"/>
          <w:color w:val="000000"/>
        </w:rPr>
        <w:t xml:space="preserve"> corresponde a las partes del contrato definir los mecanismos adecuados para el restablecimiento del equilibrio económico del contrato, así como los límites legales y jurisprudenciales aplicables; motivo por el cual, en caso de conflicto, intervendrán las autoridades judiciales, fiscales y disciplinarias.</w:t>
      </w:r>
    </w:p>
    <w:p w14:paraId="27731AE7" w14:textId="77777777" w:rsidR="004A0EC9" w:rsidRDefault="004A0EC9" w:rsidP="004A0EC9">
      <w:pPr>
        <w:widowControl w:val="0"/>
        <w:autoSpaceDE w:val="0"/>
        <w:autoSpaceDN w:val="0"/>
        <w:spacing w:before="120" w:after="0" w:line="276" w:lineRule="auto"/>
        <w:ind w:firstLine="709"/>
        <w:jc w:val="both"/>
        <w:rPr>
          <w:rFonts w:ascii="Verdana" w:hAnsi="Verdana" w:cs="Arial"/>
          <w:lang w:eastAsia="es-ES"/>
        </w:rPr>
      </w:pPr>
      <w:r>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5DBE617" w14:textId="77777777" w:rsidR="004A0EC9" w:rsidRPr="00575A0E" w:rsidRDefault="004A0EC9" w:rsidP="004A0EC9">
      <w:pPr>
        <w:widowControl w:val="0"/>
        <w:autoSpaceDE w:val="0"/>
        <w:autoSpaceDN w:val="0"/>
        <w:spacing w:before="120" w:after="0" w:line="276" w:lineRule="auto"/>
        <w:ind w:firstLine="709"/>
        <w:jc w:val="both"/>
        <w:rPr>
          <w:rFonts w:ascii="Verdana" w:eastAsia="Arial" w:hAnsi="Verdana" w:cs="Arial"/>
          <w:color w:val="000000" w:themeColor="text1"/>
          <w:lang w:val="es-ES" w:eastAsia="es-ES" w:bidi="es-ES"/>
        </w:rPr>
      </w:pPr>
    </w:p>
    <w:p w14:paraId="6016AF7C" w14:textId="77777777" w:rsidR="004A0EC9" w:rsidRPr="00F04F3B" w:rsidRDefault="004A0EC9" w:rsidP="004A0EC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t>Referencias normativas, jurisprudenciales y otras fuentes:</w:t>
      </w:r>
    </w:p>
    <w:p w14:paraId="61570B8D" w14:textId="77777777" w:rsidR="004A0EC9" w:rsidRPr="00F04F3B" w:rsidRDefault="004A0EC9" w:rsidP="004A0EC9">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0EC9" w:rsidRPr="00F04F3B" w14:paraId="433E7B57" w14:textId="77777777" w:rsidTr="00B72C0D">
        <w:trPr>
          <w:trHeight w:val="297"/>
        </w:trPr>
        <w:tc>
          <w:tcPr>
            <w:tcW w:w="8647" w:type="dxa"/>
          </w:tcPr>
          <w:p w14:paraId="63630274" w14:textId="77777777" w:rsidR="004A0EC9" w:rsidRPr="00CA06FB" w:rsidRDefault="004A0EC9" w:rsidP="00B72C0D">
            <w:pPr>
              <w:widowControl w:val="0"/>
              <w:numPr>
                <w:ilvl w:val="0"/>
                <w:numId w:val="16"/>
              </w:numPr>
              <w:autoSpaceDE w:val="0"/>
              <w:autoSpaceDN w:val="0"/>
              <w:spacing w:after="120"/>
              <w:jc w:val="both"/>
              <w:rPr>
                <w:rFonts w:ascii="Verdana" w:hAnsi="Verdana" w:cs="Arial"/>
                <w:lang w:val="es-ES"/>
              </w:rPr>
            </w:pPr>
            <w:r w:rsidRPr="00CA06FB">
              <w:rPr>
                <w:rFonts w:ascii="Verdana" w:hAnsi="Verdana" w:cs="Arial"/>
                <w:lang w:val="es-ES"/>
              </w:rPr>
              <w:t>Ley 80 de 1993, artículos 5 (numeral 1</w:t>
            </w:r>
            <w:r>
              <w:rPr>
                <w:rFonts w:ascii="Verdana" w:hAnsi="Verdana" w:cs="Arial"/>
                <w:lang w:val="es-ES"/>
              </w:rPr>
              <w:t>),</w:t>
            </w:r>
            <w:r w:rsidRPr="00CA06FB">
              <w:rPr>
                <w:rFonts w:ascii="Verdana" w:hAnsi="Verdana" w:cs="Arial"/>
                <w:lang w:val="es-ES"/>
              </w:rPr>
              <w:t xml:space="preserve"> 27, </w:t>
            </w:r>
            <w:r>
              <w:rPr>
                <w:rFonts w:ascii="Verdana" w:hAnsi="Verdana" w:cs="Arial"/>
                <w:lang w:val="es-ES"/>
              </w:rPr>
              <w:t xml:space="preserve">y </w:t>
            </w:r>
            <w:r w:rsidRPr="00CA06FB">
              <w:rPr>
                <w:rFonts w:ascii="Verdana" w:hAnsi="Verdana" w:cs="Arial"/>
                <w:lang w:val="es-ES"/>
              </w:rPr>
              <w:t>40 (parágrafo)</w:t>
            </w:r>
          </w:p>
          <w:p w14:paraId="6861FAFF" w14:textId="77777777" w:rsidR="004A0EC9" w:rsidRPr="00CA06FB" w:rsidRDefault="004A0EC9" w:rsidP="00B72C0D">
            <w:pPr>
              <w:widowControl w:val="0"/>
              <w:numPr>
                <w:ilvl w:val="0"/>
                <w:numId w:val="16"/>
              </w:numPr>
              <w:autoSpaceDE w:val="0"/>
              <w:autoSpaceDN w:val="0"/>
              <w:spacing w:after="120"/>
              <w:jc w:val="both"/>
              <w:rPr>
                <w:rFonts w:ascii="Verdana" w:hAnsi="Verdana" w:cs="Arial"/>
                <w:lang w:val="es-ES"/>
              </w:rPr>
            </w:pPr>
            <w:r w:rsidRPr="00CA06FB">
              <w:rPr>
                <w:rFonts w:ascii="Verdana" w:hAnsi="Verdana" w:cs="Arial"/>
                <w:lang w:val="es-ES"/>
              </w:rPr>
              <w:t>Ley 1474 de 2011, artículos 85 y 87.</w:t>
            </w:r>
          </w:p>
          <w:p w14:paraId="11E70732" w14:textId="77777777" w:rsidR="004A0EC9" w:rsidRPr="00CA06FB" w:rsidRDefault="004A0EC9" w:rsidP="00B72C0D">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 xml:space="preserve">Sentencia del 9 de mayo de 1996, </w:t>
            </w:r>
            <w:proofErr w:type="spellStart"/>
            <w:r w:rsidRPr="00CA06FB">
              <w:rPr>
                <w:rFonts w:ascii="Verdana" w:hAnsi="Verdana" w:cs="Arial"/>
              </w:rPr>
              <w:t>Exp</w:t>
            </w:r>
            <w:proofErr w:type="spellEnd"/>
            <w:r w:rsidRPr="00CA06FB">
              <w:rPr>
                <w:rFonts w:ascii="Verdana" w:hAnsi="Verdana" w:cs="Arial"/>
              </w:rPr>
              <w:t xml:space="preserve">. 10.151, reiterada en sentencias del 29 de abril y 21 de julio de 1999, </w:t>
            </w:r>
            <w:proofErr w:type="spellStart"/>
            <w:r w:rsidRPr="00CA06FB">
              <w:rPr>
                <w:rFonts w:ascii="Verdana" w:hAnsi="Verdana" w:cs="Arial"/>
              </w:rPr>
              <w:t>Exp</w:t>
            </w:r>
            <w:proofErr w:type="spellEnd"/>
            <w:r w:rsidRPr="00CA06FB">
              <w:rPr>
                <w:rFonts w:ascii="Verdana" w:hAnsi="Verdana" w:cs="Arial"/>
              </w:rPr>
              <w:t>. 14.885 y 14.943, C.P. Daniel Suárez Hernández.</w:t>
            </w:r>
          </w:p>
          <w:p w14:paraId="670BB49F" w14:textId="77777777" w:rsidR="004A0EC9" w:rsidRPr="00CA06FB" w:rsidRDefault="004A0EC9" w:rsidP="00B72C0D">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 xml:space="preserve">Sentencia del 31 de agosto de 2011, </w:t>
            </w:r>
            <w:proofErr w:type="spellStart"/>
            <w:r w:rsidRPr="00CA06FB">
              <w:rPr>
                <w:rFonts w:ascii="Verdana" w:hAnsi="Verdana" w:cs="Arial"/>
              </w:rPr>
              <w:t>Exp</w:t>
            </w:r>
            <w:proofErr w:type="spellEnd"/>
            <w:r w:rsidRPr="00CA06FB">
              <w:rPr>
                <w:rFonts w:ascii="Verdana" w:hAnsi="Verdana" w:cs="Arial"/>
              </w:rPr>
              <w:t xml:space="preserve">. 18.080, C.P. Ruth Stella Correa Palacio (reiterada en sentencia del 8 de febrero de 2012, </w:t>
            </w:r>
            <w:proofErr w:type="spellStart"/>
            <w:r w:rsidRPr="00CA06FB">
              <w:rPr>
                <w:rFonts w:ascii="Verdana" w:hAnsi="Verdana" w:cs="Arial"/>
              </w:rPr>
              <w:t>Exp</w:t>
            </w:r>
            <w:proofErr w:type="spellEnd"/>
            <w:r w:rsidRPr="00CA06FB">
              <w:rPr>
                <w:rFonts w:ascii="Verdana" w:hAnsi="Verdana" w:cs="Arial"/>
              </w:rPr>
              <w:t>. 20344).</w:t>
            </w:r>
          </w:p>
          <w:p w14:paraId="471D1F16" w14:textId="77777777" w:rsidR="004A0EC9" w:rsidRPr="008C0A54" w:rsidRDefault="004A0EC9" w:rsidP="00B72C0D">
            <w:pPr>
              <w:widowControl w:val="0"/>
              <w:numPr>
                <w:ilvl w:val="0"/>
                <w:numId w:val="16"/>
              </w:numPr>
              <w:autoSpaceDE w:val="0"/>
              <w:autoSpaceDN w:val="0"/>
              <w:spacing w:after="120"/>
              <w:jc w:val="both"/>
              <w:rPr>
                <w:rFonts w:ascii="Verdana" w:hAnsi="Verdana" w:cs="Arial"/>
              </w:rPr>
            </w:pPr>
            <w:r w:rsidRPr="00CA06FB">
              <w:rPr>
                <w:rFonts w:ascii="Verdana" w:hAnsi="Verdana" w:cs="Arial"/>
              </w:rPr>
              <w:t>Consejo de Estado, Sección Tercera</w:t>
            </w:r>
            <w:r>
              <w:rPr>
                <w:rFonts w:ascii="Verdana" w:hAnsi="Verdana" w:cs="Arial"/>
              </w:rPr>
              <w:t>.</w:t>
            </w:r>
            <w:r>
              <w:t xml:space="preserve"> </w:t>
            </w:r>
            <w:r w:rsidRPr="00CA06FB">
              <w:rPr>
                <w:rFonts w:ascii="Verdana" w:hAnsi="Verdana" w:cs="Arial"/>
              </w:rPr>
              <w:t>Subsección C, sentencia del 19 de septiembre de 2022, Rad. 25000-23-36-000-2013-00211-01 (54714), C.P. Jaime Enrique Rodríguez Navas.</w:t>
            </w:r>
          </w:p>
        </w:tc>
      </w:tr>
    </w:tbl>
    <w:p w14:paraId="4F0E851B" w14:textId="77777777" w:rsidR="004A0EC9" w:rsidRPr="00F04F3B" w:rsidRDefault="004A0EC9" w:rsidP="004A0EC9">
      <w:pPr>
        <w:widowControl w:val="0"/>
        <w:autoSpaceDE w:val="0"/>
        <w:autoSpaceDN w:val="0"/>
        <w:spacing w:after="0" w:line="276" w:lineRule="auto"/>
        <w:jc w:val="both"/>
        <w:rPr>
          <w:rFonts w:ascii="Verdana" w:hAnsi="Verdana" w:cs="Arial"/>
          <w:color w:val="000000" w:themeColor="text1"/>
          <w:lang w:val="es-ES"/>
        </w:rPr>
      </w:pPr>
    </w:p>
    <w:p w14:paraId="7B15481A" w14:textId="77777777" w:rsidR="004A0EC9" w:rsidRPr="00F04F3B" w:rsidRDefault="004A0EC9" w:rsidP="004A0EC9">
      <w:pPr>
        <w:pStyle w:val="Prrafodelista"/>
        <w:numPr>
          <w:ilvl w:val="0"/>
          <w:numId w:val="17"/>
        </w:numPr>
        <w:tabs>
          <w:tab w:val="left" w:pos="142"/>
          <w:tab w:val="left" w:pos="284"/>
        </w:tabs>
        <w:spacing w:after="0" w:line="276" w:lineRule="auto"/>
        <w:jc w:val="both"/>
        <w:rPr>
          <w:rFonts w:ascii="Verdana" w:eastAsia="Century Gothic" w:hAnsi="Verdana" w:cs="Century Gothic"/>
          <w:b/>
          <w:color w:val="000000" w:themeColor="text1"/>
        </w:rPr>
      </w:pPr>
      <w:r w:rsidRPr="00F04F3B">
        <w:rPr>
          <w:rFonts w:ascii="Verdana" w:eastAsia="Century Gothic" w:hAnsi="Verdana" w:cs="Century Gothic"/>
          <w:b/>
          <w:color w:val="000000" w:themeColor="text1"/>
        </w:rPr>
        <w:t>Doctrina de la Agencia Nacional de Contratación Pública:</w:t>
      </w:r>
    </w:p>
    <w:p w14:paraId="7A7C11D7" w14:textId="77777777" w:rsidR="004A0EC9" w:rsidRPr="00F04F3B" w:rsidRDefault="004A0EC9" w:rsidP="004A0EC9">
      <w:pPr>
        <w:widowControl w:val="0"/>
        <w:autoSpaceDE w:val="0"/>
        <w:autoSpaceDN w:val="0"/>
        <w:spacing w:after="0" w:line="276" w:lineRule="auto"/>
        <w:jc w:val="both"/>
        <w:rPr>
          <w:rFonts w:ascii="Verdana" w:hAnsi="Verdana" w:cs="Arial"/>
          <w:color w:val="000000" w:themeColor="text1"/>
          <w:lang w:val="es-ES"/>
        </w:rPr>
      </w:pPr>
    </w:p>
    <w:p w14:paraId="04C563D0" w14:textId="77777777" w:rsidR="004A0EC9" w:rsidRPr="00986F73" w:rsidRDefault="004A0EC9" w:rsidP="004A0EC9">
      <w:pPr>
        <w:spacing w:after="0" w:line="276" w:lineRule="auto"/>
        <w:jc w:val="both"/>
        <w:rPr>
          <w:rFonts w:ascii="Verdana" w:hAnsi="Verdana" w:cs="Arial"/>
          <w:bCs/>
          <w:shd w:val="clear" w:color="auto" w:fill="FFFFFF"/>
        </w:rPr>
      </w:pPr>
      <w:r w:rsidRPr="007D0F53">
        <w:rPr>
          <w:rFonts w:ascii="Verdana" w:hAnsi="Verdana" w:cs="Arial"/>
          <w:bCs/>
          <w:shd w:val="clear" w:color="auto" w:fill="FFFFFF"/>
        </w:rPr>
        <w:t xml:space="preserve">La Agencia Nacional de Contratación Pública – Colombia Compra Eficiente, se ha pronunciado en diferentes conceptos sobre las </w:t>
      </w:r>
      <w:r w:rsidRPr="007D0F53">
        <w:rPr>
          <w:rFonts w:ascii="Verdana" w:hAnsi="Verdana" w:cs="Arial"/>
          <w:bCs/>
          <w:shd w:val="clear" w:color="auto" w:fill="FFFFFF"/>
          <w:lang w:val="es-ES_tradnl"/>
        </w:rPr>
        <w:t xml:space="preserve">modificaciones y adiciones en los contratos estatales en los Conceptos Nro. C-277 de 21 de junio de 2021, C-644 de 18 de noviembre de 2021, C-755 de 21 de enero de 2022, C-152 de 1 de </w:t>
      </w:r>
      <w:r w:rsidRPr="007D0F53">
        <w:rPr>
          <w:rFonts w:ascii="Verdana" w:hAnsi="Verdana" w:cs="Arial"/>
          <w:bCs/>
          <w:shd w:val="clear" w:color="auto" w:fill="FFFFFF"/>
          <w:lang w:val="es-ES_tradnl"/>
        </w:rPr>
        <w:lastRenderedPageBreak/>
        <w:t>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7D0F53">
        <w:rPr>
          <w:rFonts w:ascii="Verdana" w:hAnsi="Verdana" w:cs="Arial"/>
          <w:bCs/>
          <w:shd w:val="clear" w:color="auto" w:fill="FFFFFF"/>
          <w:lang w:val="es-ES"/>
        </w:rPr>
        <w:t>, C-308 del 28 de abril de 2025,</w:t>
      </w:r>
      <w:r>
        <w:rPr>
          <w:rFonts w:ascii="Verdana" w:hAnsi="Verdana" w:cs="Arial"/>
          <w:bCs/>
          <w:shd w:val="clear" w:color="auto" w:fill="FFFFFF"/>
          <w:lang w:val="es-ES"/>
        </w:rPr>
        <w:t xml:space="preserve"> C-451 del 19 de mayo de 2025, C-491 del 3 de junio de 2025,</w:t>
      </w:r>
      <w:r w:rsidRPr="007D0F53">
        <w:rPr>
          <w:rFonts w:ascii="Verdana" w:hAnsi="Verdana" w:cs="Arial"/>
          <w:bCs/>
          <w:shd w:val="clear" w:color="auto" w:fill="FFFFFF"/>
        </w:rPr>
        <w:t xml:space="preserve"> </w:t>
      </w:r>
      <w:r>
        <w:rPr>
          <w:rFonts w:ascii="Verdana" w:hAnsi="Verdana" w:cs="Arial"/>
          <w:bCs/>
          <w:shd w:val="clear" w:color="auto" w:fill="FFFFFF"/>
        </w:rPr>
        <w:t xml:space="preserve">C-165 del 26 de febrero de 2026, C-465 del 14 de abril de 2026, C-916 del 17 de julio de 2026, C-1120 de 2026, </w:t>
      </w:r>
      <w:r w:rsidRPr="007D0F53">
        <w:rPr>
          <w:rFonts w:ascii="Verdana" w:hAnsi="Verdana" w:cs="Arial"/>
          <w:bCs/>
          <w:shd w:val="clear" w:color="auto" w:fill="FFFFFF"/>
        </w:rPr>
        <w:t>entre otro</w:t>
      </w:r>
      <w:r>
        <w:rPr>
          <w:rFonts w:ascii="Verdana" w:hAnsi="Verdana" w:cs="Arial"/>
          <w:bCs/>
          <w:shd w:val="clear" w:color="auto" w:fill="FFFFFF"/>
        </w:rPr>
        <w:t xml:space="preserve">s. </w:t>
      </w:r>
      <w:r w:rsidRPr="00F04F3B">
        <w:rPr>
          <w:rFonts w:ascii="Verdana" w:eastAsia="Arial" w:hAnsi="Verdana" w:cs="Arial"/>
          <w:lang w:val="es-ES"/>
        </w:rPr>
        <w:t>Estos y</w:t>
      </w:r>
      <w:r w:rsidRPr="00F04F3B">
        <w:rPr>
          <w:rFonts w:ascii="Verdana" w:hAnsi="Verdana" w:cs="Arial"/>
          <w:shd w:val="clear" w:color="auto" w:fill="FFFFFF"/>
          <w:lang w:val="es-ES"/>
        </w:rPr>
        <w:t xml:space="preserve"> </w:t>
      </w:r>
      <w:r w:rsidRPr="00F04F3B">
        <w:rPr>
          <w:rFonts w:ascii="Verdana" w:hAnsi="Verdana"/>
          <w:lang w:val="es-ES"/>
        </w:rPr>
        <w:t>otros conceptos se encuentran disponibles para consulta en el Sistema de relatoría de la Agencia, al cual se puede acceder a través del siguiente enlace:</w:t>
      </w:r>
      <w:r w:rsidRPr="00F04F3B">
        <w:rPr>
          <w:rFonts w:ascii="Verdana" w:hAnsi="Verdana" w:cs="Arial"/>
          <w:shd w:val="clear" w:color="auto" w:fill="FFFFFF"/>
          <w:lang w:val="es-ES"/>
        </w:rPr>
        <w:t xml:space="preserve"> </w:t>
      </w:r>
      <w:hyperlink r:id="rId13" w:history="1">
        <w:r w:rsidRPr="00F04F3B">
          <w:rPr>
            <w:rStyle w:val="Hipervnculo"/>
            <w:rFonts w:ascii="Verdana" w:hAnsi="Verdana"/>
            <w:lang w:val="es-ES"/>
          </w:rPr>
          <w:t>https://relatoria.colombiacompra.gov.co/busqueda/conceptos</w:t>
        </w:r>
      </w:hyperlink>
      <w:r w:rsidRPr="00F04F3B">
        <w:rPr>
          <w:rFonts w:ascii="Verdana" w:hAnsi="Verdana" w:cs="Arial"/>
          <w:shd w:val="clear" w:color="auto" w:fill="FFFFFF"/>
          <w:lang w:val="es-ES"/>
        </w:rPr>
        <w:t>.</w:t>
      </w:r>
      <w:r w:rsidRPr="00F04F3B">
        <w:rPr>
          <w:rFonts w:ascii="Verdana" w:hAnsi="Verdana" w:cs="Arial"/>
          <w:color w:val="FF0000"/>
          <w:shd w:val="clear" w:color="auto" w:fill="FFFFFF"/>
          <w:lang w:val="es-ES"/>
        </w:rPr>
        <w:t xml:space="preserve"> </w:t>
      </w:r>
      <w:r w:rsidRPr="00F04F3B">
        <w:rPr>
          <w:rFonts w:ascii="Verdana" w:hAnsi="Verdana" w:cs="Arial"/>
          <w:color w:val="000000" w:themeColor="text1"/>
          <w:shd w:val="clear" w:color="auto" w:fill="FFFFFF"/>
          <w:lang w:val="es-ES"/>
        </w:rPr>
        <w:t>  </w:t>
      </w:r>
    </w:p>
    <w:p w14:paraId="2392DC09" w14:textId="77777777" w:rsidR="004A0EC9" w:rsidRPr="00F04F3B" w:rsidRDefault="004A0EC9" w:rsidP="004A0EC9">
      <w:pPr>
        <w:spacing w:after="0" w:line="276" w:lineRule="auto"/>
        <w:jc w:val="both"/>
        <w:rPr>
          <w:rFonts w:ascii="Verdana" w:eastAsia="Calibri" w:hAnsi="Verdana" w:cs="Times New Roman"/>
          <w:b/>
          <w:bCs/>
          <w:lang w:val="es-ES"/>
        </w:rPr>
      </w:pPr>
    </w:p>
    <w:p w14:paraId="541004F5"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42673">
        <w:rPr>
          <w:rFonts w:ascii="Verdana" w:eastAsia="Times New Roman" w:hAnsi="Verdana" w:cs="Times New Roman"/>
          <w:b/>
          <w:bCs/>
          <w:color w:val="000000"/>
          <w:lang w:eastAsia="es-MX"/>
        </w:rPr>
        <w:t>Guía para la Exigencia y Constitución de Garantías en los Procesos de Contratación</w:t>
      </w:r>
      <w:r w:rsidRPr="00F42673">
        <w:rPr>
          <w:rFonts w:ascii="Verdana" w:eastAsia="Times New Roman" w:hAnsi="Verdana" w:cs="Times New Roman"/>
          <w:color w:val="000000"/>
          <w:lang w:eastAsia="es-MX"/>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Original URL:&#10;https://www.colombiacompra.gov.co/archivos/manual/guia-de-garantias-en-procesos-de-contratacion&#10;&#10;Click to follow link." w:history="1">
        <w:r w:rsidRPr="00F42673">
          <w:rPr>
            <w:rFonts w:ascii="Verdana" w:eastAsia="Times New Roman" w:hAnsi="Verdana" w:cs="Times New Roman"/>
            <w:color w:val="0086F0"/>
            <w:u w:val="single"/>
            <w:lang w:eastAsia="es-MX"/>
          </w:rPr>
          <w:t>https://www.colombiacompra.gov.co/archivos/manual/guia-de-garantias-en-procesos-de-contratacion</w:t>
        </w:r>
      </w:hyperlink>
    </w:p>
    <w:p w14:paraId="059B13FB"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p>
    <w:p w14:paraId="295A4A05"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De otro lado, te contamos que el Decreto 287 del 19 de marzo de 2026 sustituyó los artículos 2.2.1.2.4.2.6., 2.2.1.2.4.2.7. y 2.2.1.2.4.2.8. del Decreto 1082 de 2015 y estructuró el </w:t>
      </w:r>
      <w:r w:rsidRPr="00F42673">
        <w:rPr>
          <w:rFonts w:ascii="Verdana" w:eastAsia="Times New Roman" w:hAnsi="Verdana" w:cs="Times New Roman"/>
          <w:b/>
          <w:bCs/>
          <w:color w:val="000000"/>
          <w:lang w:eastAsia="es-MX"/>
        </w:rPr>
        <w:t>Sistema Integral de Preferencias en favor de las personas con discapacidad</w:t>
      </w:r>
      <w:r w:rsidRPr="00F42673">
        <w:rPr>
          <w:rFonts w:ascii="Verdana" w:eastAsia="Times New Roman" w:hAnsi="Verdana" w:cs="Times New Roman"/>
          <w:color w:val="000000"/>
          <w:lang w:eastAsia="es-MX"/>
        </w:rPr>
        <w:t>, en cumplimiento del artículo 13 de la Ley Estatutaria 1618 de 2013. Para orientar su aplicación, esta Agencia expidió la </w:t>
      </w:r>
      <w:r w:rsidRPr="00F42673">
        <w:rPr>
          <w:rFonts w:ascii="Verdana" w:eastAsia="Times New Roman" w:hAnsi="Verdana" w:cs="Times New Roman"/>
          <w:b/>
          <w:bCs/>
          <w:color w:val="000000"/>
          <w:lang w:eastAsia="es-MX"/>
        </w:rPr>
        <w:t>Circular Externa 003 del 12 de mayo de 2026, </w:t>
      </w:r>
      <w:r w:rsidRPr="00F42673">
        <w:rPr>
          <w:rFonts w:ascii="Verdana" w:eastAsia="Times New Roman" w:hAnsi="Verdana" w:cs="Times New Roman"/>
          <w:color w:val="000000"/>
          <w:lang w:eastAsia="es-MX"/>
        </w:rPr>
        <w:t>en la que precisa quiénes son los beneficiarios, las cinco medidas que integran el sistema y su obligatoriedad según la modalidad de selección, y el régimen de transición aplicable a los procesos en curso. Consúltala aquí: </w:t>
      </w:r>
      <w:hyperlink r:id="rId15" w:tooltip="Original URL:&#10;https://www.colombiacompra.gov.co/archivos/circular/circular-externa-003-de-2026&#10;&#10;Click to follow link." w:history="1">
        <w:r w:rsidRPr="00F42673">
          <w:rPr>
            <w:rFonts w:ascii="Verdana" w:eastAsia="Times New Roman" w:hAnsi="Verdana" w:cs="Times New Roman"/>
            <w:color w:val="0086F0"/>
            <w:u w:val="single"/>
            <w:lang w:eastAsia="es-MX"/>
          </w:rPr>
          <w:t>https://www.colombiacompra.gov.co/archivos/circular/circular-externa-003-de-2026</w:t>
        </w:r>
      </w:hyperlink>
    </w:p>
    <w:p w14:paraId="07D66063"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p>
    <w:p w14:paraId="463C5CC7"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r w:rsidRPr="00F42673">
        <w:rPr>
          <w:rFonts w:ascii="Verdana" w:eastAsia="Times New Roman" w:hAnsi="Verdana" w:cs="Times New Roman"/>
          <w:color w:val="000000"/>
          <w:lang w:eastAsia="es-MX"/>
        </w:rPr>
        <w:t>Recuerda también que la</w:t>
      </w:r>
      <w:r w:rsidRPr="00F42673">
        <w:rPr>
          <w:rFonts w:ascii="Verdana" w:eastAsia="Times New Roman" w:hAnsi="Verdana" w:cs="Times New Roman"/>
          <w:b/>
          <w:bCs/>
          <w:color w:val="000000"/>
          <w:lang w:eastAsia="es-MX"/>
        </w:rPr>
        <w:t> información sobre sanciones e inhabilidades </w:t>
      </w:r>
      <w:r w:rsidRPr="00F42673">
        <w:rPr>
          <w:rFonts w:ascii="Verdana" w:eastAsia="Times New Roman" w:hAnsi="Verdana" w:cs="Times New Roman"/>
          <w:color w:val="000000"/>
          <w:lang w:eastAsia="es-MX"/>
        </w:rPr>
        <w:t>solo cumple su función preventiva si llega oportunamente a los registros públicos. Sobre este deber, esta Agencia expidió la </w:t>
      </w:r>
      <w:r w:rsidRPr="00F42673">
        <w:rPr>
          <w:rFonts w:ascii="Verdana" w:eastAsia="Times New Roman" w:hAnsi="Verdana" w:cs="Times New Roman"/>
          <w:b/>
          <w:bCs/>
          <w:color w:val="000000"/>
          <w:lang w:eastAsia="es-MX"/>
        </w:rPr>
        <w:t xml:space="preserve">Circular Externa 002 del 5 de mayo de </w:t>
      </w:r>
      <w:proofErr w:type="gramStart"/>
      <w:r w:rsidRPr="00F42673">
        <w:rPr>
          <w:rFonts w:ascii="Verdana" w:eastAsia="Times New Roman" w:hAnsi="Verdana" w:cs="Times New Roman"/>
          <w:b/>
          <w:bCs/>
          <w:color w:val="000000"/>
          <w:lang w:eastAsia="es-MX"/>
        </w:rPr>
        <w:t>2026,</w:t>
      </w:r>
      <w:r w:rsidRPr="00F42673">
        <w:rPr>
          <w:rFonts w:ascii="Verdana" w:eastAsia="Times New Roman" w:hAnsi="Verdana" w:cs="Times New Roman"/>
          <w:color w:val="000000"/>
          <w:lang w:eastAsia="es-MX"/>
        </w:rPr>
        <w:t>dirigida</w:t>
      </w:r>
      <w:proofErr w:type="gramEnd"/>
      <w:r w:rsidRPr="00F42673">
        <w:rPr>
          <w:rFonts w:ascii="Verdana" w:eastAsia="Times New Roman" w:hAnsi="Verdana" w:cs="Times New Roman"/>
          <w:color w:val="000000"/>
          <w:lang w:eastAsia="es-MX"/>
        </w:rPr>
        <w:t xml:space="preserve">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Original URL:&#10;https://www.colombiacompra.gov.co/archivos/circular/circular-externa-002-de-2026&#10;&#10;Click to follow link." w:history="1">
        <w:r w:rsidRPr="00F42673">
          <w:rPr>
            <w:rFonts w:ascii="Verdana" w:eastAsia="Times New Roman" w:hAnsi="Verdana" w:cs="Times New Roman"/>
            <w:color w:val="0086F0"/>
            <w:u w:val="single"/>
            <w:lang w:eastAsia="es-MX"/>
          </w:rPr>
          <w:t>https://www.colombiacompra.gov.co/archivos/circular/circular-externa-002-de-2026</w:t>
        </w:r>
      </w:hyperlink>
    </w:p>
    <w:p w14:paraId="14C01B95" w14:textId="77777777" w:rsidR="004A0EC9" w:rsidRPr="00F42673" w:rsidRDefault="004A0EC9" w:rsidP="004A0EC9">
      <w:pPr>
        <w:spacing w:after="0" w:line="276" w:lineRule="auto"/>
        <w:jc w:val="both"/>
        <w:rPr>
          <w:rFonts w:ascii="Verdana" w:eastAsia="Times New Roman" w:hAnsi="Verdana" w:cs="Times New Roman"/>
          <w:color w:val="000000"/>
          <w:lang w:eastAsia="es-MX"/>
        </w:rPr>
      </w:pPr>
    </w:p>
    <w:p w14:paraId="28EEDC13" w14:textId="77777777" w:rsidR="004A0EC9" w:rsidRPr="00797CA8" w:rsidRDefault="004A0EC9" w:rsidP="004A0EC9">
      <w:pPr>
        <w:spacing w:after="0" w:line="276" w:lineRule="auto"/>
        <w:jc w:val="both"/>
        <w:rPr>
          <w:rFonts w:ascii="Aptos" w:eastAsia="Times New Roman" w:hAnsi="Aptos" w:cs="Times New Roman"/>
          <w:color w:val="000000"/>
          <w:lang w:eastAsia="es-MX"/>
        </w:rPr>
      </w:pPr>
      <w:r w:rsidRPr="00F42673">
        <w:rPr>
          <w:rFonts w:ascii="Verdana" w:eastAsia="Times New Roman" w:hAnsi="Verdana" w:cs="Times New Roman"/>
          <w:color w:val="000000"/>
          <w:lang w:eastAsia="es-MX"/>
        </w:rPr>
        <w:t>Finalmente, si quieres seguir de cerca la actividad de la Agencia, la tercera edición de 2026 del</w:t>
      </w:r>
      <w:r w:rsidRPr="00F42673">
        <w:rPr>
          <w:rFonts w:ascii="Verdana" w:eastAsia="Times New Roman" w:hAnsi="Verdana" w:cs="Times New Roman"/>
          <w:b/>
          <w:bCs/>
          <w:color w:val="000000"/>
          <w:lang w:eastAsia="es-MX"/>
        </w:rPr>
        <w:t> Radar de la Compra Pública</w:t>
      </w:r>
      <w:r w:rsidRPr="00F42673">
        <w:rPr>
          <w:rFonts w:ascii="Verdana" w:eastAsia="Times New Roman" w:hAnsi="Verdana" w:cs="Times New Roman"/>
          <w:color w:val="000000"/>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Original URL:&#10;https://www.colombiacompra.gov.co/archivos/boletin/boletin-edicion-n-3-de-2026-radar-de-la-compra-publica&#10;&#10;Click to follow link." w:history="1">
        <w:r w:rsidRPr="00F42673">
          <w:rPr>
            <w:rFonts w:ascii="Verdana" w:eastAsia="Times New Roman" w:hAnsi="Verdana" w:cs="Times New Roman"/>
            <w:color w:val="0086F0"/>
            <w:u w:val="single"/>
            <w:lang w:eastAsia="es-MX"/>
          </w:rPr>
          <w:t>https://www.colombiacompra.gov.co/archivos/boletin/boletin-edicion-n-3-de-2026-radar-de-la-compra-publica</w:t>
        </w:r>
      </w:hyperlink>
    </w:p>
    <w:p w14:paraId="6E7DA08A" w14:textId="77777777" w:rsidR="004A0EC9" w:rsidRDefault="004A0EC9" w:rsidP="004A0EC9">
      <w:pPr>
        <w:shd w:val="clear" w:color="auto" w:fill="FFFFFF"/>
        <w:spacing w:after="0" w:line="276" w:lineRule="auto"/>
        <w:jc w:val="both"/>
        <w:rPr>
          <w:rFonts w:ascii="Verdana" w:hAnsi="Verdana"/>
          <w:color w:val="000000"/>
          <w:u w:val="single"/>
        </w:rPr>
      </w:pPr>
    </w:p>
    <w:p w14:paraId="6484AD97" w14:textId="77777777" w:rsidR="004A0EC9" w:rsidRPr="00116940" w:rsidRDefault="004A0EC9" w:rsidP="004A0EC9">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1046394" w14:textId="77777777" w:rsidR="004A0EC9" w:rsidRPr="00116940" w:rsidRDefault="004A0EC9" w:rsidP="004A0EC9">
      <w:pPr>
        <w:spacing w:after="0"/>
        <w:jc w:val="both"/>
        <w:rPr>
          <w:rFonts w:ascii="Verdana" w:hAnsi="Verdana"/>
        </w:rPr>
      </w:pPr>
    </w:p>
    <w:p w14:paraId="306D09EC" w14:textId="77777777" w:rsidR="004A0EC9" w:rsidRPr="00116940" w:rsidRDefault="004A0EC9" w:rsidP="004A0EC9">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2225E73" w14:textId="77777777" w:rsidR="004A0EC9" w:rsidRPr="00116940" w:rsidRDefault="004A0EC9" w:rsidP="004A0EC9">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5B8E5910" w14:textId="77777777" w:rsidR="004A0EC9" w:rsidRPr="00116940" w:rsidRDefault="004A0EC9" w:rsidP="004A0EC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7EFB9B3E" w14:textId="77777777" w:rsidR="004A0EC9" w:rsidRPr="00116940" w:rsidRDefault="004A0EC9" w:rsidP="004A0EC9">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157F90F6" w14:textId="77777777" w:rsidR="004A0EC9" w:rsidRPr="00116940" w:rsidRDefault="004A0EC9" w:rsidP="004A0EC9">
      <w:pPr>
        <w:spacing w:after="0" w:line="240" w:lineRule="auto"/>
        <w:ind w:left="720"/>
        <w:jc w:val="both"/>
        <w:rPr>
          <w:rFonts w:ascii="Verdana" w:hAnsi="Verdana"/>
        </w:rPr>
      </w:pPr>
    </w:p>
    <w:p w14:paraId="59E8F586" w14:textId="77777777" w:rsidR="004A0EC9" w:rsidRPr="00116940" w:rsidRDefault="004A0EC9" w:rsidP="004A0EC9">
      <w:pPr>
        <w:spacing w:after="0" w:line="240" w:lineRule="auto"/>
        <w:rPr>
          <w:rFonts w:ascii="Verdana" w:hAnsi="Verdana"/>
        </w:rPr>
      </w:pPr>
      <w:r w:rsidRPr="00116940">
        <w:rPr>
          <w:rFonts w:ascii="Verdana" w:hAnsi="Verdana"/>
        </w:rPr>
        <w:lastRenderedPageBreak/>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91FEC72" w14:textId="77777777" w:rsidR="004A0EC9" w:rsidRPr="00116940" w:rsidRDefault="004A0EC9" w:rsidP="004A0EC9">
      <w:pPr>
        <w:spacing w:after="0" w:line="240" w:lineRule="auto"/>
        <w:rPr>
          <w:rFonts w:ascii="Verdana" w:hAnsi="Verdana"/>
        </w:rPr>
      </w:pPr>
    </w:p>
    <w:p w14:paraId="38BEB84B" w14:textId="77777777" w:rsidR="004A0EC9" w:rsidRPr="00116940" w:rsidRDefault="004A0EC9" w:rsidP="004A0EC9">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07B0D7C9" w14:textId="77777777" w:rsidR="004A0EC9" w:rsidRPr="00116940" w:rsidRDefault="004A0EC9" w:rsidP="004A0EC9">
      <w:pPr>
        <w:spacing w:after="0" w:line="240" w:lineRule="auto"/>
        <w:jc w:val="both"/>
        <w:rPr>
          <w:rFonts w:ascii="Verdana" w:hAnsi="Verdana"/>
        </w:rPr>
      </w:pPr>
    </w:p>
    <w:p w14:paraId="2652F8E3" w14:textId="77777777" w:rsidR="004A0EC9" w:rsidRPr="00116940" w:rsidRDefault="004A0EC9" w:rsidP="004A0EC9">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5822DF26" w14:textId="77777777" w:rsidR="004A0EC9" w:rsidRPr="00116940" w:rsidRDefault="004A0EC9" w:rsidP="004A0EC9">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4CD7A7F8" w14:textId="77777777" w:rsidR="004A0EC9" w:rsidRPr="00116940" w:rsidRDefault="004A0EC9" w:rsidP="004A0EC9">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853B5E8" w14:textId="77777777" w:rsidR="004A0EC9" w:rsidRPr="009C4035" w:rsidRDefault="004A0EC9" w:rsidP="004A0EC9">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0E762C79" w14:textId="77777777" w:rsidR="004A0EC9" w:rsidRPr="00593A5F" w:rsidRDefault="004A0EC9" w:rsidP="004A0EC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694D15B" w14:textId="77777777" w:rsidR="004A0EC9" w:rsidRPr="00593A5F" w:rsidRDefault="004A0EC9" w:rsidP="004A0EC9">
      <w:pPr>
        <w:widowControl w:val="0"/>
        <w:autoSpaceDE w:val="0"/>
        <w:autoSpaceDN w:val="0"/>
        <w:spacing w:after="0" w:line="276" w:lineRule="auto"/>
        <w:jc w:val="both"/>
        <w:rPr>
          <w:rFonts w:ascii="Verdana" w:hAnsi="Verdana" w:cs="Arial"/>
        </w:rPr>
      </w:pPr>
    </w:p>
    <w:p w14:paraId="3DD68623" w14:textId="754605C4" w:rsidR="004A0EC9" w:rsidRPr="007E6ECB" w:rsidRDefault="004A0EC9" w:rsidP="007E6EC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23ED871" w14:textId="1A465DCF" w:rsidR="007E6ECB" w:rsidRPr="002F7DE0" w:rsidRDefault="007E6ECB" w:rsidP="004A0EC9">
      <w:pPr>
        <w:spacing w:line="276" w:lineRule="auto"/>
        <w:jc w:val="center"/>
        <w:rPr>
          <w:rFonts w:ascii="Verdana" w:hAnsi="Verdana" w:cs="Arial"/>
          <w:color w:val="000000"/>
          <w:lang w:eastAsia="es-CO"/>
        </w:rPr>
      </w:pPr>
      <w:r>
        <w:rPr>
          <w:noProof/>
        </w:rPr>
        <w:drawing>
          <wp:inline distT="0" distB="0" distL="0" distR="0" wp14:anchorId="18898EF1" wp14:editId="703D64A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0EC9" w:rsidRPr="002F7DE0" w14:paraId="621BEBEE" w14:textId="77777777" w:rsidTr="00B72C0D">
        <w:trPr>
          <w:trHeight w:val="315"/>
        </w:trPr>
        <w:tc>
          <w:tcPr>
            <w:tcW w:w="893" w:type="dxa"/>
            <w:vAlign w:val="center"/>
            <w:hideMark/>
          </w:tcPr>
          <w:p w14:paraId="69E4BA90" w14:textId="77777777" w:rsidR="004A0EC9" w:rsidRPr="002F7DE0" w:rsidRDefault="004A0EC9" w:rsidP="00B72C0D">
            <w:pPr>
              <w:contextualSpacing/>
              <w:rPr>
                <w:rFonts w:ascii="Verdana" w:hAnsi="Verdana" w:cs="Arial"/>
                <w:sz w:val="16"/>
                <w:szCs w:val="16"/>
                <w:lang w:val="es-ES" w:eastAsia="es-ES"/>
              </w:rPr>
            </w:pPr>
            <w:r w:rsidRPr="002F7DE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6D61BF4" w14:textId="77777777" w:rsidR="004A0EC9" w:rsidRPr="002F7DE0" w:rsidRDefault="004A0EC9" w:rsidP="00B72C0D">
            <w:pPr>
              <w:contextualSpacing/>
              <w:rPr>
                <w:rFonts w:ascii="Verdana" w:hAnsi="Verdana"/>
                <w:sz w:val="16"/>
                <w:szCs w:val="16"/>
              </w:rPr>
            </w:pPr>
            <w:r w:rsidRPr="002F7DE0">
              <w:rPr>
                <w:rFonts w:ascii="Verdana" w:hAnsi="Verdana"/>
                <w:sz w:val="16"/>
                <w:szCs w:val="16"/>
              </w:rPr>
              <w:t>Tatiana Baquero Iguarán</w:t>
            </w:r>
          </w:p>
          <w:p w14:paraId="5EFB19DC" w14:textId="77777777" w:rsidR="004A0EC9" w:rsidRPr="002F7DE0" w:rsidRDefault="004A0EC9" w:rsidP="00B72C0D">
            <w:pPr>
              <w:contextualSpacing/>
              <w:rPr>
                <w:rFonts w:ascii="Verdana" w:eastAsia="Arial" w:hAnsi="Verdana" w:cs="Arial"/>
                <w:sz w:val="16"/>
                <w:szCs w:val="16"/>
              </w:rPr>
            </w:pPr>
            <w:r w:rsidRPr="002F7DE0">
              <w:rPr>
                <w:rFonts w:ascii="Verdana" w:hAnsi="Verdana"/>
                <w:sz w:val="16"/>
                <w:szCs w:val="16"/>
              </w:rPr>
              <w:t>Contratista de la Subdirección de Gestión Contractual</w:t>
            </w:r>
          </w:p>
        </w:tc>
      </w:tr>
      <w:tr w:rsidR="004A0EC9" w:rsidRPr="002F7DE0" w14:paraId="3E2E355C" w14:textId="77777777" w:rsidTr="00B72C0D">
        <w:trPr>
          <w:trHeight w:val="330"/>
        </w:trPr>
        <w:tc>
          <w:tcPr>
            <w:tcW w:w="893" w:type="dxa"/>
            <w:vAlign w:val="center"/>
            <w:hideMark/>
          </w:tcPr>
          <w:p w14:paraId="6436EF96" w14:textId="77777777" w:rsidR="004A0EC9" w:rsidRPr="002F7DE0" w:rsidRDefault="004A0EC9" w:rsidP="00B72C0D">
            <w:pPr>
              <w:contextualSpacing/>
              <w:rPr>
                <w:rFonts w:ascii="Verdana" w:hAnsi="Verdana" w:cs="Arial"/>
                <w:sz w:val="16"/>
                <w:szCs w:val="16"/>
                <w:lang w:val="es-ES" w:eastAsia="es-ES"/>
              </w:rPr>
            </w:pPr>
            <w:r w:rsidRPr="002F7DE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A923D70" w14:textId="77777777" w:rsidR="004A0EC9" w:rsidRPr="002F7DE0" w:rsidRDefault="004A0EC9" w:rsidP="00B72C0D">
            <w:pPr>
              <w:spacing w:before="100" w:beforeAutospacing="1" w:afterAutospacing="1"/>
              <w:contextualSpacing/>
              <w:textAlignment w:val="baseline"/>
              <w:rPr>
                <w:rFonts w:ascii="Verdana" w:eastAsia="Times New Roman" w:hAnsi="Verdana" w:cs="Arial"/>
                <w:sz w:val="16"/>
                <w:szCs w:val="16"/>
                <w:lang w:val="es-ES" w:eastAsia="es-ES_tradnl"/>
              </w:rPr>
            </w:pPr>
            <w:r w:rsidRPr="002F7DE0">
              <w:rPr>
                <w:rFonts w:ascii="Verdana" w:eastAsia="Times New Roman" w:hAnsi="Verdana" w:cs="Arial"/>
                <w:sz w:val="16"/>
                <w:szCs w:val="16"/>
                <w:lang w:val="es-ES" w:eastAsia="es-ES_tradnl"/>
              </w:rPr>
              <w:t>Alejandro Sarmiento Cantillo</w:t>
            </w:r>
          </w:p>
          <w:p w14:paraId="474BB366" w14:textId="77777777" w:rsidR="004A0EC9" w:rsidRPr="002F7DE0" w:rsidRDefault="004A0EC9" w:rsidP="00B72C0D">
            <w:pPr>
              <w:contextualSpacing/>
              <w:textAlignment w:val="baseline"/>
              <w:rPr>
                <w:rFonts w:ascii="Verdana" w:eastAsia="Times New Roman" w:hAnsi="Verdana" w:cs="Segoe UI"/>
                <w:sz w:val="16"/>
                <w:szCs w:val="16"/>
                <w:lang w:eastAsia="es-ES_tradnl"/>
              </w:rPr>
            </w:pPr>
            <w:r w:rsidRPr="002F7DE0">
              <w:rPr>
                <w:rFonts w:ascii="Verdana" w:eastAsia="Times New Roman" w:hAnsi="Verdana" w:cs="Arial"/>
                <w:sz w:val="16"/>
                <w:szCs w:val="16"/>
                <w:lang w:val="es-ES" w:eastAsia="es-ES_tradnl"/>
              </w:rPr>
              <w:t>Gestor T1 ‒ 15 de la Subdirección de Gestión Contractual</w:t>
            </w:r>
            <w:r w:rsidRPr="002F7DE0">
              <w:rPr>
                <w:rFonts w:ascii="Verdana" w:eastAsia="Times New Roman" w:hAnsi="Verdana" w:cs="Arial"/>
                <w:sz w:val="16"/>
                <w:szCs w:val="16"/>
                <w:lang w:eastAsia="es-ES_tradnl"/>
              </w:rPr>
              <w:t> </w:t>
            </w:r>
          </w:p>
        </w:tc>
      </w:tr>
      <w:tr w:rsidR="004A0EC9" w:rsidRPr="002F7DE0" w14:paraId="14205D1D" w14:textId="77777777" w:rsidTr="00B72C0D">
        <w:trPr>
          <w:trHeight w:val="300"/>
        </w:trPr>
        <w:tc>
          <w:tcPr>
            <w:tcW w:w="893" w:type="dxa"/>
            <w:vAlign w:val="center"/>
          </w:tcPr>
          <w:p w14:paraId="0DC1D414" w14:textId="77777777" w:rsidR="004A0EC9" w:rsidRPr="002F7DE0" w:rsidRDefault="004A0EC9" w:rsidP="00B72C0D">
            <w:pPr>
              <w:contextualSpacing/>
              <w:rPr>
                <w:rFonts w:ascii="Verdana" w:hAnsi="Verdana" w:cs="Arial"/>
                <w:sz w:val="16"/>
                <w:szCs w:val="16"/>
                <w:lang w:val="es-ES" w:eastAsia="es-ES"/>
              </w:rPr>
            </w:pPr>
            <w:r w:rsidRPr="002F7DE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F1CBF2" w14:textId="77777777" w:rsidR="004A0EC9" w:rsidRPr="002F7DE0" w:rsidRDefault="004A0EC9" w:rsidP="00B72C0D">
            <w:pPr>
              <w:contextualSpacing/>
              <w:rPr>
                <w:rFonts w:ascii="Verdana" w:eastAsia="Calibri" w:hAnsi="Verdana" w:cs="Arial"/>
                <w:sz w:val="16"/>
                <w:szCs w:val="16"/>
                <w:lang w:val="pt-BR" w:eastAsia="es-ES"/>
              </w:rPr>
            </w:pPr>
            <w:r w:rsidRPr="002F7DE0">
              <w:rPr>
                <w:rFonts w:ascii="Verdana" w:eastAsia="Calibri" w:hAnsi="Verdana" w:cs="Arial"/>
                <w:sz w:val="16"/>
                <w:szCs w:val="16"/>
                <w:lang w:val="pt-BR" w:eastAsia="es-ES"/>
              </w:rPr>
              <w:t xml:space="preserve">Carolina Quintero </w:t>
            </w:r>
            <w:proofErr w:type="spellStart"/>
            <w:r w:rsidRPr="002F7DE0">
              <w:rPr>
                <w:rFonts w:ascii="Verdana" w:eastAsia="Calibri" w:hAnsi="Verdana" w:cs="Arial"/>
                <w:sz w:val="16"/>
                <w:szCs w:val="16"/>
                <w:lang w:val="pt-BR" w:eastAsia="es-ES"/>
              </w:rPr>
              <w:t>Gacharná</w:t>
            </w:r>
            <w:proofErr w:type="spellEnd"/>
          </w:p>
          <w:p w14:paraId="5A29E418" w14:textId="77777777" w:rsidR="004A0EC9" w:rsidRPr="002F7DE0" w:rsidRDefault="004A0EC9" w:rsidP="00B72C0D">
            <w:pPr>
              <w:contextualSpacing/>
              <w:rPr>
                <w:rFonts w:ascii="Verdana" w:eastAsia="Calibri" w:hAnsi="Verdana" w:cs="Arial"/>
                <w:sz w:val="16"/>
                <w:szCs w:val="16"/>
                <w:lang w:val="pt-BR" w:eastAsia="es-ES"/>
              </w:rPr>
            </w:pPr>
            <w:r w:rsidRPr="002F7DE0">
              <w:rPr>
                <w:rFonts w:ascii="Verdana" w:eastAsia="Calibri" w:hAnsi="Verdana" w:cs="Arial"/>
                <w:sz w:val="16"/>
                <w:szCs w:val="16"/>
                <w:lang w:eastAsia="es-ES"/>
              </w:rPr>
              <w:t>Subdirectora</w:t>
            </w:r>
            <w:r w:rsidRPr="002F7DE0">
              <w:rPr>
                <w:rFonts w:ascii="Verdana" w:eastAsia="Calibri" w:hAnsi="Verdana" w:cs="Arial"/>
                <w:sz w:val="16"/>
                <w:szCs w:val="16"/>
                <w:lang w:val="pt-BR" w:eastAsia="es-ES"/>
              </w:rPr>
              <w:t xml:space="preserve"> de Gestión </w:t>
            </w:r>
            <w:proofErr w:type="spellStart"/>
            <w:r w:rsidRPr="002F7DE0">
              <w:rPr>
                <w:rFonts w:ascii="Verdana" w:eastAsia="Calibri" w:hAnsi="Verdana" w:cs="Arial"/>
                <w:sz w:val="16"/>
                <w:szCs w:val="16"/>
                <w:lang w:val="pt-BR" w:eastAsia="es-ES"/>
              </w:rPr>
              <w:t>Contractual</w:t>
            </w:r>
            <w:proofErr w:type="spellEnd"/>
            <w:r w:rsidRPr="002F7DE0">
              <w:rPr>
                <w:rFonts w:ascii="Verdana" w:eastAsia="Calibri" w:hAnsi="Verdana" w:cs="Arial"/>
                <w:sz w:val="16"/>
                <w:szCs w:val="16"/>
                <w:lang w:val="pt-BR" w:eastAsia="es-ES"/>
              </w:rPr>
              <w:t xml:space="preserve"> ANCP – CCE</w:t>
            </w:r>
          </w:p>
        </w:tc>
      </w:tr>
    </w:tbl>
    <w:p w14:paraId="38A0E6B2" w14:textId="77777777" w:rsidR="004A0EC9" w:rsidRPr="002F7DE0" w:rsidRDefault="004A0EC9" w:rsidP="004A0EC9">
      <w:pPr>
        <w:spacing w:after="0" w:line="240" w:lineRule="auto"/>
        <w:jc w:val="both"/>
        <w:textAlignment w:val="baseline"/>
        <w:rPr>
          <w:rFonts w:ascii="Verdana" w:eastAsia="Verdana" w:hAnsi="Verdana" w:cs="Verdana"/>
          <w:lang w:eastAsia="es-CO"/>
        </w:rPr>
      </w:pPr>
    </w:p>
    <w:p w14:paraId="0FBF073E" w14:textId="77777777" w:rsidR="004A0EC9" w:rsidRPr="002F7DE0" w:rsidRDefault="004A0EC9" w:rsidP="004A0EC9">
      <w:pPr>
        <w:spacing w:after="0" w:line="240" w:lineRule="auto"/>
        <w:jc w:val="both"/>
        <w:textAlignment w:val="baseline"/>
        <w:rPr>
          <w:rFonts w:ascii="Verdana" w:eastAsia="Verdana" w:hAnsi="Verdana" w:cs="Verdana"/>
          <w:lang w:eastAsia="es-CO"/>
        </w:rPr>
      </w:pPr>
    </w:p>
    <w:p w14:paraId="2E85A16D" w14:textId="057DC02B" w:rsidR="004A0EC9" w:rsidRPr="003A69E3" w:rsidRDefault="004A0EC9" w:rsidP="004A0EC9">
      <w:pPr>
        <w:spacing w:after="0" w:line="240" w:lineRule="auto"/>
        <w:textAlignment w:val="baseline"/>
        <w:rPr>
          <w:rFonts w:ascii="Verdana" w:eastAsia="Verdana" w:hAnsi="Verdana" w:cs="Verdana"/>
          <w:lang w:eastAsia="es-CO"/>
        </w:rPr>
      </w:pPr>
      <w:r w:rsidRPr="002F7DE0">
        <w:rPr>
          <w:rFonts w:ascii="Verdana" w:eastAsia="Verdana" w:hAnsi="Verdana" w:cs="Verdana"/>
          <w:lang w:eastAsia="es-CO"/>
        </w:rPr>
        <w:t> </w:t>
      </w:r>
    </w:p>
    <w:p w14:paraId="578EAC83" w14:textId="77777777" w:rsidR="004A0EC9" w:rsidRPr="003A69E3" w:rsidRDefault="004A0EC9" w:rsidP="004A0EC9"/>
    <w:p w14:paraId="177CF63C" w14:textId="77777777" w:rsidR="004A0EC9" w:rsidRPr="0078491E" w:rsidRDefault="004A0EC9" w:rsidP="004A0EC9"/>
    <w:p w14:paraId="0F293BF4" w14:textId="6A8EE8F0" w:rsidR="00127233" w:rsidRPr="005E3919" w:rsidRDefault="00127233" w:rsidP="005E3919"/>
    <w:sectPr w:rsidR="00127233" w:rsidRPr="005E3919"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67522" w14:textId="77777777" w:rsidR="009A2176" w:rsidRDefault="009A2176" w:rsidP="004A1847">
      <w:pPr>
        <w:spacing w:after="0" w:line="240" w:lineRule="auto"/>
      </w:pPr>
      <w:r>
        <w:separator/>
      </w:r>
    </w:p>
  </w:endnote>
  <w:endnote w:type="continuationSeparator" w:id="0">
    <w:p w14:paraId="4CF5CD5F" w14:textId="77777777" w:rsidR="009A2176" w:rsidRDefault="009A2176" w:rsidP="004A1847">
      <w:pPr>
        <w:spacing w:after="0" w:line="240" w:lineRule="auto"/>
      </w:pPr>
      <w:r>
        <w:continuationSeparator/>
      </w:r>
    </w:p>
  </w:endnote>
  <w:endnote w:type="continuationNotice" w:id="1">
    <w:p w14:paraId="51446499" w14:textId="77777777" w:rsidR="009A2176" w:rsidRDefault="009A21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8E2CA" w14:textId="77777777" w:rsidR="009A2176" w:rsidRDefault="009A2176" w:rsidP="004A1847">
      <w:pPr>
        <w:spacing w:after="0" w:line="240" w:lineRule="auto"/>
      </w:pPr>
      <w:r>
        <w:separator/>
      </w:r>
    </w:p>
  </w:footnote>
  <w:footnote w:type="continuationSeparator" w:id="0">
    <w:p w14:paraId="5366F037" w14:textId="77777777" w:rsidR="009A2176" w:rsidRDefault="009A2176" w:rsidP="004A1847">
      <w:pPr>
        <w:spacing w:after="0" w:line="240" w:lineRule="auto"/>
      </w:pPr>
      <w:r>
        <w:continuationSeparator/>
      </w:r>
    </w:p>
  </w:footnote>
  <w:footnote w:type="continuationNotice" w:id="1">
    <w:p w14:paraId="1E649369" w14:textId="77777777" w:rsidR="009A2176" w:rsidRDefault="009A2176">
      <w:pPr>
        <w:spacing w:after="0" w:line="240" w:lineRule="auto"/>
      </w:pPr>
    </w:p>
  </w:footnote>
  <w:footnote w:id="2">
    <w:p w14:paraId="7B909CBB" w14:textId="77777777" w:rsidR="004A0EC9" w:rsidRPr="00774309" w:rsidRDefault="004A0EC9" w:rsidP="004A0EC9">
      <w:pPr>
        <w:pStyle w:val="Textonotapie"/>
        <w:snapToGrid w:val="0"/>
        <w:ind w:firstLine="708"/>
        <w:jc w:val="both"/>
        <w:rPr>
          <w:rFonts w:ascii="Verdana" w:hAnsi="Verdana" w:cs="Arial"/>
          <w:color w:val="000000" w:themeColor="text1"/>
          <w:sz w:val="16"/>
          <w:szCs w:val="16"/>
        </w:rPr>
      </w:pPr>
      <w:r w:rsidRPr="00774309">
        <w:rPr>
          <w:rStyle w:val="Refdenotaalpie"/>
          <w:rFonts w:ascii="Verdana" w:hAnsi="Verdana" w:cs="Arial"/>
          <w:color w:val="000000" w:themeColor="text1"/>
          <w:sz w:val="16"/>
          <w:szCs w:val="16"/>
        </w:rPr>
        <w:footnoteRef/>
      </w:r>
      <w:r w:rsidRPr="00774309">
        <w:rPr>
          <w:rFonts w:ascii="Verdana" w:hAnsi="Verdana" w:cs="Arial"/>
          <w:color w:val="000000" w:themeColor="text1"/>
          <w:sz w:val="16"/>
          <w:szCs w:val="16"/>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75D9B3B5" w14:textId="77777777" w:rsidR="004A0EC9" w:rsidRPr="00774309" w:rsidRDefault="004A0EC9" w:rsidP="004A0EC9">
      <w:pPr>
        <w:pStyle w:val="Textonotapie"/>
        <w:snapToGrid w:val="0"/>
        <w:ind w:firstLine="708"/>
        <w:jc w:val="both"/>
        <w:rPr>
          <w:rFonts w:ascii="Verdana" w:hAnsi="Verdana" w:cs="Arial"/>
          <w:color w:val="000000" w:themeColor="text1"/>
          <w:sz w:val="16"/>
          <w:szCs w:val="16"/>
          <w:lang w:val="es-CO"/>
        </w:rPr>
      </w:pPr>
    </w:p>
  </w:footnote>
  <w:footnote w:id="3">
    <w:p w14:paraId="3BD02EC0" w14:textId="77777777" w:rsidR="004A0EC9" w:rsidRPr="00774309" w:rsidRDefault="004A0EC9" w:rsidP="004A0EC9">
      <w:pPr>
        <w:pStyle w:val="Textonotapie"/>
        <w:snapToGrid w:val="0"/>
        <w:ind w:firstLine="708"/>
        <w:jc w:val="both"/>
        <w:rPr>
          <w:rFonts w:ascii="Verdana" w:hAnsi="Verdana"/>
          <w:color w:val="000000" w:themeColor="text1"/>
          <w:sz w:val="16"/>
          <w:szCs w:val="16"/>
        </w:rPr>
      </w:pPr>
      <w:r w:rsidRPr="00774309">
        <w:rPr>
          <w:rStyle w:val="Refdenotaalpie"/>
          <w:rFonts w:ascii="Verdana" w:hAnsi="Verdana"/>
          <w:color w:val="000000" w:themeColor="text1"/>
          <w:sz w:val="16"/>
          <w:szCs w:val="16"/>
        </w:rPr>
        <w:footnoteRef/>
      </w:r>
      <w:r w:rsidRPr="00774309">
        <w:rPr>
          <w:rFonts w:ascii="Verdana" w:hAnsi="Verdana"/>
          <w:color w:val="000000" w:themeColor="text1"/>
          <w:sz w:val="16"/>
          <w:szCs w:val="16"/>
        </w:rPr>
        <w:t xml:space="preserve"> Agencia Nacional de Contratación Pública. Concepto C-466 de 23 de septiembre de 2024. Radicado de salida No. </w:t>
      </w:r>
      <w:r w:rsidRPr="00774309">
        <w:rPr>
          <w:rFonts w:ascii="Verdana" w:hAnsi="Verdana"/>
          <w:color w:val="000000" w:themeColor="text1"/>
          <w:sz w:val="16"/>
          <w:szCs w:val="16"/>
          <w:lang w:val="es-CO"/>
        </w:rPr>
        <w:t xml:space="preserve">RS20240923013372. Disponible en: </w:t>
      </w:r>
      <w:hyperlink r:id="rId1" w:history="1">
        <w:r w:rsidRPr="00774309">
          <w:rPr>
            <w:rStyle w:val="Hipervnculo"/>
            <w:rFonts w:ascii="Verdana" w:hAnsi="Verdana"/>
            <w:color w:val="000000" w:themeColor="text1"/>
            <w:sz w:val="16"/>
            <w:szCs w:val="16"/>
          </w:rPr>
          <w:t>https://relatoria.colombiacompra.gov.co/conceptos/c-466-de-2024/</w:t>
        </w:r>
      </w:hyperlink>
      <w:r w:rsidRPr="00774309">
        <w:rPr>
          <w:rFonts w:ascii="Verdana" w:hAnsi="Verdana"/>
          <w:color w:val="000000" w:themeColor="text1"/>
          <w:sz w:val="16"/>
          <w:szCs w:val="16"/>
        </w:rPr>
        <w:t xml:space="preserve"> </w:t>
      </w:r>
    </w:p>
  </w:footnote>
  <w:footnote w:id="4">
    <w:p w14:paraId="3C9E494D" w14:textId="77777777" w:rsidR="004A0EC9" w:rsidRPr="00774309" w:rsidRDefault="004A0EC9" w:rsidP="004A0EC9">
      <w:pPr>
        <w:pStyle w:val="Textonotapie"/>
        <w:snapToGrid w:val="0"/>
        <w:ind w:firstLine="708"/>
        <w:jc w:val="both"/>
        <w:rPr>
          <w:rFonts w:ascii="Verdana" w:hAnsi="Verdana"/>
          <w:color w:val="000000" w:themeColor="text1"/>
          <w:sz w:val="16"/>
          <w:szCs w:val="16"/>
          <w:lang w:val="es-CO"/>
        </w:rPr>
      </w:pPr>
      <w:r w:rsidRPr="00774309">
        <w:rPr>
          <w:rStyle w:val="Refdenotaalpie"/>
          <w:rFonts w:ascii="Verdana" w:hAnsi="Verdana"/>
          <w:color w:val="000000" w:themeColor="text1"/>
          <w:sz w:val="16"/>
          <w:szCs w:val="16"/>
        </w:rPr>
        <w:footnoteRef/>
      </w:r>
      <w:r w:rsidRPr="00774309">
        <w:rPr>
          <w:rFonts w:ascii="Verdana" w:hAnsi="Verdana"/>
          <w:color w:val="000000" w:themeColor="text1"/>
          <w:sz w:val="16"/>
          <w:szCs w:val="16"/>
        </w:rPr>
        <w:t xml:space="preserve"> CONSEJO DE ESTADO, Sección Tercera, Subsección A, Sentencia del 22 de agosto de 2023. Exp. No. 58634. </w:t>
      </w:r>
      <w:r w:rsidRPr="00774309">
        <w:rPr>
          <w:rFonts w:ascii="Verdana" w:hAnsi="Verdana"/>
          <w:color w:val="000000" w:themeColor="text1"/>
          <w:sz w:val="16"/>
          <w:szCs w:val="16"/>
          <w:lang w:val="es-CO"/>
        </w:rPr>
        <w:t>Consejero ponente: María Adriana Marín; Subsección C. Sentencia del 19 de septiembre de 2022. Exp. No. 54714. Consejero ponente: Jaime Enrique Rodríguez Navas;</w:t>
      </w:r>
      <w:r w:rsidRPr="00774309">
        <w:rPr>
          <w:rFonts w:ascii="Verdana" w:hAnsi="Verdana"/>
          <w:color w:val="000000" w:themeColor="text1"/>
          <w:sz w:val="16"/>
          <w:szCs w:val="16"/>
        </w:rPr>
        <w:t xml:space="preserve"> Subsección C</w:t>
      </w:r>
      <w:bookmarkStart w:id="0" w:name="_Hlk176969946"/>
      <w:r w:rsidRPr="00774309">
        <w:rPr>
          <w:rFonts w:ascii="Verdana" w:hAnsi="Verdana"/>
          <w:color w:val="000000" w:themeColor="text1"/>
          <w:sz w:val="16"/>
          <w:szCs w:val="16"/>
        </w:rPr>
        <w:t>, Sentencia del 24 de abril de 2024</w:t>
      </w:r>
      <w:bookmarkEnd w:id="0"/>
      <w:r w:rsidRPr="00774309">
        <w:rPr>
          <w:rFonts w:ascii="Verdana" w:hAnsi="Verdana"/>
          <w:color w:val="000000" w:themeColor="text1"/>
          <w:sz w:val="16"/>
          <w:szCs w:val="16"/>
        </w:rPr>
        <w:t xml:space="preserve">. Exp. No. 67095. </w:t>
      </w:r>
      <w:r w:rsidRPr="00774309">
        <w:rPr>
          <w:rFonts w:ascii="Verdana" w:hAnsi="Verdana"/>
          <w:color w:val="000000" w:themeColor="text1"/>
          <w:sz w:val="16"/>
          <w:szCs w:val="16"/>
          <w:lang w:val="es-CO"/>
        </w:rPr>
        <w:t>Consejero ponente: Nicolás Yepes Corrales.</w:t>
      </w:r>
      <w:r w:rsidRPr="00774309">
        <w:rPr>
          <w:rFonts w:ascii="Verdana" w:hAnsi="Verdana"/>
          <w:color w:val="000000" w:themeColor="text1"/>
          <w:sz w:val="16"/>
          <w:szCs w:val="16"/>
        </w:rPr>
        <w:t xml:space="preserve"> </w:t>
      </w:r>
    </w:p>
  </w:footnote>
  <w:footnote w:id="5">
    <w:p w14:paraId="1F6EE8BD" w14:textId="77777777" w:rsidR="004A0EC9" w:rsidRPr="00774309" w:rsidRDefault="004A0EC9" w:rsidP="004A0EC9">
      <w:pPr>
        <w:pStyle w:val="Textonotapie"/>
        <w:snapToGrid w:val="0"/>
        <w:spacing w:before="120" w:after="120"/>
        <w:ind w:firstLine="709"/>
        <w:jc w:val="both"/>
        <w:rPr>
          <w:rFonts w:ascii="Verdana" w:hAnsi="Verdana" w:cs="Arial"/>
          <w:color w:val="000000" w:themeColor="text1"/>
          <w:sz w:val="16"/>
          <w:szCs w:val="16"/>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color w:val="000000" w:themeColor="text1"/>
          <w:sz w:val="16"/>
          <w:szCs w:val="16"/>
        </w:rPr>
        <w:t xml:space="preserve">Consejo de Estado. Sentencia del 28 de junio de 2012. Rad. Nro. 21990. C.P: Ruth Stella Correa Palacio. </w:t>
      </w:r>
    </w:p>
  </w:footnote>
  <w:footnote w:id="6">
    <w:p w14:paraId="7CE3655C" w14:textId="77777777" w:rsidR="004A0EC9" w:rsidRPr="00774309" w:rsidRDefault="004A0EC9" w:rsidP="004A0EC9">
      <w:pPr>
        <w:pStyle w:val="Textonotapie"/>
        <w:snapToGrid w:val="0"/>
        <w:spacing w:before="120" w:after="120"/>
        <w:ind w:firstLine="709"/>
        <w:jc w:val="both"/>
        <w:rPr>
          <w:rFonts w:ascii="Verdana" w:hAnsi="Verdana" w:cs="Arial"/>
          <w:iCs/>
          <w:sz w:val="16"/>
          <w:szCs w:val="16"/>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iCs/>
          <w:sz w:val="16"/>
          <w:szCs w:val="16"/>
          <w:lang w:val="es-CO"/>
        </w:rPr>
        <w:t xml:space="preserve">IBAÑEZ NAJAR, Jorge Enrique. </w:t>
      </w:r>
      <w:r w:rsidRPr="00774309">
        <w:rPr>
          <w:rFonts w:ascii="Verdana" w:hAnsi="Verdana" w:cs="Arial"/>
          <w:iCs/>
          <w:sz w:val="16"/>
          <w:szCs w:val="16"/>
        </w:rPr>
        <w:t xml:space="preserve">La conmutatividad del contrato estatal y su equilibrio económico y financiero. La obligación de conservarlo, su ruptura y la obligación de restablecerlo según la ley </w:t>
      </w:r>
      <w:r w:rsidRPr="00774309">
        <w:rPr>
          <w:rFonts w:ascii="Verdana" w:hAnsi="Verdana" w:cs="Arial"/>
          <w:iCs/>
          <w:sz w:val="16"/>
          <w:szCs w:val="16"/>
          <w:lang w:val="es-CO"/>
        </w:rPr>
        <w:t>y la jurisprudencia. En: PALACIO JARAMILLO, María Teresa (editora académica). Contratos Estatales. Tomo II. 2022. Bogotá: Universidad del Rosario. P. 630</w:t>
      </w:r>
    </w:p>
  </w:footnote>
  <w:footnote w:id="7">
    <w:p w14:paraId="3AB47E4C" w14:textId="77777777" w:rsidR="004A0EC9" w:rsidRPr="00774309" w:rsidRDefault="004A0EC9" w:rsidP="004A0EC9">
      <w:pPr>
        <w:pStyle w:val="Textonotapie"/>
        <w:snapToGrid w:val="0"/>
        <w:spacing w:before="120" w:after="120"/>
        <w:ind w:firstLine="708"/>
        <w:jc w:val="both"/>
        <w:rPr>
          <w:rFonts w:ascii="Verdana" w:hAnsi="Verdana"/>
          <w:sz w:val="16"/>
          <w:szCs w:val="16"/>
          <w:lang w:val="es-CO"/>
        </w:rPr>
      </w:pPr>
      <w:r w:rsidRPr="00774309">
        <w:rPr>
          <w:rStyle w:val="Refdenotaalpie"/>
          <w:rFonts w:ascii="Verdana" w:hAnsi="Verdana"/>
          <w:sz w:val="16"/>
          <w:szCs w:val="16"/>
        </w:rPr>
        <w:footnoteRef/>
      </w:r>
      <w:r w:rsidRPr="00774309">
        <w:rPr>
          <w:rFonts w:ascii="Verdana" w:hAnsi="Verdana"/>
          <w:sz w:val="16"/>
          <w:szCs w:val="16"/>
        </w:rPr>
        <w:t xml:space="preserve"> CONSEJO DE ESTADO. Sección Tercera. Subsección C. Sentencia del 20 de abril de 2022. Exp. 56508. C.P. Nicolás Yepes Corrales.</w:t>
      </w:r>
    </w:p>
  </w:footnote>
  <w:footnote w:id="8">
    <w:p w14:paraId="395DF776" w14:textId="77777777" w:rsidR="004A0EC9" w:rsidRPr="00774309" w:rsidRDefault="004A0EC9" w:rsidP="004A0EC9">
      <w:pPr>
        <w:pStyle w:val="Textonotapie"/>
        <w:snapToGrid w:val="0"/>
        <w:spacing w:before="120" w:after="120"/>
        <w:ind w:firstLine="709"/>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Consejo de Estado. Sección Tercera. Sentencia del 31 de agosto de 2011. Exp. 18.080. CP.: Ruth Stella Correa Palacio. Reiterada en </w:t>
      </w:r>
      <w:r w:rsidRPr="00774309">
        <w:rPr>
          <w:rFonts w:ascii="Verdana" w:hAnsi="Verdana" w:cs="Arial"/>
          <w:sz w:val="16"/>
          <w:szCs w:val="16"/>
          <w:lang w:val="es-CO"/>
        </w:rPr>
        <w:t xml:space="preserve">Sentencia del 8 de febrero de 2012. Exp. 20344. </w:t>
      </w:r>
      <w:r w:rsidRPr="00774309">
        <w:rPr>
          <w:rFonts w:ascii="Verdana" w:hAnsi="Verdana" w:cs="Arial"/>
          <w:sz w:val="16"/>
          <w:szCs w:val="16"/>
        </w:rPr>
        <w:t>También ver: Consejo de Estado, Sección Tercera, sentencia de 9 de mayo de 1996, exp. 10.151, reiterada en sentencias de 29 de abril y 21 de julio de 1999, exp. 14.885 y exp. 14.943, C.P. Daniel Suárez Hernández.</w:t>
      </w:r>
    </w:p>
  </w:footnote>
  <w:footnote w:id="9">
    <w:p w14:paraId="64EB3924" w14:textId="77777777" w:rsidR="004A0EC9" w:rsidRPr="00774309" w:rsidRDefault="004A0EC9" w:rsidP="004A0EC9">
      <w:pPr>
        <w:pStyle w:val="Textonotapie"/>
        <w:snapToGrid w:val="0"/>
        <w:spacing w:before="120" w:after="120"/>
        <w:ind w:firstLine="708"/>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Consejo de Estado. Sección Tercera. Sentencia del 29 de enero de 2018. Exp. 52.666 CP.: Jaime Orlando Santofimio Gamboa.</w:t>
      </w:r>
    </w:p>
  </w:footnote>
  <w:footnote w:id="10">
    <w:p w14:paraId="2EFBFAA9" w14:textId="77777777" w:rsidR="004A0EC9" w:rsidRPr="00774309" w:rsidRDefault="004A0EC9" w:rsidP="004A0EC9">
      <w:pPr>
        <w:pStyle w:val="Textonotapie"/>
        <w:snapToGrid w:val="0"/>
        <w:spacing w:before="120" w:after="120"/>
        <w:ind w:firstLine="709"/>
        <w:jc w:val="both"/>
        <w:rPr>
          <w:rFonts w:ascii="Verdana" w:hAnsi="Verdana" w:cs="Arial"/>
          <w:sz w:val="16"/>
          <w:szCs w:val="16"/>
          <w:lang w:bidi="es-ES"/>
        </w:rPr>
      </w:pPr>
      <w:r w:rsidRPr="00774309">
        <w:rPr>
          <w:rStyle w:val="Refdenotaalpie"/>
          <w:rFonts w:ascii="Verdana" w:hAnsi="Verdana" w:cs="Arial"/>
          <w:sz w:val="16"/>
          <w:szCs w:val="16"/>
        </w:rPr>
        <w:footnoteRef/>
      </w:r>
      <w:r w:rsidRPr="00774309">
        <w:rPr>
          <w:rFonts w:ascii="Verdana" w:hAnsi="Verdana" w:cs="Arial"/>
          <w:sz w:val="16"/>
          <w:szCs w:val="16"/>
        </w:rPr>
        <w:t xml:space="preserve"> </w:t>
      </w:r>
      <w:r w:rsidRPr="00774309">
        <w:rPr>
          <w:rFonts w:ascii="Verdana" w:hAnsi="Verdana" w:cs="Arial"/>
          <w:sz w:val="16"/>
          <w:szCs w:val="16"/>
          <w:lang w:bidi="es-ES"/>
        </w:rPr>
        <w:t xml:space="preserve">Corte Constitucional. Sentencia C-416 de 2012. </w:t>
      </w:r>
    </w:p>
  </w:footnote>
  <w:footnote w:id="11">
    <w:p w14:paraId="13CC0468" w14:textId="77777777" w:rsidR="004A0EC9" w:rsidRPr="00774309" w:rsidRDefault="004A0EC9" w:rsidP="004A0EC9">
      <w:pPr>
        <w:pStyle w:val="Textonotapie"/>
        <w:snapToGrid w:val="0"/>
        <w:spacing w:before="120" w:after="120"/>
        <w:ind w:firstLine="709"/>
        <w:jc w:val="both"/>
        <w:rPr>
          <w:rFonts w:ascii="Verdana" w:hAnsi="Verdana" w:cs="Arial"/>
          <w:sz w:val="16"/>
          <w:szCs w:val="16"/>
          <w:lang w:val="es-CO"/>
        </w:rPr>
      </w:pPr>
      <w:r w:rsidRPr="00774309">
        <w:rPr>
          <w:rStyle w:val="Refdenotaalpie"/>
          <w:rFonts w:ascii="Verdana" w:hAnsi="Verdana" w:cs="Arial"/>
          <w:sz w:val="16"/>
          <w:szCs w:val="16"/>
        </w:rPr>
        <w:footnoteRef/>
      </w:r>
      <w:r w:rsidRPr="00774309">
        <w:rPr>
          <w:rFonts w:ascii="Verdana" w:hAnsi="Verdana" w:cs="Arial"/>
          <w:sz w:val="16"/>
          <w:szCs w:val="16"/>
        </w:rPr>
        <w:t xml:space="preserve"> EXPÓSITO VÉLEZ, Juan Carlos. </w:t>
      </w:r>
      <w:r w:rsidRPr="00774309">
        <w:rPr>
          <w:rFonts w:ascii="Verdana" w:hAnsi="Verdana" w:cs="Arial"/>
          <w:sz w:val="16"/>
          <w:szCs w:val="16"/>
          <w:lang w:val="es-CO"/>
        </w:rPr>
        <w:t xml:space="preserve">Formas, formalidades y contenido del contrato estatal. Serie de derecho administrativo Nro. 34. Universidad Externado de Colombia. 2020. </w:t>
      </w:r>
    </w:p>
  </w:footnote>
  <w:footnote w:id="12">
    <w:p w14:paraId="14D1C98C" w14:textId="77777777" w:rsidR="004A0EC9" w:rsidRPr="00774309" w:rsidRDefault="004A0EC9" w:rsidP="004A0EC9">
      <w:pPr>
        <w:pStyle w:val="Textonotapie"/>
        <w:snapToGrid w:val="0"/>
        <w:spacing w:before="120" w:after="120"/>
        <w:ind w:firstLine="708"/>
        <w:jc w:val="both"/>
        <w:rPr>
          <w:rFonts w:ascii="Verdana" w:hAnsi="Verdana"/>
          <w:sz w:val="16"/>
          <w:szCs w:val="16"/>
          <w:lang w:val="es-ES"/>
        </w:rPr>
      </w:pPr>
      <w:r w:rsidRPr="00774309">
        <w:rPr>
          <w:rStyle w:val="Refdenotaalpie"/>
          <w:rFonts w:ascii="Verdana" w:hAnsi="Verdana"/>
          <w:sz w:val="16"/>
          <w:szCs w:val="16"/>
        </w:rPr>
        <w:footnoteRef/>
      </w:r>
      <w:r w:rsidRPr="00774309">
        <w:rPr>
          <w:rFonts w:ascii="Verdana" w:hAnsi="Verdana"/>
          <w:sz w:val="16"/>
          <w:szCs w:val="16"/>
        </w:rPr>
        <w:t xml:space="preserve"> </w:t>
      </w:r>
      <w:r w:rsidRPr="00774309">
        <w:rPr>
          <w:rFonts w:ascii="Verdana" w:hAnsi="Verdana"/>
          <w:sz w:val="16"/>
          <w:szCs w:val="16"/>
          <w:lang w:val="es-CO"/>
        </w:rPr>
        <w:t>CONSEJO DE ESTADO. Sala de lo Contencioso Administrativo. Sección Tercera. Subsección C. C.P.: Jaime Enrique Rodríguez Navas. Sentencia del 19 de septiembre de 2022. Radicación número: 25000-23-36-000-2013-00211-01 (54714).</w:t>
      </w:r>
    </w:p>
  </w:footnote>
  <w:footnote w:id="13">
    <w:p w14:paraId="4F2DC970" w14:textId="77777777" w:rsidR="004A0EC9" w:rsidRPr="00774309" w:rsidRDefault="004A0EC9" w:rsidP="004A0EC9">
      <w:pPr>
        <w:pStyle w:val="Textonotapie"/>
        <w:ind w:firstLine="709"/>
        <w:jc w:val="both"/>
        <w:rPr>
          <w:rFonts w:ascii="Verdana" w:hAnsi="Verdana" w:cs="Arial"/>
          <w:color w:val="000000" w:themeColor="text1"/>
          <w:sz w:val="16"/>
          <w:szCs w:val="16"/>
        </w:rPr>
      </w:pPr>
      <w:r w:rsidRPr="00774309">
        <w:rPr>
          <w:rStyle w:val="Refdenotaalpie"/>
          <w:rFonts w:ascii="Verdana" w:hAnsi="Verdana"/>
          <w:sz w:val="16"/>
          <w:szCs w:val="16"/>
        </w:rPr>
        <w:footnoteRef/>
      </w:r>
      <w:r w:rsidRPr="00774309">
        <w:rPr>
          <w:rFonts w:ascii="Verdana" w:hAnsi="Verdana"/>
          <w:sz w:val="16"/>
          <w:szCs w:val="16"/>
        </w:rPr>
        <w:t xml:space="preserve"> CONSEJO DE ESTADO. Sala de consulta y Servicio Civil. </w:t>
      </w:r>
      <w:r w:rsidRPr="00774309">
        <w:rPr>
          <w:rFonts w:ascii="Verdana" w:hAnsi="Verdana" w:cs="Arial"/>
          <w:color w:val="000000" w:themeColor="text1"/>
          <w:sz w:val="16"/>
          <w:szCs w:val="16"/>
        </w:rPr>
        <w:t>Concepto del 6 de julio de 2018. Radicación Nro. 2369. C.P.: Osar Darío Amaya Navas.</w:t>
      </w:r>
    </w:p>
  </w:footnote>
  <w:footnote w:id="14">
    <w:p w14:paraId="2A95B5C4" w14:textId="77777777" w:rsidR="004A0EC9" w:rsidRPr="00774309" w:rsidRDefault="004A0EC9" w:rsidP="004A0EC9">
      <w:pPr>
        <w:pStyle w:val="Textonotapie"/>
        <w:ind w:firstLine="709"/>
        <w:jc w:val="both"/>
        <w:rPr>
          <w:rFonts w:ascii="Verdana" w:hAnsi="Verdana"/>
          <w:sz w:val="16"/>
          <w:szCs w:val="16"/>
          <w:lang w:val="es-CO"/>
        </w:rPr>
      </w:pPr>
      <w:r w:rsidRPr="00774309">
        <w:rPr>
          <w:rStyle w:val="Refdenotaalpie"/>
          <w:rFonts w:ascii="Verdana" w:hAnsi="Verdana"/>
          <w:sz w:val="16"/>
          <w:szCs w:val="16"/>
        </w:rPr>
        <w:footnoteRef/>
      </w:r>
      <w:r w:rsidRPr="00774309">
        <w:rPr>
          <w:rFonts w:ascii="Verdana" w:hAnsi="Verdana"/>
          <w:sz w:val="16"/>
          <w:szCs w:val="16"/>
        </w:rPr>
        <w:t xml:space="preserve"> CONSEJO DE ESTADO. Sala de consulta y Servicio Civil. </w:t>
      </w:r>
      <w:r w:rsidRPr="00774309">
        <w:rPr>
          <w:rFonts w:ascii="Verdana" w:hAnsi="Verdana" w:cs="Arial"/>
          <w:color w:val="000000" w:themeColor="text1"/>
          <w:sz w:val="16"/>
          <w:szCs w:val="16"/>
        </w:rPr>
        <w:t>Concepto del 6 de marzo de 2024. Radicación interna Nro. 2512. C.P.: Osar Darío Amaya Navas.</w:t>
      </w:r>
    </w:p>
  </w:footnote>
  <w:footnote w:id="15">
    <w:p w14:paraId="4C6ADF24" w14:textId="77777777" w:rsidR="004A0EC9" w:rsidRPr="00774309" w:rsidRDefault="004A0EC9" w:rsidP="004A0EC9">
      <w:pPr>
        <w:pStyle w:val="Textonotapie"/>
        <w:ind w:firstLine="709"/>
        <w:jc w:val="both"/>
        <w:rPr>
          <w:rFonts w:ascii="Verdana" w:hAnsi="Verdana" w:cs="Arial"/>
          <w:color w:val="000000" w:themeColor="text1"/>
          <w:sz w:val="16"/>
          <w:szCs w:val="16"/>
        </w:rPr>
      </w:pPr>
      <w:r w:rsidRPr="00774309">
        <w:rPr>
          <w:rStyle w:val="Refdenotaalpie"/>
          <w:rFonts w:ascii="Verdana" w:hAnsi="Verdana"/>
          <w:sz w:val="16"/>
          <w:szCs w:val="16"/>
        </w:rPr>
        <w:footnoteRef/>
      </w:r>
      <w:r w:rsidRPr="00774309">
        <w:rPr>
          <w:rFonts w:ascii="Verdana" w:hAnsi="Verdana"/>
          <w:sz w:val="16"/>
          <w:szCs w:val="16"/>
        </w:rPr>
        <w:t xml:space="preserve"> </w:t>
      </w:r>
      <w:r w:rsidRPr="00774309">
        <w:rPr>
          <w:rFonts w:ascii="Verdana" w:hAnsi="Verdana" w:cs="Arial"/>
          <w:color w:val="000000" w:themeColor="text1"/>
          <w:sz w:val="16"/>
          <w:szCs w:val="16"/>
        </w:rPr>
        <w:t>BENAVIDES, José Luis. Contratos Públicos: Estudios. Primera edición. Bogotá: Universidad Externado de Colombia, 2014. p. 362</w:t>
      </w:r>
    </w:p>
    <w:p w14:paraId="3AFF5819" w14:textId="77777777" w:rsidR="004A0EC9" w:rsidRPr="00774309" w:rsidRDefault="004A0EC9" w:rsidP="004A0EC9">
      <w:pPr>
        <w:pStyle w:val="Textonotapie"/>
        <w:ind w:firstLine="709"/>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39675BC"/>
    <w:multiLevelType w:val="hybridMultilevel"/>
    <w:tmpl w:val="B5DC7236"/>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DE5CCA"/>
    <w:multiLevelType w:val="hybridMultilevel"/>
    <w:tmpl w:val="6F56A0F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410347328">
    <w:abstractNumId w:val="2"/>
  </w:num>
  <w:num w:numId="18" w16cid:durableId="16574169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10E5"/>
    <w:rsid w:val="00046945"/>
    <w:rsid w:val="000471DB"/>
    <w:rsid w:val="00061B1A"/>
    <w:rsid w:val="00061B2A"/>
    <w:rsid w:val="00082362"/>
    <w:rsid w:val="000A683E"/>
    <w:rsid w:val="000B19B9"/>
    <w:rsid w:val="000B42F8"/>
    <w:rsid w:val="000C3101"/>
    <w:rsid w:val="000D0334"/>
    <w:rsid w:val="000D48B1"/>
    <w:rsid w:val="000D5DA7"/>
    <w:rsid w:val="000F6486"/>
    <w:rsid w:val="001027AE"/>
    <w:rsid w:val="00106B93"/>
    <w:rsid w:val="00116940"/>
    <w:rsid w:val="00125105"/>
    <w:rsid w:val="00127233"/>
    <w:rsid w:val="00145C49"/>
    <w:rsid w:val="0015699B"/>
    <w:rsid w:val="00166220"/>
    <w:rsid w:val="001762A0"/>
    <w:rsid w:val="001A33BF"/>
    <w:rsid w:val="001B6251"/>
    <w:rsid w:val="001D5647"/>
    <w:rsid w:val="001E4177"/>
    <w:rsid w:val="001F0B24"/>
    <w:rsid w:val="001F7DC6"/>
    <w:rsid w:val="0022400B"/>
    <w:rsid w:val="002421BB"/>
    <w:rsid w:val="00252E81"/>
    <w:rsid w:val="0025796E"/>
    <w:rsid w:val="002707A2"/>
    <w:rsid w:val="00285E59"/>
    <w:rsid w:val="002951A0"/>
    <w:rsid w:val="002962BC"/>
    <w:rsid w:val="002A093D"/>
    <w:rsid w:val="002A0DD0"/>
    <w:rsid w:val="002A49AC"/>
    <w:rsid w:val="002A64FD"/>
    <w:rsid w:val="002C7A84"/>
    <w:rsid w:val="002D0949"/>
    <w:rsid w:val="002D1F17"/>
    <w:rsid w:val="002E2BF8"/>
    <w:rsid w:val="002E4FD9"/>
    <w:rsid w:val="0030657A"/>
    <w:rsid w:val="00322A85"/>
    <w:rsid w:val="00324168"/>
    <w:rsid w:val="00330834"/>
    <w:rsid w:val="003313B3"/>
    <w:rsid w:val="003448F4"/>
    <w:rsid w:val="003515DF"/>
    <w:rsid w:val="00374F5E"/>
    <w:rsid w:val="00377E3E"/>
    <w:rsid w:val="00377E98"/>
    <w:rsid w:val="00382CD1"/>
    <w:rsid w:val="00386C96"/>
    <w:rsid w:val="003919D9"/>
    <w:rsid w:val="003A779E"/>
    <w:rsid w:val="003C1057"/>
    <w:rsid w:val="003D0F4D"/>
    <w:rsid w:val="003D5B0D"/>
    <w:rsid w:val="003E0499"/>
    <w:rsid w:val="003E4F80"/>
    <w:rsid w:val="003E527C"/>
    <w:rsid w:val="003E6439"/>
    <w:rsid w:val="003F3941"/>
    <w:rsid w:val="003F575A"/>
    <w:rsid w:val="00406575"/>
    <w:rsid w:val="00414C74"/>
    <w:rsid w:val="0042722E"/>
    <w:rsid w:val="0044528D"/>
    <w:rsid w:val="00466E39"/>
    <w:rsid w:val="004A0EC9"/>
    <w:rsid w:val="004A1847"/>
    <w:rsid w:val="004A305D"/>
    <w:rsid w:val="004C6EFC"/>
    <w:rsid w:val="004D320B"/>
    <w:rsid w:val="004D4070"/>
    <w:rsid w:val="004F21C4"/>
    <w:rsid w:val="004F685F"/>
    <w:rsid w:val="005522C2"/>
    <w:rsid w:val="00553F57"/>
    <w:rsid w:val="005566E8"/>
    <w:rsid w:val="00572A51"/>
    <w:rsid w:val="00574867"/>
    <w:rsid w:val="00575A0E"/>
    <w:rsid w:val="00591460"/>
    <w:rsid w:val="005A65E0"/>
    <w:rsid w:val="005B34B4"/>
    <w:rsid w:val="005C3777"/>
    <w:rsid w:val="005C5741"/>
    <w:rsid w:val="005C5CDC"/>
    <w:rsid w:val="005D476C"/>
    <w:rsid w:val="005E3919"/>
    <w:rsid w:val="005E5CE3"/>
    <w:rsid w:val="0060751B"/>
    <w:rsid w:val="006200BF"/>
    <w:rsid w:val="006219F8"/>
    <w:rsid w:val="00627025"/>
    <w:rsid w:val="006302F7"/>
    <w:rsid w:val="00634BE0"/>
    <w:rsid w:val="00646B9F"/>
    <w:rsid w:val="00662495"/>
    <w:rsid w:val="00665D70"/>
    <w:rsid w:val="006900D9"/>
    <w:rsid w:val="006919AF"/>
    <w:rsid w:val="00692942"/>
    <w:rsid w:val="006E57E3"/>
    <w:rsid w:val="007047D0"/>
    <w:rsid w:val="00706C16"/>
    <w:rsid w:val="007340C3"/>
    <w:rsid w:val="00737BE3"/>
    <w:rsid w:val="0074489F"/>
    <w:rsid w:val="0075235A"/>
    <w:rsid w:val="00754FDB"/>
    <w:rsid w:val="00756841"/>
    <w:rsid w:val="00757719"/>
    <w:rsid w:val="007649AB"/>
    <w:rsid w:val="00771D0C"/>
    <w:rsid w:val="00774309"/>
    <w:rsid w:val="007833AC"/>
    <w:rsid w:val="007944F9"/>
    <w:rsid w:val="007A25D6"/>
    <w:rsid w:val="007B197B"/>
    <w:rsid w:val="007B268C"/>
    <w:rsid w:val="007B7171"/>
    <w:rsid w:val="007C0C0F"/>
    <w:rsid w:val="007C3DC2"/>
    <w:rsid w:val="007C4504"/>
    <w:rsid w:val="007D366B"/>
    <w:rsid w:val="007D728C"/>
    <w:rsid w:val="007E5497"/>
    <w:rsid w:val="007E6ECB"/>
    <w:rsid w:val="00806F5F"/>
    <w:rsid w:val="0080711D"/>
    <w:rsid w:val="0080748C"/>
    <w:rsid w:val="0081321C"/>
    <w:rsid w:val="00820278"/>
    <w:rsid w:val="008258C9"/>
    <w:rsid w:val="00834265"/>
    <w:rsid w:val="008441CE"/>
    <w:rsid w:val="00844AE9"/>
    <w:rsid w:val="00865A7C"/>
    <w:rsid w:val="00867F95"/>
    <w:rsid w:val="008804BB"/>
    <w:rsid w:val="008843B6"/>
    <w:rsid w:val="00891928"/>
    <w:rsid w:val="008A446D"/>
    <w:rsid w:val="008B25F1"/>
    <w:rsid w:val="008C0A54"/>
    <w:rsid w:val="008D180B"/>
    <w:rsid w:val="008E7B73"/>
    <w:rsid w:val="008F0EA7"/>
    <w:rsid w:val="00906D42"/>
    <w:rsid w:val="00912A33"/>
    <w:rsid w:val="00914EA8"/>
    <w:rsid w:val="00923EEF"/>
    <w:rsid w:val="00934044"/>
    <w:rsid w:val="009347C6"/>
    <w:rsid w:val="00937CE7"/>
    <w:rsid w:val="009419F9"/>
    <w:rsid w:val="009432AC"/>
    <w:rsid w:val="0095685E"/>
    <w:rsid w:val="00961B09"/>
    <w:rsid w:val="0096296A"/>
    <w:rsid w:val="00965334"/>
    <w:rsid w:val="0097093E"/>
    <w:rsid w:val="009745AE"/>
    <w:rsid w:val="00986F73"/>
    <w:rsid w:val="009A0DFA"/>
    <w:rsid w:val="009A1C6F"/>
    <w:rsid w:val="009A2176"/>
    <w:rsid w:val="009B2D26"/>
    <w:rsid w:val="009C533E"/>
    <w:rsid w:val="009C71FA"/>
    <w:rsid w:val="009C72E7"/>
    <w:rsid w:val="009C7F7E"/>
    <w:rsid w:val="009D3058"/>
    <w:rsid w:val="009F3A13"/>
    <w:rsid w:val="00A06C92"/>
    <w:rsid w:val="00A117BD"/>
    <w:rsid w:val="00A122D3"/>
    <w:rsid w:val="00A14468"/>
    <w:rsid w:val="00A14630"/>
    <w:rsid w:val="00A158F9"/>
    <w:rsid w:val="00A17F13"/>
    <w:rsid w:val="00A20739"/>
    <w:rsid w:val="00A23AF9"/>
    <w:rsid w:val="00A33C78"/>
    <w:rsid w:val="00A56439"/>
    <w:rsid w:val="00A64F2D"/>
    <w:rsid w:val="00A83264"/>
    <w:rsid w:val="00A85D2A"/>
    <w:rsid w:val="00A93FE6"/>
    <w:rsid w:val="00AB0ADB"/>
    <w:rsid w:val="00AE61DF"/>
    <w:rsid w:val="00B00C0E"/>
    <w:rsid w:val="00B01B1A"/>
    <w:rsid w:val="00B0381D"/>
    <w:rsid w:val="00B2021A"/>
    <w:rsid w:val="00B44A47"/>
    <w:rsid w:val="00B461FB"/>
    <w:rsid w:val="00B47C90"/>
    <w:rsid w:val="00B66367"/>
    <w:rsid w:val="00B66C36"/>
    <w:rsid w:val="00B72CD3"/>
    <w:rsid w:val="00B72FFF"/>
    <w:rsid w:val="00B92D51"/>
    <w:rsid w:val="00BB59C2"/>
    <w:rsid w:val="00BC3D36"/>
    <w:rsid w:val="00BD10E3"/>
    <w:rsid w:val="00BD54A6"/>
    <w:rsid w:val="00BD7F72"/>
    <w:rsid w:val="00BF569C"/>
    <w:rsid w:val="00BF7425"/>
    <w:rsid w:val="00C04FB3"/>
    <w:rsid w:val="00C11D8B"/>
    <w:rsid w:val="00C15139"/>
    <w:rsid w:val="00C330EB"/>
    <w:rsid w:val="00C50D69"/>
    <w:rsid w:val="00C5365C"/>
    <w:rsid w:val="00C6646A"/>
    <w:rsid w:val="00C754BE"/>
    <w:rsid w:val="00C76B1C"/>
    <w:rsid w:val="00C85381"/>
    <w:rsid w:val="00C86DC4"/>
    <w:rsid w:val="00C925AC"/>
    <w:rsid w:val="00CB3B40"/>
    <w:rsid w:val="00CB6357"/>
    <w:rsid w:val="00CC1B26"/>
    <w:rsid w:val="00CD4335"/>
    <w:rsid w:val="00CE00B8"/>
    <w:rsid w:val="00CF221A"/>
    <w:rsid w:val="00D361FD"/>
    <w:rsid w:val="00D423A2"/>
    <w:rsid w:val="00D44E26"/>
    <w:rsid w:val="00D46DEE"/>
    <w:rsid w:val="00D520D8"/>
    <w:rsid w:val="00D54921"/>
    <w:rsid w:val="00D57C85"/>
    <w:rsid w:val="00D63AC2"/>
    <w:rsid w:val="00D67641"/>
    <w:rsid w:val="00D7383B"/>
    <w:rsid w:val="00D7788A"/>
    <w:rsid w:val="00D842FC"/>
    <w:rsid w:val="00D8512D"/>
    <w:rsid w:val="00DA231B"/>
    <w:rsid w:val="00DC1751"/>
    <w:rsid w:val="00DC39FC"/>
    <w:rsid w:val="00DF099B"/>
    <w:rsid w:val="00DF5254"/>
    <w:rsid w:val="00E01404"/>
    <w:rsid w:val="00E02524"/>
    <w:rsid w:val="00E02BC8"/>
    <w:rsid w:val="00E0366E"/>
    <w:rsid w:val="00E16408"/>
    <w:rsid w:val="00E20894"/>
    <w:rsid w:val="00E245AB"/>
    <w:rsid w:val="00E2764C"/>
    <w:rsid w:val="00E27F2E"/>
    <w:rsid w:val="00E36CCB"/>
    <w:rsid w:val="00E410A6"/>
    <w:rsid w:val="00E44EF6"/>
    <w:rsid w:val="00E50AFE"/>
    <w:rsid w:val="00E56B83"/>
    <w:rsid w:val="00E60FAD"/>
    <w:rsid w:val="00E75C92"/>
    <w:rsid w:val="00E771DC"/>
    <w:rsid w:val="00E8151B"/>
    <w:rsid w:val="00E8772A"/>
    <w:rsid w:val="00E90F6B"/>
    <w:rsid w:val="00E92C27"/>
    <w:rsid w:val="00EA0E3D"/>
    <w:rsid w:val="00EB7D0F"/>
    <w:rsid w:val="00EC044C"/>
    <w:rsid w:val="00EC38A7"/>
    <w:rsid w:val="00EC70DD"/>
    <w:rsid w:val="00EE1AA8"/>
    <w:rsid w:val="00EE4854"/>
    <w:rsid w:val="00F23FEA"/>
    <w:rsid w:val="00F31EDC"/>
    <w:rsid w:val="00F3739F"/>
    <w:rsid w:val="00F462B3"/>
    <w:rsid w:val="00F47DB8"/>
    <w:rsid w:val="00F54D0D"/>
    <w:rsid w:val="00F5664F"/>
    <w:rsid w:val="00F666C4"/>
    <w:rsid w:val="00F76AFC"/>
    <w:rsid w:val="00FA26FC"/>
    <w:rsid w:val="00FA357D"/>
    <w:rsid w:val="00FA47C0"/>
    <w:rsid w:val="00FB5DD1"/>
    <w:rsid w:val="00FC2B5D"/>
    <w:rsid w:val="00FD1D80"/>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522C2"/>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22C2"/>
    <w:rPr>
      <w:rFonts w:ascii="Geomanist Light" w:hAnsi="Geomanist Light"/>
      <w:lang w:val="es-ES"/>
    </w:rPr>
  </w:style>
  <w:style w:type="paragraph" w:styleId="Textoindependiente">
    <w:name w:val="Body Text"/>
    <w:basedOn w:val="Normal"/>
    <w:link w:val="TextoindependienteCar"/>
    <w:uiPriority w:val="1"/>
    <w:qFormat/>
    <w:rsid w:val="005522C2"/>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522C2"/>
    <w:rPr>
      <w:rFonts w:ascii="Verdana" w:eastAsia="Verdana" w:hAnsi="Verdana" w:cs="Verdana"/>
      <w:lang w:val="es-ES"/>
    </w:rPr>
  </w:style>
  <w:style w:type="character" w:customStyle="1" w:styleId="s15">
    <w:name w:val="s15"/>
    <w:basedOn w:val="Fuentedeprrafopredeter"/>
    <w:rsid w:val="00575A0E"/>
  </w:style>
  <w:style w:type="character" w:customStyle="1" w:styleId="apple-converted-space">
    <w:name w:val="apple-converted-space"/>
    <w:basedOn w:val="Fuentedeprrafopredeter"/>
    <w:rsid w:val="00575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www.secretariasenado.gov.co/senado/basedoc/ley_0080_1993.html" TargetMode="External"/><Relationship Id="rId17" Type="http://schemas.openxmlformats.org/officeDocument/2006/relationships/hyperlink" Target="https://nam02.safelinks.protection.outlook.com/?url=https%3A%2F%2Fwww.colombiacompra.gov.co%2Farchivos%2Fboletin%2Fboletin-edicion-n-3-de-2026-radar-de-la-compra-publica&amp;data=05%7C02%7Cjuan.montoya%40colombiacompra.gov.co%7C7128555136e04fa6887d08dee99e1b50%7C7b09041e245149d08cb179d5e3d8c1be%7C0%7C0%7C639205062451356630%7CUnknown%7CTWFpbGZsb3d8eyJFbXB0eU1hcGkiOnRydWUsIlYiOiIwLjAuMDAwMCIsIlAiOiJXaW4zMiIsIkFOIjoiTWFpbCIsIldUIjoyfQ%3D%3D%7C0%7C%7C%7C&amp;sdata=BAEerpr5LJv1S5EMjF4wsWYXvi5rJvYw5HldhbMOmZk%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juan.montoya%40colombiacompra.gov.co%7C7128555136e04fa6887d08dee99e1b50%7C7b09041e245149d08cb179d5e3d8c1be%7C0%7C0%7C639205062451334414%7CUnknown%7CTWFpbGZsb3d8eyJFbXB0eU1hcGkiOnRydWUsIlYiOiIwLjAuMDAwMCIsIlAiOiJXaW4zMiIsIkFOIjoiTWFpbCIsIldUIjoyfQ%3D%3D%7C0%7C%7C%7C&amp;sdata=afoCV6jibHbTjlvaQik3Cm4faTAldy%2BPjeYD7F9ArKA%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juan.montoya%40colombiacompra.gov.co%7C7128555136e04fa6887d08dee99e1b50%7C7b09041e245149d08cb179d5e3d8c1be%7C0%7C0%7C639205062451311236%7CUnknown%7CTWFpbGZsb3d8eyJFbXB0eU1hcGkiOnRydWUsIlYiOiIwLjAuMDAwMCIsIlAiOiJXaW4zMiIsIkFOIjoiTWFpbCIsIldUIjoyfQ%3D%3D%7C0%7C%7C%7C&amp;sdata=%2FIK%2BCWYsSGOFYBZnWf4YWtYLVNUxZLARHnAsDCfX018%3D&amp;reserved=0"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juan.montoya%40colombiacompra.gov.co%7C7128555136e04fa6887d08dee99e1b50%7C7b09041e245149d08cb179d5e3d8c1be%7C0%7C0%7C639205062451279556%7CUnknown%7CTWFpbGZsb3d8eyJFbXB0eU1hcGkiOnRydWUsIlYiOiIwLjAuMDAwMCIsIlAiOiJXaW4zMiIsIkFOIjoiTWFpbCIsIldUIjoyfQ%3D%3D%7C0%7C%7C%7C&amp;sdata=i4ge%2BIRzNcFc6YLVHBS9VTZEZfbIWHprkVqyLu5AvlY%3D&amp;reserved=0"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466-de-2024/%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026000C6-B698-9D40-800B-399D82F7C1E2}">
  <ds:schemaRefs>
    <ds:schemaRef ds:uri="http://schemas.openxmlformats.org/officeDocument/2006/bibliography"/>
  </ds:schemaRefs>
</ds:datastoreItem>
</file>

<file path=customXml/itemProps4.xml><?xml version="1.0" encoding="utf-8"?>
<ds:datastoreItem xmlns:ds="http://schemas.openxmlformats.org/officeDocument/2006/customXml" ds:itemID="{1CEB331E-01F7-4BE4-B138-0ADAF672A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123</TotalTime>
  <Pages>21</Pages>
  <Words>7530</Words>
  <Characters>41419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2026-10-01T14:27:00Z</dcterms:created>
  <dcterms:modified xsi:type="dcterms:W3CDTF">2026-10-02T01:03:00Z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