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B3731" w14:textId="54E5B8A2" w:rsidR="00E972F1" w:rsidRDefault="00E972F1" w:rsidP="003350B0">
      <w:pPr>
        <w:pStyle w:val="paragraph"/>
        <w:spacing w:before="0" w:beforeAutospacing="0" w:after="0" w:afterAutospacing="0"/>
        <w:jc w:val="both"/>
        <w:textAlignment w:val="baseline"/>
        <w:rPr>
          <w:rStyle w:val="eop"/>
          <w:rFonts w:ascii="Verdana" w:hAnsi="Verdana" w:cs="Segoe UI"/>
          <w:color w:val="000000"/>
          <w:sz w:val="20"/>
          <w:szCs w:val="20"/>
          <w:bdr w:val="none" w:sz="0" w:space="0" w:color="auto" w:frame="1"/>
          <w:shd w:val="clear" w:color="auto" w:fill="C6C6C6"/>
        </w:rPr>
      </w:pPr>
      <w:bookmarkStart w:id="0" w:name="_Hlk143780582"/>
      <w:r>
        <w:rPr>
          <w:rStyle w:val="normaltextrun"/>
          <w:rFonts w:ascii="Verdana" w:hAnsi="Verdana" w:cs="Segoe UI"/>
          <w:b/>
          <w:bCs/>
          <w:color w:val="000000"/>
          <w:sz w:val="20"/>
          <w:szCs w:val="20"/>
          <w:lang w:val="es-ES"/>
        </w:rPr>
        <w:t>SECOP I– Principio de Publicidad y Transparencia</w:t>
      </w:r>
    </w:p>
    <w:p w14:paraId="256A0216" w14:textId="3D9FC0C1" w:rsidR="003C5B81" w:rsidRPr="003C5B81" w:rsidRDefault="003C5B81" w:rsidP="003C5B81">
      <w:pPr>
        <w:pStyle w:val="paragraph"/>
        <w:spacing w:after="0"/>
        <w:jc w:val="both"/>
        <w:textAlignment w:val="baseline"/>
        <w:rPr>
          <w:rFonts w:ascii="Verdana" w:hAnsi="Verdana" w:cs="Segoe UI"/>
          <w:sz w:val="20"/>
          <w:szCs w:val="20"/>
        </w:rPr>
      </w:pPr>
      <w:r w:rsidRPr="003C5B81">
        <w:rPr>
          <w:rFonts w:ascii="Verdana" w:hAnsi="Verdana" w:cs="Segoe UI"/>
          <w:sz w:val="20"/>
          <w:szCs w:val="20"/>
        </w:rPr>
        <w:t>Aunque la normativa vigente no determina de manera expresa que se deba adelantar una audiencia para la apertura de sobres dentro de los procesos objeto de consulta, la Circular Externa Única proferida por la Agencia Nacional de Contratación Pública – Colombia Compra Eficiente ha fijado un criterio para determinar la necesidad de dicha etapa o actuación, en el marco de los diferentes mecanismos previstos para garantizar el principio de publicidad.</w:t>
      </w:r>
    </w:p>
    <w:p w14:paraId="69E53F11" w14:textId="79BBB963" w:rsidR="003350B0" w:rsidRDefault="003C5B81" w:rsidP="003350B0">
      <w:pPr>
        <w:pStyle w:val="paragraph"/>
        <w:spacing w:before="0" w:beforeAutospacing="0" w:after="0" w:afterAutospacing="0"/>
        <w:jc w:val="both"/>
        <w:textAlignment w:val="baseline"/>
        <w:rPr>
          <w:rStyle w:val="normaltextrun"/>
          <w:rFonts w:ascii="Verdana" w:hAnsi="Verdana" w:cs="Segoe UI"/>
          <w:color w:val="000000"/>
          <w:sz w:val="20"/>
          <w:szCs w:val="20"/>
        </w:rPr>
      </w:pPr>
      <w:r w:rsidRPr="003C5B81">
        <w:rPr>
          <w:rFonts w:ascii="Verdana" w:hAnsi="Verdana" w:cs="Segoe UI"/>
          <w:sz w:val="20"/>
          <w:szCs w:val="20"/>
        </w:rPr>
        <w:t>La referida circular indica que cuando el proceso de contratación se publique en SECOP I, vencido el termino para presentar ofertas, la Entidad Estatal - sin perjuicio de lo dispuesto en el artículo 2.2.1.1.2.2.5 del Decreto 1082 de 2015 – puede realizar la apertura de las propuestas en presencia de los proponentes o veedores que deseen asistir, y elaborar un acta de cierre en la cual conste la fecha y hora de recibo de las ofertas, indicando nombre o razón social de los oferentes y sus representantes legales. Además, el acta de cierre puede incluir datos generales de las propuestas, como, por ejemplo, la presentación o no de la garantía de seriedad de la oferta, en caso de que se haya requerido, o el valor ofertado, salvo en aquellos casos en que se presente sobre económico que deba permanecer cerrado. Elaborada el acta de cierre deberá publicarse en SECOP I en el término correspondiente.</w:t>
      </w:r>
      <w:r>
        <w:rPr>
          <w:rFonts w:ascii="Verdana" w:hAnsi="Verdana" w:cs="Segoe UI"/>
          <w:sz w:val="20"/>
          <w:szCs w:val="20"/>
        </w:rPr>
        <w:t xml:space="preserve"> </w:t>
      </w:r>
      <w:r w:rsidR="00E972F1" w:rsidRPr="003C5B81">
        <w:rPr>
          <w:rStyle w:val="normaltextrun"/>
          <w:rFonts w:ascii="Verdana" w:hAnsi="Verdana" w:cs="Segoe UI"/>
          <w:color w:val="000000"/>
          <w:sz w:val="20"/>
          <w:szCs w:val="20"/>
        </w:rPr>
        <w:t>[…]</w:t>
      </w:r>
    </w:p>
    <w:p w14:paraId="49BC390E" w14:textId="77777777" w:rsidR="003C5B81" w:rsidRPr="003C5B81" w:rsidRDefault="003C5B81" w:rsidP="003350B0">
      <w:pPr>
        <w:pStyle w:val="paragraph"/>
        <w:spacing w:before="0" w:beforeAutospacing="0" w:after="0" w:afterAutospacing="0"/>
        <w:jc w:val="both"/>
        <w:textAlignment w:val="baseline"/>
        <w:rPr>
          <w:rFonts w:ascii="Verdana" w:hAnsi="Verdana" w:cs="Segoe UI"/>
          <w:sz w:val="20"/>
          <w:szCs w:val="20"/>
        </w:rPr>
      </w:pPr>
    </w:p>
    <w:p w14:paraId="263D35CF" w14:textId="1AB16989" w:rsidR="00E972F1" w:rsidRDefault="00E972F1" w:rsidP="00E972F1">
      <w:pPr>
        <w:pStyle w:val="paragraph"/>
        <w:spacing w:before="0" w:beforeAutospacing="0" w:after="0" w:afterAutospacing="0"/>
        <w:jc w:val="both"/>
        <w:textAlignment w:val="baseline"/>
        <w:rPr>
          <w:rStyle w:val="normaltextrun"/>
          <w:rFonts w:ascii="Verdana" w:hAnsi="Verdana" w:cs="Segoe UI"/>
          <w:b/>
          <w:bCs/>
          <w:sz w:val="20"/>
          <w:szCs w:val="20"/>
        </w:rPr>
      </w:pPr>
      <w:r>
        <w:rPr>
          <w:rStyle w:val="normaltextrun"/>
          <w:rFonts w:ascii="Verdana" w:hAnsi="Verdana" w:cs="Segoe UI"/>
          <w:b/>
          <w:bCs/>
          <w:sz w:val="20"/>
          <w:szCs w:val="20"/>
        </w:rPr>
        <w:t xml:space="preserve">OFERTA – Apertura – Publicidad – </w:t>
      </w:r>
      <w:proofErr w:type="spellStart"/>
      <w:r>
        <w:rPr>
          <w:rStyle w:val="normaltextrun"/>
          <w:rFonts w:ascii="Verdana" w:hAnsi="Verdana" w:cs="Segoe UI"/>
          <w:b/>
          <w:bCs/>
          <w:sz w:val="20"/>
          <w:szCs w:val="20"/>
        </w:rPr>
        <w:t>Secop</w:t>
      </w:r>
      <w:proofErr w:type="spellEnd"/>
    </w:p>
    <w:p w14:paraId="11140A5C" w14:textId="77777777" w:rsidR="003350B0" w:rsidRDefault="003350B0" w:rsidP="00E972F1">
      <w:pPr>
        <w:pStyle w:val="paragraph"/>
        <w:spacing w:before="0" w:beforeAutospacing="0" w:after="0" w:afterAutospacing="0"/>
        <w:jc w:val="both"/>
        <w:textAlignment w:val="baseline"/>
        <w:rPr>
          <w:rFonts w:ascii="Segoe UI" w:hAnsi="Segoe UI" w:cs="Segoe UI"/>
          <w:sz w:val="18"/>
          <w:szCs w:val="18"/>
        </w:rPr>
      </w:pPr>
    </w:p>
    <w:p w14:paraId="154617F3" w14:textId="232A7800" w:rsidR="00E972F1" w:rsidRDefault="00E972F1" w:rsidP="00E972F1">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r>
        <w:rPr>
          <w:rStyle w:val="normaltextrun"/>
          <w:rFonts w:ascii="Verdana" w:hAnsi="Verdana" w:cs="Segoe UI"/>
          <w:sz w:val="20"/>
          <w:szCs w:val="20"/>
        </w:rPr>
        <w:t>[…] Sin embargo, sobre la obligación de las entidades de abrir los sobres de las ofertas y el momento en que deben hacerlo y publicarlas en sus procedimientos de contratación, le informamos que, de acuerdo con las normas de contratación pública, se observa que no existe una regla que obligue a la entidad a dar apertura y publicar las ofertas en un momento determinado, con excepción de lo señalado por la Ley 1882 de 2018 para la contratación de obras públicas.</w:t>
      </w:r>
    </w:p>
    <w:p w14:paraId="5E2E52BD" w14:textId="77777777" w:rsidR="00E972F1" w:rsidRDefault="00E972F1" w:rsidP="00E972F1">
      <w:pPr>
        <w:pStyle w:val="paragraph"/>
        <w:spacing w:before="0" w:beforeAutospacing="0" w:after="0" w:afterAutospacing="0"/>
        <w:jc w:val="both"/>
        <w:textAlignment w:val="baseline"/>
        <w:rPr>
          <w:rFonts w:ascii="Segoe UI" w:hAnsi="Segoe UI" w:cs="Segoe UI"/>
          <w:sz w:val="18"/>
          <w:szCs w:val="18"/>
        </w:rPr>
      </w:pPr>
    </w:p>
    <w:p w14:paraId="3D117F46" w14:textId="2F4A5990" w:rsidR="00E972F1" w:rsidRDefault="00E972F1" w:rsidP="00E972F1">
      <w:pPr>
        <w:pStyle w:val="paragraph"/>
        <w:spacing w:before="0" w:beforeAutospacing="0" w:after="0" w:afterAutospacing="0"/>
        <w:jc w:val="both"/>
        <w:textAlignment w:val="baseline"/>
        <w:rPr>
          <w:rStyle w:val="normaltextrun"/>
          <w:rFonts w:ascii="Verdana" w:hAnsi="Verdana" w:cs="Segoe UI"/>
          <w:b/>
          <w:bCs/>
          <w:sz w:val="20"/>
          <w:szCs w:val="20"/>
        </w:rPr>
      </w:pPr>
      <w:r>
        <w:rPr>
          <w:rStyle w:val="normaltextrun"/>
          <w:rFonts w:ascii="Verdana" w:hAnsi="Verdana" w:cs="Segoe UI"/>
          <w:b/>
          <w:bCs/>
          <w:sz w:val="20"/>
          <w:szCs w:val="20"/>
        </w:rPr>
        <w:t>OFERTA – Principio de transparencia – Acceso de los interesados </w:t>
      </w:r>
    </w:p>
    <w:p w14:paraId="3B5DC8A0" w14:textId="77777777" w:rsidR="003350B0" w:rsidRDefault="003350B0" w:rsidP="00E972F1">
      <w:pPr>
        <w:pStyle w:val="paragraph"/>
        <w:spacing w:before="0" w:beforeAutospacing="0" w:after="0" w:afterAutospacing="0"/>
        <w:jc w:val="both"/>
        <w:textAlignment w:val="baseline"/>
        <w:rPr>
          <w:rFonts w:ascii="Segoe UI" w:hAnsi="Segoe UI" w:cs="Segoe UI"/>
          <w:sz w:val="18"/>
          <w:szCs w:val="18"/>
        </w:rPr>
      </w:pPr>
    </w:p>
    <w:p w14:paraId="634C6A88" w14:textId="525AC0AE" w:rsidR="00E972F1" w:rsidRDefault="00E972F1" w:rsidP="00E972F1">
      <w:pPr>
        <w:pStyle w:val="paragraph"/>
        <w:spacing w:before="0" w:beforeAutospacing="0" w:after="0" w:afterAutospacing="0"/>
        <w:jc w:val="both"/>
        <w:textAlignment w:val="baseline"/>
        <w:rPr>
          <w:rStyle w:val="eop"/>
          <w:rFonts w:ascii="Verdana" w:hAnsi="Verdana" w:cs="Segoe UI"/>
          <w:sz w:val="20"/>
          <w:szCs w:val="20"/>
          <w:bdr w:val="none" w:sz="0" w:space="0" w:color="auto" w:frame="1"/>
          <w:shd w:val="clear" w:color="auto" w:fill="C6C6C6"/>
        </w:rPr>
      </w:pPr>
      <w:r>
        <w:rPr>
          <w:rStyle w:val="normaltextrun"/>
          <w:rFonts w:ascii="Verdana" w:hAnsi="Verdana" w:cs="Segoe UI"/>
          <w:sz w:val="20"/>
          <w:szCs w:val="20"/>
        </w:rPr>
        <w:t>A pesar de que la entidad no tiene la obligación de abrir y publicar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por lo que se conforma un expediente, de acuerdo con lo prescrito en la norma.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14:paraId="5C3AD768" w14:textId="77777777" w:rsidR="003350B0" w:rsidRDefault="003350B0" w:rsidP="001E20A8">
      <w:pPr>
        <w:spacing w:after="0"/>
        <w:rPr>
          <w:rFonts w:ascii="Verdana" w:eastAsia="Verdana" w:hAnsi="Verdana" w:cs="Verdana"/>
        </w:rPr>
      </w:pPr>
    </w:p>
    <w:p w14:paraId="2D8527DE" w14:textId="184BE80D" w:rsidR="001E20A8" w:rsidRPr="0024624F" w:rsidRDefault="00550DD4" w:rsidP="001E20A8">
      <w:pPr>
        <w:spacing w:after="0"/>
        <w:rPr>
          <w:rFonts w:ascii="Verdana" w:eastAsia="Verdana" w:hAnsi="Verdana" w:cs="Verdana"/>
        </w:rPr>
      </w:pPr>
      <w:r w:rsidRPr="00550DD4">
        <w:rPr>
          <w:rFonts w:ascii="Verdana" w:eastAsia="Verdana" w:hAnsi="Verdana" w:cs="Verdana"/>
        </w:rPr>
        <w:lastRenderedPageBreak/>
        <w:t>Bogotá D.C., 16 Octubre 2026</w:t>
      </w:r>
      <w:r w:rsidR="001E20A8">
        <w:tab/>
      </w:r>
    </w:p>
    <w:p w14:paraId="68574D02" w14:textId="74FF5370" w:rsidR="001E20A8" w:rsidRPr="003034A8" w:rsidRDefault="00747D5B" w:rsidP="001E20A8">
      <w:pPr>
        <w:spacing w:after="0"/>
        <w:rPr>
          <w:rFonts w:ascii="Verdana" w:hAnsi="Verdana"/>
        </w:rPr>
      </w:pPr>
      <w:r w:rsidRPr="00747D5B">
        <w:rPr>
          <w:rFonts w:ascii="Verdana" w:hAnsi="Verdana"/>
        </w:rPr>
        <w:drawing>
          <wp:anchor distT="0" distB="0" distL="114300" distR="114300" simplePos="0" relativeHeight="251659264" behindDoc="0" locked="0" layoutInCell="1" allowOverlap="1" wp14:anchorId="68F80307" wp14:editId="022BDE16">
            <wp:simplePos x="0" y="0"/>
            <wp:positionH relativeFrom="margin">
              <wp:posOffset>3297555</wp:posOffset>
            </wp:positionH>
            <wp:positionV relativeFrom="margin">
              <wp:posOffset>419100</wp:posOffset>
            </wp:positionV>
            <wp:extent cx="2553056" cy="800212"/>
            <wp:effectExtent l="0" t="0" r="0" b="0"/>
            <wp:wrapSquare wrapText="bothSides"/>
            <wp:docPr id="13714587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58715" name=""/>
                    <pic:cNvPicPr/>
                  </pic:nvPicPr>
                  <pic:blipFill>
                    <a:blip r:embed="rId10">
                      <a:extLst>
                        <a:ext uri="{28A0092B-C50C-407E-A947-70E740481C1C}">
                          <a14:useLocalDpi xmlns:a14="http://schemas.microsoft.com/office/drawing/2010/main" val="0"/>
                        </a:ext>
                      </a:extLst>
                    </a:blip>
                    <a:stretch>
                      <a:fillRect/>
                    </a:stretch>
                  </pic:blipFill>
                  <pic:spPr>
                    <a:xfrm>
                      <a:off x="0" y="0"/>
                      <a:ext cx="2553056" cy="800212"/>
                    </a:xfrm>
                    <a:prstGeom prst="rect">
                      <a:avLst/>
                    </a:prstGeom>
                  </pic:spPr>
                </pic:pic>
              </a:graphicData>
            </a:graphic>
          </wp:anchor>
        </w:drawing>
      </w:r>
    </w:p>
    <w:p w14:paraId="78322C00" w14:textId="77777777" w:rsidR="001E20A8" w:rsidRPr="00E87F7A" w:rsidRDefault="001E20A8" w:rsidP="001E20A8">
      <w:pPr>
        <w:spacing w:after="0" w:line="276" w:lineRule="auto"/>
        <w:rPr>
          <w:rFonts w:ascii="Verdana" w:eastAsia="Calibri" w:hAnsi="Verdana" w:cs="Arial"/>
          <w:lang w:val="es-ES" w:eastAsia="es-ES"/>
        </w:rPr>
      </w:pPr>
      <w:r w:rsidRPr="00E87F7A">
        <w:rPr>
          <w:rFonts w:ascii="Verdana" w:eastAsia="Calibri" w:hAnsi="Verdana" w:cs="Arial"/>
          <w:lang w:val="es-ES" w:eastAsia="es-ES"/>
        </w:rPr>
        <w:t>Señor</w:t>
      </w:r>
    </w:p>
    <w:p w14:paraId="37CEF9E1" w14:textId="77777777" w:rsidR="001E20A8" w:rsidRPr="00E87F7A" w:rsidRDefault="001E20A8" w:rsidP="001E20A8">
      <w:pPr>
        <w:spacing w:after="0" w:line="276" w:lineRule="auto"/>
        <w:rPr>
          <w:rFonts w:ascii="Verdana" w:eastAsia="Calibri" w:hAnsi="Verdana" w:cs="Arial"/>
          <w:sz w:val="20"/>
          <w:szCs w:val="20"/>
          <w:lang w:val="es-ES" w:eastAsia="es-ES"/>
        </w:rPr>
      </w:pPr>
      <w:r w:rsidRPr="00E87F7A">
        <w:rPr>
          <w:rFonts w:ascii="Verdana" w:eastAsia="Calibri" w:hAnsi="Verdana" w:cs="Arial"/>
          <w:b/>
          <w:bCs/>
          <w:lang w:val="es-ES" w:eastAsia="es-ES"/>
        </w:rPr>
        <w:t>MARLON ALAIN MOSQUERA TEJADA</w:t>
      </w:r>
      <w:r w:rsidRPr="00E87F7A">
        <w:rPr>
          <w:rFonts w:ascii="Verdana" w:eastAsia="Calibri" w:hAnsi="Verdana" w:cs="Arial"/>
          <w:lang w:val="es-ES" w:eastAsia="es-ES"/>
        </w:rPr>
        <w:t xml:space="preserve"> </w:t>
      </w:r>
    </w:p>
    <w:p w14:paraId="1A550C93" w14:textId="77777777" w:rsidR="001E20A8" w:rsidRPr="00E87F7A" w:rsidRDefault="001E20A8" w:rsidP="001E20A8">
      <w:pPr>
        <w:spacing w:after="0" w:line="276" w:lineRule="auto"/>
        <w:rPr>
          <w:rFonts w:ascii="Verdana" w:hAnsi="Verdana"/>
        </w:rPr>
      </w:pPr>
      <w:hyperlink r:id="rId11" w:history="1">
        <w:r w:rsidRPr="00E87F7A">
          <w:rPr>
            <w:rStyle w:val="Hipervnculo"/>
            <w:rFonts w:ascii="Verdana" w:hAnsi="Verdana"/>
          </w:rPr>
          <w:t>marlonmosqueratejada@gmail.com</w:t>
        </w:r>
      </w:hyperlink>
    </w:p>
    <w:p w14:paraId="4BD02317" w14:textId="77777777" w:rsidR="001E20A8" w:rsidRPr="003034A8" w:rsidRDefault="001E20A8" w:rsidP="001E20A8">
      <w:pPr>
        <w:spacing w:after="0" w:line="276" w:lineRule="auto"/>
        <w:rPr>
          <w:rFonts w:ascii="Verdana" w:hAnsi="Verdana"/>
          <w:color w:val="6699FF"/>
        </w:rPr>
      </w:pPr>
      <w:r>
        <w:rPr>
          <w:rStyle w:val="Hipervnculo"/>
          <w:rFonts w:ascii="Verdana" w:hAnsi="Verdana"/>
          <w:color w:val="000000" w:themeColor="text1"/>
          <w:u w:val="none"/>
        </w:rPr>
        <w:t>Florencia, Caquetá</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1E20A8" w:rsidRPr="003034A8" w14:paraId="6427870B" w14:textId="77777777">
        <w:trPr>
          <w:trHeight w:val="488"/>
        </w:trPr>
        <w:tc>
          <w:tcPr>
            <w:tcW w:w="3119" w:type="dxa"/>
          </w:tcPr>
          <w:p w14:paraId="0ADF1255" w14:textId="77777777" w:rsidR="001E20A8" w:rsidRPr="003034A8" w:rsidRDefault="001E20A8">
            <w:pPr>
              <w:spacing w:line="276" w:lineRule="auto"/>
              <w:jc w:val="both"/>
              <w:rPr>
                <w:rFonts w:ascii="Verdana" w:eastAsia="Calibri" w:hAnsi="Verdana" w:cs="Arial"/>
                <w:b/>
                <w:bCs/>
                <w:lang w:val="es-ES_tradnl" w:eastAsia="es-ES_tradnl"/>
              </w:rPr>
            </w:pPr>
          </w:p>
        </w:tc>
        <w:tc>
          <w:tcPr>
            <w:tcW w:w="6114" w:type="dxa"/>
            <w:hideMark/>
          </w:tcPr>
          <w:p w14:paraId="2ACF0CB7" w14:textId="77777777" w:rsidR="001E20A8" w:rsidRPr="003034A8" w:rsidRDefault="001E20A8">
            <w:pPr>
              <w:spacing w:line="276" w:lineRule="auto"/>
              <w:jc w:val="both"/>
              <w:rPr>
                <w:rFonts w:ascii="Verdana" w:eastAsia="Calibri" w:hAnsi="Verdana" w:cs="Arial"/>
                <w:b/>
                <w:bCs/>
                <w:lang w:val="es-ES" w:eastAsia="es-ES"/>
              </w:rPr>
            </w:pPr>
            <w:r w:rsidRPr="062DF579">
              <w:rPr>
                <w:rFonts w:ascii="Verdana" w:eastAsia="Calibri" w:hAnsi="Verdana" w:cs="Arial"/>
                <w:b/>
                <w:bCs/>
                <w:lang w:val="es-ES" w:eastAsia="es-ES"/>
              </w:rPr>
              <w:t>Concepto C – 1</w:t>
            </w:r>
            <w:r>
              <w:rPr>
                <w:rFonts w:ascii="Verdana" w:eastAsia="Calibri" w:hAnsi="Verdana" w:cs="Arial"/>
                <w:b/>
                <w:bCs/>
                <w:lang w:val="es-ES" w:eastAsia="es-ES"/>
              </w:rPr>
              <w:t>412</w:t>
            </w:r>
            <w:r w:rsidRPr="062DF579">
              <w:rPr>
                <w:rFonts w:ascii="Verdana" w:eastAsia="Calibri" w:hAnsi="Verdana" w:cs="Arial"/>
                <w:b/>
                <w:bCs/>
                <w:lang w:val="es-ES" w:eastAsia="es-ES"/>
              </w:rPr>
              <w:t xml:space="preserve"> de 2026</w:t>
            </w:r>
          </w:p>
        </w:tc>
      </w:tr>
      <w:tr w:rsidR="001E20A8" w:rsidRPr="00375AFD" w14:paraId="32D76D65" w14:textId="77777777">
        <w:trPr>
          <w:trHeight w:val="999"/>
        </w:trPr>
        <w:tc>
          <w:tcPr>
            <w:tcW w:w="3119" w:type="dxa"/>
            <w:hideMark/>
          </w:tcPr>
          <w:p w14:paraId="5B74A489" w14:textId="77777777" w:rsidR="001E20A8" w:rsidRPr="00375AFD" w:rsidRDefault="001E20A8">
            <w:pPr>
              <w:spacing w:line="276" w:lineRule="auto"/>
              <w:jc w:val="both"/>
              <w:rPr>
                <w:rFonts w:ascii="Verdana" w:eastAsia="Calibri" w:hAnsi="Verdana" w:cs="Arial"/>
                <w:lang w:val="es-ES_tradnl" w:eastAsia="es-ES_tradnl"/>
              </w:rPr>
            </w:pPr>
            <w:r w:rsidRPr="00375AFD">
              <w:rPr>
                <w:rFonts w:ascii="Verdana" w:eastAsia="Calibri" w:hAnsi="Verdana" w:cs="Arial"/>
                <w:b/>
                <w:lang w:val="es-ES_tradnl" w:eastAsia="es-ES_tradnl"/>
              </w:rPr>
              <w:t>Temas:</w:t>
            </w:r>
            <w:r w:rsidRPr="00375AFD">
              <w:rPr>
                <w:rFonts w:ascii="Verdana" w:eastAsia="Calibri" w:hAnsi="Verdana" w:cs="Arial"/>
                <w:lang w:val="es-ES_tradnl" w:eastAsia="es-ES_tradnl"/>
              </w:rPr>
              <w:t xml:space="preserve">                   </w:t>
            </w:r>
          </w:p>
        </w:tc>
        <w:tc>
          <w:tcPr>
            <w:tcW w:w="6114" w:type="dxa"/>
          </w:tcPr>
          <w:p w14:paraId="24D8F90F" w14:textId="27F8CCCB" w:rsidR="001E20A8" w:rsidRPr="00B43ABC" w:rsidRDefault="001E20A8">
            <w:pPr>
              <w:jc w:val="both"/>
              <w:rPr>
                <w:rFonts w:ascii="Verdana" w:eastAsia="Calibri" w:hAnsi="Verdana" w:cs="Times New Roman"/>
                <w:bCs/>
                <w:lang w:val="es-ES_tradnl"/>
              </w:rPr>
            </w:pPr>
            <w:r w:rsidRPr="000F6264">
              <w:rPr>
                <w:rFonts w:ascii="Verdana" w:eastAsia="Calibri" w:hAnsi="Verdana" w:cs="Arial"/>
                <w:lang w:val="es-ES" w:eastAsia="es-ES"/>
              </w:rPr>
              <w:t xml:space="preserve">SECOP I </w:t>
            </w:r>
            <w:r w:rsidR="00A46353">
              <w:rPr>
                <w:rFonts w:ascii="Verdana" w:eastAsia="Calibri" w:hAnsi="Verdana" w:cs="Arial"/>
                <w:lang w:val="es-ES" w:eastAsia="es-ES"/>
              </w:rPr>
              <w:t xml:space="preserve">- </w:t>
            </w:r>
            <w:r w:rsidRPr="000F6264">
              <w:rPr>
                <w:rFonts w:ascii="Verdana" w:eastAsia="Calibri" w:hAnsi="Verdana" w:cs="Arial"/>
                <w:lang w:val="es-ES" w:eastAsia="es-ES"/>
              </w:rPr>
              <w:t xml:space="preserve">Principio de Publicidad y Transparencia / OFERTA – Apertura – Publicidad – </w:t>
            </w:r>
            <w:proofErr w:type="spellStart"/>
            <w:r w:rsidRPr="000F6264">
              <w:rPr>
                <w:rFonts w:ascii="Verdana" w:eastAsia="Calibri" w:hAnsi="Verdana" w:cs="Arial"/>
                <w:lang w:val="es-ES" w:eastAsia="es-ES"/>
              </w:rPr>
              <w:t>Secop</w:t>
            </w:r>
            <w:proofErr w:type="spellEnd"/>
            <w:r w:rsidRPr="000F6264">
              <w:rPr>
                <w:rFonts w:ascii="Verdana" w:eastAsia="Calibri" w:hAnsi="Verdana" w:cs="Arial"/>
                <w:lang w:val="es-ES" w:eastAsia="es-ES"/>
              </w:rPr>
              <w:t xml:space="preserve"> / OFERTA – Principio de transparencia – Acceso de los interesados</w:t>
            </w:r>
          </w:p>
        </w:tc>
      </w:tr>
      <w:tr w:rsidR="001E20A8" w:rsidRPr="00C14F81" w14:paraId="5CFDEC1F" w14:textId="77777777">
        <w:trPr>
          <w:trHeight w:val="93"/>
        </w:trPr>
        <w:tc>
          <w:tcPr>
            <w:tcW w:w="3119" w:type="dxa"/>
            <w:hideMark/>
          </w:tcPr>
          <w:p w14:paraId="0D8C9755" w14:textId="77777777" w:rsidR="001E20A8" w:rsidRPr="0043467D" w:rsidRDefault="001E20A8">
            <w:pPr>
              <w:spacing w:line="276" w:lineRule="auto"/>
              <w:jc w:val="both"/>
              <w:rPr>
                <w:rFonts w:ascii="Verdana" w:eastAsia="Calibri" w:hAnsi="Verdana" w:cs="Arial"/>
                <w:b/>
                <w:lang w:val="es-ES_tradnl" w:eastAsia="es-ES_tradnl"/>
              </w:rPr>
            </w:pPr>
            <w:r w:rsidRPr="0043467D">
              <w:rPr>
                <w:rFonts w:ascii="Verdana" w:eastAsia="Calibri" w:hAnsi="Verdana" w:cs="Arial"/>
                <w:b/>
                <w:lang w:val="es-ES_tradnl" w:eastAsia="es-ES_tradnl"/>
              </w:rPr>
              <w:t xml:space="preserve">Radicación:               </w:t>
            </w:r>
          </w:p>
        </w:tc>
        <w:tc>
          <w:tcPr>
            <w:tcW w:w="6114" w:type="dxa"/>
          </w:tcPr>
          <w:p w14:paraId="659650F9" w14:textId="77777777" w:rsidR="001E20A8" w:rsidRPr="00885F78" w:rsidRDefault="001E20A8">
            <w:pPr>
              <w:spacing w:line="276" w:lineRule="auto"/>
              <w:jc w:val="both"/>
              <w:rPr>
                <w:rFonts w:ascii="Verdana" w:eastAsia="Calibri" w:hAnsi="Verdana" w:cs="Arial"/>
                <w:bCs/>
                <w:lang w:eastAsia="es-ES_tradnl"/>
              </w:rPr>
            </w:pPr>
            <w:r w:rsidRPr="0043467D">
              <w:rPr>
                <w:rFonts w:ascii="Verdana" w:eastAsia="Calibri" w:hAnsi="Verdana" w:cs="Arial"/>
                <w:bCs/>
                <w:lang w:val="es-ES_tradnl" w:eastAsia="es-ES_tradnl"/>
              </w:rPr>
              <w:t xml:space="preserve">Respuesta a consulta con radicado </w:t>
            </w:r>
            <w:r w:rsidRPr="0043467D">
              <w:rPr>
                <w:rFonts w:ascii="Verdana" w:eastAsia="Calibri" w:hAnsi="Verdana" w:cs="Arial"/>
                <w:bCs/>
                <w:lang w:eastAsia="es-ES_tradnl"/>
              </w:rPr>
              <w:t xml:space="preserve">No. </w:t>
            </w:r>
            <w:r w:rsidRPr="00885F78">
              <w:rPr>
                <w:rFonts w:ascii="Verdana" w:eastAsia="Calibri" w:hAnsi="Verdana" w:cs="Arial"/>
                <w:bCs/>
                <w:lang w:eastAsia="es-ES_tradnl"/>
              </w:rPr>
              <w:t>1_2026_09_08_011899</w:t>
            </w:r>
          </w:p>
          <w:p w14:paraId="52AD4A08" w14:textId="77777777" w:rsidR="001E20A8" w:rsidRPr="0043467D" w:rsidRDefault="001E20A8">
            <w:pPr>
              <w:spacing w:line="276" w:lineRule="auto"/>
              <w:jc w:val="both"/>
              <w:rPr>
                <w:rFonts w:ascii="Verdana" w:eastAsia="Calibri" w:hAnsi="Verdana" w:cs="Arial"/>
                <w:bCs/>
                <w:lang w:eastAsia="es-ES_tradnl"/>
              </w:rPr>
            </w:pPr>
          </w:p>
        </w:tc>
      </w:tr>
    </w:tbl>
    <w:p w14:paraId="1A5889AB" w14:textId="77777777" w:rsidR="001E20A8" w:rsidRPr="002E6765" w:rsidRDefault="001E20A8" w:rsidP="001E20A8">
      <w:pPr>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Estimad</w:t>
      </w:r>
      <w:r>
        <w:rPr>
          <w:rFonts w:ascii="Verdana" w:eastAsia="Calibri" w:hAnsi="Verdana" w:cs="Arial"/>
          <w:bCs/>
          <w:lang w:val="es-ES" w:eastAsia="es-ES"/>
        </w:rPr>
        <w:t>os</w:t>
      </w:r>
      <w:r w:rsidRPr="002E6765">
        <w:rPr>
          <w:rFonts w:ascii="Verdana" w:eastAsia="Calibri" w:hAnsi="Verdana" w:cs="Arial"/>
          <w:bCs/>
          <w:lang w:val="es-ES" w:eastAsia="es-ES"/>
        </w:rPr>
        <w:t xml:space="preserve"> Señor</w:t>
      </w:r>
      <w:r>
        <w:rPr>
          <w:rFonts w:ascii="Verdana" w:eastAsia="Calibri" w:hAnsi="Verdana" w:cs="Arial"/>
          <w:bCs/>
          <w:lang w:val="es-ES" w:eastAsia="es-ES"/>
        </w:rPr>
        <w:t>es</w:t>
      </w:r>
      <w:r w:rsidRPr="002E6765">
        <w:rPr>
          <w:rFonts w:ascii="Verdana" w:eastAsia="Calibri" w:hAnsi="Verdana" w:cs="Arial"/>
          <w:bCs/>
          <w:lang w:val="es-ES" w:eastAsia="es-ES"/>
        </w:rPr>
        <w:t xml:space="preserve">, cordial saludo:  </w:t>
      </w:r>
    </w:p>
    <w:p w14:paraId="51A6263C" w14:textId="77777777" w:rsidR="001E20A8" w:rsidRPr="002E6765" w:rsidRDefault="001E20A8" w:rsidP="001E20A8">
      <w:pPr>
        <w:tabs>
          <w:tab w:val="left" w:pos="3768"/>
        </w:tabs>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ab/>
      </w:r>
    </w:p>
    <w:p w14:paraId="6E159FB7" w14:textId="77777777" w:rsidR="001E20A8" w:rsidRPr="002E6765" w:rsidRDefault="001E20A8" w:rsidP="001E20A8">
      <w:pPr>
        <w:spacing w:after="0" w:line="276" w:lineRule="auto"/>
        <w:jc w:val="both"/>
        <w:rPr>
          <w:rFonts w:ascii="Verdana" w:eastAsia="Calibri" w:hAnsi="Verdana" w:cs="Arial"/>
          <w:lang w:val="es-ES" w:eastAsia="es-ES"/>
        </w:rPr>
      </w:pPr>
      <w:r w:rsidRPr="002E6765">
        <w:rPr>
          <w:rFonts w:ascii="Verdana" w:eastAsia="Calibri" w:hAnsi="Verdana" w:cs="Arial"/>
          <w:lang w:val="es-ES" w:eastAsia="es-ES"/>
        </w:rPr>
        <w:t>En ejercicio de la competencia otorgada por los artículos 3, numeral 5º, y 11, numeral 8º, del Decreto Ley 4170 de 2011,</w:t>
      </w:r>
      <w:r w:rsidRPr="002E6765">
        <w:rPr>
          <w:rFonts w:ascii="Verdana" w:eastAsia="Arial MT" w:hAnsi="Verdana" w:cs="Arial MT"/>
          <w:lang w:val="es-ES" w:eastAsia="es-ES"/>
        </w:rPr>
        <w:t xml:space="preserve"> </w:t>
      </w:r>
      <w:r w:rsidRPr="002E6765">
        <w:rPr>
          <w:rFonts w:ascii="Verdana" w:eastAsia="Calibri" w:hAnsi="Verdana" w:cs="Arial"/>
        </w:rPr>
        <w:t xml:space="preserve">así como lo establecido en el artículo 4 de la Resolución 1707 de 2018 expedida por esta Entidad, </w:t>
      </w:r>
      <w:r w:rsidRPr="002E6765">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 xml:space="preserve">08 de septiembre </w:t>
      </w:r>
      <w:r w:rsidRPr="002E6765">
        <w:rPr>
          <w:rFonts w:ascii="Verdana" w:eastAsia="Calibri" w:hAnsi="Verdana" w:cs="Arial"/>
          <w:lang w:val="es-ES" w:eastAsia="es-ES"/>
        </w:rPr>
        <w:t xml:space="preserve">de 2026, en la cual manifiesta lo siguiente: </w:t>
      </w:r>
      <w:bookmarkStart w:id="1" w:name="_Hlk95313578"/>
    </w:p>
    <w:p w14:paraId="4E9D1A1A" w14:textId="77777777" w:rsidR="001E20A8" w:rsidRPr="002E6765" w:rsidRDefault="001E20A8" w:rsidP="001E20A8">
      <w:pPr>
        <w:spacing w:after="0" w:line="276" w:lineRule="auto"/>
        <w:jc w:val="both"/>
        <w:rPr>
          <w:rFonts w:ascii="Verdana" w:eastAsia="Calibri" w:hAnsi="Verdana" w:cs="Arial"/>
          <w:bCs/>
          <w:lang w:val="es-ES" w:eastAsia="es-ES"/>
        </w:rPr>
      </w:pPr>
    </w:p>
    <w:bookmarkEnd w:id="1"/>
    <w:p w14:paraId="7BFF4390" w14:textId="77777777" w:rsidR="001E20A8" w:rsidRDefault="001E20A8" w:rsidP="001E20A8">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p>
    <w:p w14:paraId="0ACFEFA4" w14:textId="77777777" w:rsidR="001E20A8" w:rsidRDefault="001E20A8" w:rsidP="001E20A8">
      <w:pPr>
        <w:spacing w:after="0" w:line="240" w:lineRule="auto"/>
        <w:ind w:left="709" w:right="709"/>
        <w:jc w:val="both"/>
        <w:rPr>
          <w:rFonts w:ascii="Verdana" w:eastAsia="Calibri" w:hAnsi="Verdana" w:cs="Arial"/>
          <w:i/>
          <w:iCs/>
          <w:sz w:val="21"/>
          <w:szCs w:val="21"/>
          <w:lang w:val="es-ES" w:eastAsia="es-ES"/>
        </w:rPr>
      </w:pPr>
    </w:p>
    <w:p w14:paraId="662911A9" w14:textId="77777777" w:rsidR="001E20A8" w:rsidRPr="0052338F" w:rsidRDefault="001E20A8" w:rsidP="001E20A8">
      <w:pPr>
        <w:spacing w:after="0" w:line="240" w:lineRule="auto"/>
        <w:ind w:left="709" w:right="709"/>
        <w:jc w:val="both"/>
        <w:rPr>
          <w:rFonts w:ascii="Verdana" w:eastAsia="Calibri" w:hAnsi="Verdana" w:cs="Arial"/>
          <w:i/>
          <w:iCs/>
          <w:sz w:val="21"/>
          <w:szCs w:val="21"/>
          <w:lang w:val="es-ES" w:eastAsia="es-ES"/>
        </w:rPr>
      </w:pPr>
      <w:r w:rsidRPr="0052338F">
        <w:rPr>
          <w:rFonts w:ascii="Verdana" w:eastAsia="Calibri" w:hAnsi="Verdana" w:cs="Arial"/>
          <w:i/>
          <w:iCs/>
          <w:sz w:val="21"/>
          <w:szCs w:val="21"/>
          <w:lang w:val="es-ES" w:eastAsia="es-ES"/>
        </w:rPr>
        <w:t xml:space="preserve">Para procesos de </w:t>
      </w:r>
      <w:proofErr w:type="spellStart"/>
      <w:r w:rsidRPr="0052338F">
        <w:rPr>
          <w:rFonts w:ascii="Verdana" w:eastAsia="Calibri" w:hAnsi="Verdana" w:cs="Arial"/>
          <w:i/>
          <w:iCs/>
          <w:sz w:val="21"/>
          <w:szCs w:val="21"/>
          <w:lang w:val="es-ES" w:eastAsia="es-ES"/>
        </w:rPr>
        <w:t>secop</w:t>
      </w:r>
      <w:proofErr w:type="spellEnd"/>
      <w:r w:rsidRPr="0052338F">
        <w:rPr>
          <w:rFonts w:ascii="Verdana" w:eastAsia="Calibri" w:hAnsi="Verdana" w:cs="Arial"/>
          <w:i/>
          <w:iCs/>
          <w:sz w:val="21"/>
          <w:szCs w:val="21"/>
          <w:lang w:val="es-ES" w:eastAsia="es-ES"/>
        </w:rPr>
        <w:t xml:space="preserve"> 1, en procesos de licitación </w:t>
      </w:r>
      <w:proofErr w:type="spellStart"/>
      <w:r w:rsidRPr="0052338F">
        <w:rPr>
          <w:rFonts w:ascii="Verdana" w:eastAsia="Calibri" w:hAnsi="Verdana" w:cs="Arial"/>
          <w:i/>
          <w:iCs/>
          <w:sz w:val="21"/>
          <w:szCs w:val="21"/>
          <w:lang w:val="es-ES" w:eastAsia="es-ES"/>
        </w:rPr>
        <w:t>publica</w:t>
      </w:r>
      <w:proofErr w:type="spellEnd"/>
      <w:r w:rsidRPr="0052338F">
        <w:rPr>
          <w:rFonts w:ascii="Verdana" w:eastAsia="Calibri" w:hAnsi="Verdana" w:cs="Arial"/>
          <w:i/>
          <w:iCs/>
          <w:sz w:val="21"/>
          <w:szCs w:val="21"/>
          <w:lang w:val="es-ES" w:eastAsia="es-ES"/>
        </w:rPr>
        <w:t xml:space="preserve"> pliego tipo;</w:t>
      </w:r>
    </w:p>
    <w:p w14:paraId="50976B3E" w14:textId="77777777" w:rsidR="001E20A8" w:rsidRDefault="001E20A8" w:rsidP="001E20A8">
      <w:pPr>
        <w:spacing w:after="0" w:line="240" w:lineRule="auto"/>
        <w:ind w:left="709" w:right="709"/>
        <w:jc w:val="both"/>
        <w:rPr>
          <w:rFonts w:ascii="Verdana" w:eastAsia="Calibri" w:hAnsi="Verdana" w:cs="Arial"/>
          <w:i/>
          <w:iCs/>
          <w:sz w:val="21"/>
          <w:szCs w:val="21"/>
          <w:lang w:val="es-ES" w:eastAsia="es-ES"/>
        </w:rPr>
      </w:pPr>
      <w:r w:rsidRPr="0052338F">
        <w:rPr>
          <w:rFonts w:ascii="Verdana" w:eastAsia="Calibri" w:hAnsi="Verdana" w:cs="Arial"/>
          <w:i/>
          <w:iCs/>
          <w:sz w:val="21"/>
          <w:szCs w:val="21"/>
          <w:lang w:val="es-ES" w:eastAsia="es-ES"/>
        </w:rPr>
        <w:t xml:space="preserve">Una vez </w:t>
      </w:r>
      <w:proofErr w:type="spellStart"/>
      <w:r w:rsidRPr="0052338F">
        <w:rPr>
          <w:rFonts w:ascii="Verdana" w:eastAsia="Calibri" w:hAnsi="Verdana" w:cs="Arial"/>
          <w:i/>
          <w:iCs/>
          <w:sz w:val="21"/>
          <w:szCs w:val="21"/>
          <w:lang w:val="es-ES" w:eastAsia="es-ES"/>
        </w:rPr>
        <w:t>recepcionada</w:t>
      </w:r>
      <w:proofErr w:type="spellEnd"/>
      <w:r w:rsidRPr="0052338F">
        <w:rPr>
          <w:rFonts w:ascii="Verdana" w:eastAsia="Calibri" w:hAnsi="Verdana" w:cs="Arial"/>
          <w:i/>
          <w:iCs/>
          <w:sz w:val="21"/>
          <w:szCs w:val="21"/>
          <w:lang w:val="es-ES" w:eastAsia="es-ES"/>
        </w:rPr>
        <w:t xml:space="preserve"> las ofertas, estas son </w:t>
      </w:r>
      <w:proofErr w:type="spellStart"/>
      <w:r w:rsidRPr="0052338F">
        <w:rPr>
          <w:rFonts w:ascii="Verdana" w:eastAsia="Calibri" w:hAnsi="Verdana" w:cs="Arial"/>
          <w:i/>
          <w:iCs/>
          <w:sz w:val="21"/>
          <w:szCs w:val="21"/>
          <w:lang w:val="es-ES" w:eastAsia="es-ES"/>
        </w:rPr>
        <w:t>aperturadas</w:t>
      </w:r>
      <w:proofErr w:type="spellEnd"/>
      <w:r w:rsidRPr="0052338F">
        <w:rPr>
          <w:rFonts w:ascii="Verdana" w:eastAsia="Calibri" w:hAnsi="Verdana" w:cs="Arial"/>
          <w:i/>
          <w:iCs/>
          <w:sz w:val="21"/>
          <w:szCs w:val="21"/>
          <w:lang w:val="es-ES" w:eastAsia="es-ES"/>
        </w:rPr>
        <w:t xml:space="preserve"> en una</w:t>
      </w:r>
      <w:r>
        <w:rPr>
          <w:rFonts w:ascii="Verdana" w:eastAsia="Calibri" w:hAnsi="Verdana" w:cs="Arial"/>
          <w:i/>
          <w:iCs/>
          <w:sz w:val="21"/>
          <w:szCs w:val="21"/>
          <w:lang w:val="es-ES" w:eastAsia="es-ES"/>
        </w:rPr>
        <w:t xml:space="preserve"> </w:t>
      </w:r>
      <w:r w:rsidRPr="0052338F">
        <w:rPr>
          <w:rFonts w:ascii="Verdana" w:eastAsia="Calibri" w:hAnsi="Verdana" w:cs="Arial"/>
          <w:i/>
          <w:iCs/>
          <w:sz w:val="21"/>
          <w:szCs w:val="21"/>
          <w:lang w:val="es-ES" w:eastAsia="es-ES"/>
        </w:rPr>
        <w:t>audiencia de cierre, los proponentes o veedores pueden de manera</w:t>
      </w:r>
      <w:r>
        <w:rPr>
          <w:rFonts w:ascii="Verdana" w:eastAsia="Calibri" w:hAnsi="Verdana" w:cs="Arial"/>
          <w:i/>
          <w:iCs/>
          <w:sz w:val="21"/>
          <w:szCs w:val="21"/>
          <w:lang w:val="es-ES" w:eastAsia="es-ES"/>
        </w:rPr>
        <w:t xml:space="preserve"> </w:t>
      </w:r>
      <w:r w:rsidRPr="0052338F">
        <w:rPr>
          <w:rFonts w:ascii="Verdana" w:eastAsia="Calibri" w:hAnsi="Verdana" w:cs="Arial"/>
          <w:i/>
          <w:iCs/>
          <w:sz w:val="21"/>
          <w:szCs w:val="21"/>
          <w:lang w:val="es-ES" w:eastAsia="es-ES"/>
        </w:rPr>
        <w:t xml:space="preserve">inmediata tomarle fotos o el </w:t>
      </w:r>
      <w:proofErr w:type="spellStart"/>
      <w:r w:rsidRPr="0052338F">
        <w:rPr>
          <w:rFonts w:ascii="Verdana" w:eastAsia="Calibri" w:hAnsi="Verdana" w:cs="Arial"/>
          <w:i/>
          <w:iCs/>
          <w:sz w:val="21"/>
          <w:szCs w:val="21"/>
          <w:lang w:val="es-ES" w:eastAsia="es-ES"/>
        </w:rPr>
        <w:t>comite</w:t>
      </w:r>
      <w:proofErr w:type="spellEnd"/>
      <w:r w:rsidRPr="0052338F">
        <w:rPr>
          <w:rFonts w:ascii="Verdana" w:eastAsia="Calibri" w:hAnsi="Verdana" w:cs="Arial"/>
          <w:i/>
          <w:iCs/>
          <w:sz w:val="21"/>
          <w:szCs w:val="21"/>
          <w:lang w:val="es-ES" w:eastAsia="es-ES"/>
        </w:rPr>
        <w:t xml:space="preserve"> evaluador debe primero revisarla</w:t>
      </w:r>
      <w:r>
        <w:rPr>
          <w:rFonts w:ascii="Verdana" w:eastAsia="Calibri" w:hAnsi="Verdana" w:cs="Arial"/>
          <w:i/>
          <w:iCs/>
          <w:sz w:val="21"/>
          <w:szCs w:val="21"/>
          <w:lang w:val="es-ES" w:eastAsia="es-ES"/>
        </w:rPr>
        <w:t xml:space="preserve"> </w:t>
      </w:r>
      <w:r w:rsidRPr="0052338F">
        <w:rPr>
          <w:rFonts w:ascii="Verdana" w:eastAsia="Calibri" w:hAnsi="Verdana" w:cs="Arial"/>
          <w:i/>
          <w:iCs/>
          <w:sz w:val="21"/>
          <w:szCs w:val="21"/>
          <w:lang w:val="es-ES" w:eastAsia="es-ES"/>
        </w:rPr>
        <w:t xml:space="preserve">que no tenga </w:t>
      </w:r>
      <w:proofErr w:type="spellStart"/>
      <w:r w:rsidRPr="0052338F">
        <w:rPr>
          <w:rFonts w:ascii="Verdana" w:eastAsia="Calibri" w:hAnsi="Verdana" w:cs="Arial"/>
          <w:i/>
          <w:iCs/>
          <w:sz w:val="21"/>
          <w:szCs w:val="21"/>
          <w:lang w:val="es-ES" w:eastAsia="es-ES"/>
        </w:rPr>
        <w:t>informacion</w:t>
      </w:r>
      <w:proofErr w:type="spellEnd"/>
      <w:r w:rsidRPr="0052338F">
        <w:rPr>
          <w:rFonts w:ascii="Verdana" w:eastAsia="Calibri" w:hAnsi="Verdana" w:cs="Arial"/>
          <w:i/>
          <w:iCs/>
          <w:sz w:val="21"/>
          <w:szCs w:val="21"/>
          <w:lang w:val="es-ES" w:eastAsia="es-ES"/>
        </w:rPr>
        <w:t xml:space="preserve"> sensible y </w:t>
      </w:r>
      <w:proofErr w:type="spellStart"/>
      <w:r w:rsidRPr="0052338F">
        <w:rPr>
          <w:rFonts w:ascii="Verdana" w:eastAsia="Calibri" w:hAnsi="Verdana" w:cs="Arial"/>
          <w:i/>
          <w:iCs/>
          <w:sz w:val="21"/>
          <w:szCs w:val="21"/>
          <w:lang w:val="es-ES" w:eastAsia="es-ES"/>
        </w:rPr>
        <w:t>despues</w:t>
      </w:r>
      <w:proofErr w:type="spellEnd"/>
      <w:r w:rsidRPr="0052338F">
        <w:rPr>
          <w:rFonts w:ascii="Verdana" w:eastAsia="Calibri" w:hAnsi="Verdana" w:cs="Arial"/>
          <w:i/>
          <w:iCs/>
          <w:sz w:val="21"/>
          <w:szCs w:val="21"/>
          <w:lang w:val="es-ES" w:eastAsia="es-ES"/>
        </w:rPr>
        <w:t xml:space="preserve"> publicarlas en la </w:t>
      </w:r>
      <w:proofErr w:type="spellStart"/>
      <w:r w:rsidRPr="0052338F">
        <w:rPr>
          <w:rFonts w:ascii="Verdana" w:eastAsia="Calibri" w:hAnsi="Verdana" w:cs="Arial"/>
          <w:i/>
          <w:iCs/>
          <w:sz w:val="21"/>
          <w:szCs w:val="21"/>
          <w:lang w:val="es-ES" w:eastAsia="es-ES"/>
        </w:rPr>
        <w:t>pagina</w:t>
      </w:r>
      <w:proofErr w:type="spellEnd"/>
      <w:r>
        <w:rPr>
          <w:rFonts w:ascii="Verdana" w:eastAsia="Calibri" w:hAnsi="Verdana" w:cs="Arial"/>
          <w:i/>
          <w:iCs/>
          <w:sz w:val="21"/>
          <w:szCs w:val="21"/>
          <w:lang w:val="es-ES" w:eastAsia="es-ES"/>
        </w:rPr>
        <w:t xml:space="preserve"> </w:t>
      </w:r>
      <w:proofErr w:type="spellStart"/>
      <w:r w:rsidRPr="0052338F">
        <w:rPr>
          <w:rFonts w:ascii="Verdana" w:eastAsia="Calibri" w:hAnsi="Verdana" w:cs="Arial"/>
          <w:i/>
          <w:iCs/>
          <w:sz w:val="21"/>
          <w:szCs w:val="21"/>
          <w:lang w:val="es-ES" w:eastAsia="es-ES"/>
        </w:rPr>
        <w:t>secop</w:t>
      </w:r>
      <w:proofErr w:type="spellEnd"/>
      <w:r w:rsidRPr="0052338F">
        <w:rPr>
          <w:rFonts w:ascii="Verdana" w:eastAsia="Calibri" w:hAnsi="Verdana" w:cs="Arial"/>
          <w:i/>
          <w:iCs/>
          <w:sz w:val="21"/>
          <w:szCs w:val="21"/>
          <w:lang w:val="es-ES" w:eastAsia="es-ES"/>
        </w:rPr>
        <w:t xml:space="preserve">; Y si van a pedir copias debe ser </w:t>
      </w:r>
      <w:proofErr w:type="gramStart"/>
      <w:r w:rsidRPr="0052338F">
        <w:rPr>
          <w:rFonts w:ascii="Verdana" w:eastAsia="Calibri" w:hAnsi="Verdana" w:cs="Arial"/>
          <w:i/>
          <w:iCs/>
          <w:sz w:val="21"/>
          <w:szCs w:val="21"/>
          <w:lang w:val="es-ES" w:eastAsia="es-ES"/>
        </w:rPr>
        <w:t>de acuerdo al</w:t>
      </w:r>
      <w:proofErr w:type="gramEnd"/>
      <w:r w:rsidRPr="0052338F">
        <w:rPr>
          <w:rFonts w:ascii="Verdana" w:eastAsia="Calibri" w:hAnsi="Verdana" w:cs="Arial"/>
          <w:i/>
          <w:iCs/>
          <w:sz w:val="21"/>
          <w:szCs w:val="21"/>
          <w:lang w:val="es-ES" w:eastAsia="es-ES"/>
        </w:rPr>
        <w:t xml:space="preserve"> derecho de </w:t>
      </w:r>
      <w:proofErr w:type="spellStart"/>
      <w:r w:rsidRPr="0052338F">
        <w:rPr>
          <w:rFonts w:ascii="Verdana" w:eastAsia="Calibri" w:hAnsi="Verdana" w:cs="Arial"/>
          <w:i/>
          <w:iCs/>
          <w:sz w:val="21"/>
          <w:szCs w:val="21"/>
          <w:lang w:val="es-ES" w:eastAsia="es-ES"/>
        </w:rPr>
        <w:t>peticion</w:t>
      </w:r>
      <w:proofErr w:type="spellEnd"/>
      <w:r w:rsidRPr="0052338F">
        <w:rPr>
          <w:rFonts w:ascii="Verdana" w:eastAsia="Calibri" w:hAnsi="Verdana" w:cs="Arial"/>
          <w:i/>
          <w:iCs/>
          <w:sz w:val="21"/>
          <w:szCs w:val="21"/>
          <w:lang w:val="es-ES" w:eastAsia="es-ES"/>
        </w:rPr>
        <w:t>;</w:t>
      </w:r>
    </w:p>
    <w:p w14:paraId="5BFA041C" w14:textId="77777777" w:rsidR="001E20A8" w:rsidRPr="0052338F" w:rsidRDefault="001E20A8" w:rsidP="001E20A8">
      <w:pPr>
        <w:spacing w:after="0" w:line="240" w:lineRule="auto"/>
        <w:ind w:left="709" w:right="709"/>
        <w:jc w:val="both"/>
        <w:rPr>
          <w:rFonts w:ascii="Verdana" w:eastAsia="Calibri" w:hAnsi="Verdana" w:cs="Arial"/>
          <w:i/>
          <w:iCs/>
          <w:sz w:val="21"/>
          <w:szCs w:val="21"/>
          <w:lang w:val="es-ES" w:eastAsia="es-ES"/>
        </w:rPr>
      </w:pPr>
    </w:p>
    <w:p w14:paraId="217C972A" w14:textId="77777777" w:rsidR="001E20A8" w:rsidRPr="0052338F" w:rsidRDefault="001E20A8" w:rsidP="001E20A8">
      <w:pPr>
        <w:spacing w:after="0" w:line="240" w:lineRule="auto"/>
        <w:ind w:left="709" w:right="709"/>
        <w:jc w:val="both"/>
        <w:rPr>
          <w:rFonts w:ascii="Verdana" w:eastAsia="Calibri" w:hAnsi="Verdana" w:cs="Arial"/>
          <w:i/>
          <w:iCs/>
          <w:sz w:val="21"/>
          <w:szCs w:val="21"/>
          <w:lang w:val="es-ES" w:eastAsia="es-ES"/>
        </w:rPr>
      </w:pPr>
      <w:r w:rsidRPr="0052338F">
        <w:rPr>
          <w:rFonts w:ascii="Verdana" w:eastAsia="Calibri" w:hAnsi="Verdana" w:cs="Arial"/>
          <w:i/>
          <w:iCs/>
          <w:sz w:val="21"/>
          <w:szCs w:val="21"/>
          <w:lang w:val="es-ES" w:eastAsia="es-ES"/>
        </w:rPr>
        <w:t>Ellos pueden obligarlo a que una vez haya cierre se publique de manera</w:t>
      </w:r>
    </w:p>
    <w:p w14:paraId="43BFFCCD" w14:textId="77777777" w:rsidR="001E20A8" w:rsidRPr="0052338F" w:rsidRDefault="001E20A8" w:rsidP="001E20A8">
      <w:pPr>
        <w:spacing w:after="0" w:line="240" w:lineRule="auto"/>
        <w:ind w:left="709" w:right="709"/>
        <w:jc w:val="both"/>
        <w:rPr>
          <w:rFonts w:ascii="Verdana" w:eastAsia="Calibri" w:hAnsi="Verdana" w:cs="Arial"/>
          <w:i/>
          <w:iCs/>
          <w:sz w:val="21"/>
          <w:szCs w:val="21"/>
          <w:lang w:val="es-ES" w:eastAsia="es-ES"/>
        </w:rPr>
      </w:pPr>
      <w:r w:rsidRPr="0052338F">
        <w:rPr>
          <w:rFonts w:ascii="Verdana" w:eastAsia="Calibri" w:hAnsi="Verdana" w:cs="Arial"/>
          <w:i/>
          <w:iCs/>
          <w:sz w:val="21"/>
          <w:szCs w:val="21"/>
          <w:lang w:val="es-ES" w:eastAsia="es-ES"/>
        </w:rPr>
        <w:t>inmediata las ofertas, o estas puede ser publicadas adjunto del informe</w:t>
      </w:r>
    </w:p>
    <w:p w14:paraId="37521672" w14:textId="77777777" w:rsidR="001E20A8" w:rsidRDefault="001E20A8" w:rsidP="001E20A8">
      <w:pPr>
        <w:spacing w:after="0" w:line="240" w:lineRule="auto"/>
        <w:ind w:left="709" w:right="709"/>
        <w:jc w:val="both"/>
        <w:rPr>
          <w:rFonts w:ascii="Verdana" w:eastAsia="Calibri" w:hAnsi="Verdana" w:cs="Arial"/>
          <w:i/>
          <w:iCs/>
          <w:sz w:val="21"/>
          <w:szCs w:val="21"/>
          <w:lang w:val="es-ES" w:eastAsia="es-ES"/>
        </w:rPr>
      </w:pPr>
      <w:r w:rsidRPr="0052338F">
        <w:rPr>
          <w:rFonts w:ascii="Verdana" w:eastAsia="Calibri" w:hAnsi="Verdana" w:cs="Arial"/>
          <w:i/>
          <w:iCs/>
          <w:sz w:val="21"/>
          <w:szCs w:val="21"/>
          <w:lang w:val="es-ES" w:eastAsia="es-ES"/>
        </w:rPr>
        <w:t xml:space="preserve">de </w:t>
      </w:r>
      <w:proofErr w:type="spellStart"/>
      <w:r w:rsidRPr="0052338F">
        <w:rPr>
          <w:rFonts w:ascii="Verdana" w:eastAsia="Calibri" w:hAnsi="Verdana" w:cs="Arial"/>
          <w:i/>
          <w:iCs/>
          <w:sz w:val="21"/>
          <w:szCs w:val="21"/>
          <w:lang w:val="es-ES" w:eastAsia="es-ES"/>
        </w:rPr>
        <w:t>evaluacion</w:t>
      </w:r>
      <w:proofErr w:type="spellEnd"/>
      <w:r w:rsidRPr="0052338F">
        <w:rPr>
          <w:rFonts w:ascii="Verdana" w:eastAsia="Calibri" w:hAnsi="Verdana" w:cs="Arial"/>
          <w:i/>
          <w:iCs/>
          <w:sz w:val="21"/>
          <w:szCs w:val="21"/>
          <w:lang w:val="es-ES" w:eastAsia="es-ES"/>
        </w:rPr>
        <w:t>:</w:t>
      </w:r>
    </w:p>
    <w:p w14:paraId="6333E250" w14:textId="77777777" w:rsidR="001E20A8" w:rsidRPr="002E6765" w:rsidRDefault="001E20A8" w:rsidP="001E20A8">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r w:rsidRPr="002E6765">
        <w:rPr>
          <w:rFonts w:ascii="Verdana" w:eastAsia="Calibri" w:hAnsi="Verdana" w:cs="Arial"/>
          <w:i/>
          <w:iCs/>
          <w:sz w:val="21"/>
          <w:szCs w:val="21"/>
          <w:lang w:eastAsia="es-ES"/>
        </w:rPr>
        <w:t>”</w:t>
      </w:r>
    </w:p>
    <w:p w14:paraId="587DFB2A" w14:textId="77777777" w:rsidR="001E20A8" w:rsidRPr="002E6765" w:rsidRDefault="001E20A8" w:rsidP="001E20A8">
      <w:pPr>
        <w:spacing w:after="0" w:line="276" w:lineRule="auto"/>
        <w:ind w:left="709" w:right="709"/>
        <w:jc w:val="both"/>
        <w:rPr>
          <w:rFonts w:ascii="Verdana" w:eastAsia="Times New Roman" w:hAnsi="Verdana" w:cs="Times New Roman"/>
          <w:lang w:eastAsia="es-CO"/>
        </w:rPr>
      </w:pPr>
    </w:p>
    <w:p w14:paraId="74196DDF" w14:textId="77777777" w:rsidR="001E20A8" w:rsidRPr="002E6765" w:rsidRDefault="001E20A8" w:rsidP="001E20A8">
      <w:pPr>
        <w:spacing w:after="120" w:line="276" w:lineRule="auto"/>
        <w:ind w:firstLine="709"/>
        <w:jc w:val="both"/>
        <w:rPr>
          <w:rFonts w:ascii="Verdana" w:eastAsia="Calibri" w:hAnsi="Verdana" w:cs="Arial"/>
          <w:lang w:val="es-ES_tradnl" w:eastAsia="es-ES_tradnl"/>
        </w:rPr>
      </w:pPr>
      <w:r w:rsidRPr="002E6765">
        <w:rPr>
          <w:rFonts w:ascii="Verdana" w:eastAsia="Calibri" w:hAnsi="Verdana" w:cs="Arial"/>
          <w:lang w:val="es-ES" w:eastAsia="es-ES"/>
        </w:rPr>
        <w:t xml:space="preserve">De manera preliminar, resulta necesario resaltar que esta entidad solo tiene competencia para responder consultas sobre la aplicación de normas de </w:t>
      </w:r>
      <w:r w:rsidRPr="002E6765">
        <w:rPr>
          <w:rFonts w:ascii="Verdana" w:eastAsia="Calibri" w:hAnsi="Verdana" w:cs="Arial"/>
          <w:lang w:val="es-ES" w:eastAsia="es-ES"/>
        </w:rPr>
        <w:lastRenderedPageBreak/>
        <w:t xml:space="preserve">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6765">
        <w:rPr>
          <w:rFonts w:ascii="Verdana" w:eastAsia="Calibri" w:hAnsi="Verdana" w:cs="Arial"/>
          <w:lang w:val="es-ES_tradnl" w:eastAsia="es-ES_tradnl"/>
        </w:rPr>
        <w:tab/>
      </w:r>
    </w:p>
    <w:p w14:paraId="0E98E845" w14:textId="77777777" w:rsidR="001E20A8" w:rsidRPr="002E6765" w:rsidRDefault="001E20A8" w:rsidP="001E20A8">
      <w:pPr>
        <w:spacing w:after="0" w:line="276" w:lineRule="auto"/>
        <w:ind w:firstLine="708"/>
        <w:jc w:val="both"/>
        <w:rPr>
          <w:rFonts w:ascii="Verdana" w:eastAsia="Calibri" w:hAnsi="Verdana" w:cs="Arial"/>
          <w:lang w:val="es-ES" w:eastAsia="es-ES"/>
        </w:rPr>
      </w:pPr>
      <w:r w:rsidRPr="002E6765">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B13540B" w14:textId="77777777" w:rsidR="001E20A8" w:rsidRPr="002E6765" w:rsidRDefault="001E20A8" w:rsidP="001E20A8">
      <w:pPr>
        <w:spacing w:after="0" w:line="276" w:lineRule="auto"/>
        <w:ind w:firstLine="709"/>
        <w:jc w:val="both"/>
        <w:rPr>
          <w:rFonts w:ascii="Verdana" w:eastAsia="Calibri" w:hAnsi="Verdana" w:cs="Arial"/>
          <w:lang w:val="es-ES" w:eastAsia="es-ES"/>
        </w:rPr>
      </w:pPr>
    </w:p>
    <w:p w14:paraId="4F8BED95" w14:textId="77777777" w:rsidR="001E20A8" w:rsidRPr="002E6765" w:rsidRDefault="001E20A8" w:rsidP="001E20A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E6765">
        <w:rPr>
          <w:rFonts w:ascii="Verdana" w:eastAsia="Century Gothic" w:hAnsi="Verdana" w:cs="Century Gothic"/>
          <w:b/>
          <w:bCs/>
          <w:lang w:val="es-ES"/>
        </w:rPr>
        <w:t>Problema planteado:</w:t>
      </w:r>
    </w:p>
    <w:p w14:paraId="462640D3" w14:textId="77777777" w:rsidR="001E20A8" w:rsidRPr="002E6765" w:rsidRDefault="001E20A8" w:rsidP="001E20A8">
      <w:pPr>
        <w:tabs>
          <w:tab w:val="left" w:pos="426"/>
        </w:tabs>
        <w:spacing w:after="0" w:line="276" w:lineRule="auto"/>
        <w:jc w:val="both"/>
        <w:rPr>
          <w:rFonts w:ascii="Verdana" w:eastAsia="Century Gothic" w:hAnsi="Verdana" w:cs="Century Gothic"/>
          <w:lang w:val="es-ES"/>
        </w:rPr>
      </w:pPr>
    </w:p>
    <w:p w14:paraId="24C1728F" w14:textId="43F463C4" w:rsidR="001E20A8" w:rsidRPr="002B4C98" w:rsidRDefault="001E20A8" w:rsidP="001E20A8">
      <w:pPr>
        <w:spacing w:line="276" w:lineRule="auto"/>
        <w:jc w:val="both"/>
        <w:rPr>
          <w:rFonts w:ascii="Verdana" w:eastAsia="Century Gothic" w:hAnsi="Verdana" w:cs="Century Gothic"/>
        </w:rPr>
      </w:pPr>
      <w:r w:rsidRPr="006E6BDE">
        <w:rPr>
          <w:rFonts w:ascii="Verdana" w:eastAsia="Century Gothic" w:hAnsi="Verdana" w:cs="Century Gothic"/>
        </w:rPr>
        <w:t xml:space="preserve">De acuerdo con el contenido de su solicitud, esta Agencia resolverá el siguiente problema jurídico: I). </w:t>
      </w:r>
      <w:r w:rsidR="00991803" w:rsidRPr="00991803">
        <w:rPr>
          <w:rFonts w:ascii="Verdana" w:eastAsia="Century Gothic" w:hAnsi="Verdana" w:cs="Century Gothic"/>
        </w:rPr>
        <w:t>¿Cuáles son las obligaciones de las Entidades Estatales respecto de la publicidad y el acceso a las ofertas presentadas en los procesos de licitación pública sujetos a Documentos Tipo, adelantados a través de SECOP I, una vez vencido el plazo para su presentación?</w:t>
      </w:r>
    </w:p>
    <w:p w14:paraId="2C54ADD2" w14:textId="4F91949D" w:rsidR="001E20A8" w:rsidRPr="00991803" w:rsidRDefault="001E20A8" w:rsidP="00991803">
      <w:pPr>
        <w:pStyle w:val="Prrafodelista"/>
        <w:numPr>
          <w:ilvl w:val="0"/>
          <w:numId w:val="16"/>
        </w:numPr>
        <w:spacing w:line="276" w:lineRule="auto"/>
        <w:jc w:val="both"/>
        <w:rPr>
          <w:rFonts w:ascii="Verdana" w:eastAsia="Century Gothic" w:hAnsi="Verdana" w:cs="Century Gothic"/>
        </w:rPr>
      </w:pPr>
      <w:r w:rsidRPr="00991803">
        <w:rPr>
          <w:rFonts w:ascii="Verdana" w:eastAsia="Century Gothic" w:hAnsi="Verdana" w:cs="Century Gothic"/>
          <w:b/>
          <w:bCs/>
        </w:rPr>
        <w:t>Respuesta:</w:t>
      </w:r>
    </w:p>
    <w:p w14:paraId="479D0AE9" w14:textId="77777777" w:rsidR="001E20A8" w:rsidRPr="00D87C3A" w:rsidRDefault="001E20A8" w:rsidP="001E20A8">
      <w:pPr>
        <w:pStyle w:val="Prrafodelista"/>
        <w:spacing w:line="276" w:lineRule="auto"/>
        <w:ind w:left="360"/>
        <w:jc w:val="both"/>
        <w:rPr>
          <w:rFonts w:ascii="Verdana" w:eastAsia="Century Gothic" w:hAnsi="Verdana" w:cs="Century Gothic"/>
          <w:lang w:val="es-CO"/>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E20A8" w:rsidRPr="00C14F81" w14:paraId="6E1C0204" w14:textId="77777777">
        <w:trPr>
          <w:trHeight w:val="1057"/>
        </w:trPr>
        <w:tc>
          <w:tcPr>
            <w:tcW w:w="8828" w:type="dxa"/>
            <w:tcBorders>
              <w:top w:val="dotted" w:sz="4" w:space="0" w:color="auto"/>
              <w:left w:val="dotted" w:sz="4" w:space="0" w:color="auto"/>
              <w:bottom w:val="dotted" w:sz="4" w:space="0" w:color="auto"/>
              <w:right w:val="dotted" w:sz="4" w:space="0" w:color="auto"/>
            </w:tcBorders>
          </w:tcPr>
          <w:p w14:paraId="6EB85A45" w14:textId="77777777" w:rsidR="001E20A8" w:rsidRPr="001F1F33" w:rsidRDefault="001E20A8">
            <w:pPr>
              <w:snapToGrid w:val="0"/>
              <w:spacing w:line="276" w:lineRule="auto"/>
              <w:jc w:val="both"/>
              <w:rPr>
                <w:rFonts w:ascii="Verdana" w:eastAsia="Calibri" w:hAnsi="Verdana" w:cs="Times New Roman"/>
              </w:rPr>
            </w:pPr>
            <w:r>
              <w:rPr>
                <w:rFonts w:ascii="Verdana" w:eastAsia="Calibri" w:hAnsi="Verdana" w:cs="Times New Roman"/>
              </w:rPr>
              <w:t>L</w:t>
            </w:r>
            <w:r w:rsidRPr="001F1F33">
              <w:rPr>
                <w:rFonts w:ascii="Verdana" w:eastAsia="Calibri" w:hAnsi="Verdana" w:cs="Times New Roman"/>
              </w:rPr>
              <w:t>a normativa del Sistema de Compra Pública no establece, de manera general, la obligación de celebrar una audiencia para la apertura de las ofertas ni de publicar inmediatamente la totalidad de las propuestas recibidas una vez vencido el plazo para su presentación. Sin embargo, las Entidades Estatales deben garantizar el cumplimiento de los principios de publicidad y transparencia, así como el acceso a los documentos del proceso de contratación, de conformidad con las disposiciones legales aplicables.</w:t>
            </w:r>
          </w:p>
          <w:p w14:paraId="316BE9CD" w14:textId="77777777" w:rsidR="001E20A8" w:rsidRDefault="001E20A8">
            <w:pPr>
              <w:snapToGrid w:val="0"/>
              <w:spacing w:line="276" w:lineRule="auto"/>
              <w:ind w:firstLine="709"/>
              <w:jc w:val="both"/>
              <w:rPr>
                <w:rFonts w:ascii="Verdana" w:eastAsia="Calibri" w:hAnsi="Verdana" w:cs="Times New Roman"/>
              </w:rPr>
            </w:pPr>
            <w:r w:rsidRPr="001F1F33">
              <w:rPr>
                <w:rFonts w:ascii="Verdana" w:eastAsia="Calibri" w:hAnsi="Verdana" w:cs="Times New Roman"/>
              </w:rPr>
              <w:t xml:space="preserve">En ese sentido, una vez vencido el plazo para presentar ofertas, la Entidad Estatal debe adelantar las actuaciones correspondientes al cierre del proceso y a la evaluación de las propuestas, conforme al cronograma y a las </w:t>
            </w:r>
            <w:r w:rsidRPr="001F1F33">
              <w:rPr>
                <w:rFonts w:ascii="Verdana" w:eastAsia="Calibri" w:hAnsi="Verdana" w:cs="Times New Roman"/>
              </w:rPr>
              <w:lastRenderedPageBreak/>
              <w:t>reglas previstas en los documentos del proceso. Lo anterior no significa que pueda restringir injustificadamente el acceso de los interesados a las ofertas recibidas, pues la posibilidad de consultar y obtener copia de los documentos que integran el expediente contractual debe analizarse de acuerdo con las normas que regulan el acceso a la información pública, sin perjuicio de las reservas legales que recaigan sobre información específica.</w:t>
            </w:r>
          </w:p>
          <w:p w14:paraId="1D5B3907" w14:textId="77777777" w:rsidR="00A854B9" w:rsidRPr="001F1F33" w:rsidRDefault="00A854B9">
            <w:pPr>
              <w:snapToGrid w:val="0"/>
              <w:spacing w:line="276" w:lineRule="auto"/>
              <w:ind w:firstLine="709"/>
              <w:jc w:val="both"/>
              <w:rPr>
                <w:rFonts w:ascii="Verdana" w:eastAsia="Calibri" w:hAnsi="Verdana" w:cs="Times New Roman"/>
              </w:rPr>
            </w:pPr>
          </w:p>
          <w:p w14:paraId="41A0D4DF" w14:textId="255C7EE6" w:rsidR="00C70A46" w:rsidRDefault="001E20A8" w:rsidP="00C70A46">
            <w:pPr>
              <w:snapToGrid w:val="0"/>
              <w:spacing w:line="276" w:lineRule="auto"/>
              <w:ind w:firstLine="709"/>
              <w:jc w:val="both"/>
              <w:rPr>
                <w:rFonts w:ascii="Verdana" w:eastAsia="Calibri" w:hAnsi="Verdana"/>
              </w:rPr>
            </w:pPr>
            <w:proofErr w:type="gramStart"/>
            <w:r w:rsidRPr="001F1F33">
              <w:rPr>
                <w:rFonts w:ascii="Verdana" w:eastAsia="Calibri" w:hAnsi="Verdana" w:cs="Times New Roman"/>
              </w:rPr>
              <w:t>A</w:t>
            </w:r>
            <w:proofErr w:type="gramEnd"/>
            <w:r w:rsidR="00C70A46" w:rsidRPr="00C70A46">
              <w:rPr>
                <w:rFonts w:ascii="Times New Roman" w:eastAsia="Times New Roman" w:hAnsi="Times New Roman" w:cs="Times New Roman"/>
                <w:sz w:val="24"/>
                <w:szCs w:val="24"/>
                <w:lang w:eastAsia="es-CO"/>
              </w:rPr>
              <w:t xml:space="preserve"> </w:t>
            </w:r>
            <w:r w:rsidR="00C70A46" w:rsidRPr="00C70A46">
              <w:rPr>
                <w:rFonts w:ascii="Verdana" w:eastAsia="Calibri" w:hAnsi="Verdana"/>
              </w:rPr>
              <w:t>Ahora bien, es necesario distinguir entre el deber de publicación de las ofertas en SECOP I y el derecho de acceso a los documentos que integran el expediente del proceso de contratación. En este sentido, el artículo 2.2.1.1.1.7.1 del Decreto 1082 de 2015 establece la obligación de publicar en el SECOP los documentos del proceso de contratación y, respecto de las ofertas, contempla expresamente la publicación de la propuesta del adjudicatario. En consecuencia, de esta disposición no se deriva una obligación general de publicar inmediatamente la totalidad de las ofertas una vez efectuado el cierre del proceso, ni de adjuntarlas necesariamente al informe de evaluación. Esta conclusión se refiere al deber de publicación en la plataforma y no desconoce el derecho de los interesados a consultar y obtener copia de las demás propuestas, de conformidad con las normas aplicables al acceso a la información pública y sin perjuicio de las reservas legales que puedan recaer sobre información específica.</w:t>
            </w:r>
          </w:p>
          <w:p w14:paraId="67F5FED4" w14:textId="77777777" w:rsidR="00A854B9" w:rsidRPr="00C70A46" w:rsidRDefault="00A854B9" w:rsidP="00C70A46">
            <w:pPr>
              <w:snapToGrid w:val="0"/>
              <w:spacing w:line="276" w:lineRule="auto"/>
              <w:ind w:firstLine="709"/>
              <w:jc w:val="both"/>
              <w:rPr>
                <w:rFonts w:ascii="Verdana" w:eastAsia="Calibri" w:hAnsi="Verdana"/>
              </w:rPr>
            </w:pPr>
          </w:p>
          <w:p w14:paraId="38AC7E8B" w14:textId="5667A47F" w:rsidR="00243794" w:rsidRDefault="00A057BF" w:rsidP="00243794">
            <w:pPr>
              <w:snapToGrid w:val="0"/>
              <w:spacing w:line="276" w:lineRule="auto"/>
              <w:ind w:firstLine="709"/>
              <w:jc w:val="both"/>
              <w:rPr>
                <w:rFonts w:ascii="Verdana" w:eastAsia="Calibri" w:hAnsi="Verdana" w:cs="Times New Roman"/>
              </w:rPr>
            </w:pPr>
            <w:r w:rsidRPr="00A057BF">
              <w:rPr>
                <w:rFonts w:ascii="Verdana" w:eastAsia="Calibri" w:hAnsi="Verdana"/>
              </w:rPr>
              <w:t>El acceso o la solicitud</w:t>
            </w:r>
            <w:r w:rsidR="00F642E8" w:rsidRPr="00A057BF">
              <w:rPr>
                <w:rFonts w:ascii="Verdana" w:eastAsia="Calibri" w:hAnsi="Verdana"/>
              </w:rPr>
              <w:t xml:space="preserve"> de </w:t>
            </w:r>
            <w:r w:rsidRPr="00A057BF">
              <w:rPr>
                <w:rFonts w:ascii="Verdana" w:eastAsia="Calibri" w:hAnsi="Verdana"/>
              </w:rPr>
              <w:t>copias no exige necesariamente la presentación</w:t>
            </w:r>
            <w:r w:rsidR="00F642E8" w:rsidRPr="00A057BF">
              <w:rPr>
                <w:rFonts w:ascii="Verdana" w:eastAsia="Calibri" w:hAnsi="Verdana"/>
              </w:rPr>
              <w:t xml:space="preserve"> de </w:t>
            </w:r>
            <w:r w:rsidRPr="00A057BF">
              <w:rPr>
                <w:rFonts w:ascii="Verdana" w:eastAsia="Calibri" w:hAnsi="Verdana"/>
              </w:rPr>
              <w:t xml:space="preserve">un </w:t>
            </w:r>
            <w:r w:rsidR="00F642E8" w:rsidRPr="00A057BF">
              <w:rPr>
                <w:rFonts w:ascii="Verdana" w:eastAsia="Calibri" w:hAnsi="Verdana"/>
              </w:rPr>
              <w:t xml:space="preserve">derecho de </w:t>
            </w:r>
            <w:r w:rsidRPr="00A057BF">
              <w:rPr>
                <w:rFonts w:ascii="Verdana" w:eastAsia="Calibri" w:hAnsi="Verdana"/>
              </w:rPr>
              <w:t>petición escrito</w:t>
            </w:r>
            <w:r w:rsidR="00F642E8" w:rsidRPr="00A057BF">
              <w:rPr>
                <w:rFonts w:ascii="Verdana" w:eastAsia="Calibri" w:hAnsi="Verdana"/>
              </w:rPr>
              <w:t xml:space="preserve">, pues </w:t>
            </w:r>
            <w:r w:rsidRPr="00A057BF">
              <w:rPr>
                <w:rFonts w:ascii="Verdana" w:eastAsia="Calibri" w:hAnsi="Verdana"/>
              </w:rPr>
              <w:t>las solicitudes de información pública pueden formularse por los medios previstos en la normativa aplicable</w:t>
            </w:r>
            <w:r w:rsidR="00F642E8" w:rsidRPr="00A057BF">
              <w:rPr>
                <w:rFonts w:ascii="Verdana" w:eastAsia="Calibri" w:hAnsi="Verdana"/>
              </w:rPr>
              <w:t xml:space="preserve">, sin perjuicio de </w:t>
            </w:r>
            <w:r w:rsidRPr="00A057BF">
              <w:rPr>
                <w:rFonts w:ascii="Verdana" w:eastAsia="Calibri" w:hAnsi="Verdana"/>
              </w:rPr>
              <w:t>los procedimientos que la entidad haya establecido para su atención.</w:t>
            </w:r>
            <w:r w:rsidR="00243794" w:rsidRPr="00243794">
              <w:rPr>
                <w:rFonts w:ascii="Verdana" w:eastAsia="Calibri" w:hAnsi="Verdana" w:cs="Times New Roman"/>
              </w:rPr>
              <w:t xml:space="preserve"> En efecto, la inexistencia de un deber general de publicar inmediatamente la totalidad de las ofertas una vez efectuado el cierre del proceso no faculta a la Entidad Estatal para restringir injustificadamente el acceso a los documentos públicos que integran el expediente contractual. En consecuencia, las solicitudes de consulta y reproducción deberán atenderse de conformidad con las normas aplicables en materia de transparencia y acceso a la información pública, sin perjuicio de la protección de la información clasificada o reservada por disposición legal.</w:t>
            </w:r>
          </w:p>
          <w:p w14:paraId="5C4D0B84" w14:textId="77777777" w:rsidR="00A854B9" w:rsidRPr="00243794" w:rsidRDefault="00A854B9" w:rsidP="00243794">
            <w:pPr>
              <w:snapToGrid w:val="0"/>
              <w:spacing w:line="276" w:lineRule="auto"/>
              <w:ind w:firstLine="709"/>
              <w:jc w:val="both"/>
              <w:rPr>
                <w:rFonts w:ascii="Verdana" w:eastAsia="Calibri" w:hAnsi="Verdana" w:cs="Times New Roman"/>
              </w:rPr>
            </w:pPr>
          </w:p>
          <w:p w14:paraId="4C7F6A72" w14:textId="77777777" w:rsidR="00243794" w:rsidRPr="00243794" w:rsidRDefault="00243794" w:rsidP="00243794">
            <w:pPr>
              <w:snapToGrid w:val="0"/>
              <w:spacing w:line="276" w:lineRule="auto"/>
              <w:ind w:firstLine="709"/>
              <w:jc w:val="both"/>
              <w:rPr>
                <w:rFonts w:ascii="Verdana" w:eastAsia="Calibri" w:hAnsi="Verdana" w:cs="Times New Roman"/>
              </w:rPr>
            </w:pPr>
            <w:r w:rsidRPr="00243794">
              <w:rPr>
                <w:rFonts w:ascii="Verdana" w:eastAsia="Calibri" w:hAnsi="Verdana" w:cs="Times New Roman"/>
              </w:rPr>
              <w:lastRenderedPageBreak/>
              <w:t>En este sentido, no existe una regla general que obligue al comité evaluador a revisar previamente la totalidad de las propuestas como condición para permitir el acceso a ellas, ni una disposición que establezca, de manera general, que los proponentes o veedores puedan tomar fotografías de las ofertas inmediatamente después del cierre del proceso. Por tanto, corresponde a la Entidad Estatal adoptar las medidas necesarias para garantizar el acceso a los documentos públicos y, al mismo tiempo, proteger la información sometida legalmente a reserva o clasificación, sin extender dichas restricciones a la totalidad de las propuestas cuando no exista fundamento jurídico para ello.</w:t>
            </w:r>
          </w:p>
          <w:p w14:paraId="283106B9" w14:textId="77777777" w:rsidR="00684730" w:rsidRDefault="00684730">
            <w:pPr>
              <w:snapToGrid w:val="0"/>
              <w:spacing w:line="276" w:lineRule="auto"/>
              <w:ind w:firstLine="709"/>
              <w:jc w:val="both"/>
              <w:rPr>
                <w:rFonts w:ascii="Verdana" w:eastAsia="Calibri" w:hAnsi="Verdana" w:cs="Times New Roman"/>
              </w:rPr>
            </w:pPr>
          </w:p>
          <w:p w14:paraId="05F0488D" w14:textId="77777777" w:rsidR="001E20A8" w:rsidRPr="001F1F33" w:rsidRDefault="001E20A8" w:rsidP="00684730">
            <w:pPr>
              <w:snapToGrid w:val="0"/>
              <w:spacing w:line="276" w:lineRule="auto"/>
              <w:ind w:firstLine="709"/>
              <w:jc w:val="both"/>
              <w:rPr>
                <w:rFonts w:ascii="Verdana" w:eastAsia="Calibri" w:hAnsi="Verdana" w:cs="Times New Roman"/>
              </w:rPr>
            </w:pPr>
          </w:p>
        </w:tc>
      </w:tr>
    </w:tbl>
    <w:p w14:paraId="43864784" w14:textId="77777777" w:rsidR="001E20A8" w:rsidRPr="00C14F81" w:rsidRDefault="001E20A8" w:rsidP="001E20A8">
      <w:pPr>
        <w:tabs>
          <w:tab w:val="left" w:pos="142"/>
          <w:tab w:val="left" w:pos="284"/>
        </w:tabs>
        <w:spacing w:before="240" w:after="0" w:line="276" w:lineRule="auto"/>
        <w:ind w:left="142" w:hanging="142"/>
        <w:jc w:val="both"/>
        <w:rPr>
          <w:rFonts w:ascii="Verdana" w:eastAsia="Century Gothic" w:hAnsi="Verdana" w:cs="Century Gothic"/>
          <w:b/>
          <w:bCs/>
          <w:color w:val="6699FF"/>
          <w:lang w:val="es-ES"/>
        </w:rPr>
      </w:pPr>
    </w:p>
    <w:p w14:paraId="11727ABB" w14:textId="77777777" w:rsidR="001E20A8" w:rsidRPr="0028088A" w:rsidRDefault="001E20A8" w:rsidP="001E20A8">
      <w:pPr>
        <w:numPr>
          <w:ilvl w:val="0"/>
          <w:numId w:val="16"/>
        </w:numPr>
        <w:tabs>
          <w:tab w:val="left" w:pos="142"/>
          <w:tab w:val="left" w:pos="284"/>
        </w:tabs>
        <w:spacing w:before="240" w:after="0" w:line="276" w:lineRule="auto"/>
        <w:contextualSpacing/>
        <w:jc w:val="both"/>
        <w:rPr>
          <w:rFonts w:ascii="Verdana" w:eastAsia="Calibri" w:hAnsi="Verdana" w:cs="Arial"/>
          <w:lang w:val="es-ES" w:eastAsia="es-MX"/>
        </w:rPr>
      </w:pPr>
      <w:r w:rsidRPr="0028088A">
        <w:rPr>
          <w:rFonts w:ascii="Verdana" w:eastAsia="Century Gothic" w:hAnsi="Verdana" w:cs="Century Gothic"/>
          <w:b/>
          <w:bCs/>
          <w:lang w:val="es-ES"/>
        </w:rPr>
        <w:t>Razones de la respuesta:</w:t>
      </w:r>
    </w:p>
    <w:p w14:paraId="6FDB215C" w14:textId="77777777" w:rsidR="001E20A8" w:rsidRPr="0028088A" w:rsidRDefault="001E20A8" w:rsidP="001E20A8">
      <w:pPr>
        <w:tabs>
          <w:tab w:val="left" w:pos="142"/>
          <w:tab w:val="left" w:pos="284"/>
        </w:tabs>
        <w:spacing w:after="0" w:line="276" w:lineRule="auto"/>
        <w:contextualSpacing/>
        <w:jc w:val="both"/>
        <w:rPr>
          <w:rFonts w:ascii="Verdana" w:eastAsia="Century Gothic" w:hAnsi="Verdana" w:cs="Century Gothic"/>
          <w:b/>
          <w:bCs/>
          <w:lang w:val="es-ES"/>
        </w:rPr>
      </w:pPr>
    </w:p>
    <w:p w14:paraId="449BC6ED" w14:textId="77777777" w:rsidR="001E20A8" w:rsidRPr="0028088A" w:rsidRDefault="001E20A8" w:rsidP="001E20A8">
      <w:pPr>
        <w:tabs>
          <w:tab w:val="left" w:pos="142"/>
          <w:tab w:val="left" w:pos="284"/>
        </w:tabs>
        <w:spacing w:after="0" w:line="276" w:lineRule="auto"/>
        <w:contextualSpacing/>
        <w:jc w:val="both"/>
        <w:rPr>
          <w:rFonts w:ascii="Verdana" w:eastAsia="Calibri" w:hAnsi="Verdana" w:cs="Arial"/>
          <w:lang w:val="es-ES" w:eastAsia="es-MX"/>
        </w:rPr>
      </w:pPr>
      <w:r w:rsidRPr="0028088A">
        <w:rPr>
          <w:rFonts w:ascii="Verdana" w:eastAsia="Calibri" w:hAnsi="Verdana" w:cs="Arial"/>
          <w:lang w:val="es-ES" w:eastAsia="es-MX"/>
        </w:rPr>
        <w:t xml:space="preserve">Lo anterior se sustenta en las siguientes consideraciones: </w:t>
      </w:r>
    </w:p>
    <w:p w14:paraId="272B395B" w14:textId="77777777" w:rsidR="001E20A8" w:rsidRPr="0028088A" w:rsidRDefault="001E20A8" w:rsidP="001E20A8">
      <w:pPr>
        <w:spacing w:after="0" w:line="276" w:lineRule="auto"/>
        <w:jc w:val="both"/>
        <w:rPr>
          <w:rFonts w:ascii="Verdana" w:eastAsia="Calibri" w:hAnsi="Verdana" w:cs="Arial"/>
          <w:lang w:val="es-ES" w:eastAsia="es-MX"/>
        </w:rPr>
      </w:pPr>
    </w:p>
    <w:p w14:paraId="404427EF" w14:textId="77777777" w:rsidR="001E20A8" w:rsidRPr="00600F09" w:rsidRDefault="001E20A8" w:rsidP="001E20A8">
      <w:pPr>
        <w:spacing w:after="0" w:line="276" w:lineRule="auto"/>
        <w:jc w:val="both"/>
        <w:rPr>
          <w:rFonts w:ascii="Verdana" w:eastAsia="Calibri" w:hAnsi="Verdana" w:cs="Arial"/>
          <w:lang w:val="es-ES"/>
        </w:rPr>
      </w:pPr>
      <w:r w:rsidRPr="0028088A">
        <w:rPr>
          <w:rFonts w:ascii="Verdana" w:eastAsia="Aptos" w:hAnsi="Verdana" w:cs="Arial"/>
          <w:lang w:eastAsia="es-MX"/>
        </w:rPr>
        <w:t xml:space="preserve">I). </w:t>
      </w:r>
      <w:r>
        <w:rPr>
          <w:rFonts w:ascii="Verdana" w:eastAsia="Arial" w:hAnsi="Verdana" w:cs="Arial"/>
          <w:lang w:val="es-ES"/>
        </w:rPr>
        <w:t xml:space="preserve">  </w:t>
      </w:r>
      <w:r w:rsidRPr="00600F09">
        <w:rPr>
          <w:rFonts w:ascii="Verdana" w:eastAsia="Calibri" w:hAnsi="Verdana" w:cs="Arial"/>
          <w:lang w:val="es-ES"/>
        </w:rPr>
        <w:t xml:space="preserve">Lo anterior se sustenta en las siguientes consideraciones: </w:t>
      </w:r>
    </w:p>
    <w:p w14:paraId="11BCC76E" w14:textId="77777777" w:rsidR="001E20A8" w:rsidRPr="00600F09" w:rsidRDefault="001E20A8" w:rsidP="001E20A8">
      <w:pPr>
        <w:spacing w:after="0" w:line="276" w:lineRule="auto"/>
        <w:ind w:firstLine="709"/>
        <w:jc w:val="both"/>
        <w:rPr>
          <w:rFonts w:ascii="Verdana" w:eastAsia="Calibri" w:hAnsi="Verdana" w:cs="Arial"/>
          <w:lang w:val="es-ES"/>
        </w:rPr>
      </w:pPr>
    </w:p>
    <w:p w14:paraId="123B8501" w14:textId="77777777" w:rsidR="001E20A8" w:rsidRDefault="001E20A8" w:rsidP="001E20A8">
      <w:pPr>
        <w:spacing w:after="0"/>
        <w:ind w:firstLine="709"/>
        <w:jc w:val="both"/>
        <w:rPr>
          <w:rFonts w:ascii="Verdana" w:eastAsia="Calibri" w:hAnsi="Verdana" w:cs="Arial"/>
          <w:color w:val="000000" w:themeColor="text1"/>
        </w:rPr>
      </w:pPr>
      <w:r w:rsidRPr="00B402A8">
        <w:rPr>
          <w:rFonts w:ascii="Verdana" w:eastAsia="Calibri" w:hAnsi="Verdana" w:cs="Arial"/>
        </w:rPr>
        <w:t xml:space="preserve">En lo que respecta a los principios de publicidad y transparencia en los procesos de contratación pública, </w:t>
      </w:r>
      <w:r w:rsidRPr="00B402A8">
        <w:rPr>
          <w:rFonts w:ascii="Verdana" w:eastAsia="Calibri" w:hAnsi="Verdana" w:cs="Arial"/>
          <w:color w:val="000000" w:themeColor="text1"/>
        </w:rPr>
        <w:t>la Agencia Nacional de Contratación Pública – Colombia Compra Eficiente ha indicado que estos principios se encuentran unidos desde el propio Estatuto General de Contratación Pública, de manera que, en virtud del principio de transparencia, las actuaciones desplegadas durante el proceso de selección de contratistas serán públicas. Con todo, el principio de transparencia guarda estrecha relación con otros principios que orientan la contratación pública, como el de igualdad, imparcialidad y selección objetiva</w:t>
      </w:r>
      <w:r w:rsidRPr="00600F09">
        <w:rPr>
          <w:vertAlign w:val="superscript"/>
        </w:rPr>
        <w:footnoteReference w:id="2"/>
      </w:r>
      <w:r w:rsidRPr="00B402A8">
        <w:rPr>
          <w:rFonts w:ascii="Verdana" w:eastAsia="Calibri" w:hAnsi="Verdana" w:cs="Arial"/>
          <w:color w:val="000000" w:themeColor="text1"/>
        </w:rPr>
        <w:t>.  </w:t>
      </w:r>
    </w:p>
    <w:p w14:paraId="106A3A21" w14:textId="77777777" w:rsidR="001E20A8" w:rsidRPr="00C05987" w:rsidRDefault="001E20A8" w:rsidP="001E20A8">
      <w:pPr>
        <w:spacing w:after="0"/>
        <w:ind w:firstLine="709"/>
        <w:jc w:val="both"/>
        <w:rPr>
          <w:rFonts w:ascii="Verdana" w:eastAsia="Calibri" w:hAnsi="Verdana" w:cs="Arial"/>
        </w:rPr>
      </w:pPr>
    </w:p>
    <w:p w14:paraId="5644B165" w14:textId="77777777" w:rsidR="001E20A8" w:rsidRDefault="001E20A8" w:rsidP="001E20A8">
      <w:pPr>
        <w:spacing w:after="0"/>
        <w:ind w:firstLine="709"/>
        <w:jc w:val="both"/>
        <w:rPr>
          <w:rFonts w:ascii="Verdana" w:eastAsia="Calibri" w:hAnsi="Verdana" w:cs="Arial"/>
        </w:rPr>
      </w:pPr>
      <w:r w:rsidRPr="00B402A8">
        <w:rPr>
          <w:rFonts w:ascii="Verdana" w:eastAsia="Calibri" w:hAnsi="Verdana" w:cs="Arial"/>
          <w:color w:val="000000" w:themeColor="text1"/>
        </w:rPr>
        <w:t>A su vez, se ha señalado</w:t>
      </w:r>
      <w:r w:rsidRPr="00600F09">
        <w:rPr>
          <w:rStyle w:val="Refdenotaalpie"/>
          <w:rFonts w:ascii="Verdana" w:eastAsia="Calibri" w:hAnsi="Verdana" w:cs="Arial"/>
          <w:color w:val="000000" w:themeColor="text1"/>
        </w:rPr>
        <w:footnoteReference w:id="3"/>
      </w:r>
      <w:r w:rsidRPr="00B402A8">
        <w:rPr>
          <w:rFonts w:ascii="Verdana" w:eastAsia="Calibri" w:hAnsi="Verdana" w:cs="Arial"/>
          <w:color w:val="000000" w:themeColor="text1"/>
        </w:rPr>
        <w:t xml:space="preserve"> que el desarrollo del principio de publicidad admite diversas formas de realización; cuestión que debe ser determinada por la autoridad legislativa. En esta medida y en relación con la consulta concreta, es posible observar que, aunque la norma no determina expresamente la celebración de una audiencia para la apertura de sobres, este mecanismo no es </w:t>
      </w:r>
      <w:r w:rsidRPr="00B402A8">
        <w:rPr>
          <w:rFonts w:ascii="Verdana" w:eastAsia="Calibri" w:hAnsi="Verdana" w:cs="Arial"/>
          <w:color w:val="000000" w:themeColor="text1"/>
        </w:rPr>
        <w:lastRenderedPageBreak/>
        <w:t xml:space="preserve">el único mediante el cual puede garantizarse el principio de transparencia dentro de un proceso de selección. </w:t>
      </w:r>
    </w:p>
    <w:p w14:paraId="24564C61" w14:textId="77777777" w:rsidR="001E20A8" w:rsidRPr="00C05987" w:rsidRDefault="001E20A8" w:rsidP="001E20A8">
      <w:pPr>
        <w:spacing w:after="0"/>
        <w:ind w:firstLine="709"/>
        <w:jc w:val="both"/>
        <w:rPr>
          <w:rFonts w:ascii="Verdana" w:eastAsia="Calibri" w:hAnsi="Verdana" w:cs="Arial"/>
        </w:rPr>
      </w:pPr>
    </w:p>
    <w:p w14:paraId="1DBCF32B" w14:textId="77777777" w:rsidR="001E20A8" w:rsidRDefault="001E20A8" w:rsidP="001E20A8">
      <w:pPr>
        <w:spacing w:after="0"/>
        <w:ind w:firstLine="709"/>
        <w:jc w:val="both"/>
        <w:rPr>
          <w:rFonts w:ascii="Verdana" w:eastAsia="Calibri" w:hAnsi="Verdana" w:cs="Arial"/>
        </w:rPr>
      </w:pPr>
      <w:r w:rsidRPr="00B402A8">
        <w:rPr>
          <w:rFonts w:ascii="Verdana" w:eastAsia="Calibri" w:hAnsi="Verdana" w:cs="Arial"/>
          <w:color w:val="000000" w:themeColor="text1"/>
        </w:rPr>
        <w:t xml:space="preserve">Aunque la normativa vigente no determina de manera expresa que se deba adelantar una audiencia para la apertura de sobres dentro de los procesos objeto de consulta, la Circular Externa Única proferida por la Agencia Nacional de Contratación Pública – Colombia Compra Eficiente ha fijado un criterio para determinar la necesidad de dicha etapa o actuación, en el marco de los diferentes mecanismos previstos para garantizar el principio de publicidad. </w:t>
      </w:r>
    </w:p>
    <w:p w14:paraId="74C9687F" w14:textId="77777777" w:rsidR="001E20A8" w:rsidRPr="00B402A8" w:rsidRDefault="001E20A8" w:rsidP="001E20A8">
      <w:pPr>
        <w:spacing w:after="0"/>
        <w:ind w:firstLine="709"/>
        <w:jc w:val="both"/>
        <w:rPr>
          <w:rFonts w:ascii="Verdana" w:eastAsia="Calibri" w:hAnsi="Verdana" w:cs="Arial"/>
        </w:rPr>
      </w:pPr>
    </w:p>
    <w:p w14:paraId="6DBAD2F6" w14:textId="77777777" w:rsidR="001E20A8" w:rsidRPr="00B402A8" w:rsidRDefault="001E20A8" w:rsidP="001E20A8">
      <w:pPr>
        <w:spacing w:after="0"/>
        <w:ind w:firstLine="709"/>
        <w:jc w:val="both"/>
        <w:rPr>
          <w:rFonts w:ascii="Verdana" w:eastAsia="Calibri" w:hAnsi="Verdana" w:cs="Arial"/>
        </w:rPr>
      </w:pPr>
      <w:r w:rsidRPr="00B402A8">
        <w:rPr>
          <w:rFonts w:ascii="Verdana" w:eastAsia="Calibri" w:hAnsi="Verdana" w:cs="Arial"/>
          <w:color w:val="000000" w:themeColor="text1"/>
        </w:rPr>
        <w:t>La referida circular indica que cuando el proceso de contratación s</w:t>
      </w:r>
      <w:r>
        <w:rPr>
          <w:rFonts w:ascii="Verdana" w:eastAsia="Calibri" w:hAnsi="Verdana" w:cs="Arial"/>
          <w:color w:val="000000" w:themeColor="text1"/>
        </w:rPr>
        <w:t xml:space="preserve">e </w:t>
      </w:r>
      <w:r w:rsidRPr="00B402A8">
        <w:rPr>
          <w:rFonts w:ascii="Verdana" w:eastAsia="Calibri" w:hAnsi="Verdana" w:cs="Arial"/>
          <w:color w:val="000000" w:themeColor="text1"/>
        </w:rPr>
        <w:t xml:space="preserve">publique en SECOP I, vencido el termino para presentar ofertas, la Entidad Estatal - sin perjuicio de lo dispuesto en el artículo </w:t>
      </w:r>
      <w:r w:rsidRPr="00B402A8">
        <w:rPr>
          <w:rFonts w:ascii="Verdana" w:hAnsi="Verdana"/>
        </w:rPr>
        <w:t>2.2.1.1.2.2.5 del Decreto 1082 de 2015 – puede realizar la apertura de las propuestas en presencia de los proponentes o veedores que deseen asistir, y elaborar un acta de cierre en la cual conste la fecha y hora de recibo de las ofertas, indicando nombre o razón social de los oferentes y sus representantes legales. Además, el acta de cierre puede incluir datos generales de las propuestas, como, por ejemplo, la presentación o no de la garantía de seriedad de la oferta, en caso de que se haya requerido, o el valor ofertado, salvo en aquellos casos en que se presente sobre económico que deba permanecer cerrado. Elaborada el acta de cierre deberá publicarse en SECOP I en el término correspondiente.</w:t>
      </w:r>
    </w:p>
    <w:p w14:paraId="333C06E7" w14:textId="77777777" w:rsidR="001E20A8" w:rsidRPr="00600F09" w:rsidRDefault="001E20A8" w:rsidP="001E20A8">
      <w:pPr>
        <w:pStyle w:val="Prrafodelista"/>
        <w:spacing w:after="0"/>
        <w:ind w:firstLine="709"/>
        <w:jc w:val="both"/>
        <w:rPr>
          <w:rFonts w:ascii="Verdana" w:eastAsia="Calibri" w:hAnsi="Verdana" w:cs="Arial"/>
          <w:lang w:val="es-CO"/>
        </w:rPr>
      </w:pPr>
    </w:p>
    <w:p w14:paraId="1AE7E2F0" w14:textId="1D4A7308" w:rsidR="001E20A8" w:rsidRDefault="001E20A8" w:rsidP="001E20A8">
      <w:pPr>
        <w:spacing w:after="0"/>
        <w:ind w:firstLine="709"/>
        <w:jc w:val="both"/>
        <w:rPr>
          <w:rFonts w:ascii="Verdana" w:eastAsia="Calibri" w:hAnsi="Verdana" w:cs="Arial"/>
        </w:rPr>
      </w:pPr>
      <w:r w:rsidRPr="00B402A8">
        <w:rPr>
          <w:rFonts w:ascii="Verdana" w:eastAsia="Calibri" w:hAnsi="Verdana" w:cs="Arial"/>
          <w:color w:val="000000" w:themeColor="text1"/>
        </w:rPr>
        <w:t>Lo anterior tiene que ver con la naturaleza de uno y otro módulo</w:t>
      </w:r>
      <w:r w:rsidRPr="00600F09">
        <w:rPr>
          <w:rStyle w:val="Refdenotaalpie"/>
          <w:rFonts w:ascii="Verdana" w:eastAsia="Calibri" w:hAnsi="Verdana" w:cs="Arial"/>
          <w:color w:val="000000" w:themeColor="text1"/>
        </w:rPr>
        <w:footnoteReference w:id="4"/>
      </w:r>
      <w:r w:rsidRPr="00B402A8">
        <w:rPr>
          <w:rFonts w:ascii="Verdana" w:eastAsia="Calibri" w:hAnsi="Verdana" w:cs="Arial"/>
          <w:color w:val="000000" w:themeColor="text1"/>
        </w:rPr>
        <w:t xml:space="preserve">, pues el SECOP I es una plataforma meramente informativa, es decir que el proceso de contratación tiene lugar fuera de ella. </w:t>
      </w:r>
    </w:p>
    <w:p w14:paraId="4CF9DE37" w14:textId="77777777" w:rsidR="001E20A8" w:rsidRPr="00B402A8" w:rsidRDefault="001E20A8" w:rsidP="001E20A8">
      <w:pPr>
        <w:spacing w:after="0"/>
        <w:ind w:firstLine="709"/>
        <w:jc w:val="both"/>
        <w:rPr>
          <w:rFonts w:ascii="Verdana" w:eastAsia="Calibri" w:hAnsi="Verdana" w:cs="Arial"/>
        </w:rPr>
      </w:pPr>
    </w:p>
    <w:p w14:paraId="28CEB355" w14:textId="23521A0A" w:rsidR="001E20A8" w:rsidRDefault="001E20A8" w:rsidP="001E20A8">
      <w:pPr>
        <w:spacing w:after="0"/>
        <w:ind w:firstLine="709"/>
        <w:jc w:val="both"/>
        <w:rPr>
          <w:rFonts w:ascii="Verdana" w:eastAsia="Calibri" w:hAnsi="Verdana" w:cs="Arial"/>
        </w:rPr>
      </w:pPr>
      <w:r w:rsidRPr="00B402A8">
        <w:rPr>
          <w:rFonts w:ascii="Verdana" w:eastAsia="Calibri" w:hAnsi="Verdana" w:cs="Arial"/>
        </w:rPr>
        <w:t xml:space="preserve">De lo expuesto, se concluye que </w:t>
      </w:r>
      <w:r w:rsidRPr="00B402A8">
        <w:rPr>
          <w:rFonts w:ascii="Verdana" w:eastAsia="Calibri" w:hAnsi="Verdana" w:cs="Arial"/>
          <w:color w:val="000000" w:themeColor="text1"/>
        </w:rPr>
        <w:t>la necesidad de adelantar la apertura en público de las ofertas presentadas en el marco de un proceso de contratación dependerá de la plataforma que deba surtirse para adelantar el respectivo trámite contractual. Así, en caso de que este deba tramitarse en el SECOP I, es necesario realizar la apertura pública de sobres</w:t>
      </w:r>
      <w:r w:rsidR="00544EF6">
        <w:rPr>
          <w:rFonts w:ascii="Verdana" w:eastAsia="Calibri" w:hAnsi="Verdana" w:cs="Arial"/>
          <w:color w:val="000000" w:themeColor="text1"/>
        </w:rPr>
        <w:t>.</w:t>
      </w:r>
      <w:r w:rsidRPr="00B402A8">
        <w:rPr>
          <w:rFonts w:ascii="Verdana" w:hAnsi="Verdana"/>
        </w:rPr>
        <w:t xml:space="preserve"> </w:t>
      </w:r>
    </w:p>
    <w:p w14:paraId="1CC28512" w14:textId="77777777" w:rsidR="001E20A8" w:rsidRPr="00B402A8" w:rsidRDefault="001E20A8" w:rsidP="001E20A8">
      <w:pPr>
        <w:spacing w:after="0"/>
        <w:ind w:firstLine="709"/>
        <w:jc w:val="both"/>
        <w:rPr>
          <w:rFonts w:ascii="Verdana" w:eastAsia="Calibri" w:hAnsi="Verdana" w:cs="Arial"/>
        </w:rPr>
      </w:pPr>
    </w:p>
    <w:p w14:paraId="6D77B810" w14:textId="77777777" w:rsidR="001E20A8" w:rsidRDefault="001E20A8" w:rsidP="001E20A8">
      <w:pPr>
        <w:spacing w:after="0"/>
        <w:ind w:firstLine="709"/>
        <w:jc w:val="both"/>
        <w:rPr>
          <w:rFonts w:ascii="Verdana" w:eastAsia="Calibri" w:hAnsi="Verdana" w:cs="Arial"/>
        </w:rPr>
      </w:pPr>
      <w:r w:rsidRPr="00B402A8">
        <w:rPr>
          <w:rFonts w:ascii="Verdana" w:eastAsia="Calibri" w:hAnsi="Verdana" w:cs="Arial"/>
          <w:color w:val="000000" w:themeColor="text1"/>
        </w:rPr>
        <w:t>En ese orden de ideas, en ambos casos, se garantiza el principio de publicidad, el cual puede materializarse mediante la implementación de distintos mecanismos, sin que tenga una única forma de concreción.</w:t>
      </w:r>
    </w:p>
    <w:p w14:paraId="24DD2451" w14:textId="77777777" w:rsidR="001E20A8" w:rsidRPr="00C05987" w:rsidRDefault="001E20A8" w:rsidP="001E20A8">
      <w:pPr>
        <w:spacing w:after="0"/>
        <w:ind w:firstLine="709"/>
        <w:jc w:val="both"/>
        <w:rPr>
          <w:rFonts w:ascii="Verdana" w:eastAsia="Calibri" w:hAnsi="Verdana" w:cs="Arial"/>
        </w:rPr>
      </w:pPr>
    </w:p>
    <w:p w14:paraId="52C6FD7C" w14:textId="77777777" w:rsidR="001E20A8" w:rsidRPr="00C05987" w:rsidRDefault="001E20A8" w:rsidP="001E20A8">
      <w:pPr>
        <w:spacing w:after="0"/>
        <w:ind w:firstLine="709"/>
        <w:jc w:val="both"/>
        <w:rPr>
          <w:rFonts w:ascii="Verdana" w:eastAsia="Calibri" w:hAnsi="Verdana" w:cs="Arial"/>
        </w:rPr>
      </w:pPr>
      <w:r w:rsidRPr="00B402A8">
        <w:rPr>
          <w:rFonts w:ascii="Verdana" w:eastAsia="Calibri" w:hAnsi="Verdana" w:cs="Arial"/>
        </w:rPr>
        <w:lastRenderedPageBreak/>
        <w:t xml:space="preserve">Ahora bien, es menester clarificar que, a pesar de que la entidad no tiene la obligación de abrir y publicar las ofertas en un momento determinado, ello no obsta para que los oferentes sí tengan acceso a las ofertas, solicitando una copia de estas a la entidad, de acuerdo con los principios que regulan la contratación pública. </w:t>
      </w:r>
    </w:p>
    <w:p w14:paraId="36F75185" w14:textId="77777777" w:rsidR="001E20A8" w:rsidRPr="00C05987" w:rsidRDefault="001E20A8" w:rsidP="001E20A8">
      <w:pPr>
        <w:spacing w:after="120" w:line="276" w:lineRule="auto"/>
        <w:ind w:firstLine="709"/>
        <w:jc w:val="both"/>
        <w:rPr>
          <w:rStyle w:val="Fuerte"/>
          <w:rFonts w:ascii="Verdana" w:hAnsi="Verdana" w:cs="Arial"/>
          <w:b w:val="0"/>
          <w:color w:val="000000" w:themeColor="text1"/>
        </w:rPr>
      </w:pPr>
      <w:r w:rsidRPr="00B402A8">
        <w:rPr>
          <w:rStyle w:val="Fuerte"/>
          <w:rFonts w:ascii="Verdana" w:hAnsi="Verdana" w:cs="Arial"/>
          <w:b w:val="0"/>
          <w:color w:val="000000" w:themeColor="text1"/>
        </w:rPr>
        <w:t>En los procesos de licitación pública se tiene que el informe de evaluación de las propuestas debe permanecer en la Secretaría General de la entidad estatal contratante, por el un término de cinco (5) días hábiles</w:t>
      </w:r>
      <w:r w:rsidRPr="005B4378">
        <w:rPr>
          <w:rStyle w:val="Refdenotaalpie"/>
          <w:rFonts w:ascii="Verdana" w:hAnsi="Verdana" w:cs="Arial"/>
          <w:b/>
          <w:color w:val="000000" w:themeColor="text1"/>
        </w:rPr>
        <w:footnoteReference w:id="5"/>
      </w:r>
      <w:r w:rsidRPr="00B402A8">
        <w:rPr>
          <w:rStyle w:val="Fuerte"/>
          <w:rFonts w:ascii="Verdana" w:hAnsi="Verdana" w:cs="Arial"/>
          <w:b w:val="0"/>
          <w:color w:val="000000" w:themeColor="text1"/>
        </w:rPr>
        <w:t>. En los procesos de selección de concurso de méritos y de selección abreviada de menor cuantía, las entidades estatales están en la obligación de publicar el informe de evaluación por un término de tres (3) días hábiles, mientras que en los procesos de selección de mínima cuantía ese informe de evaluación deberá publicarse al menos por el término de un (1) día hábil</w:t>
      </w:r>
      <w:r w:rsidRPr="005B4378">
        <w:rPr>
          <w:rStyle w:val="Refdenotaalpie"/>
          <w:rFonts w:ascii="Verdana" w:hAnsi="Verdana" w:cs="Arial"/>
          <w:b/>
          <w:color w:val="000000" w:themeColor="text1"/>
        </w:rPr>
        <w:footnoteReference w:id="6"/>
      </w:r>
      <w:r w:rsidRPr="00B402A8">
        <w:rPr>
          <w:rStyle w:val="Fuerte"/>
          <w:rFonts w:ascii="Verdana" w:hAnsi="Verdana" w:cs="Arial"/>
          <w:b w:val="0"/>
          <w:color w:val="000000" w:themeColor="text1"/>
        </w:rPr>
        <w:t>.</w:t>
      </w:r>
    </w:p>
    <w:p w14:paraId="48FF1C21" w14:textId="77777777" w:rsidR="001E20A8" w:rsidRPr="00B402A8" w:rsidRDefault="001E20A8" w:rsidP="001E20A8">
      <w:pPr>
        <w:spacing w:after="120" w:line="276" w:lineRule="auto"/>
        <w:ind w:firstLine="709"/>
        <w:jc w:val="both"/>
        <w:rPr>
          <w:rStyle w:val="Fuerte"/>
          <w:rFonts w:ascii="Verdana" w:hAnsi="Verdana" w:cs="Arial"/>
          <w:b w:val="0"/>
          <w:color w:val="000000" w:themeColor="text1"/>
        </w:rPr>
      </w:pPr>
      <w:r w:rsidRPr="00B402A8">
        <w:rPr>
          <w:rStyle w:val="Fuerte"/>
          <w:rFonts w:ascii="Verdana" w:hAnsi="Verdana" w:cs="Arial"/>
          <w:b w:val="0"/>
          <w:color w:val="000000" w:themeColor="text1"/>
        </w:rPr>
        <w:t xml:space="preserve">El propósito de la publicidad del informe de evaluación de las propuestas en cada uno de los procesos de selección citados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w:t>
      </w:r>
      <w:r w:rsidRPr="00B402A8">
        <w:rPr>
          <w:rStyle w:val="Fuerte"/>
          <w:rFonts w:ascii="Verdana" w:hAnsi="Verdana" w:cs="Arial"/>
          <w:b w:val="0"/>
          <w:bCs w:val="0"/>
          <w:color w:val="000000" w:themeColor="text1"/>
        </w:rPr>
        <w:t>embargo,</w:t>
      </w:r>
      <w:r w:rsidRPr="00B402A8">
        <w:rPr>
          <w:rStyle w:val="Fuerte"/>
          <w:rFonts w:ascii="Verdana" w:hAnsi="Verdana" w:cs="Arial"/>
          <w:b w:val="0"/>
          <w:color w:val="000000" w:themeColor="text1"/>
        </w:rPr>
        <w:t xml:space="preserve"> sí existe un momento límite para responder esas observaciones, el cual está determinado por el acto de adjudicación del </w:t>
      </w:r>
      <w:r w:rsidRPr="00B402A8">
        <w:rPr>
          <w:rStyle w:val="Fuerte"/>
          <w:rFonts w:ascii="Verdana" w:hAnsi="Verdana" w:cs="Arial"/>
          <w:b w:val="0"/>
          <w:color w:val="000000" w:themeColor="text1"/>
        </w:rPr>
        <w:lastRenderedPageBreak/>
        <w:t xml:space="preserve">respectivo contrato, es decir, la entidad estatal contratante antes de proferir su decisión de adjudicación del </w:t>
      </w:r>
      <w:proofErr w:type="gramStart"/>
      <w:r w:rsidRPr="00B402A8">
        <w:rPr>
          <w:rStyle w:val="Fuerte"/>
          <w:rFonts w:ascii="Verdana" w:hAnsi="Verdana" w:cs="Arial"/>
          <w:b w:val="0"/>
          <w:color w:val="000000" w:themeColor="text1"/>
        </w:rPr>
        <w:t>contrato,</w:t>
      </w:r>
      <w:proofErr w:type="gramEnd"/>
      <w:r w:rsidRPr="00B402A8">
        <w:rPr>
          <w:rStyle w:val="Fuerte"/>
          <w:rFonts w:ascii="Verdana" w:hAnsi="Verdana" w:cs="Arial"/>
          <w:b w:val="0"/>
          <w:color w:val="000000" w:themeColor="text1"/>
        </w:rPr>
        <w:t xml:space="preserve"> está en la obligación de responder las observaciones presentadas al informe de evaluación de las propuestas, como condición previa para la expedición del acto de adjudicación. </w:t>
      </w:r>
    </w:p>
    <w:p w14:paraId="7DE6FC65" w14:textId="77777777" w:rsidR="001E20A8" w:rsidRPr="00912462" w:rsidRDefault="001E20A8" w:rsidP="001E20A8">
      <w:pPr>
        <w:spacing w:after="0"/>
        <w:ind w:firstLine="709"/>
        <w:jc w:val="both"/>
        <w:rPr>
          <w:rFonts w:ascii="Verdana" w:eastAsia="Calibri" w:hAnsi="Verdana" w:cs="Arial"/>
        </w:rPr>
      </w:pPr>
      <w:r w:rsidRPr="00912462">
        <w:rPr>
          <w:rFonts w:ascii="Verdana" w:eastAsia="Calibri" w:hAnsi="Verdana" w:cs="Arial"/>
        </w:rPr>
        <w:t>El artículo 23 de la Ley 80 de 1993 regula los principios que rigen las actuaciones dentro de los procedimientos contractuales que adelantan las entidades</w:t>
      </w:r>
      <w:r w:rsidRPr="005B4378">
        <w:rPr>
          <w:rStyle w:val="Refdenotaalpie"/>
          <w:rFonts w:ascii="Verdana" w:eastAsia="Calibri" w:hAnsi="Verdana" w:cs="Arial"/>
        </w:rPr>
        <w:footnoteReference w:id="7"/>
      </w:r>
      <w:r w:rsidRPr="00912462">
        <w:rPr>
          <w:rFonts w:ascii="Verdana" w:eastAsia="Calibri" w:hAnsi="Verdana" w:cs="Arial"/>
        </w:rPr>
        <w:t>, destacándose el principio de transparencia, desarrollado por el artículo 24, que contiene las reglas que permiten a los «interesados» conocer las actuaciones contractuales, que son públicas, para poder controvertirlas a través de observaciones, conformándose así un expediente, de acuerdo con lo prescrito en la norma</w:t>
      </w:r>
      <w:r w:rsidRPr="005B4378">
        <w:rPr>
          <w:rStyle w:val="Refdenotaalpie"/>
          <w:rFonts w:ascii="Verdana" w:eastAsia="Calibri" w:hAnsi="Verdana" w:cs="Arial"/>
        </w:rPr>
        <w:footnoteReference w:id="8"/>
      </w:r>
      <w:r w:rsidRPr="00912462">
        <w:rPr>
          <w:rFonts w:ascii="Verdana" w:eastAsia="Calibri" w:hAnsi="Verdana" w:cs="Arial"/>
        </w:rPr>
        <w:t>.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14:paraId="216DA9CD" w14:textId="77777777" w:rsidR="001E20A8" w:rsidRDefault="001E20A8" w:rsidP="001E20A8">
      <w:pPr>
        <w:spacing w:after="0"/>
        <w:ind w:firstLine="709"/>
        <w:jc w:val="both"/>
        <w:rPr>
          <w:rFonts w:ascii="Verdana" w:eastAsia="Calibri" w:hAnsi="Verdana" w:cs="Arial"/>
        </w:rPr>
      </w:pPr>
    </w:p>
    <w:p w14:paraId="0717E1BC" w14:textId="77777777" w:rsidR="001E20A8" w:rsidRPr="00912462" w:rsidRDefault="001E20A8" w:rsidP="001E20A8">
      <w:pPr>
        <w:spacing w:after="0"/>
        <w:ind w:firstLine="709"/>
        <w:jc w:val="both"/>
        <w:rPr>
          <w:rFonts w:ascii="Verdana" w:eastAsia="Calibri" w:hAnsi="Verdana" w:cs="Arial"/>
        </w:rPr>
      </w:pPr>
      <w:r w:rsidRPr="00912462">
        <w:rPr>
          <w:rFonts w:ascii="Verdana" w:eastAsia="Calibri" w:hAnsi="Verdana" w:cs="Arial"/>
        </w:rPr>
        <w:t>Como se observa, la regulación del principio de transparencia menciona como intervinientes en las actuaciones del procedimiento de contratación a los «interesados», y para definirlos, se acudirá al artículo 77 de la Ley 80 de 1993, que permite aplicar las normas de los procedimientos y actuaciones administrativas a los procedimientos contractuales</w:t>
      </w:r>
      <w:r w:rsidRPr="005B4378">
        <w:rPr>
          <w:rStyle w:val="Refdenotaalpie"/>
          <w:rFonts w:ascii="Verdana" w:eastAsia="Calibri" w:hAnsi="Verdana" w:cs="Arial"/>
        </w:rPr>
        <w:footnoteReference w:id="9"/>
      </w:r>
      <w:r w:rsidRPr="00912462">
        <w:rPr>
          <w:rFonts w:ascii="Verdana" w:eastAsia="Calibri" w:hAnsi="Verdana" w:cs="Arial"/>
        </w:rPr>
        <w:t xml:space="preserve">, y por ello se resalta que el </w:t>
      </w:r>
      <w:r w:rsidRPr="00912462">
        <w:rPr>
          <w:rFonts w:ascii="Verdana" w:eastAsia="Calibri" w:hAnsi="Verdana" w:cs="Arial"/>
        </w:rPr>
        <w:lastRenderedPageBreak/>
        <w:t xml:space="preserve">Código de Procedimiento Administrativo y de lo Contencioso Administrativo  </w:t>
      </w:r>
      <w:r w:rsidRPr="00912462">
        <w:rPr>
          <w:rFonts w:ascii="Arial" w:eastAsia="Calibri" w:hAnsi="Arial" w:cs="Arial"/>
        </w:rPr>
        <w:t>̶</w:t>
      </w:r>
      <w:r w:rsidRPr="00912462">
        <w:rPr>
          <w:rFonts w:ascii="Verdana" w:eastAsia="Calibri" w:hAnsi="Verdana" w:cs="Arial"/>
        </w:rPr>
        <w:t xml:space="preserve"> CPACA </w:t>
      </w:r>
      <w:r w:rsidRPr="00912462">
        <w:rPr>
          <w:rFonts w:ascii="Arial" w:eastAsia="Calibri" w:hAnsi="Arial" w:cs="Arial"/>
        </w:rPr>
        <w:t>̶</w:t>
      </w:r>
      <w:r w:rsidRPr="00912462">
        <w:rPr>
          <w:rFonts w:ascii="Verdana" w:eastAsia="Calibri" w:hAnsi="Verdana" w:cs="Arial"/>
        </w:rPr>
        <w:t xml:space="preserve"> contiene algunas disposiciones sobre la intervención en las actuaciones administrativas.</w:t>
      </w:r>
    </w:p>
    <w:p w14:paraId="3A3BAEFB" w14:textId="77777777" w:rsidR="001E20A8" w:rsidRDefault="001E20A8" w:rsidP="001E20A8">
      <w:pPr>
        <w:spacing w:after="0"/>
        <w:ind w:firstLine="709"/>
        <w:jc w:val="both"/>
        <w:rPr>
          <w:rFonts w:ascii="Verdana" w:eastAsia="Calibri" w:hAnsi="Verdana" w:cs="Arial"/>
        </w:rPr>
      </w:pPr>
    </w:p>
    <w:p w14:paraId="1EB4AA2D" w14:textId="77777777" w:rsidR="001E20A8" w:rsidRDefault="001E20A8" w:rsidP="001E20A8">
      <w:pPr>
        <w:spacing w:after="0"/>
        <w:ind w:firstLine="709"/>
        <w:jc w:val="both"/>
        <w:rPr>
          <w:rFonts w:ascii="Verdana" w:eastAsia="Calibri" w:hAnsi="Verdana" w:cs="Arial"/>
        </w:rPr>
      </w:pPr>
      <w:r w:rsidRPr="00912462">
        <w:rPr>
          <w:rFonts w:ascii="Verdana" w:eastAsia="Calibri" w:hAnsi="Verdana" w:cs="Arial"/>
        </w:rPr>
        <w:t>Teniendo en cuenta que a través de las actuaciones contractuales se ejerce función administrativa, en ellas es posible la intervención de terceros regulada en los artículos 37 y 38 del CPACA. Por tanto, si se presentan las condiciones señaladas en tales normas, es posible que aquellos tengan las mismas oportunidades que las partes para presentar una petición</w:t>
      </w:r>
      <w:r w:rsidRPr="005B4378">
        <w:rPr>
          <w:rStyle w:val="Refdenotaalpie"/>
          <w:rFonts w:ascii="Verdana" w:eastAsia="Calibri" w:hAnsi="Verdana" w:cs="Arial"/>
        </w:rPr>
        <w:footnoteReference w:id="10"/>
      </w:r>
      <w:r w:rsidRPr="00912462">
        <w:rPr>
          <w:rFonts w:ascii="Verdana" w:eastAsia="Calibri" w:hAnsi="Verdana" w:cs="Arial"/>
        </w:rPr>
        <w:t>.</w:t>
      </w:r>
    </w:p>
    <w:p w14:paraId="46AF4BD8" w14:textId="77777777" w:rsidR="00BD4E0D" w:rsidRPr="00C05987" w:rsidRDefault="00BD4E0D" w:rsidP="001E20A8">
      <w:pPr>
        <w:spacing w:after="0"/>
        <w:ind w:firstLine="709"/>
        <w:jc w:val="both"/>
        <w:rPr>
          <w:rFonts w:ascii="Verdana" w:eastAsia="Calibri" w:hAnsi="Verdana" w:cs="Arial"/>
        </w:rPr>
      </w:pPr>
    </w:p>
    <w:p w14:paraId="13F155C5" w14:textId="77777777" w:rsidR="001E20A8" w:rsidRPr="00C05987" w:rsidRDefault="001E20A8" w:rsidP="001E20A8">
      <w:pPr>
        <w:spacing w:after="0"/>
        <w:ind w:firstLine="709"/>
        <w:jc w:val="both"/>
        <w:rPr>
          <w:rFonts w:ascii="Verdana" w:eastAsia="Calibri" w:hAnsi="Verdana" w:cs="Arial"/>
        </w:rPr>
      </w:pPr>
      <w:r w:rsidRPr="00C05987">
        <w:rPr>
          <w:rFonts w:ascii="Verdana" w:eastAsia="Calibri" w:hAnsi="Verdana" w:cs="Arial"/>
        </w:rPr>
        <w:t xml:space="preserve">En ese sentido, el CPACA dispone quienes son las «partes» en una actuación administrativa que, como se expuso, es aplicable a los procedimientos contractuales, y ese concepto contribuye a aclarar lo que se debe entender cuando se habla de «interesados», es decir, a quienes les afecta o les concierne los actos de una autoridad administrativa, al tener que asumir las consecuencias </w:t>
      </w:r>
      <w:r w:rsidRPr="00C05987">
        <w:rPr>
          <w:rFonts w:ascii="Verdana" w:eastAsia="Calibri" w:hAnsi="Verdana" w:cs="Arial"/>
        </w:rPr>
        <w:lastRenderedPageBreak/>
        <w:t>que se deriven de ello, y también complementa estas nociones, al disponer que los terceros pueden llegar a tener los mismos derechos que las partes en ciertas circunstancias.</w:t>
      </w:r>
    </w:p>
    <w:p w14:paraId="2C741CBE" w14:textId="77777777" w:rsidR="001E20A8" w:rsidRDefault="001E20A8" w:rsidP="001E20A8">
      <w:pPr>
        <w:spacing w:after="0"/>
        <w:ind w:firstLine="709"/>
        <w:jc w:val="both"/>
        <w:rPr>
          <w:rFonts w:ascii="Verdana" w:eastAsia="Calibri" w:hAnsi="Verdana" w:cs="Arial"/>
        </w:rPr>
      </w:pPr>
      <w:r w:rsidRPr="00C05987">
        <w:rPr>
          <w:rFonts w:ascii="Verdana" w:eastAsia="Calibri" w:hAnsi="Verdana" w:cs="Arial"/>
        </w:rPr>
        <w:t>Ahora bien, los «interesados» en los procedimientos de selección pueden solicitar la copia de las ofertas mediante una petición de documentos a la entidad contratante, de acuerdo con el artículo 14 de la Ley 1437 de 2011, y la entidad tiene un plazo máximo de diez (10) días para responder, so pena de que, vencido el término, deba entregar los documentos, sin la posibilidad de rechazar la solicitud, lo cual se debe cumplir en un plazo de tres (3) días</w:t>
      </w:r>
      <w:r w:rsidRPr="00600F09">
        <w:rPr>
          <w:rStyle w:val="Refdenotaalpie"/>
          <w:rFonts w:ascii="Verdana" w:eastAsia="Calibri" w:hAnsi="Verdana" w:cs="Arial"/>
        </w:rPr>
        <w:footnoteReference w:id="11"/>
      </w:r>
      <w:r w:rsidRPr="00C05987">
        <w:rPr>
          <w:rFonts w:ascii="Verdana" w:eastAsia="Calibri" w:hAnsi="Verdana" w:cs="Arial"/>
        </w:rPr>
        <w:t>.</w:t>
      </w:r>
    </w:p>
    <w:p w14:paraId="7D7F6502" w14:textId="77777777" w:rsidR="001E20A8" w:rsidRPr="00C05987" w:rsidRDefault="001E20A8" w:rsidP="001E20A8">
      <w:pPr>
        <w:spacing w:after="0"/>
        <w:ind w:firstLine="709"/>
        <w:jc w:val="both"/>
        <w:rPr>
          <w:rFonts w:ascii="Verdana" w:eastAsia="Calibri" w:hAnsi="Verdana" w:cs="Arial"/>
        </w:rPr>
      </w:pPr>
    </w:p>
    <w:p w14:paraId="1B530294" w14:textId="77777777" w:rsidR="001E20A8" w:rsidRDefault="001E20A8" w:rsidP="001E20A8">
      <w:pPr>
        <w:spacing w:after="0"/>
        <w:ind w:firstLine="709"/>
        <w:jc w:val="both"/>
        <w:rPr>
          <w:rFonts w:ascii="Verdana" w:eastAsia="Calibri" w:hAnsi="Verdana" w:cs="Arial"/>
        </w:rPr>
      </w:pPr>
      <w:r w:rsidRPr="00C05987">
        <w:rPr>
          <w:rFonts w:ascii="Verdana" w:eastAsia="Calibri" w:hAnsi="Verdana" w:cs="Arial"/>
        </w:rPr>
        <w:t>Esas solicitudes versan sobre documentos públicos, teniendo en cuenta que la Ley 1712 de 2014, en el artículo 4, señala que las personas pueden conocer la información pública que posea un sujeto obligado; quienes son las entidades públicas, en general, entre otros</w:t>
      </w:r>
      <w:r w:rsidRPr="00600F09">
        <w:rPr>
          <w:rStyle w:val="Refdenotaalpie"/>
          <w:rFonts w:ascii="Verdana" w:eastAsia="Calibri" w:hAnsi="Verdana" w:cs="Arial"/>
        </w:rPr>
        <w:footnoteReference w:id="12"/>
      </w:r>
      <w:r w:rsidRPr="00C05987">
        <w:rPr>
          <w:rFonts w:ascii="Verdana" w:eastAsia="Calibri" w:hAnsi="Verdana" w:cs="Arial"/>
        </w:rPr>
        <w:t xml:space="preserve">. Y el artículo 6 define la información pública como «toda información que un sujeto obligado </w:t>
      </w:r>
      <w:proofErr w:type="gramStart"/>
      <w:r w:rsidRPr="00C05987">
        <w:rPr>
          <w:rFonts w:ascii="Verdana" w:eastAsia="Calibri" w:hAnsi="Verdana" w:cs="Arial"/>
        </w:rPr>
        <w:t>genere,</w:t>
      </w:r>
      <w:proofErr w:type="gramEnd"/>
      <w:r w:rsidRPr="00C05987">
        <w:rPr>
          <w:rFonts w:ascii="Verdana" w:eastAsia="Calibri" w:hAnsi="Verdana" w:cs="Arial"/>
        </w:rPr>
        <w:t xml:space="preserve"> obtenga, adquiera, o controle en su calidad de tal», como es el caso de las ofertas que </w:t>
      </w:r>
      <w:r w:rsidRPr="00C05987">
        <w:rPr>
          <w:rFonts w:ascii="Verdana" w:eastAsia="Calibri" w:hAnsi="Verdana" w:cs="Arial"/>
        </w:rPr>
        <w:lastRenderedPageBreak/>
        <w:t>recibe en sus procedimientos contractuales, ya que las obtiene y controla por su rol de contratante</w:t>
      </w:r>
      <w:r w:rsidRPr="00600F09">
        <w:rPr>
          <w:rStyle w:val="Refdenotaalpie"/>
          <w:rFonts w:ascii="Verdana" w:eastAsia="Calibri" w:hAnsi="Verdana" w:cs="Arial"/>
        </w:rPr>
        <w:footnoteReference w:id="13"/>
      </w:r>
      <w:r w:rsidRPr="00C05987">
        <w:rPr>
          <w:rFonts w:ascii="Verdana" w:eastAsia="Calibri" w:hAnsi="Verdana" w:cs="Arial"/>
        </w:rPr>
        <w:t>.</w:t>
      </w:r>
    </w:p>
    <w:p w14:paraId="5A969D30" w14:textId="77777777" w:rsidR="001E20A8" w:rsidRPr="00C05987" w:rsidRDefault="001E20A8" w:rsidP="001E20A8">
      <w:pPr>
        <w:spacing w:after="0"/>
        <w:ind w:firstLine="709"/>
        <w:jc w:val="both"/>
        <w:rPr>
          <w:rFonts w:ascii="Verdana" w:eastAsia="Calibri" w:hAnsi="Verdana" w:cs="Arial"/>
        </w:rPr>
      </w:pPr>
    </w:p>
    <w:p w14:paraId="5F1927D5" w14:textId="77777777" w:rsidR="001E20A8" w:rsidRPr="008415A2" w:rsidRDefault="001E20A8" w:rsidP="001E20A8">
      <w:pPr>
        <w:spacing w:after="120" w:line="276" w:lineRule="auto"/>
        <w:jc w:val="both"/>
        <w:rPr>
          <w:rFonts w:ascii="Verdana" w:hAnsi="Verdana"/>
        </w:rPr>
      </w:pPr>
      <w:r>
        <w:rPr>
          <w:rFonts w:ascii="Verdana" w:eastAsia="Calibri" w:hAnsi="Verdana" w:cs="Arial"/>
          <w:bCs/>
          <w:color w:val="000000" w:themeColor="text1"/>
        </w:rPr>
        <w:t xml:space="preserve">II).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319F7B5" w14:textId="77777777" w:rsidR="001E20A8" w:rsidRPr="00185EE9" w:rsidRDefault="001E20A8" w:rsidP="001E20A8">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640D914" w14:textId="77777777" w:rsidR="001E20A8" w:rsidRPr="00362987" w:rsidRDefault="001E20A8" w:rsidP="001E20A8">
      <w:pPr>
        <w:spacing w:after="120" w:line="276" w:lineRule="auto"/>
        <w:jc w:val="both"/>
        <w:rPr>
          <w:rFonts w:ascii="Verdana" w:eastAsia="Aptos" w:hAnsi="Verdana" w:cs="Arial"/>
          <w:lang w:eastAsia="es-MX"/>
        </w:rPr>
      </w:pPr>
    </w:p>
    <w:p w14:paraId="30D4DDE9" w14:textId="77777777" w:rsidR="001E20A8" w:rsidRDefault="001E20A8" w:rsidP="001E20A8">
      <w:pPr>
        <w:pStyle w:val="Prrafodelista"/>
        <w:numPr>
          <w:ilvl w:val="0"/>
          <w:numId w:val="18"/>
        </w:numPr>
        <w:tabs>
          <w:tab w:val="left" w:pos="970"/>
        </w:tabs>
        <w:spacing w:after="0" w:line="276" w:lineRule="auto"/>
        <w:jc w:val="both"/>
        <w:rPr>
          <w:rFonts w:ascii="Verdana" w:eastAsia="Calibri" w:hAnsi="Verdana" w:cs="Arial"/>
          <w:b/>
          <w:bCs/>
        </w:rPr>
      </w:pPr>
      <w:r w:rsidRPr="001440C6">
        <w:rPr>
          <w:rFonts w:ascii="Verdana" w:eastAsia="Calibri" w:hAnsi="Verdana" w:cs="Arial"/>
          <w:b/>
          <w:bCs/>
        </w:rPr>
        <w:t>Referencias normativas, jurisprudenciales y otras fuentes:</w:t>
      </w:r>
      <w:r w:rsidRPr="001440C6">
        <w:rPr>
          <w:rFonts w:ascii="Verdana" w:eastAsia="Calibri" w:hAnsi="Verdana" w:cs="Arial"/>
          <w:b/>
          <w:bCs/>
        </w:rPr>
        <w:tab/>
      </w:r>
    </w:p>
    <w:p w14:paraId="7152010B" w14:textId="77777777" w:rsidR="001E20A8" w:rsidRPr="001440C6" w:rsidRDefault="001E20A8" w:rsidP="001E20A8">
      <w:pPr>
        <w:pStyle w:val="Prrafodelista"/>
        <w:tabs>
          <w:tab w:val="left" w:pos="970"/>
        </w:tabs>
        <w:spacing w:after="0" w:line="276" w:lineRule="auto"/>
        <w:ind w:left="36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E20A8" w:rsidRPr="00D56B2A" w14:paraId="3E8E6C4E" w14:textId="77777777">
        <w:trPr>
          <w:trHeight w:val="242"/>
        </w:trPr>
        <w:tc>
          <w:tcPr>
            <w:tcW w:w="8640" w:type="dxa"/>
            <w:tcBorders>
              <w:top w:val="dotted" w:sz="4" w:space="0" w:color="auto"/>
              <w:left w:val="dotted" w:sz="4" w:space="0" w:color="auto"/>
              <w:bottom w:val="dotted" w:sz="4" w:space="0" w:color="auto"/>
              <w:right w:val="dotted" w:sz="4" w:space="0" w:color="auto"/>
            </w:tcBorders>
          </w:tcPr>
          <w:p w14:paraId="71FEF52F" w14:textId="77777777" w:rsidR="001E20A8" w:rsidRPr="009B0972" w:rsidRDefault="001E20A8" w:rsidP="001E20A8">
            <w:pPr>
              <w:pStyle w:val="Prrafodelista"/>
              <w:widowControl w:val="0"/>
              <w:numPr>
                <w:ilvl w:val="0"/>
                <w:numId w:val="17"/>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 xml:space="preserve">rtículo </w:t>
            </w:r>
            <w:r w:rsidRPr="009B0972">
              <w:rPr>
                <w:rFonts w:ascii="Verdana" w:hAnsi="Verdana"/>
              </w:rPr>
              <w:t xml:space="preserve">23, 24, 77 </w:t>
            </w:r>
            <w:r w:rsidRPr="009B0972">
              <w:rPr>
                <w:rFonts w:ascii="Verdana" w:hAnsi="Verdana" w:cs="Arial"/>
              </w:rPr>
              <w:t>Ley 80 de 1993</w:t>
            </w:r>
            <w:r>
              <w:rPr>
                <w:rFonts w:ascii="Verdana" w:hAnsi="Verdana" w:cs="Arial"/>
              </w:rPr>
              <w:t xml:space="preserve">. Disponible en </w:t>
            </w:r>
            <w:hyperlink r:id="rId12" w:history="1">
              <w:r w:rsidRPr="00D94C94">
                <w:rPr>
                  <w:rStyle w:val="Hipervnculo"/>
                  <w:rFonts w:ascii="Verdana" w:hAnsi="Verdana" w:cs="Arial"/>
                </w:rPr>
                <w:t>https://relatoria.colombiacompra.gov.co/normativa/ley-80-de-1993/</w:t>
              </w:r>
            </w:hyperlink>
            <w:r>
              <w:rPr>
                <w:rFonts w:ascii="Verdana" w:hAnsi="Verdana" w:cs="Arial"/>
              </w:rPr>
              <w:t xml:space="preserve"> </w:t>
            </w:r>
          </w:p>
          <w:p w14:paraId="5D110562" w14:textId="77777777" w:rsidR="001E20A8" w:rsidRPr="009B0972" w:rsidRDefault="001E20A8">
            <w:pPr>
              <w:pStyle w:val="Prrafodelista"/>
              <w:widowControl w:val="0"/>
              <w:autoSpaceDE w:val="0"/>
              <w:autoSpaceDN w:val="0"/>
              <w:spacing w:after="120" w:line="276" w:lineRule="auto"/>
              <w:jc w:val="both"/>
              <w:rPr>
                <w:rFonts w:ascii="Verdana" w:hAnsi="Verdana" w:cs="Arial"/>
                <w:lang w:val="es-CO"/>
              </w:rPr>
            </w:pPr>
          </w:p>
          <w:p w14:paraId="71085D6F" w14:textId="77777777" w:rsidR="001E20A8" w:rsidRPr="009B0972" w:rsidRDefault="001E20A8" w:rsidP="001E20A8">
            <w:pPr>
              <w:pStyle w:val="Prrafodelista"/>
              <w:widowControl w:val="0"/>
              <w:numPr>
                <w:ilvl w:val="0"/>
                <w:numId w:val="17"/>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 xml:space="preserve">rtículo </w:t>
            </w:r>
            <w:r w:rsidRPr="009B0972">
              <w:rPr>
                <w:rFonts w:ascii="Verdana" w:hAnsi="Verdana"/>
              </w:rPr>
              <w:t>2.2.1.1.2.2.5 del Decreto 1082 de 2015</w:t>
            </w:r>
            <w:r>
              <w:rPr>
                <w:rFonts w:ascii="Verdana" w:hAnsi="Verdana"/>
              </w:rPr>
              <w:t xml:space="preserve">. Disponible en </w:t>
            </w:r>
            <w:hyperlink r:id="rId13" w:history="1">
              <w:r w:rsidRPr="00D94C94">
                <w:rPr>
                  <w:rStyle w:val="Hipervnculo"/>
                  <w:rFonts w:ascii="Verdana" w:hAnsi="Verdana"/>
                </w:rPr>
                <w:t>https://relatoria.colombiacompra.gov.co/normativa/decreto-1082-de-2015/</w:t>
              </w:r>
            </w:hyperlink>
            <w:r>
              <w:rPr>
                <w:rFonts w:ascii="Verdana" w:hAnsi="Verdana"/>
              </w:rPr>
              <w:t xml:space="preserve"> </w:t>
            </w:r>
          </w:p>
          <w:p w14:paraId="68F56D8C" w14:textId="77777777" w:rsidR="001E20A8" w:rsidRPr="009B0972" w:rsidRDefault="001E20A8">
            <w:pPr>
              <w:pStyle w:val="Prrafodelista"/>
              <w:jc w:val="both"/>
              <w:rPr>
                <w:rFonts w:ascii="Verdana" w:hAnsi="Verdana"/>
              </w:rPr>
            </w:pPr>
          </w:p>
          <w:p w14:paraId="2A788860" w14:textId="77777777" w:rsidR="001E20A8" w:rsidRPr="009B0972" w:rsidRDefault="001E20A8" w:rsidP="001E20A8">
            <w:pPr>
              <w:pStyle w:val="Prrafodelista"/>
              <w:widowControl w:val="0"/>
              <w:numPr>
                <w:ilvl w:val="0"/>
                <w:numId w:val="17"/>
              </w:numPr>
              <w:autoSpaceDE w:val="0"/>
              <w:autoSpaceDN w:val="0"/>
              <w:spacing w:after="120" w:line="276" w:lineRule="auto"/>
              <w:jc w:val="both"/>
              <w:rPr>
                <w:rFonts w:ascii="Verdana" w:hAnsi="Verdana" w:cs="Arial"/>
                <w:lang w:val="es-CO"/>
              </w:rPr>
            </w:pPr>
            <w:r w:rsidRPr="009B0972">
              <w:rPr>
                <w:rFonts w:ascii="Verdana" w:hAnsi="Verdana"/>
              </w:rPr>
              <w:t>A</w:t>
            </w:r>
            <w:r w:rsidRPr="009B0972">
              <w:rPr>
                <w:rFonts w:ascii="Verdana" w:eastAsia="Calibri" w:hAnsi="Verdana" w:cs="Arial"/>
              </w:rPr>
              <w:t>rtículo 14, 37 y 38 del CPACA de la Ley 1437 de 2011 (CPACA)</w:t>
            </w:r>
            <w:r>
              <w:rPr>
                <w:rFonts w:ascii="Verdana" w:eastAsia="Calibri" w:hAnsi="Verdana" w:cs="Arial"/>
              </w:rPr>
              <w:t xml:space="preserve">. Disponible en </w:t>
            </w:r>
            <w:hyperlink r:id="rId14" w:history="1">
              <w:r w:rsidRPr="00D94C94">
                <w:rPr>
                  <w:rStyle w:val="Hipervnculo"/>
                  <w:rFonts w:ascii="Verdana" w:eastAsia="Calibri" w:hAnsi="Verdana" w:cs="Arial"/>
                </w:rPr>
                <w:t>https://relatoria.colombiacompra.gov.co/normativa/ley-1437-de-2011/</w:t>
              </w:r>
            </w:hyperlink>
            <w:r>
              <w:rPr>
                <w:rFonts w:ascii="Verdana" w:eastAsia="Calibri" w:hAnsi="Verdana" w:cs="Arial"/>
              </w:rPr>
              <w:t xml:space="preserve"> </w:t>
            </w:r>
          </w:p>
          <w:p w14:paraId="6D148FA8" w14:textId="77777777" w:rsidR="001E20A8" w:rsidRPr="009B0972" w:rsidRDefault="001E20A8">
            <w:pPr>
              <w:pStyle w:val="Prrafodelista"/>
              <w:jc w:val="both"/>
              <w:rPr>
                <w:rFonts w:ascii="Verdana" w:eastAsia="Calibri" w:hAnsi="Verdana" w:cs="Arial"/>
              </w:rPr>
            </w:pPr>
          </w:p>
          <w:p w14:paraId="48D8167E" w14:textId="77777777" w:rsidR="001E20A8" w:rsidRPr="009B0972" w:rsidRDefault="001E20A8" w:rsidP="001E20A8">
            <w:pPr>
              <w:pStyle w:val="Prrafodelista"/>
              <w:widowControl w:val="0"/>
              <w:numPr>
                <w:ilvl w:val="0"/>
                <w:numId w:val="17"/>
              </w:numPr>
              <w:autoSpaceDE w:val="0"/>
              <w:autoSpaceDN w:val="0"/>
              <w:spacing w:after="120" w:line="276" w:lineRule="auto"/>
              <w:jc w:val="both"/>
              <w:rPr>
                <w:rFonts w:ascii="Verdana" w:hAnsi="Verdana" w:cs="Arial"/>
                <w:lang w:val="es-CO"/>
              </w:rPr>
            </w:pPr>
            <w:r w:rsidRPr="009B0972">
              <w:rPr>
                <w:rFonts w:ascii="Verdana" w:eastAsia="Calibri" w:hAnsi="Verdana" w:cs="Arial"/>
              </w:rPr>
              <w:t>Artículo 4, 6 de la Ley 1712 de 2</w:t>
            </w:r>
            <w:r w:rsidRPr="00C87573">
              <w:rPr>
                <w:rFonts w:ascii="Verdana" w:eastAsia="Calibri" w:hAnsi="Verdana" w:cs="Arial"/>
              </w:rPr>
              <w:t>014</w:t>
            </w:r>
            <w:r w:rsidRPr="00C87573">
              <w:rPr>
                <w:rFonts w:ascii="Verdana" w:hAnsi="Verdana" w:cs="Arial"/>
              </w:rPr>
              <w:t xml:space="preserve">. Disponible en </w:t>
            </w:r>
            <w:hyperlink r:id="rId15" w:history="1">
              <w:r w:rsidRPr="00D94C94">
                <w:rPr>
                  <w:rStyle w:val="Hipervnculo"/>
                  <w:rFonts w:ascii="Verdana" w:hAnsi="Verdana" w:cs="Arial"/>
                </w:rPr>
                <w:t>https://relatoria.colombiacompra.gov.co/normativa/ley-1712-de-2014/</w:t>
              </w:r>
            </w:hyperlink>
            <w:r>
              <w:rPr>
                <w:rFonts w:ascii="Verdana" w:hAnsi="Verdana" w:cs="Arial"/>
              </w:rPr>
              <w:t xml:space="preserve"> </w:t>
            </w:r>
          </w:p>
          <w:p w14:paraId="24E3C05C" w14:textId="77777777" w:rsidR="001E20A8" w:rsidRPr="009B0972" w:rsidRDefault="001E20A8">
            <w:pPr>
              <w:pStyle w:val="Prrafodelista"/>
              <w:jc w:val="both"/>
              <w:rPr>
                <w:rFonts w:ascii="Verdana" w:hAnsi="Verdana" w:cs="Arial"/>
                <w:lang w:val="es-CO"/>
              </w:rPr>
            </w:pPr>
          </w:p>
          <w:p w14:paraId="50574211" w14:textId="4DFD8791" w:rsidR="001E20A8" w:rsidRPr="00BD4E0D" w:rsidRDefault="001E20A8" w:rsidP="00BD4E0D">
            <w:pPr>
              <w:widowControl w:val="0"/>
              <w:autoSpaceDE w:val="0"/>
              <w:autoSpaceDN w:val="0"/>
              <w:spacing w:after="120" w:line="276" w:lineRule="auto"/>
              <w:jc w:val="both"/>
              <w:rPr>
                <w:rFonts w:ascii="Verdana" w:hAnsi="Verdana" w:cs="Arial"/>
              </w:rPr>
            </w:pPr>
          </w:p>
        </w:tc>
      </w:tr>
    </w:tbl>
    <w:p w14:paraId="78DDB5EA" w14:textId="77777777" w:rsidR="001E20A8" w:rsidRPr="00155CC1" w:rsidRDefault="001E20A8" w:rsidP="001E20A8">
      <w:pPr>
        <w:tabs>
          <w:tab w:val="left" w:pos="142"/>
          <w:tab w:val="left" w:pos="284"/>
        </w:tabs>
        <w:spacing w:after="0" w:line="276" w:lineRule="auto"/>
        <w:jc w:val="both"/>
        <w:rPr>
          <w:rFonts w:ascii="Verdana" w:eastAsia="Calibri" w:hAnsi="Verdana" w:cs="Arial"/>
          <w:color w:val="6699FF"/>
        </w:rPr>
      </w:pPr>
    </w:p>
    <w:p w14:paraId="6C98BA15" w14:textId="77777777" w:rsidR="001E20A8" w:rsidRPr="0026211F" w:rsidRDefault="001E20A8" w:rsidP="001E20A8">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3A279D02" w14:textId="77777777" w:rsidR="001E20A8" w:rsidRPr="009E1BBA" w:rsidRDefault="001E20A8" w:rsidP="001E20A8">
      <w:pPr>
        <w:widowControl w:val="0"/>
        <w:autoSpaceDE w:val="0"/>
        <w:autoSpaceDN w:val="0"/>
        <w:spacing w:after="0" w:line="276" w:lineRule="auto"/>
        <w:jc w:val="both"/>
        <w:rPr>
          <w:rFonts w:ascii="Verdana" w:eastAsia="Calibri" w:hAnsi="Verdana" w:cs="Arial"/>
          <w:lang w:eastAsia="es-MX"/>
        </w:rPr>
      </w:pPr>
    </w:p>
    <w:p w14:paraId="1CBF266D" w14:textId="77777777" w:rsidR="001E20A8" w:rsidRDefault="001E20A8" w:rsidP="001E20A8">
      <w:pPr>
        <w:pStyle w:val="Textonotapie"/>
        <w:jc w:val="both"/>
        <w:rPr>
          <w:rFonts w:ascii="Verdana" w:hAnsi="Verdana"/>
          <w:color w:val="000000"/>
          <w:sz w:val="22"/>
          <w:szCs w:val="22"/>
          <w:shd w:val="clear" w:color="auto" w:fill="FFFFFF"/>
        </w:rPr>
      </w:pPr>
      <w:r w:rsidRPr="00C87573">
        <w:rPr>
          <w:rStyle w:val="normaltextrun"/>
          <w:rFonts w:ascii="Verdana" w:hAnsi="Verdana" w:cs="Arial"/>
          <w:sz w:val="22"/>
          <w:szCs w:val="22"/>
          <w:shd w:val="clear" w:color="auto" w:fill="FFFFFF"/>
          <w:lang w:val="es-ES"/>
        </w:rPr>
        <w:t xml:space="preserve">Sobre la presentación de ofertas y el principio de publicidad, se pronunció esta Subdirección en los conceptos 4201912000005935 del 25 de noviembre de 2019, </w:t>
      </w:r>
      <w:r w:rsidRPr="00C87573">
        <w:rPr>
          <w:rFonts w:ascii="Verdana" w:hAnsi="Verdana" w:cs="Arial"/>
          <w:sz w:val="22"/>
          <w:szCs w:val="22"/>
          <w:shd w:val="clear" w:color="auto" w:fill="FFFFFF"/>
        </w:rPr>
        <w:t>C-139 del 31 de febrero de 2020, Concepto C – 575 de 2020, C-080 del 5 de marzo de 2020, C-002 del 5 de mayo de 2020, C-093 del 22 de marzo de 2022, C-261 del 20 de mayo de 2022, C-358 del 30 de junio de 2020, C-905 del 28 de diciembre de 2022, C-313 del 31 de julio del 2023, C-324 del 20 de agosto de 2024</w:t>
      </w:r>
      <w:r>
        <w:rPr>
          <w:rFonts w:ascii="Verdana" w:hAnsi="Verdana" w:cs="Arial"/>
          <w:sz w:val="22"/>
          <w:szCs w:val="22"/>
          <w:shd w:val="clear" w:color="auto" w:fill="FFFFFF"/>
        </w:rPr>
        <w:t>, C682 del 17 de octubre de 2024</w:t>
      </w:r>
      <w:r w:rsidRPr="00C87573">
        <w:rPr>
          <w:rFonts w:ascii="Verdana" w:hAnsi="Verdana" w:cs="Arial"/>
          <w:sz w:val="22"/>
          <w:szCs w:val="22"/>
          <w:shd w:val="clear" w:color="auto" w:fill="FFFFFF"/>
        </w:rPr>
        <w:t xml:space="preserve">. </w:t>
      </w:r>
      <w:r w:rsidRPr="00C87573">
        <w:rPr>
          <w:rStyle w:val="normaltextrun"/>
          <w:rFonts w:ascii="Verdana" w:hAnsi="Verdana" w:cs="Arial"/>
          <w:sz w:val="22"/>
          <w:szCs w:val="22"/>
          <w:shd w:val="clear" w:color="auto" w:fill="FFFFFF"/>
          <w:lang w:val="es-ES"/>
        </w:rPr>
        <w:t xml:space="preserve"> </w:t>
      </w:r>
      <w:r w:rsidRPr="00C87573">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C87573">
          <w:rPr>
            <w:rStyle w:val="Hipervnculo"/>
            <w:rFonts w:ascii="Verdana" w:hAnsi="Verdana"/>
            <w:sz w:val="22"/>
            <w:szCs w:val="22"/>
            <w:bdr w:val="none" w:sz="0" w:space="0" w:color="auto" w:frame="1"/>
            <w:shd w:val="clear" w:color="auto" w:fill="FFFFFF"/>
          </w:rPr>
          <w:t>https://relatoria.colombiacompra.gov.co/</w:t>
        </w:r>
      </w:hyperlink>
      <w:r w:rsidRPr="00C87573">
        <w:rPr>
          <w:rFonts w:ascii="Verdana" w:hAnsi="Verdana"/>
          <w:color w:val="000000"/>
          <w:sz w:val="22"/>
          <w:szCs w:val="22"/>
          <w:shd w:val="clear" w:color="auto" w:fill="FFFFFF"/>
        </w:rPr>
        <w:t xml:space="preserve"> . </w:t>
      </w:r>
    </w:p>
    <w:p w14:paraId="6C31EF1F" w14:textId="77777777" w:rsidR="001E20A8" w:rsidRPr="00B0534F" w:rsidRDefault="001E20A8" w:rsidP="001E20A8">
      <w:pPr>
        <w:widowControl w:val="0"/>
        <w:autoSpaceDE w:val="0"/>
        <w:autoSpaceDN w:val="0"/>
        <w:spacing w:after="0" w:line="276" w:lineRule="auto"/>
        <w:jc w:val="both"/>
        <w:rPr>
          <w:rFonts w:ascii="Verdana" w:hAnsi="Verdana" w:cs="Arial"/>
          <w:color w:val="000000" w:themeColor="text1"/>
          <w:shd w:val="clear" w:color="auto" w:fill="FFFFFF"/>
          <w:lang w:val="es-MX"/>
        </w:rPr>
      </w:pPr>
    </w:p>
    <w:p w14:paraId="52AF7C0F" w14:textId="77777777" w:rsidR="001E20A8" w:rsidRPr="00505CD6" w:rsidRDefault="001E20A8" w:rsidP="001E20A8">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13738C5" w14:textId="77777777" w:rsidR="001E20A8" w:rsidRPr="00B55D3E" w:rsidRDefault="001E20A8" w:rsidP="001E20A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55D3E">
        <w:rPr>
          <w:rFonts w:ascii="Verdana" w:eastAsia="Calibri" w:hAnsi="Verdana" w:cs="Arial"/>
          <w:kern w:val="2"/>
          <w:shd w:val="clear" w:color="auto" w:fill="FFFFFF"/>
          <w:lang w:val="es-ES_tradnl"/>
          <w14:ligatures w14:val="standardContextual"/>
        </w:rPr>
        <w:t>La</w:t>
      </w:r>
      <w:r w:rsidRPr="00B55D3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55D3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B55D3E">
        <w:rPr>
          <w:rFonts w:ascii="Verdana" w:eastAsia="Calibri" w:hAnsi="Verdana" w:cs="Arial"/>
          <w:b/>
          <w:bCs/>
          <w:kern w:val="2"/>
          <w:shd w:val="clear" w:color="auto" w:fill="FFFFFF"/>
          <w:lang w:val="es-ES_tradnl"/>
          <w14:ligatures w14:val="standardContextual"/>
        </w:rPr>
        <w:t>Documentos Tipo</w:t>
      </w:r>
      <w:r w:rsidRPr="00B55D3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55D3E">
        <w:rPr>
          <w:rFonts w:ascii="Verdana" w:eastAsia="Calibri" w:hAnsi="Verdana" w:cs="Arial"/>
          <w:b/>
          <w:bCs/>
          <w:kern w:val="2"/>
          <w:shd w:val="clear" w:color="auto" w:fill="FFFFFF"/>
          <w:lang w:val="es-ES_tradnl"/>
          <w14:ligatures w14:val="standardContextual"/>
        </w:rPr>
        <w:t>transparencia</w:t>
      </w:r>
      <w:r w:rsidRPr="00B55D3E">
        <w:rPr>
          <w:rFonts w:ascii="Verdana" w:eastAsia="Calibri" w:hAnsi="Verdana" w:cs="Arial"/>
          <w:kern w:val="2"/>
          <w:shd w:val="clear" w:color="auto" w:fill="FFFFFF"/>
          <w:lang w:val="es-ES_tradnl"/>
          <w14:ligatures w14:val="standardContextual"/>
        </w:rPr>
        <w:t> y promover un proceso de </w:t>
      </w:r>
      <w:r w:rsidRPr="00B55D3E">
        <w:rPr>
          <w:rFonts w:ascii="Verdana" w:eastAsia="Calibri" w:hAnsi="Verdana" w:cs="Arial"/>
          <w:b/>
          <w:bCs/>
          <w:kern w:val="2"/>
          <w:shd w:val="clear" w:color="auto" w:fill="FFFFFF"/>
          <w:lang w:val="es-ES_tradnl"/>
          <w14:ligatures w14:val="standardContextual"/>
        </w:rPr>
        <w:t>selección objetiva</w:t>
      </w:r>
      <w:r w:rsidRPr="00B55D3E">
        <w:rPr>
          <w:rFonts w:ascii="Verdana" w:eastAsia="Calibri" w:hAnsi="Verdana" w:cs="Arial"/>
          <w:kern w:val="2"/>
          <w:shd w:val="clear" w:color="auto" w:fill="FFFFFF"/>
          <w:lang w:val="es-ES_tradnl"/>
          <w14:ligatures w14:val="standardContextual"/>
        </w:rPr>
        <w:t xml:space="preserve"> en la contratación pública, contribuyendo así a </w:t>
      </w:r>
      <w:r w:rsidRPr="00B55D3E">
        <w:rPr>
          <w:rFonts w:ascii="Verdana" w:eastAsia="Calibri" w:hAnsi="Verdana" w:cs="Arial"/>
          <w:kern w:val="2"/>
          <w:shd w:val="clear" w:color="auto" w:fill="FFFFFF"/>
          <w:lang w:val="es-ES_tradnl"/>
          <w14:ligatures w14:val="standardContextual"/>
        </w:rPr>
        <w:lastRenderedPageBreak/>
        <w:t>mejorar la eficiencia, la competencia y la confianza en el manejo de los recursos del Estado.</w:t>
      </w:r>
    </w:p>
    <w:p w14:paraId="2E89B7EE" w14:textId="77777777" w:rsidR="001E20A8" w:rsidRPr="00B55D3E" w:rsidRDefault="001E20A8" w:rsidP="001E20A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462018C" w14:textId="77777777" w:rsidR="001E20A8" w:rsidRPr="00B55D3E" w:rsidRDefault="001E20A8" w:rsidP="001E20A8">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B55D3E">
        <w:rPr>
          <w:rFonts w:ascii="Verdana" w:eastAsia="Aptos" w:hAnsi="Verdana" w:cs="Times New Roman"/>
          <w:b/>
          <w:bCs/>
          <w:kern w:val="2"/>
          <w14:ligatures w14:val="standardContextual"/>
        </w:rPr>
        <w:t>Guía para la Exigencia y Constitución de Garantías en los Procesos de Contratación</w:t>
      </w:r>
      <w:r w:rsidRPr="00B55D3E">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7" w:tgtFrame="_blank" w:tooltip="Original URL: https://www.colombiacompra.gov.co/archivos/manual/guia-de-garantias-en-procesos-de-contratacion. Click or tap if you trust this link." w:history="1">
        <w:r w:rsidRPr="00B55D3E">
          <w:rPr>
            <w:rFonts w:ascii="Verdana" w:eastAsia="Aptos" w:hAnsi="Verdana" w:cs="Times New Roman"/>
            <w:color w:val="0000FF"/>
            <w:kern w:val="2"/>
            <w:u w:val="single"/>
            <w14:ligatures w14:val="standardContextual"/>
          </w:rPr>
          <w:t>https://www.colombiacompra.gov.co/archivos/manual/guia-de-garantias-en-procesos-de-contratacion</w:t>
        </w:r>
      </w:hyperlink>
    </w:p>
    <w:p w14:paraId="6EE23AC3" w14:textId="77777777" w:rsidR="001E20A8" w:rsidRPr="00B55D3E" w:rsidRDefault="001E20A8" w:rsidP="001E20A8">
      <w:pPr>
        <w:spacing w:after="0" w:line="276" w:lineRule="auto"/>
        <w:jc w:val="both"/>
        <w:rPr>
          <w:rFonts w:ascii="Verdana" w:eastAsia="Aptos" w:hAnsi="Verdana" w:cs="Times New Roman"/>
          <w:kern w:val="2"/>
          <w14:ligatures w14:val="standardContextual"/>
        </w:rPr>
      </w:pPr>
    </w:p>
    <w:p w14:paraId="77F5420C" w14:textId="77777777" w:rsidR="001E20A8" w:rsidRPr="00B55D3E" w:rsidRDefault="001E20A8" w:rsidP="001E20A8">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B55D3E">
        <w:rPr>
          <w:rFonts w:ascii="Verdana" w:eastAsia="Aptos" w:hAnsi="Verdana" w:cs="Times New Roman"/>
          <w:b/>
          <w:bCs/>
          <w:kern w:val="2"/>
          <w14:ligatures w14:val="standardContextual"/>
        </w:rPr>
        <w:t>Sistema Integral de Preferencias en favor de las personas con discapacidad</w:t>
      </w:r>
      <w:r w:rsidRPr="00B55D3E">
        <w:rPr>
          <w:rFonts w:ascii="Verdana" w:eastAsia="Aptos" w:hAnsi="Verdana" w:cs="Times New Roman"/>
          <w:kern w:val="2"/>
          <w14:ligatures w14:val="standardContextual"/>
        </w:rPr>
        <w:t>, en cumplimiento del artículo 13 de la Ley Estatutaria 1618 de 2013. Para orientar su aplicación, esta Agencia expidió la </w:t>
      </w:r>
      <w:r w:rsidRPr="00B55D3E">
        <w:rPr>
          <w:rFonts w:ascii="Verdana" w:eastAsia="Aptos" w:hAnsi="Verdana" w:cs="Times New Roman"/>
          <w:b/>
          <w:bCs/>
          <w:kern w:val="2"/>
          <w14:ligatures w14:val="standardContextual"/>
        </w:rPr>
        <w:t>Circular Externa 003 del 12 de mayo de 2026, </w:t>
      </w:r>
      <w:r w:rsidRPr="00B55D3E">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8" w:tgtFrame="_blank" w:tooltip="Original URL: https://www.colombiacompra.gov.co/archivos/circular/circular-externa-003-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https://www.colombiacompra.gov.co/archivos/circular/circular-externa-003-de-2026</w:t>
        </w:r>
      </w:hyperlink>
    </w:p>
    <w:p w14:paraId="16F3C644" w14:textId="77777777" w:rsidR="001E20A8" w:rsidRPr="00B55D3E" w:rsidRDefault="001E20A8" w:rsidP="001E20A8">
      <w:pPr>
        <w:spacing w:after="0" w:line="276" w:lineRule="auto"/>
        <w:jc w:val="both"/>
        <w:rPr>
          <w:rFonts w:ascii="Verdana" w:eastAsia="Aptos" w:hAnsi="Verdana" w:cs="Times New Roman"/>
          <w:kern w:val="2"/>
          <w14:ligatures w14:val="standardContextual"/>
        </w:rPr>
      </w:pPr>
    </w:p>
    <w:p w14:paraId="2109D494" w14:textId="77777777" w:rsidR="001E20A8" w:rsidRPr="00B55D3E" w:rsidRDefault="001E20A8" w:rsidP="001E20A8">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Recuerde también que la</w:t>
      </w:r>
      <w:r w:rsidRPr="00B55D3E">
        <w:rPr>
          <w:rFonts w:ascii="Verdana" w:eastAsia="Aptos" w:hAnsi="Verdana" w:cs="Times New Roman"/>
          <w:b/>
          <w:bCs/>
          <w:kern w:val="2"/>
          <w14:ligatures w14:val="standardContextual"/>
        </w:rPr>
        <w:t> información sobre sanciones e inhabilidades </w:t>
      </w:r>
      <w:r w:rsidRPr="00B55D3E">
        <w:rPr>
          <w:rFonts w:ascii="Verdana" w:eastAsia="Aptos" w:hAnsi="Verdana" w:cs="Times New Roman"/>
          <w:kern w:val="2"/>
          <w14:ligatures w14:val="standardContextual"/>
        </w:rPr>
        <w:t>solo cumple su función preventiva si llega oportunamente a los registros públicos. Sobre este deber, esta Agencia expidió la </w:t>
      </w:r>
      <w:r w:rsidRPr="00B55D3E">
        <w:rPr>
          <w:rFonts w:ascii="Verdana" w:eastAsia="Aptos" w:hAnsi="Verdana" w:cs="Times New Roman"/>
          <w:b/>
          <w:bCs/>
          <w:kern w:val="2"/>
          <w14:ligatures w14:val="standardContextual"/>
        </w:rPr>
        <w:t>Circular Externa 002 del 5 de mayo de 2026,</w:t>
      </w:r>
      <w:r w:rsidRPr="00B55D3E">
        <w:rPr>
          <w:rFonts w:ascii="Verdana" w:eastAsia="Aptos" w:hAnsi="Verdana" w:cs="Times New Roman"/>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B55D3E">
        <w:rPr>
          <w:rFonts w:ascii="Verdana" w:eastAsia="Aptos" w:hAnsi="Verdana" w:cs="Times New Roman"/>
          <w:kern w:val="2"/>
          <w14:ligatures w14:val="standardContextual"/>
        </w:rPr>
        <w:lastRenderedPageBreak/>
        <w:t>aquí: </w:t>
      </w:r>
      <w:hyperlink r:id="rId19" w:tgtFrame="_blank" w:tooltip="Original URL: https://www.colombiacompra.gov.co/archivos/circular/circular-externa-002-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https://www.colombiacompra.gov.co/archivos/circular/circular-externa-002-de-2026</w:t>
        </w:r>
      </w:hyperlink>
    </w:p>
    <w:p w14:paraId="112CFC3F" w14:textId="77777777" w:rsidR="001E20A8" w:rsidRPr="00B55D3E" w:rsidRDefault="001E20A8" w:rsidP="001E20A8">
      <w:pPr>
        <w:spacing w:after="0" w:line="276" w:lineRule="auto"/>
        <w:jc w:val="both"/>
        <w:rPr>
          <w:rFonts w:ascii="Verdana" w:eastAsia="Aptos" w:hAnsi="Verdana" w:cs="Times New Roman"/>
          <w:kern w:val="2"/>
          <w14:ligatures w14:val="standardContextual"/>
        </w:rPr>
      </w:pPr>
    </w:p>
    <w:p w14:paraId="05D5C57F" w14:textId="77777777" w:rsidR="001E20A8" w:rsidRPr="00B55D3E" w:rsidRDefault="001E20A8" w:rsidP="001E20A8">
      <w:pPr>
        <w:spacing w:after="0" w:line="276"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Finalmente, si quiere seguir de cerca la actividad de la Agencia, la tercera edición de 2026 del</w:t>
      </w:r>
      <w:r w:rsidRPr="00B55D3E">
        <w:rPr>
          <w:rFonts w:ascii="Verdana" w:eastAsia="Aptos" w:hAnsi="Verdana" w:cs="Times New Roman"/>
          <w:b/>
          <w:bCs/>
          <w:kern w:val="2"/>
          <w14:ligatures w14:val="standardContextual"/>
        </w:rPr>
        <w:t> Radar de la Compra Pública</w:t>
      </w:r>
      <w:r w:rsidRPr="00B55D3E">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20" w:tgtFrame="_blank" w:tooltip="Original URL: https://www.colombiacompra.gov.co/archivos/boletin/boletin-edicion-n-3-de-2026-radar-de-la-compra-publica. Click or tap if you trust this link." w:history="1">
        <w:r w:rsidRPr="00B55D3E">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2DFF8948" w14:textId="091BC035" w:rsidR="001E20A8" w:rsidRPr="00B55D3E" w:rsidRDefault="001E20A8" w:rsidP="001E20A8">
      <w:pPr>
        <w:spacing w:after="0" w:line="240" w:lineRule="auto"/>
        <w:jc w:val="both"/>
        <w:rPr>
          <w:rFonts w:ascii="Verdana" w:eastAsia="Calibri" w:hAnsi="Verdana" w:cs="Times New Roman"/>
          <w:kern w:val="2"/>
          <w14:ligatures w14:val="standardContextual"/>
        </w:rPr>
      </w:pPr>
      <w:r w:rsidRPr="00B55D3E">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F42646D" w14:textId="77777777" w:rsidR="001E20A8" w:rsidRPr="00B55D3E" w:rsidRDefault="001E20A8" w:rsidP="001E20A8">
      <w:pPr>
        <w:spacing w:after="0" w:line="240" w:lineRule="auto"/>
        <w:jc w:val="both"/>
        <w:rPr>
          <w:rFonts w:ascii="Verdana" w:eastAsia="Aptos" w:hAnsi="Verdana" w:cs="Times New Roman"/>
          <w:kern w:val="2"/>
          <w14:ligatures w14:val="standardContextual"/>
        </w:rPr>
      </w:pPr>
    </w:p>
    <w:p w14:paraId="71137832" w14:textId="77777777" w:rsidR="001E20A8" w:rsidRPr="00B55D3E" w:rsidRDefault="001E20A8" w:rsidP="001E20A8">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Twitter: </w:t>
      </w:r>
      <w:r w:rsidRPr="00B55D3E">
        <w:rPr>
          <w:rFonts w:ascii="Verdana" w:eastAsia="Calibri" w:hAnsi="Verdana" w:cs="Times New Roman"/>
          <w:color w:val="0000FF"/>
          <w:kern w:val="2"/>
          <w:u w:val="single"/>
          <w14:ligatures w14:val="standardContextual"/>
        </w:rPr>
        <w:t>@colombiacompra</w:t>
      </w:r>
      <w:r w:rsidRPr="00B55D3E">
        <w:rPr>
          <w:rFonts w:ascii="Verdana" w:eastAsia="Calibri" w:hAnsi="Verdana" w:cs="Times New Roman"/>
          <w:color w:val="0000FF"/>
          <w:kern w:val="2"/>
          <w14:ligatures w14:val="standardContextual"/>
        </w:rPr>
        <w:t xml:space="preserve"> </w:t>
      </w:r>
    </w:p>
    <w:p w14:paraId="12F704C3" w14:textId="77777777" w:rsidR="001E20A8" w:rsidRPr="00B55D3E" w:rsidRDefault="001E20A8" w:rsidP="001E20A8">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Facebook: </w:t>
      </w:r>
      <w:proofErr w:type="spellStart"/>
      <w:r w:rsidRPr="00B55D3E">
        <w:rPr>
          <w:rFonts w:ascii="Verdana" w:eastAsia="Calibri" w:hAnsi="Verdana" w:cs="Times New Roman"/>
          <w:color w:val="0000FF"/>
          <w:kern w:val="2"/>
          <w:u w:val="single"/>
          <w14:ligatures w14:val="standardContextual"/>
        </w:rPr>
        <w:t>ColombiaCompraEficiente</w:t>
      </w:r>
      <w:proofErr w:type="spellEnd"/>
    </w:p>
    <w:p w14:paraId="297E6437" w14:textId="77777777" w:rsidR="001E20A8" w:rsidRPr="00B55D3E" w:rsidRDefault="001E20A8" w:rsidP="001E20A8">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LinkedIn: </w:t>
      </w:r>
      <w:r w:rsidRPr="00B55D3E">
        <w:rPr>
          <w:rFonts w:ascii="Verdana" w:eastAsia="Calibri" w:hAnsi="Verdana" w:cs="Times New Roman"/>
          <w:color w:val="0000FF"/>
          <w:kern w:val="2"/>
          <w:u w:val="single"/>
          <w14:ligatures w14:val="standardContextual"/>
        </w:rPr>
        <w:t>Agencia Nacional de Contratación Pública - Colombia Compra Eficiente</w:t>
      </w:r>
      <w:r w:rsidRPr="00B55D3E">
        <w:rPr>
          <w:rFonts w:ascii="Verdana" w:eastAsia="Calibri" w:hAnsi="Verdana" w:cs="Times New Roman"/>
          <w:color w:val="0000FF"/>
          <w:kern w:val="2"/>
          <w14:ligatures w14:val="standardContextual"/>
        </w:rPr>
        <w:t xml:space="preserve"> </w:t>
      </w:r>
      <w:r w:rsidRPr="00B55D3E">
        <w:rPr>
          <w:rFonts w:ascii="Verdana" w:eastAsia="Aptos" w:hAnsi="Verdana" w:cs="Times New Roman"/>
          <w:kern w:val="2"/>
          <w14:ligatures w14:val="standardContextual"/>
        </w:rPr>
        <w:t xml:space="preserve">Instagram: </w:t>
      </w:r>
      <w:r w:rsidRPr="00B55D3E">
        <w:rPr>
          <w:rFonts w:ascii="Verdana" w:eastAsia="Calibri" w:hAnsi="Verdana" w:cs="Times New Roman"/>
          <w:color w:val="0000FF"/>
          <w:kern w:val="2"/>
          <w:u w:val="single"/>
          <w14:ligatures w14:val="standardContextual"/>
        </w:rPr>
        <w:t>@colombiacompraeficiente_cce</w:t>
      </w:r>
    </w:p>
    <w:p w14:paraId="70D74E5F" w14:textId="77777777" w:rsidR="001E20A8" w:rsidRPr="00B55D3E" w:rsidRDefault="001E20A8" w:rsidP="001E20A8">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184D8CCF" w14:textId="3BF8C629" w:rsidR="001E20A8" w:rsidRDefault="001E20A8" w:rsidP="001E20A8">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B55D3E">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9F123F" w14:textId="02014C22" w:rsidR="00B022AE" w:rsidRPr="00B022AE" w:rsidRDefault="00B022AE" w:rsidP="001E20A8">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p>
    <w:p w14:paraId="721FA84E" w14:textId="2D72C24D" w:rsidR="001E20A8" w:rsidRPr="00656C9C" w:rsidRDefault="001E20A8" w:rsidP="001E20A8">
      <w:pPr>
        <w:spacing w:after="0" w:line="240" w:lineRule="auto"/>
        <w:rPr>
          <w:rFonts w:ascii="Verdana" w:eastAsia="Calibri" w:hAnsi="Verdana" w:cs="Arial"/>
          <w:color w:val="000000" w:themeColor="text1"/>
          <w:lang w:eastAsia="es-CO"/>
        </w:rPr>
      </w:pPr>
      <w:r w:rsidRPr="00B55D3E">
        <w:rPr>
          <w:rFonts w:ascii="Verdana" w:eastAsia="Times New Roman" w:hAnsi="Verdana" w:cs="Arial"/>
          <w:color w:val="000000" w:themeColor="text1"/>
          <w:lang w:eastAsia="es-CO"/>
        </w:rPr>
        <w:t>Atentamente,</w:t>
      </w:r>
      <w:r w:rsidRPr="00B55D3E">
        <w:rPr>
          <w:rFonts w:ascii="Verdana" w:eastAsia="Calibri" w:hAnsi="Verdana" w:cs="Arial"/>
          <w:color w:val="000000" w:themeColor="text1"/>
          <w:lang w:eastAsia="es-CO"/>
        </w:rPr>
        <w:t xml:space="preserve"> </w:t>
      </w:r>
    </w:p>
    <w:p w14:paraId="04888769" w14:textId="2694E289" w:rsidR="00B022AE" w:rsidRPr="000E2B93" w:rsidRDefault="00492A78" w:rsidP="00B022AE">
      <w:pPr>
        <w:spacing w:after="0" w:line="240" w:lineRule="auto"/>
        <w:textAlignment w:val="baseline"/>
        <w:rPr>
          <w:rFonts w:ascii="Verdana" w:eastAsia="Verdana" w:hAnsi="Verdana" w:cs="Verdana"/>
          <w:lang w:eastAsia="es-CO"/>
        </w:rPr>
      </w:pPr>
      <w:r>
        <w:rPr>
          <w:rFonts w:ascii="Verdana" w:eastAsia="Verdana" w:hAnsi="Verdana" w:cs="Verdana"/>
          <w:b/>
          <w:bCs/>
          <w:noProof/>
        </w:rPr>
        <w:drawing>
          <wp:anchor distT="0" distB="0" distL="114300" distR="114300" simplePos="0" relativeHeight="251658240" behindDoc="0" locked="0" layoutInCell="1" allowOverlap="1" wp14:anchorId="3626F06E" wp14:editId="4E2100E6">
            <wp:simplePos x="0" y="0"/>
            <wp:positionH relativeFrom="margin">
              <wp:posOffset>1501872</wp:posOffset>
            </wp:positionH>
            <wp:positionV relativeFrom="margin">
              <wp:posOffset>5299710</wp:posOffset>
            </wp:positionV>
            <wp:extent cx="2613660" cy="973329"/>
            <wp:effectExtent l="0" t="0" r="0" b="0"/>
            <wp:wrapSquare wrapText="bothSides"/>
            <wp:docPr id="865907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3660" cy="9733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76887F" w14:textId="0942F04E" w:rsidR="003C5B81" w:rsidRDefault="003C5B81" w:rsidP="00492A78">
      <w:pPr>
        <w:tabs>
          <w:tab w:val="left" w:pos="1320"/>
        </w:tabs>
        <w:spacing w:after="0"/>
        <w:jc w:val="center"/>
        <w:rPr>
          <w:rFonts w:ascii="Verdana" w:eastAsia="Verdana" w:hAnsi="Verdana" w:cs="Verdana"/>
          <w:b/>
          <w:bCs/>
        </w:rPr>
      </w:pPr>
    </w:p>
    <w:p w14:paraId="1D962D5E" w14:textId="77777777" w:rsidR="00492A78" w:rsidRDefault="00492A78" w:rsidP="00492A78">
      <w:pPr>
        <w:tabs>
          <w:tab w:val="left" w:pos="1320"/>
        </w:tabs>
        <w:spacing w:after="0"/>
        <w:jc w:val="center"/>
        <w:rPr>
          <w:rFonts w:ascii="Verdana" w:eastAsia="Verdana" w:hAnsi="Verdana" w:cs="Verdana"/>
          <w:b/>
          <w:bCs/>
        </w:rPr>
      </w:pPr>
    </w:p>
    <w:p w14:paraId="6EEE3F0E" w14:textId="77777777" w:rsidR="00492A78" w:rsidRDefault="00492A78" w:rsidP="00492A78">
      <w:pPr>
        <w:tabs>
          <w:tab w:val="left" w:pos="1320"/>
        </w:tabs>
        <w:spacing w:after="0"/>
        <w:jc w:val="center"/>
        <w:rPr>
          <w:rFonts w:ascii="Verdana" w:eastAsia="Verdana" w:hAnsi="Verdana" w:cs="Verdana"/>
          <w:b/>
          <w:bCs/>
        </w:rPr>
      </w:pPr>
    </w:p>
    <w:p w14:paraId="2A52A66C" w14:textId="77777777" w:rsidR="00492A78" w:rsidRDefault="00492A78" w:rsidP="00492A78">
      <w:pPr>
        <w:tabs>
          <w:tab w:val="left" w:pos="1320"/>
        </w:tabs>
        <w:spacing w:after="0"/>
        <w:jc w:val="center"/>
        <w:rPr>
          <w:rFonts w:ascii="Verdana" w:eastAsia="Verdana" w:hAnsi="Verdana" w:cs="Verdana"/>
          <w:b/>
          <w:bCs/>
        </w:rPr>
      </w:pPr>
    </w:p>
    <w:p w14:paraId="5DC8E10C" w14:textId="77777777" w:rsidR="00492A78" w:rsidRPr="00B022AE" w:rsidRDefault="00492A78" w:rsidP="00492A78">
      <w:pPr>
        <w:tabs>
          <w:tab w:val="left" w:pos="1320"/>
        </w:tabs>
        <w:spacing w:after="0"/>
        <w:jc w:val="center"/>
        <w:rPr>
          <w:rFonts w:ascii="Verdana" w:eastAsia="Verdana" w:hAnsi="Verdana" w:cs="Verdana"/>
          <w:b/>
          <w:bCs/>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1E20A8" w14:paraId="490BDE65" w14:textId="77777777">
        <w:trPr>
          <w:trHeight w:val="315"/>
        </w:trPr>
        <w:tc>
          <w:tcPr>
            <w:tcW w:w="1185" w:type="dxa"/>
            <w:tcBorders>
              <w:top w:val="nil"/>
              <w:left w:val="nil"/>
              <w:bottom w:val="nil"/>
              <w:right w:val="nil"/>
            </w:tcBorders>
            <w:tcMar>
              <w:left w:w="105" w:type="dxa"/>
              <w:right w:w="105" w:type="dxa"/>
            </w:tcMar>
            <w:vAlign w:val="center"/>
          </w:tcPr>
          <w:p w14:paraId="6B87610F" w14:textId="77777777" w:rsidR="001E20A8" w:rsidRDefault="001E20A8">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43A3601B" w14:textId="457BE37D" w:rsidR="001E20A8" w:rsidRDefault="001E20A8">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6DAAB5C3" w14:textId="77777777" w:rsidR="001E20A8" w:rsidRDefault="001E20A8">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1E20A8" w14:paraId="5C580FEC" w14:textId="77777777">
        <w:trPr>
          <w:trHeight w:val="315"/>
        </w:trPr>
        <w:tc>
          <w:tcPr>
            <w:tcW w:w="1185" w:type="dxa"/>
            <w:tcBorders>
              <w:top w:val="nil"/>
              <w:left w:val="nil"/>
              <w:bottom w:val="nil"/>
              <w:right w:val="nil"/>
            </w:tcBorders>
            <w:tcMar>
              <w:left w:w="105" w:type="dxa"/>
              <w:right w:w="105" w:type="dxa"/>
            </w:tcMar>
            <w:vAlign w:val="center"/>
          </w:tcPr>
          <w:p w14:paraId="675F9989" w14:textId="77777777" w:rsidR="001E20A8" w:rsidRDefault="001E20A8">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59921C99" w14:textId="448C8E90" w:rsidR="001E20A8" w:rsidRDefault="001E20A8">
            <w:pPr>
              <w:rPr>
                <w:rFonts w:ascii="Verdana" w:eastAsia="Verdana" w:hAnsi="Verdana" w:cs="Verdana"/>
                <w:sz w:val="16"/>
                <w:szCs w:val="16"/>
              </w:rPr>
            </w:pPr>
            <w:r>
              <w:rPr>
                <w:rFonts w:ascii="Verdana" w:eastAsia="Verdana" w:hAnsi="Verdana" w:cs="Verdana"/>
                <w:sz w:val="16"/>
                <w:szCs w:val="16"/>
              </w:rPr>
              <w:t>Adriana Katherin López Rodríguez</w:t>
            </w:r>
          </w:p>
          <w:p w14:paraId="555FEEC6" w14:textId="77777777" w:rsidR="001E20A8" w:rsidRDefault="001E20A8">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1E20A8" w14:paraId="34976BCA" w14:textId="77777777">
        <w:trPr>
          <w:trHeight w:val="300"/>
        </w:trPr>
        <w:tc>
          <w:tcPr>
            <w:tcW w:w="1185" w:type="dxa"/>
            <w:tcBorders>
              <w:top w:val="nil"/>
              <w:left w:val="nil"/>
              <w:bottom w:val="nil"/>
              <w:right w:val="nil"/>
            </w:tcBorders>
            <w:tcMar>
              <w:left w:w="105" w:type="dxa"/>
              <w:right w:w="105" w:type="dxa"/>
            </w:tcMar>
            <w:vAlign w:val="center"/>
          </w:tcPr>
          <w:p w14:paraId="3967C373" w14:textId="77777777" w:rsidR="001E20A8" w:rsidRDefault="001E20A8">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5CC1F023" w14:textId="77777777" w:rsidR="001E20A8" w:rsidRDefault="001E20A8">
            <w:pPr>
              <w:rPr>
                <w:rFonts w:ascii="Verdana" w:eastAsia="Verdana" w:hAnsi="Verdana" w:cs="Verdana"/>
                <w:sz w:val="16"/>
                <w:szCs w:val="16"/>
              </w:rPr>
            </w:pPr>
            <w:r>
              <w:rPr>
                <w:rFonts w:ascii="Verdana" w:eastAsia="Verdana" w:hAnsi="Verdana" w:cs="Verdana"/>
                <w:sz w:val="16"/>
                <w:szCs w:val="16"/>
              </w:rPr>
              <w:t>William Javier Murcia Acevedo</w:t>
            </w:r>
          </w:p>
          <w:p w14:paraId="172654FF" w14:textId="77777777" w:rsidR="001E20A8" w:rsidRDefault="001E20A8">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tbl>
    <w:p w14:paraId="300F0438" w14:textId="77777777" w:rsidR="001E20A8" w:rsidRPr="000E2B93" w:rsidRDefault="001E20A8" w:rsidP="001E20A8">
      <w:pPr>
        <w:spacing w:after="0" w:line="240" w:lineRule="auto"/>
        <w:jc w:val="both"/>
        <w:textAlignment w:val="baseline"/>
        <w:rPr>
          <w:rFonts w:ascii="Verdana" w:eastAsia="Verdana" w:hAnsi="Verdana" w:cs="Verdana"/>
          <w:lang w:eastAsia="es-CO"/>
        </w:rPr>
      </w:pPr>
    </w:p>
    <w:p w14:paraId="4B219808" w14:textId="77777777" w:rsidR="001E20A8" w:rsidRPr="000E2B93" w:rsidRDefault="001E20A8" w:rsidP="001E20A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E20A8" w:rsidRPr="000E2B9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A3A1B" w14:textId="77777777" w:rsidR="009321A4" w:rsidRDefault="009321A4" w:rsidP="004A1847">
      <w:pPr>
        <w:spacing w:after="0" w:line="240" w:lineRule="auto"/>
      </w:pPr>
      <w:r>
        <w:separator/>
      </w:r>
    </w:p>
  </w:endnote>
  <w:endnote w:type="continuationSeparator" w:id="0">
    <w:p w14:paraId="5EF6CA34" w14:textId="77777777" w:rsidR="009321A4" w:rsidRDefault="009321A4" w:rsidP="004A1847">
      <w:pPr>
        <w:spacing w:after="0" w:line="240" w:lineRule="auto"/>
      </w:pPr>
      <w:r>
        <w:continuationSeparator/>
      </w:r>
    </w:p>
  </w:endnote>
  <w:endnote w:type="continuationNotice" w:id="1">
    <w:p w14:paraId="7C6E0B04" w14:textId="77777777" w:rsidR="009321A4" w:rsidRDefault="009321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23D90" w14:textId="77777777" w:rsidR="009321A4" w:rsidRDefault="009321A4" w:rsidP="004A1847">
      <w:pPr>
        <w:spacing w:after="0" w:line="240" w:lineRule="auto"/>
      </w:pPr>
      <w:r>
        <w:separator/>
      </w:r>
    </w:p>
  </w:footnote>
  <w:footnote w:type="continuationSeparator" w:id="0">
    <w:p w14:paraId="3D8A17FB" w14:textId="77777777" w:rsidR="009321A4" w:rsidRDefault="009321A4" w:rsidP="004A1847">
      <w:pPr>
        <w:spacing w:after="0" w:line="240" w:lineRule="auto"/>
      </w:pPr>
      <w:r>
        <w:continuationSeparator/>
      </w:r>
    </w:p>
  </w:footnote>
  <w:footnote w:type="continuationNotice" w:id="1">
    <w:p w14:paraId="66D30917" w14:textId="77777777" w:rsidR="009321A4" w:rsidRDefault="009321A4">
      <w:pPr>
        <w:spacing w:after="0" w:line="240" w:lineRule="auto"/>
      </w:pPr>
    </w:p>
  </w:footnote>
  <w:footnote w:id="2">
    <w:p w14:paraId="32BE17C1" w14:textId="77777777" w:rsidR="001E20A8" w:rsidRPr="005B4378" w:rsidRDefault="001E20A8" w:rsidP="001E20A8">
      <w:pPr>
        <w:pStyle w:val="Textonotapie"/>
        <w:spacing w:after="120"/>
        <w:ind w:firstLine="708"/>
        <w:jc w:val="both"/>
        <w:rPr>
          <w:rFonts w:ascii="Verdana" w:hAnsi="Verdana" w:cs="Arial"/>
          <w:color w:val="000000" w:themeColor="text1"/>
          <w:sz w:val="16"/>
          <w:szCs w:val="16"/>
          <w:lang w:val="es-CO"/>
        </w:rPr>
      </w:pPr>
      <w:r w:rsidRPr="005B4378">
        <w:rPr>
          <w:rStyle w:val="Refdenotaalpie"/>
          <w:rFonts w:ascii="Verdana" w:hAnsi="Verdana" w:cs="Arial"/>
          <w:color w:val="000000" w:themeColor="text1"/>
          <w:sz w:val="16"/>
          <w:szCs w:val="16"/>
        </w:rPr>
        <w:footnoteRef/>
      </w:r>
      <w:r w:rsidRPr="005B4378">
        <w:rPr>
          <w:rFonts w:ascii="Verdana" w:hAnsi="Verdana" w:cs="Arial"/>
          <w:color w:val="000000" w:themeColor="text1"/>
          <w:sz w:val="16"/>
          <w:szCs w:val="16"/>
        </w:rPr>
        <w:t xml:space="preserve"> Agencia Nacional de Contratación Pública - Colombia Compra Eficiente</w:t>
      </w:r>
      <w:r w:rsidRPr="005B4378">
        <w:rPr>
          <w:rFonts w:ascii="Verdana" w:hAnsi="Verdana" w:cs="Arial"/>
          <w:color w:val="000000" w:themeColor="text1"/>
          <w:sz w:val="16"/>
          <w:szCs w:val="16"/>
          <w:lang w:val="es-CO"/>
        </w:rPr>
        <w:t>, Concepto 4201912000005935 del 25 de noviembre de 2019.</w:t>
      </w:r>
    </w:p>
  </w:footnote>
  <w:footnote w:id="3">
    <w:p w14:paraId="01F1382C" w14:textId="77777777" w:rsidR="001E20A8" w:rsidRPr="005B4378" w:rsidRDefault="001E20A8" w:rsidP="001E20A8">
      <w:pPr>
        <w:pStyle w:val="Textonotapie"/>
        <w:spacing w:after="120"/>
        <w:ind w:firstLine="708"/>
        <w:jc w:val="both"/>
        <w:rPr>
          <w:rFonts w:ascii="Verdana" w:hAnsi="Verdana" w:cs="Arial"/>
          <w:sz w:val="16"/>
          <w:szCs w:val="16"/>
          <w:lang w:val="es-ES"/>
        </w:rPr>
      </w:pPr>
      <w:r w:rsidRPr="005B4378">
        <w:rPr>
          <w:rStyle w:val="Refdenotaalpie"/>
          <w:rFonts w:ascii="Verdana" w:hAnsi="Verdana" w:cs="Arial"/>
          <w:sz w:val="16"/>
          <w:szCs w:val="16"/>
        </w:rPr>
        <w:footnoteRef/>
      </w:r>
      <w:r w:rsidRPr="005B4378">
        <w:rPr>
          <w:rFonts w:ascii="Verdana" w:hAnsi="Verdana" w:cs="Arial"/>
          <w:sz w:val="16"/>
          <w:szCs w:val="16"/>
        </w:rPr>
        <w:t xml:space="preserve"> </w:t>
      </w:r>
      <w:r w:rsidRPr="005B4378">
        <w:rPr>
          <w:rFonts w:ascii="Verdana" w:hAnsi="Verdana" w:cs="Arial"/>
          <w:sz w:val="16"/>
          <w:szCs w:val="16"/>
          <w:lang w:val="es-ES"/>
        </w:rPr>
        <w:t>Ibidem.</w:t>
      </w:r>
    </w:p>
  </w:footnote>
  <w:footnote w:id="4">
    <w:p w14:paraId="1E04A8EF" w14:textId="77777777" w:rsidR="001E20A8" w:rsidRPr="005B4378" w:rsidRDefault="001E20A8" w:rsidP="001E20A8">
      <w:pPr>
        <w:pStyle w:val="Textonotapie"/>
        <w:spacing w:after="120"/>
        <w:ind w:firstLine="708"/>
        <w:jc w:val="both"/>
        <w:rPr>
          <w:rFonts w:ascii="Verdana" w:hAnsi="Verdana" w:cs="Arial"/>
          <w:sz w:val="16"/>
          <w:szCs w:val="16"/>
          <w:lang w:val="es-ES"/>
        </w:rPr>
      </w:pPr>
      <w:r w:rsidRPr="005B4378">
        <w:rPr>
          <w:rStyle w:val="Refdenotaalpie"/>
          <w:rFonts w:ascii="Verdana" w:hAnsi="Verdana" w:cs="Arial"/>
          <w:sz w:val="16"/>
          <w:szCs w:val="16"/>
        </w:rPr>
        <w:footnoteRef/>
      </w:r>
      <w:r w:rsidRPr="005B4378">
        <w:rPr>
          <w:rFonts w:ascii="Verdana" w:hAnsi="Verdana" w:cs="Arial"/>
          <w:sz w:val="16"/>
          <w:szCs w:val="16"/>
        </w:rPr>
        <w:t xml:space="preserve"> </w:t>
      </w:r>
      <w:r w:rsidRPr="005B4378">
        <w:rPr>
          <w:rFonts w:ascii="Verdana" w:hAnsi="Verdana" w:cs="Arial"/>
          <w:color w:val="000000" w:themeColor="text1"/>
          <w:sz w:val="16"/>
          <w:szCs w:val="16"/>
        </w:rPr>
        <w:t>Agencia Nacional de Contratación Pública - Colombia Compra Eficiente</w:t>
      </w:r>
      <w:r w:rsidRPr="005B4378">
        <w:rPr>
          <w:rFonts w:ascii="Verdana" w:hAnsi="Verdana" w:cs="Arial"/>
          <w:color w:val="000000" w:themeColor="text1"/>
          <w:sz w:val="16"/>
          <w:szCs w:val="16"/>
          <w:lang w:val="es-CO"/>
        </w:rPr>
        <w:t xml:space="preserve">, Concepto C – 575 de 2020. </w:t>
      </w:r>
    </w:p>
  </w:footnote>
  <w:footnote w:id="5">
    <w:p w14:paraId="33D18E1A"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Style w:val="Refdenotaalpie"/>
          <w:rFonts w:ascii="Verdana" w:hAnsi="Verdana" w:cs="Arial"/>
          <w:color w:val="000000" w:themeColor="text1"/>
          <w:sz w:val="16"/>
          <w:szCs w:val="16"/>
        </w:rPr>
        <w:footnoteRef/>
      </w:r>
      <w:r w:rsidRPr="005B4378">
        <w:rPr>
          <w:rFonts w:ascii="Verdana" w:hAnsi="Verdana" w:cs="Arial"/>
          <w:color w:val="000000" w:themeColor="text1"/>
          <w:sz w:val="16"/>
          <w:szCs w:val="16"/>
        </w:rPr>
        <w:t xml:space="preserve"> Ley 80 de 1993: «Artículo 30. De la estructura de los procedimientos de selección. La licitación se efectuará conforme a las siguientes reglas:</w:t>
      </w:r>
    </w:p>
    <w:p w14:paraId="09454B8C"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426FF401"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5BF0A267"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Style w:val="Refdenotaalpie"/>
          <w:rFonts w:ascii="Verdana" w:hAnsi="Verdana" w:cs="Arial"/>
          <w:color w:val="000000" w:themeColor="text1"/>
          <w:sz w:val="16"/>
          <w:szCs w:val="16"/>
        </w:rPr>
        <w:footnoteRef/>
      </w:r>
      <w:r w:rsidRPr="005B4378">
        <w:rPr>
          <w:rFonts w:ascii="Verdana" w:hAnsi="Verdana" w:cs="Arial"/>
          <w:color w:val="000000" w:themeColor="text1"/>
          <w:sz w:val="16"/>
          <w:szCs w:val="16"/>
        </w:rPr>
        <w:t xml:space="preserve"> Decreto 1082 de 2015: «Artículo 2.2.1.2.1.2.20. Procedimiento para la selección abreviada de menor cuantía. Además de las normas generales establecidas en el presente título, las siguientes reglas son aplicables a la selección abreviada de menor cuantía: </w:t>
      </w:r>
    </w:p>
    <w:p w14:paraId="399333AB"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5F31F053"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»4. La Entidad Estatal debe publicar el informe de evaluación de ofertas durante tres (3) días hábiles».</w:t>
      </w:r>
    </w:p>
    <w:p w14:paraId="19DD8BC1"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«Artículo 2.2.1.2.1.3.2. Procedimiento del concurso de méritos. Además de las reglas generales previstas en la ley y en el presente título, las siguientes reglas son aplicables al concurso de méritos abierto o con precalificación:</w:t>
      </w:r>
    </w:p>
    <w:p w14:paraId="6347184B"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397BE364"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»2. La Entidad Estatal debe publicar durante tres (3) días hábiles el informe de evaluación, el cual debe contener la calificación técnica y el orden de elegibilidad».</w:t>
      </w:r>
    </w:p>
    <w:p w14:paraId="60CF4D9D"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«Artículo 2.2.1.2.1.5.2. Procedimiento para la contratación de mínima cuantía. Las siguientes reglas son aplicables a la contratación cuyo valor no excede del 10% de la menor cuantía de la Entidad Estatal, independientemente de su objeto:</w:t>
      </w:r>
    </w:p>
    <w:p w14:paraId="0BE17B85"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w:t>
      </w:r>
    </w:p>
    <w:p w14:paraId="644C5DFA" w14:textId="77777777" w:rsidR="001E20A8" w:rsidRPr="005B4378" w:rsidRDefault="001E20A8" w:rsidP="001E20A8">
      <w:pPr>
        <w:pStyle w:val="Textonotapie"/>
        <w:ind w:firstLine="709"/>
        <w:jc w:val="both"/>
        <w:rPr>
          <w:rFonts w:ascii="Verdana" w:hAnsi="Verdana" w:cs="Arial"/>
          <w:color w:val="000000" w:themeColor="text1"/>
          <w:sz w:val="16"/>
          <w:szCs w:val="16"/>
        </w:rPr>
      </w:pPr>
      <w:r w:rsidRPr="005B4378">
        <w:rPr>
          <w:rFonts w:ascii="Verdana" w:hAnsi="Verdana" w:cs="Arial"/>
          <w:color w:val="000000" w:themeColor="text1"/>
          <w:sz w:val="16"/>
          <w:szCs w:val="16"/>
        </w:rPr>
        <w:t>»5. La Entidad Estatal debe publicar el informe de evaluación durante un (1) día hábil».</w:t>
      </w:r>
    </w:p>
    <w:p w14:paraId="60BE36A8" w14:textId="77777777" w:rsidR="001E20A8" w:rsidRPr="005B4378" w:rsidRDefault="001E20A8" w:rsidP="001E20A8">
      <w:pPr>
        <w:pStyle w:val="Textonotapie"/>
        <w:ind w:firstLine="709"/>
        <w:jc w:val="both"/>
        <w:rPr>
          <w:rFonts w:ascii="Verdana" w:hAnsi="Verdana" w:cs="Arial"/>
          <w:color w:val="000000" w:themeColor="text1"/>
          <w:sz w:val="16"/>
          <w:szCs w:val="16"/>
          <w:lang w:val="es-CO"/>
        </w:rPr>
      </w:pPr>
    </w:p>
  </w:footnote>
  <w:footnote w:id="7">
    <w:p w14:paraId="7C43A804"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80 de 1993: </w:t>
      </w:r>
      <w:r w:rsidRPr="005B4378">
        <w:rPr>
          <w:rFonts w:ascii="Verdana" w:eastAsia="Calibri" w:hAnsi="Verdana" w:cs="Arial"/>
          <w:sz w:val="16"/>
          <w:szCs w:val="16"/>
        </w:rPr>
        <w:t>«</w:t>
      </w:r>
      <w:r w:rsidRPr="005B4378">
        <w:rPr>
          <w:rFonts w:ascii="Verdana" w:hAnsi="Verdana" w:cs="Arial"/>
          <w:sz w:val="16"/>
          <w:szCs w:val="16"/>
        </w:rPr>
        <w:t>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8">
    <w:p w14:paraId="4A918B40"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80 de 1993: </w:t>
      </w:r>
      <w:r w:rsidRPr="005B4378">
        <w:rPr>
          <w:rFonts w:ascii="Verdana" w:eastAsia="Calibri" w:hAnsi="Verdana" w:cs="Arial"/>
          <w:sz w:val="16"/>
          <w:szCs w:val="16"/>
        </w:rPr>
        <w:t>«</w:t>
      </w:r>
      <w:r w:rsidRPr="005B4378">
        <w:rPr>
          <w:rFonts w:ascii="Verdana" w:hAnsi="Verdana" w:cs="Arial"/>
          <w:sz w:val="16"/>
          <w:szCs w:val="16"/>
        </w:rPr>
        <w:t>Articulo 24. Del principio de transparencia. En virtud de este principio:</w:t>
      </w:r>
    </w:p>
    <w:p w14:paraId="4C98025F"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1. &lt;Numeral derogado por el artículo 32 de la Ley 1150 de 2007&gt;</w:t>
      </w:r>
    </w:p>
    <w:p w14:paraId="7E9FD478"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54A6F741"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3. Las actuaciones de las autoridades serán públicas y los expedientes que las contengan estarán abiertos al público, permitiendo en el caso de licitación el ejercicio del derecho de que trata el artículo 273 de la Constitución Política.</w:t>
      </w:r>
    </w:p>
    <w:p w14:paraId="2468559A"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9">
    <w:p w14:paraId="51A8B861"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80 de 1993: </w:t>
      </w:r>
      <w:r w:rsidRPr="005B4378">
        <w:rPr>
          <w:rFonts w:ascii="Verdana" w:eastAsia="Calibri" w:hAnsi="Verdana" w:cs="Arial"/>
          <w:sz w:val="16"/>
          <w:szCs w:val="16"/>
        </w:rPr>
        <w:t>«</w:t>
      </w:r>
      <w:r w:rsidRPr="005B4378">
        <w:rPr>
          <w:rFonts w:ascii="Verdana" w:hAnsi="Verdana" w:cs="Arial"/>
          <w:sz w:val="16"/>
          <w:szCs w:val="16"/>
        </w:rPr>
        <w:t>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50B64D5C"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w:t>
      </w:r>
      <w:r w:rsidRPr="005B4378">
        <w:rPr>
          <w:rFonts w:ascii="Verdana" w:hAnsi="Verdana" w:cs="Arial"/>
          <w:sz w:val="16"/>
          <w:szCs w:val="16"/>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7CC2A061"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10">
    <w:p w14:paraId="518FA0E6"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1437 de 2011: </w:t>
      </w:r>
      <w:r w:rsidRPr="005B4378">
        <w:rPr>
          <w:rFonts w:ascii="Verdana" w:eastAsia="Calibri" w:hAnsi="Verdana" w:cs="Arial"/>
          <w:sz w:val="16"/>
          <w:szCs w:val="16"/>
        </w:rPr>
        <w:t>«</w:t>
      </w:r>
      <w:r w:rsidRPr="005B4378">
        <w:rPr>
          <w:rFonts w:ascii="Verdana" w:hAnsi="Verdana" w:cs="Arial"/>
          <w:sz w:val="16"/>
          <w:szCs w:val="16"/>
        </w:rPr>
        <w:t xml:space="preserve">Artículo 37. Deber de comunicar las actuaciones administrativas a terceros. Cuando en una actuación administrativa de contenido particular y concreto la autoridad advierta que terceras personas puedan resultar directamente afectadas por la decisión, les comunicará la existencia de la actuación, el objeto de </w:t>
      </w:r>
      <w:r w:rsidRPr="005B4378">
        <w:rPr>
          <w:rFonts w:ascii="Verdana" w:hAnsi="Verdana" w:cs="Arial"/>
          <w:sz w:val="16"/>
          <w:szCs w:val="16"/>
        </w:rPr>
        <w:t>la misma y el nombre del peticionario, si lo hubiere, para que puedan constituirse como parte y hacer valer sus derechos.</w:t>
      </w:r>
    </w:p>
    <w:p w14:paraId="0E1C748B"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»La comunicación se remitirá a la dirección o correo electrónico que se conozca si no hay otro medio más eficaz. De no ser posible dicha comunicación, o tratándose de terceros indeterminados, la información se divulgará a través de un medio masivo de comunicación nacional o local, según el caso, o a través de cualquier otro mecanismo eficaz, habida cuenta de las condiciones de los posibles interesados. De tales actuaciones se dejará constancia escrita en el expediente.</w:t>
      </w:r>
    </w:p>
    <w:p w14:paraId="74AFBBEE"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»Artículo 38. Intervención de terceros. Los terceros podrán intervenir en las actuaciones administrativas con los mismos derechos, deberes y responsabilidades de quienes son parte interesada, en los siguientes casos:</w:t>
      </w:r>
    </w:p>
    <w:p w14:paraId="14C98596"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»1. Cuando hayan promovido la actuación administrativa sancionatoria en calidad de denunciantes, resulten afectados con la conducta por la cual se adelanta la investigación, o estén en capacidad de aportar pruebas que contribuyan a dilucidar los hechos materia de la misma.</w:t>
      </w:r>
    </w:p>
    <w:p w14:paraId="1216832B"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»2. Cuando sus derechos o su situación jurídica puedan resultar afectados con la actuación administrativa adelantada en interés particular, o cuando la decisión que sobre ella recaiga pueda ocasionarles perjuicios.</w:t>
      </w:r>
    </w:p>
    <w:p w14:paraId="04B2BA87"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»3. Cuando la actuación haya sido iniciada en interés general.</w:t>
      </w:r>
    </w:p>
    <w:p w14:paraId="57AA7F78"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»Parágrafo. La petición deberá reunir los requisitos previstos en el artículo 16 y en ella se indicará cuál es el interés de participar en la actuación y se allegarán o solicitarán las pruebas que el interesado pretenda hacer valer. La autoridad que la tramita la resolverá de plano y contra esta decisión no procederá recurso alguno”.</w:t>
      </w:r>
    </w:p>
  </w:footnote>
  <w:footnote w:id="11">
    <w:p w14:paraId="42E901CD"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1437 de 2011: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w:t>
      </w:r>
    </w:p>
    <w:p w14:paraId="7FF6DBD4"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14:paraId="3C5C435C"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12">
    <w:p w14:paraId="3A90F744"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Ley 1712 de 2014: «Artículo 4. Concepto del derecho. En 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14:paraId="666AB32F"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w:t>
      </w:r>
    </w:p>
    <w:p w14:paraId="2668F6DB" w14:textId="77777777" w:rsidR="001E20A8" w:rsidRPr="005B4378" w:rsidRDefault="001E20A8" w:rsidP="001E20A8">
      <w:pPr>
        <w:pStyle w:val="Textonotapie"/>
        <w:spacing w:after="120"/>
        <w:ind w:firstLine="708"/>
        <w:jc w:val="both"/>
        <w:rPr>
          <w:rFonts w:ascii="Verdana" w:eastAsia="Calibri" w:hAnsi="Verdana" w:cs="Arial"/>
          <w:sz w:val="16"/>
          <w:szCs w:val="16"/>
        </w:rPr>
      </w:pPr>
      <w:r w:rsidRPr="005B4378">
        <w:rPr>
          <w:rFonts w:ascii="Verdana" w:eastAsia="Calibri" w:hAnsi="Verdana" w:cs="Arial"/>
          <w:sz w:val="16"/>
          <w:szCs w:val="16"/>
        </w:rPr>
        <w:t>»Artículo 5. Ámbito de aplicación. Las disposiciones de esta ley serán aplicables a las siguientes personas en calidad de sujetos obligados:</w:t>
      </w:r>
    </w:p>
    <w:p w14:paraId="23D2EECD"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eastAsia="Calibri"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E1FEDA2"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Fonts w:ascii="Verdana" w:hAnsi="Verdana" w:cs="Arial"/>
          <w:sz w:val="16"/>
          <w:szCs w:val="16"/>
        </w:rPr>
        <w:t>[…]</w:t>
      </w:r>
      <w:r w:rsidRPr="005B4378">
        <w:rPr>
          <w:rFonts w:ascii="Verdana" w:eastAsia="Calibri" w:hAnsi="Verdana" w:cs="Arial"/>
          <w:sz w:val="16"/>
          <w:szCs w:val="16"/>
        </w:rPr>
        <w:t>»</w:t>
      </w:r>
      <w:r w:rsidRPr="005B4378">
        <w:rPr>
          <w:rFonts w:ascii="Verdana" w:hAnsi="Verdana" w:cs="Arial"/>
          <w:sz w:val="16"/>
          <w:szCs w:val="16"/>
        </w:rPr>
        <w:t>.</w:t>
      </w:r>
    </w:p>
  </w:footnote>
  <w:footnote w:id="13">
    <w:p w14:paraId="59EC64C6" w14:textId="77777777" w:rsidR="001E20A8" w:rsidRPr="005B4378" w:rsidRDefault="001E20A8" w:rsidP="001E20A8">
      <w:pPr>
        <w:pStyle w:val="Textonotapie"/>
        <w:spacing w:after="120"/>
        <w:ind w:firstLine="708"/>
        <w:jc w:val="both"/>
        <w:rPr>
          <w:rFonts w:ascii="Verdana" w:hAnsi="Verdana" w:cs="Arial"/>
          <w:sz w:val="16"/>
          <w:szCs w:val="16"/>
        </w:rPr>
      </w:pPr>
      <w:r w:rsidRPr="005B4378">
        <w:rPr>
          <w:rStyle w:val="Refdenotaalpie"/>
          <w:rFonts w:ascii="Verdana" w:hAnsi="Verdana" w:cs="Arial"/>
          <w:sz w:val="16"/>
          <w:szCs w:val="16"/>
        </w:rPr>
        <w:footnoteRef/>
      </w:r>
      <w:r w:rsidRPr="005B4378">
        <w:rPr>
          <w:rFonts w:ascii="Verdana" w:hAnsi="Verdana" w:cs="Arial"/>
          <w:sz w:val="16"/>
          <w:szCs w:val="16"/>
        </w:rPr>
        <w:t xml:space="preserve"> «En conclusión, para los exclusivos efectos del derecho de petición un documento es público, si lo genera, obtiene, adquiere o controla el sujeto pasivo u obligado; es decir, no importa si él lo produce o no, basta con que esté en su poder para que sea de acceso universal</w:t>
      </w:r>
      <w:r w:rsidRPr="005B4378">
        <w:rPr>
          <w:rFonts w:ascii="Verdana" w:eastAsia="Calibri" w:hAnsi="Verdana" w:cs="Arial"/>
          <w:sz w:val="16"/>
          <w:szCs w:val="16"/>
        </w:rPr>
        <w:t>»</w:t>
      </w:r>
      <w:r w:rsidRPr="005B4378">
        <w:rPr>
          <w:rFonts w:ascii="Verdana" w:hAnsi="Verdana" w:cs="Arial"/>
          <w:sz w:val="16"/>
          <w:szCs w:val="16"/>
        </w:rPr>
        <w:t xml:space="preserve"> (MARIN CORTÉS, Fabián G. Derecho de petición y procedimiento administrativo. Librería Jurídica Sánchez R. Ltda. y Centro de Estudios de derecho Administrativo, primera edición, Bogotá, 2017. p 357).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0"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1"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FD2"/>
    <w:rsid w:val="00016F78"/>
    <w:rsid w:val="00036E5A"/>
    <w:rsid w:val="00046945"/>
    <w:rsid w:val="00061B2A"/>
    <w:rsid w:val="00062731"/>
    <w:rsid w:val="000737E0"/>
    <w:rsid w:val="00082362"/>
    <w:rsid w:val="00083D7C"/>
    <w:rsid w:val="000A683E"/>
    <w:rsid w:val="000B19B9"/>
    <w:rsid w:val="000C7219"/>
    <w:rsid w:val="000D0334"/>
    <w:rsid w:val="000D21BF"/>
    <w:rsid w:val="000D5DA7"/>
    <w:rsid w:val="000E2DD9"/>
    <w:rsid w:val="000F6486"/>
    <w:rsid w:val="00116940"/>
    <w:rsid w:val="00125105"/>
    <w:rsid w:val="00127233"/>
    <w:rsid w:val="0015699B"/>
    <w:rsid w:val="00160796"/>
    <w:rsid w:val="001749D7"/>
    <w:rsid w:val="001A33BF"/>
    <w:rsid w:val="001B3950"/>
    <w:rsid w:val="001E20A8"/>
    <w:rsid w:val="001E4177"/>
    <w:rsid w:val="001E629A"/>
    <w:rsid w:val="001F0B24"/>
    <w:rsid w:val="001F7DC6"/>
    <w:rsid w:val="002226C3"/>
    <w:rsid w:val="0022400B"/>
    <w:rsid w:val="002421BB"/>
    <w:rsid w:val="00243794"/>
    <w:rsid w:val="002537F0"/>
    <w:rsid w:val="0025796E"/>
    <w:rsid w:val="002707A2"/>
    <w:rsid w:val="00272613"/>
    <w:rsid w:val="002951A0"/>
    <w:rsid w:val="002962BC"/>
    <w:rsid w:val="002A093D"/>
    <w:rsid w:val="002A0DD0"/>
    <w:rsid w:val="002A49AC"/>
    <w:rsid w:val="002A64FD"/>
    <w:rsid w:val="002C7A84"/>
    <w:rsid w:val="002E2BF8"/>
    <w:rsid w:val="002E4FD9"/>
    <w:rsid w:val="002E73CA"/>
    <w:rsid w:val="0030657A"/>
    <w:rsid w:val="00322A85"/>
    <w:rsid w:val="00324168"/>
    <w:rsid w:val="00330834"/>
    <w:rsid w:val="003350B0"/>
    <w:rsid w:val="003448F4"/>
    <w:rsid w:val="00374F5E"/>
    <w:rsid w:val="00377E3E"/>
    <w:rsid w:val="00381C1C"/>
    <w:rsid w:val="00382019"/>
    <w:rsid w:val="003A779E"/>
    <w:rsid w:val="003C5B81"/>
    <w:rsid w:val="003D0F4D"/>
    <w:rsid w:val="003D3487"/>
    <w:rsid w:val="003D5B0D"/>
    <w:rsid w:val="003E0499"/>
    <w:rsid w:val="003E4F80"/>
    <w:rsid w:val="003E6439"/>
    <w:rsid w:val="003F3941"/>
    <w:rsid w:val="004017C7"/>
    <w:rsid w:val="00406575"/>
    <w:rsid w:val="00407CC8"/>
    <w:rsid w:val="00414C74"/>
    <w:rsid w:val="0042722E"/>
    <w:rsid w:val="00434791"/>
    <w:rsid w:val="00437856"/>
    <w:rsid w:val="0044528D"/>
    <w:rsid w:val="00466E39"/>
    <w:rsid w:val="00492A78"/>
    <w:rsid w:val="004A1847"/>
    <w:rsid w:val="004A305D"/>
    <w:rsid w:val="004A3DEA"/>
    <w:rsid w:val="004D49B6"/>
    <w:rsid w:val="004F0C6C"/>
    <w:rsid w:val="004F21C4"/>
    <w:rsid w:val="004F685F"/>
    <w:rsid w:val="0050734D"/>
    <w:rsid w:val="00544EF6"/>
    <w:rsid w:val="00550DD4"/>
    <w:rsid w:val="005566E8"/>
    <w:rsid w:val="00563957"/>
    <w:rsid w:val="00574867"/>
    <w:rsid w:val="00591460"/>
    <w:rsid w:val="005A65E0"/>
    <w:rsid w:val="005C3777"/>
    <w:rsid w:val="005C5CDC"/>
    <w:rsid w:val="005D1F24"/>
    <w:rsid w:val="005D476C"/>
    <w:rsid w:val="005D6046"/>
    <w:rsid w:val="00610B62"/>
    <w:rsid w:val="00610F42"/>
    <w:rsid w:val="00612401"/>
    <w:rsid w:val="006200BF"/>
    <w:rsid w:val="006219F8"/>
    <w:rsid w:val="006302F7"/>
    <w:rsid w:val="00646B9F"/>
    <w:rsid w:val="006537E1"/>
    <w:rsid w:val="00665D70"/>
    <w:rsid w:val="00684730"/>
    <w:rsid w:val="006900D9"/>
    <w:rsid w:val="00706C16"/>
    <w:rsid w:val="007340C3"/>
    <w:rsid w:val="00736136"/>
    <w:rsid w:val="00747D5B"/>
    <w:rsid w:val="0075235A"/>
    <w:rsid w:val="00756841"/>
    <w:rsid w:val="007649AB"/>
    <w:rsid w:val="00771D0C"/>
    <w:rsid w:val="00777F6B"/>
    <w:rsid w:val="007833AC"/>
    <w:rsid w:val="00793405"/>
    <w:rsid w:val="007B268C"/>
    <w:rsid w:val="007B6AB5"/>
    <w:rsid w:val="007B7171"/>
    <w:rsid w:val="007C0C0F"/>
    <w:rsid w:val="007C3DC2"/>
    <w:rsid w:val="007C711A"/>
    <w:rsid w:val="007E5497"/>
    <w:rsid w:val="007F5E7A"/>
    <w:rsid w:val="00806F5F"/>
    <w:rsid w:val="00820278"/>
    <w:rsid w:val="00822856"/>
    <w:rsid w:val="008258C9"/>
    <w:rsid w:val="008271D4"/>
    <w:rsid w:val="00844AE9"/>
    <w:rsid w:val="00867F95"/>
    <w:rsid w:val="00883C11"/>
    <w:rsid w:val="008843B6"/>
    <w:rsid w:val="00891928"/>
    <w:rsid w:val="008A446D"/>
    <w:rsid w:val="008B25F1"/>
    <w:rsid w:val="008C695F"/>
    <w:rsid w:val="008D180B"/>
    <w:rsid w:val="008D5C4C"/>
    <w:rsid w:val="008E0D8C"/>
    <w:rsid w:val="008E2236"/>
    <w:rsid w:val="008E4BA8"/>
    <w:rsid w:val="008E7346"/>
    <w:rsid w:val="008F0EA7"/>
    <w:rsid w:val="00923EEF"/>
    <w:rsid w:val="00931D8B"/>
    <w:rsid w:val="009321A4"/>
    <w:rsid w:val="009419F9"/>
    <w:rsid w:val="0095685E"/>
    <w:rsid w:val="00961B09"/>
    <w:rsid w:val="00965334"/>
    <w:rsid w:val="0097093E"/>
    <w:rsid w:val="00991803"/>
    <w:rsid w:val="009A0DFA"/>
    <w:rsid w:val="009A1C6F"/>
    <w:rsid w:val="009B2D26"/>
    <w:rsid w:val="009C3A5C"/>
    <w:rsid w:val="009C71FA"/>
    <w:rsid w:val="009C72E7"/>
    <w:rsid w:val="009C7F7E"/>
    <w:rsid w:val="009D3058"/>
    <w:rsid w:val="009D3F83"/>
    <w:rsid w:val="009F3A13"/>
    <w:rsid w:val="009F4D95"/>
    <w:rsid w:val="00A01203"/>
    <w:rsid w:val="00A0187D"/>
    <w:rsid w:val="00A057BF"/>
    <w:rsid w:val="00A122D3"/>
    <w:rsid w:val="00A128B9"/>
    <w:rsid w:val="00A14468"/>
    <w:rsid w:val="00A17A20"/>
    <w:rsid w:val="00A17F13"/>
    <w:rsid w:val="00A2065E"/>
    <w:rsid w:val="00A20739"/>
    <w:rsid w:val="00A23AF9"/>
    <w:rsid w:val="00A33C78"/>
    <w:rsid w:val="00A428ED"/>
    <w:rsid w:val="00A45277"/>
    <w:rsid w:val="00A46353"/>
    <w:rsid w:val="00A75111"/>
    <w:rsid w:val="00A801EA"/>
    <w:rsid w:val="00A854B9"/>
    <w:rsid w:val="00AA0836"/>
    <w:rsid w:val="00AB0ADB"/>
    <w:rsid w:val="00B00C0E"/>
    <w:rsid w:val="00B01B1A"/>
    <w:rsid w:val="00B022AE"/>
    <w:rsid w:val="00B0381D"/>
    <w:rsid w:val="00B42525"/>
    <w:rsid w:val="00B44A47"/>
    <w:rsid w:val="00B72CD3"/>
    <w:rsid w:val="00B72FFF"/>
    <w:rsid w:val="00BC3D36"/>
    <w:rsid w:val="00BD4E0D"/>
    <w:rsid w:val="00BD54A6"/>
    <w:rsid w:val="00BD7F72"/>
    <w:rsid w:val="00BE464D"/>
    <w:rsid w:val="00BF51E6"/>
    <w:rsid w:val="00BF7425"/>
    <w:rsid w:val="00C04FB3"/>
    <w:rsid w:val="00C11D8B"/>
    <w:rsid w:val="00C15139"/>
    <w:rsid w:val="00C247A4"/>
    <w:rsid w:val="00C330EB"/>
    <w:rsid w:val="00C50D69"/>
    <w:rsid w:val="00C5365C"/>
    <w:rsid w:val="00C70A46"/>
    <w:rsid w:val="00C754BE"/>
    <w:rsid w:val="00C76B1C"/>
    <w:rsid w:val="00C83FF2"/>
    <w:rsid w:val="00C925AC"/>
    <w:rsid w:val="00CB164B"/>
    <w:rsid w:val="00CB6357"/>
    <w:rsid w:val="00CC1217"/>
    <w:rsid w:val="00CC1B26"/>
    <w:rsid w:val="00CC73C8"/>
    <w:rsid w:val="00D361FD"/>
    <w:rsid w:val="00D423A2"/>
    <w:rsid w:val="00D44E26"/>
    <w:rsid w:val="00D520D8"/>
    <w:rsid w:val="00D63AC2"/>
    <w:rsid w:val="00D65E15"/>
    <w:rsid w:val="00D7383B"/>
    <w:rsid w:val="00D74727"/>
    <w:rsid w:val="00D7788A"/>
    <w:rsid w:val="00DA0B86"/>
    <w:rsid w:val="00DA231B"/>
    <w:rsid w:val="00DA5296"/>
    <w:rsid w:val="00DC339C"/>
    <w:rsid w:val="00DC39FC"/>
    <w:rsid w:val="00DD6873"/>
    <w:rsid w:val="00DF5254"/>
    <w:rsid w:val="00E02524"/>
    <w:rsid w:val="00E12C76"/>
    <w:rsid w:val="00E16408"/>
    <w:rsid w:val="00E20894"/>
    <w:rsid w:val="00E245AB"/>
    <w:rsid w:val="00E2764C"/>
    <w:rsid w:val="00E27F2E"/>
    <w:rsid w:val="00E301DD"/>
    <w:rsid w:val="00E37300"/>
    <w:rsid w:val="00E50AFE"/>
    <w:rsid w:val="00E671E2"/>
    <w:rsid w:val="00E75C92"/>
    <w:rsid w:val="00E771DC"/>
    <w:rsid w:val="00E8772A"/>
    <w:rsid w:val="00E90F6B"/>
    <w:rsid w:val="00E92C27"/>
    <w:rsid w:val="00E972F1"/>
    <w:rsid w:val="00EA0E3D"/>
    <w:rsid w:val="00EC38A7"/>
    <w:rsid w:val="00EE1AA8"/>
    <w:rsid w:val="00F23FEA"/>
    <w:rsid w:val="00F3007B"/>
    <w:rsid w:val="00F31EDC"/>
    <w:rsid w:val="00F43EC6"/>
    <w:rsid w:val="00F462B3"/>
    <w:rsid w:val="00F5664F"/>
    <w:rsid w:val="00F642E8"/>
    <w:rsid w:val="00F666C4"/>
    <w:rsid w:val="00F76AFC"/>
    <w:rsid w:val="00F778CF"/>
    <w:rsid w:val="00F82A59"/>
    <w:rsid w:val="00F82D04"/>
    <w:rsid w:val="00F96FE2"/>
    <w:rsid w:val="00FA47C0"/>
    <w:rsid w:val="00FA7E1B"/>
    <w:rsid w:val="00FB5DD1"/>
    <w:rsid w:val="00FC2B5D"/>
    <w:rsid w:val="00FE164A"/>
    <w:rsid w:val="00FF1449"/>
    <w:rsid w:val="00FF1EC0"/>
    <w:rsid w:val="00FF7963"/>
    <w:rsid w:val="071B8F93"/>
    <w:rsid w:val="07C73DD1"/>
    <w:rsid w:val="09908A09"/>
    <w:rsid w:val="0E0AF0F4"/>
    <w:rsid w:val="0EFE6349"/>
    <w:rsid w:val="0FF4CCA8"/>
    <w:rsid w:val="13CFC91B"/>
    <w:rsid w:val="15F3768B"/>
    <w:rsid w:val="19A2EC2C"/>
    <w:rsid w:val="21779BE6"/>
    <w:rsid w:val="2859CA1B"/>
    <w:rsid w:val="2C4D2425"/>
    <w:rsid w:val="2EE1E026"/>
    <w:rsid w:val="2F44F38F"/>
    <w:rsid w:val="30821638"/>
    <w:rsid w:val="32A4F9CF"/>
    <w:rsid w:val="33A1FF93"/>
    <w:rsid w:val="356CEDFD"/>
    <w:rsid w:val="3822157B"/>
    <w:rsid w:val="3C591AFD"/>
    <w:rsid w:val="42183F0A"/>
    <w:rsid w:val="545B112A"/>
    <w:rsid w:val="5573B6B0"/>
    <w:rsid w:val="5BEB1497"/>
    <w:rsid w:val="69614A15"/>
    <w:rsid w:val="70A61641"/>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1BA015F-2DA0-4EBA-901E-37F824E7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3CA"/>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E2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E20A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E20A8"/>
    <w:rPr>
      <w:rFonts w:ascii="Geomanist Light" w:hAnsi="Geomanist Light"/>
      <w:lang w:val="es-ES"/>
    </w:rPr>
  </w:style>
  <w:style w:type="character" w:styleId="Fuerte">
    <w:name w:val="Strong"/>
    <w:basedOn w:val="Fuentedeprrafopredeter"/>
    <w:uiPriority w:val="22"/>
    <w:qFormat/>
    <w:rsid w:val="001E20A8"/>
    <w:rPr>
      <w:b/>
      <w:bCs/>
    </w:rPr>
  </w:style>
  <w:style w:type="character" w:styleId="Refdecomentario">
    <w:name w:val="annotation reference"/>
    <w:basedOn w:val="Fuentedeprrafopredeter"/>
    <w:uiPriority w:val="99"/>
    <w:semiHidden/>
    <w:unhideWhenUsed/>
    <w:rsid w:val="00F778CF"/>
    <w:rPr>
      <w:sz w:val="16"/>
      <w:szCs w:val="16"/>
    </w:rPr>
  </w:style>
  <w:style w:type="paragraph" w:styleId="Textocomentario">
    <w:name w:val="annotation text"/>
    <w:basedOn w:val="Normal"/>
    <w:link w:val="TextocomentarioCar"/>
    <w:uiPriority w:val="99"/>
    <w:unhideWhenUsed/>
    <w:rsid w:val="00F778CF"/>
    <w:pPr>
      <w:spacing w:line="240" w:lineRule="auto"/>
    </w:pPr>
    <w:rPr>
      <w:sz w:val="20"/>
      <w:szCs w:val="20"/>
    </w:rPr>
  </w:style>
  <w:style w:type="character" w:customStyle="1" w:styleId="TextocomentarioCar">
    <w:name w:val="Texto comentario Car"/>
    <w:basedOn w:val="Fuentedeprrafopredeter"/>
    <w:link w:val="Textocomentario"/>
    <w:uiPriority w:val="99"/>
    <w:rsid w:val="00F778CF"/>
    <w:rPr>
      <w:sz w:val="20"/>
      <w:szCs w:val="20"/>
    </w:rPr>
  </w:style>
  <w:style w:type="paragraph" w:styleId="Asuntodelcomentario">
    <w:name w:val="annotation subject"/>
    <w:basedOn w:val="Textocomentario"/>
    <w:next w:val="Textocomentario"/>
    <w:link w:val="AsuntodelcomentarioCar"/>
    <w:uiPriority w:val="99"/>
    <w:semiHidden/>
    <w:unhideWhenUsed/>
    <w:rsid w:val="00F778CF"/>
    <w:rPr>
      <w:b/>
      <w:bCs/>
    </w:rPr>
  </w:style>
  <w:style w:type="character" w:customStyle="1" w:styleId="AsuntodelcomentarioCar">
    <w:name w:val="Asunto del comentario Car"/>
    <w:basedOn w:val="TextocomentarioCar"/>
    <w:link w:val="Asuntodelcomentario"/>
    <w:uiPriority w:val="99"/>
    <w:semiHidden/>
    <w:rsid w:val="00F778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082-de-2015/" TargetMode="External"/><Relationship Id="rId18"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0"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lonmosqueratejada@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relatoria.colombiacompra.gov.co/normativa/ley-1712-de-2014/"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437-de-201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EC5B62-EAEF-4AED-BC21-1D03B54DF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4544</Words>
  <Characters>24992</Characters>
  <Application>Microsoft Office Word</Application>
  <DocSecurity>0</DocSecurity>
  <Lines>208</Lines>
  <Paragraphs>58</Paragraphs>
  <ScaleCrop>false</ScaleCrop>
  <Company/>
  <LinksUpToDate>false</LinksUpToDate>
  <CharactersWithSpaces>29478</CharactersWithSpaces>
  <SharedDoc>false</SharedDoc>
  <HLinks>
    <vt:vector size="60" baseType="variant">
      <vt:variant>
        <vt:i4>8126526</vt:i4>
      </vt:variant>
      <vt:variant>
        <vt:i4>27</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24</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21</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18</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8257571</vt:i4>
      </vt:variant>
      <vt:variant>
        <vt:i4>15</vt:i4>
      </vt:variant>
      <vt:variant>
        <vt:i4>0</vt:i4>
      </vt:variant>
      <vt:variant>
        <vt:i4>5</vt:i4>
      </vt:variant>
      <vt:variant>
        <vt:lpwstr>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vt:lpwstr>
      </vt:variant>
      <vt:variant>
        <vt:lpwstr/>
      </vt:variant>
      <vt:variant>
        <vt:i4>3276901</vt:i4>
      </vt:variant>
      <vt:variant>
        <vt:i4>12</vt:i4>
      </vt:variant>
      <vt:variant>
        <vt:i4>0</vt:i4>
      </vt:variant>
      <vt:variant>
        <vt:i4>5</vt:i4>
      </vt:variant>
      <vt:variant>
        <vt:lpwstr>https://relatoria.colombiacompra.gov.co/normativa/ley-1712-de-2014/</vt:lpwstr>
      </vt:variant>
      <vt:variant>
        <vt:lpwstr/>
      </vt:variant>
      <vt:variant>
        <vt:i4>3211367</vt:i4>
      </vt:variant>
      <vt:variant>
        <vt:i4>9</vt:i4>
      </vt:variant>
      <vt:variant>
        <vt:i4>0</vt:i4>
      </vt:variant>
      <vt:variant>
        <vt:i4>5</vt:i4>
      </vt:variant>
      <vt:variant>
        <vt:lpwstr>https://relatoria.colombiacompra.gov.co/normativa/ley-1437-de-2011/</vt:lpwstr>
      </vt:variant>
      <vt:variant>
        <vt:lpwstr/>
      </vt:variant>
      <vt:variant>
        <vt:i4>3276916</vt:i4>
      </vt:variant>
      <vt:variant>
        <vt:i4>6</vt:i4>
      </vt:variant>
      <vt:variant>
        <vt:i4>0</vt:i4>
      </vt:variant>
      <vt:variant>
        <vt:i4>5</vt:i4>
      </vt:variant>
      <vt:variant>
        <vt:lpwstr>https://relatoria.colombiacompra.gov.co/normativa/decreto-1082-de-2015/</vt:lpwstr>
      </vt:variant>
      <vt:variant>
        <vt:lpwstr/>
      </vt:variant>
      <vt:variant>
        <vt:i4>589910</vt:i4>
      </vt:variant>
      <vt:variant>
        <vt:i4>3</vt:i4>
      </vt:variant>
      <vt:variant>
        <vt:i4>0</vt:i4>
      </vt:variant>
      <vt:variant>
        <vt:i4>5</vt:i4>
      </vt:variant>
      <vt:variant>
        <vt:lpwstr>https://relatoria.colombiacompra.gov.co/normativa/ley-80-de-1993/</vt:lpwstr>
      </vt:variant>
      <vt:variant>
        <vt:lpwstr/>
      </vt:variant>
      <vt:variant>
        <vt:i4>7602271</vt:i4>
      </vt:variant>
      <vt:variant>
        <vt:i4>0</vt:i4>
      </vt:variant>
      <vt:variant>
        <vt:i4>0</vt:i4>
      </vt:variant>
      <vt:variant>
        <vt:i4>5</vt:i4>
      </vt:variant>
      <vt:variant>
        <vt:lpwstr>mailto:marlonmosqueratejada@gmail.com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9</cp:revision>
  <cp:lastPrinted>2023-01-10T18:18:00Z</cp:lastPrinted>
  <dcterms:created xsi:type="dcterms:W3CDTF">2026-10-19T22:45:00Z</dcterms:created>
  <dcterms:modified xsi:type="dcterms:W3CDTF">2026-10-19T22:57:00Z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