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9F215" w14:textId="77777777" w:rsidR="007B276D" w:rsidRDefault="007B276D" w:rsidP="30821638">
      <w:pPr>
        <w:spacing w:after="0"/>
        <w:rPr>
          <w:rFonts w:ascii="Verdana" w:eastAsia="Verdana" w:hAnsi="Verdana" w:cs="Verdana"/>
        </w:rPr>
      </w:pPr>
      <w:bookmarkStart w:id="0" w:name="_Hlk143780582"/>
    </w:p>
    <w:p w14:paraId="0F075A83" w14:textId="02C3DDD9" w:rsidR="00F965ED" w:rsidRPr="00B10A68" w:rsidRDefault="00F965ED" w:rsidP="00F965ED">
      <w:pPr>
        <w:spacing w:after="0" w:line="240" w:lineRule="auto"/>
        <w:jc w:val="both"/>
        <w:rPr>
          <w:rFonts w:ascii="Verdana" w:eastAsia="Calibri" w:hAnsi="Verdana" w:cs="Arial"/>
          <w:b/>
          <w:bCs/>
          <w:lang w:val="es-ES" w:eastAsia="es-ES"/>
        </w:rPr>
      </w:pPr>
      <w:r w:rsidRPr="00B10A68">
        <w:rPr>
          <w:rFonts w:ascii="Verdana" w:eastAsia="Calibri" w:hAnsi="Verdana" w:cs="Arial"/>
          <w:b/>
          <w:bCs/>
          <w:lang w:val="es-ES" w:eastAsia="es-ES"/>
        </w:rPr>
        <w:t>SUBSANABILIDAD – Aplicación – R</w:t>
      </w:r>
      <w:r w:rsidRPr="00B10A68">
        <w:rPr>
          <w:rFonts w:ascii="Verdana" w:eastAsia="Calibri" w:hAnsi="Verdana" w:cs="Times New Roman"/>
          <w:b/>
          <w:bCs/>
          <w:lang w:val="es-ES" w:eastAsia="es-ES"/>
        </w:rPr>
        <w:t>egla general</w:t>
      </w:r>
      <w:r w:rsidRPr="00B10A68">
        <w:rPr>
          <w:rFonts w:ascii="Verdana" w:eastAsia="Calibri" w:hAnsi="Verdana" w:cs="Arial"/>
          <w:b/>
          <w:bCs/>
          <w:lang w:val="es-ES" w:eastAsia="es-ES"/>
        </w:rPr>
        <w:t xml:space="preserve"> – Excepciones </w:t>
      </w:r>
    </w:p>
    <w:p w14:paraId="282807F7" w14:textId="77777777" w:rsidR="00F965ED" w:rsidRPr="00B10A68" w:rsidRDefault="00F965ED" w:rsidP="00F965ED">
      <w:pPr>
        <w:tabs>
          <w:tab w:val="left" w:pos="426"/>
        </w:tabs>
        <w:spacing w:after="0" w:line="240" w:lineRule="auto"/>
        <w:jc w:val="both"/>
        <w:rPr>
          <w:rFonts w:ascii="Verdana" w:eastAsia="Calibri" w:hAnsi="Verdana" w:cs="Arial"/>
          <w:b/>
          <w:sz w:val="20"/>
          <w:szCs w:val="20"/>
          <w:lang w:eastAsia="es-CO"/>
        </w:rPr>
      </w:pPr>
    </w:p>
    <w:p w14:paraId="22C6674C" w14:textId="77777777" w:rsidR="00F965ED" w:rsidRPr="00B10A68" w:rsidRDefault="00F965ED" w:rsidP="00F965ED">
      <w:pPr>
        <w:spacing w:after="0" w:line="240" w:lineRule="auto"/>
        <w:jc w:val="both"/>
        <w:rPr>
          <w:rFonts w:ascii="Verdana" w:eastAsia="Calibri" w:hAnsi="Verdana" w:cs="Arial"/>
          <w:bCs/>
          <w:sz w:val="20"/>
          <w:szCs w:val="20"/>
          <w:lang w:eastAsia="es-CO"/>
        </w:rPr>
      </w:pPr>
      <w:r w:rsidRPr="00B10A68">
        <w:rPr>
          <w:rFonts w:ascii="Verdana" w:eastAsia="Calibri" w:hAnsi="Verdana" w:cs="Arial"/>
          <w:bCs/>
          <w:sz w:val="20"/>
          <w:szCs w:val="20"/>
          <w:lang w:eastAsia="es-CO"/>
        </w:rPr>
        <w:t>La regla de la subsanabilidad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30759CE9" w14:textId="77777777" w:rsidR="00F965ED" w:rsidRPr="00B10A68" w:rsidRDefault="00F965ED" w:rsidP="00F965ED">
      <w:pPr>
        <w:spacing w:after="0" w:line="240" w:lineRule="auto"/>
        <w:jc w:val="both"/>
        <w:rPr>
          <w:rFonts w:ascii="Verdana" w:eastAsia="Calibri" w:hAnsi="Verdana" w:cs="Arial"/>
          <w:bCs/>
          <w:sz w:val="20"/>
          <w:szCs w:val="20"/>
          <w:lang w:val="es-ES_tradnl" w:eastAsia="es-CO"/>
        </w:rPr>
      </w:pPr>
    </w:p>
    <w:p w14:paraId="2B11695E" w14:textId="77777777" w:rsidR="00F965ED" w:rsidRPr="00B10A68" w:rsidRDefault="00F965ED" w:rsidP="00F965ED">
      <w:pPr>
        <w:spacing w:after="0" w:line="240" w:lineRule="auto"/>
        <w:jc w:val="both"/>
        <w:rPr>
          <w:rFonts w:ascii="Verdana" w:eastAsia="Calibri" w:hAnsi="Verdana" w:cs="Arial"/>
          <w:b/>
          <w:bCs/>
          <w:lang w:val="es-ES" w:eastAsia="es-ES"/>
        </w:rPr>
      </w:pPr>
      <w:r w:rsidRPr="00B10A68">
        <w:rPr>
          <w:rFonts w:ascii="Verdana" w:eastAsia="Calibri" w:hAnsi="Verdana" w:cs="Arial"/>
          <w:b/>
          <w:bCs/>
          <w:lang w:val="es-ES" w:eastAsia="es-ES"/>
        </w:rPr>
        <w:t xml:space="preserve">SUBSANABILIDAD – Ley 1882 de 2018 </w:t>
      </w:r>
    </w:p>
    <w:p w14:paraId="56040301" w14:textId="77777777" w:rsidR="00F965ED" w:rsidRPr="00B10A68" w:rsidRDefault="00F965ED" w:rsidP="00F965ED">
      <w:pPr>
        <w:spacing w:after="0" w:line="240" w:lineRule="auto"/>
        <w:jc w:val="both"/>
        <w:rPr>
          <w:rFonts w:ascii="Verdana" w:eastAsia="Times New Roman" w:hAnsi="Verdana" w:cs="Arial"/>
          <w:lang w:val="es-ES" w:eastAsia="es-ES_tradnl"/>
        </w:rPr>
      </w:pPr>
    </w:p>
    <w:p w14:paraId="72F41E9E" w14:textId="77777777" w:rsidR="00F965ED" w:rsidRDefault="00F965ED" w:rsidP="00F965ED">
      <w:pPr>
        <w:spacing w:after="0" w:line="240" w:lineRule="auto"/>
        <w:jc w:val="both"/>
        <w:rPr>
          <w:rFonts w:ascii="Verdana" w:eastAsia="Calibri" w:hAnsi="Verdana" w:cs="Arial"/>
          <w:bCs/>
          <w:sz w:val="20"/>
          <w:szCs w:val="20"/>
          <w:lang w:eastAsia="es-CO"/>
        </w:rPr>
      </w:pPr>
      <w:r w:rsidRPr="00B10A68">
        <w:rPr>
          <w:rFonts w:ascii="Verdana" w:eastAsia="Calibri" w:hAnsi="Verdana" w:cs="Arial"/>
          <w:bCs/>
          <w:sz w:val="20"/>
          <w:szCs w:val="20"/>
          <w:lang w:eastAsia="es-CO"/>
        </w:rPr>
        <w:t xml:space="preserve">[…] la Ley 1882 de 2018: i) mantiene el criterio de la Ley 80 de 1993, relativo a que todo lo que no sea necesario para la comparación de propuestas no es título suficiente para su rechazo; </w:t>
      </w:r>
      <w:proofErr w:type="spellStart"/>
      <w:r w:rsidRPr="00B10A68">
        <w:rPr>
          <w:rFonts w:ascii="Verdana" w:eastAsia="Calibri" w:hAnsi="Verdana" w:cs="Arial"/>
          <w:bCs/>
          <w:sz w:val="20"/>
          <w:szCs w:val="20"/>
          <w:lang w:eastAsia="es-CO"/>
        </w:rPr>
        <w:t>ii</w:t>
      </w:r>
      <w:proofErr w:type="spellEnd"/>
      <w:r w:rsidRPr="00B10A68">
        <w:rPr>
          <w:rFonts w:ascii="Verdana" w:eastAsia="Calibri" w:hAnsi="Verdana" w:cs="Arial"/>
          <w:bCs/>
          <w:sz w:val="20"/>
          <w:szCs w:val="20"/>
          <w:lang w:eastAsia="es-CO"/>
        </w:rPr>
        <w:t xml:space="preserve">) mantiene el criterio aclaratorio de la Ley 1150 de 2007, según el cual todo lo que no afecte la asignación de puntaje puede subsanarse; e, </w:t>
      </w:r>
      <w:proofErr w:type="spellStart"/>
      <w:r w:rsidRPr="00B10A68">
        <w:rPr>
          <w:rFonts w:ascii="Verdana" w:eastAsia="Calibri" w:hAnsi="Verdana" w:cs="Arial"/>
          <w:bCs/>
          <w:sz w:val="20"/>
          <w:szCs w:val="20"/>
          <w:lang w:eastAsia="es-CO"/>
        </w:rPr>
        <w:t>iii</w:t>
      </w:r>
      <w:proofErr w:type="spellEnd"/>
      <w:r w:rsidRPr="00B10A68">
        <w:rPr>
          <w:rFonts w:ascii="Verdana" w:eastAsia="Calibri" w:hAnsi="Verdana" w:cs="Arial"/>
          <w:bCs/>
          <w:sz w:val="20"/>
          <w:szCs w:val="20"/>
          <w:lang w:eastAsia="es-CO"/>
        </w:rPr>
        <w:t>) introduce modificaciones en relación con algunos aspectos que se analizarán a continuación.</w:t>
      </w:r>
    </w:p>
    <w:p w14:paraId="1A478AC3" w14:textId="77777777" w:rsidR="00F965ED" w:rsidRDefault="00F965ED" w:rsidP="00F965ED">
      <w:pPr>
        <w:spacing w:after="0" w:line="240" w:lineRule="auto"/>
        <w:jc w:val="both"/>
        <w:rPr>
          <w:rFonts w:ascii="Verdana" w:eastAsia="Calibri" w:hAnsi="Verdana" w:cs="Arial"/>
          <w:bCs/>
          <w:sz w:val="20"/>
          <w:szCs w:val="20"/>
          <w:lang w:eastAsia="es-CO"/>
        </w:rPr>
      </w:pPr>
    </w:p>
    <w:p w14:paraId="45A31BF4" w14:textId="77777777" w:rsidR="00F965ED" w:rsidRDefault="00F965ED" w:rsidP="00F965ED">
      <w:pPr>
        <w:spacing w:after="0" w:line="240" w:lineRule="auto"/>
        <w:jc w:val="both"/>
        <w:rPr>
          <w:rFonts w:ascii="Verdana" w:eastAsia="Calibri" w:hAnsi="Verdana" w:cs="Arial"/>
          <w:b/>
          <w:bCs/>
          <w:lang w:val="es-ES" w:eastAsia="es-ES"/>
        </w:rPr>
      </w:pPr>
      <w:r w:rsidRPr="00B10A68">
        <w:rPr>
          <w:rFonts w:ascii="Verdana" w:eastAsia="Calibri" w:hAnsi="Verdana" w:cs="Arial"/>
          <w:b/>
          <w:bCs/>
          <w:lang w:val="es-ES" w:eastAsia="es-ES"/>
        </w:rPr>
        <w:t>SUBSANABILIDAD</w:t>
      </w:r>
      <w:r>
        <w:rPr>
          <w:rFonts w:ascii="Verdana" w:eastAsia="Calibri" w:hAnsi="Verdana" w:cs="Arial"/>
          <w:b/>
          <w:bCs/>
          <w:lang w:val="es-ES" w:eastAsia="es-ES"/>
        </w:rPr>
        <w:t xml:space="preserve"> </w:t>
      </w:r>
      <w:r w:rsidRPr="00B10A68">
        <w:rPr>
          <w:rFonts w:ascii="Verdana" w:eastAsia="Calibri" w:hAnsi="Verdana" w:cs="Arial"/>
          <w:b/>
          <w:bCs/>
          <w:lang w:val="es-ES" w:eastAsia="es-ES"/>
        </w:rPr>
        <w:t>–</w:t>
      </w:r>
      <w:r>
        <w:rPr>
          <w:rFonts w:ascii="Verdana" w:eastAsia="Calibri" w:hAnsi="Verdana" w:cs="Arial"/>
          <w:b/>
          <w:bCs/>
          <w:lang w:val="es-ES" w:eastAsia="es-ES"/>
        </w:rPr>
        <w:t xml:space="preserve"> Requisitos habilitantes </w:t>
      </w:r>
      <w:r w:rsidRPr="00B10A68">
        <w:rPr>
          <w:rFonts w:ascii="Verdana" w:eastAsia="Calibri" w:hAnsi="Verdana" w:cs="Arial"/>
          <w:b/>
          <w:bCs/>
          <w:lang w:val="es-ES" w:eastAsia="es-ES"/>
        </w:rPr>
        <w:t>–</w:t>
      </w:r>
      <w:r>
        <w:rPr>
          <w:rFonts w:ascii="Verdana" w:eastAsia="Calibri" w:hAnsi="Verdana" w:cs="Arial"/>
          <w:b/>
          <w:bCs/>
          <w:lang w:val="es-ES" w:eastAsia="es-ES"/>
        </w:rPr>
        <w:t xml:space="preserve"> Circunstancias ocurridas con posterioridad al cierre</w:t>
      </w:r>
    </w:p>
    <w:p w14:paraId="1D743390" w14:textId="77777777" w:rsidR="00F965ED" w:rsidRDefault="00F965ED" w:rsidP="00F965ED">
      <w:pPr>
        <w:spacing w:after="0" w:line="240" w:lineRule="auto"/>
        <w:jc w:val="both"/>
        <w:rPr>
          <w:rFonts w:ascii="Verdana" w:eastAsia="Calibri" w:hAnsi="Verdana" w:cs="Arial"/>
          <w:b/>
          <w:bCs/>
          <w:lang w:val="es-ES" w:eastAsia="es-ES"/>
        </w:rPr>
      </w:pPr>
    </w:p>
    <w:p w14:paraId="0DEADF93" w14:textId="77777777" w:rsidR="00F965ED" w:rsidRDefault="00F965ED" w:rsidP="00F965ED">
      <w:pPr>
        <w:spacing w:after="0" w:line="240" w:lineRule="auto"/>
        <w:jc w:val="both"/>
        <w:rPr>
          <w:rFonts w:ascii="Verdana" w:hAnsi="Verdana"/>
          <w:sz w:val="20"/>
          <w:szCs w:val="20"/>
        </w:rPr>
      </w:pPr>
      <w:r w:rsidRPr="00C703AB">
        <w:rPr>
          <w:rFonts w:ascii="Verdana" w:hAnsi="Verdana"/>
          <w:sz w:val="20"/>
          <w:szCs w:val="20"/>
        </w:rPr>
        <w:t>De otro lado, en consideración al interrogante planteado, si las inconsistencias no afectan la comparación de las propuestas, la entidad les debe otorgar la facultad a los proponentes de subsanar cualquier inconsistencia en el contenido de los documentos que acrediten el equipo de trabajo, y estos últimos deben subsanarlos hasta el traslado del informe de evaluación, hasta el momento previo a la realización de la audiencia (subasta inversa) o, hasta antes que finalice el traslado del informe de evaluación (mínima cuantía) so pena de rechazar la oferta si no se corrige durante el término establecido.</w:t>
      </w:r>
    </w:p>
    <w:p w14:paraId="068FD017" w14:textId="77777777" w:rsidR="00F965ED" w:rsidRPr="00C703AB" w:rsidRDefault="00F965ED" w:rsidP="00F965ED">
      <w:pPr>
        <w:spacing w:after="0" w:line="240" w:lineRule="auto"/>
        <w:jc w:val="both"/>
        <w:rPr>
          <w:rFonts w:ascii="Verdana" w:hAnsi="Verdana"/>
          <w:sz w:val="20"/>
          <w:szCs w:val="20"/>
        </w:rPr>
      </w:pPr>
    </w:p>
    <w:p w14:paraId="562EB2FC" w14:textId="77777777" w:rsidR="00F965ED" w:rsidRDefault="00F965ED" w:rsidP="00F965ED">
      <w:pPr>
        <w:spacing w:after="0" w:line="240" w:lineRule="auto"/>
        <w:jc w:val="both"/>
        <w:rPr>
          <w:rFonts w:ascii="Verdana" w:hAnsi="Verdana"/>
          <w:sz w:val="20"/>
          <w:szCs w:val="20"/>
        </w:rPr>
      </w:pPr>
      <w:r w:rsidRPr="00C703AB">
        <w:rPr>
          <w:rFonts w:ascii="Verdana" w:hAnsi="Verdana"/>
          <w:sz w:val="20"/>
          <w:szCs w:val="20"/>
        </w:rPr>
        <w:t>No obstante, la subsanación no podría consistir en acreditar circunstancias ocurridas con posterioridad al cierre del proceso, dado que ese supuesto correspondería a la prohibición expresa que hace el parágrafo 1 del artículo 5 de la Ley 1150 de 2007, sin que sea viable subsanar de tal forma.</w:t>
      </w:r>
    </w:p>
    <w:p w14:paraId="589542F7" w14:textId="77777777" w:rsidR="00F965ED" w:rsidRPr="00C703AB" w:rsidRDefault="00F965ED" w:rsidP="00F965ED">
      <w:pPr>
        <w:spacing w:after="0" w:line="240" w:lineRule="auto"/>
        <w:jc w:val="both"/>
        <w:rPr>
          <w:rFonts w:ascii="Verdana" w:hAnsi="Verdana"/>
          <w:sz w:val="20"/>
          <w:szCs w:val="20"/>
        </w:rPr>
      </w:pPr>
    </w:p>
    <w:p w14:paraId="7136DA44" w14:textId="77777777" w:rsidR="00F965ED" w:rsidRPr="00C703AB" w:rsidRDefault="00F965ED" w:rsidP="00F965ED">
      <w:pPr>
        <w:spacing w:after="0" w:line="240" w:lineRule="auto"/>
        <w:jc w:val="both"/>
        <w:rPr>
          <w:rFonts w:ascii="Verdana" w:hAnsi="Verdana"/>
          <w:sz w:val="20"/>
          <w:szCs w:val="20"/>
        </w:rPr>
      </w:pPr>
      <w:r w:rsidRPr="00C703AB">
        <w:rPr>
          <w:rFonts w:ascii="Verdana" w:hAnsi="Verdana"/>
          <w:sz w:val="20"/>
          <w:szCs w:val="20"/>
        </w:rPr>
        <w:t>Lo anterior, teniendo en cuenta que una de las excepciones a la regla de poder subsanar los requisitos habilitantes se encuentra en la prohibición de permitir que se subsanen aspectos que acreditan circunstancias ocurridas con posterioridad al cierre del proceso. En ese sentido, al aportar el documento subsanado (como las hojas de vida del equipo de trabajo), la entidad contratante debe determinar que no se estén acreditando circunstancias ocurridas con posterioridad al cierre del proceso.</w:t>
      </w:r>
    </w:p>
    <w:p w14:paraId="6060490E" w14:textId="77777777" w:rsidR="00F965ED" w:rsidRPr="00B10A68" w:rsidRDefault="00F965ED" w:rsidP="00F965ED">
      <w:pPr>
        <w:spacing w:after="0" w:line="240" w:lineRule="auto"/>
        <w:jc w:val="both"/>
        <w:rPr>
          <w:rFonts w:ascii="Verdana" w:eastAsia="Calibri" w:hAnsi="Verdana" w:cs="Arial"/>
          <w:bCs/>
          <w:sz w:val="20"/>
          <w:szCs w:val="20"/>
          <w:lang w:eastAsia="es-CO"/>
        </w:rPr>
      </w:pPr>
    </w:p>
    <w:p w14:paraId="68DF7CB8" w14:textId="77777777" w:rsidR="00F965ED" w:rsidRPr="007C738F" w:rsidRDefault="00F965ED" w:rsidP="00F965ED">
      <w:pPr>
        <w:spacing w:after="0" w:line="240" w:lineRule="auto"/>
        <w:jc w:val="both"/>
        <w:rPr>
          <w:rFonts w:ascii="Verdana" w:hAnsi="Verdana"/>
          <w:b/>
          <w:bCs/>
        </w:rPr>
      </w:pPr>
      <w:r w:rsidRPr="007C738F">
        <w:rPr>
          <w:rFonts w:ascii="Verdana" w:hAnsi="Verdana"/>
          <w:b/>
          <w:bCs/>
        </w:rPr>
        <w:t>ADENDAS – Fundamento</w:t>
      </w:r>
    </w:p>
    <w:p w14:paraId="60C0887E" w14:textId="77777777" w:rsidR="00F965ED" w:rsidRPr="001F4272" w:rsidRDefault="00F965ED" w:rsidP="00F965ED">
      <w:pPr>
        <w:spacing w:after="0" w:line="240" w:lineRule="auto"/>
        <w:jc w:val="both"/>
        <w:rPr>
          <w:rFonts w:ascii="Verdana" w:hAnsi="Verdana"/>
          <w:b/>
          <w:bCs/>
          <w:sz w:val="20"/>
          <w:szCs w:val="20"/>
        </w:rPr>
      </w:pPr>
    </w:p>
    <w:p w14:paraId="554127F5" w14:textId="77777777" w:rsidR="00F965ED" w:rsidRPr="001F4272" w:rsidRDefault="00F965ED" w:rsidP="00F965ED">
      <w:pPr>
        <w:spacing w:after="0" w:line="240" w:lineRule="auto"/>
        <w:jc w:val="both"/>
        <w:rPr>
          <w:rFonts w:ascii="Verdana" w:hAnsi="Verdana"/>
          <w:sz w:val="20"/>
          <w:szCs w:val="20"/>
        </w:rPr>
      </w:pPr>
      <w:r w:rsidRPr="001F4272">
        <w:rPr>
          <w:rFonts w:ascii="Verdana" w:hAnsi="Verdana"/>
          <w:sz w:val="20"/>
          <w:szCs w:val="20"/>
        </w:rPr>
        <w:lastRenderedPageBreak/>
        <w:t xml:space="preserve">[…]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a través de adendas. </w:t>
      </w:r>
    </w:p>
    <w:p w14:paraId="3FA6C835" w14:textId="77777777" w:rsidR="00F965ED" w:rsidRPr="001F4272" w:rsidRDefault="00F965ED" w:rsidP="00F965ED">
      <w:pPr>
        <w:spacing w:after="0" w:line="240" w:lineRule="auto"/>
        <w:jc w:val="both"/>
        <w:rPr>
          <w:rFonts w:ascii="Verdana" w:hAnsi="Verdana"/>
          <w:sz w:val="20"/>
          <w:szCs w:val="20"/>
        </w:rPr>
      </w:pPr>
    </w:p>
    <w:p w14:paraId="7C5B69CC" w14:textId="77777777" w:rsidR="00F965ED" w:rsidRPr="001F4272" w:rsidRDefault="00F965ED" w:rsidP="00F965ED">
      <w:pPr>
        <w:spacing w:after="0" w:line="240" w:lineRule="auto"/>
        <w:jc w:val="both"/>
        <w:rPr>
          <w:rFonts w:ascii="Verdana" w:hAnsi="Verdana"/>
          <w:sz w:val="20"/>
          <w:szCs w:val="20"/>
        </w:rPr>
      </w:pPr>
      <w:r w:rsidRPr="001F4272">
        <w:rPr>
          <w:rFonts w:ascii="Verdana" w:hAnsi="Verdana"/>
          <w:sz w:val="20"/>
          <w:szCs w:val="20"/>
        </w:rPr>
        <w:t>Sin perjuicio de lo anterior, como lo ha reconocido la jurisprudencia del Consejo de Estado, dichas modificaciones pueden realizarse por medio de cualquier otro documento que contenga la manifestación de voluntad de la entidad de aclarar, añadir, adicionar, reemplazar o cambiar un aspecto o condición, incluida en los documentos del procedimiento de contratación, independientemente que a dicho documento se le titule como adenda</w:t>
      </w:r>
      <w:r>
        <w:rPr>
          <w:rFonts w:ascii="Verdana" w:hAnsi="Verdana"/>
          <w:sz w:val="20"/>
          <w:szCs w:val="20"/>
        </w:rPr>
        <w:t xml:space="preserve"> […]</w:t>
      </w:r>
    </w:p>
    <w:p w14:paraId="59F6C16D" w14:textId="77777777" w:rsidR="00F965ED" w:rsidRPr="007C738F" w:rsidRDefault="00F965ED" w:rsidP="00F965ED">
      <w:pPr>
        <w:spacing w:after="0" w:line="240" w:lineRule="auto"/>
        <w:jc w:val="both"/>
        <w:rPr>
          <w:rFonts w:ascii="Verdana" w:eastAsia="Arial" w:hAnsi="Verdana" w:cs="Arial"/>
          <w:color w:val="7030A0"/>
        </w:rPr>
      </w:pPr>
    </w:p>
    <w:p w14:paraId="6A67586C" w14:textId="77777777" w:rsidR="00F965ED" w:rsidRPr="007C738F" w:rsidRDefault="00F965ED" w:rsidP="00F965ED">
      <w:pPr>
        <w:spacing w:after="0" w:line="240" w:lineRule="auto"/>
        <w:jc w:val="both"/>
        <w:rPr>
          <w:rFonts w:ascii="Verdana" w:hAnsi="Verdana"/>
          <w:b/>
          <w:bCs/>
        </w:rPr>
      </w:pPr>
      <w:r w:rsidRPr="007C738F">
        <w:rPr>
          <w:rFonts w:ascii="Verdana" w:hAnsi="Verdana"/>
          <w:b/>
          <w:bCs/>
        </w:rPr>
        <w:t xml:space="preserve">ADENDAS – Alcance – Límites  </w:t>
      </w:r>
    </w:p>
    <w:p w14:paraId="19B821AB" w14:textId="77777777" w:rsidR="00F965ED" w:rsidRDefault="00F965ED" w:rsidP="00F965ED">
      <w:pPr>
        <w:spacing w:after="0" w:line="240" w:lineRule="auto"/>
        <w:jc w:val="both"/>
        <w:rPr>
          <w:rFonts w:ascii="Verdana" w:hAnsi="Verdana"/>
          <w:b/>
          <w:bCs/>
          <w:sz w:val="20"/>
          <w:szCs w:val="20"/>
        </w:rPr>
      </w:pPr>
    </w:p>
    <w:p w14:paraId="47F06F51" w14:textId="77777777" w:rsidR="00F965ED" w:rsidRPr="00FF00B5" w:rsidRDefault="00F965ED" w:rsidP="00F965ED">
      <w:pPr>
        <w:spacing w:after="0" w:line="240" w:lineRule="auto"/>
        <w:jc w:val="both"/>
        <w:rPr>
          <w:rFonts w:ascii="Verdana" w:hAnsi="Verdana"/>
          <w:sz w:val="20"/>
          <w:szCs w:val="20"/>
        </w:rPr>
      </w:pPr>
      <w:r w:rsidRPr="00FF00B5">
        <w:rPr>
          <w:rFonts w:ascii="Verdana" w:hAnsi="Verdana"/>
          <w:sz w:val="20"/>
          <w:szCs w:val="20"/>
        </w:rPr>
        <w:t xml:space="preserve">[…] </w:t>
      </w:r>
      <w:r w:rsidRPr="00FF00B5">
        <w:rPr>
          <w:rFonts w:ascii="Verdana" w:eastAsia="Calibri" w:hAnsi="Verdana" w:cs="Arial"/>
          <w:sz w:val="20"/>
          <w:szCs w:val="20"/>
        </w:rPr>
        <w:t xml:space="preserve">La interpretación de esta norma supone diferenciar entre 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Pr="00FF00B5">
        <w:rPr>
          <w:rFonts w:ascii="Verdana" w:eastAsia="Calibri" w:hAnsi="Verdana" w:cs="Arial"/>
          <w:sz w:val="20"/>
          <w:szCs w:val="20"/>
        </w:rPr>
        <w:t>ii</w:t>
      </w:r>
      <w:proofErr w:type="spellEnd"/>
      <w:r w:rsidRPr="00FF00B5">
        <w:rPr>
          <w:rFonts w:ascii="Verdana" w:eastAsia="Calibri" w:hAnsi="Verdana" w:cs="Arial"/>
          <w:sz w:val="20"/>
          <w:szCs w:val="20"/>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2.2.1.1.2.2.1. […]</w:t>
      </w:r>
    </w:p>
    <w:p w14:paraId="6DEB5A3A" w14:textId="77777777" w:rsidR="00F965ED" w:rsidRDefault="00F965ED" w:rsidP="00F965ED">
      <w:pPr>
        <w:spacing w:after="0" w:line="240" w:lineRule="auto"/>
        <w:rPr>
          <w:rFonts w:ascii="Verdana" w:eastAsia="Times New Roman" w:hAnsi="Verdana" w:cs="Arial"/>
          <w:b/>
          <w:bCs/>
          <w:lang w:val="es-MX" w:eastAsia="es-ES_tradnl"/>
        </w:rPr>
      </w:pPr>
    </w:p>
    <w:p w14:paraId="78F1612C" w14:textId="77777777" w:rsidR="00F965ED" w:rsidRDefault="00F965ED" w:rsidP="00F965ED">
      <w:pPr>
        <w:spacing w:after="0" w:line="240" w:lineRule="auto"/>
        <w:rPr>
          <w:rFonts w:ascii="Verdana" w:eastAsia="Times New Roman" w:hAnsi="Verdana" w:cs="Arial"/>
          <w:b/>
          <w:bCs/>
          <w:lang w:val="es-MX" w:eastAsia="es-ES_tradnl"/>
        </w:rPr>
      </w:pPr>
    </w:p>
    <w:p w14:paraId="5F29C9CC" w14:textId="77777777" w:rsidR="00F965ED" w:rsidRDefault="00F965ED" w:rsidP="00F965ED">
      <w:pPr>
        <w:spacing w:after="0" w:line="240" w:lineRule="auto"/>
        <w:rPr>
          <w:rFonts w:ascii="Verdana" w:eastAsia="Times New Roman" w:hAnsi="Verdana" w:cs="Arial"/>
          <w:b/>
          <w:bCs/>
          <w:lang w:val="es-MX" w:eastAsia="es-ES_tradnl"/>
        </w:rPr>
      </w:pPr>
    </w:p>
    <w:p w14:paraId="5ED2BBE4" w14:textId="612F77D7" w:rsidR="007B276D" w:rsidRDefault="007B276D">
      <w:pPr>
        <w:rPr>
          <w:rFonts w:ascii="Verdana" w:eastAsia="Verdana" w:hAnsi="Verdana" w:cs="Verdana"/>
        </w:rPr>
      </w:pPr>
    </w:p>
    <w:p w14:paraId="294A0FB2" w14:textId="77777777" w:rsidR="00F965ED" w:rsidRDefault="00F965ED">
      <w:pPr>
        <w:rPr>
          <w:rFonts w:ascii="Verdana" w:eastAsia="Verdana" w:hAnsi="Verdana" w:cs="Verdana"/>
        </w:rPr>
      </w:pPr>
    </w:p>
    <w:p w14:paraId="1A31F9BE" w14:textId="77777777" w:rsidR="00F965ED" w:rsidRDefault="00F965ED">
      <w:pPr>
        <w:rPr>
          <w:rFonts w:ascii="Verdana" w:eastAsia="Verdana" w:hAnsi="Verdana" w:cs="Verdana"/>
        </w:rPr>
      </w:pPr>
    </w:p>
    <w:p w14:paraId="56773197" w14:textId="77777777" w:rsidR="00F965ED" w:rsidRDefault="00F965ED">
      <w:pPr>
        <w:rPr>
          <w:rFonts w:ascii="Verdana" w:eastAsia="Verdana" w:hAnsi="Verdana" w:cs="Verdana"/>
        </w:rPr>
      </w:pPr>
    </w:p>
    <w:p w14:paraId="2BAFF76F" w14:textId="77777777" w:rsidR="00F965ED" w:rsidRDefault="00F965ED">
      <w:pPr>
        <w:rPr>
          <w:rFonts w:ascii="Verdana" w:eastAsia="Verdana" w:hAnsi="Verdana" w:cs="Verdana"/>
        </w:rPr>
      </w:pPr>
    </w:p>
    <w:p w14:paraId="52F78BF9" w14:textId="77777777" w:rsidR="00F965ED" w:rsidRDefault="00F965ED">
      <w:pPr>
        <w:rPr>
          <w:rFonts w:ascii="Verdana" w:eastAsia="Verdana" w:hAnsi="Verdana" w:cs="Verdana"/>
        </w:rPr>
      </w:pPr>
    </w:p>
    <w:p w14:paraId="0D348FFF" w14:textId="77777777" w:rsidR="00F965ED" w:rsidRDefault="00F965ED">
      <w:pPr>
        <w:rPr>
          <w:rFonts w:ascii="Verdana" w:eastAsia="Verdana" w:hAnsi="Verdana" w:cs="Verdana"/>
        </w:rPr>
      </w:pPr>
    </w:p>
    <w:p w14:paraId="675A3C42" w14:textId="77777777" w:rsidR="00F965ED" w:rsidRDefault="00F965ED">
      <w:pPr>
        <w:rPr>
          <w:rFonts w:ascii="Verdana" w:eastAsia="Verdana" w:hAnsi="Verdana" w:cs="Verdana"/>
        </w:rPr>
      </w:pPr>
    </w:p>
    <w:p w14:paraId="1468C46D" w14:textId="1566F42B" w:rsidR="00C15139" w:rsidRPr="0024624F" w:rsidRDefault="0027613B" w:rsidP="30821638">
      <w:pPr>
        <w:spacing w:after="0"/>
        <w:rPr>
          <w:rFonts w:ascii="Verdana" w:eastAsia="Verdana" w:hAnsi="Verdana" w:cs="Verdana"/>
        </w:rPr>
      </w:pPr>
      <w:r w:rsidRPr="0027613B">
        <w:rPr>
          <w:rFonts w:ascii="Verdana" w:eastAsia="Verdana" w:hAnsi="Verdana" w:cs="Verdana"/>
          <w:noProof/>
        </w:rPr>
        <w:drawing>
          <wp:anchor distT="0" distB="0" distL="114300" distR="114300" simplePos="0" relativeHeight="251659264" behindDoc="1" locked="0" layoutInCell="1" allowOverlap="1" wp14:anchorId="5C6BD36A" wp14:editId="7A1795E5">
            <wp:simplePos x="0" y="0"/>
            <wp:positionH relativeFrom="column">
              <wp:posOffset>3520440</wp:posOffset>
            </wp:positionH>
            <wp:positionV relativeFrom="paragraph">
              <wp:posOffset>233680</wp:posOffset>
            </wp:positionV>
            <wp:extent cx="2297430" cy="876300"/>
            <wp:effectExtent l="0" t="0" r="7620" b="0"/>
            <wp:wrapTight wrapText="bothSides">
              <wp:wrapPolygon edited="0">
                <wp:start x="0" y="0"/>
                <wp:lineTo x="0" y="21130"/>
                <wp:lineTo x="21493" y="21130"/>
                <wp:lineTo x="21493" y="0"/>
                <wp:lineTo x="0" y="0"/>
              </wp:wrapPolygon>
            </wp:wrapTight>
            <wp:docPr id="15037802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743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19 octubre 2026</w:t>
      </w:r>
      <w:r w:rsidR="00C15139">
        <w:br/>
      </w:r>
      <w:r w:rsidR="00C15139">
        <w:tab/>
      </w:r>
    </w:p>
    <w:p w14:paraId="12443EE0" w14:textId="2407DB26" w:rsidR="00C15139" w:rsidRPr="0024624F" w:rsidRDefault="00C15139" w:rsidP="30821638">
      <w:pPr>
        <w:spacing w:after="0"/>
        <w:rPr>
          <w:rFonts w:ascii="Verdana" w:eastAsia="Verdana" w:hAnsi="Verdana" w:cs="Verdana"/>
        </w:rPr>
      </w:pPr>
    </w:p>
    <w:p w14:paraId="5F2CD078" w14:textId="6142E625" w:rsidR="00C15139" w:rsidRDefault="00C15139" w:rsidP="30821638">
      <w:pPr>
        <w:spacing w:after="0"/>
        <w:rPr>
          <w:rFonts w:ascii="Verdana" w:eastAsia="Verdana" w:hAnsi="Verdana" w:cs="Verdana"/>
          <w:lang w:val="es-MX"/>
        </w:rPr>
      </w:pPr>
      <w:r w:rsidRPr="30821638">
        <w:rPr>
          <w:rFonts w:ascii="Verdana" w:eastAsia="Verdana" w:hAnsi="Verdana" w:cs="Verdana"/>
          <w:lang w:val="es-MX"/>
        </w:rPr>
        <w:t>Señor</w:t>
      </w:r>
    </w:p>
    <w:p w14:paraId="09FE8177" w14:textId="19BA53DB" w:rsidR="00EC590D" w:rsidRPr="0007270C" w:rsidRDefault="00EC590D" w:rsidP="30821638">
      <w:pPr>
        <w:spacing w:after="0"/>
        <w:rPr>
          <w:rFonts w:ascii="Verdana" w:eastAsia="Verdana" w:hAnsi="Verdana" w:cs="Verdana"/>
          <w:b/>
          <w:bCs/>
          <w:lang w:val="es-MX"/>
        </w:rPr>
      </w:pPr>
      <w:r w:rsidRPr="0007270C">
        <w:rPr>
          <w:rFonts w:ascii="Verdana" w:eastAsia="Verdana" w:hAnsi="Verdana" w:cs="Verdana"/>
          <w:b/>
          <w:bCs/>
          <w:lang w:val="es-MX"/>
        </w:rPr>
        <w:t xml:space="preserve">Arwin René </w:t>
      </w:r>
      <w:r w:rsidR="0007270C" w:rsidRPr="0007270C">
        <w:rPr>
          <w:rFonts w:ascii="Verdana" w:eastAsia="Verdana" w:hAnsi="Verdana" w:cs="Verdana"/>
          <w:b/>
          <w:bCs/>
          <w:lang w:val="es-MX"/>
        </w:rPr>
        <w:t xml:space="preserve">Ortiz González </w:t>
      </w:r>
    </w:p>
    <w:p w14:paraId="6BC8085D" w14:textId="6131401A" w:rsidR="0007270C" w:rsidRDefault="00A31B37" w:rsidP="30821638">
      <w:pPr>
        <w:spacing w:after="0"/>
        <w:rPr>
          <w:rFonts w:ascii="Verdana" w:eastAsia="Verdana" w:hAnsi="Verdana" w:cs="Verdana"/>
          <w:lang w:val="es-MX"/>
        </w:rPr>
      </w:pPr>
      <w:hyperlink r:id="rId11" w:history="1">
        <w:r w:rsidRPr="0024156C">
          <w:rPr>
            <w:rStyle w:val="Hipervnculo"/>
            <w:rFonts w:ascii="Verdana" w:eastAsia="Verdana" w:hAnsi="Verdana" w:cs="Verdana"/>
            <w:lang w:val="es-MX"/>
          </w:rPr>
          <w:t>notificacionesjudiciales487@gmail.com</w:t>
        </w:r>
      </w:hyperlink>
    </w:p>
    <w:p w14:paraId="38837F75" w14:textId="639352DA" w:rsidR="00A31B37" w:rsidRDefault="00A31B37" w:rsidP="30821638">
      <w:pPr>
        <w:spacing w:after="0"/>
        <w:rPr>
          <w:rFonts w:ascii="Verdana" w:eastAsia="Verdana" w:hAnsi="Verdana" w:cs="Verdana"/>
          <w:lang w:val="es-MX"/>
        </w:rPr>
      </w:pPr>
      <w:r>
        <w:rPr>
          <w:rFonts w:ascii="Verdana" w:eastAsia="Verdana" w:hAnsi="Verdana" w:cs="Verdana"/>
          <w:lang w:val="es-MX"/>
        </w:rPr>
        <w:t xml:space="preserve">Ciudad </w:t>
      </w:r>
    </w:p>
    <w:p w14:paraId="491FD501" w14:textId="77777777" w:rsidR="00CE432F" w:rsidRPr="00B10A68" w:rsidRDefault="00CE432F" w:rsidP="00CE432F">
      <w:pPr>
        <w:spacing w:after="0" w:line="240" w:lineRule="auto"/>
        <w:rPr>
          <w:rFonts w:ascii="Verdana" w:eastAsia="Calibri" w:hAnsi="Verdana" w:cs="Arial"/>
          <w:b/>
          <w:bCs/>
          <w:lang w:val="es-ES_tradnl" w:eastAsia="es-ES_tradnl"/>
        </w:rPr>
      </w:pPr>
      <w:r>
        <w:rPr>
          <w:rFonts w:ascii="Verdana" w:eastAsia="Verdana" w:hAnsi="Verdana" w:cs="Verdana"/>
          <w:lang w:val="es-MX"/>
        </w:rPr>
        <w:t xml:space="preserve"> </w:t>
      </w:r>
    </w:p>
    <w:tbl>
      <w:tblPr>
        <w:tblStyle w:val="Tablaconcuadrcula1"/>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432F" w:rsidRPr="00B10A68" w14:paraId="50693994" w14:textId="77777777" w:rsidTr="00CE04D6">
        <w:trPr>
          <w:trHeight w:val="222"/>
        </w:trPr>
        <w:tc>
          <w:tcPr>
            <w:tcW w:w="2689" w:type="dxa"/>
          </w:tcPr>
          <w:p w14:paraId="653B75E1" w14:textId="77777777" w:rsidR="00CE432F" w:rsidRPr="00B10A68" w:rsidRDefault="00CE432F" w:rsidP="00CE04D6">
            <w:pPr>
              <w:jc w:val="both"/>
              <w:rPr>
                <w:rFonts w:ascii="Verdana" w:hAnsi="Verdana" w:cs="Arial"/>
                <w:b/>
                <w:bCs/>
                <w:lang w:val="es-ES_tradnl" w:eastAsia="es-ES_tradnl"/>
              </w:rPr>
            </w:pPr>
          </w:p>
        </w:tc>
        <w:tc>
          <w:tcPr>
            <w:tcW w:w="6100" w:type="dxa"/>
            <w:hideMark/>
          </w:tcPr>
          <w:p w14:paraId="352635DF" w14:textId="30EDF98A" w:rsidR="00CE432F" w:rsidRDefault="00CE432F" w:rsidP="00CE04D6">
            <w:pPr>
              <w:jc w:val="both"/>
              <w:rPr>
                <w:rFonts w:ascii="Verdana" w:hAnsi="Verdana" w:cs="Arial"/>
                <w:b/>
                <w:bCs/>
                <w:lang w:val="es-ES" w:eastAsia="es-ES"/>
              </w:rPr>
            </w:pPr>
            <w:r w:rsidRPr="00B10A68">
              <w:rPr>
                <w:rFonts w:ascii="Verdana" w:hAnsi="Verdana" w:cs="Arial"/>
                <w:b/>
                <w:bCs/>
                <w:lang w:val="es-ES" w:eastAsia="es-ES"/>
              </w:rPr>
              <w:t xml:space="preserve">Concepto C- </w:t>
            </w:r>
            <w:r w:rsidR="00F50DAF">
              <w:rPr>
                <w:rFonts w:ascii="Verdana" w:hAnsi="Verdana" w:cs="Arial"/>
                <w:b/>
                <w:bCs/>
                <w:lang w:val="es-ES" w:eastAsia="es-ES"/>
              </w:rPr>
              <w:t>1413</w:t>
            </w:r>
            <w:r w:rsidRPr="00B10A68">
              <w:rPr>
                <w:rFonts w:ascii="Verdana" w:hAnsi="Verdana" w:cs="Arial"/>
                <w:b/>
                <w:bCs/>
                <w:lang w:val="es-ES" w:eastAsia="es-ES"/>
              </w:rPr>
              <w:t xml:space="preserve"> de 202</w:t>
            </w:r>
            <w:r w:rsidR="00F50DAF">
              <w:rPr>
                <w:rFonts w:ascii="Verdana" w:hAnsi="Verdana" w:cs="Arial"/>
                <w:b/>
                <w:bCs/>
                <w:lang w:val="es-ES" w:eastAsia="es-ES"/>
              </w:rPr>
              <w:t>6</w:t>
            </w:r>
          </w:p>
          <w:p w14:paraId="15ED6C87" w14:textId="77777777" w:rsidR="00CE432F" w:rsidRPr="00B10A68" w:rsidRDefault="00CE432F" w:rsidP="00CE04D6">
            <w:pPr>
              <w:jc w:val="both"/>
              <w:rPr>
                <w:rFonts w:ascii="Verdana" w:hAnsi="Verdana" w:cs="Arial"/>
                <w:b/>
                <w:bCs/>
                <w:lang w:val="es-ES" w:eastAsia="es-ES"/>
              </w:rPr>
            </w:pPr>
          </w:p>
        </w:tc>
      </w:tr>
      <w:tr w:rsidR="00CE432F" w:rsidRPr="008F4EC5" w14:paraId="6FFCF11A" w14:textId="77777777" w:rsidTr="00CE04D6">
        <w:trPr>
          <w:trHeight w:val="884"/>
        </w:trPr>
        <w:tc>
          <w:tcPr>
            <w:tcW w:w="2689" w:type="dxa"/>
            <w:hideMark/>
          </w:tcPr>
          <w:p w14:paraId="6FD2C7FE" w14:textId="77777777" w:rsidR="00CE432F" w:rsidRPr="00B10A68" w:rsidRDefault="00CE432F" w:rsidP="00CE04D6">
            <w:pPr>
              <w:jc w:val="both"/>
              <w:rPr>
                <w:rFonts w:ascii="Verdana" w:hAnsi="Verdana" w:cs="Arial"/>
                <w:lang w:val="es-ES_tradnl" w:eastAsia="es-ES_tradnl"/>
              </w:rPr>
            </w:pPr>
            <w:r w:rsidRPr="00B10A68">
              <w:rPr>
                <w:rFonts w:ascii="Verdana" w:hAnsi="Verdana" w:cs="Arial"/>
                <w:b/>
                <w:lang w:val="es-ES_tradnl" w:eastAsia="es-ES_tradnl"/>
              </w:rPr>
              <w:t>Temas:</w:t>
            </w:r>
            <w:r w:rsidRPr="00B10A68">
              <w:rPr>
                <w:rFonts w:ascii="Verdana" w:hAnsi="Verdana" w:cs="Arial"/>
                <w:lang w:val="es-ES_tradnl" w:eastAsia="es-ES_tradnl"/>
              </w:rPr>
              <w:t xml:space="preserve">                   </w:t>
            </w:r>
          </w:p>
        </w:tc>
        <w:tc>
          <w:tcPr>
            <w:tcW w:w="6100" w:type="dxa"/>
            <w:hideMark/>
          </w:tcPr>
          <w:p w14:paraId="2CC5BC2C" w14:textId="77777777" w:rsidR="007B276D" w:rsidRDefault="00CE432F" w:rsidP="00CE04D6">
            <w:pPr>
              <w:jc w:val="both"/>
              <w:rPr>
                <w:rFonts w:ascii="Verdana" w:hAnsi="Verdana" w:cs="Arial"/>
                <w:lang w:val="es-ES" w:eastAsia="es-ES"/>
              </w:rPr>
            </w:pPr>
            <w:r w:rsidRPr="008F4EC5">
              <w:rPr>
                <w:rFonts w:ascii="Verdana" w:hAnsi="Verdana" w:cs="Arial"/>
                <w:lang w:val="es-ES" w:eastAsia="es-ES"/>
              </w:rPr>
              <w:t>SUBSANABILIDAD – Aplicación – Regla general – Excepciones / SUBSANABILIDAD – Ley 1882 de 2018 /</w:t>
            </w:r>
          </w:p>
          <w:p w14:paraId="044F4454" w14:textId="1418F18B" w:rsidR="00CE432F" w:rsidRPr="008F4EC5" w:rsidRDefault="007B276D" w:rsidP="00CE04D6">
            <w:pPr>
              <w:jc w:val="both"/>
              <w:rPr>
                <w:rFonts w:ascii="Verdana" w:hAnsi="Verdana" w:cs="Arial"/>
                <w:lang w:val="es-ES" w:eastAsia="es-ES"/>
              </w:rPr>
            </w:pPr>
            <w:r>
              <w:rPr>
                <w:rFonts w:ascii="Verdana" w:hAnsi="Verdana" w:cs="Arial"/>
                <w:lang w:val="es-ES" w:eastAsia="es-ES"/>
              </w:rPr>
              <w:t>SUBSANABILIDAD – Requisitos habilitantes – Circunstancias ocurridas con posterioridad al cierre / ADENDAS – Fundamento / ADENDAS – Alcance - límites</w:t>
            </w:r>
          </w:p>
        </w:tc>
      </w:tr>
      <w:tr w:rsidR="00CE432F" w:rsidRPr="008F4EC5" w14:paraId="35A67E6D" w14:textId="77777777" w:rsidTr="00CE04D6">
        <w:trPr>
          <w:trHeight w:val="80"/>
        </w:trPr>
        <w:tc>
          <w:tcPr>
            <w:tcW w:w="2689" w:type="dxa"/>
          </w:tcPr>
          <w:p w14:paraId="55BA6130" w14:textId="77777777" w:rsidR="00CE432F" w:rsidRPr="00B10A68" w:rsidRDefault="00CE432F" w:rsidP="00CE04D6">
            <w:pPr>
              <w:jc w:val="both"/>
              <w:rPr>
                <w:rFonts w:ascii="Verdana" w:hAnsi="Verdana" w:cs="Arial"/>
                <w:b/>
                <w:lang w:val="es-ES_tradnl" w:eastAsia="es-ES_tradnl"/>
              </w:rPr>
            </w:pPr>
          </w:p>
        </w:tc>
        <w:tc>
          <w:tcPr>
            <w:tcW w:w="6100" w:type="dxa"/>
          </w:tcPr>
          <w:p w14:paraId="6A2F5A42" w14:textId="77777777" w:rsidR="00CE432F" w:rsidRPr="008F4EC5" w:rsidRDefault="00CE432F" w:rsidP="00CE04D6">
            <w:pPr>
              <w:jc w:val="both"/>
              <w:rPr>
                <w:rFonts w:ascii="Verdana" w:hAnsi="Verdana" w:cs="Arial"/>
                <w:lang w:val="es-ES" w:eastAsia="es-ES"/>
              </w:rPr>
            </w:pPr>
          </w:p>
        </w:tc>
      </w:tr>
      <w:tr w:rsidR="00CE432F" w:rsidRPr="00B10A68" w14:paraId="622CCA38" w14:textId="77777777" w:rsidTr="00CE04D6">
        <w:tc>
          <w:tcPr>
            <w:tcW w:w="2689" w:type="dxa"/>
            <w:hideMark/>
          </w:tcPr>
          <w:p w14:paraId="4F4CFD61" w14:textId="77777777" w:rsidR="00CE432F" w:rsidRPr="00B10A68" w:rsidRDefault="00CE432F" w:rsidP="00CE04D6">
            <w:pPr>
              <w:jc w:val="both"/>
              <w:rPr>
                <w:rFonts w:ascii="Verdana" w:hAnsi="Verdana" w:cs="Arial"/>
                <w:b/>
                <w:lang w:val="es-ES_tradnl" w:eastAsia="es-ES_tradnl"/>
              </w:rPr>
            </w:pPr>
            <w:r w:rsidRPr="00B10A68">
              <w:rPr>
                <w:rFonts w:ascii="Verdana" w:hAnsi="Verdana" w:cs="Arial"/>
                <w:b/>
                <w:lang w:val="es-ES_tradnl" w:eastAsia="es-ES_tradnl"/>
              </w:rPr>
              <w:t>Radicación:</w:t>
            </w:r>
            <w:r w:rsidRPr="00B10A68">
              <w:rPr>
                <w:rFonts w:ascii="Verdana" w:hAnsi="Verdana" w:cs="Arial"/>
                <w:lang w:val="es-ES_tradnl" w:eastAsia="es-ES_tradnl"/>
              </w:rPr>
              <w:t xml:space="preserve">               </w:t>
            </w:r>
          </w:p>
        </w:tc>
        <w:tc>
          <w:tcPr>
            <w:tcW w:w="6100" w:type="dxa"/>
            <w:hideMark/>
          </w:tcPr>
          <w:p w14:paraId="4218307D" w14:textId="77777777" w:rsidR="00960EE6" w:rsidRPr="00960EE6" w:rsidRDefault="00CE432F" w:rsidP="00960EE6">
            <w:pPr>
              <w:jc w:val="both"/>
              <w:rPr>
                <w:rFonts w:ascii="Verdana" w:hAnsi="Verdana" w:cs="Arial"/>
                <w:lang w:eastAsia="es-ES_tradnl"/>
              </w:rPr>
            </w:pPr>
            <w:r w:rsidRPr="00B10A68">
              <w:rPr>
                <w:rFonts w:ascii="Verdana" w:hAnsi="Verdana" w:cs="Arial"/>
                <w:lang w:val="es-ES_tradnl" w:eastAsia="es-ES_tradnl"/>
              </w:rPr>
              <w:t>Respuesta a consulta</w:t>
            </w:r>
            <w:r w:rsidR="00960EE6">
              <w:rPr>
                <w:rFonts w:ascii="Verdana" w:hAnsi="Verdana" w:cs="Arial"/>
                <w:lang w:val="es-ES_tradnl" w:eastAsia="es-ES_tradnl"/>
              </w:rPr>
              <w:t xml:space="preserve"> acumuladas</w:t>
            </w:r>
            <w:r w:rsidRPr="00B10A68">
              <w:rPr>
                <w:rFonts w:ascii="Verdana" w:hAnsi="Verdana" w:cs="Arial"/>
                <w:lang w:val="es-ES_tradnl" w:eastAsia="es-ES_tradnl"/>
              </w:rPr>
              <w:t xml:space="preserve"> con radicado</w:t>
            </w:r>
            <w:r w:rsidR="00960EE6">
              <w:rPr>
                <w:rFonts w:ascii="Verdana" w:hAnsi="Verdana" w:cs="Arial"/>
                <w:lang w:val="es-ES_tradnl" w:eastAsia="es-ES_tradnl"/>
              </w:rPr>
              <w:t>s</w:t>
            </w:r>
            <w:r w:rsidRPr="00B10A68">
              <w:rPr>
                <w:rFonts w:ascii="Verdana" w:hAnsi="Verdana" w:cs="Arial"/>
                <w:lang w:val="es-ES_tradnl" w:eastAsia="es-ES_tradnl"/>
              </w:rPr>
              <w:t xml:space="preserve"> No. </w:t>
            </w:r>
            <w:r w:rsidR="00150E1A" w:rsidRPr="00150E1A">
              <w:rPr>
                <w:rFonts w:ascii="Verdana" w:hAnsi="Verdana" w:cs="Arial"/>
                <w:lang w:val="es-ES_tradnl" w:eastAsia="es-ES_tradnl"/>
              </w:rPr>
              <w:t>_2026_09_08_011942</w:t>
            </w:r>
            <w:r w:rsidR="00960EE6">
              <w:rPr>
                <w:rFonts w:ascii="Verdana" w:hAnsi="Verdana" w:cs="Arial"/>
                <w:lang w:val="es-ES_tradnl" w:eastAsia="es-ES_tradnl"/>
              </w:rPr>
              <w:t xml:space="preserve"> y </w:t>
            </w:r>
            <w:r w:rsidR="00960EE6" w:rsidRPr="00960EE6">
              <w:rPr>
                <w:rFonts w:ascii="Verdana" w:hAnsi="Verdana" w:cs="Arial"/>
                <w:lang w:eastAsia="es-ES_tradnl"/>
              </w:rPr>
              <w:t>1_2026_09_08_011948</w:t>
            </w:r>
          </w:p>
          <w:p w14:paraId="57A14DA6" w14:textId="35091296" w:rsidR="00CE432F" w:rsidRPr="00B10A68" w:rsidRDefault="00CE432F" w:rsidP="00CE04D6">
            <w:pPr>
              <w:jc w:val="both"/>
              <w:rPr>
                <w:rFonts w:ascii="Verdana" w:hAnsi="Verdana" w:cs="Arial"/>
                <w:lang w:val="es-ES_tradnl" w:eastAsia="es-ES_tradnl"/>
              </w:rPr>
            </w:pPr>
          </w:p>
        </w:tc>
      </w:tr>
    </w:tbl>
    <w:p w14:paraId="6B56BC47" w14:textId="77777777" w:rsidR="00CE432F" w:rsidRPr="00B10A68" w:rsidRDefault="00CE432F" w:rsidP="00CE432F">
      <w:pPr>
        <w:spacing w:after="0" w:line="240" w:lineRule="auto"/>
        <w:jc w:val="both"/>
        <w:rPr>
          <w:rFonts w:ascii="Verdana" w:eastAsia="Calibri" w:hAnsi="Verdana" w:cs="Arial"/>
          <w:lang w:val="es-ES_tradnl" w:eastAsia="es-ES_tradnl"/>
        </w:rPr>
      </w:pPr>
    </w:p>
    <w:p w14:paraId="7981EC3F" w14:textId="77777777" w:rsidR="00CE432F" w:rsidRPr="00B10A68" w:rsidRDefault="00CE432F" w:rsidP="00CE432F">
      <w:pPr>
        <w:spacing w:after="0" w:line="240" w:lineRule="auto"/>
        <w:jc w:val="both"/>
        <w:rPr>
          <w:rFonts w:ascii="Verdana" w:eastAsia="Calibri" w:hAnsi="Verdana" w:cs="Arial"/>
          <w:lang w:val="es-ES_tradnl" w:eastAsia="es-ES_tradnl"/>
        </w:rPr>
      </w:pPr>
    </w:p>
    <w:p w14:paraId="085121DA" w14:textId="1A7D4FFD" w:rsidR="00CE432F" w:rsidRPr="00B10A68" w:rsidRDefault="00CE432F" w:rsidP="00CE432F">
      <w:pPr>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 xml:space="preserve">Estimado señor </w:t>
      </w:r>
      <w:r w:rsidR="00150E1A">
        <w:rPr>
          <w:rFonts w:ascii="Verdana" w:eastAsia="Calibri" w:hAnsi="Verdana" w:cs="Arial"/>
          <w:lang w:val="es-ES" w:eastAsia="es-ES"/>
        </w:rPr>
        <w:t>Ortiz</w:t>
      </w:r>
      <w:r w:rsidRPr="00B10A68">
        <w:rPr>
          <w:rFonts w:ascii="Verdana" w:eastAsia="Calibri" w:hAnsi="Verdana" w:cs="Arial"/>
          <w:lang w:val="es-ES" w:eastAsia="es-ES"/>
        </w:rPr>
        <w:t xml:space="preserve">: </w:t>
      </w:r>
    </w:p>
    <w:p w14:paraId="2B8C7081" w14:textId="77777777" w:rsidR="00CE432F" w:rsidRPr="00B10A68" w:rsidRDefault="00CE432F" w:rsidP="00CE432F">
      <w:pPr>
        <w:tabs>
          <w:tab w:val="left" w:pos="3768"/>
        </w:tabs>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ab/>
      </w:r>
    </w:p>
    <w:p w14:paraId="45C4C334" w14:textId="295547D6" w:rsidR="00CE432F" w:rsidRPr="00B10A68" w:rsidRDefault="00CE432F" w:rsidP="00CE432F">
      <w:pPr>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En ejercicio de la competencia otorgada por los artículos 3, numeral 5º, y 11, numeral 8º, del Decreto Ley 4170 de 2011,</w:t>
      </w:r>
      <w:r w:rsidRPr="00B10A68">
        <w:rPr>
          <w:rFonts w:ascii="Verdana" w:eastAsia="Arial MT" w:hAnsi="Verdana" w:cs="Arial MT"/>
          <w:lang w:val="es-ES" w:eastAsia="es-ES"/>
        </w:rPr>
        <w:t xml:space="preserve"> </w:t>
      </w:r>
      <w:r w:rsidRPr="00B10A68">
        <w:rPr>
          <w:rFonts w:ascii="Verdana" w:eastAsia="Calibri" w:hAnsi="Verdana" w:cs="Arial"/>
        </w:rPr>
        <w:t xml:space="preserve">así como lo establecido en el artículo 4 de la Resolución 1707 de 2018 expedida por esta Entidad, </w:t>
      </w:r>
      <w:r w:rsidRPr="00B10A68">
        <w:rPr>
          <w:rFonts w:ascii="Verdana" w:eastAsia="Calibri" w:hAnsi="Verdana" w:cs="Arial"/>
          <w:lang w:val="es-ES" w:eastAsia="es-ES"/>
        </w:rPr>
        <w:t xml:space="preserve">la Agencia Nacional de Contratación Pública – Colombia Compra Eficiente– responde su solicitud de consulta de fecha </w:t>
      </w:r>
      <w:r w:rsidR="00F50DAF">
        <w:rPr>
          <w:rFonts w:ascii="Verdana" w:eastAsia="Calibri" w:hAnsi="Verdana" w:cs="Arial"/>
          <w:lang w:val="es-ES" w:eastAsia="es-ES"/>
        </w:rPr>
        <w:t>8</w:t>
      </w:r>
      <w:r w:rsidRPr="00B10A68">
        <w:rPr>
          <w:rFonts w:ascii="Verdana" w:eastAsia="Calibri" w:hAnsi="Verdana" w:cs="Arial"/>
          <w:lang w:val="es-ES" w:eastAsia="es-ES"/>
        </w:rPr>
        <w:t xml:space="preserve"> de </w:t>
      </w:r>
      <w:r w:rsidR="00F50DAF">
        <w:rPr>
          <w:rFonts w:ascii="Verdana" w:eastAsia="Calibri" w:hAnsi="Verdana" w:cs="Arial"/>
          <w:lang w:val="es-ES" w:eastAsia="es-ES"/>
        </w:rPr>
        <w:t>septiembre</w:t>
      </w:r>
      <w:r w:rsidRPr="00B10A68">
        <w:rPr>
          <w:rFonts w:ascii="Verdana" w:eastAsia="Calibri" w:hAnsi="Verdana" w:cs="Arial"/>
          <w:lang w:val="es-ES" w:eastAsia="es-ES"/>
        </w:rPr>
        <w:t xml:space="preserve"> de 202</w:t>
      </w:r>
      <w:r w:rsidR="00F137AE">
        <w:rPr>
          <w:rFonts w:ascii="Verdana" w:eastAsia="Calibri" w:hAnsi="Verdana" w:cs="Arial"/>
          <w:lang w:val="es-ES" w:eastAsia="es-ES"/>
        </w:rPr>
        <w:t>6</w:t>
      </w:r>
      <w:r w:rsidRPr="00B10A68">
        <w:rPr>
          <w:rFonts w:ascii="Verdana" w:eastAsia="Calibri" w:hAnsi="Verdana" w:cs="Arial"/>
          <w:lang w:val="es-ES" w:eastAsia="es-ES"/>
        </w:rPr>
        <w:t xml:space="preserve">, en la cual manifiesta lo siguiente: </w:t>
      </w:r>
    </w:p>
    <w:p w14:paraId="28818087" w14:textId="77777777" w:rsidR="00CE432F" w:rsidRPr="00B10A68" w:rsidRDefault="00CE432F" w:rsidP="00CE432F">
      <w:pPr>
        <w:tabs>
          <w:tab w:val="left" w:pos="142"/>
          <w:tab w:val="left" w:pos="284"/>
        </w:tabs>
        <w:spacing w:line="276" w:lineRule="auto"/>
        <w:contextualSpacing/>
        <w:jc w:val="both"/>
        <w:rPr>
          <w:rFonts w:ascii="Verdana" w:eastAsia="Century Gothic" w:hAnsi="Verdana" w:cs="Century Gothic"/>
          <w:b/>
          <w:bCs/>
          <w:lang w:val="es-ES"/>
        </w:rPr>
      </w:pPr>
    </w:p>
    <w:p w14:paraId="78121670" w14:textId="77777777" w:rsidR="004813BD" w:rsidRDefault="00CE432F" w:rsidP="00565B82">
      <w:pPr>
        <w:spacing w:after="0" w:line="240" w:lineRule="auto"/>
        <w:ind w:left="709" w:right="709"/>
        <w:jc w:val="both"/>
        <w:rPr>
          <w:rFonts w:ascii="Verdana" w:eastAsia="Century Gothic" w:hAnsi="Verdana" w:cs="Century Gothic"/>
          <w:sz w:val="21"/>
          <w:szCs w:val="21"/>
          <w:lang w:val="es-ES"/>
        </w:rPr>
      </w:pPr>
      <w:bookmarkStart w:id="1" w:name="_Hlk95313578"/>
      <w:r w:rsidRPr="00565B82">
        <w:rPr>
          <w:rFonts w:ascii="Verdana" w:eastAsia="Century Gothic" w:hAnsi="Verdana" w:cs="Century Gothic"/>
          <w:sz w:val="21"/>
          <w:szCs w:val="21"/>
          <w:lang w:val="es-ES"/>
        </w:rPr>
        <w:t xml:space="preserve">“[…] </w:t>
      </w:r>
      <w:bookmarkEnd w:id="1"/>
    </w:p>
    <w:p w14:paraId="12D16C73" w14:textId="57DB324B" w:rsidR="000F577C" w:rsidRPr="000B1F24" w:rsidRDefault="00565B82" w:rsidP="000B1F24">
      <w:pPr>
        <w:pStyle w:val="Prrafodelista"/>
        <w:numPr>
          <w:ilvl w:val="0"/>
          <w:numId w:val="18"/>
        </w:numPr>
        <w:spacing w:after="0" w:line="240" w:lineRule="auto"/>
        <w:ind w:left="709" w:right="709" w:firstLine="0"/>
        <w:jc w:val="both"/>
        <w:rPr>
          <w:rFonts w:ascii="Verdana" w:eastAsia="Century Gothic" w:hAnsi="Verdana" w:cs="Century Gothic"/>
          <w:i/>
          <w:iCs/>
          <w:sz w:val="21"/>
          <w:szCs w:val="21"/>
        </w:rPr>
      </w:pPr>
      <w:r w:rsidRPr="000B1F24">
        <w:rPr>
          <w:rFonts w:ascii="Verdana" w:eastAsia="Century Gothic" w:hAnsi="Verdana" w:cs="Century Gothic"/>
          <w:i/>
          <w:iCs/>
          <w:sz w:val="21"/>
          <w:szCs w:val="21"/>
        </w:rPr>
        <w:t xml:space="preserve">¿Es jurídicamente viable que el oferente a través del mecanismo de subsanación aporte las hojas de vida para completar un requisito técnico habilitante como lo es el equipo de trabajo y aportar 12 hojas de vida que no existen en su oferta inicial y adicionalmente aportar las hojas de vida que generan puntuación y que el comité evaluador acepte este tipo de </w:t>
      </w:r>
      <w:r w:rsidR="000F577C" w:rsidRPr="000B1F24">
        <w:rPr>
          <w:rFonts w:ascii="Verdana" w:eastAsia="Century Gothic" w:hAnsi="Verdana" w:cs="Century Gothic"/>
          <w:i/>
          <w:iCs/>
          <w:sz w:val="21"/>
          <w:szCs w:val="21"/>
        </w:rPr>
        <w:t>subsanación?</w:t>
      </w:r>
    </w:p>
    <w:p w14:paraId="223366B2" w14:textId="0DF0DB9D" w:rsidR="000F577C" w:rsidRPr="000B1F24" w:rsidRDefault="00727BC1" w:rsidP="000B1F24">
      <w:pPr>
        <w:pStyle w:val="Prrafodelista"/>
        <w:numPr>
          <w:ilvl w:val="0"/>
          <w:numId w:val="18"/>
        </w:numPr>
        <w:spacing w:after="0" w:line="240" w:lineRule="auto"/>
        <w:ind w:left="709" w:right="709" w:firstLine="0"/>
        <w:jc w:val="both"/>
        <w:rPr>
          <w:rFonts w:ascii="Verdana" w:eastAsia="Century Gothic" w:hAnsi="Verdana" w:cs="Century Gothic"/>
          <w:i/>
          <w:iCs/>
          <w:sz w:val="21"/>
          <w:szCs w:val="21"/>
        </w:rPr>
      </w:pPr>
      <w:r w:rsidRPr="000B1F24">
        <w:rPr>
          <w:rFonts w:ascii="Verdana" w:eastAsia="Century Gothic" w:hAnsi="Verdana" w:cs="Century Gothic"/>
          <w:i/>
          <w:iCs/>
          <w:sz w:val="21"/>
          <w:szCs w:val="21"/>
        </w:rPr>
        <w:t>¿Es procedente que, una vez emitido el informe de evaluación definitivo, la oficina jurídica de la entidad emita una adenda y a través de esta regresarse a la etapa de contestación de observaciones y posteriormente emitir el informe definitivo, cuando dicho informe ya fue emitido en termino y publicado en SECOP II?</w:t>
      </w:r>
    </w:p>
    <w:p w14:paraId="44F73AB3" w14:textId="77777777" w:rsidR="00CE432F" w:rsidRPr="00B10A68" w:rsidRDefault="00CE432F" w:rsidP="00CE432F">
      <w:pPr>
        <w:tabs>
          <w:tab w:val="left" w:pos="142"/>
          <w:tab w:val="left" w:pos="284"/>
        </w:tabs>
        <w:spacing w:line="276" w:lineRule="auto"/>
        <w:contextualSpacing/>
        <w:jc w:val="both"/>
        <w:rPr>
          <w:rFonts w:ascii="Verdana" w:eastAsia="Century Gothic" w:hAnsi="Verdana" w:cs="Century Gothic"/>
          <w:b/>
          <w:bCs/>
          <w:lang w:val="es-ES"/>
        </w:rPr>
      </w:pPr>
    </w:p>
    <w:p w14:paraId="5B93CB3A" w14:textId="77777777" w:rsidR="00CE432F" w:rsidRPr="00B10A68" w:rsidRDefault="00CE432F" w:rsidP="00CE432F">
      <w:pPr>
        <w:spacing w:after="120" w:line="276" w:lineRule="auto"/>
        <w:ind w:firstLine="709"/>
        <w:jc w:val="both"/>
        <w:rPr>
          <w:rFonts w:ascii="Verdana" w:eastAsia="Calibri" w:hAnsi="Verdana" w:cs="Arial"/>
          <w:szCs w:val="24"/>
          <w:lang w:val="es-ES_tradnl" w:eastAsia="es-ES_tradnl"/>
        </w:rPr>
      </w:pPr>
      <w:r w:rsidRPr="00B10A6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10A68">
        <w:rPr>
          <w:rFonts w:ascii="Verdana" w:eastAsia="Calibri" w:hAnsi="Verdana" w:cs="Arial"/>
          <w:szCs w:val="24"/>
          <w:lang w:val="es-ES_tradnl" w:eastAsia="es-ES_tradnl"/>
        </w:rPr>
        <w:tab/>
      </w:r>
    </w:p>
    <w:p w14:paraId="4FE866FB" w14:textId="77777777" w:rsidR="00CE432F" w:rsidRPr="00B10A68" w:rsidRDefault="00CE432F" w:rsidP="00CE432F">
      <w:pPr>
        <w:spacing w:after="0" w:line="276" w:lineRule="auto"/>
        <w:ind w:firstLine="709"/>
        <w:jc w:val="both"/>
        <w:rPr>
          <w:rFonts w:ascii="Verdana" w:eastAsia="Calibri" w:hAnsi="Verdana" w:cs="Arial"/>
          <w:lang w:val="es-ES" w:eastAsia="es-ES"/>
        </w:rPr>
      </w:pPr>
      <w:r w:rsidRPr="00B10A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1C38F24" w14:textId="77777777" w:rsidR="00CE432F" w:rsidRPr="00B10A68" w:rsidRDefault="00CE432F" w:rsidP="00CE432F">
      <w:pPr>
        <w:spacing w:after="0" w:line="276" w:lineRule="auto"/>
        <w:ind w:firstLine="709"/>
        <w:jc w:val="both"/>
        <w:rPr>
          <w:rFonts w:ascii="Verdana" w:eastAsia="Calibri" w:hAnsi="Verdana" w:cs="Arial"/>
          <w:lang w:val="es-ES" w:eastAsia="es-ES"/>
        </w:rPr>
      </w:pPr>
    </w:p>
    <w:p w14:paraId="66571764" w14:textId="77777777" w:rsidR="00CE432F" w:rsidRPr="00B10A68" w:rsidRDefault="00CE432F" w:rsidP="00CE432F">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B10A68">
        <w:rPr>
          <w:rFonts w:ascii="Verdana" w:eastAsia="Century Gothic" w:hAnsi="Verdana" w:cs="Century Gothic"/>
          <w:b/>
          <w:bCs/>
          <w:lang w:val="es-ES"/>
        </w:rPr>
        <w:t>Problema planteado:</w:t>
      </w:r>
    </w:p>
    <w:p w14:paraId="362943D3" w14:textId="77777777" w:rsidR="00CE432F" w:rsidRPr="00B10A68" w:rsidRDefault="00CE432F" w:rsidP="00CE432F">
      <w:pPr>
        <w:tabs>
          <w:tab w:val="left" w:pos="426"/>
        </w:tabs>
        <w:spacing w:after="0" w:line="276" w:lineRule="auto"/>
        <w:jc w:val="both"/>
        <w:rPr>
          <w:rFonts w:ascii="Verdana" w:eastAsia="Century Gothic" w:hAnsi="Verdana" w:cs="Century Gothic"/>
          <w:lang w:val="es-ES"/>
        </w:rPr>
      </w:pPr>
    </w:p>
    <w:p w14:paraId="681BD017" w14:textId="42B34043" w:rsidR="00CE432F" w:rsidRPr="00B10A68" w:rsidRDefault="00CE432F" w:rsidP="00CE432F">
      <w:pPr>
        <w:spacing w:after="0" w:line="276" w:lineRule="auto"/>
        <w:jc w:val="both"/>
        <w:rPr>
          <w:rFonts w:ascii="Verdana" w:eastAsia="Century Gothic" w:hAnsi="Verdana" w:cs="Century Gothic"/>
        </w:rPr>
      </w:pPr>
      <w:r w:rsidRPr="00B10A68">
        <w:rPr>
          <w:rFonts w:ascii="Verdana" w:eastAsia="Century Gothic" w:hAnsi="Verdana" w:cs="Century Gothic"/>
        </w:rPr>
        <w:t>De acuerdo con el contenido de su solicitud, esta Agencia resolverá l</w:t>
      </w:r>
      <w:r w:rsidR="008A7FF6">
        <w:rPr>
          <w:rFonts w:ascii="Verdana" w:eastAsia="Century Gothic" w:hAnsi="Verdana" w:cs="Century Gothic"/>
        </w:rPr>
        <w:t>os</w:t>
      </w:r>
      <w:r w:rsidRPr="00B10A68">
        <w:rPr>
          <w:rFonts w:ascii="Verdana" w:eastAsia="Century Gothic" w:hAnsi="Verdana" w:cs="Century Gothic"/>
        </w:rPr>
        <w:t xml:space="preserve"> siguiente</w:t>
      </w:r>
      <w:r w:rsidR="008A7FF6">
        <w:rPr>
          <w:rFonts w:ascii="Verdana" w:eastAsia="Century Gothic" w:hAnsi="Verdana" w:cs="Century Gothic"/>
        </w:rPr>
        <w:t>s</w:t>
      </w:r>
      <w:r w:rsidRPr="00B10A68">
        <w:rPr>
          <w:rFonts w:ascii="Verdana" w:eastAsia="Century Gothic" w:hAnsi="Verdana" w:cs="Century Gothic"/>
        </w:rPr>
        <w:t xml:space="preserve"> problema</w:t>
      </w:r>
      <w:r w:rsidR="008A7FF6">
        <w:rPr>
          <w:rFonts w:ascii="Verdana" w:eastAsia="Century Gothic" w:hAnsi="Verdana" w:cs="Century Gothic"/>
        </w:rPr>
        <w:t>s</w:t>
      </w:r>
      <w:r w:rsidRPr="00B10A68">
        <w:rPr>
          <w:rFonts w:ascii="Verdana" w:eastAsia="Century Gothic" w:hAnsi="Verdana" w:cs="Century Gothic"/>
        </w:rPr>
        <w:t xml:space="preserve"> jurídico</w:t>
      </w:r>
      <w:r w:rsidR="00CF255B">
        <w:rPr>
          <w:rFonts w:ascii="Verdana" w:eastAsia="Century Gothic" w:hAnsi="Verdana" w:cs="Century Gothic"/>
        </w:rPr>
        <w:t>s</w:t>
      </w:r>
      <w:r w:rsidRPr="00B10A68">
        <w:rPr>
          <w:rFonts w:ascii="Verdana" w:eastAsia="Century Gothic" w:hAnsi="Verdana" w:cs="Century Gothic"/>
        </w:rPr>
        <w:t>:</w:t>
      </w:r>
      <w:r>
        <w:rPr>
          <w:rFonts w:ascii="Verdana" w:eastAsia="Century Gothic" w:hAnsi="Verdana" w:cs="Century Gothic"/>
        </w:rPr>
        <w:t xml:space="preserve"> </w:t>
      </w:r>
      <w:r>
        <w:rPr>
          <w:rFonts w:ascii="Verdana" w:eastAsia="Calibri" w:hAnsi="Verdana" w:cs="Arial"/>
          <w:lang w:eastAsia="es-ES"/>
        </w:rPr>
        <w:t>¿</w:t>
      </w:r>
      <w:r w:rsidR="00B563AF">
        <w:rPr>
          <w:rFonts w:ascii="Verdana" w:eastAsia="Calibri" w:hAnsi="Verdana" w:cs="Arial"/>
          <w:lang w:eastAsia="es-ES"/>
        </w:rPr>
        <w:t>Es jurídicamente viable que</w:t>
      </w:r>
      <w:r w:rsidR="00446704">
        <w:rPr>
          <w:rFonts w:ascii="Verdana" w:eastAsia="Calibri" w:hAnsi="Verdana" w:cs="Arial"/>
          <w:lang w:eastAsia="es-ES"/>
        </w:rPr>
        <w:t xml:space="preserve">, dentro de un procedimiento de </w:t>
      </w:r>
      <w:r w:rsidR="001A4F15">
        <w:rPr>
          <w:rFonts w:ascii="Verdana" w:eastAsia="Calibri" w:hAnsi="Verdana" w:cs="Arial"/>
          <w:lang w:eastAsia="es-ES"/>
        </w:rPr>
        <w:t>se</w:t>
      </w:r>
      <w:r w:rsidR="00446704">
        <w:rPr>
          <w:rFonts w:ascii="Verdana" w:eastAsia="Calibri" w:hAnsi="Verdana" w:cs="Arial"/>
          <w:lang w:eastAsia="es-ES"/>
        </w:rPr>
        <w:t>le</w:t>
      </w:r>
      <w:r w:rsidR="001A4F15">
        <w:rPr>
          <w:rFonts w:ascii="Verdana" w:eastAsia="Calibri" w:hAnsi="Verdana" w:cs="Arial"/>
          <w:lang w:eastAsia="es-ES"/>
        </w:rPr>
        <w:t>cción, un oferente subsane su oferta</w:t>
      </w:r>
      <w:r w:rsidR="00100B0F">
        <w:rPr>
          <w:rFonts w:ascii="Verdana" w:eastAsia="Calibri" w:hAnsi="Verdana" w:cs="Arial"/>
          <w:lang w:eastAsia="es-ES"/>
        </w:rPr>
        <w:t xml:space="preserve"> mediante la presentación de hojas de vida</w:t>
      </w:r>
      <w:r w:rsidR="003A29E2">
        <w:rPr>
          <w:rFonts w:ascii="Verdana" w:eastAsia="Calibri" w:hAnsi="Verdana" w:cs="Arial"/>
          <w:lang w:eastAsia="es-ES"/>
        </w:rPr>
        <w:t xml:space="preserve"> que no fueron aportadas con la propuesta inicial, con el fin de acreditar un requisito técnico habilitante </w:t>
      </w:r>
      <w:r w:rsidR="00952C76">
        <w:rPr>
          <w:rFonts w:ascii="Verdana" w:eastAsia="Calibri" w:hAnsi="Verdana" w:cs="Arial"/>
          <w:lang w:eastAsia="es-ES"/>
        </w:rPr>
        <w:t>y que el</w:t>
      </w:r>
      <w:r w:rsidR="00B563AF">
        <w:rPr>
          <w:rFonts w:ascii="Verdana" w:eastAsia="Calibri" w:hAnsi="Verdana" w:cs="Arial"/>
          <w:lang w:eastAsia="es-ES"/>
        </w:rPr>
        <w:t xml:space="preserve"> comité evaluador</w:t>
      </w:r>
      <w:r w:rsidR="00106705">
        <w:rPr>
          <w:rFonts w:ascii="Verdana" w:eastAsia="Calibri" w:hAnsi="Verdana" w:cs="Arial"/>
          <w:lang w:eastAsia="es-ES"/>
        </w:rPr>
        <w:t xml:space="preserve"> acepte </w:t>
      </w:r>
      <w:r w:rsidR="00952C76">
        <w:rPr>
          <w:rFonts w:ascii="Verdana" w:eastAsia="Calibri" w:hAnsi="Verdana" w:cs="Arial"/>
          <w:lang w:eastAsia="es-ES"/>
        </w:rPr>
        <w:t>esa</w:t>
      </w:r>
      <w:r w:rsidR="00106705">
        <w:rPr>
          <w:rFonts w:ascii="Verdana" w:eastAsia="Calibri" w:hAnsi="Verdana" w:cs="Arial"/>
          <w:lang w:eastAsia="es-ES"/>
        </w:rPr>
        <w:t xml:space="preserve"> subsanación</w:t>
      </w:r>
      <w:r w:rsidR="00952C76">
        <w:rPr>
          <w:rFonts w:ascii="Verdana" w:eastAsia="Calibri" w:hAnsi="Verdana" w:cs="Arial"/>
          <w:lang w:eastAsia="es-ES"/>
        </w:rPr>
        <w:t>?</w:t>
      </w:r>
      <w:r w:rsidR="00FF190F">
        <w:rPr>
          <w:rFonts w:ascii="Verdana" w:eastAsia="Calibri" w:hAnsi="Verdana" w:cs="Arial"/>
          <w:lang w:eastAsia="es-ES"/>
        </w:rPr>
        <w:t xml:space="preserve"> y </w:t>
      </w:r>
      <w:proofErr w:type="spellStart"/>
      <w:r w:rsidR="00FF190F">
        <w:rPr>
          <w:rFonts w:ascii="Verdana" w:eastAsia="Calibri" w:hAnsi="Verdana" w:cs="Arial"/>
          <w:lang w:eastAsia="es-ES"/>
        </w:rPr>
        <w:t>ii</w:t>
      </w:r>
      <w:proofErr w:type="spellEnd"/>
      <w:r w:rsidR="00FF190F">
        <w:rPr>
          <w:rFonts w:ascii="Verdana" w:eastAsia="Calibri" w:hAnsi="Verdana" w:cs="Arial"/>
          <w:lang w:eastAsia="es-ES"/>
        </w:rPr>
        <w:t>)</w:t>
      </w:r>
      <w:r w:rsidR="00C51B5C">
        <w:rPr>
          <w:rFonts w:ascii="Verdana" w:eastAsia="Calibri" w:hAnsi="Verdana" w:cs="Arial"/>
          <w:lang w:eastAsia="es-ES"/>
        </w:rPr>
        <w:t xml:space="preserve"> </w:t>
      </w:r>
      <w:r w:rsidR="00394FF9" w:rsidRPr="00394FF9">
        <w:rPr>
          <w:rFonts w:ascii="Verdana" w:eastAsia="Calibri" w:hAnsi="Verdana" w:cs="Arial"/>
          <w:lang w:eastAsia="es-ES"/>
        </w:rPr>
        <w:t xml:space="preserve">¿Es jurídicamente procedente que, una vez expedido y publicado el informe de evaluación definitivo, la entidad estatal, mediante la expedición de una adenda, modifique el cronograma para  </w:t>
      </w:r>
      <w:r w:rsidR="00ED3094">
        <w:rPr>
          <w:rFonts w:ascii="Verdana" w:eastAsia="Calibri" w:hAnsi="Verdana" w:cs="Arial"/>
          <w:lang w:eastAsia="es-ES"/>
        </w:rPr>
        <w:t xml:space="preserve">regresar a </w:t>
      </w:r>
      <w:r w:rsidR="00394FF9" w:rsidRPr="00394FF9">
        <w:rPr>
          <w:rFonts w:ascii="Verdana" w:eastAsia="Calibri" w:hAnsi="Verdana" w:cs="Arial"/>
          <w:lang w:eastAsia="es-ES"/>
        </w:rPr>
        <w:t>una etapa ya agotada, con el propósito de emitir posteriormente un nuevo informe de evaluación definitivo?</w:t>
      </w:r>
    </w:p>
    <w:p w14:paraId="0E0AE56A" w14:textId="77777777" w:rsidR="00CE432F" w:rsidRPr="00B10A68" w:rsidRDefault="00CE432F" w:rsidP="00CE432F">
      <w:pPr>
        <w:spacing w:after="0" w:line="276" w:lineRule="auto"/>
        <w:jc w:val="both"/>
        <w:rPr>
          <w:rFonts w:ascii="Verdana" w:eastAsia="Calibri" w:hAnsi="Verdana" w:cs="Arial"/>
          <w:lang w:val="es-ES"/>
        </w:rPr>
      </w:pPr>
    </w:p>
    <w:p w14:paraId="530FCBEE" w14:textId="77777777" w:rsidR="00CE432F" w:rsidRPr="00B10A68" w:rsidRDefault="00CE432F" w:rsidP="00CE432F">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Respuesta:</w:t>
      </w:r>
    </w:p>
    <w:p w14:paraId="200F3AAF" w14:textId="77777777" w:rsidR="00CE432F" w:rsidRPr="00B10A68" w:rsidRDefault="00CE432F" w:rsidP="00CE432F">
      <w:pPr>
        <w:tabs>
          <w:tab w:val="left" w:pos="142"/>
          <w:tab w:val="left" w:pos="284"/>
        </w:tabs>
        <w:spacing w:after="0" w:line="276" w:lineRule="auto"/>
        <w:jc w:val="both"/>
        <w:rPr>
          <w:rFonts w:ascii="Verdana" w:eastAsia="Century Gothic" w:hAnsi="Verdana" w:cs="Century Gothic"/>
          <w:b/>
          <w:bCs/>
          <w:lang w:val="es-ES"/>
        </w:rPr>
      </w:pPr>
    </w:p>
    <w:p w14:paraId="4F7AA4B0" w14:textId="0E7F437B" w:rsidR="00080C34" w:rsidRDefault="00421520" w:rsidP="00080C34">
      <w:pPr>
        <w:pBdr>
          <w:top w:val="single" w:sz="4" w:space="1" w:color="auto"/>
          <w:left w:val="single" w:sz="4" w:space="4" w:color="auto"/>
          <w:bottom w:val="single" w:sz="4" w:space="1" w:color="auto"/>
          <w:right w:val="single" w:sz="4" w:space="4" w:color="auto"/>
        </w:pBdr>
        <w:spacing w:after="120" w:line="276" w:lineRule="auto"/>
        <w:ind w:firstLine="708"/>
        <w:jc w:val="both"/>
        <w:rPr>
          <w:rFonts w:ascii="Verdana" w:hAnsi="Verdana" w:cs="Arial"/>
          <w:lang w:val="es-ES"/>
        </w:rPr>
      </w:pPr>
      <w:r>
        <w:rPr>
          <w:rFonts w:ascii="Verdana" w:hAnsi="Verdana" w:cs="Arial"/>
          <w:lang w:val="es-ES"/>
        </w:rPr>
        <w:t xml:space="preserve">i) </w:t>
      </w:r>
      <w:r w:rsidRPr="00B10A68">
        <w:rPr>
          <w:rFonts w:ascii="Verdana" w:hAnsi="Verdana" w:cs="Arial"/>
          <w:lang w:val="es-ES"/>
        </w:rPr>
        <w:t xml:space="preserve">La consecuencia aplicable a los proponentes que </w:t>
      </w:r>
      <w:r>
        <w:rPr>
          <w:rFonts w:ascii="Verdana" w:hAnsi="Verdana" w:cs="Arial"/>
          <w:lang w:val="es-ES"/>
        </w:rPr>
        <w:t>presentan un documento habilitante en el término de subsanación,</w:t>
      </w:r>
      <w:r w:rsidRPr="00B10A68">
        <w:rPr>
          <w:rFonts w:ascii="Verdana" w:hAnsi="Verdana" w:cs="Arial"/>
          <w:lang w:val="es-ES"/>
        </w:rPr>
        <w:t xml:space="preserve"> dependerá de las reglas establecidas en el pliego de condiciones. En principio, se recomienda requerir al proponente con el fin de que presente la </w:t>
      </w:r>
      <w:r>
        <w:rPr>
          <w:rFonts w:ascii="Verdana" w:hAnsi="Verdana" w:cs="Arial"/>
          <w:lang w:val="es-ES"/>
        </w:rPr>
        <w:t>subsanación</w:t>
      </w:r>
      <w:r w:rsidRPr="00B10A68">
        <w:rPr>
          <w:rFonts w:ascii="Verdana" w:hAnsi="Verdana" w:cs="Arial"/>
          <w:lang w:val="es-ES"/>
        </w:rPr>
        <w:t xml:space="preserve"> pertinente atendiendo</w:t>
      </w:r>
      <w:r>
        <w:rPr>
          <w:rFonts w:ascii="Verdana" w:hAnsi="Verdana" w:cs="Arial"/>
          <w:lang w:val="es-ES"/>
        </w:rPr>
        <w:t xml:space="preserve"> a</w:t>
      </w:r>
      <w:r w:rsidRPr="00B10A68">
        <w:rPr>
          <w:rFonts w:ascii="Verdana" w:hAnsi="Verdana" w:cs="Arial"/>
          <w:lang w:val="es-ES"/>
        </w:rPr>
        <w:t xml:space="preserve"> los postulados previstos en la Ley </w:t>
      </w:r>
      <w:r>
        <w:rPr>
          <w:rFonts w:ascii="Verdana" w:hAnsi="Verdana" w:cs="Arial"/>
          <w:lang w:val="es-ES"/>
        </w:rPr>
        <w:t>1150</w:t>
      </w:r>
      <w:r w:rsidRPr="00B10A68">
        <w:rPr>
          <w:rFonts w:ascii="Verdana" w:hAnsi="Verdana" w:cs="Arial"/>
          <w:lang w:val="es-ES"/>
        </w:rPr>
        <w:t xml:space="preserve"> de </w:t>
      </w:r>
      <w:r>
        <w:rPr>
          <w:rFonts w:ascii="Verdana" w:hAnsi="Verdana" w:cs="Arial"/>
          <w:lang w:val="es-ES"/>
        </w:rPr>
        <w:t>2007</w:t>
      </w:r>
      <w:r w:rsidRPr="00B10A68">
        <w:rPr>
          <w:rFonts w:ascii="Verdana" w:hAnsi="Verdana" w:cs="Arial"/>
          <w:lang w:val="es-ES"/>
        </w:rPr>
        <w:t xml:space="preserve">, </w:t>
      </w:r>
      <w:r>
        <w:rPr>
          <w:rFonts w:ascii="Verdana" w:hAnsi="Verdana" w:cs="Arial"/>
          <w:lang w:val="es-ES"/>
        </w:rPr>
        <w:t>teniendo en cuenta que la situación planteada está relacionada con requisitos habilitantes</w:t>
      </w:r>
      <w:r w:rsidRPr="00B10A68">
        <w:rPr>
          <w:rFonts w:ascii="Verdana" w:hAnsi="Verdana" w:cs="Arial"/>
          <w:lang w:val="es-ES"/>
        </w:rPr>
        <w:t>, evento en el cual y</w:t>
      </w:r>
      <w:r>
        <w:rPr>
          <w:rFonts w:ascii="Verdana" w:hAnsi="Verdana" w:cs="Arial"/>
          <w:lang w:val="es-ES"/>
        </w:rPr>
        <w:t>,</w:t>
      </w:r>
      <w:r w:rsidRPr="00B10A68">
        <w:rPr>
          <w:rFonts w:ascii="Verdana" w:hAnsi="Verdana" w:cs="Arial"/>
          <w:lang w:val="es-ES"/>
        </w:rPr>
        <w:t xml:space="preserve"> previo análisis de la entidad contratante</w:t>
      </w:r>
      <w:r>
        <w:rPr>
          <w:rFonts w:ascii="Verdana" w:hAnsi="Verdana" w:cs="Arial"/>
          <w:lang w:val="es-ES"/>
        </w:rPr>
        <w:t xml:space="preserve"> se</w:t>
      </w:r>
      <w:r w:rsidRPr="00B10A68">
        <w:rPr>
          <w:rFonts w:ascii="Verdana" w:hAnsi="Verdana" w:cs="Arial"/>
          <w:lang w:val="es-ES"/>
        </w:rPr>
        <w:t xml:space="preserve"> considere sí es procedente</w:t>
      </w:r>
      <w:r>
        <w:rPr>
          <w:rFonts w:ascii="Verdana" w:hAnsi="Verdana" w:cs="Arial"/>
          <w:lang w:val="es-ES"/>
        </w:rPr>
        <w:t xml:space="preserve"> la subsanación</w:t>
      </w:r>
      <w:r w:rsidRPr="00B10A68">
        <w:rPr>
          <w:rFonts w:ascii="Verdana" w:hAnsi="Verdana" w:cs="Arial"/>
          <w:lang w:val="es-ES"/>
        </w:rPr>
        <w:t>.</w:t>
      </w:r>
    </w:p>
    <w:p w14:paraId="11DCFC6F" w14:textId="6ED23627" w:rsidR="00080C34" w:rsidRDefault="00421520" w:rsidP="00080C34">
      <w:pPr>
        <w:pBdr>
          <w:top w:val="single" w:sz="4" w:space="1" w:color="auto"/>
          <w:left w:val="single" w:sz="4" w:space="4" w:color="auto"/>
          <w:bottom w:val="single" w:sz="4" w:space="1" w:color="auto"/>
          <w:right w:val="single" w:sz="4" w:space="4" w:color="auto"/>
        </w:pBdr>
        <w:spacing w:before="120" w:after="120" w:line="276" w:lineRule="auto"/>
        <w:ind w:firstLine="742"/>
        <w:jc w:val="both"/>
        <w:rPr>
          <w:rFonts w:ascii="Verdana" w:hAnsi="Verdana" w:cs="Arial"/>
          <w:lang w:val="es-ES"/>
        </w:rPr>
      </w:pPr>
      <w:r w:rsidRPr="00D40683">
        <w:rPr>
          <w:rFonts w:ascii="Verdana" w:hAnsi="Verdana"/>
        </w:rPr>
        <w:t>E</w:t>
      </w:r>
      <w:r w:rsidRPr="00D40683">
        <w:rPr>
          <w:rFonts w:ascii="Verdana" w:eastAsia="Arial MT" w:hAnsi="Verdana" w:cs="Arial"/>
          <w:lang w:eastAsia="es-ES" w:bidi="es-ES"/>
        </w:rPr>
        <w:t>l parágrafo 1° del artículo 5</w:t>
      </w:r>
      <w:r w:rsidRPr="00746C74">
        <w:rPr>
          <w:rFonts w:ascii="Verdana" w:eastAsia="Arial MT" w:hAnsi="Verdana" w:cs="Arial"/>
          <w:lang w:eastAsia="es-ES" w:bidi="es-ES"/>
        </w:rPr>
        <w:t xml:space="preserve"> de la Ley 1150 de 2007, modificado por el </w:t>
      </w:r>
      <w:r>
        <w:rPr>
          <w:rFonts w:ascii="Verdana" w:eastAsia="Arial MT" w:hAnsi="Verdana" w:cs="Arial"/>
          <w:lang w:eastAsia="es-ES" w:bidi="es-ES"/>
        </w:rPr>
        <w:t xml:space="preserve">mismo </w:t>
      </w:r>
      <w:r w:rsidRPr="00746C74">
        <w:rPr>
          <w:rFonts w:ascii="Verdana" w:eastAsia="Arial MT" w:hAnsi="Verdana" w:cs="Arial"/>
          <w:lang w:eastAsia="es-ES" w:bidi="es-ES"/>
        </w:rPr>
        <w:t>artículo 5</w:t>
      </w:r>
      <w:r>
        <w:rPr>
          <w:rFonts w:ascii="Verdana" w:eastAsia="Arial MT" w:hAnsi="Verdana" w:cs="Arial"/>
          <w:lang w:eastAsia="es-ES" w:bidi="es-ES"/>
        </w:rPr>
        <w:t>°</w:t>
      </w:r>
      <w:r w:rsidRPr="00746C74">
        <w:rPr>
          <w:rFonts w:ascii="Verdana" w:eastAsia="Arial MT" w:hAnsi="Verdana" w:cs="Arial"/>
          <w:lang w:eastAsia="es-ES" w:bidi="es-ES"/>
        </w:rPr>
        <w:t xml:space="preserve"> de la Ley 1882 de 2018, señala que la ausencia de requisitos o la falta de documentos referentes a la futura contratación o al proponente, no necesarios para la comparación de las propuestas no servirán de título suficiente para el rechazo de los ofrecimientos hechos.</w:t>
      </w:r>
      <w:r w:rsidR="00080C34">
        <w:rPr>
          <w:rFonts w:ascii="Verdana" w:eastAsia="Arial MT" w:hAnsi="Verdana" w:cs="Arial"/>
          <w:lang w:eastAsia="es-ES" w:bidi="es-ES"/>
        </w:rPr>
        <w:t xml:space="preserve"> </w:t>
      </w:r>
      <w:r w:rsidR="00080C34">
        <w:rPr>
          <w:rFonts w:ascii="Verdana" w:hAnsi="Verdana" w:cs="Arial"/>
          <w:lang w:val="es-ES"/>
        </w:rPr>
        <w:t>En ese sentido, cuando un mismo criterio comprende aspectos habilitantes y ponderables, es necesario diferenciar los efectos de la subsanación respecto de cada uno de sus componentes. Así, la documentación aportada por el proponente podrá ser tenida en cuenta para acreditar el cumplimiento del requisito habilitante, siempre que este sea susceptible de subsanación y que se cumplan las condiciones legales aplicables. Sin embargo, dicha documentación no podrá ser considerada para obtener o mejorar el puntaje correspondiente al componente ponderable.</w:t>
      </w:r>
    </w:p>
    <w:p w14:paraId="3719E3DF" w14:textId="22E4F0A3" w:rsidR="00080C34" w:rsidRPr="00080C34" w:rsidRDefault="00080C34" w:rsidP="00080C34">
      <w:pPr>
        <w:pBdr>
          <w:top w:val="single" w:sz="4" w:space="1" w:color="auto"/>
          <w:left w:val="single" w:sz="4" w:space="4" w:color="auto"/>
          <w:bottom w:val="single" w:sz="4" w:space="1" w:color="auto"/>
          <w:right w:val="single" w:sz="4" w:space="4" w:color="auto"/>
        </w:pBdr>
        <w:spacing w:before="120" w:after="120" w:line="276" w:lineRule="auto"/>
        <w:ind w:firstLine="742"/>
        <w:jc w:val="both"/>
        <w:rPr>
          <w:rFonts w:ascii="Verdana" w:eastAsia="Arial MT" w:hAnsi="Verdana" w:cs="Arial"/>
          <w:lang w:eastAsia="es-ES" w:bidi="es-ES"/>
        </w:rPr>
      </w:pPr>
      <w:r>
        <w:rPr>
          <w:rFonts w:ascii="Verdana" w:eastAsia="Arial MT" w:hAnsi="Verdana" w:cs="Arial"/>
          <w:lang w:eastAsia="es-ES" w:bidi="es-ES"/>
        </w:rPr>
        <w:t xml:space="preserve">En consecuencia con lo anterior, </w:t>
      </w:r>
      <w:r w:rsidRPr="000310DC">
        <w:rPr>
          <w:rFonts w:ascii="Verdana" w:hAnsi="Verdana"/>
        </w:rPr>
        <w:t>la entidad estatal deberá limitar los efectos de la subsanación a la verificación del cumplimiento del requisito habilitante, sin que pueda utilizar la documentación aportada con posterioridad al cierre del proceso para reconocer puntaje por el componente ponderable. Lo anterior, sin perjuicio de la obligación de evaluar las ofertas con sujeción a las reglas previstas en el pliego de condiciones y a las disposiciones legales aplicables.</w:t>
      </w:r>
    </w:p>
    <w:p w14:paraId="3733DF97" w14:textId="77777777" w:rsidR="00421520" w:rsidRDefault="00421520" w:rsidP="00421520">
      <w:pPr>
        <w:pBdr>
          <w:top w:val="single" w:sz="4" w:space="1" w:color="auto"/>
          <w:left w:val="single" w:sz="4" w:space="4" w:color="auto"/>
          <w:bottom w:val="single" w:sz="4" w:space="1" w:color="auto"/>
          <w:right w:val="single" w:sz="4" w:space="4" w:color="auto"/>
        </w:pBdr>
        <w:spacing w:before="120" w:after="120" w:line="276" w:lineRule="auto"/>
        <w:ind w:firstLine="742"/>
        <w:jc w:val="both"/>
        <w:rPr>
          <w:rFonts w:ascii="Verdana" w:hAnsi="Verdana" w:cs="Arial"/>
          <w:lang w:val="es-ES"/>
        </w:rPr>
      </w:pPr>
      <w:r w:rsidRPr="002E4D8E">
        <w:rPr>
          <w:rFonts w:ascii="Verdana" w:hAnsi="Verdana"/>
          <w:lang w:val="es-ES"/>
        </w:rPr>
        <w:t>No</w:t>
      </w:r>
      <w:r>
        <w:rPr>
          <w:rFonts w:ascii="Verdana" w:eastAsia="Arial MT" w:hAnsi="Verdana" w:cs="Arial"/>
          <w:lang w:eastAsia="es-ES" w:bidi="es-ES"/>
        </w:rPr>
        <w:t xml:space="preserve"> </w:t>
      </w:r>
      <w:r w:rsidRPr="00312A74">
        <w:rPr>
          <w:rFonts w:ascii="Verdana" w:hAnsi="Verdana"/>
          <w:lang w:val="es-ES"/>
        </w:rPr>
        <w:t>obstante</w:t>
      </w:r>
      <w:r>
        <w:rPr>
          <w:rFonts w:ascii="Verdana" w:eastAsia="Arial MT" w:hAnsi="Verdana" w:cs="Arial"/>
          <w:lang w:eastAsia="es-ES" w:bidi="es-ES"/>
        </w:rPr>
        <w:t>, la subsanación no podría consistir en acreditar circunstancias ocurridas con posterioridad al cierre del proceso, dado que ese supuesto correspondería a la prohibición expresa que hace el parágrafo 1 del artículo 5 de la Ley 1150 de 2007, sin que sea viable subsanar de tal forma.</w:t>
      </w:r>
    </w:p>
    <w:p w14:paraId="39E25A6B" w14:textId="3BB39AA1" w:rsidR="00D7453A" w:rsidRDefault="00421520" w:rsidP="00D7453A">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MT" w:hAnsi="Verdana" w:cs="Arial"/>
          <w:lang w:eastAsia="es-ES" w:bidi="es-ES"/>
        </w:rPr>
      </w:pPr>
      <w:r>
        <w:rPr>
          <w:rFonts w:ascii="Verdana" w:hAnsi="Verdana" w:cs="Arial"/>
          <w:lang w:val="es-ES"/>
        </w:rPr>
        <w:t xml:space="preserve">Lo </w:t>
      </w:r>
      <w:r w:rsidRPr="002E4D8E">
        <w:rPr>
          <w:rFonts w:ascii="Verdana" w:hAnsi="Verdana"/>
          <w:lang w:val="es-ES"/>
        </w:rPr>
        <w:t>anterior</w:t>
      </w:r>
      <w:r>
        <w:rPr>
          <w:rFonts w:ascii="Verdana" w:hAnsi="Verdana" w:cs="Arial"/>
          <w:lang w:val="es-ES"/>
        </w:rPr>
        <w:t>, teniendo en cuenta que una de las</w:t>
      </w:r>
      <w:r w:rsidRPr="00B10A68">
        <w:rPr>
          <w:rFonts w:ascii="Verdana" w:eastAsia="Times New Roman" w:hAnsi="Verdana" w:cs="Arial"/>
          <w:lang w:val="es-ES_tradnl" w:eastAsia="es-ES_tradnl"/>
        </w:rPr>
        <w:t xml:space="preserve"> excepci</w:t>
      </w:r>
      <w:r>
        <w:rPr>
          <w:rFonts w:ascii="Verdana" w:eastAsia="Times New Roman" w:hAnsi="Verdana" w:cs="Arial"/>
          <w:lang w:val="es-ES_tradnl" w:eastAsia="es-ES_tradnl"/>
        </w:rPr>
        <w:t>ones</w:t>
      </w:r>
      <w:r w:rsidRPr="00B10A68">
        <w:rPr>
          <w:rFonts w:ascii="Verdana" w:eastAsia="Times New Roman" w:hAnsi="Verdana" w:cs="Arial"/>
          <w:lang w:val="es-ES_tradnl" w:eastAsia="es-ES_tradnl"/>
        </w:rPr>
        <w:t xml:space="preserve"> a </w:t>
      </w:r>
      <w:r>
        <w:rPr>
          <w:rFonts w:ascii="Verdana" w:eastAsia="Times New Roman" w:hAnsi="Verdana" w:cs="Arial"/>
          <w:lang w:val="es-ES_tradnl" w:eastAsia="es-ES_tradnl"/>
        </w:rPr>
        <w:t>l</w:t>
      </w:r>
      <w:r w:rsidRPr="00B10A68">
        <w:rPr>
          <w:rFonts w:ascii="Verdana" w:eastAsia="Times New Roman" w:hAnsi="Verdana" w:cs="Arial"/>
          <w:lang w:val="es-ES_tradnl" w:eastAsia="es-ES_tradnl"/>
        </w:rPr>
        <w:t xml:space="preserve">a regla </w:t>
      </w:r>
      <w:r>
        <w:rPr>
          <w:rFonts w:ascii="Verdana" w:eastAsia="Times New Roman" w:hAnsi="Verdana" w:cs="Arial"/>
          <w:lang w:val="es-ES_tradnl" w:eastAsia="es-ES_tradnl"/>
        </w:rPr>
        <w:t xml:space="preserve">de poder subsanar los requisitos habilitantes </w:t>
      </w:r>
      <w:r w:rsidRPr="00B10A68">
        <w:rPr>
          <w:rFonts w:ascii="Verdana" w:eastAsia="Times New Roman" w:hAnsi="Verdana" w:cs="Arial"/>
          <w:lang w:val="es-ES_tradnl" w:eastAsia="es-ES_tradnl"/>
        </w:rPr>
        <w:t xml:space="preserve">se encuentra en la prohibición de permitir que se subsanen aspectos que </w:t>
      </w:r>
      <w:r>
        <w:rPr>
          <w:rFonts w:ascii="Verdana" w:eastAsia="Times New Roman" w:hAnsi="Verdana" w:cs="Arial"/>
          <w:lang w:val="es-ES_tradnl" w:eastAsia="es-ES_tradnl"/>
        </w:rPr>
        <w:t>acreditan</w:t>
      </w:r>
      <w:r w:rsidRPr="00B10A68">
        <w:rPr>
          <w:rFonts w:ascii="Verdana" w:eastAsia="Times New Roman" w:hAnsi="Verdana" w:cs="Arial"/>
          <w:lang w:val="es-ES_tradnl" w:eastAsia="es-ES_tradnl"/>
        </w:rPr>
        <w:t xml:space="preserve"> circunstancias ocurridas con posterioridad al cierre del proceso.</w:t>
      </w:r>
      <w:r>
        <w:rPr>
          <w:rFonts w:ascii="Verdana" w:eastAsia="Times New Roman" w:hAnsi="Verdana" w:cs="Arial"/>
          <w:lang w:val="es-ES_tradnl" w:eastAsia="es-ES_tradnl"/>
        </w:rPr>
        <w:t xml:space="preserve"> En ese sentido, a</w:t>
      </w:r>
      <w:r w:rsidRPr="001548CC">
        <w:rPr>
          <w:rFonts w:ascii="Verdana" w:eastAsia="Times New Roman" w:hAnsi="Verdana" w:cs="Arial"/>
          <w:lang w:val="es-ES_tradnl" w:eastAsia="es-ES_tradnl"/>
        </w:rPr>
        <w:t xml:space="preserve">l aportar el documento subsanado (como </w:t>
      </w:r>
      <w:r>
        <w:rPr>
          <w:rFonts w:ascii="Verdana" w:eastAsia="Times New Roman" w:hAnsi="Verdana" w:cs="Arial"/>
          <w:lang w:val="es-ES_tradnl" w:eastAsia="es-ES_tradnl"/>
        </w:rPr>
        <w:t>las hojas de vida del equipo de trabajo</w:t>
      </w:r>
      <w:r w:rsidRPr="001548CC">
        <w:rPr>
          <w:rFonts w:ascii="Verdana" w:eastAsia="Times New Roman" w:hAnsi="Verdana" w:cs="Arial"/>
          <w:lang w:val="es-ES_tradnl" w:eastAsia="es-ES_tradnl"/>
        </w:rPr>
        <w:t xml:space="preserve">), </w:t>
      </w:r>
      <w:r>
        <w:rPr>
          <w:rFonts w:ascii="Verdana" w:eastAsia="Times New Roman" w:hAnsi="Verdana" w:cs="Arial"/>
          <w:lang w:val="es-ES_tradnl" w:eastAsia="es-ES_tradnl"/>
        </w:rPr>
        <w:t xml:space="preserve">la entidad contratante debe determinar que no se estén acreditando </w:t>
      </w:r>
      <w:r>
        <w:rPr>
          <w:rFonts w:ascii="Verdana" w:eastAsia="Arial MT" w:hAnsi="Verdana" w:cs="Arial"/>
          <w:lang w:eastAsia="es-ES" w:bidi="es-ES"/>
        </w:rPr>
        <w:t>circunstancias ocurridas con posterioridad al cierre del proceso</w:t>
      </w:r>
      <w:r w:rsidR="00D7453A">
        <w:rPr>
          <w:rFonts w:ascii="Verdana" w:eastAsia="Arial MT" w:hAnsi="Verdana" w:cs="Arial"/>
          <w:lang w:eastAsia="es-ES" w:bidi="es-ES"/>
        </w:rPr>
        <w:t>.</w:t>
      </w:r>
    </w:p>
    <w:p w14:paraId="318F7D52" w14:textId="77777777" w:rsidR="00AB6939" w:rsidRDefault="00F611B1" w:rsidP="00AB6939">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w:hAnsi="Verdana" w:cs="Arial"/>
          <w:lang w:eastAsia="es-ES" w:bidi="es-ES"/>
        </w:rPr>
      </w:pPr>
      <w:proofErr w:type="spellStart"/>
      <w:r>
        <w:rPr>
          <w:rFonts w:ascii="Verdana" w:eastAsia="Arial MT" w:hAnsi="Verdana" w:cs="Arial"/>
          <w:lang w:eastAsia="es-ES" w:bidi="es-ES"/>
        </w:rPr>
        <w:t>ii</w:t>
      </w:r>
      <w:proofErr w:type="spellEnd"/>
      <w:r>
        <w:rPr>
          <w:rFonts w:ascii="Verdana" w:eastAsia="Arial MT" w:hAnsi="Verdana" w:cs="Arial"/>
          <w:lang w:eastAsia="es-ES" w:bidi="es-ES"/>
        </w:rPr>
        <w:t xml:space="preserve">) Ahora bien, en aras de responder el segundo interrogante planteado, resulta pertinente </w:t>
      </w:r>
      <w:r w:rsidR="00AB6939">
        <w:rPr>
          <w:rFonts w:ascii="Verdana" w:eastAsia="Arial" w:hAnsi="Verdana" w:cs="Arial"/>
          <w:lang w:eastAsia="es-ES" w:bidi="es-ES"/>
        </w:rPr>
        <w:t xml:space="preserve">acudir a </w:t>
      </w:r>
      <w:r w:rsidR="00D7453A" w:rsidRPr="00003CF0">
        <w:rPr>
          <w:rFonts w:ascii="Verdana" w:eastAsia="Arial" w:hAnsi="Verdana" w:cs="Arial"/>
          <w:lang w:eastAsia="es-ES" w:bidi="es-ES"/>
        </w:rPr>
        <w:t xml:space="preserve">lo dispuesto en el artículo 30, numeral 5, de la Ley 80 de 1993 –modificado por el artículo 89 de la Ley 1474 de 2011 y el artículo 2.2.1.1.2.2.1. del Decreto 1082 de 2015, conviene diferenciar 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00D7453A" w:rsidRPr="00003CF0">
        <w:rPr>
          <w:rFonts w:ascii="Verdana" w:eastAsia="Arial" w:hAnsi="Verdana" w:cs="Arial"/>
          <w:lang w:eastAsia="es-ES" w:bidi="es-ES"/>
        </w:rPr>
        <w:t>ii</w:t>
      </w:r>
      <w:proofErr w:type="spellEnd"/>
      <w:r w:rsidR="00D7453A" w:rsidRPr="00003CF0">
        <w:rPr>
          <w:rFonts w:ascii="Verdana" w:eastAsia="Arial" w:hAnsi="Verdana" w:cs="Arial"/>
          <w:lang w:eastAsia="es-ES" w:bidi="es-ES"/>
        </w:rPr>
        <w:t>) los del cronograma.</w:t>
      </w:r>
    </w:p>
    <w:p w14:paraId="291BE57D" w14:textId="77777777" w:rsidR="00AB6939" w:rsidRDefault="00D7453A" w:rsidP="00AB6939">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w:hAnsi="Verdana" w:cs="Arial"/>
          <w:lang w:eastAsia="es-ES" w:bidi="es-ES"/>
        </w:rPr>
      </w:pPr>
      <w:r w:rsidRPr="001B1FE3">
        <w:rPr>
          <w:rFonts w:ascii="Verdana" w:eastAsia="Arial" w:hAnsi="Verdana" w:cs="Arial"/>
          <w:lang w:eastAsia="es-ES" w:bidi="es-ES"/>
        </w:rPr>
        <w:t>El primer tipo de adendas puede ser realizada hasta antes del vencimiento del plazo para la recepción de ofertas, mientras que las segundas</w:t>
      </w:r>
      <w:r>
        <w:rPr>
          <w:rFonts w:ascii="Verdana" w:eastAsia="Arial" w:hAnsi="Verdana" w:cs="Arial"/>
          <w:lang w:eastAsia="es-ES" w:bidi="es-ES"/>
        </w:rPr>
        <w:t xml:space="preserve"> </w:t>
      </w:r>
      <w:r w:rsidRPr="001B1FE3">
        <w:rPr>
          <w:rFonts w:ascii="Verdana" w:eastAsia="Arial" w:hAnsi="Verdana" w:cs="Arial"/>
          <w:lang w:eastAsia="es-ES" w:bidi="es-ES"/>
        </w:rPr>
        <w:t>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2.2.1.1.2.2.1. del Decreto 1082 de 2015.</w:t>
      </w:r>
    </w:p>
    <w:p w14:paraId="7269361E" w14:textId="77777777" w:rsidR="00AB6939" w:rsidRDefault="00D7453A" w:rsidP="00AB6939">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w:hAnsi="Verdana" w:cs="Arial"/>
          <w:lang w:eastAsia="es-ES" w:bidi="es-ES"/>
        </w:rPr>
      </w:pPr>
      <w:r w:rsidRPr="001B1FE3">
        <w:rPr>
          <w:rFonts w:ascii="Verdana" w:eastAsia="Arial" w:hAnsi="Verdana" w:cs="Arial"/>
          <w:lang w:eastAsia="es-ES" w:bidi="es-ES"/>
        </w:rPr>
        <w:t>Respecto de las adendas proferidas antes del cierre del proceso, es claro que existen ciertos límites temporales para la expedición y publicación de las adendas. En primer lugar, es necesario que las mismas se publiquen entre las 7:00 am y las 7:00 pm de un día hábil, aclarando que debe coincidir dentro de ese horario la hora que se disponga como cierre. Así mismo, debe realizarse a más tardar el día hábil anterior al vencimiento del plazo para presentar ofertas “a la hora fijada para tal presentación”.</w:t>
      </w:r>
    </w:p>
    <w:p w14:paraId="23248DD7" w14:textId="77777777" w:rsidR="00AB6939" w:rsidRDefault="00D7453A" w:rsidP="00AB6939">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w:hAnsi="Verdana" w:cs="Arial"/>
          <w:lang w:eastAsia="es-ES" w:bidi="es-ES"/>
        </w:rPr>
      </w:pPr>
      <w:r w:rsidRPr="001B1FE3">
        <w:rPr>
          <w:rFonts w:ascii="Verdana" w:eastAsia="Arial" w:hAnsi="Verdana" w:cs="Arial"/>
          <w:lang w:eastAsia="es-ES" w:bidi="es-ES"/>
        </w:rPr>
        <w:t>Para los casos de licitación pública el artículo 30 numeral 5 de la Ley 80 de 1993, las adendas no podrán expedirse dentro de los tres (3) días hábiles anteriores en que se tiene previsto el cierre del proceso de selección, sino que deberán expedirse antes de dicho momento</w:t>
      </w:r>
      <w:r w:rsidR="00AB6939">
        <w:rPr>
          <w:rFonts w:ascii="Verdana" w:eastAsia="Arial" w:hAnsi="Verdana" w:cs="Arial"/>
          <w:lang w:eastAsia="es-ES" w:bidi="es-ES"/>
        </w:rPr>
        <w:t>.</w:t>
      </w:r>
    </w:p>
    <w:p w14:paraId="4DD97966" w14:textId="77777777" w:rsidR="00AB6939" w:rsidRDefault="00D7453A" w:rsidP="00AB6939">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w:hAnsi="Verdana" w:cs="Arial"/>
          <w:lang w:eastAsia="es-ES" w:bidi="es-ES"/>
        </w:rPr>
      </w:pPr>
      <w:r w:rsidRPr="001B1FE3">
        <w:rPr>
          <w:rFonts w:ascii="Verdana" w:eastAsia="Arial" w:hAnsi="Verdana" w:cs="Arial"/>
          <w:lang w:eastAsia="es-ES" w:bidi="es-ES"/>
        </w:rPr>
        <w:t>Adicionalmente, hay normas específicas del EGCAP que establecen la facultad de prorrogar plazos de algunas etapas del proceso, pero en todo caso esto debe efectuarse antes de su vencimiento. A título de ejemplo, el numeral 5 de artículo 30 de la Ley 80 de 1993 señala que la entidad, de oficio o a solicitud de un número plural de posibles oferentes, podrá prorrogar el plazo para el cierre del proceso antes de su vencimiento, por un término no superior a la mitad del inicialmente fijado.</w:t>
      </w:r>
    </w:p>
    <w:p w14:paraId="6EFE33BD" w14:textId="77777777" w:rsidR="00AB6939" w:rsidRDefault="00D7453A" w:rsidP="00AB6939">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w:hAnsi="Verdana" w:cs="Arial"/>
          <w:lang w:eastAsia="es-ES" w:bidi="es-ES"/>
        </w:rPr>
      </w:pPr>
      <w:r w:rsidRPr="001B1FE3">
        <w:rPr>
          <w:rFonts w:ascii="Verdana" w:eastAsia="Arial" w:hAnsi="Verdana" w:cs="Arial"/>
          <w:lang w:eastAsia="es-ES" w:bidi="es-ES"/>
        </w:rPr>
        <w:t>Si bien el artículo 2.2.1.1.2.2.1 de Decreto 1082 de 2015 no determina unas reglas concretas en relación con el plazo para la expedición de adendas al cronograma después del cierre del proceso y antes de la adjudicación del contrato, lo cierto es que estas únicamente podrán modificar los plazos de las etapas establecidas antes de su vencimiento y no después de este. Ello debido a que al culminar el plazo señalado en el cronograma se inicia la etapa subsiguiente y la entidad estatal no podría volver sobre la fase agotada.</w:t>
      </w:r>
    </w:p>
    <w:p w14:paraId="1508DFC0" w14:textId="4C2628F6" w:rsidR="00D7453A" w:rsidRPr="00AB6939" w:rsidRDefault="00D7453A" w:rsidP="00AB6939">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MT" w:hAnsi="Verdana" w:cs="Arial"/>
          <w:lang w:eastAsia="es-ES" w:bidi="es-ES"/>
        </w:rPr>
      </w:pPr>
      <w:r w:rsidRPr="004C262A">
        <w:rPr>
          <w:rFonts w:ascii="Verdana" w:eastAsia="Arial" w:hAnsi="Verdana" w:cs="Arial"/>
          <w:lang w:eastAsia="es-ES" w:bidi="es-ES"/>
        </w:rPr>
        <w:t xml:space="preserve">La expedición se las adendas en cualquiera de los eventos antes señalados deben tener en consideración </w:t>
      </w:r>
      <w:r>
        <w:rPr>
          <w:rFonts w:ascii="Verdana" w:eastAsia="Arial" w:hAnsi="Verdana" w:cs="Arial"/>
          <w:lang w:eastAsia="es-ES" w:bidi="es-ES"/>
        </w:rPr>
        <w:t>el principio</w:t>
      </w:r>
      <w:r w:rsidRPr="004C262A">
        <w:rPr>
          <w:rFonts w:ascii="Verdana" w:eastAsia="Arial" w:hAnsi="Verdana" w:cs="Arial"/>
          <w:lang w:eastAsia="es-ES" w:bidi="es-ES"/>
        </w:rPr>
        <w:t xml:space="preserve"> de transparencia </w:t>
      </w:r>
      <w:r>
        <w:rPr>
          <w:rFonts w:ascii="Verdana" w:eastAsia="Arial" w:hAnsi="Verdana" w:cs="Arial"/>
          <w:lang w:eastAsia="es-ES" w:bidi="es-ES"/>
        </w:rPr>
        <w:t xml:space="preserve">e igualdad </w:t>
      </w:r>
      <w:r w:rsidRPr="004C262A">
        <w:rPr>
          <w:rFonts w:ascii="Verdana" w:eastAsia="Arial" w:hAnsi="Verdana" w:cs="Arial"/>
          <w:lang w:eastAsia="es-ES" w:bidi="es-ES"/>
        </w:rPr>
        <w:t>contenido</w:t>
      </w:r>
      <w:r>
        <w:rPr>
          <w:rFonts w:ascii="Verdana" w:eastAsia="Arial" w:hAnsi="Verdana" w:cs="Arial"/>
          <w:lang w:eastAsia="es-ES" w:bidi="es-ES"/>
        </w:rPr>
        <w:t>s</w:t>
      </w:r>
      <w:r w:rsidRPr="004C262A">
        <w:rPr>
          <w:rFonts w:ascii="Verdana" w:eastAsia="Arial" w:hAnsi="Verdana" w:cs="Arial"/>
          <w:lang w:eastAsia="es-ES" w:bidi="es-ES"/>
        </w:rPr>
        <w:t xml:space="preserve"> en el artículo 24 de la Ley 80 de 1993</w:t>
      </w:r>
      <w:r>
        <w:rPr>
          <w:rFonts w:ascii="Verdana" w:eastAsia="Arial" w:hAnsi="Verdana" w:cs="Arial"/>
          <w:lang w:eastAsia="es-ES" w:bidi="es-ES"/>
        </w:rPr>
        <w:t>,</w:t>
      </w:r>
      <w:r w:rsidRPr="004C262A">
        <w:rPr>
          <w:rFonts w:ascii="Verdana" w:eastAsia="Arial" w:hAnsi="Verdana" w:cs="Arial"/>
          <w:lang w:eastAsia="es-ES" w:bidi="es-ES"/>
        </w:rPr>
        <w:t xml:space="preserve"> igualdad </w:t>
      </w:r>
      <w:r>
        <w:rPr>
          <w:rFonts w:ascii="Verdana" w:eastAsia="Arial" w:hAnsi="Verdana" w:cs="Arial"/>
          <w:lang w:eastAsia="es-ES" w:bidi="es-ES"/>
        </w:rPr>
        <w:t xml:space="preserve">y de </w:t>
      </w:r>
      <w:r w:rsidRPr="004C262A">
        <w:rPr>
          <w:rFonts w:ascii="Verdana" w:eastAsia="Arial" w:hAnsi="Verdana" w:cs="Arial"/>
          <w:lang w:eastAsia="es-ES" w:bidi="es-ES"/>
        </w:rPr>
        <w:t xml:space="preserve">economía </w:t>
      </w:r>
      <w:r w:rsidRPr="001B1FE3">
        <w:rPr>
          <w:rFonts w:ascii="Verdana" w:eastAsia="Arial" w:hAnsi="Verdana" w:cs="Arial"/>
          <w:lang w:eastAsia="es-ES" w:bidi="es-ES"/>
        </w:rPr>
        <w:t>dispuesto en el artículo 25 de la Ley 80 de 1993.</w:t>
      </w:r>
    </w:p>
    <w:p w14:paraId="3A95B42C" w14:textId="107C9050" w:rsidR="006F456C" w:rsidRDefault="006F456C" w:rsidP="00D7453A">
      <w:pPr>
        <w:pBdr>
          <w:top w:val="single" w:sz="4" w:space="1" w:color="auto"/>
          <w:left w:val="single" w:sz="4" w:space="4" w:color="auto"/>
          <w:bottom w:val="single" w:sz="4" w:space="1" w:color="auto"/>
          <w:right w:val="single" w:sz="4" w:space="4" w:color="auto"/>
        </w:pBdr>
        <w:spacing w:before="120" w:line="276" w:lineRule="auto"/>
        <w:ind w:firstLine="743"/>
        <w:jc w:val="both"/>
        <w:rPr>
          <w:rFonts w:ascii="Verdana" w:eastAsia="Arial MT" w:hAnsi="Verdana" w:cs="Arial"/>
          <w:lang w:eastAsia="es-ES" w:bidi="es-ES"/>
        </w:rPr>
      </w:pPr>
    </w:p>
    <w:p w14:paraId="2620021F" w14:textId="77777777" w:rsidR="00CE432F" w:rsidRPr="00421520" w:rsidRDefault="00CE432F" w:rsidP="00CE432F">
      <w:pPr>
        <w:tabs>
          <w:tab w:val="left" w:pos="142"/>
          <w:tab w:val="left" w:pos="284"/>
        </w:tabs>
        <w:spacing w:after="0" w:line="276" w:lineRule="auto"/>
        <w:jc w:val="both"/>
        <w:rPr>
          <w:rFonts w:ascii="Verdana" w:eastAsia="Century Gothic" w:hAnsi="Verdana" w:cs="Century Gothic"/>
          <w:b/>
          <w:bCs/>
        </w:rPr>
      </w:pPr>
    </w:p>
    <w:p w14:paraId="34FE1CEE" w14:textId="77777777" w:rsidR="00CE432F" w:rsidRPr="00B10A68" w:rsidRDefault="00CE432F" w:rsidP="00CE432F">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Razones de las respuestas:</w:t>
      </w:r>
    </w:p>
    <w:p w14:paraId="13A89CBF" w14:textId="77777777" w:rsidR="00CE432F" w:rsidRPr="00B10A68" w:rsidRDefault="00CE432F" w:rsidP="00CE432F">
      <w:pPr>
        <w:spacing w:after="0" w:line="276" w:lineRule="auto"/>
        <w:jc w:val="both"/>
        <w:rPr>
          <w:rFonts w:ascii="Verdana" w:eastAsia="Calibri" w:hAnsi="Verdana" w:cs="Arial"/>
          <w:lang w:val="es-ES"/>
        </w:rPr>
      </w:pPr>
    </w:p>
    <w:p w14:paraId="46920D66" w14:textId="77777777" w:rsidR="00CE432F" w:rsidRPr="00B10A68" w:rsidRDefault="00CE432F" w:rsidP="00CE432F">
      <w:pPr>
        <w:spacing w:after="0" w:line="276" w:lineRule="auto"/>
        <w:jc w:val="both"/>
        <w:rPr>
          <w:rFonts w:ascii="Verdana" w:eastAsia="Calibri" w:hAnsi="Verdana" w:cs="Arial"/>
          <w:lang w:val="es-ES"/>
        </w:rPr>
      </w:pPr>
      <w:r w:rsidRPr="00B10A68">
        <w:rPr>
          <w:rFonts w:ascii="Verdana" w:eastAsia="Calibri" w:hAnsi="Verdana" w:cs="Arial"/>
          <w:lang w:val="es-ES"/>
        </w:rPr>
        <w:t xml:space="preserve">Lo anterior se sustenta en las siguientes consideraciones: </w:t>
      </w:r>
    </w:p>
    <w:p w14:paraId="6C18DCDE" w14:textId="77777777" w:rsidR="00CE432F" w:rsidRPr="00B10A68" w:rsidRDefault="00CE432F" w:rsidP="00CE432F">
      <w:pPr>
        <w:widowControl w:val="0"/>
        <w:autoSpaceDE w:val="0"/>
        <w:autoSpaceDN w:val="0"/>
        <w:spacing w:after="0" w:line="276" w:lineRule="auto"/>
        <w:jc w:val="both"/>
        <w:rPr>
          <w:rFonts w:ascii="Verdana" w:eastAsia="Calibri" w:hAnsi="Verdana" w:cs="Arial"/>
          <w:lang w:val="es-ES"/>
        </w:rPr>
      </w:pPr>
    </w:p>
    <w:p w14:paraId="5FE63989" w14:textId="77777777" w:rsidR="00A244A7" w:rsidRPr="00B10A68" w:rsidRDefault="00A244A7" w:rsidP="00DD1459">
      <w:pPr>
        <w:spacing w:after="120" w:line="276" w:lineRule="auto"/>
        <w:ind w:firstLine="709"/>
        <w:jc w:val="both"/>
        <w:rPr>
          <w:rFonts w:ascii="Verdana" w:eastAsia="Times New Roman" w:hAnsi="Verdana" w:cs="Arial"/>
          <w:lang w:val="es-ES_tradnl" w:eastAsia="es-ES_tradnl"/>
        </w:rPr>
      </w:pPr>
      <w:r w:rsidRPr="00B10A68">
        <w:rPr>
          <w:rFonts w:ascii="Verdana" w:eastAsia="Calibri" w:hAnsi="Verdana" w:cs="Arial"/>
          <w:noProof/>
          <w:lang w:val="es-ES_tradnl"/>
        </w:rPr>
        <w:t>L</w:t>
      </w:r>
      <w:r w:rsidRPr="00B10A68">
        <w:rPr>
          <w:rFonts w:ascii="Verdana" w:eastAsia="Times New Roman" w:hAnsi="Verdana" w:cs="Arial"/>
        </w:rPr>
        <w:t>a regla de la subsanabilidad de las ofertas en los procedimientos de selección</w:t>
      </w:r>
      <w:r w:rsidRPr="00B10A68">
        <w:rPr>
          <w:rFonts w:ascii="Verdana" w:eastAsia="Times New Roman" w:hAnsi="Verdana" w:cs="Arial"/>
          <w:b/>
          <w:bCs/>
        </w:rPr>
        <w:t xml:space="preserve"> </w:t>
      </w:r>
      <w:r w:rsidRPr="00B10A68">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1E3A2718" w14:textId="77777777" w:rsidR="00A244A7" w:rsidRPr="00B10A68" w:rsidRDefault="00A244A7" w:rsidP="00DD1459">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C-285 del 20 de mayo de 2022</w:t>
      </w:r>
      <w:r w:rsidRPr="00B10A68">
        <w:rPr>
          <w:rFonts w:ascii="Verdana" w:eastAsia="Times New Roman" w:hAnsi="Verdana" w:cs="Arial"/>
          <w:vertAlign w:val="superscript"/>
          <w:lang w:val="es-ES_tradnl" w:eastAsia="es-ES_tradnl"/>
        </w:rPr>
        <w:footnoteReference w:id="1"/>
      </w:r>
      <w:r w:rsidRPr="00B10A68">
        <w:rPr>
          <w:rFonts w:ascii="Verdana" w:eastAsia="Times New Roman" w:hAnsi="Verdana" w:cs="Arial"/>
          <w:lang w:val="es-ES_tradnl" w:eastAsia="es-ES_tradnl"/>
        </w:rPr>
        <w:t xml:space="preserve"> o el C-447 del 19 de septiembre de 2024</w:t>
      </w:r>
      <w:r w:rsidRPr="00B10A68">
        <w:rPr>
          <w:rFonts w:ascii="Verdana" w:eastAsia="Times New Roman" w:hAnsi="Verdana" w:cs="Arial"/>
          <w:vertAlign w:val="superscript"/>
          <w:lang w:val="es-ES_tradnl" w:eastAsia="es-ES_tradnl"/>
        </w:rPr>
        <w:footnoteReference w:id="2"/>
      </w:r>
      <w:r w:rsidRPr="00B10A68">
        <w:rPr>
          <w:rFonts w:ascii="Verdana" w:eastAsia="Times New Roman" w:hAnsi="Verdana" w:cs="Arial"/>
          <w:lang w:val="es-ES_tradnl" w:eastAsia="es-ES_tradnl"/>
        </w:rPr>
        <w:t xml:space="preserve"> los cuales, en el evento en que tenga interés, podrá consultar en los enlaces de la nota al pie. Sin embargo</w:t>
      </w:r>
      <w:r w:rsidRPr="00B10A68">
        <w:rPr>
          <w:rFonts w:ascii="Verdana" w:eastAsia="Times New Roman" w:hAnsi="Verdana" w:cs="Arial"/>
          <w:lang w:val="es-ES" w:eastAsia="es-ES"/>
        </w:rPr>
        <w:t xml:space="preserve">, a continuación, se hará referencia particularmente al último momento, que refleja la postura vigente </w:t>
      </w:r>
      <w:r>
        <w:rPr>
          <w:rFonts w:ascii="Verdana" w:eastAsia="Times New Roman" w:hAnsi="Verdana" w:cs="Arial"/>
          <w:lang w:val="es-ES" w:eastAsia="es-ES"/>
        </w:rPr>
        <w:t xml:space="preserve">de esta Entidad </w:t>
      </w:r>
      <w:r w:rsidRPr="00B10A68">
        <w:rPr>
          <w:rFonts w:ascii="Verdana" w:eastAsia="Times New Roman" w:hAnsi="Verdana" w:cs="Arial"/>
          <w:lang w:val="es-ES" w:eastAsia="es-ES"/>
        </w:rPr>
        <w:t>en torno a la subsanabilidad:</w:t>
      </w:r>
    </w:p>
    <w:p w14:paraId="37FA93E5" w14:textId="77777777" w:rsidR="00A244A7" w:rsidRPr="00B10A68" w:rsidRDefault="00A244A7" w:rsidP="00DD1459">
      <w:pPr>
        <w:tabs>
          <w:tab w:val="left" w:pos="284"/>
        </w:tabs>
        <w:spacing w:after="120" w:line="276" w:lineRule="auto"/>
        <w:ind w:firstLine="709"/>
        <w:jc w:val="both"/>
        <w:rPr>
          <w:rFonts w:ascii="Verdana" w:eastAsia="Times New Roman" w:hAnsi="Verdana" w:cs="Arial"/>
          <w:lang w:val="es-ES_tradnl" w:eastAsia="es-CO"/>
        </w:rPr>
      </w:pPr>
      <w:r w:rsidRPr="00B10A68">
        <w:rPr>
          <w:rFonts w:ascii="Verdana" w:eastAsia="Times New Roman" w:hAnsi="Verdana" w:cs="Arial"/>
          <w:lang w:val="es-ES_tradnl" w:eastAsia="es-ES_tradnl"/>
        </w:rPr>
        <w:t xml:space="preserve">La expedición de la Ley </w:t>
      </w:r>
      <w:r w:rsidRPr="00B10A68">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2308794E" w14:textId="77777777" w:rsidR="00A244A7" w:rsidRPr="00B10A68" w:rsidRDefault="00A244A7" w:rsidP="00A244A7">
      <w:pPr>
        <w:spacing w:after="0" w:line="276" w:lineRule="auto"/>
        <w:ind w:left="709" w:right="709"/>
        <w:jc w:val="both"/>
        <w:rPr>
          <w:rFonts w:ascii="Verdana" w:eastAsia="Times New Roman" w:hAnsi="Verdana" w:cs="Arial"/>
          <w:lang w:val="es-ES_tradnl" w:eastAsia="es-CO"/>
        </w:rPr>
      </w:pPr>
    </w:p>
    <w:p w14:paraId="17227942" w14:textId="77777777" w:rsidR="00A244A7" w:rsidRPr="00DD1459" w:rsidRDefault="00A244A7" w:rsidP="00A244A7">
      <w:pPr>
        <w:spacing w:after="0" w:line="240" w:lineRule="auto"/>
        <w:ind w:left="709" w:right="709"/>
        <w:jc w:val="both"/>
        <w:rPr>
          <w:rFonts w:ascii="Verdana" w:eastAsia="Times New Roman" w:hAnsi="Verdana" w:cs="Arial"/>
          <w:sz w:val="21"/>
          <w:szCs w:val="21"/>
          <w:lang w:val="es-ES_tradnl" w:eastAsia="es-CO"/>
        </w:rPr>
      </w:pPr>
      <w:r w:rsidRPr="00DD1459">
        <w:rPr>
          <w:rFonts w:ascii="Verdana" w:eastAsia="Times New Roman" w:hAnsi="Verdana" w:cs="Arial"/>
          <w:sz w:val="21"/>
          <w:szCs w:val="21"/>
          <w:lang w:val="es-ES_tradnl" w:eastAsia="es-CO"/>
        </w:rPr>
        <w:t xml:space="preserve">“Artículo 5°. De la selección objetiva. </w:t>
      </w:r>
    </w:p>
    <w:p w14:paraId="20929D3D" w14:textId="77777777" w:rsidR="00A244A7" w:rsidRPr="00DD1459" w:rsidRDefault="00A244A7" w:rsidP="00A244A7">
      <w:pPr>
        <w:spacing w:after="0" w:line="240" w:lineRule="auto"/>
        <w:ind w:left="709" w:right="709"/>
        <w:jc w:val="both"/>
        <w:textAlignment w:val="baseline"/>
        <w:rPr>
          <w:rFonts w:ascii="Verdana" w:eastAsia="Times New Roman" w:hAnsi="Verdana" w:cs="Arial"/>
          <w:color w:val="000000"/>
          <w:sz w:val="21"/>
          <w:szCs w:val="21"/>
          <w:lang w:val="es-ES" w:eastAsia="es-ES_tradnl"/>
        </w:rPr>
      </w:pPr>
    </w:p>
    <w:p w14:paraId="33A6F2D8" w14:textId="7837EEDB"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Times New Roman" w:hAnsi="Verdana" w:cs="Arial"/>
          <w:color w:val="000000"/>
          <w:sz w:val="21"/>
          <w:szCs w:val="21"/>
          <w:lang w:val="es-ES" w:eastAsia="es-ES_tradnl"/>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r w:rsidR="003E6173" w:rsidRPr="00DD1459">
        <w:rPr>
          <w:rFonts w:ascii="Verdana" w:eastAsia="Times New Roman" w:hAnsi="Verdana" w:cs="Arial"/>
          <w:color w:val="000000"/>
          <w:sz w:val="21"/>
          <w:szCs w:val="21"/>
          <w:lang w:val="es-ES" w:eastAsia="es-ES_tradnl"/>
        </w:rPr>
        <w:t>equivalentes</w:t>
      </w:r>
      <w:r w:rsidRPr="00DD1459">
        <w:rPr>
          <w:rFonts w:ascii="Verdana" w:eastAsia="Times New Roman" w:hAnsi="Verdana" w:cs="Arial"/>
          <w:color w:val="000000"/>
          <w:sz w:val="21"/>
          <w:szCs w:val="21"/>
          <w:lang w:val="es-ES" w:eastAsia="es-ES_tradnl"/>
        </w:rPr>
        <w:t xml:space="preserve"> tendrán en cuenta los siguientes criterios:</w:t>
      </w:r>
      <w:r w:rsidRPr="00DD1459">
        <w:rPr>
          <w:rFonts w:ascii="Verdana" w:eastAsia="Arial" w:hAnsi="Verdana" w:cs="Times New Roman"/>
          <w:color w:val="000000"/>
          <w:sz w:val="21"/>
          <w:szCs w:val="21"/>
          <w:lang w:eastAsia="es-ES_tradnl"/>
        </w:rPr>
        <w:t> </w:t>
      </w:r>
    </w:p>
    <w:p w14:paraId="26BF1F76"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Arial" w:hAnsi="Verdana" w:cs="Times New Roman"/>
          <w:color w:val="000000"/>
          <w:sz w:val="21"/>
          <w:szCs w:val="21"/>
          <w:lang w:eastAsia="es-ES_tradnl"/>
        </w:rPr>
        <w:t> </w:t>
      </w:r>
    </w:p>
    <w:p w14:paraId="0D26C74A"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Times New Roman" w:hAnsi="Verdana" w:cs="Arial"/>
          <w:color w:val="000000"/>
          <w:sz w:val="21"/>
          <w:szCs w:val="21"/>
          <w:lang w:val="es-ES" w:eastAsia="es-ES_tradnl"/>
        </w:rPr>
        <w:t>(…)</w:t>
      </w:r>
    </w:p>
    <w:p w14:paraId="23B8180F"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Arial" w:hAnsi="Verdana" w:cs="Times New Roman"/>
          <w:color w:val="000000"/>
          <w:sz w:val="21"/>
          <w:szCs w:val="21"/>
          <w:lang w:eastAsia="es-ES_tradnl"/>
        </w:rPr>
        <w:t> </w:t>
      </w:r>
    </w:p>
    <w:p w14:paraId="687FB770"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Times New Roman" w:hAnsi="Verdana" w:cs="Arial"/>
          <w:color w:val="000000"/>
          <w:sz w:val="21"/>
          <w:szCs w:val="21"/>
          <w:u w:val="single"/>
          <w:lang w:val="es-ES" w:eastAsia="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DD1459">
        <w:rPr>
          <w:rFonts w:ascii="Verdana" w:eastAsia="Times New Roman" w:hAnsi="Verdana" w:cs="Arial"/>
          <w:color w:val="000000"/>
          <w:sz w:val="21"/>
          <w:szCs w:val="21"/>
          <w:u w:val="single"/>
          <w:lang w:val="es-ES" w:eastAsia="es-ES_tradnl"/>
        </w:rPr>
        <w:t>puntaje,</w:t>
      </w:r>
      <w:proofErr w:type="gramEnd"/>
      <w:r w:rsidRPr="00DD1459">
        <w:rPr>
          <w:rFonts w:ascii="Verdana" w:eastAsia="Times New Roman" w:hAnsi="Verdana" w:cs="Arial"/>
          <w:color w:val="000000"/>
          <w:sz w:val="21"/>
          <w:szCs w:val="21"/>
          <w:u w:val="single"/>
          <w:lang w:val="es-ES" w:eastAsia="es-ES_tradnl"/>
        </w:rPr>
        <w:t xml:space="preserve"> deberán ser solicitados por las entidades estatales y deberán ser entregados por los proponentes hasta el término de traslado del informe de evaluación que corresponda a cada modalidad de selección</w:t>
      </w:r>
      <w:r w:rsidRPr="00DD1459">
        <w:rPr>
          <w:rFonts w:ascii="Verdana" w:eastAsia="Times New Roman" w:hAnsi="Verdana" w:cs="Arial"/>
          <w:color w:val="000000"/>
          <w:sz w:val="21"/>
          <w:szCs w:val="21"/>
          <w:lang w:val="es-ES" w:eastAsia="es-ES_tradnl"/>
        </w:rPr>
        <w:t xml:space="preserve">, salvo lo dispuesto para el proceso de Mínima cuantía y para el proceso de selección a través del sistema de subasta. </w:t>
      </w:r>
      <w:r w:rsidRPr="00DD1459">
        <w:rPr>
          <w:rFonts w:ascii="Verdana" w:eastAsia="Times New Roman" w:hAnsi="Verdana" w:cs="Arial"/>
          <w:color w:val="000000"/>
          <w:sz w:val="21"/>
          <w:szCs w:val="21"/>
          <w:u w:val="single"/>
          <w:lang w:val="es-ES" w:eastAsia="es-ES_tradnl"/>
        </w:rPr>
        <w:t>Serán rechazadas las ofertas de aquellos proponentes que no suministren la información y la documentación solicitada por la entidad estatal hasta el plazo anteriormente señalado.</w:t>
      </w:r>
      <w:r w:rsidRPr="00DD1459">
        <w:rPr>
          <w:rFonts w:ascii="Verdana" w:eastAsia="Arial" w:hAnsi="Verdana" w:cs="Times New Roman"/>
          <w:color w:val="000000"/>
          <w:sz w:val="21"/>
          <w:szCs w:val="21"/>
          <w:u w:val="single"/>
          <w:lang w:eastAsia="es-ES_tradnl"/>
        </w:rPr>
        <w:t> </w:t>
      </w:r>
    </w:p>
    <w:p w14:paraId="06AD222D"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Arial" w:hAnsi="Verdana" w:cs="Times New Roman"/>
          <w:color w:val="000000"/>
          <w:sz w:val="21"/>
          <w:szCs w:val="21"/>
          <w:lang w:eastAsia="es-ES_tradnl"/>
        </w:rPr>
        <w:t> </w:t>
      </w:r>
    </w:p>
    <w:p w14:paraId="3B04CDB2"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Times New Roman" w:hAnsi="Verdana" w:cs="Arial"/>
          <w:color w:val="000000"/>
          <w:sz w:val="21"/>
          <w:szCs w:val="21"/>
          <w:u w:val="single"/>
          <w:lang w:val="es-ES" w:eastAsia="es-ES_tradnl"/>
        </w:rPr>
        <w:t>Durante el término otorgado para subsanar las ofertas, los proponentes no podrán acreditar circunstancias ocurridas con posterioridad al cierre del proceso.</w:t>
      </w:r>
      <w:r w:rsidRPr="00DD1459">
        <w:rPr>
          <w:rFonts w:ascii="Verdana" w:eastAsia="Arial" w:hAnsi="Verdana" w:cs="Times New Roman"/>
          <w:color w:val="000000"/>
          <w:sz w:val="21"/>
          <w:szCs w:val="21"/>
          <w:lang w:eastAsia="es-ES_tradnl"/>
        </w:rPr>
        <w:t> </w:t>
      </w:r>
    </w:p>
    <w:p w14:paraId="42540C17"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Arial" w:hAnsi="Verdana" w:cs="Times New Roman"/>
          <w:color w:val="000000"/>
          <w:sz w:val="21"/>
          <w:szCs w:val="21"/>
          <w:lang w:eastAsia="es-ES_tradnl"/>
        </w:rPr>
        <w:t> </w:t>
      </w:r>
    </w:p>
    <w:p w14:paraId="2D60B3CF"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Times New Roman" w:hAnsi="Verdana" w:cs="Arial"/>
          <w:color w:val="000000"/>
          <w:sz w:val="21"/>
          <w:szCs w:val="21"/>
          <w:lang w:val="es-ES" w:eastAsia="es-ES_tradnl"/>
        </w:rPr>
        <w:t>PARÁGRAFO 2o. Las certificaciones de sistemas de gestión de calidad no serán objeto de calificación, ni podrán establecerse como documento habilitante para participar en licitaciones o concursos.</w:t>
      </w:r>
      <w:r w:rsidRPr="00DD1459">
        <w:rPr>
          <w:rFonts w:ascii="Verdana" w:eastAsia="Arial" w:hAnsi="Verdana" w:cs="Times New Roman"/>
          <w:color w:val="000000"/>
          <w:sz w:val="21"/>
          <w:szCs w:val="21"/>
          <w:lang w:eastAsia="es-ES_tradnl"/>
        </w:rPr>
        <w:t> </w:t>
      </w:r>
    </w:p>
    <w:p w14:paraId="71DEE3CA"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Arial" w:hAnsi="Verdana" w:cs="Times New Roman"/>
          <w:color w:val="000000"/>
          <w:sz w:val="21"/>
          <w:szCs w:val="21"/>
          <w:lang w:eastAsia="es-ES_tradnl"/>
        </w:rPr>
        <w:t> </w:t>
      </w:r>
    </w:p>
    <w:p w14:paraId="0ED5A330"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u w:val="single"/>
          <w:lang w:eastAsia="es-ES_tradnl"/>
        </w:rPr>
      </w:pPr>
      <w:r w:rsidRPr="00DD1459">
        <w:rPr>
          <w:rFonts w:ascii="Verdana" w:eastAsia="Times New Roman" w:hAnsi="Verdana" w:cs="Arial"/>
          <w:color w:val="000000"/>
          <w:sz w:val="21"/>
          <w:szCs w:val="21"/>
          <w:u w:val="single"/>
          <w:lang w:val="es-ES" w:eastAsia="es-ES_tradnl"/>
        </w:rPr>
        <w:t>PARÁGRAFO 3o. &lt;Parágrafo adicionado por el artículo 5 de la Ley 1882 de 2018. El nuevo texto es el siguiente:&gt; La no entrega de la garantía de seriedad junto con la propuesta no será subsanable y será causal de rechazo de la misma.</w:t>
      </w:r>
      <w:r w:rsidRPr="00DD1459">
        <w:rPr>
          <w:rFonts w:ascii="Verdana" w:eastAsia="Arial" w:hAnsi="Verdana" w:cs="Times New Roman"/>
          <w:color w:val="000000"/>
          <w:sz w:val="21"/>
          <w:szCs w:val="21"/>
          <w:u w:val="single"/>
          <w:lang w:eastAsia="es-ES_tradnl"/>
        </w:rPr>
        <w:t> </w:t>
      </w:r>
    </w:p>
    <w:p w14:paraId="34E22402"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Arial" w:hAnsi="Verdana" w:cs="Times New Roman"/>
          <w:color w:val="000000"/>
          <w:sz w:val="21"/>
          <w:szCs w:val="21"/>
          <w:lang w:eastAsia="es-ES_tradnl"/>
        </w:rPr>
        <w:t> </w:t>
      </w:r>
    </w:p>
    <w:p w14:paraId="628C23B6"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Times New Roman" w:hAnsi="Verdana" w:cs="Arial"/>
          <w:color w:val="000000"/>
          <w:sz w:val="21"/>
          <w:szCs w:val="21"/>
          <w:lang w:val="es-ES" w:eastAsia="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DD1459">
        <w:rPr>
          <w:rFonts w:ascii="Verdana" w:eastAsia="Arial" w:hAnsi="Verdana" w:cs="Times New Roman"/>
          <w:color w:val="000000"/>
          <w:sz w:val="21"/>
          <w:szCs w:val="21"/>
          <w:lang w:eastAsia="es-ES_tradnl"/>
        </w:rPr>
        <w:t> </w:t>
      </w:r>
    </w:p>
    <w:p w14:paraId="3542E5CB"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Arial" w:hAnsi="Verdana" w:cs="Times New Roman"/>
          <w:color w:val="000000"/>
          <w:sz w:val="21"/>
          <w:szCs w:val="21"/>
          <w:lang w:eastAsia="es-ES_tradnl"/>
        </w:rPr>
        <w:t> </w:t>
      </w:r>
    </w:p>
    <w:p w14:paraId="62766D11" w14:textId="77777777" w:rsidR="00A244A7" w:rsidRPr="00DD1459" w:rsidRDefault="00A244A7" w:rsidP="00A244A7">
      <w:pPr>
        <w:spacing w:after="0" w:line="240" w:lineRule="auto"/>
        <w:ind w:left="709" w:right="709"/>
        <w:jc w:val="both"/>
        <w:textAlignment w:val="baseline"/>
        <w:rPr>
          <w:rFonts w:ascii="Verdana" w:eastAsia="Times New Roman" w:hAnsi="Verdana" w:cs="Segoe UI"/>
          <w:sz w:val="21"/>
          <w:szCs w:val="21"/>
          <w:lang w:eastAsia="es-ES_tradnl"/>
        </w:rPr>
      </w:pPr>
      <w:r w:rsidRPr="00DD1459">
        <w:rPr>
          <w:rFonts w:ascii="Verdana" w:eastAsia="Times New Roman" w:hAnsi="Verdana" w:cs="Arial"/>
          <w:color w:val="000000"/>
          <w:sz w:val="21"/>
          <w:szCs w:val="21"/>
          <w:lang w:val="es-ES" w:eastAsia="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74431A96" w14:textId="77777777" w:rsidR="00A244A7" w:rsidRPr="00B10A68" w:rsidRDefault="00A244A7" w:rsidP="00A244A7">
      <w:pPr>
        <w:spacing w:after="0" w:line="276" w:lineRule="auto"/>
        <w:ind w:left="709" w:right="709"/>
        <w:jc w:val="both"/>
        <w:rPr>
          <w:rFonts w:ascii="Verdana" w:eastAsia="Times New Roman" w:hAnsi="Verdana" w:cs="Arial"/>
          <w:lang w:eastAsia="es-CO"/>
        </w:rPr>
      </w:pPr>
    </w:p>
    <w:p w14:paraId="4D5FDE88" w14:textId="77777777" w:rsidR="00A244A7" w:rsidRPr="00B10A68" w:rsidRDefault="00A244A7" w:rsidP="00D837E0">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B10A68">
        <w:rPr>
          <w:rFonts w:ascii="Verdana" w:eastAsia="Times New Roman" w:hAnsi="Verdana" w:cs="Arial"/>
          <w:lang w:val="es-ES" w:eastAsia="es-ES"/>
        </w:rPr>
        <w:t>ii</w:t>
      </w:r>
      <w:proofErr w:type="spellEnd"/>
      <w:r w:rsidRPr="00B10A68">
        <w:rPr>
          <w:rFonts w:ascii="Verdana" w:eastAsia="Times New Roman" w:hAnsi="Verdana" w:cs="Arial"/>
          <w:lang w:val="es-ES" w:eastAsia="es-ES"/>
        </w:rPr>
        <w:t xml:space="preserve">) mantiene el criterio aclaratorio de la Ley 1150 de 2007, según el cual todo lo que no afecte la asignación de puntaje puede subsanarse; e, </w:t>
      </w:r>
      <w:proofErr w:type="spellStart"/>
      <w:r w:rsidRPr="00B10A68">
        <w:rPr>
          <w:rFonts w:ascii="Verdana" w:eastAsia="Times New Roman" w:hAnsi="Verdana" w:cs="Arial"/>
          <w:lang w:val="es-ES" w:eastAsia="es-ES"/>
        </w:rPr>
        <w:t>iii</w:t>
      </w:r>
      <w:proofErr w:type="spellEnd"/>
      <w:r w:rsidRPr="00B10A68">
        <w:rPr>
          <w:rFonts w:ascii="Verdana" w:eastAsia="Times New Roman" w:hAnsi="Verdana" w:cs="Arial"/>
          <w:lang w:val="es-ES" w:eastAsia="es-ES"/>
        </w:rPr>
        <w:t xml:space="preserve">) introduce modificaciones en relación con algunos aspectos que se analizarán a continuación. </w:t>
      </w:r>
    </w:p>
    <w:p w14:paraId="71E8F2ED" w14:textId="77777777" w:rsidR="00A244A7" w:rsidRPr="00B10A68" w:rsidRDefault="00A244A7" w:rsidP="00D837E0">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i/>
          <w:iCs/>
          <w:lang w:val="es-ES_tradnl" w:eastAsia="es-ES_tradnl"/>
        </w:rPr>
        <w:t xml:space="preserve">La primera modificación </w:t>
      </w:r>
      <w:r>
        <w:rPr>
          <w:rFonts w:ascii="Verdana" w:eastAsia="Times New Roman" w:hAnsi="Verdana" w:cs="Arial"/>
          <w:lang w:val="es-ES_tradnl" w:eastAsia="es-ES_tradnl"/>
        </w:rPr>
        <w:t xml:space="preserve">introducido por el artículo antes citado </w:t>
      </w:r>
      <w:r w:rsidRPr="00B10A68">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B10A68">
        <w:rPr>
          <w:rFonts w:ascii="Verdana" w:eastAsia="Times New Roman" w:hAnsi="Verdana" w:cs="Arial"/>
          <w:vertAlign w:val="superscript"/>
          <w:lang w:val="es-ES_tradnl" w:eastAsia="es-ES_tradnl"/>
        </w:rPr>
        <w:footnoteReference w:id="3"/>
      </w:r>
      <w:r w:rsidRPr="00B10A68">
        <w:rPr>
          <w:rFonts w:ascii="Verdana" w:eastAsia="Times New Roman" w:hAnsi="Verdana" w:cs="Arial"/>
          <w:lang w:val="es-ES_tradnl" w:eastAsia="es-ES_tradnl"/>
        </w:rPr>
        <w:t>.</w:t>
      </w:r>
    </w:p>
    <w:p w14:paraId="10BC610A" w14:textId="77777777" w:rsidR="00A244A7" w:rsidRPr="00B10A68" w:rsidRDefault="00A244A7" w:rsidP="00D837E0">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B10A68">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B10A68">
        <w:rPr>
          <w:rFonts w:ascii="Verdana" w:eastAsia="Times New Roman" w:hAnsi="Verdana" w:cs="Arial"/>
          <w:lang w:val="es-ES" w:eastAsia="es-ES"/>
        </w:rPr>
        <w:t xml:space="preserve"> </w:t>
      </w:r>
    </w:p>
    <w:p w14:paraId="25E388B0" w14:textId="77777777" w:rsidR="00A244A7" w:rsidRPr="00B10A68" w:rsidRDefault="00A244A7" w:rsidP="00D837E0">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subsanabilidad de las ofertas se refiere. </w:t>
      </w:r>
      <w:r w:rsidRPr="00B10A68">
        <w:rPr>
          <w:rFonts w:ascii="Verdana" w:eastAsia="Times New Roman" w:hAnsi="Verdana" w:cs="Arial"/>
          <w:i/>
          <w:iCs/>
          <w:lang w:val="es-ES" w:eastAsia="es-ES"/>
        </w:rPr>
        <w:t>Primera</w:t>
      </w:r>
      <w:r w:rsidRPr="00B10A68">
        <w:rPr>
          <w:rFonts w:ascii="Verdana" w:eastAsia="Times New Roman" w:hAnsi="Verdana" w:cs="Arial"/>
          <w:lang w:val="es-ES" w:eastAsia="es-ES"/>
        </w:rPr>
        <w:t xml:space="preserve">, que la posibilidad para subsanar de los oferentes es el término del traslado del informe de evaluación, ya que es en este documento donde la Administración consigna los requisitos o documentos omitidos que los oferentes deben subsanar, so pena de rechazo. </w:t>
      </w:r>
      <w:r w:rsidRPr="00B10A68">
        <w:rPr>
          <w:rFonts w:ascii="Verdana" w:eastAsia="Times New Roman" w:hAnsi="Verdana" w:cs="Arial"/>
          <w:i/>
          <w:iCs/>
          <w:lang w:val="es-ES" w:eastAsia="es-ES"/>
        </w:rPr>
        <w:t>Segunda</w:t>
      </w:r>
      <w:r w:rsidRPr="00B10A68">
        <w:rPr>
          <w:rFonts w:ascii="Verdana" w:eastAsia="Times New Roman" w:hAnsi="Verdana" w:cs="Arial"/>
          <w:lang w:val="es-ES" w:eastAsia="es-ES"/>
        </w:rPr>
        <w:t xml:space="preserve">, que el término del traslado del informe de evaluación es el </w:t>
      </w:r>
      <w:r w:rsidRPr="00B10A68">
        <w:rPr>
          <w:rFonts w:ascii="Verdana" w:eastAsia="Times New Roman" w:hAnsi="Verdana" w:cs="Arial"/>
          <w:i/>
          <w:lang w:val="es-ES" w:eastAsia="es-ES"/>
        </w:rPr>
        <w:t>límite</w:t>
      </w:r>
      <w:r w:rsidRPr="00B10A68">
        <w:rPr>
          <w:rFonts w:ascii="Verdana" w:eastAsia="Times New Roman" w:hAnsi="Verdana" w:cs="Arial"/>
          <w:lang w:val="es-ES" w:eastAsia="es-ES"/>
        </w:rPr>
        <w:t xml:space="preserve"> para la subsanación de ofertas, pero no el único momento para hacerlo. </w:t>
      </w:r>
    </w:p>
    <w:p w14:paraId="24FF896D" w14:textId="77777777" w:rsidR="00A244A7" w:rsidRPr="00B10A68" w:rsidRDefault="00A244A7" w:rsidP="00D837E0">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7A47EAFE" w14:textId="77777777" w:rsidR="00A244A7" w:rsidRPr="00B10A68" w:rsidRDefault="00A244A7" w:rsidP="00D837E0">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340F0EA8" w14:textId="77777777" w:rsidR="00A244A7" w:rsidRPr="00B10A68" w:rsidRDefault="00A244A7" w:rsidP="00D837E0">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40B20A97" w14:textId="77777777" w:rsidR="00A244A7" w:rsidRPr="00B10A68" w:rsidRDefault="00A244A7" w:rsidP="00D837E0">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El </w:t>
      </w:r>
      <w:r w:rsidRPr="00B10A68">
        <w:rPr>
          <w:rFonts w:ascii="Verdana" w:eastAsia="Times New Roman" w:hAnsi="Verdana" w:cs="Arial"/>
          <w:i/>
          <w:iCs/>
          <w:lang w:val="es-ES_tradnl" w:eastAsia="es-ES_tradnl"/>
        </w:rPr>
        <w:t>segundo cambio</w:t>
      </w:r>
      <w:r w:rsidRPr="00B10A68">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B10A68">
        <w:rPr>
          <w:rFonts w:ascii="Verdana" w:eastAsia="Times New Roman" w:hAnsi="Verdana" w:cs="Arial"/>
          <w:i/>
          <w:iCs/>
          <w:lang w:val="es-ES_tradnl" w:eastAsia="es-ES_tradnl"/>
        </w:rPr>
        <w:t>“los proponentes no podrán acreditar circunstancias ocurridas con posterioridad al cierre del proceso”.</w:t>
      </w:r>
      <w:r w:rsidRPr="00B10A68">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094D083E" w14:textId="77777777" w:rsidR="00A244A7" w:rsidRPr="00B10A68" w:rsidRDefault="00A244A7" w:rsidP="00D837E0">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B10A68">
        <w:rPr>
          <w:rFonts w:ascii="Verdana" w:eastAsia="Times New Roman" w:hAnsi="Verdana" w:cs="Arial"/>
          <w:vertAlign w:val="superscript"/>
          <w:lang w:val="es-ES" w:eastAsia="es-ES"/>
        </w:rPr>
        <w:footnoteReference w:id="4"/>
      </w:r>
      <w:r w:rsidRPr="00B10A68">
        <w:rPr>
          <w:rFonts w:ascii="Verdana" w:eastAsia="Times New Roman" w:hAnsi="Verdana" w:cs="Arial"/>
          <w:lang w:val="es-ES" w:eastAsia="es-ES"/>
        </w:rPr>
        <w:t>.</w:t>
      </w:r>
    </w:p>
    <w:p w14:paraId="6B41EDA4" w14:textId="77777777" w:rsidR="00A244A7" w:rsidRPr="00B10A68" w:rsidRDefault="00A244A7" w:rsidP="00D837E0">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5B46927B" w14:textId="77777777" w:rsidR="00A244A7" w:rsidRPr="00B10A68" w:rsidRDefault="00A244A7" w:rsidP="00D837E0">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Un mejor entendimiento del significado de la expresión </w:t>
      </w:r>
      <w:r w:rsidRPr="00B10A68">
        <w:rPr>
          <w:rFonts w:ascii="Verdana" w:eastAsia="Times New Roman" w:hAnsi="Verdana" w:cs="Arial"/>
          <w:i/>
          <w:lang w:val="es-ES" w:eastAsia="es-ES"/>
        </w:rPr>
        <w:t>“circunstancias ocurridas con posterioridad al cierre del proceso”</w:t>
      </w:r>
      <w:r w:rsidRPr="00B10A68">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B10A68">
        <w:rPr>
          <w:rFonts w:ascii="Verdana" w:eastAsia="Times New Roman" w:hAnsi="Verdana" w:cs="Arial"/>
          <w:vertAlign w:val="superscript"/>
          <w:lang w:val="es-ES" w:eastAsia="es-ES"/>
        </w:rPr>
        <w:footnoteReference w:id="5"/>
      </w:r>
      <w:r w:rsidRPr="00B10A68">
        <w:rPr>
          <w:rFonts w:ascii="Verdana" w:eastAsia="Times New Roman" w:hAnsi="Verdana" w:cs="Arial"/>
          <w:lang w:val="es-ES" w:eastAsia="es-ES"/>
        </w:rPr>
        <w:t xml:space="preserve">. </w:t>
      </w:r>
    </w:p>
    <w:p w14:paraId="3D6E53B9" w14:textId="77777777" w:rsidR="00A244A7" w:rsidRPr="00B10A68" w:rsidRDefault="00A244A7" w:rsidP="00D837E0">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B10A68">
        <w:rPr>
          <w:rFonts w:ascii="Verdana" w:eastAsia="Times New Roman" w:hAnsi="Verdana" w:cs="Arial"/>
          <w:lang w:val="es-ES" w:eastAsia="es-ES"/>
        </w:rPr>
        <w:t>ii</w:t>
      </w:r>
      <w:proofErr w:type="spellEnd"/>
      <w:r w:rsidRPr="00B10A68">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10A68">
        <w:rPr>
          <w:rFonts w:ascii="Verdana" w:eastAsia="Times New Roman" w:hAnsi="Verdana" w:cs="Arial"/>
          <w:vertAlign w:val="superscript"/>
          <w:lang w:val="es-ES" w:eastAsia="es-ES"/>
        </w:rPr>
        <w:footnoteReference w:id="6"/>
      </w:r>
      <w:r w:rsidRPr="00B10A68">
        <w:rPr>
          <w:rFonts w:ascii="Verdana" w:eastAsia="Times New Roman" w:hAnsi="Verdana" w:cs="Arial"/>
          <w:lang w:val="es-ES" w:eastAsia="es-ES"/>
        </w:rPr>
        <w:t xml:space="preserve">; </w:t>
      </w:r>
      <w:proofErr w:type="spellStart"/>
      <w:r w:rsidRPr="00B10A68">
        <w:rPr>
          <w:rFonts w:ascii="Verdana" w:eastAsia="Times New Roman" w:hAnsi="Verdana" w:cs="Arial"/>
          <w:lang w:val="es-ES" w:eastAsia="es-ES"/>
        </w:rPr>
        <w:t>iii</w:t>
      </w:r>
      <w:proofErr w:type="spellEnd"/>
      <w:r w:rsidRPr="00B10A68">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B10A68">
        <w:rPr>
          <w:rFonts w:ascii="Verdana" w:eastAsia="Times New Roman" w:hAnsi="Verdana" w:cs="Arial"/>
          <w:vertAlign w:val="superscript"/>
          <w:lang w:val="es-ES" w:eastAsia="es-ES"/>
        </w:rPr>
        <w:footnoteReference w:id="7"/>
      </w:r>
      <w:r w:rsidRPr="00B10A68">
        <w:rPr>
          <w:rFonts w:ascii="Verdana" w:eastAsia="Times New Roman" w:hAnsi="Verdana" w:cs="Arial"/>
          <w:lang w:val="es-ES" w:eastAsia="es-ES"/>
        </w:rPr>
        <w:t xml:space="preserve">; </w:t>
      </w:r>
      <w:proofErr w:type="spellStart"/>
      <w:r w:rsidRPr="00B10A68">
        <w:rPr>
          <w:rFonts w:ascii="Verdana" w:eastAsia="Times New Roman" w:hAnsi="Verdana" w:cs="Arial"/>
          <w:lang w:val="es-ES" w:eastAsia="es-ES"/>
        </w:rPr>
        <w:t>iv</w:t>
      </w:r>
      <w:proofErr w:type="spellEnd"/>
      <w:r w:rsidRPr="00B10A68">
        <w:rPr>
          <w:rFonts w:ascii="Verdana" w:eastAsia="Times New Roman" w:hAnsi="Verdana" w:cs="Arial"/>
          <w:lang w:val="es-ES" w:eastAsia="es-ES"/>
        </w:rPr>
        <w:t>)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w:t>
      </w:r>
      <w:r>
        <w:rPr>
          <w:rFonts w:ascii="Verdana" w:eastAsia="Times New Roman" w:hAnsi="Verdana" w:cs="Arial"/>
          <w:lang w:val="es-ES" w:eastAsia="es-ES"/>
        </w:rPr>
        <w:t>;</w:t>
      </w:r>
      <w:r w:rsidRPr="00B10A68">
        <w:rPr>
          <w:rFonts w:ascii="Verdana" w:eastAsia="Times New Roman" w:hAnsi="Verdana" w:cs="Arial"/>
          <w:lang w:val="es-ES" w:eastAsia="es-ES"/>
        </w:rPr>
        <w:t xml:space="preserve"> vi) si el oferente olvidó firmar la propuesta o presentar una copia de ella, puede subsanar sin que con ello se entienda que acreditó una circunstancia ocurrida con posterioridad al cierre del proceso. </w:t>
      </w:r>
    </w:p>
    <w:p w14:paraId="4C8EAE48" w14:textId="77777777" w:rsidR="00A244A7" w:rsidRPr="00B10A68" w:rsidRDefault="00A244A7" w:rsidP="00D837E0">
      <w:pPr>
        <w:spacing w:after="120" w:line="276" w:lineRule="auto"/>
        <w:ind w:firstLine="709"/>
        <w:jc w:val="both"/>
        <w:rPr>
          <w:rFonts w:ascii="Verdana" w:eastAsia="Times New Roman" w:hAnsi="Verdana" w:cs="Arial"/>
          <w:i/>
          <w:lang w:val="es-ES" w:eastAsia="es-ES"/>
        </w:rPr>
      </w:pPr>
      <w:r w:rsidRPr="00B10A68">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B10A68">
        <w:rPr>
          <w:rFonts w:ascii="Verdana" w:eastAsia="Times New Roman" w:hAnsi="Verdana" w:cs="Arial"/>
          <w:lang w:val="es-ES" w:eastAsia="es-ES"/>
        </w:rPr>
        <w:t>que</w:t>
      </w:r>
      <w:proofErr w:type="gramEnd"/>
      <w:r w:rsidRPr="00B10A68">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B10A68">
        <w:rPr>
          <w:rFonts w:ascii="Verdana" w:eastAsia="Times New Roman" w:hAnsi="Verdana" w:cs="Arial"/>
          <w:vertAlign w:val="superscript"/>
          <w:lang w:val="es-ES" w:eastAsia="es-ES"/>
        </w:rPr>
        <w:footnoteReference w:id="8"/>
      </w:r>
      <w:r w:rsidRPr="00B10A68">
        <w:rPr>
          <w:rFonts w:ascii="Verdana" w:eastAsia="Times New Roman" w:hAnsi="Verdana" w:cs="Arial"/>
          <w:lang w:val="es-ES" w:eastAsia="es-ES"/>
        </w:rPr>
        <w:t>.</w:t>
      </w:r>
    </w:p>
    <w:p w14:paraId="18C0E457" w14:textId="77777777" w:rsidR="00A244A7" w:rsidRPr="00B10A68" w:rsidRDefault="00A244A7" w:rsidP="00D837E0">
      <w:pPr>
        <w:spacing w:after="120" w:line="276" w:lineRule="auto"/>
        <w:ind w:firstLine="709"/>
        <w:jc w:val="both"/>
        <w:rPr>
          <w:rFonts w:ascii="Verdana" w:eastAsia="Calibri" w:hAnsi="Verdana" w:cs="Times New Roman"/>
          <w:color w:val="000000"/>
        </w:rPr>
      </w:pPr>
      <w:r w:rsidRPr="00B10A68">
        <w:rPr>
          <w:rFonts w:ascii="Verdana" w:eastAsia="Times New Roman" w:hAnsi="Verdana" w:cs="Arial"/>
          <w:iCs/>
          <w:lang w:val="es-ES" w:eastAsia="es-ES"/>
        </w:rPr>
        <w:t>Ahora bien,</w:t>
      </w:r>
      <w:r w:rsidRPr="00B10A68">
        <w:rPr>
          <w:rFonts w:ascii="Verdana" w:eastAsia="Times New Roman" w:hAnsi="Verdana" w:cs="Arial"/>
          <w:i/>
          <w:lang w:val="es-ES" w:eastAsia="es-ES"/>
        </w:rPr>
        <w:t xml:space="preserve"> e</w:t>
      </w:r>
      <w:r w:rsidRPr="00B10A68">
        <w:rPr>
          <w:rFonts w:ascii="Verdana" w:eastAsia="Calibri" w:hAnsi="Verdana" w:cs="Arial"/>
          <w:color w:val="000000"/>
          <w:lang w:val="es-ES"/>
        </w:rPr>
        <w:t>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r w:rsidRPr="00B10A68">
        <w:rPr>
          <w:rFonts w:ascii="Verdana" w:eastAsia="Calibri" w:hAnsi="Verdana" w:cs="Times New Roman"/>
          <w:color w:val="000000"/>
        </w:rPr>
        <w:t> </w:t>
      </w:r>
    </w:p>
    <w:p w14:paraId="3B048B76" w14:textId="77777777" w:rsidR="00A244A7" w:rsidRPr="00B10A68" w:rsidRDefault="00A244A7" w:rsidP="00D837E0">
      <w:pPr>
        <w:spacing w:after="120" w:line="276" w:lineRule="auto"/>
        <w:ind w:firstLine="709"/>
        <w:jc w:val="both"/>
        <w:rPr>
          <w:rFonts w:ascii="Verdana" w:eastAsia="Calibri" w:hAnsi="Verdana" w:cs="Times New Roman"/>
          <w:color w:val="000000"/>
        </w:rPr>
      </w:pPr>
      <w:r w:rsidRPr="00B10A68">
        <w:rPr>
          <w:rFonts w:ascii="Verdana" w:eastAsia="Calibri" w:hAnsi="Verdana" w:cs="Times New Roman"/>
          <w:color w:val="000000"/>
        </w:rPr>
        <w:t>En línea con lo anterior,</w:t>
      </w:r>
      <w:r>
        <w:rPr>
          <w:rFonts w:ascii="Verdana" w:eastAsia="Calibri" w:hAnsi="Verdana" w:cs="Times New Roman"/>
          <w:color w:val="000000"/>
        </w:rPr>
        <w:t xml:space="preserve"> con miras a dar respuesta al primer problema jurídico, debe señalarse que</w:t>
      </w:r>
      <w:r w:rsidRPr="00B10A68">
        <w:rPr>
          <w:rFonts w:ascii="Verdana" w:eastAsia="Calibri" w:hAnsi="Verdana" w:cs="Times New Roman"/>
          <w:color w:val="000000"/>
        </w:rPr>
        <w:t>, una vez verificada la ausencia de requisitos y/o documentos de la oferta, para efectos de saber si se pueden subsanar, la entidad contratante debe preguntarse,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38670E00" w14:textId="77777777" w:rsidR="00A244A7" w:rsidRDefault="00A244A7" w:rsidP="00D837E0">
      <w:pPr>
        <w:spacing w:after="120" w:line="276" w:lineRule="auto"/>
        <w:ind w:firstLine="709"/>
        <w:jc w:val="both"/>
        <w:rPr>
          <w:rFonts w:ascii="Verdana" w:hAnsi="Verdana" w:cs="Arial"/>
          <w:noProof/>
          <w:lang w:val="es-ES_tradnl"/>
        </w:rPr>
      </w:pPr>
      <w:r w:rsidRPr="00D16A5E">
        <w:rPr>
          <w:rFonts w:ascii="Verdana" w:hAnsi="Verdana" w:cs="Arial"/>
          <w:noProof/>
          <w:lang w:val="es-ES_tradnl"/>
        </w:rPr>
        <w:t>En conclusion</w:t>
      </w:r>
      <w:r>
        <w:rPr>
          <w:rFonts w:ascii="Verdana" w:hAnsi="Verdana" w:cs="Arial"/>
          <w:noProof/>
          <w:lang w:val="es-ES_tradnl"/>
        </w:rPr>
        <w:t xml:space="preserve">, </w:t>
      </w:r>
      <w:r w:rsidRPr="00D16A5E">
        <w:rPr>
          <w:rFonts w:ascii="Verdana" w:hAnsi="Verdana" w:cs="Arial"/>
          <w:noProof/>
          <w:lang w:val="es-ES_tradnl"/>
        </w:rPr>
        <w:t>los requisitos o documentos que no sean necesarios para la comparación de las ofertas pueden subsanarse y todo lo que no sea necesario para la comparación de propuestas no es título suficiente para su rechazo</w:t>
      </w:r>
      <w:r>
        <w:rPr>
          <w:rFonts w:ascii="Verdana" w:hAnsi="Verdana" w:cs="Arial"/>
          <w:noProof/>
          <w:lang w:val="es-ES_tradnl"/>
        </w:rPr>
        <w:t xml:space="preserve">. En sentido, si en un proceso de selección </w:t>
      </w:r>
      <w:r w:rsidRPr="003471F6">
        <w:rPr>
          <w:rFonts w:ascii="Verdana" w:hAnsi="Verdana" w:cs="Arial"/>
          <w:noProof/>
          <w:lang w:val="es-ES_tradnl"/>
        </w:rPr>
        <w:t>se presentó a un profesional para cumplir con un perfil</w:t>
      </w:r>
      <w:r>
        <w:rPr>
          <w:rFonts w:ascii="Verdana" w:hAnsi="Verdana" w:cs="Arial"/>
          <w:noProof/>
          <w:lang w:val="es-ES_tradnl"/>
        </w:rPr>
        <w:t xml:space="preserve"> </w:t>
      </w:r>
      <w:r w:rsidRPr="003471F6">
        <w:rPr>
          <w:rFonts w:ascii="Verdana" w:hAnsi="Verdana" w:cs="Arial"/>
          <w:noProof/>
          <w:lang w:val="es-ES_tradnl"/>
        </w:rPr>
        <w:t>solicitado como requisito habilitante</w:t>
      </w:r>
      <w:r>
        <w:rPr>
          <w:rFonts w:ascii="Verdana" w:hAnsi="Verdana" w:cs="Arial"/>
          <w:noProof/>
          <w:lang w:val="es-ES_tradnl"/>
        </w:rPr>
        <w:t xml:space="preserve">, pero la entidad encontró alguna inconsistencia, podría subsanarse el requisito habilitante. </w:t>
      </w:r>
    </w:p>
    <w:p w14:paraId="6490F18F" w14:textId="77777777" w:rsidR="00A244A7" w:rsidRPr="003716E2" w:rsidRDefault="00A244A7" w:rsidP="00D837E0">
      <w:pPr>
        <w:spacing w:after="120" w:line="276" w:lineRule="auto"/>
        <w:ind w:firstLine="709"/>
        <w:jc w:val="both"/>
        <w:rPr>
          <w:rFonts w:ascii="Verdana" w:hAnsi="Verdana" w:cs="Arial"/>
          <w:noProof/>
          <w:lang w:val="es-ES_tradnl"/>
        </w:rPr>
      </w:pPr>
      <w:r w:rsidRPr="003716E2">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278FF9CE" w14:textId="77777777" w:rsidR="00A244A7" w:rsidRPr="003716E2" w:rsidRDefault="00A244A7" w:rsidP="00D837E0">
      <w:pPr>
        <w:spacing w:after="120" w:line="276" w:lineRule="auto"/>
        <w:ind w:firstLine="709"/>
        <w:jc w:val="both"/>
        <w:rPr>
          <w:rFonts w:ascii="Verdana" w:eastAsia="Times New Roman" w:hAnsi="Verdana" w:cs="Arial"/>
          <w:i/>
          <w:lang w:val="es-ES" w:eastAsia="es-ES"/>
        </w:rPr>
      </w:pPr>
      <w:r w:rsidRPr="003716E2">
        <w:rPr>
          <w:rFonts w:ascii="Verdana" w:hAnsi="Verdana" w:cs="Arial"/>
          <w:noProof/>
          <w:lang w:val="es-ES_tradnl"/>
        </w:rPr>
        <w:t>Finalmente, debe señalarse que, e</w:t>
      </w:r>
      <w:r w:rsidRPr="003716E2">
        <w:rPr>
          <w:rFonts w:ascii="Verdana" w:hAnsi="Verdana" w:cs="Arial"/>
        </w:rPr>
        <w:t xml:space="preserve">n </w:t>
      </w:r>
      <w:r>
        <w:rPr>
          <w:rFonts w:ascii="Verdana" w:hAnsi="Verdana" w:cs="Arial"/>
        </w:rPr>
        <w:t>un proceso de contratación, como por ejemplo los adelantados mediante la modalidad de selección d</w:t>
      </w:r>
      <w:r w:rsidRPr="003716E2">
        <w:rPr>
          <w:rFonts w:ascii="Verdana" w:hAnsi="Verdana" w:cs="Arial"/>
        </w:rPr>
        <w:t>el concurso de méritos</w:t>
      </w:r>
      <w:r>
        <w:rPr>
          <w:rFonts w:ascii="Verdana" w:hAnsi="Verdana" w:cs="Arial"/>
        </w:rPr>
        <w:t>,</w:t>
      </w:r>
      <w:r w:rsidRPr="003716E2">
        <w:rPr>
          <w:rFonts w:ascii="Verdana" w:hAnsi="Verdana" w:cs="Arial"/>
        </w:rPr>
        <w:t xml:space="preserve"> es posible que la Entidad en el pliego de condiciones haya establecido criterios de puntaje respecto de los mismos perfiles que se han exigido como habilitantes, en dicho caso será posible subsanar el requisito habilitante pero no podrá asignársele puntaje.</w:t>
      </w:r>
    </w:p>
    <w:p w14:paraId="596F1B2B" w14:textId="77777777" w:rsidR="00A244A7" w:rsidRPr="00ED7574" w:rsidRDefault="00A244A7" w:rsidP="00D837E0">
      <w:pPr>
        <w:spacing w:after="120" w:line="276" w:lineRule="auto"/>
        <w:ind w:firstLine="709"/>
        <w:jc w:val="both"/>
        <w:rPr>
          <w:rFonts w:ascii="Verdana" w:eastAsia="Calibri" w:hAnsi="Verdana" w:cs="Times New Roman"/>
          <w:color w:val="000000"/>
          <w:lang w:val="es-ES"/>
        </w:rPr>
      </w:pPr>
    </w:p>
    <w:p w14:paraId="16721777" w14:textId="77777777" w:rsidR="00A244A7" w:rsidRPr="0075229A" w:rsidRDefault="00A244A7" w:rsidP="00D837E0">
      <w:pPr>
        <w:spacing w:after="120" w:line="276" w:lineRule="auto"/>
        <w:ind w:firstLine="709"/>
        <w:jc w:val="both"/>
        <w:rPr>
          <w:rFonts w:ascii="Verdana" w:eastAsia="Arial" w:hAnsi="Verdana" w:cs="Arial"/>
          <w:lang w:eastAsia="es-ES" w:bidi="es-ES"/>
        </w:rPr>
      </w:pPr>
      <w:proofErr w:type="spellStart"/>
      <w:r>
        <w:rPr>
          <w:rFonts w:ascii="Verdana" w:eastAsia="Arial" w:hAnsi="Verdana" w:cs="Arial"/>
        </w:rPr>
        <w:t>ii</w:t>
      </w:r>
      <w:proofErr w:type="spellEnd"/>
      <w:r>
        <w:rPr>
          <w:rFonts w:ascii="Verdana" w:eastAsia="Arial" w:hAnsi="Verdana" w:cs="Arial"/>
        </w:rPr>
        <w:t>) Por otra parte, respecto de las adendas, se precisa que e</w:t>
      </w:r>
      <w:r w:rsidRPr="00911A2F">
        <w:rPr>
          <w:rFonts w:ascii="Verdana" w:eastAsia="Arial" w:hAnsi="Verdana" w:cs="Arial"/>
          <w:lang w:eastAsia="es-ES" w:bidi="es-ES"/>
        </w:rPr>
        <w:t>l pliego de condiciones es la hoja de ruta o plan</w:t>
      </w:r>
      <w:r w:rsidRPr="00911A2F">
        <w:rPr>
          <w:rFonts w:ascii="Verdana" w:eastAsia="Arial" w:hAnsi="Verdana" w:cs="Arial"/>
          <w:vertAlign w:val="superscript"/>
          <w:lang w:eastAsia="es-ES" w:bidi="es-ES"/>
        </w:rPr>
        <w:footnoteReference w:id="9"/>
      </w:r>
      <w:r w:rsidRPr="00911A2F">
        <w:rPr>
          <w:rFonts w:ascii="Verdana" w:eastAsia="Arial" w:hAnsi="Verdana" w:cs="Arial"/>
          <w:lang w:eastAsia="es-ES" w:bidi="es-ES"/>
        </w:rPr>
        <w:t xml:space="preserve"> sobre el cual se diseña,</w:t>
      </w:r>
      <w:r w:rsidRPr="0075229A">
        <w:rPr>
          <w:rFonts w:ascii="Verdana" w:eastAsia="Arial" w:hAnsi="Verdana" w:cs="Arial"/>
          <w:lang w:eastAsia="es-ES" w:bidi="es-ES"/>
        </w:rPr>
        <w:t xml:space="preserve"> estructura y concreta el procedimiento de selección de contratistas, y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75229A">
        <w:rPr>
          <w:rFonts w:ascii="Verdana" w:eastAsia="Arial" w:hAnsi="Verdana" w:cs="Arial"/>
          <w:vertAlign w:val="superscript"/>
          <w:lang w:eastAsia="es-ES" w:bidi="es-ES"/>
        </w:rPr>
        <w:footnoteReference w:id="10"/>
      </w:r>
      <w:r w:rsidRPr="0075229A">
        <w:rPr>
          <w:rFonts w:ascii="Verdana" w:eastAsia="Arial" w:hAnsi="Verdana" w:cs="Arial"/>
          <w:lang w:eastAsia="es-ES" w:bidi="es-ES"/>
        </w:rPr>
        <w:t>.</w:t>
      </w:r>
    </w:p>
    <w:p w14:paraId="31FAF7B7" w14:textId="77777777" w:rsidR="00A244A7" w:rsidRPr="00357D17" w:rsidRDefault="00A244A7" w:rsidP="00D837E0">
      <w:pPr>
        <w:widowControl w:val="0"/>
        <w:autoSpaceDE w:val="0"/>
        <w:autoSpaceDN w:val="0"/>
        <w:spacing w:after="120" w:line="276" w:lineRule="auto"/>
        <w:ind w:firstLine="709"/>
        <w:jc w:val="both"/>
        <w:rPr>
          <w:rFonts w:ascii="Verdana" w:eastAsia="Arial" w:hAnsi="Verdana" w:cs="Arial"/>
          <w:lang w:eastAsia="es-ES" w:bidi="es-ES"/>
        </w:rPr>
      </w:pPr>
      <w:r w:rsidRPr="00357D17">
        <w:rPr>
          <w:rFonts w:ascii="Verdana" w:eastAsia="Arial" w:hAnsi="Verdana" w:cs="Arial"/>
          <w:lang w:eastAsia="es-ES" w:bidi="es-ES"/>
        </w:rPr>
        <w:t xml:space="preserve">El pliego es un instrumento en el cual se materializa el principio de transparencia, pues en él se prefijan las reglas de escogencia del contratista del Estado, para la selección objetiva de la mejor oferta, la adjudicación y la posterior celebración y ejecución del contrato, lo cual lo convierte en una reglamentación de todo el </w:t>
      </w:r>
      <w:proofErr w:type="spellStart"/>
      <w:r w:rsidRPr="00357D17">
        <w:rPr>
          <w:rFonts w:ascii="Verdana" w:eastAsia="Arial" w:hAnsi="Verdana" w:cs="Arial"/>
          <w:i/>
          <w:iCs/>
          <w:lang w:eastAsia="es-ES" w:bidi="es-ES"/>
        </w:rPr>
        <w:t>iter</w:t>
      </w:r>
      <w:proofErr w:type="spellEnd"/>
      <w:r w:rsidRPr="00357D17">
        <w:rPr>
          <w:rFonts w:ascii="Verdana" w:eastAsia="Arial" w:hAnsi="Verdana" w:cs="Arial"/>
          <w:i/>
          <w:iCs/>
          <w:lang w:eastAsia="es-ES" w:bidi="es-ES"/>
        </w:rPr>
        <w:t xml:space="preserve"> </w:t>
      </w:r>
      <w:r w:rsidRPr="00357D17">
        <w:rPr>
          <w:rFonts w:ascii="Verdana" w:eastAsia="Arial" w:hAnsi="Verdana" w:cs="Arial"/>
          <w:lang w:eastAsia="es-ES" w:bidi="es-ES"/>
        </w:rPr>
        <w:t>contractual. Su contenido</w:t>
      </w:r>
      <w:r w:rsidRPr="00357D17">
        <w:rPr>
          <w:rFonts w:ascii="Verdana" w:eastAsia="Arial" w:hAnsi="Verdana" w:cs="Arial"/>
          <w:vertAlign w:val="superscript"/>
          <w:lang w:eastAsia="es-ES" w:bidi="es-ES"/>
        </w:rPr>
        <w:footnoteReference w:id="11"/>
      </w:r>
      <w:r w:rsidRPr="00357D17">
        <w:rPr>
          <w:rFonts w:ascii="Verdana" w:eastAsia="Arial" w:hAnsi="Verdana" w:cs="Arial"/>
          <w:lang w:eastAsia="es-ES" w:bidi="es-ES"/>
        </w:rPr>
        <w:t xml:space="preserve"> está previsto en el numeral 5 del artículo 24 de la Ley 80 de 1993, que establece algunas directrices que deben tenerse en cuenta en su elaboración:</w:t>
      </w:r>
    </w:p>
    <w:p w14:paraId="03FDE5E6" w14:textId="77777777" w:rsidR="00A244A7" w:rsidRPr="00357D17" w:rsidRDefault="00A244A7" w:rsidP="00A244A7">
      <w:pPr>
        <w:widowControl w:val="0"/>
        <w:autoSpaceDE w:val="0"/>
        <w:autoSpaceDN w:val="0"/>
        <w:spacing w:after="0" w:line="240" w:lineRule="auto"/>
        <w:ind w:right="108" w:firstLine="708"/>
        <w:jc w:val="both"/>
        <w:rPr>
          <w:rFonts w:ascii="Verdana" w:eastAsia="Arial" w:hAnsi="Verdana" w:cs="Arial"/>
          <w:lang w:eastAsia="es-ES" w:bidi="es-ES"/>
        </w:rPr>
      </w:pPr>
    </w:p>
    <w:p w14:paraId="3E6967CB" w14:textId="77777777" w:rsidR="00A244A7" w:rsidRPr="00BD5109" w:rsidRDefault="00A244A7" w:rsidP="00A244A7">
      <w:pPr>
        <w:widowControl w:val="0"/>
        <w:autoSpaceDE w:val="0"/>
        <w:autoSpaceDN w:val="0"/>
        <w:spacing w:after="0" w:line="240" w:lineRule="auto"/>
        <w:ind w:left="709" w:right="709"/>
        <w:rPr>
          <w:rFonts w:ascii="Verdana" w:eastAsia="Arial" w:hAnsi="Verdana" w:cs="Arial"/>
          <w:sz w:val="21"/>
          <w:szCs w:val="21"/>
          <w:lang w:eastAsia="es-ES" w:bidi="es-ES"/>
        </w:rPr>
      </w:pPr>
      <w:r w:rsidRPr="00BD5109">
        <w:rPr>
          <w:rFonts w:ascii="Verdana" w:eastAsia="Arial" w:hAnsi="Verdana" w:cs="Arial"/>
          <w:sz w:val="21"/>
          <w:szCs w:val="21"/>
          <w:lang w:eastAsia="es-ES" w:bidi="es-ES"/>
        </w:rPr>
        <w:t>“5o. En los pliegos de condiciones:</w:t>
      </w:r>
    </w:p>
    <w:p w14:paraId="6CBFBC46" w14:textId="77777777" w:rsidR="00A244A7" w:rsidRPr="00BD5109" w:rsidRDefault="00A244A7" w:rsidP="00A244A7">
      <w:pPr>
        <w:widowControl w:val="0"/>
        <w:numPr>
          <w:ilvl w:val="2"/>
          <w:numId w:val="19"/>
        </w:numPr>
        <w:tabs>
          <w:tab w:val="left" w:pos="1126"/>
        </w:tabs>
        <w:autoSpaceDE w:val="0"/>
        <w:autoSpaceDN w:val="0"/>
        <w:spacing w:after="0" w:line="240" w:lineRule="auto"/>
        <w:ind w:left="709" w:right="709" w:firstLine="0"/>
        <w:jc w:val="both"/>
        <w:rPr>
          <w:rFonts w:ascii="Verdana" w:eastAsia="Calibri" w:hAnsi="Verdana" w:cs="Arial"/>
          <w:sz w:val="21"/>
          <w:szCs w:val="21"/>
        </w:rPr>
      </w:pPr>
      <w:r w:rsidRPr="00BD5109">
        <w:rPr>
          <w:rFonts w:ascii="Verdana" w:eastAsia="Calibri" w:hAnsi="Verdana" w:cs="Arial"/>
          <w:sz w:val="21"/>
          <w:szCs w:val="21"/>
        </w:rPr>
        <w:t>Se indicarán los requisitos objetivos necesarios para participar en el correspondiente proceso de</w:t>
      </w:r>
      <w:r w:rsidRPr="00BD5109">
        <w:rPr>
          <w:rFonts w:ascii="Verdana" w:eastAsia="Calibri" w:hAnsi="Verdana" w:cs="Arial"/>
          <w:spacing w:val="-2"/>
          <w:sz w:val="21"/>
          <w:szCs w:val="21"/>
        </w:rPr>
        <w:t xml:space="preserve"> </w:t>
      </w:r>
      <w:r w:rsidRPr="00BD5109">
        <w:rPr>
          <w:rFonts w:ascii="Verdana" w:eastAsia="Calibri" w:hAnsi="Verdana" w:cs="Arial"/>
          <w:sz w:val="21"/>
          <w:szCs w:val="21"/>
        </w:rPr>
        <w:t>selección.</w:t>
      </w:r>
    </w:p>
    <w:p w14:paraId="12A6A7FE" w14:textId="77777777" w:rsidR="00A244A7" w:rsidRPr="00BD5109" w:rsidRDefault="00A244A7" w:rsidP="00A244A7">
      <w:pPr>
        <w:widowControl w:val="0"/>
        <w:numPr>
          <w:ilvl w:val="2"/>
          <w:numId w:val="19"/>
        </w:numPr>
        <w:tabs>
          <w:tab w:val="left" w:pos="1088"/>
        </w:tabs>
        <w:autoSpaceDE w:val="0"/>
        <w:autoSpaceDN w:val="0"/>
        <w:spacing w:after="0" w:line="240" w:lineRule="auto"/>
        <w:ind w:left="709" w:right="709" w:firstLine="0"/>
        <w:jc w:val="both"/>
        <w:rPr>
          <w:rFonts w:ascii="Verdana" w:eastAsia="Calibri" w:hAnsi="Verdana" w:cs="Arial"/>
          <w:sz w:val="21"/>
          <w:szCs w:val="21"/>
        </w:rPr>
      </w:pPr>
      <w:r w:rsidRPr="00BD5109">
        <w:rPr>
          <w:rFonts w:ascii="Verdana" w:eastAsia="Calibri" w:hAnsi="Verdana" w:cs="Arial"/>
          <w:sz w:val="21"/>
          <w:szCs w:val="21"/>
        </w:rPr>
        <w:t>Se definirán reglas objetivas, justas, claras y completas que permitan la confección de ofrecimientos de la misma índole, aseguren una escogencia objetiva y eviten las declaratorias de desierta de la</w:t>
      </w:r>
      <w:r w:rsidRPr="00BD5109">
        <w:rPr>
          <w:rFonts w:ascii="Verdana" w:eastAsia="Calibri" w:hAnsi="Verdana" w:cs="Arial"/>
          <w:spacing w:val="-16"/>
          <w:sz w:val="21"/>
          <w:szCs w:val="21"/>
        </w:rPr>
        <w:t xml:space="preserve"> </w:t>
      </w:r>
      <w:r w:rsidRPr="00BD5109">
        <w:rPr>
          <w:rFonts w:ascii="Verdana" w:eastAsia="Calibri" w:hAnsi="Verdana" w:cs="Arial"/>
          <w:sz w:val="21"/>
          <w:szCs w:val="21"/>
        </w:rPr>
        <w:t>licitación.</w:t>
      </w:r>
    </w:p>
    <w:p w14:paraId="1E8777BE" w14:textId="77777777" w:rsidR="00A244A7" w:rsidRPr="00BD5109" w:rsidRDefault="00A244A7" w:rsidP="00A244A7">
      <w:pPr>
        <w:widowControl w:val="0"/>
        <w:numPr>
          <w:ilvl w:val="2"/>
          <w:numId w:val="19"/>
        </w:numPr>
        <w:tabs>
          <w:tab w:val="left" w:pos="1108"/>
        </w:tabs>
        <w:autoSpaceDE w:val="0"/>
        <w:autoSpaceDN w:val="0"/>
        <w:spacing w:after="0" w:line="240" w:lineRule="auto"/>
        <w:ind w:left="709" w:right="709" w:firstLine="0"/>
        <w:jc w:val="both"/>
        <w:rPr>
          <w:rFonts w:ascii="Verdana" w:eastAsia="Calibri" w:hAnsi="Verdana"/>
          <w:sz w:val="21"/>
          <w:szCs w:val="21"/>
        </w:rPr>
      </w:pPr>
      <w:r w:rsidRPr="00BD5109">
        <w:rPr>
          <w:rFonts w:ascii="Verdana" w:eastAsia="Calibri" w:hAnsi="Verdana" w:cs="Arial"/>
          <w:sz w:val="21"/>
          <w:szCs w:val="21"/>
        </w:rPr>
        <w:t>Se definirán con precisión las condiciones de costo y calidad de los bienes, obras o servicios necesarios para la ejecución del objeto del</w:t>
      </w:r>
      <w:r w:rsidRPr="00BD5109">
        <w:rPr>
          <w:rFonts w:ascii="Verdana" w:eastAsia="Calibri" w:hAnsi="Verdana" w:cs="Arial"/>
          <w:spacing w:val="-43"/>
          <w:sz w:val="21"/>
          <w:szCs w:val="21"/>
        </w:rPr>
        <w:t xml:space="preserve"> </w:t>
      </w:r>
      <w:r w:rsidRPr="00BD5109">
        <w:rPr>
          <w:rFonts w:ascii="Verdana" w:eastAsia="Calibri" w:hAnsi="Verdana" w:cs="Arial"/>
          <w:sz w:val="21"/>
          <w:szCs w:val="21"/>
        </w:rPr>
        <w:t>contrato.</w:t>
      </w:r>
    </w:p>
    <w:p w14:paraId="4E097DE7" w14:textId="77777777" w:rsidR="00A244A7" w:rsidRPr="00BD5109" w:rsidRDefault="00A244A7" w:rsidP="00A244A7">
      <w:pPr>
        <w:widowControl w:val="0"/>
        <w:autoSpaceDE w:val="0"/>
        <w:autoSpaceDN w:val="0"/>
        <w:spacing w:after="0" w:line="240" w:lineRule="auto"/>
        <w:ind w:left="709" w:right="709"/>
        <w:jc w:val="both"/>
        <w:rPr>
          <w:rFonts w:ascii="Verdana" w:eastAsia="Arial" w:hAnsi="Verdana" w:cs="Arial"/>
          <w:sz w:val="21"/>
          <w:szCs w:val="21"/>
          <w:lang w:eastAsia="es-ES" w:bidi="es-ES"/>
        </w:rPr>
      </w:pPr>
      <w:r w:rsidRPr="00BD5109">
        <w:rPr>
          <w:rFonts w:ascii="Verdana" w:eastAsia="Arial" w:hAnsi="Verdana" w:cs="Arial"/>
          <w:sz w:val="21"/>
          <w:szCs w:val="21"/>
          <w:lang w:eastAsia="es-ES" w:bidi="es-ES"/>
        </w:rPr>
        <w:t>No se incluirán condiciones y exigencias de imposible cumplimiento, ni exenciones de la responsabilidad derivada de los datos, informes</w:t>
      </w:r>
      <w:r w:rsidRPr="00BD5109">
        <w:rPr>
          <w:rFonts w:ascii="Verdana" w:eastAsia="Arial" w:hAnsi="Verdana" w:cs="Arial"/>
          <w:spacing w:val="1"/>
          <w:sz w:val="21"/>
          <w:szCs w:val="21"/>
          <w:lang w:eastAsia="es-ES" w:bidi="es-ES"/>
        </w:rPr>
        <w:t xml:space="preserve"> </w:t>
      </w:r>
      <w:r w:rsidRPr="00BD5109">
        <w:rPr>
          <w:rFonts w:ascii="Verdana" w:eastAsia="Arial" w:hAnsi="Verdana" w:cs="Arial"/>
          <w:sz w:val="21"/>
          <w:szCs w:val="21"/>
          <w:lang w:eastAsia="es-ES" w:bidi="es-ES"/>
        </w:rPr>
        <w:t>y documentos que se suministren.</w:t>
      </w:r>
    </w:p>
    <w:p w14:paraId="5D2FE480" w14:textId="77777777" w:rsidR="00A244A7" w:rsidRPr="00BD5109" w:rsidRDefault="00A244A7" w:rsidP="00A244A7">
      <w:pPr>
        <w:widowControl w:val="0"/>
        <w:numPr>
          <w:ilvl w:val="2"/>
          <w:numId w:val="19"/>
        </w:numPr>
        <w:tabs>
          <w:tab w:val="left" w:pos="1151"/>
        </w:tabs>
        <w:autoSpaceDE w:val="0"/>
        <w:autoSpaceDN w:val="0"/>
        <w:spacing w:after="0" w:line="240" w:lineRule="auto"/>
        <w:ind w:left="709" w:right="709" w:firstLine="0"/>
        <w:jc w:val="both"/>
        <w:rPr>
          <w:rFonts w:ascii="Verdana" w:eastAsia="Calibri" w:hAnsi="Verdana" w:cs="Arial"/>
          <w:sz w:val="21"/>
          <w:szCs w:val="21"/>
        </w:rPr>
      </w:pPr>
      <w:r w:rsidRPr="00BD5109">
        <w:rPr>
          <w:rFonts w:ascii="Verdana" w:eastAsia="Calibri" w:hAnsi="Verdana" w:cs="Arial"/>
          <w:sz w:val="21"/>
          <w:szCs w:val="21"/>
        </w:rPr>
        <w:t>Se definirán reglas que no induzcan a error a los proponentes y contratistas y que impidan la Formulación de ofrecimientos de extensión ilimitada o que dependan de la voluntad exclusiva de la</w:t>
      </w:r>
      <w:r w:rsidRPr="00BD5109">
        <w:rPr>
          <w:rFonts w:ascii="Verdana" w:eastAsia="Calibri" w:hAnsi="Verdana" w:cs="Arial"/>
          <w:spacing w:val="-20"/>
          <w:sz w:val="21"/>
          <w:szCs w:val="21"/>
        </w:rPr>
        <w:t xml:space="preserve"> </w:t>
      </w:r>
      <w:r w:rsidRPr="00BD5109">
        <w:rPr>
          <w:rFonts w:ascii="Verdana" w:eastAsia="Calibri" w:hAnsi="Verdana" w:cs="Arial"/>
          <w:sz w:val="21"/>
          <w:szCs w:val="21"/>
        </w:rPr>
        <w:t>entidad.</w:t>
      </w:r>
    </w:p>
    <w:p w14:paraId="115DFDAF" w14:textId="77777777" w:rsidR="00A244A7" w:rsidRPr="00BD5109" w:rsidRDefault="00A244A7" w:rsidP="00A244A7">
      <w:pPr>
        <w:widowControl w:val="0"/>
        <w:numPr>
          <w:ilvl w:val="2"/>
          <w:numId w:val="19"/>
        </w:numPr>
        <w:tabs>
          <w:tab w:val="left" w:pos="1016"/>
        </w:tabs>
        <w:autoSpaceDE w:val="0"/>
        <w:autoSpaceDN w:val="0"/>
        <w:spacing w:after="0" w:line="240" w:lineRule="auto"/>
        <w:ind w:left="709" w:right="709" w:firstLine="0"/>
        <w:jc w:val="both"/>
        <w:rPr>
          <w:rFonts w:ascii="Verdana" w:eastAsia="Calibri" w:hAnsi="Verdana" w:cs="Arial"/>
          <w:sz w:val="21"/>
          <w:szCs w:val="21"/>
        </w:rPr>
      </w:pPr>
      <w:r w:rsidRPr="00BD5109">
        <w:rPr>
          <w:rFonts w:ascii="Verdana" w:eastAsia="Calibri" w:hAnsi="Verdana" w:cs="Arial"/>
          <w:sz w:val="21"/>
          <w:szCs w:val="21"/>
        </w:rPr>
        <w:t xml:space="preserve"> Se definirá el plazo para la liquidación del contrato, cuando a ello hubiere lugar, teniendo en cuenta su objeto, naturaleza y</w:t>
      </w:r>
      <w:r w:rsidRPr="00BD5109">
        <w:rPr>
          <w:rFonts w:ascii="Verdana" w:eastAsia="Calibri" w:hAnsi="Verdana" w:cs="Arial"/>
          <w:spacing w:val="-13"/>
          <w:sz w:val="21"/>
          <w:szCs w:val="21"/>
        </w:rPr>
        <w:t xml:space="preserve"> </w:t>
      </w:r>
      <w:r w:rsidRPr="00BD5109">
        <w:rPr>
          <w:rFonts w:ascii="Verdana" w:eastAsia="Calibri" w:hAnsi="Verdana" w:cs="Arial"/>
          <w:sz w:val="21"/>
          <w:szCs w:val="21"/>
        </w:rPr>
        <w:t>cuantía.</w:t>
      </w:r>
    </w:p>
    <w:p w14:paraId="5DD9EDBA" w14:textId="77777777" w:rsidR="00A244A7" w:rsidRPr="00BD5109" w:rsidRDefault="00A244A7" w:rsidP="00A244A7">
      <w:pPr>
        <w:widowControl w:val="0"/>
        <w:autoSpaceDE w:val="0"/>
        <w:autoSpaceDN w:val="0"/>
        <w:spacing w:after="0" w:line="240" w:lineRule="auto"/>
        <w:ind w:left="709" w:right="709"/>
        <w:jc w:val="both"/>
        <w:rPr>
          <w:rFonts w:ascii="Verdana" w:eastAsia="Arial" w:hAnsi="Verdana" w:cs="Arial"/>
          <w:sz w:val="21"/>
          <w:szCs w:val="21"/>
          <w:lang w:eastAsia="es-ES" w:bidi="es-ES"/>
        </w:rPr>
      </w:pPr>
      <w:r w:rsidRPr="00BD5109">
        <w:rPr>
          <w:rFonts w:ascii="Verdana" w:eastAsia="Arial" w:hAnsi="Verdana" w:cs="Arial"/>
          <w:sz w:val="21"/>
          <w:szCs w:val="21"/>
          <w:lang w:eastAsia="es-ES" w:bidi="es-ES"/>
        </w:rPr>
        <w:t>Serán ineficaces de pleno derecho las estipulaciones de los pliegos y de los contratos que contravengan lo dispuesto en este numeral, o dispongan renuncias a reclamaciones por la ocurrencia de los hechos aquí enunciados”.</w:t>
      </w:r>
    </w:p>
    <w:p w14:paraId="0C81D988" w14:textId="77777777" w:rsidR="00A244A7" w:rsidRPr="001D10B9" w:rsidRDefault="00A244A7" w:rsidP="00A244A7">
      <w:pPr>
        <w:widowControl w:val="0"/>
        <w:autoSpaceDE w:val="0"/>
        <w:autoSpaceDN w:val="0"/>
        <w:spacing w:after="0"/>
        <w:ind w:left="800" w:right="789"/>
        <w:jc w:val="both"/>
        <w:rPr>
          <w:rFonts w:ascii="Verdana" w:eastAsia="Arial" w:hAnsi="Verdana" w:cs="Arial"/>
          <w:color w:val="7030A0"/>
          <w:sz w:val="21"/>
          <w:szCs w:val="21"/>
          <w:lang w:eastAsia="es-ES" w:bidi="es-ES"/>
        </w:rPr>
      </w:pPr>
    </w:p>
    <w:p w14:paraId="6C82EB87" w14:textId="77777777" w:rsidR="00A244A7" w:rsidRPr="00DA48C0" w:rsidRDefault="00A244A7" w:rsidP="00BD5109">
      <w:pPr>
        <w:widowControl w:val="0"/>
        <w:autoSpaceDE w:val="0"/>
        <w:autoSpaceDN w:val="0"/>
        <w:spacing w:after="120" w:line="276" w:lineRule="auto"/>
        <w:ind w:firstLine="709"/>
        <w:jc w:val="both"/>
        <w:rPr>
          <w:rFonts w:ascii="Verdana" w:eastAsia="Arial" w:hAnsi="Verdana" w:cs="Arial"/>
          <w:lang w:eastAsia="es-ES" w:bidi="es-ES"/>
        </w:rPr>
      </w:pPr>
      <w:r w:rsidRPr="00DA48C0">
        <w:rPr>
          <w:rFonts w:ascii="Verdana" w:eastAsia="Arial" w:hAnsi="Verdana" w:cs="Arial"/>
          <w:lang w:eastAsia="es-ES" w:bidi="es-ES"/>
        </w:rPr>
        <w:t>De conformidad con lo anterior, la Administración tiene la facultad de configurar las reglas y exigencias de los pliegos de condiciones de manera libre, dentro de los parámetros y límites establecidos por el ordenamiento jurídico</w:t>
      </w:r>
      <w:r w:rsidRPr="00DA48C0">
        <w:rPr>
          <w:rStyle w:val="Refdenotaalpie"/>
          <w:rFonts w:ascii="Verdana" w:eastAsia="Arial" w:hAnsi="Verdana" w:cs="Arial"/>
          <w:lang w:eastAsia="es-ES" w:bidi="es-ES"/>
        </w:rPr>
        <w:footnoteReference w:id="12"/>
      </w:r>
      <w:r w:rsidRPr="00DA48C0">
        <w:rPr>
          <w:rFonts w:ascii="Verdana" w:eastAsia="Arial" w:hAnsi="Verdana" w:cs="Arial"/>
          <w:lang w:eastAsia="es-ES" w:bidi="es-ES"/>
        </w:rPr>
        <w:t>, con fundamento en los estudios realizados en la fase de planeación. Además, tiene la carga de elaborarlos de manera idónea, objetiva, clara, precisa y completa, tal como se deduce de la disposición recién citada.</w:t>
      </w:r>
    </w:p>
    <w:p w14:paraId="759291ED" w14:textId="77777777" w:rsidR="00A244A7" w:rsidRPr="00DA48C0" w:rsidRDefault="00A244A7" w:rsidP="00BD5109">
      <w:pPr>
        <w:widowControl w:val="0"/>
        <w:autoSpaceDE w:val="0"/>
        <w:autoSpaceDN w:val="0"/>
        <w:spacing w:after="120" w:line="276" w:lineRule="auto"/>
        <w:ind w:firstLine="709"/>
        <w:jc w:val="both"/>
        <w:rPr>
          <w:rFonts w:ascii="Verdana" w:eastAsia="Arial" w:hAnsi="Verdana" w:cs="Arial"/>
          <w:lang w:eastAsia="es-ES" w:bidi="es-ES"/>
        </w:rPr>
      </w:pPr>
      <w:r w:rsidRPr="00DA48C0">
        <w:rPr>
          <w:rFonts w:ascii="Verdana" w:eastAsia="Arial" w:hAnsi="Verdana" w:cs="Arial"/>
          <w:lang w:eastAsia="es-ES" w:bidi="es-ES"/>
        </w:rPr>
        <w:t>Sin perjuicio de lo anterior, puede ocurrir que surja la necesidad de efectuar correcciones, aclaraciones o modificaciones, bien sea porque las mismas tienen origen en necesidades identificadas por la entidad contratante o como consecuencia de observaciones realizadas por los interesados en el</w:t>
      </w:r>
      <w:r w:rsidRPr="00DA48C0">
        <w:rPr>
          <w:rFonts w:ascii="Verdana" w:eastAsia="Arial" w:hAnsi="Verdana" w:cs="Arial"/>
          <w:spacing w:val="-6"/>
          <w:lang w:eastAsia="es-ES" w:bidi="es-ES"/>
        </w:rPr>
        <w:t xml:space="preserve"> </w:t>
      </w:r>
      <w:r w:rsidRPr="00DA48C0">
        <w:rPr>
          <w:rFonts w:ascii="Verdana" w:eastAsia="Arial" w:hAnsi="Verdana" w:cs="Arial"/>
          <w:lang w:eastAsia="es-ES" w:bidi="es-ES"/>
        </w:rPr>
        <w:t>proceso, de manera que, pese a la planeación previa y el cumplimiento de las disposiciones aplicables, es posible que sea necesario modificar el pliego de condiciones, como se explicará.</w:t>
      </w:r>
    </w:p>
    <w:p w14:paraId="12F522EB" w14:textId="77777777" w:rsidR="00A244A7" w:rsidRPr="008562FE" w:rsidRDefault="00A244A7" w:rsidP="00BD5109">
      <w:pPr>
        <w:widowControl w:val="0"/>
        <w:autoSpaceDE w:val="0"/>
        <w:autoSpaceDN w:val="0"/>
        <w:spacing w:after="120" w:line="276" w:lineRule="auto"/>
        <w:ind w:firstLine="709"/>
        <w:jc w:val="both"/>
        <w:rPr>
          <w:rFonts w:ascii="Verdana" w:eastAsia="Arial" w:hAnsi="Verdana" w:cs="Arial"/>
          <w:i/>
          <w:lang w:eastAsia="es-ES" w:bidi="es-ES"/>
        </w:rPr>
      </w:pPr>
      <w:r w:rsidRPr="009C3968">
        <w:rPr>
          <w:rFonts w:ascii="Verdana" w:eastAsia="Arial" w:hAnsi="Verdana" w:cs="Arial"/>
          <w:lang w:eastAsia="es-ES" w:bidi="es-ES"/>
        </w:rP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8562FE">
        <w:rPr>
          <w:rFonts w:ascii="Verdana" w:eastAsia="Arial" w:hAnsi="Verdana" w:cs="Arial"/>
          <w:i/>
          <w:iCs/>
          <w:lang w:eastAsia="es-ES" w:bidi="es-ES"/>
        </w:rPr>
        <w:t>adendas</w:t>
      </w:r>
      <w:r w:rsidRPr="008562FE">
        <w:rPr>
          <w:rFonts w:ascii="Verdana" w:eastAsia="Arial" w:hAnsi="Verdana" w:cs="Arial"/>
          <w:i/>
          <w:lang w:eastAsia="es-ES" w:bidi="es-ES"/>
        </w:rPr>
        <w:t xml:space="preserve">. </w:t>
      </w:r>
    </w:p>
    <w:p w14:paraId="6149418C" w14:textId="77777777" w:rsidR="00A244A7" w:rsidRPr="008562FE" w:rsidRDefault="00A244A7" w:rsidP="00BD5109">
      <w:pPr>
        <w:widowControl w:val="0"/>
        <w:autoSpaceDE w:val="0"/>
        <w:autoSpaceDN w:val="0"/>
        <w:spacing w:after="120" w:line="276" w:lineRule="auto"/>
        <w:ind w:firstLine="709"/>
        <w:jc w:val="both"/>
        <w:rPr>
          <w:rFonts w:ascii="Verdana" w:eastAsia="Arial" w:hAnsi="Verdana" w:cs="Arial"/>
          <w:lang w:eastAsia="es-ES" w:bidi="es-ES"/>
        </w:rPr>
      </w:pPr>
      <w:r w:rsidRPr="008562FE">
        <w:rPr>
          <w:rFonts w:ascii="Verdana" w:eastAsia="Arial" w:hAnsi="Verdana" w:cs="Arial"/>
          <w:iCs/>
          <w:lang w:eastAsia="es-ES" w:bidi="es-ES"/>
        </w:rPr>
        <w:t>No obstante,</w:t>
      </w:r>
      <w:r w:rsidRPr="008562FE">
        <w:rPr>
          <w:rFonts w:ascii="Verdana" w:eastAsia="Arial" w:hAnsi="Verdana" w:cs="Arial"/>
          <w:i/>
          <w:lang w:eastAsia="es-ES" w:bidi="es-ES"/>
        </w:rPr>
        <w:t xml:space="preserve"> </w:t>
      </w:r>
      <w:r w:rsidRPr="008562FE">
        <w:rPr>
          <w:rFonts w:ascii="Verdana" w:eastAsia="Arial" w:hAnsi="Verdana" w:cs="Arial"/>
          <w:lang w:eastAsia="es-ES" w:bidi="es-ES"/>
        </w:rPr>
        <w:t>como lo ha reconocido la jurisprudencia del Consejo de Estado, dichas modificaciones pueden realizarse por medio de cualquier otro documento que contenga</w:t>
      </w:r>
      <w:r w:rsidRPr="008562FE">
        <w:rPr>
          <w:rFonts w:ascii="Verdana" w:eastAsia="Arial" w:hAnsi="Verdana" w:cs="Arial"/>
          <w:spacing w:val="26"/>
          <w:lang w:eastAsia="es-ES" w:bidi="es-ES"/>
        </w:rPr>
        <w:t xml:space="preserve"> </w:t>
      </w:r>
      <w:r w:rsidRPr="008562FE">
        <w:rPr>
          <w:rFonts w:ascii="Verdana" w:eastAsia="Arial" w:hAnsi="Verdana" w:cs="Arial"/>
          <w:lang w:eastAsia="es-ES" w:bidi="es-ES"/>
        </w:rPr>
        <w:t>la</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manifestación</w:t>
      </w:r>
      <w:r w:rsidRPr="008562FE">
        <w:rPr>
          <w:rFonts w:ascii="Verdana" w:eastAsia="Arial" w:hAnsi="Verdana" w:cs="Arial"/>
          <w:spacing w:val="26"/>
          <w:lang w:eastAsia="es-ES" w:bidi="es-ES"/>
        </w:rPr>
        <w:t xml:space="preserve"> </w:t>
      </w:r>
      <w:r w:rsidRPr="008562FE">
        <w:rPr>
          <w:rFonts w:ascii="Verdana" w:eastAsia="Arial" w:hAnsi="Verdana" w:cs="Arial"/>
          <w:lang w:eastAsia="es-ES" w:bidi="es-ES"/>
        </w:rPr>
        <w:t>de</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voluntad</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de</w:t>
      </w:r>
      <w:r w:rsidRPr="008562FE">
        <w:rPr>
          <w:rFonts w:ascii="Verdana" w:eastAsia="Arial" w:hAnsi="Verdana" w:cs="Arial"/>
          <w:spacing w:val="26"/>
          <w:lang w:eastAsia="es-ES" w:bidi="es-ES"/>
        </w:rPr>
        <w:t xml:space="preserve"> </w:t>
      </w:r>
      <w:r w:rsidRPr="008562FE">
        <w:rPr>
          <w:rFonts w:ascii="Verdana" w:eastAsia="Arial" w:hAnsi="Verdana" w:cs="Arial"/>
          <w:lang w:eastAsia="es-ES" w:bidi="es-ES"/>
        </w:rPr>
        <w:t>la</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entidad</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de</w:t>
      </w:r>
      <w:r w:rsidRPr="008562FE">
        <w:rPr>
          <w:rFonts w:ascii="Verdana" w:eastAsia="Arial" w:hAnsi="Verdana" w:cs="Arial"/>
          <w:spacing w:val="26"/>
          <w:lang w:eastAsia="es-ES" w:bidi="es-ES"/>
        </w:rPr>
        <w:t xml:space="preserve"> </w:t>
      </w:r>
      <w:r w:rsidRPr="008562FE">
        <w:rPr>
          <w:rFonts w:ascii="Verdana" w:eastAsia="Arial" w:hAnsi="Verdana" w:cs="Arial"/>
          <w:lang w:eastAsia="es-ES" w:bidi="es-ES"/>
        </w:rPr>
        <w:t>aclarar,</w:t>
      </w:r>
      <w:r w:rsidRPr="008562FE">
        <w:rPr>
          <w:rFonts w:ascii="Verdana" w:eastAsia="Arial" w:hAnsi="Verdana" w:cs="Arial"/>
          <w:spacing w:val="25"/>
          <w:lang w:eastAsia="es-ES" w:bidi="es-ES"/>
        </w:rPr>
        <w:t xml:space="preserve"> </w:t>
      </w:r>
      <w:r w:rsidRPr="008562FE">
        <w:rPr>
          <w:rFonts w:ascii="Verdana" w:eastAsia="Arial" w:hAnsi="Verdana" w:cs="Arial"/>
          <w:lang w:eastAsia="es-ES" w:bidi="es-ES"/>
        </w:rPr>
        <w:t>añadir,</w:t>
      </w:r>
      <w:r w:rsidRPr="008562FE">
        <w:rPr>
          <w:rFonts w:ascii="Verdana" w:eastAsia="Arial" w:hAnsi="Verdana" w:cs="Arial"/>
          <w:spacing w:val="25"/>
          <w:lang w:eastAsia="es-ES" w:bidi="es-ES"/>
        </w:rPr>
        <w:t xml:space="preserve"> </w:t>
      </w:r>
      <w:r w:rsidRPr="008562FE">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8562FE">
        <w:rPr>
          <w:rFonts w:ascii="Verdana" w:eastAsia="Arial" w:hAnsi="Verdana" w:cs="Arial"/>
          <w:i/>
          <w:iCs/>
          <w:lang w:eastAsia="es-ES" w:bidi="es-ES"/>
        </w:rPr>
        <w:t xml:space="preserve">adenda, </w:t>
      </w:r>
      <w:r w:rsidRPr="008562FE">
        <w:rPr>
          <w:rFonts w:ascii="Verdana" w:eastAsia="Arial" w:hAnsi="Verdana" w:cs="Arial"/>
          <w:lang w:eastAsia="es-ES" w:bidi="es-ES"/>
        </w:rPr>
        <w:t>siempre que mediante dicho documento se modifiquen los pliegos de condiciones</w:t>
      </w:r>
      <w:r w:rsidRPr="008562FE">
        <w:rPr>
          <w:rFonts w:ascii="Verdana" w:eastAsia="Arial" w:hAnsi="Verdana" w:cs="Arial"/>
          <w:vertAlign w:val="superscript"/>
          <w:lang w:eastAsia="es-ES" w:bidi="es-ES"/>
        </w:rPr>
        <w:footnoteReference w:id="13"/>
      </w:r>
      <w:r w:rsidRPr="008562FE">
        <w:rPr>
          <w:rFonts w:ascii="Verdana" w:eastAsia="Arial" w:hAnsi="Verdana" w:cs="Arial"/>
          <w:lang w:eastAsia="es-ES" w:bidi="es-ES"/>
        </w:rPr>
        <w:t>.</w:t>
      </w:r>
    </w:p>
    <w:p w14:paraId="52649032" w14:textId="77777777" w:rsidR="00A244A7" w:rsidRPr="001924AE" w:rsidRDefault="00A244A7" w:rsidP="00BD5109">
      <w:pPr>
        <w:widowControl w:val="0"/>
        <w:autoSpaceDE w:val="0"/>
        <w:autoSpaceDN w:val="0"/>
        <w:spacing w:after="120" w:line="276" w:lineRule="auto"/>
        <w:ind w:firstLine="709"/>
        <w:jc w:val="both"/>
        <w:rPr>
          <w:rFonts w:ascii="Verdana" w:eastAsia="Arial" w:hAnsi="Verdana" w:cs="Arial"/>
          <w:lang w:eastAsia="es-ES" w:bidi="es-ES"/>
        </w:rPr>
      </w:pPr>
      <w:r w:rsidRPr="001924AE">
        <w:rPr>
          <w:rFonts w:ascii="Verdana" w:eastAsia="Arial" w:hAnsi="Verdana" w:cs="Arial"/>
          <w:lang w:eastAsia="es-ES" w:bidi="es-ES"/>
        </w:rPr>
        <w:t>De acuerdo con lo anterior, en relación con las adendas resulta necesario acudir al artículo 30, numeral 5, de la Ley 80 de 1993 –modificado por el artículo 89 de la Ley 1474 de 2011–, que dispone:</w:t>
      </w:r>
    </w:p>
    <w:p w14:paraId="76FC9D0F" w14:textId="77777777" w:rsidR="00A244A7" w:rsidRPr="001A2537" w:rsidRDefault="00A244A7" w:rsidP="00BD5109">
      <w:pPr>
        <w:widowControl w:val="0"/>
        <w:autoSpaceDE w:val="0"/>
        <w:autoSpaceDN w:val="0"/>
        <w:spacing w:after="120" w:line="276" w:lineRule="auto"/>
        <w:ind w:firstLine="709"/>
        <w:jc w:val="both"/>
        <w:rPr>
          <w:rFonts w:ascii="Verdana" w:eastAsia="Arial" w:hAnsi="Verdana" w:cs="Arial"/>
          <w:color w:val="7030A0"/>
          <w:lang w:eastAsia="es-ES" w:bidi="es-ES"/>
        </w:rPr>
      </w:pPr>
    </w:p>
    <w:p w14:paraId="542252EA" w14:textId="77777777" w:rsidR="00A244A7" w:rsidRPr="00BD5109" w:rsidRDefault="00A244A7" w:rsidP="00A244A7">
      <w:pPr>
        <w:widowControl w:val="0"/>
        <w:autoSpaceDE w:val="0"/>
        <w:autoSpaceDN w:val="0"/>
        <w:spacing w:after="0" w:line="240" w:lineRule="auto"/>
        <w:ind w:left="709" w:right="709"/>
        <w:jc w:val="both"/>
        <w:rPr>
          <w:rFonts w:ascii="Verdana" w:eastAsia="Arial" w:hAnsi="Verdana" w:cs="Arial"/>
          <w:sz w:val="21"/>
          <w:szCs w:val="21"/>
          <w:lang w:eastAsia="es-ES" w:bidi="es-ES"/>
        </w:rPr>
      </w:pPr>
      <w:r w:rsidRPr="00BD5109">
        <w:rPr>
          <w:rFonts w:ascii="Verdana" w:eastAsia="Arial" w:hAnsi="Verdana" w:cs="Arial"/>
          <w:sz w:val="21"/>
          <w:szCs w:val="21"/>
          <w:lang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43D3CE9F" w14:textId="77777777" w:rsidR="00A244A7" w:rsidRPr="00BD5109" w:rsidRDefault="00A244A7" w:rsidP="00A244A7">
      <w:pPr>
        <w:widowControl w:val="0"/>
        <w:autoSpaceDE w:val="0"/>
        <w:autoSpaceDN w:val="0"/>
        <w:spacing w:after="0" w:line="240" w:lineRule="auto"/>
        <w:ind w:left="709" w:right="709"/>
        <w:jc w:val="both"/>
        <w:rPr>
          <w:rFonts w:ascii="Verdana" w:eastAsia="Arial" w:hAnsi="Verdana" w:cs="Arial"/>
          <w:sz w:val="21"/>
          <w:szCs w:val="21"/>
          <w:lang w:eastAsia="es-ES" w:bidi="es-ES"/>
        </w:rPr>
      </w:pPr>
    </w:p>
    <w:p w14:paraId="2FAA8E04" w14:textId="77777777" w:rsidR="00A244A7" w:rsidRPr="00BD5109" w:rsidRDefault="00A244A7" w:rsidP="00A244A7">
      <w:pPr>
        <w:widowControl w:val="0"/>
        <w:autoSpaceDE w:val="0"/>
        <w:autoSpaceDN w:val="0"/>
        <w:spacing w:after="0" w:line="240" w:lineRule="auto"/>
        <w:ind w:left="709" w:right="709"/>
        <w:jc w:val="both"/>
        <w:rPr>
          <w:rFonts w:ascii="Verdana" w:eastAsia="Arial" w:hAnsi="Verdana" w:cs="Arial"/>
          <w:sz w:val="21"/>
          <w:szCs w:val="21"/>
          <w:lang w:eastAsia="es-ES" w:bidi="es-ES"/>
        </w:rPr>
      </w:pPr>
      <w:r w:rsidRPr="00BD5109">
        <w:rPr>
          <w:rFonts w:ascii="Verdana" w:eastAsia="Arial" w:hAnsi="Verdana" w:cs="Arial"/>
          <w:sz w:val="21"/>
          <w:szCs w:val="21"/>
          <w:lang w:eastAsia="es-ES" w:bidi="es-ES"/>
        </w:rPr>
        <w:t>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p>
    <w:p w14:paraId="3D170AA4" w14:textId="77777777" w:rsidR="00A244A7" w:rsidRPr="00BD5109" w:rsidRDefault="00A244A7" w:rsidP="00A244A7">
      <w:pPr>
        <w:widowControl w:val="0"/>
        <w:autoSpaceDE w:val="0"/>
        <w:autoSpaceDN w:val="0"/>
        <w:spacing w:after="0" w:line="276" w:lineRule="auto"/>
        <w:ind w:left="709" w:right="646"/>
        <w:jc w:val="both"/>
        <w:rPr>
          <w:rFonts w:ascii="Verdana" w:eastAsia="Arial" w:hAnsi="Verdana" w:cs="Arial"/>
          <w:sz w:val="21"/>
          <w:szCs w:val="21"/>
          <w:lang w:eastAsia="es-ES" w:bidi="es-ES"/>
        </w:rPr>
      </w:pPr>
    </w:p>
    <w:p w14:paraId="38001197" w14:textId="77777777" w:rsidR="00A244A7" w:rsidRDefault="00A244A7" w:rsidP="00A244A7">
      <w:pPr>
        <w:widowControl w:val="0"/>
        <w:autoSpaceDE w:val="0"/>
        <w:autoSpaceDN w:val="0"/>
        <w:spacing w:after="0" w:line="276" w:lineRule="auto"/>
        <w:ind w:firstLine="709"/>
        <w:jc w:val="both"/>
        <w:rPr>
          <w:rFonts w:ascii="Verdana" w:eastAsia="Arial" w:hAnsi="Verdana" w:cs="Arial"/>
          <w:lang w:eastAsia="es-ES" w:bidi="es-ES"/>
        </w:rPr>
      </w:pPr>
      <w:r w:rsidRPr="0001154C">
        <w:rPr>
          <w:rFonts w:ascii="Verdana" w:eastAsia="Arial" w:hAnsi="Verdana" w:cs="Arial"/>
          <w:lang w:eastAsia="es-ES" w:bidi="es-ES"/>
        </w:rPr>
        <w:t>En armonía con la disposición anterior, el artículo 2.2.1.1.2.2.1. del Decreto 1082 de 2015, establece lo siguiente</w:t>
      </w:r>
      <w:r>
        <w:rPr>
          <w:rFonts w:ascii="Verdana" w:eastAsia="Arial" w:hAnsi="Verdana" w:cs="Arial"/>
          <w:lang w:eastAsia="es-ES" w:bidi="es-ES"/>
        </w:rPr>
        <w:t>:</w:t>
      </w:r>
    </w:p>
    <w:p w14:paraId="75AFA9CA" w14:textId="77777777" w:rsidR="00A244A7" w:rsidRPr="0001154C" w:rsidRDefault="00A244A7" w:rsidP="00A244A7">
      <w:pPr>
        <w:widowControl w:val="0"/>
        <w:autoSpaceDE w:val="0"/>
        <w:autoSpaceDN w:val="0"/>
        <w:spacing w:after="0" w:line="276" w:lineRule="auto"/>
        <w:ind w:firstLine="709"/>
        <w:jc w:val="both"/>
        <w:rPr>
          <w:rFonts w:ascii="Verdana" w:eastAsia="Arial" w:hAnsi="Verdana" w:cs="Arial"/>
          <w:lang w:eastAsia="es-ES" w:bidi="es-ES"/>
        </w:rPr>
      </w:pPr>
    </w:p>
    <w:p w14:paraId="6F11A5B6" w14:textId="77777777" w:rsidR="00A244A7" w:rsidRPr="00BD5109" w:rsidRDefault="00A244A7" w:rsidP="00A244A7">
      <w:pPr>
        <w:spacing w:after="0" w:line="240" w:lineRule="auto"/>
        <w:ind w:left="709" w:right="709"/>
        <w:jc w:val="both"/>
        <w:textAlignment w:val="baseline"/>
        <w:rPr>
          <w:rFonts w:ascii="Verdana" w:eastAsia="Calibri" w:hAnsi="Verdana" w:cs="Arial"/>
          <w:sz w:val="21"/>
          <w:szCs w:val="21"/>
        </w:rPr>
      </w:pPr>
      <w:r w:rsidRPr="00BD5109">
        <w:rPr>
          <w:rFonts w:ascii="Verdana" w:eastAsia="Calibri" w:hAnsi="Verdana" w:cs="Arial"/>
          <w:sz w:val="21"/>
          <w:szCs w:val="21"/>
        </w:rPr>
        <w:t>“Artículo 2.2.1.1.2.2.1. Modificación de los pliegos de condiciones. La Entidad Estatal puede modificar los pliegos de condiciones a través de Adendas expedidas antes del vencimiento del plazo para presentar ofertas.  </w:t>
      </w:r>
    </w:p>
    <w:p w14:paraId="130F36B9" w14:textId="77777777" w:rsidR="00A244A7" w:rsidRPr="00BD5109" w:rsidRDefault="00A244A7" w:rsidP="00A244A7">
      <w:pPr>
        <w:spacing w:after="0" w:line="240" w:lineRule="auto"/>
        <w:ind w:left="709" w:right="709"/>
        <w:jc w:val="both"/>
        <w:textAlignment w:val="baseline"/>
        <w:rPr>
          <w:rFonts w:ascii="Verdana" w:eastAsia="Calibri" w:hAnsi="Verdana" w:cs="Arial"/>
          <w:sz w:val="21"/>
          <w:szCs w:val="21"/>
        </w:rPr>
      </w:pPr>
    </w:p>
    <w:p w14:paraId="49B31792" w14:textId="77777777" w:rsidR="00A244A7" w:rsidRPr="00BD5109" w:rsidRDefault="00A244A7" w:rsidP="00A244A7">
      <w:pPr>
        <w:spacing w:after="0" w:line="240" w:lineRule="auto"/>
        <w:ind w:left="709" w:right="709"/>
        <w:jc w:val="both"/>
        <w:textAlignment w:val="baseline"/>
        <w:rPr>
          <w:rFonts w:ascii="Verdana" w:eastAsia="Calibri" w:hAnsi="Verdana" w:cs="Arial"/>
          <w:sz w:val="21"/>
          <w:szCs w:val="21"/>
        </w:rPr>
      </w:pPr>
      <w:r w:rsidRPr="00BD5109">
        <w:rPr>
          <w:rFonts w:ascii="Verdana" w:eastAsia="Calibri" w:hAnsi="Verdana" w:cs="Arial"/>
          <w:sz w:val="21"/>
          <w:szCs w:val="21"/>
        </w:rPr>
        <w:t>La Entidad Estatal puede expedir Adendas para modificar el Cronograma una vez vencido el término para la presentación de las ofertas y antes de la adjudicación del contrato. </w:t>
      </w:r>
    </w:p>
    <w:p w14:paraId="769C1700" w14:textId="77777777" w:rsidR="00A244A7" w:rsidRPr="00BD5109" w:rsidRDefault="00A244A7" w:rsidP="00A244A7">
      <w:pPr>
        <w:spacing w:after="0" w:line="240" w:lineRule="auto"/>
        <w:ind w:left="709" w:right="709"/>
        <w:jc w:val="both"/>
        <w:textAlignment w:val="baseline"/>
        <w:rPr>
          <w:rFonts w:ascii="Verdana" w:eastAsia="Calibri" w:hAnsi="Verdana" w:cs="Arial"/>
          <w:sz w:val="21"/>
          <w:szCs w:val="21"/>
        </w:rPr>
      </w:pPr>
    </w:p>
    <w:p w14:paraId="5D2B4878" w14:textId="77777777" w:rsidR="00A244A7" w:rsidRPr="00BD5109" w:rsidRDefault="00A244A7" w:rsidP="00A244A7">
      <w:pPr>
        <w:spacing w:after="0" w:line="240" w:lineRule="auto"/>
        <w:ind w:left="709" w:right="709"/>
        <w:jc w:val="both"/>
        <w:textAlignment w:val="baseline"/>
        <w:rPr>
          <w:rFonts w:ascii="Verdana" w:eastAsia="Calibri" w:hAnsi="Verdana" w:cs="Arial"/>
          <w:sz w:val="21"/>
          <w:szCs w:val="21"/>
        </w:rPr>
      </w:pPr>
      <w:r w:rsidRPr="00BD5109">
        <w:rPr>
          <w:rFonts w:ascii="Verdana" w:eastAsia="Calibri" w:hAnsi="Verdana" w:cs="Arial"/>
          <w:i/>
          <w:iCs/>
          <w:sz w:val="21"/>
          <w:szCs w:val="21"/>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Pr="00BD5109">
        <w:rPr>
          <w:rFonts w:ascii="Verdana" w:eastAsia="Calibri" w:hAnsi="Verdana" w:cs="Arial"/>
          <w:sz w:val="21"/>
          <w:szCs w:val="21"/>
        </w:rPr>
        <w:t xml:space="preserve"> (Cursiva fuera del original)”.</w:t>
      </w:r>
    </w:p>
    <w:p w14:paraId="60880BF8" w14:textId="77777777" w:rsidR="00A244A7" w:rsidRPr="00D574F2" w:rsidRDefault="00A244A7" w:rsidP="00A244A7">
      <w:pPr>
        <w:spacing w:after="0" w:line="240" w:lineRule="auto"/>
        <w:ind w:left="709" w:right="709"/>
        <w:jc w:val="both"/>
        <w:textAlignment w:val="baseline"/>
        <w:rPr>
          <w:rFonts w:ascii="Verdana" w:eastAsia="Calibri" w:hAnsi="Verdana" w:cs="Arial"/>
          <w:color w:val="7030A0"/>
          <w:sz w:val="20"/>
          <w:szCs w:val="20"/>
        </w:rPr>
      </w:pPr>
      <w:r w:rsidRPr="00D574F2">
        <w:rPr>
          <w:rFonts w:ascii="Verdana" w:eastAsia="Calibri" w:hAnsi="Verdana"/>
          <w:color w:val="7030A0"/>
          <w:sz w:val="20"/>
          <w:szCs w:val="20"/>
        </w:rPr>
        <w:t> </w:t>
      </w:r>
    </w:p>
    <w:p w14:paraId="5E4003E8" w14:textId="77777777" w:rsidR="00A244A7" w:rsidRPr="00BD5109" w:rsidRDefault="00A244A7" w:rsidP="00BD5109">
      <w:pPr>
        <w:spacing w:after="120" w:line="276" w:lineRule="auto"/>
        <w:ind w:firstLine="709"/>
        <w:jc w:val="both"/>
        <w:rPr>
          <w:rFonts w:ascii="Verdana" w:eastAsia="Calibri" w:hAnsi="Verdana" w:cs="Arial"/>
        </w:rPr>
      </w:pPr>
      <w:r w:rsidRPr="00BD5109">
        <w:rPr>
          <w:rFonts w:ascii="Verdana" w:eastAsia="Calibri" w:hAnsi="Verdana" w:cs="Arial"/>
        </w:rPr>
        <w:t xml:space="preserve">La interpretación de esta norma supone diferenciar entre dos (2) tipos de ajustes que pueden dar lugar a la expedición de </w:t>
      </w:r>
      <w:bookmarkStart w:id="2" w:name="_Hlk113271930"/>
      <w:r w:rsidRPr="00BD5109">
        <w:rPr>
          <w:rFonts w:ascii="Verdana" w:eastAsia="Calibri" w:hAnsi="Verdana" w:cs="Arial"/>
        </w:rPr>
        <w:t>adendas: i) los referidos a las condiciones técnicas, jurídicas y económicas del pliego definitivo</w:t>
      </w:r>
      <w:bookmarkEnd w:id="2"/>
      <w:r w:rsidRPr="00BD5109">
        <w:rPr>
          <w:rFonts w:ascii="Verdana" w:eastAsia="Calibri" w:hAnsi="Verdana" w:cs="Arial"/>
        </w:rPr>
        <w:t xml:space="preserve"> y, en general, a cualquier contenido distinto del cronograma del procedimiento de selección y </w:t>
      </w:r>
      <w:proofErr w:type="spellStart"/>
      <w:r w:rsidRPr="00BD5109">
        <w:rPr>
          <w:rFonts w:ascii="Verdana" w:eastAsia="Calibri" w:hAnsi="Verdana" w:cs="Arial"/>
        </w:rPr>
        <w:t>ii</w:t>
      </w:r>
      <w:proofErr w:type="spellEnd"/>
      <w:r w:rsidRPr="00BD5109">
        <w:rPr>
          <w:rFonts w:ascii="Verdana" w:eastAsia="Calibri" w:hAnsi="Verdana" w:cs="Arial"/>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w:t>
      </w:r>
      <w:r w:rsidRPr="00BD5109">
        <w:rPr>
          <w:rStyle w:val="Refdenotaalpie"/>
          <w:rFonts w:ascii="Verdana" w:eastAsia="Calibri" w:hAnsi="Verdana" w:cs="Arial"/>
        </w:rPr>
        <w:footnoteReference w:id="14"/>
      </w:r>
      <w:r w:rsidRPr="00BD5109">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2.2.1.1.2.2.1. </w:t>
      </w:r>
      <w:proofErr w:type="spellStart"/>
      <w:r w:rsidRPr="00BD5109">
        <w:rPr>
          <w:rFonts w:ascii="Verdana" w:eastAsia="Calibri" w:hAnsi="Verdana" w:cs="Arial"/>
          <w:i/>
          <w:iCs/>
        </w:rPr>
        <w:t>ejusdem</w:t>
      </w:r>
      <w:proofErr w:type="spellEnd"/>
      <w:r w:rsidRPr="00BD5109">
        <w:rPr>
          <w:rFonts w:ascii="Verdana" w:eastAsia="Calibri" w:hAnsi="Verdana" w:cs="Arial"/>
        </w:rPr>
        <w:t>.</w:t>
      </w:r>
    </w:p>
    <w:p w14:paraId="58E2BAD0" w14:textId="77777777" w:rsidR="00A244A7" w:rsidRPr="00BD5109" w:rsidRDefault="00A244A7" w:rsidP="00BD5109">
      <w:pPr>
        <w:spacing w:after="120" w:line="276" w:lineRule="auto"/>
        <w:ind w:firstLine="709"/>
        <w:jc w:val="both"/>
        <w:textAlignment w:val="baseline"/>
        <w:rPr>
          <w:rFonts w:ascii="Verdana" w:hAnsi="Verdana" w:cs="Arial"/>
          <w:lang w:eastAsia="es-CO"/>
        </w:rPr>
      </w:pPr>
      <w:r w:rsidRPr="00BD5109">
        <w:rPr>
          <w:rFonts w:ascii="Verdana" w:hAnsi="Verdana" w:cs="Arial"/>
          <w:lang w:eastAsia="es-CO"/>
        </w:rPr>
        <w:t xml:space="preserve">Como se observa, tanto para la licitación pública, como para los demás procedimientos de selección de contratistas, las normas legales y reglamentarias prevén la posibilidad de modificar los pliegos de condiciones mediante </w:t>
      </w:r>
      <w:r w:rsidRPr="00BD5109">
        <w:rPr>
          <w:rFonts w:ascii="Verdana" w:hAnsi="Verdana" w:cs="Arial"/>
          <w:i/>
          <w:iCs/>
          <w:lang w:eastAsia="es-CO"/>
        </w:rPr>
        <w:t>adendas</w:t>
      </w:r>
      <w:r w:rsidRPr="00BD5109">
        <w:rPr>
          <w:rFonts w:ascii="Verdana" w:hAnsi="Verdana" w:cs="Arial"/>
          <w:lang w:eastAsia="es-CO"/>
        </w:rPr>
        <w:t>.</w:t>
      </w:r>
      <w:bookmarkStart w:id="3" w:name="_Hlk113273292"/>
      <w:r w:rsidRPr="00BD5109">
        <w:rPr>
          <w:rFonts w:ascii="Verdana" w:hAnsi="Verdana" w:cs="Arial"/>
          <w:lang w:eastAsia="es-CO"/>
        </w:rPr>
        <w:t xml:space="preserve"> Sin embargo, respecto de las adendas proferidas antes del cierre del proceso, es claro que existen ciertos límites temporales para la expedición y publicación de las adendas. En primer lugar, es necesario que las mismas se publiquen entre las 7:00 am y las 7:00 pm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que deriva directamente del artículo 30-5 de la Ley 80 de 1993, y se reitera en la norma citada del Decreto 1082 de 2015, para la licitación pública, donde las adendas </w:t>
      </w:r>
      <w:r w:rsidRPr="00BD5109">
        <w:rPr>
          <w:rFonts w:ascii="Verdana" w:eastAsia="Arial" w:hAnsi="Verdana" w:cs="Arial"/>
          <w:lang w:eastAsia="es-ES" w:bidi="es-ES"/>
        </w:rPr>
        <w:t>no podrán expedirse dentro de los tres (3) días hábiles anteriores en que se tiene previsto el cierre del proceso de selección, sino que deberán expedirse antes de dicho momento.</w:t>
      </w:r>
      <w:r w:rsidRPr="00BD5109">
        <w:rPr>
          <w:rFonts w:ascii="Verdana" w:hAnsi="Verdana" w:cs="Arial"/>
          <w:lang w:eastAsia="es-CO"/>
        </w:rPr>
        <w:t xml:space="preserve"> </w:t>
      </w:r>
    </w:p>
    <w:bookmarkEnd w:id="3"/>
    <w:p w14:paraId="0D25AE1C" w14:textId="77777777" w:rsidR="00A244A7" w:rsidRPr="00BD5109" w:rsidRDefault="00A244A7" w:rsidP="00BD5109">
      <w:pPr>
        <w:spacing w:after="120" w:line="276" w:lineRule="auto"/>
        <w:ind w:firstLine="709"/>
        <w:jc w:val="both"/>
        <w:textAlignment w:val="baseline"/>
        <w:rPr>
          <w:rFonts w:ascii="Verdana" w:hAnsi="Verdana" w:cs="Arial"/>
          <w:lang w:eastAsia="es-CO"/>
        </w:rPr>
      </w:pPr>
      <w:r w:rsidRPr="00BD5109">
        <w:rPr>
          <w:rFonts w:ascii="Verdana" w:hAnsi="Verdana" w:cs="Arial"/>
          <w:lang w:eastAsia="es-CO"/>
        </w:rPr>
        <w:t xml:space="preserve">En ese orden de ideas, las normas prevén dos límites temporales para la publicación de las adendas, antes del cierre del proceso de selección: i) tres (3) días hábiles antes del vencimiento del plazo para presentar ofertas para la licitación pública y </w:t>
      </w:r>
      <w:proofErr w:type="spellStart"/>
      <w:r w:rsidRPr="00BD5109">
        <w:rPr>
          <w:rFonts w:ascii="Verdana" w:hAnsi="Verdana" w:cs="Arial"/>
          <w:lang w:eastAsia="es-CO"/>
        </w:rPr>
        <w:t>ii</w:t>
      </w:r>
      <w:proofErr w:type="spellEnd"/>
      <w:r w:rsidRPr="00BD5109">
        <w:rPr>
          <w:rFonts w:ascii="Verdana" w:hAnsi="Verdana" w:cs="Arial"/>
          <w:lang w:eastAsia="es-CO"/>
        </w:rPr>
        <w:t xml:space="preserve">) un día hábil antes del vencimiento del plazo para presentar ofertas para las demás modalidades de selección.  </w:t>
      </w:r>
    </w:p>
    <w:p w14:paraId="799514E7" w14:textId="77777777" w:rsidR="00A244A7" w:rsidRPr="00BD5109" w:rsidRDefault="00A244A7" w:rsidP="00BD5109">
      <w:pPr>
        <w:spacing w:after="120" w:line="276" w:lineRule="auto"/>
        <w:ind w:firstLine="709"/>
        <w:jc w:val="both"/>
        <w:textAlignment w:val="baseline"/>
        <w:rPr>
          <w:rFonts w:ascii="Verdana" w:hAnsi="Verdana" w:cs="Arial"/>
          <w:lang w:eastAsia="es-CO"/>
        </w:rPr>
      </w:pPr>
      <w:r w:rsidRPr="00BD5109">
        <w:rPr>
          <w:rFonts w:ascii="Verdana" w:hAnsi="Verdana" w:cs="Arial"/>
          <w:lang w:eastAsia="es-CO"/>
        </w:rPr>
        <w:t>En efecto, el marco normativo vigente establece plazos perentorios para la modificación del pliego de condiciones mediante adendas, como expresión concreta de los principios de planeación, publicidad y libre concurrencia. De manera que el desconocimiento de dichos plazos, incluso cuando obedezca a razones operativas o de buena fe, puede comprometer la igualdad de oportunidades entre los oferentes y afectar la adecuada preparación de las ofertas, lo que se traduce en una afectación a la eficiencia del proceso (principio de economía) y a su integridad procedimental (principio de transparencia).</w:t>
      </w:r>
    </w:p>
    <w:p w14:paraId="674FCC9D" w14:textId="77777777" w:rsidR="00A244A7" w:rsidRPr="00BD5109" w:rsidRDefault="00A244A7" w:rsidP="00BD5109">
      <w:pPr>
        <w:spacing w:after="120" w:line="276" w:lineRule="auto"/>
        <w:ind w:firstLine="709"/>
        <w:jc w:val="both"/>
        <w:textAlignment w:val="baseline"/>
        <w:rPr>
          <w:rFonts w:ascii="Verdana" w:hAnsi="Verdana" w:cs="Arial"/>
          <w:lang w:eastAsia="es-CO"/>
        </w:rPr>
      </w:pPr>
    </w:p>
    <w:p w14:paraId="7B69960C" w14:textId="77777777" w:rsidR="00A244A7" w:rsidRPr="00BD5109" w:rsidRDefault="00A244A7" w:rsidP="00BD5109">
      <w:pPr>
        <w:spacing w:after="120" w:line="276" w:lineRule="auto"/>
        <w:ind w:firstLine="709"/>
        <w:jc w:val="both"/>
        <w:rPr>
          <w:rFonts w:ascii="Verdana" w:hAnsi="Verdana" w:cs="Arial"/>
          <w:color w:val="000000" w:themeColor="text1"/>
          <w:lang w:val="es-ES_tradnl"/>
        </w:rPr>
      </w:pPr>
      <w:r w:rsidRPr="00BD5109">
        <w:rPr>
          <w:rFonts w:ascii="Verdana" w:eastAsia="Arial" w:hAnsi="Verdana" w:cs="Arial"/>
        </w:rPr>
        <w:t xml:space="preserve">Iii, Al margen de lo anterior, debe advertirse que el análisis sobre la subsanación de las ofertas y la expedición de adendas al interior de los procedimientos de selección debe ser realizado por quienes tengan interés en ello, de acuerdo con lo explicado en 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1CAE4399" w14:textId="77777777" w:rsidR="00A244A7" w:rsidRPr="00BD5109" w:rsidRDefault="00A244A7" w:rsidP="00BD5109">
      <w:pPr>
        <w:spacing w:after="120" w:line="276" w:lineRule="auto"/>
        <w:ind w:firstLine="709"/>
        <w:jc w:val="both"/>
        <w:rPr>
          <w:rFonts w:ascii="Verdana" w:eastAsia="Arial" w:hAnsi="Verdana" w:cs="Arial"/>
          <w:bCs/>
        </w:rPr>
      </w:pPr>
      <w:r w:rsidRPr="00BD5109">
        <w:rPr>
          <w:rFonts w:ascii="Verdana" w:eastAsia="Arial" w:hAnsi="Verdana" w:cs="Arial"/>
          <w:bCs/>
        </w:rPr>
        <w:t>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de la Entidad Pública.</w:t>
      </w:r>
    </w:p>
    <w:p w14:paraId="6463F429" w14:textId="77777777" w:rsidR="00A244A7" w:rsidRPr="00BD5109" w:rsidRDefault="00A244A7" w:rsidP="00BD5109">
      <w:pPr>
        <w:widowControl w:val="0"/>
        <w:autoSpaceDE w:val="0"/>
        <w:autoSpaceDN w:val="0"/>
        <w:spacing w:after="120" w:line="276" w:lineRule="auto"/>
        <w:ind w:firstLine="709"/>
        <w:jc w:val="both"/>
        <w:rPr>
          <w:rFonts w:ascii="Verdana" w:eastAsia="Calibri" w:hAnsi="Verdana" w:cs="Arial"/>
        </w:rPr>
      </w:pPr>
    </w:p>
    <w:p w14:paraId="699AAFD8" w14:textId="77777777" w:rsidR="00A244A7" w:rsidRPr="00B10A68" w:rsidRDefault="00A244A7" w:rsidP="00A244A7">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Referencias normativas, jurisprudenciales y otras fuentes:</w:t>
      </w:r>
    </w:p>
    <w:p w14:paraId="6E58E156" w14:textId="77777777" w:rsidR="00A244A7" w:rsidRPr="00B10A68" w:rsidRDefault="00A244A7" w:rsidP="00A244A7">
      <w:pPr>
        <w:widowControl w:val="0"/>
        <w:autoSpaceDE w:val="0"/>
        <w:autoSpaceDN w:val="0"/>
        <w:spacing w:after="0" w:line="276" w:lineRule="auto"/>
        <w:jc w:val="both"/>
        <w:rPr>
          <w:rFonts w:ascii="Verdana" w:eastAsia="Calibri"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244A7" w:rsidRPr="00B10A68" w14:paraId="38FF7E4F" w14:textId="77777777" w:rsidTr="00996205">
        <w:trPr>
          <w:trHeight w:val="870"/>
        </w:trPr>
        <w:tc>
          <w:tcPr>
            <w:tcW w:w="8647" w:type="dxa"/>
            <w:tcBorders>
              <w:top w:val="dotted" w:sz="4" w:space="0" w:color="auto"/>
              <w:left w:val="dotted" w:sz="4" w:space="0" w:color="auto"/>
              <w:bottom w:val="dotted" w:sz="4" w:space="0" w:color="auto"/>
              <w:right w:val="dotted" w:sz="4" w:space="0" w:color="auto"/>
            </w:tcBorders>
            <w:hideMark/>
          </w:tcPr>
          <w:p w14:paraId="62C98159" w14:textId="77777777" w:rsidR="00A244A7" w:rsidRPr="00A73656" w:rsidRDefault="00A244A7" w:rsidP="00A244A7">
            <w:pPr>
              <w:numPr>
                <w:ilvl w:val="0"/>
                <w:numId w:val="16"/>
              </w:numPr>
              <w:spacing w:line="276" w:lineRule="auto"/>
              <w:jc w:val="both"/>
              <w:rPr>
                <w:rFonts w:ascii="Verdana" w:hAnsi="Verdana" w:cs="Arial"/>
                <w:color w:val="000000"/>
                <w:lang w:eastAsia="es-ES"/>
              </w:rPr>
            </w:pPr>
            <w:r w:rsidRPr="00A73656">
              <w:rPr>
                <w:rFonts w:ascii="Verdana" w:hAnsi="Verdana" w:cs="Arial"/>
                <w:color w:val="000000"/>
                <w:lang w:val="es-ES_tradnl"/>
              </w:rPr>
              <w:t>Ley 80 de 1993, artículos 24.5 literal b)</w:t>
            </w:r>
            <w:r>
              <w:rPr>
                <w:rFonts w:ascii="Verdana" w:hAnsi="Verdana" w:cs="Arial"/>
                <w:color w:val="000000"/>
                <w:lang w:val="es-ES_tradnl"/>
              </w:rPr>
              <w:t>, 25</w:t>
            </w:r>
            <w:r w:rsidRPr="00A73656">
              <w:rPr>
                <w:rFonts w:ascii="Verdana" w:hAnsi="Verdana" w:cs="Arial"/>
                <w:color w:val="000000"/>
                <w:lang w:val="es-ES_tradnl"/>
              </w:rPr>
              <w:t xml:space="preserve"> y 30.8</w:t>
            </w:r>
          </w:p>
          <w:p w14:paraId="67741CC1" w14:textId="77777777" w:rsidR="00A244A7" w:rsidRPr="00A73656" w:rsidRDefault="00A244A7" w:rsidP="00A244A7">
            <w:pPr>
              <w:numPr>
                <w:ilvl w:val="0"/>
                <w:numId w:val="16"/>
              </w:numPr>
              <w:spacing w:line="276" w:lineRule="auto"/>
              <w:jc w:val="both"/>
              <w:rPr>
                <w:rFonts w:ascii="Verdana" w:hAnsi="Verdana" w:cs="Arial"/>
                <w:color w:val="000000"/>
                <w:lang w:eastAsia="es-ES"/>
              </w:rPr>
            </w:pPr>
            <w:r w:rsidRPr="00A73656">
              <w:rPr>
                <w:rFonts w:ascii="Verdana" w:hAnsi="Verdana" w:cs="Arial"/>
                <w:color w:val="000000"/>
                <w:lang w:eastAsia="es-ES"/>
              </w:rPr>
              <w:t xml:space="preserve">Ley 1150 de 2007, </w:t>
            </w:r>
            <w:r w:rsidRPr="00A73656">
              <w:rPr>
                <w:rFonts w:ascii="Verdana" w:hAnsi="Verdana" w:cs="Arial"/>
                <w:color w:val="000000" w:themeColor="text1"/>
              </w:rPr>
              <w:t>artículo 5, parágrafo 1, 3 y 4 y 6.</w:t>
            </w:r>
          </w:p>
          <w:p w14:paraId="6C8007C1" w14:textId="77777777" w:rsidR="00A244A7" w:rsidRPr="00A73656" w:rsidRDefault="00A244A7" w:rsidP="00A244A7">
            <w:pPr>
              <w:numPr>
                <w:ilvl w:val="0"/>
                <w:numId w:val="16"/>
              </w:numPr>
              <w:spacing w:line="276" w:lineRule="auto"/>
              <w:jc w:val="both"/>
              <w:rPr>
                <w:rFonts w:ascii="Verdana" w:hAnsi="Verdana" w:cs="Arial"/>
                <w:shd w:val="clear" w:color="auto" w:fill="FFFFFF"/>
              </w:rPr>
            </w:pPr>
            <w:r w:rsidRPr="00A73656">
              <w:rPr>
                <w:rFonts w:ascii="Verdana" w:hAnsi="Verdana" w:cs="Arial"/>
                <w:color w:val="000000"/>
              </w:rPr>
              <w:t>Ley 1882 de 2018, artículo 5.</w:t>
            </w:r>
          </w:p>
          <w:p w14:paraId="06B669AF" w14:textId="77777777" w:rsidR="00A244A7" w:rsidRPr="00A73656" w:rsidRDefault="00A244A7" w:rsidP="00A244A7">
            <w:pPr>
              <w:numPr>
                <w:ilvl w:val="0"/>
                <w:numId w:val="16"/>
              </w:numPr>
              <w:spacing w:line="276" w:lineRule="auto"/>
              <w:jc w:val="both"/>
              <w:rPr>
                <w:rFonts w:ascii="Verdana" w:hAnsi="Verdana" w:cs="Arial"/>
                <w:color w:val="000000"/>
                <w:lang w:eastAsia="es-ES"/>
              </w:rPr>
            </w:pPr>
            <w:r w:rsidRPr="00A73656">
              <w:rPr>
                <w:rFonts w:ascii="Verdana" w:hAnsi="Verdana" w:cs="Arial"/>
                <w:color w:val="000000"/>
                <w:lang w:eastAsia="es-ES"/>
              </w:rPr>
              <w:t>Decreto 1082 de 2015, artículo 2.2.1.1.2.1.3. numeral 6</w:t>
            </w:r>
            <w:r>
              <w:rPr>
                <w:rFonts w:ascii="Verdana" w:hAnsi="Verdana" w:cs="Arial"/>
                <w:color w:val="000000"/>
                <w:lang w:eastAsia="es-ES"/>
              </w:rPr>
              <w:t xml:space="preserve"> y </w:t>
            </w:r>
            <w:r w:rsidRPr="007E1F7D">
              <w:rPr>
                <w:rFonts w:ascii="Verdana" w:hAnsi="Verdana" w:cs="Arial"/>
                <w:color w:val="000000"/>
                <w:lang w:eastAsia="es-ES"/>
              </w:rPr>
              <w:t>2.2.1.1.2.2.1.</w:t>
            </w:r>
          </w:p>
          <w:p w14:paraId="1F0107B6" w14:textId="77777777" w:rsidR="00A244A7" w:rsidRPr="00A73656" w:rsidRDefault="00A244A7" w:rsidP="00A244A7">
            <w:pPr>
              <w:widowControl w:val="0"/>
              <w:numPr>
                <w:ilvl w:val="0"/>
                <w:numId w:val="16"/>
              </w:numPr>
              <w:autoSpaceDE w:val="0"/>
              <w:autoSpaceDN w:val="0"/>
              <w:spacing w:line="276" w:lineRule="auto"/>
              <w:contextualSpacing/>
              <w:jc w:val="both"/>
              <w:rPr>
                <w:rFonts w:ascii="Verdana" w:hAnsi="Verdana" w:cs="Arial"/>
                <w:lang w:val="es-ES"/>
              </w:rPr>
            </w:pPr>
            <w:r w:rsidRPr="00A73656">
              <w:rPr>
                <w:rFonts w:ascii="Verdana" w:hAnsi="Verdana" w:cs="Arial"/>
                <w:lang w:val="es-ES"/>
              </w:rPr>
              <w:t>Corte Constitucional. Sentencia C-128 de 2003. M.P. Álvaro Tafur Galvis.</w:t>
            </w:r>
          </w:p>
          <w:p w14:paraId="0591A03F" w14:textId="77777777" w:rsidR="00A244A7" w:rsidRPr="00A73656" w:rsidRDefault="00A244A7" w:rsidP="00A244A7">
            <w:pPr>
              <w:widowControl w:val="0"/>
              <w:numPr>
                <w:ilvl w:val="0"/>
                <w:numId w:val="16"/>
              </w:numPr>
              <w:tabs>
                <w:tab w:val="left" w:pos="8419"/>
              </w:tabs>
              <w:autoSpaceDE w:val="0"/>
              <w:autoSpaceDN w:val="0"/>
              <w:spacing w:line="276" w:lineRule="auto"/>
              <w:contextualSpacing/>
              <w:jc w:val="both"/>
              <w:rPr>
                <w:rFonts w:ascii="Verdana" w:hAnsi="Verdana" w:cs="Arial"/>
                <w:lang w:val="pt-BR"/>
              </w:rPr>
            </w:pPr>
            <w:r w:rsidRPr="00A73656">
              <w:rPr>
                <w:rFonts w:ascii="Verdana" w:hAnsi="Verdana" w:cs="Arial"/>
                <w:lang w:val="pt-BR"/>
              </w:rPr>
              <w:t xml:space="preserve">Corte Constitucional. Sentencia C-569 de 2004. M.P. Rodrigo </w:t>
            </w:r>
            <w:proofErr w:type="spellStart"/>
            <w:r w:rsidRPr="00A73656">
              <w:rPr>
                <w:rFonts w:ascii="Verdana" w:hAnsi="Verdana" w:cs="Arial"/>
                <w:lang w:val="pt-BR"/>
              </w:rPr>
              <w:t>Uprimny</w:t>
            </w:r>
            <w:proofErr w:type="spellEnd"/>
            <w:r w:rsidRPr="00A73656">
              <w:rPr>
                <w:rFonts w:ascii="Verdana" w:hAnsi="Verdana" w:cs="Arial"/>
                <w:lang w:val="pt-BR"/>
              </w:rPr>
              <w:t xml:space="preserve"> Yepes.</w:t>
            </w:r>
          </w:p>
          <w:p w14:paraId="3EBD3D2B" w14:textId="77777777" w:rsidR="00A244A7" w:rsidRDefault="00A244A7" w:rsidP="00A244A7">
            <w:pPr>
              <w:widowControl w:val="0"/>
              <w:numPr>
                <w:ilvl w:val="0"/>
                <w:numId w:val="16"/>
              </w:numPr>
              <w:tabs>
                <w:tab w:val="left" w:pos="8419"/>
              </w:tabs>
              <w:autoSpaceDE w:val="0"/>
              <w:autoSpaceDN w:val="0"/>
              <w:spacing w:line="276" w:lineRule="auto"/>
              <w:contextualSpacing/>
              <w:jc w:val="both"/>
              <w:rPr>
                <w:rFonts w:ascii="Verdana" w:hAnsi="Verdana" w:cs="Arial"/>
                <w:lang w:val="es-ES"/>
              </w:rPr>
            </w:pPr>
            <w:r w:rsidRPr="00A73656">
              <w:rPr>
                <w:rFonts w:ascii="Verdana" w:hAnsi="Verdana" w:cs="Arial"/>
                <w:lang w:val="es-ES"/>
              </w:rPr>
              <w:t>Consejo de Estado. Sección Tercera. Providencias del 11 de diciembre de 2002, dictada dentro del expediente AG-1683, y del 18 de octubre de 2001, proferida dentro del plenario AG-021.</w:t>
            </w:r>
          </w:p>
          <w:p w14:paraId="7CE081DE" w14:textId="77777777" w:rsidR="00A244A7" w:rsidRPr="00C46B0F" w:rsidRDefault="00A244A7" w:rsidP="00A244A7">
            <w:pPr>
              <w:widowControl w:val="0"/>
              <w:numPr>
                <w:ilvl w:val="0"/>
                <w:numId w:val="16"/>
              </w:numPr>
              <w:autoSpaceDE w:val="0"/>
              <w:autoSpaceDN w:val="0"/>
              <w:spacing w:line="276" w:lineRule="auto"/>
              <w:jc w:val="both"/>
              <w:rPr>
                <w:rFonts w:ascii="Verdana" w:eastAsia="Arial MT" w:hAnsi="Verdana" w:cs="Arial"/>
                <w:bCs/>
                <w:lang w:eastAsia="es-ES" w:bidi="es-ES"/>
              </w:rPr>
            </w:pPr>
            <w:r w:rsidRPr="00C46B0F">
              <w:rPr>
                <w:rFonts w:ascii="Verdana" w:eastAsia="Arial MT" w:hAnsi="Verdana" w:cs="Arial"/>
                <w:bCs/>
                <w:lang w:eastAsia="es-ES" w:bidi="es-ES"/>
              </w:rPr>
              <w:t xml:space="preserve">Consejo De Estado. Sección Tercera. Sentencia de 30 de noviembre de 2006. </w:t>
            </w:r>
            <w:proofErr w:type="spellStart"/>
            <w:r w:rsidRPr="00C46B0F">
              <w:rPr>
                <w:rFonts w:ascii="Verdana" w:eastAsia="Arial MT" w:hAnsi="Verdana" w:cs="Arial"/>
                <w:bCs/>
                <w:lang w:eastAsia="es-ES" w:bidi="es-ES"/>
              </w:rPr>
              <w:t>Exp</w:t>
            </w:r>
            <w:proofErr w:type="spellEnd"/>
            <w:r w:rsidRPr="00C46B0F">
              <w:rPr>
                <w:rFonts w:ascii="Verdana" w:eastAsia="Arial MT" w:hAnsi="Verdana" w:cs="Arial"/>
                <w:bCs/>
                <w:lang w:eastAsia="es-ES" w:bidi="es-ES"/>
              </w:rPr>
              <w:t>. 18.059. M.P. Alier Hernández Enríquez.</w:t>
            </w:r>
          </w:p>
          <w:p w14:paraId="4BE32D64" w14:textId="77777777" w:rsidR="00A244A7" w:rsidRPr="00A73656" w:rsidRDefault="00A244A7" w:rsidP="00A244A7">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Consejo de Estado. Sala de Consulta y Servicio Civil. Concepto del 6 de noviembre de 2008. Expediente: 1927. Consejero Ponente: William Zambrano Cetina.</w:t>
            </w:r>
          </w:p>
          <w:p w14:paraId="65512606" w14:textId="77777777" w:rsidR="00A244A7" w:rsidRPr="00A73656" w:rsidRDefault="00A244A7" w:rsidP="00A244A7">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Consejo de Estado. Sala de Consulta y Servicio Civil. Concepto del 20 de mayo de 2010. Expediente: 1992. Consejero Ponente: Enrique José Arboleda Perdomo.</w:t>
            </w:r>
          </w:p>
          <w:p w14:paraId="752CA611" w14:textId="77777777" w:rsidR="00A244A7" w:rsidRPr="00A73656" w:rsidRDefault="00A244A7" w:rsidP="00A244A7">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 xml:space="preserve">Consejo de Estado. Sección Tercera, Subsección C. Sentencia del 26 de febrero de 2011. C.P. Jaime Orlando Santofimio. Rad. 36.408. </w:t>
            </w:r>
          </w:p>
          <w:p w14:paraId="4CEBDDF9" w14:textId="77777777" w:rsidR="00A244A7" w:rsidRPr="00A73656" w:rsidRDefault="00A244A7" w:rsidP="00A244A7">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Consejo de Estado. Sección Tercera Subsección B. Sentencia del 27 de abril de 2011. Expediente No. 18.293. C.P. Ponente: Ruth Stella Correa Palacio.</w:t>
            </w:r>
          </w:p>
          <w:p w14:paraId="0FAF86C8" w14:textId="77777777" w:rsidR="00A244A7" w:rsidRPr="00056884" w:rsidRDefault="00A244A7" w:rsidP="00A244A7">
            <w:pPr>
              <w:widowControl w:val="0"/>
              <w:numPr>
                <w:ilvl w:val="0"/>
                <w:numId w:val="16"/>
              </w:numPr>
              <w:tabs>
                <w:tab w:val="left" w:pos="8419"/>
              </w:tabs>
              <w:autoSpaceDE w:val="0"/>
              <w:autoSpaceDN w:val="0"/>
              <w:spacing w:line="276" w:lineRule="auto"/>
              <w:contextualSpacing/>
              <w:jc w:val="both"/>
              <w:rPr>
                <w:rFonts w:ascii="Verdana" w:hAnsi="Verdana" w:cs="Arial"/>
                <w:lang w:val="es-ES"/>
              </w:rPr>
            </w:pPr>
            <w:r w:rsidRPr="00A73656">
              <w:rPr>
                <w:rFonts w:ascii="Verdana" w:hAnsi="Verdana" w:cs="Arial"/>
                <w:shd w:val="clear" w:color="auto" w:fill="FFFFFF"/>
              </w:rPr>
              <w:t xml:space="preserve">Consejo de Estado, Sección Tercera, Subsección C. Sentencia del 26 de febrero de 2014. C.P. Enrique Gil Botero. Rad. 25.804. </w:t>
            </w:r>
          </w:p>
          <w:p w14:paraId="5BD25AA8" w14:textId="77777777" w:rsidR="00A244A7" w:rsidRPr="00A73656" w:rsidRDefault="00A244A7" w:rsidP="00A244A7">
            <w:pPr>
              <w:widowControl w:val="0"/>
              <w:numPr>
                <w:ilvl w:val="0"/>
                <w:numId w:val="16"/>
              </w:numPr>
              <w:tabs>
                <w:tab w:val="left" w:pos="8419"/>
              </w:tabs>
              <w:autoSpaceDE w:val="0"/>
              <w:autoSpaceDN w:val="0"/>
              <w:spacing w:line="276" w:lineRule="auto"/>
              <w:contextualSpacing/>
              <w:jc w:val="both"/>
              <w:rPr>
                <w:rFonts w:ascii="Verdana" w:hAnsi="Verdana" w:cs="Arial"/>
                <w:lang w:val="es-ES"/>
              </w:rPr>
            </w:pPr>
            <w:r w:rsidRPr="00A73656">
              <w:rPr>
                <w:rFonts w:ascii="Verdana" w:hAnsi="Verdana" w:cs="Arial"/>
                <w:lang w:val="es-ES"/>
              </w:rPr>
              <w:t xml:space="preserve">Consejo de Estado. Sección Tercera. Subsección C. Sentencia del 12 de noviembre de 2014. </w:t>
            </w:r>
            <w:proofErr w:type="spellStart"/>
            <w:r w:rsidRPr="00A73656">
              <w:rPr>
                <w:rFonts w:ascii="Verdana" w:hAnsi="Verdana" w:cs="Arial"/>
                <w:lang w:val="es-ES"/>
              </w:rPr>
              <w:t>Exp</w:t>
            </w:r>
            <w:proofErr w:type="spellEnd"/>
            <w:r w:rsidRPr="00A73656">
              <w:rPr>
                <w:rFonts w:ascii="Verdana" w:hAnsi="Verdana" w:cs="Arial"/>
                <w:lang w:val="es-ES"/>
              </w:rPr>
              <w:t>. 27.986. C.P. Enrique Gil Botero.</w:t>
            </w:r>
          </w:p>
          <w:p w14:paraId="2FECBB1F" w14:textId="77777777" w:rsidR="00A244A7" w:rsidRPr="00A73656" w:rsidRDefault="00A244A7" w:rsidP="00A244A7">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Circular Externa Única de la Agencia Nacional de Contratación Pública – Colombia Compra Eficiente</w:t>
            </w:r>
          </w:p>
          <w:p w14:paraId="27D350CE" w14:textId="77777777" w:rsidR="00A244A7" w:rsidRPr="00A73656" w:rsidRDefault="00A244A7" w:rsidP="00A244A7">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 xml:space="preserve">Agencia Nacional de Contratación Pública – Colombia Compra Eficiente. Concepto C-285 del 20 de mayo de 2022. </w:t>
            </w:r>
            <w:r w:rsidRPr="000C1135">
              <w:rPr>
                <w:rFonts w:ascii="Verdana" w:hAnsi="Verdana" w:cs="Arial"/>
                <w:shd w:val="clear" w:color="auto" w:fill="FFFFFF"/>
              </w:rPr>
              <w:t xml:space="preserve">Consultar en: </w:t>
            </w:r>
            <w:hyperlink r:id="rId12" w:history="1">
              <w:r w:rsidRPr="000C1135">
                <w:rPr>
                  <w:rFonts w:ascii="Verdana" w:hAnsi="Verdana" w:cs="Arial"/>
                  <w:color w:val="0563C1" w:themeColor="hyperlink"/>
                  <w:u w:val="single"/>
                  <w:shd w:val="clear" w:color="auto" w:fill="FFFFFF"/>
                </w:rPr>
                <w:t>https://relatoria.colombiacompra.gov.co/conceptos/c-285-de-2022/</w:t>
              </w:r>
            </w:hyperlink>
            <w:r w:rsidRPr="000C1135">
              <w:rPr>
                <w:rFonts w:ascii="Verdana" w:hAnsi="Verdana" w:cs="Arial"/>
                <w:shd w:val="clear" w:color="auto" w:fill="FFFFFF"/>
              </w:rPr>
              <w:t xml:space="preserve"> </w:t>
            </w:r>
          </w:p>
          <w:p w14:paraId="70CFBFAE" w14:textId="77777777" w:rsidR="00A244A7" w:rsidRPr="00A73656" w:rsidRDefault="00A244A7" w:rsidP="00A244A7">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 xml:space="preserve">Agencia Nacional de Contratación Pública – Colombia Compra Eficiente. Concepto C-447 del 19 de septiembre de 2024. </w:t>
            </w:r>
            <w:r w:rsidRPr="000C1135">
              <w:rPr>
                <w:rFonts w:ascii="Verdana" w:hAnsi="Verdana" w:cs="Arial"/>
                <w:shd w:val="clear" w:color="auto" w:fill="FFFFFF"/>
              </w:rPr>
              <w:t xml:space="preserve">Consultar en: </w:t>
            </w:r>
            <w:hyperlink r:id="rId13" w:history="1">
              <w:r w:rsidRPr="000C1135">
                <w:rPr>
                  <w:rFonts w:ascii="Verdana" w:hAnsi="Verdana" w:cs="Arial"/>
                  <w:color w:val="0563C1" w:themeColor="hyperlink"/>
                  <w:u w:val="single"/>
                  <w:shd w:val="clear" w:color="auto" w:fill="FFFFFF"/>
                </w:rPr>
                <w:t>https://relatoria.colombiacompra.gov.co/conceptos/c-447-de-2024/</w:t>
              </w:r>
            </w:hyperlink>
            <w:r w:rsidRPr="000C1135">
              <w:rPr>
                <w:rFonts w:ascii="Verdana" w:hAnsi="Verdana" w:cs="Arial"/>
                <w:shd w:val="clear" w:color="auto" w:fill="FFFFFF"/>
              </w:rPr>
              <w:t xml:space="preserve"> </w:t>
            </w:r>
          </w:p>
          <w:p w14:paraId="6CF97609" w14:textId="77777777" w:rsidR="00A244A7" w:rsidRPr="00A73656" w:rsidRDefault="00A244A7" w:rsidP="00A244A7">
            <w:pPr>
              <w:widowControl w:val="0"/>
              <w:numPr>
                <w:ilvl w:val="0"/>
                <w:numId w:val="16"/>
              </w:numPr>
              <w:autoSpaceDE w:val="0"/>
              <w:autoSpaceDN w:val="0"/>
              <w:spacing w:line="276" w:lineRule="auto"/>
              <w:jc w:val="both"/>
              <w:rPr>
                <w:rFonts w:ascii="Verdana" w:hAnsi="Verdana" w:cs="Arial"/>
              </w:rPr>
            </w:pPr>
            <w:r w:rsidRPr="00A73656">
              <w:rPr>
                <w:rFonts w:ascii="Verdana" w:hAnsi="Verdana" w:cs="Arial"/>
                <w:shd w:val="clear" w:color="auto" w:fill="FFFFFF"/>
              </w:rPr>
              <w:t xml:space="preserve">RODRÍGUEZ TAMAYO, Mauricio Fernando. Evaluación y rechazo de ofertas en la Ley 80 de 1993. Medellín: Librería Jurídica Sánchez, 2016. </w:t>
            </w:r>
          </w:p>
          <w:p w14:paraId="393232FA" w14:textId="77777777" w:rsidR="00A244A7" w:rsidRDefault="00A244A7" w:rsidP="00A244A7">
            <w:pPr>
              <w:widowControl w:val="0"/>
              <w:numPr>
                <w:ilvl w:val="0"/>
                <w:numId w:val="16"/>
              </w:numPr>
              <w:tabs>
                <w:tab w:val="left" w:pos="8419"/>
              </w:tabs>
              <w:autoSpaceDE w:val="0"/>
              <w:autoSpaceDN w:val="0"/>
              <w:spacing w:line="276" w:lineRule="auto"/>
              <w:contextualSpacing/>
              <w:jc w:val="both"/>
              <w:rPr>
                <w:rFonts w:ascii="Verdana" w:hAnsi="Verdana" w:cs="Arial"/>
              </w:rPr>
            </w:pPr>
            <w:r w:rsidRPr="00A73656">
              <w:rPr>
                <w:rFonts w:ascii="Verdana" w:hAnsi="Verdana" w:cs="Arial"/>
              </w:rPr>
              <w:t>DÁVILA VINUEZA, Luis Guillermo. Régimen jurídico de la contratación estatal. Tercera edición, Bogotá: Legis, 2016.</w:t>
            </w:r>
          </w:p>
          <w:p w14:paraId="55DA7676" w14:textId="77777777" w:rsidR="00A244A7" w:rsidRPr="00A73656" w:rsidRDefault="00A244A7" w:rsidP="00A244A7">
            <w:pPr>
              <w:widowControl w:val="0"/>
              <w:numPr>
                <w:ilvl w:val="0"/>
                <w:numId w:val="16"/>
              </w:numPr>
              <w:tabs>
                <w:tab w:val="left" w:pos="8419"/>
              </w:tabs>
              <w:autoSpaceDE w:val="0"/>
              <w:autoSpaceDN w:val="0"/>
              <w:spacing w:line="276" w:lineRule="auto"/>
              <w:contextualSpacing/>
              <w:jc w:val="both"/>
              <w:rPr>
                <w:rFonts w:ascii="Verdana" w:hAnsi="Verdana" w:cs="Arial"/>
              </w:rPr>
            </w:pPr>
            <w:r w:rsidRPr="00A73656">
              <w:rPr>
                <w:rFonts w:ascii="Verdana" w:hAnsi="Verdana" w:cs="Arial"/>
                <w:lang w:val="es-ES"/>
              </w:rPr>
              <w:t>EXPÓSITO VELEZ, Juan C., El deber de selección objetiva, en: Del contrato estatal a los sistemas de compras públicas, por COVILLA MARTINEZ Juan C. y LOZANO VILLEGAS Germán (Eds.). Universidad Externado de Colombia, Bogotá, 2019.</w:t>
            </w:r>
          </w:p>
        </w:tc>
      </w:tr>
    </w:tbl>
    <w:p w14:paraId="3C9D76B0" w14:textId="77777777" w:rsidR="00A244A7" w:rsidRPr="00A73656" w:rsidRDefault="00A244A7" w:rsidP="00A244A7">
      <w:pPr>
        <w:widowControl w:val="0"/>
        <w:autoSpaceDE w:val="0"/>
        <w:autoSpaceDN w:val="0"/>
        <w:spacing w:after="0" w:line="276" w:lineRule="auto"/>
        <w:jc w:val="both"/>
        <w:rPr>
          <w:rFonts w:ascii="Verdana" w:eastAsia="Calibri" w:hAnsi="Verdana" w:cs="Arial"/>
        </w:rPr>
      </w:pPr>
    </w:p>
    <w:p w14:paraId="7FDF1D8B" w14:textId="77777777" w:rsidR="00A244A7" w:rsidRPr="00A73656" w:rsidRDefault="00A244A7" w:rsidP="00A244A7">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A73656">
        <w:rPr>
          <w:rFonts w:ascii="Verdana" w:eastAsia="Century Gothic" w:hAnsi="Verdana" w:cs="Century Gothic"/>
          <w:b/>
          <w:bCs/>
          <w:lang w:val="es-ES"/>
        </w:rPr>
        <w:t>Doctrina de la Agencia Nacional de Contratación Pública:</w:t>
      </w:r>
    </w:p>
    <w:p w14:paraId="2D7D5502" w14:textId="77777777" w:rsidR="00A244A7" w:rsidRPr="00A73656" w:rsidRDefault="00A244A7" w:rsidP="00A244A7">
      <w:pPr>
        <w:widowControl w:val="0"/>
        <w:autoSpaceDE w:val="0"/>
        <w:autoSpaceDN w:val="0"/>
        <w:spacing w:after="0" w:line="276" w:lineRule="auto"/>
        <w:jc w:val="both"/>
        <w:rPr>
          <w:rFonts w:ascii="Verdana" w:eastAsia="Calibri" w:hAnsi="Verdana" w:cs="Arial"/>
        </w:rPr>
      </w:pPr>
    </w:p>
    <w:p w14:paraId="3C32FCC7" w14:textId="77777777" w:rsidR="00A244A7" w:rsidRDefault="00A244A7" w:rsidP="00A244A7">
      <w:pPr>
        <w:widowControl w:val="0"/>
        <w:autoSpaceDE w:val="0"/>
        <w:autoSpaceDN w:val="0"/>
        <w:spacing w:after="0" w:line="276" w:lineRule="auto"/>
        <w:jc w:val="both"/>
        <w:rPr>
          <w:rFonts w:ascii="Verdana" w:eastAsia="Calibri" w:hAnsi="Verdana" w:cs="Arial"/>
          <w:shd w:val="clear" w:color="auto" w:fill="FFFFFF"/>
          <w:lang w:val="es-ES"/>
        </w:rPr>
      </w:pPr>
      <w:r w:rsidRPr="00A73656">
        <w:rPr>
          <w:rFonts w:ascii="Verdana" w:eastAsia="Calibri" w:hAnsi="Verdana" w:cs="Arial"/>
          <w:shd w:val="clear" w:color="auto" w:fill="FFFFFF"/>
          <w:lang w:val="es-ES"/>
        </w:rPr>
        <w:t>Sobre la regla de subsanabilidad en los procesos de selección</w:t>
      </w:r>
      <w:r>
        <w:rPr>
          <w:rFonts w:ascii="Verdana" w:eastAsia="Calibri" w:hAnsi="Verdana" w:cs="Arial"/>
          <w:shd w:val="clear" w:color="auto" w:fill="FFFFFF"/>
          <w:lang w:val="es-ES"/>
        </w:rPr>
        <w:t>,</w:t>
      </w:r>
      <w:r w:rsidRPr="00A73656">
        <w:rPr>
          <w:rFonts w:ascii="Verdana" w:eastAsia="Calibri" w:hAnsi="Verdana" w:cs="Arial"/>
          <w:shd w:val="clear" w:color="auto" w:fill="FFFFFF"/>
          <w:lang w:val="es-ES"/>
        </w:rPr>
        <w:t xml:space="preserve"> se pronunció esta Subdirección en los conceptos 4201913000007643 del 26 de diciembre de 2019, C-343 del 17 de junio de 2020, C-518 del 9 de septiembre de 2020, C-285 del 20 de mayo de 2022, C-614 del 5 de octubre de 2022, C-882 del 21 de diciembre de 2022, C-172 del 6 de junio de 2023, C-354 del 30 de agosto de 2024, C-447 del 19 de septiembre de 2024, C-1009 del 30 de enero de 2025</w:t>
      </w:r>
      <w:r>
        <w:rPr>
          <w:rFonts w:ascii="Verdana" w:eastAsia="Calibri" w:hAnsi="Verdana" w:cs="Arial"/>
          <w:shd w:val="clear" w:color="auto" w:fill="FFFFFF"/>
          <w:lang w:val="es-ES"/>
        </w:rPr>
        <w:t xml:space="preserve">, </w:t>
      </w:r>
      <w:r w:rsidRPr="00A73656">
        <w:rPr>
          <w:rFonts w:ascii="Verdana" w:eastAsia="Calibri" w:hAnsi="Verdana" w:cs="Arial"/>
          <w:shd w:val="clear" w:color="auto" w:fill="FFFFFF"/>
          <w:lang w:val="es-ES"/>
        </w:rPr>
        <w:t>C-687 del 9 de julio de 2025</w:t>
      </w:r>
      <w:r>
        <w:rPr>
          <w:rFonts w:ascii="Verdana" w:eastAsia="Calibri" w:hAnsi="Verdana" w:cs="Arial"/>
          <w:shd w:val="clear" w:color="auto" w:fill="FFFFFF"/>
          <w:lang w:val="es-ES"/>
        </w:rPr>
        <w:t xml:space="preserve">, C-896 del 15 de agosto de 2025, C-808 del 30 de junio de 2026, </w:t>
      </w:r>
      <w:r w:rsidRPr="00690210">
        <w:rPr>
          <w:rFonts w:ascii="Verdana" w:eastAsia="Calibri" w:hAnsi="Verdana" w:cs="Arial"/>
          <w:shd w:val="clear" w:color="auto" w:fill="FFFFFF"/>
          <w:lang w:val="es-ES"/>
        </w:rPr>
        <w:t>C- 950 de</w:t>
      </w:r>
      <w:r>
        <w:rPr>
          <w:rFonts w:ascii="Verdana" w:eastAsia="Calibri" w:hAnsi="Verdana" w:cs="Arial"/>
          <w:shd w:val="clear" w:color="auto" w:fill="FFFFFF"/>
          <w:lang w:val="es-ES"/>
        </w:rPr>
        <w:t>l 22 de julio de</w:t>
      </w:r>
      <w:r w:rsidRPr="00690210">
        <w:rPr>
          <w:rFonts w:ascii="Verdana" w:eastAsia="Calibri" w:hAnsi="Verdana" w:cs="Arial"/>
          <w:shd w:val="clear" w:color="auto" w:fill="FFFFFF"/>
          <w:lang w:val="es-ES"/>
        </w:rPr>
        <w:t xml:space="preserve"> 2026</w:t>
      </w:r>
      <w:r w:rsidRPr="00A73656">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w:t>
      </w:r>
    </w:p>
    <w:p w14:paraId="0B1829F9" w14:textId="77777777" w:rsidR="00A244A7" w:rsidRDefault="00A244A7" w:rsidP="00A244A7">
      <w:pPr>
        <w:widowControl w:val="0"/>
        <w:autoSpaceDE w:val="0"/>
        <w:autoSpaceDN w:val="0"/>
        <w:spacing w:after="0" w:line="276" w:lineRule="auto"/>
        <w:jc w:val="both"/>
        <w:rPr>
          <w:rFonts w:ascii="Verdana" w:eastAsia="Calibri" w:hAnsi="Verdana" w:cs="Arial"/>
          <w:shd w:val="clear" w:color="auto" w:fill="FFFFFF"/>
          <w:lang w:val="es-ES"/>
        </w:rPr>
      </w:pPr>
    </w:p>
    <w:p w14:paraId="390EFA77" w14:textId="77777777" w:rsidR="00A244A7" w:rsidRPr="00A73656" w:rsidRDefault="00A244A7" w:rsidP="00A244A7">
      <w:pPr>
        <w:widowControl w:val="0"/>
        <w:autoSpaceDE w:val="0"/>
        <w:autoSpaceDN w:val="0"/>
        <w:spacing w:after="0" w:line="276" w:lineRule="auto"/>
        <w:jc w:val="both"/>
        <w:rPr>
          <w:rFonts w:ascii="Verdana" w:eastAsia="Calibri" w:hAnsi="Verdana" w:cs="Arial"/>
          <w:shd w:val="clear" w:color="auto" w:fill="FFFFFF"/>
          <w:lang w:val="es-ES"/>
        </w:rPr>
      </w:pPr>
      <w:r>
        <w:rPr>
          <w:rFonts w:ascii="Verdana" w:hAnsi="Verdana" w:cs="Arial"/>
          <w:color w:val="000000" w:themeColor="text1"/>
          <w:shd w:val="clear" w:color="auto" w:fill="FFFFFF"/>
        </w:rPr>
        <w:t>S</w:t>
      </w:r>
      <w:r w:rsidRPr="00B91ECF">
        <w:rPr>
          <w:rFonts w:ascii="Verdana" w:hAnsi="Verdana" w:cs="Arial"/>
          <w:color w:val="000000" w:themeColor="text1"/>
          <w:shd w:val="clear" w:color="auto" w:fill="FFFFFF"/>
        </w:rPr>
        <w:t xml:space="preserve">obre la </w:t>
      </w:r>
      <w:r w:rsidRPr="00B91ECF">
        <w:rPr>
          <w:rStyle w:val="normaltextrun"/>
          <w:rFonts w:ascii="Verdana" w:hAnsi="Verdana" w:cs="Arial"/>
          <w:color w:val="000000" w:themeColor="text1"/>
          <w:shd w:val="clear" w:color="auto" w:fill="FFFFFF"/>
          <w:lang w:val="es-ES"/>
        </w:rPr>
        <w:t>modificación de los pliegos de condiciones a través de las adendas dentro de los procesos de selección</w:t>
      </w:r>
      <w:r>
        <w:rPr>
          <w:rStyle w:val="normaltextrun"/>
          <w:rFonts w:ascii="Verdana" w:hAnsi="Verdana" w:cs="Arial"/>
          <w:color w:val="000000" w:themeColor="text1"/>
          <w:shd w:val="clear" w:color="auto" w:fill="FFFFFF"/>
          <w:lang w:val="es-ES"/>
        </w:rPr>
        <w:t>, se ha pronunciado</w:t>
      </w:r>
      <w:r w:rsidRPr="00B91ECF">
        <w:rPr>
          <w:rStyle w:val="normaltextrun"/>
          <w:rFonts w:ascii="Verdana" w:hAnsi="Verdana" w:cs="Arial"/>
          <w:color w:val="000000" w:themeColor="text1"/>
          <w:shd w:val="clear" w:color="auto" w:fill="FFFFFF"/>
          <w:lang w:val="es-ES"/>
        </w:rPr>
        <w:t xml:space="preserve"> en los conceptos</w:t>
      </w:r>
      <w:r w:rsidRPr="00B91ECF">
        <w:rPr>
          <w:rFonts w:ascii="Verdana" w:eastAsia="Aptos" w:hAnsi="Verdana" w:cs="Arial"/>
          <w:color w:val="000000" w:themeColor="text1"/>
          <w:shd w:val="clear" w:color="auto" w:fill="FFFFFF"/>
          <w:lang w:val="es-ES"/>
        </w:rPr>
        <w:t>, C-519 del 13 de septiembre de 2022, C-647 del 5 de octubre de 2022, C-705 de 25 de octubre de 2022, C-817 del 5 de diciembre de 2022, C-882 del 21 de diciembre de 2022, C-218 del 13 de julio de 2023</w:t>
      </w:r>
      <w:r w:rsidRPr="00B91ECF">
        <w:rPr>
          <w:rStyle w:val="normaltextrun"/>
          <w:rFonts w:ascii="Verdana" w:hAnsi="Verdana" w:cs="Calibri"/>
          <w:color w:val="000000" w:themeColor="text1"/>
          <w:shd w:val="clear" w:color="auto" w:fill="FFFFFF"/>
        </w:rPr>
        <w:t xml:space="preserve">, C- 383 del 20 de septiembre de 2023, </w:t>
      </w:r>
      <w:r w:rsidRPr="00B91ECF">
        <w:rPr>
          <w:rFonts w:ascii="Verdana" w:eastAsia="Aptos" w:hAnsi="Verdana" w:cs="Arial"/>
          <w:color w:val="000000" w:themeColor="text1"/>
          <w:shd w:val="clear" w:color="auto" w:fill="FFFFFF"/>
          <w:lang w:val="es-ES"/>
        </w:rPr>
        <w:t xml:space="preserve">C-299 del 21 de agosto de 2024, C-432 del 16 de septiembre de 2024, </w:t>
      </w:r>
      <w:r w:rsidRPr="00B91ECF">
        <w:rPr>
          <w:rStyle w:val="normaltextrun"/>
          <w:rFonts w:ascii="Verdana" w:hAnsi="Verdana" w:cs="Calibri"/>
          <w:color w:val="000000" w:themeColor="text1"/>
          <w:shd w:val="clear" w:color="auto" w:fill="FFFFFF"/>
        </w:rPr>
        <w:t>C-393 del 9 de septiembre de 2024, C-782 del 18 de noviembre de 2024, C-1020 del 27 de diciembre de 2024,</w:t>
      </w:r>
      <w:r w:rsidRPr="00B91ECF">
        <w:rPr>
          <w:rFonts w:ascii="Verdana" w:eastAsia="Aptos" w:hAnsi="Verdana" w:cs="Arial"/>
          <w:color w:val="000000" w:themeColor="text1"/>
          <w:shd w:val="clear" w:color="auto" w:fill="FFFFFF"/>
          <w:lang w:val="es-ES"/>
        </w:rPr>
        <w:t xml:space="preserve"> </w:t>
      </w:r>
      <w:r>
        <w:rPr>
          <w:rFonts w:ascii="Verdana" w:eastAsia="Aptos" w:hAnsi="Verdana" w:cs="Arial"/>
          <w:color w:val="000000" w:themeColor="text1"/>
          <w:shd w:val="clear" w:color="auto" w:fill="FFFFFF"/>
          <w:lang w:val="es-ES"/>
        </w:rPr>
        <w:t>C-278 del 7 de abril de 2026.</w:t>
      </w:r>
      <w:r w:rsidRPr="00A73656">
        <w:rPr>
          <w:rFonts w:ascii="Verdana" w:eastAsia="Calibri" w:hAnsi="Verdana" w:cs="Arial"/>
          <w:shd w:val="clear" w:color="auto" w:fill="FFFFFF"/>
          <w:lang w:val="es-ES"/>
        </w:rPr>
        <w:t xml:space="preserve"> Es</w:t>
      </w:r>
      <w:r w:rsidRPr="00A73656">
        <w:rPr>
          <w:rFonts w:ascii="Verdana" w:eastAsia="Calibri" w:hAnsi="Verdana" w:cs="Times New Roman"/>
        </w:rPr>
        <w:t>tos y otros conceptos se encuentran disponibles para consulta en el Sistema de relatoría de la Agencia, al cual se puede acceder a través del siguiente enlace:</w:t>
      </w:r>
      <w:r w:rsidRPr="00A73656">
        <w:rPr>
          <w:rFonts w:ascii="Verdana" w:eastAsia="Calibri" w:hAnsi="Verdana" w:cs="Arial"/>
          <w:shd w:val="clear" w:color="auto" w:fill="FFFFFF"/>
          <w:lang w:val="es-ES"/>
        </w:rPr>
        <w:t xml:space="preserve"> </w:t>
      </w:r>
      <w:hyperlink r:id="rId14" w:history="1">
        <w:r w:rsidRPr="000C1135">
          <w:rPr>
            <w:rFonts w:ascii="Verdana" w:eastAsia="Calibri" w:hAnsi="Verdana" w:cs="Arial"/>
            <w:u w:val="single"/>
            <w:shd w:val="clear" w:color="auto" w:fill="FFFFFF"/>
            <w:lang w:val="es-ES"/>
          </w:rPr>
          <w:t>https://relatoria.colombiacompra.gov.co/busqueda/conceptos</w:t>
        </w:r>
      </w:hyperlink>
    </w:p>
    <w:p w14:paraId="5224465F" w14:textId="77777777" w:rsidR="00A244A7" w:rsidRPr="00D26A47" w:rsidRDefault="00A244A7" w:rsidP="00A244A7">
      <w:pPr>
        <w:spacing w:after="0" w:line="276" w:lineRule="auto"/>
        <w:jc w:val="both"/>
        <w:rPr>
          <w:rFonts w:ascii="Verdana" w:hAnsi="Verdana"/>
          <w:lang w:val="es-ES"/>
        </w:rPr>
      </w:pPr>
    </w:p>
    <w:p w14:paraId="7DC881C7" w14:textId="77777777" w:rsidR="006847B1" w:rsidRPr="00324CBA" w:rsidRDefault="006847B1" w:rsidP="006847B1">
      <w:pPr>
        <w:jc w:val="both"/>
        <w:rPr>
          <w:rFonts w:ascii="Verdana" w:hAnsi="Verdana"/>
        </w:rPr>
      </w:pPr>
      <w:bookmarkStart w:id="4" w:name="_Hlk34951122"/>
      <w:r w:rsidRPr="00324CBA">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24CBA">
        <w:rPr>
          <w:rFonts w:ascii="Verdana" w:hAnsi="Verdana"/>
          <w:b/>
          <w:bCs/>
        </w:rPr>
        <w:t>Guía para la Exigencia y Constitución de Garantías en los Procesos de Contratación</w:t>
      </w:r>
      <w:r w:rsidRPr="00324CBA">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324CBA">
        <w:rPr>
          <w:rFonts w:ascii="Verdana" w:hAnsi="Verdana"/>
          <w:color w:val="0070C0"/>
        </w:rPr>
        <w:t> </w:t>
      </w:r>
      <w:hyperlink r:id="rId15" w:tgtFrame="_blank" w:tooltip="Dirección URL original: https://www.colombiacompra.gov.co/archivos/manual/guia-de-garantias-en-procesos-de-contratacion. Haga clic o pulse si confía en este vínculo." w:history="1">
        <w:r w:rsidRPr="00324CBA">
          <w:rPr>
            <w:rStyle w:val="Hipervnculo"/>
            <w:rFonts w:ascii="Verdana" w:hAnsi="Verdana"/>
            <w:color w:val="0070C0"/>
          </w:rPr>
          <w:t>https://www.colombiacompra.gov.co/archivos/manual/guia-de-garantias-en-procesos-de-contratacion</w:t>
        </w:r>
      </w:hyperlink>
    </w:p>
    <w:p w14:paraId="1027A8AE" w14:textId="77777777" w:rsidR="006847B1" w:rsidRPr="00324CBA" w:rsidRDefault="006847B1" w:rsidP="006847B1">
      <w:pPr>
        <w:jc w:val="both"/>
        <w:rPr>
          <w:rFonts w:ascii="Verdana" w:hAnsi="Verdana"/>
        </w:rPr>
      </w:pPr>
      <w:r w:rsidRPr="00324CBA">
        <w:rPr>
          <w:rFonts w:ascii="Verdana" w:hAnsi="Verdana"/>
        </w:rPr>
        <w:t>De otro lado, te contamos que el Decreto 287 del 19 de marzo de 2026 sustituyó los artículos 2.2.1.2.4.2.6., 2.2.1.2.4.2.7. y 2.2.1.2.4.2.8. del Decreto 1082 de 2015 y estructuró el </w:t>
      </w:r>
      <w:r w:rsidRPr="00324CBA">
        <w:rPr>
          <w:rFonts w:ascii="Verdana" w:hAnsi="Verdana"/>
          <w:b/>
          <w:bCs/>
        </w:rPr>
        <w:t>Sistema Integral de Preferencias en favor de las personas con discapacidad</w:t>
      </w:r>
      <w:r w:rsidRPr="00324CBA">
        <w:rPr>
          <w:rFonts w:ascii="Verdana" w:hAnsi="Verdana"/>
        </w:rPr>
        <w:t>, en cumplimiento del artículo 13 de la Ley Estatutaria 1618 de 2013. Para orientar su aplicación, esta Agencia expidió la </w:t>
      </w:r>
      <w:r w:rsidRPr="00324CBA">
        <w:rPr>
          <w:rFonts w:ascii="Verdana" w:hAnsi="Verdana"/>
          <w:b/>
          <w:bCs/>
        </w:rPr>
        <w:t>Circular Externa 003 del 12 de mayo de 2026, </w:t>
      </w:r>
      <w:r w:rsidRPr="00324CBA">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324CBA">
          <w:rPr>
            <w:rStyle w:val="Hipervnculo"/>
            <w:rFonts w:ascii="Verdana" w:hAnsi="Verdana"/>
            <w:color w:val="0070C0"/>
          </w:rPr>
          <w:t>https://www.colombiacompra.gov.co/archivos/circular/circular-externa-003-de-2026</w:t>
        </w:r>
      </w:hyperlink>
    </w:p>
    <w:p w14:paraId="5C7ED893" w14:textId="77777777" w:rsidR="006847B1" w:rsidRPr="00324CBA" w:rsidRDefault="006847B1" w:rsidP="006847B1">
      <w:pPr>
        <w:jc w:val="both"/>
        <w:rPr>
          <w:rFonts w:ascii="Verdana" w:hAnsi="Verdana"/>
        </w:rPr>
      </w:pPr>
      <w:r w:rsidRPr="00324CBA">
        <w:rPr>
          <w:rFonts w:ascii="Verdana" w:hAnsi="Verdana"/>
        </w:rPr>
        <w:t>Recuerda también que la</w:t>
      </w:r>
      <w:r w:rsidRPr="00324CBA">
        <w:rPr>
          <w:rFonts w:ascii="Verdana" w:hAnsi="Verdana"/>
          <w:b/>
          <w:bCs/>
        </w:rPr>
        <w:t> información sobre sanciones e inhabilidades </w:t>
      </w:r>
      <w:r w:rsidRPr="00324CBA">
        <w:rPr>
          <w:rFonts w:ascii="Verdana" w:hAnsi="Verdana"/>
        </w:rPr>
        <w:t>solo cumple su función preventiva si llega oportunamente a los registros públicos. Sobre este deber, esta Agencia expidió la </w:t>
      </w:r>
      <w:r w:rsidRPr="00324CBA">
        <w:rPr>
          <w:rFonts w:ascii="Verdana" w:hAnsi="Verdana"/>
          <w:b/>
          <w:bCs/>
        </w:rPr>
        <w:t>Circular Externa 002 del 5 de mayo de 2026,</w:t>
      </w:r>
      <w:r w:rsidRPr="00324CBA">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324CBA">
          <w:rPr>
            <w:rStyle w:val="Hipervnculo"/>
            <w:rFonts w:ascii="Verdana" w:hAnsi="Verdana"/>
            <w:color w:val="0070C0"/>
          </w:rPr>
          <w:t>https://www.colombiacompra.gov.co/archivos/circular/circular-externa-002-de-2026</w:t>
        </w:r>
      </w:hyperlink>
    </w:p>
    <w:p w14:paraId="0947768B" w14:textId="77777777" w:rsidR="006847B1" w:rsidRPr="00324CBA" w:rsidRDefault="006847B1" w:rsidP="006847B1">
      <w:pPr>
        <w:jc w:val="both"/>
        <w:rPr>
          <w:rFonts w:ascii="Verdana" w:hAnsi="Verdana"/>
        </w:rPr>
      </w:pPr>
      <w:r w:rsidRPr="00324CBA">
        <w:rPr>
          <w:rFonts w:ascii="Verdana" w:hAnsi="Verdana"/>
        </w:rPr>
        <w:t>Finalmente, si quieres seguir de cerca la actividad de la Agencia, la tercera edición de 2026 del</w:t>
      </w:r>
      <w:r w:rsidRPr="00324CBA">
        <w:rPr>
          <w:rFonts w:ascii="Verdana" w:hAnsi="Verdana"/>
          <w:b/>
          <w:bCs/>
        </w:rPr>
        <w:t> Radar de la Compra Pública</w:t>
      </w:r>
      <w:r w:rsidRPr="00324CBA">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324CBA">
        <w:rPr>
          <w:rFonts w:ascii="Verdana" w:hAnsi="Verdana"/>
          <w:color w:val="0070C0"/>
        </w:rPr>
        <w:t> </w:t>
      </w:r>
      <w:hyperlink r:id="rId18" w:tgtFrame="_blank" w:tooltip="Dirección URL original: https://www.colombiacompra.gov.co/archivos/boletin/boletin-edicion-n-3-de-2026-radar-de-la-compra-publica. Haga clic o pulse si confía en este vínculo." w:history="1">
        <w:r w:rsidRPr="00324CBA">
          <w:rPr>
            <w:rStyle w:val="Hipervnculo"/>
            <w:rFonts w:ascii="Verdana" w:hAnsi="Verdana"/>
            <w:color w:val="0070C0"/>
          </w:rPr>
          <w:t>https://www.colombiacompra.gov.co/archivos/boletin/boletin-edicion-n-3-de-2026-radar-de-la-compra-publica</w:t>
        </w:r>
      </w:hyperlink>
      <w:r w:rsidRPr="00324CBA">
        <w:rPr>
          <w:rFonts w:ascii="Verdana" w:hAnsi="Verdana"/>
        </w:rPr>
        <w:t>"</w:t>
      </w:r>
    </w:p>
    <w:p w14:paraId="159B5EA2" w14:textId="77777777" w:rsidR="006847B1" w:rsidRDefault="006847B1" w:rsidP="006847B1">
      <w:pPr>
        <w:spacing w:after="0" w:line="240" w:lineRule="auto"/>
        <w:jc w:val="both"/>
        <w:textAlignment w:val="baseline"/>
      </w:pPr>
    </w:p>
    <w:p w14:paraId="048A1FCF" w14:textId="77777777" w:rsidR="006847B1" w:rsidRPr="0024624F" w:rsidRDefault="006847B1" w:rsidP="006847B1">
      <w:pPr>
        <w:spacing w:after="0" w:line="240" w:lineRule="auto"/>
        <w:jc w:val="both"/>
        <w:textAlignment w:val="baseline"/>
        <w:rPr>
          <w:rFonts w:ascii="Verdana" w:eastAsia="Times New Roman" w:hAnsi="Verdana" w:cs="Segoe UI"/>
          <w:lang w:val="es-ES" w:eastAsia="es-CO"/>
        </w:rPr>
      </w:pPr>
      <w:r w:rsidRPr="0024624F">
        <w:rPr>
          <w:rFonts w:ascii="Verdana" w:eastAsia="Times New Roman" w:hAnsi="Verdana" w:cs="Segoe UI"/>
          <w:lang w:val="es-MX" w:eastAsia="es-CO"/>
        </w:rPr>
        <w:t>Aprovechamos la oportunidad de manifestar la entera disposición de la Agencia Nacional de Contratación Pública – Colombia Compra Eficiente – para atender las peticiones o solicitudes, así como para brindar el apoyo que se requiera en el marco de nuestras funciones a través de nuestros diferentes canales de atención:</w:t>
      </w:r>
      <w:r w:rsidRPr="0024624F">
        <w:rPr>
          <w:rFonts w:ascii="Verdana" w:eastAsia="Times New Roman" w:hAnsi="Verdana" w:cs="Segoe UI"/>
          <w:lang w:val="es-ES" w:eastAsia="es-CO"/>
        </w:rPr>
        <w:t> </w:t>
      </w:r>
    </w:p>
    <w:p w14:paraId="41F2E918" w14:textId="77777777" w:rsidR="006847B1" w:rsidRPr="0025226B" w:rsidRDefault="006847B1" w:rsidP="006847B1">
      <w:pPr>
        <w:spacing w:after="0" w:line="240" w:lineRule="auto"/>
        <w:jc w:val="both"/>
        <w:textAlignment w:val="baseline"/>
        <w:rPr>
          <w:rFonts w:ascii="Verdana" w:eastAsia="Times New Roman" w:hAnsi="Verdana" w:cs="Segoe UI"/>
          <w:lang w:val="es-ES" w:eastAsia="es-CO"/>
        </w:rPr>
      </w:pPr>
      <w:r w:rsidRPr="0024624F">
        <w:rPr>
          <w:rFonts w:ascii="Verdana" w:eastAsia="Times New Roman" w:hAnsi="Verdana" w:cs="Segoe UI"/>
          <w:lang w:val="es-ES" w:eastAsia="es-CO"/>
        </w:rPr>
        <w:t> </w:t>
      </w:r>
    </w:p>
    <w:p w14:paraId="1EE50D98" w14:textId="77777777" w:rsidR="006847B1" w:rsidRPr="0025226B" w:rsidRDefault="006847B1" w:rsidP="006847B1">
      <w:pPr>
        <w:pStyle w:val="Prrafodelista"/>
        <w:numPr>
          <w:ilvl w:val="0"/>
          <w:numId w:val="20"/>
        </w:numPr>
        <w:spacing w:after="0" w:line="240" w:lineRule="auto"/>
        <w:textAlignment w:val="baseline"/>
        <w:rPr>
          <w:rFonts w:ascii="Verdana" w:eastAsia="Times New Roman" w:hAnsi="Verdana" w:cs="Segoe UI"/>
          <w:lang w:eastAsia="es-CO"/>
        </w:rPr>
      </w:pPr>
      <w:r w:rsidRPr="0025226B">
        <w:rPr>
          <w:rFonts w:ascii="Verdana" w:eastAsia="Times New Roman" w:hAnsi="Verdana" w:cs="Segoe UI"/>
          <w:lang w:val="es-MX" w:eastAsia="es-CO"/>
        </w:rPr>
        <w:t xml:space="preserve">Línea nacional gratuita o servicio a la ciudadanía (Mesa de servicio): </w:t>
      </w:r>
      <w:r w:rsidRPr="0025226B">
        <w:rPr>
          <w:rStyle w:val="Hipervnculo"/>
          <w:rFonts w:ascii="Verdana" w:hAnsi="Verdana" w:cs="Segoe UI"/>
        </w:rPr>
        <w:t>01800 0520808</w:t>
      </w:r>
    </w:p>
    <w:p w14:paraId="54474BD2" w14:textId="77777777" w:rsidR="006847B1" w:rsidRPr="0025226B" w:rsidRDefault="006847B1" w:rsidP="006847B1">
      <w:pPr>
        <w:pStyle w:val="Prrafodelista"/>
        <w:numPr>
          <w:ilvl w:val="0"/>
          <w:numId w:val="20"/>
        </w:numPr>
        <w:spacing w:after="0" w:line="240" w:lineRule="auto"/>
        <w:textAlignment w:val="baseline"/>
        <w:rPr>
          <w:rStyle w:val="Hipervnculo"/>
          <w:rFonts w:ascii="Verdana" w:hAnsi="Verdana" w:cs="Segoe UI"/>
          <w:lang w:val="es-MX"/>
        </w:rPr>
      </w:pPr>
      <w:r w:rsidRPr="4CAA27C7">
        <w:rPr>
          <w:rFonts w:ascii="Verdana" w:eastAsia="Times New Roman" w:hAnsi="Verdana" w:cs="Segoe UI"/>
          <w:lang w:val="es-MX" w:eastAsia="es-CO"/>
        </w:rPr>
        <w:t xml:space="preserve">Línea en Bogotá (Mesa de servicio): </w:t>
      </w:r>
      <w:r w:rsidRPr="4CAA27C7">
        <w:rPr>
          <w:rStyle w:val="Hipervnculo"/>
          <w:rFonts w:ascii="Verdana" w:hAnsi="Verdana" w:cs="Segoe UI"/>
        </w:rPr>
        <w:t>+57 601 7456788</w:t>
      </w:r>
    </w:p>
    <w:p w14:paraId="4E349BB1" w14:textId="77777777" w:rsidR="006847B1" w:rsidRPr="0024624F" w:rsidRDefault="006847B1" w:rsidP="006847B1">
      <w:pPr>
        <w:pStyle w:val="Prrafodelista"/>
        <w:numPr>
          <w:ilvl w:val="0"/>
          <w:numId w:val="20"/>
        </w:numPr>
        <w:spacing w:after="0" w:line="240" w:lineRule="auto"/>
        <w:textAlignment w:val="baseline"/>
        <w:rPr>
          <w:rFonts w:ascii="Verdana" w:eastAsia="Times New Roman" w:hAnsi="Verdana" w:cs="Segoe UI"/>
          <w:lang w:eastAsia="es-CO"/>
        </w:rPr>
      </w:pPr>
      <w:r w:rsidRPr="0024624F">
        <w:rPr>
          <w:rFonts w:ascii="Verdana" w:eastAsia="Times New Roman" w:hAnsi="Verdana" w:cs="Segoe UI"/>
          <w:lang w:val="es-CO" w:eastAsia="es-CO"/>
        </w:rPr>
        <w:t>Formulario web para</w:t>
      </w:r>
      <w:r w:rsidRPr="0024624F">
        <w:rPr>
          <w:rFonts w:ascii="Verdana" w:eastAsia="Times New Roman" w:hAnsi="Verdana" w:cs="Segoe UI"/>
          <w:lang w:eastAsia="es-CO"/>
        </w:rPr>
        <w:t xml:space="preserve"> PQRSD: </w:t>
      </w:r>
      <w:hyperlink r:id="rId19" w:history="1">
        <w:r w:rsidRPr="0024624F">
          <w:rPr>
            <w:rStyle w:val="Hipervnculo"/>
            <w:rFonts w:ascii="Verdana" w:eastAsia="Times New Roman" w:hAnsi="Verdana" w:cs="Segoe UI"/>
            <w:lang w:val="es-MX" w:eastAsia="es-CO"/>
          </w:rPr>
          <w:t>https://www.colombiacompra.gov.co/pqrsd/informacion-importante-antes-de-formular-una-pqrsd</w:t>
        </w:r>
      </w:hyperlink>
    </w:p>
    <w:p w14:paraId="5345BE6D" w14:textId="77777777" w:rsidR="006847B1" w:rsidRPr="0024624F" w:rsidRDefault="006847B1" w:rsidP="006847B1">
      <w:pPr>
        <w:spacing w:after="0" w:line="240" w:lineRule="auto"/>
        <w:jc w:val="both"/>
        <w:textAlignment w:val="baseline"/>
        <w:rPr>
          <w:rFonts w:ascii="Verdana" w:eastAsia="Times New Roman" w:hAnsi="Verdana" w:cs="Segoe UI"/>
          <w:lang w:eastAsia="es-CO"/>
        </w:rPr>
      </w:pPr>
    </w:p>
    <w:p w14:paraId="35A72F5E" w14:textId="77777777" w:rsidR="006847B1" w:rsidRPr="003B5003" w:rsidRDefault="006847B1" w:rsidP="006847B1">
      <w:pPr>
        <w:spacing w:after="0" w:line="240" w:lineRule="auto"/>
        <w:jc w:val="both"/>
        <w:textAlignment w:val="baseline"/>
        <w:rPr>
          <w:rFonts w:ascii="Verdana" w:eastAsia="Times New Roman" w:hAnsi="Verdana" w:cs="Segoe UI"/>
          <w:lang w:eastAsia="es-CO"/>
        </w:rPr>
      </w:pPr>
      <w:r w:rsidRPr="003B5003">
        <w:rPr>
          <w:rFonts w:ascii="Verdana" w:eastAsia="Times New Roman" w:hAnsi="Verdana" w:cs="Segoe UI"/>
          <w:lang w:eastAsia="es-CO"/>
        </w:rPr>
        <w:t xml:space="preserve">Evalúa el servicio que ofrece la Agencia por el canal de atención de PQRSD en el siguiente enlace: </w:t>
      </w:r>
      <w:hyperlink r:id="rId20" w:history="1">
        <w:r w:rsidRPr="003B5003">
          <w:rPr>
            <w:rStyle w:val="Hipervnculo"/>
            <w:rFonts w:ascii="Verdana" w:eastAsia="Times New Roman" w:hAnsi="Verdana" w:cs="Segoe UI"/>
            <w:lang w:eastAsia="es-CO"/>
          </w:rPr>
          <w:t>https://forms.office.com/r/pPHyWVs2SZ</w:t>
        </w:r>
      </w:hyperlink>
      <w:proofErr w:type="gramStart"/>
      <w:r w:rsidRPr="003B5003">
        <w:rPr>
          <w:rFonts w:ascii="Verdana" w:eastAsia="Times New Roman" w:hAnsi="Verdana" w:cs="Segoe UI"/>
          <w:lang w:eastAsia="es-CO"/>
        </w:rPr>
        <w:t>.¡</w:t>
      </w:r>
      <w:proofErr w:type="gramEnd"/>
      <w:r w:rsidRPr="003B5003">
        <w:rPr>
          <w:rFonts w:ascii="Verdana" w:eastAsia="Times New Roman" w:hAnsi="Verdana" w:cs="Segoe UI"/>
          <w:lang w:eastAsia="es-CO"/>
        </w:rPr>
        <w:t>Ayúdanos a mejorar porque el compromiso es de todos!</w:t>
      </w:r>
    </w:p>
    <w:p w14:paraId="69D105D5" w14:textId="77777777" w:rsidR="006847B1" w:rsidRPr="003B5003" w:rsidRDefault="006847B1" w:rsidP="006847B1">
      <w:pPr>
        <w:spacing w:after="0" w:line="240" w:lineRule="auto"/>
        <w:jc w:val="both"/>
        <w:textAlignment w:val="baseline"/>
        <w:rPr>
          <w:rFonts w:ascii="Verdana" w:eastAsia="Times New Roman" w:hAnsi="Verdana" w:cs="Segoe UI"/>
          <w:lang w:eastAsia="es-CO"/>
        </w:rPr>
      </w:pPr>
    </w:p>
    <w:p w14:paraId="12D9B0AC" w14:textId="77777777" w:rsidR="006847B1" w:rsidRPr="003B5003" w:rsidRDefault="006847B1" w:rsidP="006847B1">
      <w:pPr>
        <w:spacing w:after="0" w:line="240" w:lineRule="auto"/>
        <w:jc w:val="both"/>
        <w:textAlignment w:val="baseline"/>
        <w:rPr>
          <w:rFonts w:ascii="Verdana" w:eastAsia="Times New Roman" w:hAnsi="Verdana" w:cs="Segoe UI"/>
          <w:lang w:val="es-ES" w:eastAsia="es-CO"/>
        </w:rPr>
      </w:pPr>
      <w:r w:rsidRPr="003B5003">
        <w:rPr>
          <w:rFonts w:ascii="Verdana" w:eastAsia="Times New Roman" w:hAnsi="Verdana" w:cs="Segoe UI"/>
          <w:lang w:val="es-MX" w:eastAsia="es-CO"/>
        </w:rPr>
        <w:t>Por último, lo invitamos a seguirnos en las redes sociales en las cuales se difunde</w:t>
      </w:r>
      <w:r w:rsidRPr="003B5003">
        <w:rPr>
          <w:rFonts w:ascii="Verdana" w:eastAsia="Times New Roman" w:hAnsi="Verdana" w:cs="Segoe UI"/>
          <w:lang w:val="es-ES" w:eastAsia="es-CO"/>
        </w:rPr>
        <w:t> </w:t>
      </w:r>
      <w:r w:rsidRPr="003B5003">
        <w:rPr>
          <w:rFonts w:ascii="Verdana" w:eastAsia="Times New Roman" w:hAnsi="Verdana" w:cs="Segoe UI"/>
          <w:lang w:val="es-MX" w:eastAsia="es-CO"/>
        </w:rPr>
        <w:t>información institucional:</w:t>
      </w:r>
      <w:r w:rsidRPr="003B5003">
        <w:rPr>
          <w:rFonts w:ascii="Verdana" w:eastAsia="Times New Roman" w:hAnsi="Verdana" w:cs="Segoe UI"/>
          <w:lang w:val="es-ES" w:eastAsia="es-CO"/>
        </w:rPr>
        <w:t> </w:t>
      </w:r>
    </w:p>
    <w:p w14:paraId="445B665D" w14:textId="77777777" w:rsidR="006847B1" w:rsidRPr="003B5003" w:rsidRDefault="006847B1" w:rsidP="006847B1">
      <w:pPr>
        <w:spacing w:after="0" w:line="240" w:lineRule="auto"/>
        <w:jc w:val="both"/>
        <w:textAlignment w:val="baseline"/>
        <w:rPr>
          <w:rFonts w:ascii="Verdana" w:eastAsia="Times New Roman" w:hAnsi="Verdana" w:cs="Segoe UI"/>
          <w:lang w:val="es-MX" w:eastAsia="es-CO"/>
        </w:rPr>
      </w:pPr>
    </w:p>
    <w:p w14:paraId="0172DA40" w14:textId="77777777" w:rsidR="006847B1" w:rsidRPr="003B5003" w:rsidRDefault="006847B1" w:rsidP="006847B1">
      <w:pPr>
        <w:spacing w:after="0" w:line="240" w:lineRule="auto"/>
        <w:jc w:val="both"/>
        <w:textAlignment w:val="baseline"/>
        <w:rPr>
          <w:rFonts w:ascii="Verdana" w:eastAsia="Times New Roman" w:hAnsi="Verdana" w:cs="Segoe UI"/>
          <w:lang w:val="es-ES" w:eastAsia="es-CO"/>
        </w:rPr>
      </w:pPr>
      <w:r w:rsidRPr="003B5003">
        <w:rPr>
          <w:rFonts w:ascii="Verdana" w:eastAsia="Times New Roman" w:hAnsi="Verdana" w:cs="Segoe UI"/>
          <w:lang w:val="es-MX" w:eastAsia="es-CO"/>
        </w:rPr>
        <w:t xml:space="preserve">Twitter: </w:t>
      </w:r>
      <w:r w:rsidRPr="003B5003">
        <w:rPr>
          <w:rFonts w:ascii="Verdana" w:eastAsia="Times New Roman" w:hAnsi="Verdana" w:cs="Segoe UI"/>
          <w:lang w:val="es-MX" w:eastAsia="es-CO"/>
        </w:rPr>
        <w:tab/>
      </w:r>
      <w:r w:rsidRPr="003B5003">
        <w:rPr>
          <w:rStyle w:val="Hipervnculo"/>
          <w:rFonts w:ascii="Verdana" w:hAnsi="Verdana" w:cs="Segoe UI"/>
        </w:rPr>
        <w:t>@colombiacompra</w:t>
      </w:r>
      <w:r w:rsidRPr="003B5003">
        <w:rPr>
          <w:rFonts w:ascii="Verdana" w:eastAsia="Times New Roman" w:hAnsi="Verdana" w:cs="Segoe UI"/>
          <w:color w:val="4472C4" w:themeColor="accent1"/>
          <w:lang w:val="es-ES" w:eastAsia="es-CO"/>
        </w:rPr>
        <w:t> </w:t>
      </w:r>
    </w:p>
    <w:p w14:paraId="2E2B8246" w14:textId="77777777" w:rsidR="006847B1" w:rsidRPr="003B5003" w:rsidRDefault="006847B1" w:rsidP="006847B1">
      <w:pPr>
        <w:spacing w:after="0" w:line="240" w:lineRule="auto"/>
        <w:jc w:val="both"/>
        <w:textAlignment w:val="baseline"/>
        <w:rPr>
          <w:rFonts w:ascii="Verdana" w:eastAsia="Times New Roman" w:hAnsi="Verdana" w:cs="Segoe UI"/>
          <w:lang w:val="es-ES" w:eastAsia="es-CO"/>
        </w:rPr>
      </w:pPr>
      <w:r w:rsidRPr="003B5003">
        <w:rPr>
          <w:rFonts w:ascii="Verdana" w:eastAsia="Times New Roman" w:hAnsi="Verdana" w:cs="Segoe UI"/>
          <w:lang w:val="es-MX" w:eastAsia="es-CO"/>
        </w:rPr>
        <w:t xml:space="preserve">Facebook: </w:t>
      </w:r>
      <w:r w:rsidRPr="003B5003">
        <w:rPr>
          <w:rFonts w:ascii="Verdana" w:eastAsia="Times New Roman" w:hAnsi="Verdana" w:cs="Segoe UI"/>
          <w:lang w:val="es-MX" w:eastAsia="es-CO"/>
        </w:rPr>
        <w:tab/>
      </w:r>
      <w:proofErr w:type="spellStart"/>
      <w:r w:rsidRPr="003B5003">
        <w:rPr>
          <w:rStyle w:val="Hipervnculo"/>
          <w:rFonts w:ascii="Verdana" w:hAnsi="Verdana" w:cs="Segoe UI"/>
        </w:rPr>
        <w:t>ColombiaCompraEficiente</w:t>
      </w:r>
      <w:proofErr w:type="spellEnd"/>
      <w:r w:rsidRPr="003B5003">
        <w:rPr>
          <w:rFonts w:ascii="Verdana" w:eastAsia="Times New Roman" w:hAnsi="Verdana" w:cs="Segoe UI"/>
          <w:color w:val="0000FF"/>
          <w:lang w:val="es-ES" w:eastAsia="es-CO"/>
        </w:rPr>
        <w:t> </w:t>
      </w:r>
    </w:p>
    <w:p w14:paraId="563173AC" w14:textId="77777777" w:rsidR="006847B1" w:rsidRPr="003B5003" w:rsidRDefault="006847B1" w:rsidP="006847B1">
      <w:pPr>
        <w:spacing w:after="0" w:line="240" w:lineRule="auto"/>
        <w:ind w:left="1410" w:hanging="1410"/>
        <w:jc w:val="both"/>
        <w:textAlignment w:val="baseline"/>
        <w:rPr>
          <w:rFonts w:ascii="Verdana" w:eastAsia="Times New Roman" w:hAnsi="Verdana" w:cs="Segoe UI"/>
          <w:lang w:val="es-ES" w:eastAsia="es-CO"/>
        </w:rPr>
      </w:pPr>
      <w:r w:rsidRPr="003B5003">
        <w:rPr>
          <w:rFonts w:ascii="Verdana" w:eastAsia="Times New Roman" w:hAnsi="Verdana" w:cs="Segoe UI"/>
          <w:lang w:val="es-MX" w:eastAsia="es-CO"/>
        </w:rPr>
        <w:t xml:space="preserve">LinkedIn: </w:t>
      </w:r>
      <w:r w:rsidRPr="003B5003">
        <w:rPr>
          <w:rFonts w:ascii="Verdana" w:eastAsia="Times New Roman" w:hAnsi="Verdana" w:cs="Segoe UI"/>
          <w:lang w:val="es-MX" w:eastAsia="es-CO"/>
        </w:rPr>
        <w:tab/>
      </w:r>
      <w:r w:rsidRPr="003B5003">
        <w:rPr>
          <w:rStyle w:val="Hipervnculo"/>
          <w:rFonts w:ascii="Verdana" w:hAnsi="Verdana" w:cs="Segoe UI"/>
        </w:rPr>
        <w:t>Agencia Nacional de Contratación Pública - Colombia Compra Eficiente</w:t>
      </w:r>
      <w:r w:rsidRPr="003B5003">
        <w:rPr>
          <w:rFonts w:ascii="Verdana" w:eastAsia="Times New Roman" w:hAnsi="Verdana" w:cs="Segoe UI"/>
          <w:color w:val="4472C4" w:themeColor="accent1"/>
          <w:lang w:val="es-ES" w:eastAsia="es-CO"/>
        </w:rPr>
        <w:t> </w:t>
      </w:r>
    </w:p>
    <w:p w14:paraId="422F7453" w14:textId="77777777" w:rsidR="006847B1" w:rsidRPr="003B5003" w:rsidRDefault="006847B1" w:rsidP="006847B1">
      <w:pPr>
        <w:spacing w:after="0" w:line="240" w:lineRule="auto"/>
        <w:jc w:val="both"/>
        <w:textAlignment w:val="baseline"/>
        <w:rPr>
          <w:rFonts w:ascii="Verdana" w:eastAsia="Times New Roman" w:hAnsi="Verdana" w:cs="Segoe UI"/>
          <w:color w:val="4472C4" w:themeColor="accent1"/>
          <w:lang w:val="es-ES" w:eastAsia="es-CO"/>
        </w:rPr>
      </w:pPr>
      <w:r w:rsidRPr="003B5003">
        <w:rPr>
          <w:rFonts w:ascii="Verdana" w:eastAsia="Times New Roman" w:hAnsi="Verdana" w:cs="Segoe UI"/>
          <w:lang w:val="es-MX" w:eastAsia="es-CO"/>
        </w:rPr>
        <w:t xml:space="preserve">Instagram: </w:t>
      </w:r>
      <w:r w:rsidRPr="003B5003">
        <w:rPr>
          <w:rFonts w:ascii="Verdana" w:eastAsia="Times New Roman" w:hAnsi="Verdana" w:cs="Segoe UI"/>
          <w:lang w:val="es-MX" w:eastAsia="es-CO"/>
        </w:rPr>
        <w:tab/>
      </w:r>
      <w:r w:rsidRPr="003B5003">
        <w:rPr>
          <w:rStyle w:val="Hipervnculo"/>
          <w:rFonts w:ascii="Verdana" w:hAnsi="Verdana" w:cs="Segoe UI"/>
        </w:rPr>
        <w:t>@colombiacompraeficiente_cce </w:t>
      </w:r>
    </w:p>
    <w:p w14:paraId="318E666D" w14:textId="77777777" w:rsidR="006847B1" w:rsidRDefault="006847B1" w:rsidP="006847B1">
      <w:pPr>
        <w:spacing w:after="0" w:line="240" w:lineRule="auto"/>
        <w:jc w:val="both"/>
        <w:textAlignment w:val="baseline"/>
        <w:rPr>
          <w:rFonts w:ascii="Verdana" w:eastAsia="Times New Roman" w:hAnsi="Verdana" w:cs="Segoe UI"/>
          <w:lang w:val="es-ES" w:eastAsia="es-CO"/>
        </w:rPr>
      </w:pPr>
    </w:p>
    <w:p w14:paraId="3EFC2802" w14:textId="77777777" w:rsidR="006847B1" w:rsidRPr="0024624F" w:rsidRDefault="006847B1" w:rsidP="006847B1">
      <w:pPr>
        <w:spacing w:after="0" w:line="240" w:lineRule="auto"/>
        <w:jc w:val="both"/>
        <w:textAlignment w:val="baseline"/>
        <w:rPr>
          <w:rFonts w:ascii="Verdana" w:eastAsia="Times New Roman" w:hAnsi="Verdana" w:cs="Segoe UI"/>
          <w:lang w:val="es-MX" w:eastAsia="es-CO"/>
        </w:rPr>
      </w:pPr>
    </w:p>
    <w:p w14:paraId="6A97A858" w14:textId="77777777" w:rsidR="006847B1" w:rsidRDefault="006847B1" w:rsidP="006847B1">
      <w:pPr>
        <w:spacing w:after="0" w:line="240" w:lineRule="auto"/>
        <w:jc w:val="both"/>
        <w:textAlignment w:val="baseline"/>
        <w:rPr>
          <w:rFonts w:ascii="Verdana" w:eastAsia="Times New Roman" w:hAnsi="Verdana" w:cs="Segoe UI"/>
          <w:lang w:eastAsia="es-CO"/>
        </w:rPr>
      </w:pPr>
      <w:r w:rsidRPr="0024624F">
        <w:rPr>
          <w:rFonts w:ascii="Verdana" w:eastAsia="Times New Roman" w:hAnsi="Verdana" w:cs="Segoe UI"/>
          <w:lang w:val="es-MX" w:eastAsia="es-CO"/>
        </w:rPr>
        <w:t>Cordialmente,</w:t>
      </w:r>
      <w:r w:rsidRPr="0024624F">
        <w:rPr>
          <w:rFonts w:ascii="Verdana" w:eastAsia="Times New Roman" w:hAnsi="Verdana" w:cs="Segoe UI"/>
          <w:lang w:eastAsia="es-CO"/>
        </w:rPr>
        <w:t> </w:t>
      </w:r>
    </w:p>
    <w:p w14:paraId="57222D15" w14:textId="406A0B32" w:rsidR="006847B1" w:rsidRDefault="009327CE" w:rsidP="006847B1">
      <w:pPr>
        <w:spacing w:after="0" w:line="240" w:lineRule="auto"/>
        <w:jc w:val="both"/>
        <w:textAlignment w:val="baseline"/>
        <w:rPr>
          <w:rFonts w:ascii="Verdana" w:eastAsia="Times New Roman" w:hAnsi="Verdana" w:cs="Segoe UI"/>
          <w:lang w:eastAsia="es-CO"/>
        </w:rPr>
      </w:pPr>
      <w:r w:rsidRPr="004A2E53">
        <w:rPr>
          <w:noProof/>
        </w:rPr>
        <w:drawing>
          <wp:anchor distT="0" distB="0" distL="114300" distR="114300" simplePos="0" relativeHeight="251661312" behindDoc="1" locked="0" layoutInCell="1" allowOverlap="1" wp14:anchorId="2008FD02" wp14:editId="4ED3DC34">
            <wp:simplePos x="0" y="0"/>
            <wp:positionH relativeFrom="column">
              <wp:posOffset>967740</wp:posOffset>
            </wp:positionH>
            <wp:positionV relativeFrom="paragraph">
              <wp:posOffset>117475</wp:posOffset>
            </wp:positionV>
            <wp:extent cx="3324225" cy="1263015"/>
            <wp:effectExtent l="0" t="0" r="9525" b="0"/>
            <wp:wrapTight wrapText="bothSides">
              <wp:wrapPolygon edited="0">
                <wp:start x="0" y="0"/>
                <wp:lineTo x="0" y="21176"/>
                <wp:lineTo x="21538" y="21176"/>
                <wp:lineTo x="21538"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24225" cy="1263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2854CC" w14:textId="015BF8F2" w:rsidR="006847B1" w:rsidRPr="004667F5" w:rsidRDefault="006847B1" w:rsidP="006847B1">
      <w:pPr>
        <w:jc w:val="both"/>
        <w:textAlignment w:val="baseline"/>
        <w:rPr>
          <w:rFonts w:ascii="Verdana" w:eastAsia="Times New Roman" w:hAnsi="Verdana"/>
          <w:lang w:eastAsia="es-CO"/>
        </w:rPr>
      </w:pPr>
    </w:p>
    <w:p w14:paraId="0749EB9B" w14:textId="497D0C80" w:rsidR="006847B1" w:rsidRPr="00D30247" w:rsidRDefault="006847B1" w:rsidP="006847B1">
      <w:pPr>
        <w:jc w:val="both"/>
        <w:textAlignment w:val="baseline"/>
        <w:rPr>
          <w:rFonts w:ascii="Verdana" w:eastAsia="Times New Roman" w:hAnsi="Verdana" w:cs="Calibri"/>
          <w:lang w:eastAsia="es-CO"/>
        </w:rPr>
      </w:pPr>
      <w:r w:rsidRPr="004667F5">
        <w:rPr>
          <w:rFonts w:ascii="Verdana" w:eastAsia="Times New Roman" w:hAnsi="Verdana" w:cs="Calibri"/>
          <w:lang w:eastAsia="es-CO"/>
        </w:rPr>
        <w:t> </w:t>
      </w:r>
    </w:p>
    <w:p w14:paraId="39E05673" w14:textId="77FDA449" w:rsidR="006847B1" w:rsidRPr="004667F5" w:rsidRDefault="006847B1" w:rsidP="006847B1">
      <w:pPr>
        <w:spacing w:after="0" w:line="240" w:lineRule="auto"/>
        <w:jc w:val="both"/>
        <w:textAlignment w:val="baseline"/>
        <w:rPr>
          <w:rFonts w:ascii="Verdana" w:eastAsia="Times New Roman" w:hAnsi="Verdana" w:cs="Segoe UI"/>
          <w:b/>
          <w:bCs/>
          <w:lang w:val="es-MX" w:eastAsia="es-CO"/>
        </w:rPr>
      </w:pPr>
    </w:p>
    <w:p w14:paraId="6E615C01" w14:textId="77777777" w:rsidR="006847B1" w:rsidRDefault="006847B1" w:rsidP="006847B1">
      <w:pPr>
        <w:spacing w:after="0" w:line="240" w:lineRule="auto"/>
        <w:textAlignment w:val="baseline"/>
        <w:rPr>
          <w:rFonts w:ascii="Verdana" w:eastAsia="Times New Roman" w:hAnsi="Verdana" w:cs="Segoe UI"/>
          <w:lang w:val="es-MX" w:eastAsia="es-CO"/>
        </w:rPr>
      </w:pPr>
      <w:r w:rsidRPr="004667F5">
        <w:rPr>
          <w:rFonts w:ascii="Verdana" w:eastAsia="Times New Roman" w:hAnsi="Verdana" w:cs="Segoe UI"/>
          <w:lang w:val="es-MX" w:eastAsia="es-CO"/>
        </w:rPr>
        <w:t xml:space="preserve">  </w:t>
      </w:r>
    </w:p>
    <w:p w14:paraId="28139796" w14:textId="77777777" w:rsidR="006847B1" w:rsidRDefault="006847B1" w:rsidP="006847B1">
      <w:pPr>
        <w:spacing w:after="0" w:line="240" w:lineRule="auto"/>
        <w:textAlignment w:val="baseline"/>
        <w:rPr>
          <w:rFonts w:ascii="Verdana" w:eastAsia="Times New Roman" w:hAnsi="Verdana" w:cs="Segoe UI"/>
          <w:lang w:val="es-MX" w:eastAsia="es-CO"/>
        </w:rPr>
      </w:pPr>
    </w:p>
    <w:p w14:paraId="12AB2DD6" w14:textId="77777777" w:rsidR="006847B1" w:rsidRDefault="006847B1" w:rsidP="006847B1">
      <w:pPr>
        <w:spacing w:after="0" w:line="240" w:lineRule="auto"/>
        <w:textAlignment w:val="baseline"/>
        <w:rPr>
          <w:rFonts w:ascii="Verdana" w:eastAsia="Times New Roman" w:hAnsi="Verdana" w:cs="Segoe UI"/>
          <w:lang w:val="es-MX" w:eastAsia="es-CO"/>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
        <w:gridCol w:w="5427"/>
      </w:tblGrid>
      <w:tr w:rsidR="006847B1" w:rsidRPr="004C0111" w14:paraId="4A89B475" w14:textId="77777777" w:rsidTr="00996205">
        <w:trPr>
          <w:trHeight w:val="729"/>
        </w:trPr>
        <w:tc>
          <w:tcPr>
            <w:tcW w:w="902" w:type="dxa"/>
            <w:vAlign w:val="center"/>
            <w:hideMark/>
          </w:tcPr>
          <w:p w14:paraId="4C0A2423" w14:textId="77777777" w:rsidR="006847B1" w:rsidRPr="004C0111" w:rsidRDefault="006847B1" w:rsidP="00996205">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27" w:type="dxa"/>
            <w:tcBorders>
              <w:top w:val="nil"/>
              <w:left w:val="nil"/>
              <w:bottom w:val="dotted" w:sz="4" w:space="0" w:color="7F7F7F" w:themeColor="text1" w:themeTint="80"/>
              <w:right w:val="nil"/>
            </w:tcBorders>
            <w:vAlign w:val="center"/>
            <w:hideMark/>
          </w:tcPr>
          <w:tbl>
            <w:tblPr>
              <w:tblW w:w="52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9"/>
            </w:tblGrid>
            <w:tr w:rsidR="006847B1" w:rsidRPr="004C0111" w14:paraId="46B052B6" w14:textId="77777777" w:rsidTr="00996205">
              <w:trPr>
                <w:trHeight w:val="52"/>
              </w:trPr>
              <w:tc>
                <w:tcPr>
                  <w:tcW w:w="5209" w:type="dxa"/>
                  <w:tcBorders>
                    <w:top w:val="dotted" w:sz="6" w:space="0" w:color="7F7F7F"/>
                    <w:left w:val="nil"/>
                    <w:bottom w:val="dotted" w:sz="6" w:space="0" w:color="7F7F7F"/>
                    <w:right w:val="nil"/>
                  </w:tcBorders>
                  <w:vAlign w:val="center"/>
                  <w:hideMark/>
                </w:tcPr>
                <w:p w14:paraId="3C1931CD" w14:textId="77777777" w:rsidR="006847B1" w:rsidRPr="004C0111" w:rsidRDefault="006847B1" w:rsidP="00996205">
                  <w:pPr>
                    <w:spacing w:after="0"/>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Kelmis Yirama Brugés Alvarado</w:t>
                  </w:r>
                </w:p>
                <w:p w14:paraId="2D984C35" w14:textId="77777777" w:rsidR="006847B1" w:rsidRPr="004C0111" w:rsidRDefault="006847B1" w:rsidP="00996205">
                  <w:pPr>
                    <w:spacing w:after="0"/>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7561F890" w14:textId="77777777" w:rsidR="006847B1" w:rsidRPr="004C0111" w:rsidRDefault="006847B1" w:rsidP="00996205">
            <w:pPr>
              <w:spacing w:line="276" w:lineRule="auto"/>
              <w:contextualSpacing/>
              <w:rPr>
                <w:rFonts w:ascii="Verdana" w:eastAsia="Calibri" w:hAnsi="Verdana" w:cs="Arial"/>
                <w:sz w:val="16"/>
                <w:szCs w:val="16"/>
                <w:lang w:val="es-MX"/>
              </w:rPr>
            </w:pPr>
          </w:p>
        </w:tc>
      </w:tr>
      <w:tr w:rsidR="006847B1" w:rsidRPr="004C0111" w14:paraId="5388BFDB" w14:textId="77777777" w:rsidTr="00996205">
        <w:trPr>
          <w:trHeight w:val="387"/>
        </w:trPr>
        <w:tc>
          <w:tcPr>
            <w:tcW w:w="902" w:type="dxa"/>
            <w:vAlign w:val="center"/>
            <w:hideMark/>
          </w:tcPr>
          <w:p w14:paraId="1FDCC7FE" w14:textId="77777777" w:rsidR="006847B1" w:rsidRPr="004C0111" w:rsidRDefault="006847B1" w:rsidP="00996205">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27" w:type="dxa"/>
            <w:tcBorders>
              <w:top w:val="dotted" w:sz="4" w:space="0" w:color="7F7F7F" w:themeColor="text1" w:themeTint="80"/>
              <w:left w:val="nil"/>
              <w:bottom w:val="dotted" w:sz="4" w:space="0" w:color="7F7F7F" w:themeColor="text1" w:themeTint="80"/>
              <w:right w:val="nil"/>
            </w:tcBorders>
            <w:vAlign w:val="center"/>
            <w:hideMark/>
          </w:tcPr>
          <w:p w14:paraId="73F12CCB" w14:textId="52BD9F4B" w:rsidR="006847B1" w:rsidRPr="004C0111" w:rsidRDefault="00E06051" w:rsidP="00996205">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 xml:space="preserve">Juan David Cárdenas Cabeza </w:t>
            </w:r>
          </w:p>
          <w:p w14:paraId="06505991" w14:textId="629B085A" w:rsidR="006847B1" w:rsidRPr="004C0111" w:rsidRDefault="00E06051" w:rsidP="00996205">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006847B1" w:rsidRPr="004C0111">
              <w:rPr>
                <w:rFonts w:ascii="Verdana" w:eastAsia="Times New Roman" w:hAnsi="Verdana" w:cs="Arial"/>
                <w:sz w:val="16"/>
                <w:szCs w:val="16"/>
                <w:lang w:eastAsia="es-CO"/>
              </w:rPr>
              <w:t>de la Subdirección de Gestión Contractual</w:t>
            </w:r>
          </w:p>
        </w:tc>
      </w:tr>
      <w:tr w:rsidR="006847B1" w:rsidRPr="004C0111" w14:paraId="563B4E4D" w14:textId="77777777" w:rsidTr="00996205">
        <w:trPr>
          <w:trHeight w:val="333"/>
        </w:trPr>
        <w:tc>
          <w:tcPr>
            <w:tcW w:w="902" w:type="dxa"/>
            <w:vAlign w:val="center"/>
          </w:tcPr>
          <w:p w14:paraId="40350688" w14:textId="77777777" w:rsidR="006847B1" w:rsidRPr="004C0111" w:rsidRDefault="006847B1" w:rsidP="00996205">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27" w:type="dxa"/>
            <w:tcBorders>
              <w:top w:val="dotted" w:sz="4" w:space="0" w:color="7F7F7F" w:themeColor="text1" w:themeTint="80"/>
              <w:left w:val="nil"/>
              <w:bottom w:val="dotted" w:sz="4" w:space="0" w:color="7F7F7F" w:themeColor="text1" w:themeTint="80"/>
              <w:right w:val="nil"/>
            </w:tcBorders>
            <w:vAlign w:val="center"/>
          </w:tcPr>
          <w:p w14:paraId="4D485E4E" w14:textId="77777777" w:rsidR="006847B1" w:rsidRPr="002F2853" w:rsidRDefault="006847B1" w:rsidP="00996205">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6C56BA70" w14:textId="77777777" w:rsidR="006847B1" w:rsidRPr="004C0111" w:rsidRDefault="006847B1" w:rsidP="00996205">
            <w:pPr>
              <w:spacing w:line="276" w:lineRule="auto"/>
              <w:contextualSpacing/>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bookmarkEnd w:id="4"/>
    </w:tbl>
    <w:p w14:paraId="7C9026E2" w14:textId="77777777" w:rsidR="002A0DD0" w:rsidRPr="006847B1" w:rsidRDefault="002A0DD0" w:rsidP="30821638">
      <w:pPr>
        <w:spacing w:after="0" w:line="240" w:lineRule="auto"/>
        <w:jc w:val="both"/>
        <w:rPr>
          <w:rFonts w:ascii="Verdana" w:eastAsia="Verdana" w:hAnsi="Verdana" w:cs="Verdana"/>
          <w:b/>
          <w:bCs/>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56B2B0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1BADD" w14:textId="77777777" w:rsidR="00E13C89" w:rsidRDefault="00E13C89" w:rsidP="004A1847">
      <w:pPr>
        <w:spacing w:after="0" w:line="240" w:lineRule="auto"/>
      </w:pPr>
      <w:r>
        <w:separator/>
      </w:r>
    </w:p>
  </w:endnote>
  <w:endnote w:type="continuationSeparator" w:id="0">
    <w:p w14:paraId="17437AE7" w14:textId="77777777" w:rsidR="00E13C89" w:rsidRDefault="00E13C8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7679C" w14:textId="77777777" w:rsidR="00E13C89" w:rsidRDefault="00E13C89" w:rsidP="004A1847">
      <w:pPr>
        <w:spacing w:after="0" w:line="240" w:lineRule="auto"/>
      </w:pPr>
      <w:r>
        <w:separator/>
      </w:r>
    </w:p>
  </w:footnote>
  <w:footnote w:type="continuationSeparator" w:id="0">
    <w:p w14:paraId="5F2DDB69" w14:textId="77777777" w:rsidR="00E13C89" w:rsidRDefault="00E13C89" w:rsidP="004A1847">
      <w:pPr>
        <w:spacing w:after="0" w:line="240" w:lineRule="auto"/>
      </w:pPr>
      <w:r>
        <w:continuationSeparator/>
      </w:r>
    </w:p>
  </w:footnote>
  <w:footnote w:id="1">
    <w:p w14:paraId="54AC9BBA" w14:textId="77777777" w:rsidR="00A244A7" w:rsidRDefault="00A244A7" w:rsidP="00A244A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C-285 del 20 de mayo de 2022. Consultar en: </w:t>
      </w:r>
      <w:hyperlink r:id="rId1" w:history="1">
        <w:r>
          <w:rPr>
            <w:rStyle w:val="Hipervnculo"/>
            <w:rFonts w:ascii="Verdana" w:hAnsi="Verdana"/>
            <w:sz w:val="16"/>
            <w:szCs w:val="16"/>
          </w:rPr>
          <w:t>https://relatoria.colombiacompra.gov.co/conceptos/c-285-de-2022/</w:t>
        </w:r>
      </w:hyperlink>
    </w:p>
    <w:p w14:paraId="7CDF1A04" w14:textId="77777777" w:rsidR="00A244A7" w:rsidRDefault="00A244A7" w:rsidP="00A244A7">
      <w:pPr>
        <w:pStyle w:val="Textonotapie"/>
        <w:ind w:firstLine="708"/>
        <w:jc w:val="both"/>
        <w:rPr>
          <w:rFonts w:ascii="Verdana" w:hAnsi="Verdana"/>
          <w:sz w:val="16"/>
          <w:szCs w:val="16"/>
          <w:lang w:val="es-CO"/>
        </w:rPr>
      </w:pPr>
      <w:r>
        <w:rPr>
          <w:rFonts w:ascii="Verdana" w:hAnsi="Verdana"/>
          <w:sz w:val="16"/>
          <w:szCs w:val="16"/>
        </w:rPr>
        <w:t xml:space="preserve"> </w:t>
      </w:r>
    </w:p>
  </w:footnote>
  <w:footnote w:id="2">
    <w:p w14:paraId="1821E0B3" w14:textId="77777777" w:rsidR="00A244A7" w:rsidRDefault="00A244A7" w:rsidP="00A244A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C-447 del 19 de septiembre de 2024. Consultar en: </w:t>
      </w:r>
      <w:hyperlink r:id="rId2" w:history="1">
        <w:r>
          <w:rPr>
            <w:rStyle w:val="Hipervnculo"/>
            <w:rFonts w:ascii="Verdana" w:hAnsi="Verdana"/>
            <w:sz w:val="16"/>
            <w:szCs w:val="16"/>
          </w:rPr>
          <w:t>https://relatoria.colombiacompra.gov.co/conceptos/c-447-de-2024/</w:t>
        </w:r>
      </w:hyperlink>
      <w:r>
        <w:rPr>
          <w:rFonts w:ascii="Verdana" w:hAnsi="Verdana"/>
          <w:sz w:val="16"/>
          <w:szCs w:val="16"/>
        </w:rPr>
        <w:t xml:space="preserve"> </w:t>
      </w:r>
    </w:p>
    <w:p w14:paraId="66B5ED2B" w14:textId="77777777" w:rsidR="00A244A7" w:rsidRDefault="00A244A7" w:rsidP="00A244A7">
      <w:pPr>
        <w:pStyle w:val="Textonotapie"/>
        <w:jc w:val="both"/>
        <w:rPr>
          <w:rFonts w:ascii="Verdana" w:hAnsi="Verdana"/>
          <w:sz w:val="16"/>
          <w:szCs w:val="16"/>
        </w:rPr>
      </w:pPr>
    </w:p>
  </w:footnote>
  <w:footnote w:id="3">
    <w:p w14:paraId="6C588906" w14:textId="77777777" w:rsidR="00A244A7" w:rsidRDefault="00A244A7" w:rsidP="00A244A7">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Style w:val="Refdenotaalpie"/>
          <w:rFonts w:ascii="Verdana" w:hAnsi="Verdana" w:cs="Arial"/>
          <w:color w:val="000000"/>
          <w:sz w:val="16"/>
          <w:szCs w:val="16"/>
        </w:rPr>
        <w:t xml:space="preserve"> </w:t>
      </w:r>
      <w:r>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1B8D956E" w14:textId="77777777" w:rsidR="00A244A7" w:rsidRDefault="00A244A7" w:rsidP="00A244A7">
      <w:pPr>
        <w:pStyle w:val="Textonotapie"/>
        <w:ind w:firstLine="709"/>
        <w:jc w:val="both"/>
        <w:rPr>
          <w:rFonts w:ascii="Verdana" w:hAnsi="Verdana" w:cs="Arial"/>
          <w:color w:val="000000"/>
          <w:sz w:val="16"/>
          <w:szCs w:val="16"/>
        </w:rPr>
      </w:pPr>
    </w:p>
  </w:footnote>
  <w:footnote w:id="4">
    <w:p w14:paraId="21AA6651" w14:textId="77777777" w:rsidR="00A244A7" w:rsidRDefault="00A244A7" w:rsidP="00A244A7">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21240499" w14:textId="77777777" w:rsidR="00A244A7" w:rsidRDefault="00A244A7" w:rsidP="00A244A7">
      <w:pPr>
        <w:pStyle w:val="Textonotapie"/>
        <w:ind w:firstLine="709"/>
        <w:jc w:val="both"/>
        <w:rPr>
          <w:rFonts w:ascii="Verdana" w:hAnsi="Verdana" w:cs="Arial"/>
          <w:color w:val="000000"/>
          <w:sz w:val="16"/>
          <w:szCs w:val="16"/>
        </w:rPr>
      </w:pPr>
      <w:r>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7DD12CE2" w14:textId="77777777" w:rsidR="00A244A7" w:rsidRDefault="00A244A7" w:rsidP="00A244A7">
      <w:pPr>
        <w:pStyle w:val="Textonotapie"/>
        <w:ind w:firstLine="709"/>
        <w:jc w:val="both"/>
        <w:rPr>
          <w:rFonts w:ascii="Verdana" w:hAnsi="Verdana" w:cs="Arial"/>
          <w:color w:val="000000"/>
          <w:sz w:val="16"/>
          <w:szCs w:val="16"/>
        </w:rPr>
      </w:pPr>
    </w:p>
  </w:footnote>
  <w:footnote w:id="5">
    <w:p w14:paraId="5CB3C8FE" w14:textId="77777777" w:rsidR="00A244A7" w:rsidRDefault="00A244A7" w:rsidP="00A244A7">
      <w:pPr>
        <w:pStyle w:val="Textonotapie"/>
        <w:ind w:firstLine="709"/>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7832B1E1" w14:textId="77777777" w:rsidR="00A244A7" w:rsidRDefault="00A244A7" w:rsidP="00A244A7">
      <w:pPr>
        <w:pStyle w:val="Textonotapie"/>
        <w:ind w:firstLine="709"/>
        <w:jc w:val="both"/>
        <w:rPr>
          <w:rFonts w:ascii="Verdana" w:hAnsi="Verdana" w:cs="Arial"/>
          <w:color w:val="000000"/>
          <w:sz w:val="16"/>
          <w:szCs w:val="16"/>
        </w:rPr>
      </w:pPr>
      <w:r>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Pr>
            <w:rStyle w:val="Hipervnculo"/>
            <w:rFonts w:ascii="Verdana" w:hAnsi="Verdana" w:cs="Arial"/>
            <w:sz w:val="16"/>
            <w:szCs w:val="16"/>
          </w:rPr>
          <w:t>https://www.colombiacompra.gov.co/circulares?page=2</w:t>
        </w:r>
      </w:hyperlink>
      <w:r>
        <w:rPr>
          <w:rStyle w:val="Hipervnculo"/>
          <w:rFonts w:ascii="Verdana" w:hAnsi="Verdana" w:cs="Arial"/>
          <w:color w:val="000000"/>
          <w:sz w:val="16"/>
          <w:szCs w:val="16"/>
        </w:rPr>
        <w:t xml:space="preserve"> </w:t>
      </w:r>
    </w:p>
    <w:p w14:paraId="4BDEFD5F" w14:textId="77777777" w:rsidR="00A244A7" w:rsidRDefault="00A244A7" w:rsidP="00A244A7">
      <w:pPr>
        <w:pStyle w:val="Textonotapie"/>
        <w:ind w:firstLine="709"/>
        <w:jc w:val="both"/>
        <w:rPr>
          <w:rFonts w:ascii="Verdana" w:hAnsi="Verdana" w:cs="Arial"/>
          <w:color w:val="000000"/>
          <w:sz w:val="16"/>
          <w:szCs w:val="16"/>
        </w:rPr>
      </w:pPr>
    </w:p>
  </w:footnote>
  <w:footnote w:id="6">
    <w:p w14:paraId="44AB106F" w14:textId="77777777" w:rsidR="00A244A7" w:rsidRDefault="00A244A7" w:rsidP="00A244A7">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Ver Consejo de Estado, Sección Tercera, Subsección C. Sentencia del 26 de febrero de 2011. C.P. Jaime Orlando Santofimio. Rad. 36.408. </w:t>
      </w:r>
    </w:p>
  </w:footnote>
  <w:footnote w:id="7">
    <w:p w14:paraId="71A253E1" w14:textId="77777777" w:rsidR="00A244A7" w:rsidRDefault="00A244A7" w:rsidP="00A244A7">
      <w:pPr>
        <w:pStyle w:val="Textonotapie"/>
        <w:ind w:firstLine="709"/>
        <w:jc w:val="both"/>
        <w:rPr>
          <w:rFonts w:ascii="Verdana" w:hAnsi="Verdana" w:cs="Arial"/>
          <w:color w:val="000000"/>
          <w:sz w:val="16"/>
          <w:szCs w:val="16"/>
        </w:rPr>
      </w:pPr>
    </w:p>
    <w:p w14:paraId="7B78CB9B" w14:textId="77777777" w:rsidR="00A244A7" w:rsidRDefault="00A244A7" w:rsidP="00A244A7">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Ver Consejo de Estado, Sección Tercera, Subsección C. Sentencia del 26 de febrero de 2014. C.P. Enrique Gil Botero. Rad. 25.804. </w:t>
      </w:r>
    </w:p>
    <w:p w14:paraId="6427F6A9" w14:textId="77777777" w:rsidR="00A244A7" w:rsidRDefault="00A244A7" w:rsidP="00A244A7">
      <w:pPr>
        <w:pStyle w:val="Textonotapie"/>
        <w:ind w:firstLine="709"/>
        <w:jc w:val="both"/>
        <w:rPr>
          <w:rFonts w:ascii="Verdana" w:hAnsi="Verdana" w:cs="Arial"/>
          <w:color w:val="000000"/>
          <w:sz w:val="16"/>
          <w:szCs w:val="16"/>
        </w:rPr>
      </w:pPr>
    </w:p>
  </w:footnote>
  <w:footnote w:id="8">
    <w:p w14:paraId="6C2EAD40" w14:textId="77777777" w:rsidR="00A244A7" w:rsidRDefault="00A244A7" w:rsidP="00A244A7">
      <w:pPr>
        <w:pStyle w:val="Textonotapie"/>
        <w:ind w:firstLine="708"/>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Consejo de Estado. Sala de Consulta y Servicio Civil. Concepto del 20 de mayo de 2010. Expediente: 1992. Consejero Ponente: Enrique José Arboleda Perdomo.</w:t>
      </w:r>
    </w:p>
    <w:p w14:paraId="55B953C1" w14:textId="77777777" w:rsidR="00A244A7" w:rsidRDefault="00A244A7" w:rsidP="00A244A7">
      <w:pPr>
        <w:pStyle w:val="Textonotapie"/>
        <w:ind w:firstLine="708"/>
        <w:jc w:val="both"/>
        <w:rPr>
          <w:rFonts w:ascii="Verdana" w:hAnsi="Verdana" w:cs="Arial"/>
          <w:color w:val="000000"/>
          <w:sz w:val="16"/>
          <w:szCs w:val="16"/>
        </w:rPr>
      </w:pPr>
    </w:p>
  </w:footnote>
  <w:footnote w:id="9">
    <w:p w14:paraId="41CEF558" w14:textId="77777777" w:rsidR="00A244A7" w:rsidRPr="00DE4763" w:rsidRDefault="00A244A7" w:rsidP="00A244A7">
      <w:pPr>
        <w:pStyle w:val="Textonotapie"/>
        <w:ind w:firstLine="708"/>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Ospina Mena, Jesús Marino. Régimen de la Contratación Estatal. Un salto a la contratación líquida. Bogotá: Ed. 1ª. Diké, 2020. p. 383.</w:t>
      </w:r>
    </w:p>
    <w:p w14:paraId="3BA70FD4" w14:textId="77777777" w:rsidR="00A244A7" w:rsidRPr="00DE4763" w:rsidRDefault="00A244A7" w:rsidP="00A244A7">
      <w:pPr>
        <w:pStyle w:val="Textonotapie"/>
        <w:ind w:firstLine="708"/>
        <w:jc w:val="both"/>
        <w:rPr>
          <w:rFonts w:ascii="Verdana" w:hAnsi="Verdana" w:cs="Arial"/>
          <w:color w:val="000000" w:themeColor="text1"/>
          <w:sz w:val="16"/>
          <w:szCs w:val="16"/>
        </w:rPr>
      </w:pPr>
    </w:p>
  </w:footnote>
  <w:footnote w:id="10">
    <w:p w14:paraId="13171036" w14:textId="77777777" w:rsidR="00A244A7" w:rsidRPr="00DE4763" w:rsidRDefault="00A244A7" w:rsidP="00A244A7">
      <w:pPr>
        <w:pStyle w:val="Textonotapie"/>
        <w:ind w:firstLine="708"/>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Consejo De Estado. Sección Tercera. Sentencia de 30 de noviembre de 2006. </w:t>
      </w:r>
      <w:proofErr w:type="spellStart"/>
      <w:r w:rsidRPr="00DE4763">
        <w:rPr>
          <w:rFonts w:ascii="Verdana" w:hAnsi="Verdana" w:cs="Arial"/>
          <w:color w:val="000000" w:themeColor="text1"/>
          <w:sz w:val="16"/>
          <w:szCs w:val="16"/>
        </w:rPr>
        <w:t>Exp</w:t>
      </w:r>
      <w:proofErr w:type="spellEnd"/>
      <w:r w:rsidRPr="00DE4763">
        <w:rPr>
          <w:rFonts w:ascii="Verdana" w:hAnsi="Verdana" w:cs="Arial"/>
          <w:color w:val="000000" w:themeColor="text1"/>
          <w:sz w:val="16"/>
          <w:szCs w:val="16"/>
        </w:rPr>
        <w:t>. 18.059. M.P. Alier Hernández Enríquez.</w:t>
      </w:r>
    </w:p>
  </w:footnote>
  <w:footnote w:id="11">
    <w:p w14:paraId="76D59313" w14:textId="77777777" w:rsidR="00A244A7" w:rsidRPr="00DE4763" w:rsidRDefault="00A244A7" w:rsidP="00A244A7">
      <w:pPr>
        <w:pStyle w:val="Textonotapie"/>
        <w:ind w:firstLine="708"/>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Sin perjuicio de los dispuesto en el artículo 2.2.1.1.2.1.3. del Decreto 1082 de 2015 sobre el contenido del pliego de condiciones.</w:t>
      </w:r>
    </w:p>
    <w:p w14:paraId="7A78273A" w14:textId="77777777" w:rsidR="00A244A7" w:rsidRPr="00DE4763" w:rsidRDefault="00A244A7" w:rsidP="00A244A7">
      <w:pPr>
        <w:pStyle w:val="Textonotapie"/>
        <w:ind w:firstLine="708"/>
        <w:jc w:val="both"/>
        <w:rPr>
          <w:rFonts w:ascii="Verdana" w:hAnsi="Verdana" w:cs="Arial"/>
          <w:color w:val="000000" w:themeColor="text1"/>
          <w:sz w:val="16"/>
          <w:szCs w:val="16"/>
        </w:rPr>
      </w:pPr>
    </w:p>
  </w:footnote>
  <w:footnote w:id="12">
    <w:p w14:paraId="6E85C87D" w14:textId="77777777" w:rsidR="00A244A7" w:rsidRPr="00DE4763" w:rsidRDefault="00A244A7" w:rsidP="00A244A7">
      <w:pPr>
        <w:pStyle w:val="Textonotapie"/>
        <w:ind w:firstLine="708"/>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Lo anterior, sin perjuicio de los casos en que resulten aplicables los documentos tipo –o pliegos tipo– de que trata el parágrafo 7 del artículo 2 de la Ley 1150 de 2007, modificado por el artículo 1 de la Ley 2022 de 2020.</w:t>
      </w:r>
    </w:p>
  </w:footnote>
  <w:footnote w:id="13">
    <w:p w14:paraId="1D695D52" w14:textId="77777777" w:rsidR="00A244A7" w:rsidRPr="00DE4763" w:rsidRDefault="00A244A7" w:rsidP="00A244A7">
      <w:pPr>
        <w:spacing w:after="0"/>
        <w:ind w:firstLine="720"/>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6E2DDAA5" w14:textId="77777777" w:rsidR="00A244A7" w:rsidRPr="00DE4763" w:rsidRDefault="00A244A7" w:rsidP="00A244A7">
      <w:pPr>
        <w:spacing w:after="0"/>
        <w:ind w:firstLine="720"/>
        <w:jc w:val="both"/>
        <w:rPr>
          <w:rFonts w:ascii="Verdana" w:hAnsi="Verdana" w:cs="Arial"/>
          <w:color w:val="000000" w:themeColor="text1"/>
          <w:sz w:val="16"/>
          <w:szCs w:val="16"/>
        </w:rPr>
      </w:pPr>
      <w:r w:rsidRPr="00DE4763">
        <w:rPr>
          <w:rFonts w:ascii="Verdana" w:hAnsi="Verdana" w:cs="Arial"/>
          <w:color w:val="000000" w:themeColor="text1"/>
          <w:sz w:val="16"/>
          <w:szCs w:val="16"/>
          <w:u w:val="single" w:color="4E4D4D"/>
        </w:rPr>
        <w:t xml:space="preserve"> </w:t>
      </w:r>
      <w:r w:rsidRPr="00DE4763">
        <w:rPr>
          <w:rFonts w:ascii="Verdana" w:hAnsi="Verdana" w:cs="Arial"/>
          <w:color w:val="000000" w:themeColor="text1"/>
          <w:sz w:val="16"/>
          <w:szCs w:val="16"/>
        </w:rPr>
        <w:t>“5.2. De la fuerza vinculante de las respuestas a las solicitudes de aclaraciones en relación con los términos de referencia.</w:t>
      </w:r>
    </w:p>
    <w:p w14:paraId="7029CD32" w14:textId="77777777" w:rsidR="00A244A7" w:rsidRPr="00DE4763" w:rsidRDefault="00A244A7" w:rsidP="00A244A7">
      <w:pPr>
        <w:spacing w:after="0"/>
        <w:ind w:firstLine="720"/>
        <w:jc w:val="both"/>
        <w:rPr>
          <w:rFonts w:ascii="Verdana" w:hAnsi="Verdana" w:cs="Arial"/>
          <w:color w:val="000000" w:themeColor="text1"/>
          <w:sz w:val="16"/>
          <w:szCs w:val="16"/>
        </w:rPr>
      </w:pPr>
      <w:r w:rsidRPr="00DE4763">
        <w:rPr>
          <w:rFonts w:ascii="Verdana" w:hAnsi="Verdana" w:cs="Arial"/>
          <w:color w:val="000000" w:themeColor="text1"/>
          <w:sz w:val="16"/>
          <w:szCs w:val="16"/>
        </w:rPr>
        <w:t>[…]</w:t>
      </w:r>
    </w:p>
    <w:p w14:paraId="0EB1EEAE" w14:textId="77777777" w:rsidR="00A244A7" w:rsidRPr="00DE4763" w:rsidRDefault="00A244A7" w:rsidP="00A244A7">
      <w:pPr>
        <w:spacing w:after="0"/>
        <w:ind w:firstLine="720"/>
        <w:jc w:val="both"/>
        <w:rPr>
          <w:rFonts w:ascii="Verdana" w:hAnsi="Verdana" w:cs="Arial"/>
          <w:color w:val="000000" w:themeColor="text1"/>
          <w:sz w:val="16"/>
          <w:szCs w:val="16"/>
        </w:rPr>
      </w:pPr>
      <w:r w:rsidRPr="00DE4763">
        <w:rPr>
          <w:rFonts w:ascii="Verdana" w:hAnsi="Verdana" w:cs="Arial"/>
          <w:color w:val="000000" w:themeColor="text1"/>
          <w:sz w:val="16"/>
          <w:szCs w:val="16"/>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DE4763">
        <w:rPr>
          <w:rFonts w:ascii="Verdana" w:hAnsi="Verdana" w:cs="Arial"/>
          <w:color w:val="000000" w:themeColor="text1"/>
          <w:spacing w:val="-11"/>
          <w:sz w:val="16"/>
          <w:szCs w:val="16"/>
        </w:rPr>
        <w:t xml:space="preserve"> </w:t>
      </w:r>
      <w:r w:rsidRPr="00DE4763">
        <w:rPr>
          <w:rFonts w:ascii="Verdana" w:hAnsi="Verdana" w:cs="Arial"/>
          <w:color w:val="000000" w:themeColor="text1"/>
          <w:sz w:val="16"/>
          <w:szCs w:val="16"/>
        </w:rPr>
        <w:t>oferentes.</w:t>
      </w:r>
    </w:p>
    <w:p w14:paraId="5B1E31E5" w14:textId="77777777" w:rsidR="00A244A7" w:rsidRPr="00DE4763" w:rsidRDefault="00A244A7" w:rsidP="00A244A7">
      <w:pPr>
        <w:ind w:firstLine="720"/>
        <w:jc w:val="both"/>
        <w:rPr>
          <w:rFonts w:ascii="Verdana" w:hAnsi="Verdana" w:cs="Arial"/>
          <w:color w:val="000000" w:themeColor="text1"/>
          <w:sz w:val="16"/>
          <w:szCs w:val="16"/>
        </w:rPr>
      </w:pPr>
      <w:r w:rsidRPr="00DE4763">
        <w:rPr>
          <w:rFonts w:ascii="Verdana" w:hAnsi="Verdana" w:cs="Arial"/>
          <w:color w:val="000000" w:themeColor="text1"/>
          <w:sz w:val="16"/>
          <w:szCs w:val="16"/>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DE4763">
        <w:rPr>
          <w:rFonts w:ascii="Verdana" w:hAnsi="Verdana" w:cs="Arial"/>
          <w:color w:val="000000" w:themeColor="text1"/>
          <w:spacing w:val="-20"/>
          <w:sz w:val="16"/>
          <w:szCs w:val="16"/>
        </w:rPr>
        <w:t xml:space="preserve"> </w:t>
      </w:r>
      <w:r w:rsidRPr="00DE4763">
        <w:rPr>
          <w:rFonts w:ascii="Verdana" w:hAnsi="Verdana" w:cs="Arial"/>
          <w:color w:val="000000" w:themeColor="text1"/>
          <w:sz w:val="16"/>
          <w:szCs w:val="16"/>
        </w:rPr>
        <w:t>condiciones”.</w:t>
      </w:r>
    </w:p>
  </w:footnote>
  <w:footnote w:id="14">
    <w:p w14:paraId="306D103C" w14:textId="77777777" w:rsidR="00A244A7" w:rsidRPr="00DE4763" w:rsidRDefault="00A244A7" w:rsidP="00A244A7">
      <w:pPr>
        <w:pStyle w:val="Textonotapie"/>
        <w:ind w:firstLine="708"/>
        <w:jc w:val="both"/>
        <w:rPr>
          <w:rFonts w:ascii="Verdana" w:hAnsi="Verdana" w:cs="Arial"/>
          <w:color w:val="000000" w:themeColor="text1"/>
          <w:sz w:val="16"/>
          <w:szCs w:val="16"/>
          <w:lang w:val="es-ES"/>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7240C9"/>
    <w:multiLevelType w:val="hybridMultilevel"/>
    <w:tmpl w:val="514AEFDA"/>
    <w:lvl w:ilvl="0" w:tplc="104A6468">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093271E8"/>
    <w:multiLevelType w:val="hybridMultilevel"/>
    <w:tmpl w:val="A9221B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998508393">
    <w:abstractNumId w:val="11"/>
  </w:num>
  <w:num w:numId="17" w16cid:durableId="81830042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8609208">
    <w:abstractNumId w:val="3"/>
  </w:num>
  <w:num w:numId="19" w16cid:durableId="1372534434">
    <w:abstractNumId w:val="12"/>
  </w:num>
  <w:num w:numId="20" w16cid:durableId="360483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C3B"/>
    <w:rsid w:val="00016F78"/>
    <w:rsid w:val="00046945"/>
    <w:rsid w:val="00053C82"/>
    <w:rsid w:val="00061B2A"/>
    <w:rsid w:val="0007270C"/>
    <w:rsid w:val="00080C34"/>
    <w:rsid w:val="00082362"/>
    <w:rsid w:val="00083F1C"/>
    <w:rsid w:val="000A683E"/>
    <w:rsid w:val="000B19B9"/>
    <w:rsid w:val="000B1F24"/>
    <w:rsid w:val="000D0334"/>
    <w:rsid w:val="000D5DA7"/>
    <w:rsid w:val="000F577C"/>
    <w:rsid w:val="000F6486"/>
    <w:rsid w:val="00100B0F"/>
    <w:rsid w:val="00106705"/>
    <w:rsid w:val="00116940"/>
    <w:rsid w:val="00125105"/>
    <w:rsid w:val="00127233"/>
    <w:rsid w:val="001374EE"/>
    <w:rsid w:val="00150E1A"/>
    <w:rsid w:val="0015699B"/>
    <w:rsid w:val="00164477"/>
    <w:rsid w:val="00180DE2"/>
    <w:rsid w:val="001A33BF"/>
    <w:rsid w:val="001A4F15"/>
    <w:rsid w:val="001E4177"/>
    <w:rsid w:val="001F0B24"/>
    <w:rsid w:val="001F7DC6"/>
    <w:rsid w:val="0022400B"/>
    <w:rsid w:val="002421BB"/>
    <w:rsid w:val="0025796E"/>
    <w:rsid w:val="0026138C"/>
    <w:rsid w:val="00262832"/>
    <w:rsid w:val="002707A2"/>
    <w:rsid w:val="0027613B"/>
    <w:rsid w:val="002951A0"/>
    <w:rsid w:val="002962BC"/>
    <w:rsid w:val="002A093D"/>
    <w:rsid w:val="002A0DD0"/>
    <w:rsid w:val="002A49AC"/>
    <w:rsid w:val="002A4D31"/>
    <w:rsid w:val="002A64FD"/>
    <w:rsid w:val="002C7A84"/>
    <w:rsid w:val="002E2BF8"/>
    <w:rsid w:val="002E4FD9"/>
    <w:rsid w:val="0030457E"/>
    <w:rsid w:val="0030657A"/>
    <w:rsid w:val="00322A85"/>
    <w:rsid w:val="00324168"/>
    <w:rsid w:val="00330834"/>
    <w:rsid w:val="003448F4"/>
    <w:rsid w:val="00370239"/>
    <w:rsid w:val="00374F5E"/>
    <w:rsid w:val="00377E3E"/>
    <w:rsid w:val="00394FF9"/>
    <w:rsid w:val="003A29E2"/>
    <w:rsid w:val="003A779E"/>
    <w:rsid w:val="003D0F4D"/>
    <w:rsid w:val="003D5B0D"/>
    <w:rsid w:val="003D66E8"/>
    <w:rsid w:val="003E0499"/>
    <w:rsid w:val="003E4F80"/>
    <w:rsid w:val="003E6173"/>
    <w:rsid w:val="003E6439"/>
    <w:rsid w:val="003F3941"/>
    <w:rsid w:val="00406575"/>
    <w:rsid w:val="00414C74"/>
    <w:rsid w:val="00421520"/>
    <w:rsid w:val="0042722E"/>
    <w:rsid w:val="0044528D"/>
    <w:rsid w:val="00446704"/>
    <w:rsid w:val="00466E39"/>
    <w:rsid w:val="004813BD"/>
    <w:rsid w:val="004A1847"/>
    <w:rsid w:val="004A305D"/>
    <w:rsid w:val="004F21C4"/>
    <w:rsid w:val="004F685F"/>
    <w:rsid w:val="00550055"/>
    <w:rsid w:val="005566E8"/>
    <w:rsid w:val="00565B82"/>
    <w:rsid w:val="00574867"/>
    <w:rsid w:val="00580D12"/>
    <w:rsid w:val="0059039F"/>
    <w:rsid w:val="00591460"/>
    <w:rsid w:val="00596CD4"/>
    <w:rsid w:val="005A65E0"/>
    <w:rsid w:val="005C3777"/>
    <w:rsid w:val="005C5CDC"/>
    <w:rsid w:val="005D476C"/>
    <w:rsid w:val="00616EC6"/>
    <w:rsid w:val="006200BF"/>
    <w:rsid w:val="006219F8"/>
    <w:rsid w:val="006302F7"/>
    <w:rsid w:val="00646B9F"/>
    <w:rsid w:val="00665D70"/>
    <w:rsid w:val="00667A39"/>
    <w:rsid w:val="006847B1"/>
    <w:rsid w:val="006900D9"/>
    <w:rsid w:val="006F456C"/>
    <w:rsid w:val="00706C16"/>
    <w:rsid w:val="00727BC1"/>
    <w:rsid w:val="00732E8B"/>
    <w:rsid w:val="007340C3"/>
    <w:rsid w:val="0075235A"/>
    <w:rsid w:val="00756841"/>
    <w:rsid w:val="00764342"/>
    <w:rsid w:val="007649AB"/>
    <w:rsid w:val="00771D0C"/>
    <w:rsid w:val="007833AC"/>
    <w:rsid w:val="007B268C"/>
    <w:rsid w:val="007B276D"/>
    <w:rsid w:val="007B7171"/>
    <w:rsid w:val="007C0C0F"/>
    <w:rsid w:val="007C3DC2"/>
    <w:rsid w:val="007E5497"/>
    <w:rsid w:val="00806F5F"/>
    <w:rsid w:val="00820278"/>
    <w:rsid w:val="008258C9"/>
    <w:rsid w:val="00844AE9"/>
    <w:rsid w:val="00867F95"/>
    <w:rsid w:val="008843B6"/>
    <w:rsid w:val="00891928"/>
    <w:rsid w:val="008A446D"/>
    <w:rsid w:val="008A7FF6"/>
    <w:rsid w:val="008B25F1"/>
    <w:rsid w:val="008C0D57"/>
    <w:rsid w:val="008D180B"/>
    <w:rsid w:val="008E15C8"/>
    <w:rsid w:val="008F0EA7"/>
    <w:rsid w:val="00923EEF"/>
    <w:rsid w:val="009327CE"/>
    <w:rsid w:val="009419F9"/>
    <w:rsid w:val="00952C76"/>
    <w:rsid w:val="0095685E"/>
    <w:rsid w:val="00960EE6"/>
    <w:rsid w:val="00961B09"/>
    <w:rsid w:val="00965334"/>
    <w:rsid w:val="0097093E"/>
    <w:rsid w:val="009A0DFA"/>
    <w:rsid w:val="009A1C6F"/>
    <w:rsid w:val="009B2D26"/>
    <w:rsid w:val="009C6213"/>
    <w:rsid w:val="009C71FA"/>
    <w:rsid w:val="009C72E7"/>
    <w:rsid w:val="009C7F7E"/>
    <w:rsid w:val="009D3058"/>
    <w:rsid w:val="009F3A13"/>
    <w:rsid w:val="00A122D3"/>
    <w:rsid w:val="00A14468"/>
    <w:rsid w:val="00A17F13"/>
    <w:rsid w:val="00A20739"/>
    <w:rsid w:val="00A23AF9"/>
    <w:rsid w:val="00A244A7"/>
    <w:rsid w:val="00A31B37"/>
    <w:rsid w:val="00A33C78"/>
    <w:rsid w:val="00AB0ADB"/>
    <w:rsid w:val="00AB6939"/>
    <w:rsid w:val="00B00C0E"/>
    <w:rsid w:val="00B01B1A"/>
    <w:rsid w:val="00B0381D"/>
    <w:rsid w:val="00B32D9B"/>
    <w:rsid w:val="00B44A47"/>
    <w:rsid w:val="00B563AF"/>
    <w:rsid w:val="00B72CD3"/>
    <w:rsid w:val="00B72FFF"/>
    <w:rsid w:val="00B846C4"/>
    <w:rsid w:val="00BC3D36"/>
    <w:rsid w:val="00BD5109"/>
    <w:rsid w:val="00BD54A6"/>
    <w:rsid w:val="00BD7F72"/>
    <w:rsid w:val="00BF7425"/>
    <w:rsid w:val="00C04FB3"/>
    <w:rsid w:val="00C11D8B"/>
    <w:rsid w:val="00C15139"/>
    <w:rsid w:val="00C24417"/>
    <w:rsid w:val="00C330EB"/>
    <w:rsid w:val="00C50D69"/>
    <w:rsid w:val="00C51B5C"/>
    <w:rsid w:val="00C5365C"/>
    <w:rsid w:val="00C754BE"/>
    <w:rsid w:val="00C76B1C"/>
    <w:rsid w:val="00C925AC"/>
    <w:rsid w:val="00CB6357"/>
    <w:rsid w:val="00CC1B26"/>
    <w:rsid w:val="00CD7797"/>
    <w:rsid w:val="00CE2C3D"/>
    <w:rsid w:val="00CE432F"/>
    <w:rsid w:val="00CF255B"/>
    <w:rsid w:val="00D361FD"/>
    <w:rsid w:val="00D423A2"/>
    <w:rsid w:val="00D44E26"/>
    <w:rsid w:val="00D520D8"/>
    <w:rsid w:val="00D61876"/>
    <w:rsid w:val="00D63AC2"/>
    <w:rsid w:val="00D7383B"/>
    <w:rsid w:val="00D7453A"/>
    <w:rsid w:val="00D7788A"/>
    <w:rsid w:val="00D8356D"/>
    <w:rsid w:val="00D837E0"/>
    <w:rsid w:val="00DA231B"/>
    <w:rsid w:val="00DC39FC"/>
    <w:rsid w:val="00DD1459"/>
    <w:rsid w:val="00DF5254"/>
    <w:rsid w:val="00E02524"/>
    <w:rsid w:val="00E06051"/>
    <w:rsid w:val="00E13C89"/>
    <w:rsid w:val="00E16408"/>
    <w:rsid w:val="00E20894"/>
    <w:rsid w:val="00E245AB"/>
    <w:rsid w:val="00E2764C"/>
    <w:rsid w:val="00E27F2E"/>
    <w:rsid w:val="00E50AFE"/>
    <w:rsid w:val="00E75C92"/>
    <w:rsid w:val="00E771DC"/>
    <w:rsid w:val="00E8772A"/>
    <w:rsid w:val="00E90F6B"/>
    <w:rsid w:val="00E92C27"/>
    <w:rsid w:val="00EA0E3D"/>
    <w:rsid w:val="00EC38A7"/>
    <w:rsid w:val="00EC590D"/>
    <w:rsid w:val="00ED0FAD"/>
    <w:rsid w:val="00ED3094"/>
    <w:rsid w:val="00EE1AA8"/>
    <w:rsid w:val="00F137AE"/>
    <w:rsid w:val="00F23FEA"/>
    <w:rsid w:val="00F31EDC"/>
    <w:rsid w:val="00F35FCA"/>
    <w:rsid w:val="00F462B3"/>
    <w:rsid w:val="00F50DAF"/>
    <w:rsid w:val="00F5664F"/>
    <w:rsid w:val="00F611B1"/>
    <w:rsid w:val="00F666C4"/>
    <w:rsid w:val="00F76AFC"/>
    <w:rsid w:val="00F965ED"/>
    <w:rsid w:val="00FA47C0"/>
    <w:rsid w:val="00FB5DD1"/>
    <w:rsid w:val="00FC2B5D"/>
    <w:rsid w:val="00FF1449"/>
    <w:rsid w:val="00FF190F"/>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D7E55B8"/>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E432F"/>
    <w:pPr>
      <w:spacing w:line="240" w:lineRule="exact"/>
    </w:pPr>
    <w:rPr>
      <w:vertAlign w:val="superscript"/>
    </w:rPr>
  </w:style>
  <w:style w:type="table" w:customStyle="1" w:styleId="Tablaconcuadrcula1">
    <w:name w:val="Tabla con cuadrícula1"/>
    <w:basedOn w:val="Tablanormal"/>
    <w:uiPriority w:val="39"/>
    <w:qFormat/>
    <w:rsid w:val="00CE432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26138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6138C"/>
    <w:rPr>
      <w:sz w:val="20"/>
      <w:szCs w:val="20"/>
    </w:rPr>
  </w:style>
  <w:style w:type="character" w:styleId="Refdecomentario">
    <w:name w:val="annotation reference"/>
    <w:basedOn w:val="Fuentedeprrafopredeter"/>
    <w:uiPriority w:val="99"/>
    <w:semiHidden/>
    <w:unhideWhenUsed/>
    <w:rsid w:val="0026138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conceptos/c-447-de-2024/" TargetMode="External"/><Relationship Id="rId18" Type="http://schemas.openxmlformats.org/officeDocument/2006/relationships/hyperlink" Target="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relatoria.colombiacompra.gov.co/conceptos/c-285-de-2022/" TargetMode="External"/><Relationship Id="rId17" Type="http://schemas.openxmlformats.org/officeDocument/2006/relationships/hyperlink" Target="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esjudiciales487@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 TargetMode="External"/><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3E3639-AE86-40C2-A617-43B07925802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24</Pages>
  <Words>7987</Words>
  <Characters>43929</Characters>
  <Application>Microsoft Office Word</Application>
  <DocSecurity>0</DocSecurity>
  <Lines>366</Lines>
  <Paragraphs>103</Paragraphs>
  <ScaleCrop>false</ScaleCrop>
  <Company/>
  <LinksUpToDate>false</LinksUpToDate>
  <CharactersWithSpaces>51813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2026-10-19T22:14:00Z</dcterms:created>
  <dcterms:modified xsi:type="dcterms:W3CDTF">2026-10-19T22:14:00Z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