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D3B4A"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FONDO ROTATORIO DEL MINISTERIO DE RELACIONES EXTERIORES ‒ Naturaleza jurídica ‒ Unidad administrativa especial ‒ Entidad estatal ‒ Ámbito de aplicación del Estatuto General de Contratación</w:t>
      </w:r>
    </w:p>
    <w:p w14:paraId="6E8CB4D4" w14:textId="77777777" w:rsidR="00AC0ED1" w:rsidRDefault="00AC0ED1" w:rsidP="00AC0ED1">
      <w:pPr>
        <w:spacing w:after="0" w:line="240" w:lineRule="auto"/>
        <w:contextualSpacing/>
        <w:jc w:val="both"/>
        <w:rPr>
          <w:rFonts w:ascii="Verdana" w:eastAsia="Calibri" w:hAnsi="Verdana" w:cs="Arial"/>
          <w:b/>
          <w:bCs/>
          <w:lang w:eastAsia="es-ES"/>
        </w:rPr>
      </w:pPr>
    </w:p>
    <w:p w14:paraId="1A2079F8"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Fondo Rotatorio del Ministerio de Relaciones Exteriores es una unidad administrativa especial del orden nacional, con personería jurídica y patrimonio propio, adscrita al Ministerio de Relaciones Exteriores, conforme al artículo 1 del Decreto Ley 20 de 1992. El literal b) del numeral 1 del artículo 2 de la Ley 80 de 1993 incluye a las unidades administrativas especiales dentro de las entidades estatales. En consecuencia, la regla general es la aplicación del Estatuto General de Contratación de la Administración Pública, y la excepción requiere una disposición legal vigente que la establezca.</w:t>
      </w:r>
    </w:p>
    <w:p w14:paraId="680A0297" w14:textId="77777777" w:rsidR="00AC0ED1" w:rsidRDefault="00AC0ED1" w:rsidP="00AC0ED1">
      <w:pPr>
        <w:spacing w:after="0" w:line="240" w:lineRule="auto"/>
        <w:contextualSpacing/>
        <w:jc w:val="both"/>
        <w:rPr>
          <w:rFonts w:ascii="Verdana" w:eastAsia="Calibri" w:hAnsi="Verdana" w:cs="Arial"/>
          <w:b/>
          <w:bCs/>
          <w:lang w:eastAsia="es-ES"/>
        </w:rPr>
      </w:pPr>
    </w:p>
    <w:p w14:paraId="6B6792C8"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RÉGIMEN CONTRACTUAL EXCEPCIONAL ‒ Fuente legal ‒ Normas anteriores a la Ley 80 de 1993 ‒ Derogatoria ‒ Criterios de la Ley 153 de 1887</w:t>
      </w:r>
    </w:p>
    <w:p w14:paraId="4C1083E5" w14:textId="77777777" w:rsidR="00AC0ED1" w:rsidRDefault="00AC0ED1" w:rsidP="00AC0ED1">
      <w:pPr>
        <w:spacing w:after="0" w:line="240" w:lineRule="auto"/>
        <w:contextualSpacing/>
        <w:jc w:val="both"/>
        <w:rPr>
          <w:rFonts w:ascii="Verdana" w:eastAsia="Calibri" w:hAnsi="Verdana" w:cs="Arial"/>
          <w:b/>
          <w:bCs/>
          <w:lang w:eastAsia="es-ES"/>
        </w:rPr>
      </w:pPr>
    </w:p>
    <w:p w14:paraId="2E059FE7"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Una entidad estatal solo cuenta con un régimen contractual excepcional al Estatuto General de Contratación de la Administración Pública cuando una disposición legal vigente así lo establece, de conformidad con el artículo 13 de la Ley 1150 de 2007. Cuando el sometimiento de una entidad al derecho privado proviene de una norma anterior a la Ley 80 de 1993, corresponde analizar si dicha disposición conserva su vigencia a la luz de los criterios del artículo 3 de la Ley 153 de 1887. Existen elementos normativos relevantes para sostener que una disposición de esta naturaleza no conserva su vigencia, pues la Ley 80 de 1993 fue expedida como estatuto general de contratación de las entidades estatales, incluyó expresamente a las unidades administrativas especiales, ordenó adecuar a sus disposiciones los estatutos de las entidades estatales y derogó las normas que le fueran contrarias. La determinación concreta del régimen aplicable a una entidad corresponde a la propia entidad y, en caso de controversia, a las autoridades judiciales.</w:t>
      </w:r>
    </w:p>
    <w:p w14:paraId="6A809601" w14:textId="77777777" w:rsidR="00AC0ED1" w:rsidRDefault="00AC0ED1" w:rsidP="00AC0ED1">
      <w:pPr>
        <w:spacing w:after="0" w:line="240" w:lineRule="auto"/>
        <w:contextualSpacing/>
        <w:jc w:val="both"/>
        <w:rPr>
          <w:rFonts w:ascii="Verdana" w:eastAsia="Calibri" w:hAnsi="Verdana" w:cs="Arial"/>
          <w:b/>
          <w:bCs/>
          <w:lang w:eastAsia="es-ES"/>
        </w:rPr>
      </w:pPr>
    </w:p>
    <w:p w14:paraId="72B27124"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ENTIDADES SOMETIDAS AL ESTATUTO GENERAL DE CONTRATACIÓN ‒ Aplicación en todas las etapas ‒ Normas civiles y comerciales ‒ Contratos celebrados o ejecutados en el exterior</w:t>
      </w:r>
    </w:p>
    <w:p w14:paraId="12050EC8" w14:textId="77777777" w:rsidR="00AC0ED1" w:rsidRDefault="00AC0ED1" w:rsidP="00AC0ED1">
      <w:pPr>
        <w:spacing w:after="0" w:line="240" w:lineRule="auto"/>
        <w:contextualSpacing/>
        <w:jc w:val="both"/>
        <w:rPr>
          <w:rFonts w:ascii="Verdana" w:eastAsia="Calibri" w:hAnsi="Verdana" w:cs="Arial"/>
          <w:b/>
          <w:bCs/>
          <w:lang w:eastAsia="es-ES"/>
        </w:rPr>
      </w:pPr>
    </w:p>
    <w:p w14:paraId="60018608"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entidades estatales sometidas al Estatuto General de Contratación de la Administración Pública aplican la Ley 80 de 1993, la Ley 1150 de 2007, el Decreto 1082 de 2015 y las demás normas que lo integran en todas las etapas de la actividad contractual: planeación, selección del contratista, celebración, ejecución, modificación, terminación y liquidación. Conforme al artículo 13 de la Ley 80 de 1993, las disposiciones civiles y comerciales rigen en las materias que el estatuto no regula de manera especial, y determinados contratos celebrados o ejecutados en el exterior pueden someterse a la ley extranjera. Tales reglas hacen parte del propio estatuto y no constituyen, por sí mismas, un régimen contractual excepcional.</w:t>
      </w:r>
    </w:p>
    <w:p w14:paraId="71527F88" w14:textId="77777777" w:rsidR="00AC0ED1" w:rsidRDefault="00AC0ED1" w:rsidP="00AC0ED1">
      <w:pPr>
        <w:spacing w:after="0" w:line="240" w:lineRule="auto"/>
        <w:contextualSpacing/>
        <w:jc w:val="both"/>
        <w:rPr>
          <w:rFonts w:ascii="Verdana" w:eastAsia="Calibri" w:hAnsi="Verdana" w:cs="Arial"/>
          <w:b/>
          <w:bCs/>
          <w:lang w:eastAsia="es-ES"/>
        </w:rPr>
      </w:pPr>
    </w:p>
    <w:p w14:paraId="275B43E9" w14:textId="77777777" w:rsidR="00AC0ED1" w:rsidRDefault="00AC0ED1" w:rsidP="00AC0ED1">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ENTIDADES CON RÉGIMEN EXCEPTUADO ‒ Normas de derecho público aplicables ‒ Principios de la función administrativa y de la gestión fiscal ‒ Inhabilidades e incompatibilidades ‒ Publicidad en el SECOP II</w:t>
      </w:r>
    </w:p>
    <w:p w14:paraId="13D5E092" w14:textId="77777777" w:rsidR="00AC0ED1" w:rsidRDefault="00AC0ED1" w:rsidP="00AC0ED1">
      <w:pPr>
        <w:spacing w:after="0" w:line="240" w:lineRule="auto"/>
        <w:contextualSpacing/>
        <w:jc w:val="both"/>
        <w:rPr>
          <w:rFonts w:ascii="Verdana" w:eastAsia="Calibri" w:hAnsi="Verdana" w:cs="Arial"/>
          <w:b/>
          <w:bCs/>
          <w:lang w:eastAsia="es-ES"/>
        </w:rPr>
      </w:pPr>
    </w:p>
    <w:p w14:paraId="341934B8" w14:textId="77777777" w:rsidR="00AC0ED1" w:rsidRDefault="00AC0ED1" w:rsidP="00AC0ED1">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entidades estatales que cuentan con un régimen contractual excepcional establecido por una disposición legal vigente no se desligan del derecho público. El artículo 13 de la Ley 1150 de 2007 les exige observar los principios de la función administrativa y de la gestión fiscal de los artículos 209 y 267 de la Constitución Política, las somete al régimen de inhabilidades e incompatibilidades de la contratación estatal y, desde la Ley 2195 de 2022, les impone publicar su actividad contractual en el SECOP II. Sus manuales o reglamentos internos de contratación no constituyen una fuente autónoma de regulación contractual y no pueden regular materias reservadas a la ley.</w:t>
      </w:r>
    </w:p>
    <w:p w14:paraId="593EA7EA" w14:textId="77777777" w:rsidR="00AC0ED1" w:rsidRDefault="00AC0ED1" w:rsidP="00AC0ED1">
      <w:pPr>
        <w:spacing w:after="0" w:line="240" w:lineRule="auto"/>
        <w:contextualSpacing/>
        <w:jc w:val="both"/>
        <w:rPr>
          <w:rFonts w:ascii="Verdana" w:eastAsia="Calibri" w:hAnsi="Verdana" w:cs="Arial"/>
          <w:b/>
          <w:bCs/>
          <w:lang w:eastAsia="es-ES"/>
        </w:rPr>
      </w:pPr>
    </w:p>
    <w:p w14:paraId="0A67024B" w14:textId="77777777" w:rsidR="00AC0ED1" w:rsidRDefault="00AC0ED1" w:rsidP="00AC0ED1">
      <w:pPr>
        <w:spacing w:after="0" w:line="240" w:lineRule="auto"/>
      </w:pPr>
      <w:r>
        <w:br w:type="page"/>
      </w:r>
    </w:p>
    <w:p w14:paraId="391CA71E" w14:textId="3DEB8037" w:rsidR="00AC0ED1" w:rsidRDefault="006668F6" w:rsidP="00AC0ED1">
      <w:pPr>
        <w:spacing w:after="0" w:line="240" w:lineRule="auto"/>
        <w:rPr>
          <w:rFonts w:ascii="Verdana" w:hAnsi="Verdana"/>
        </w:rPr>
      </w:pPr>
      <w:r>
        <w:rPr>
          <w:rFonts w:ascii="Verdana" w:hAnsi="Verdana"/>
        </w:rPr>
        <w:lastRenderedPageBreak/>
        <w:t xml:space="preserve">Bogotá D.C., 19 de </w:t>
      </w:r>
      <w:r w:rsidR="007D2ECF">
        <w:rPr>
          <w:rFonts w:ascii="Verdana" w:hAnsi="Verdana"/>
        </w:rPr>
        <w:t>octubre</w:t>
      </w:r>
      <w:r>
        <w:rPr>
          <w:rFonts w:ascii="Verdana" w:hAnsi="Verdana"/>
        </w:rPr>
        <w:t xml:space="preserve"> de 2026 </w:t>
      </w:r>
    </w:p>
    <w:p w14:paraId="1B43F534" w14:textId="458F3642" w:rsidR="00AC0ED1" w:rsidRPr="00777292" w:rsidRDefault="00AC0ED1" w:rsidP="00AC0ED1">
      <w:pPr>
        <w:spacing w:after="0" w:line="240" w:lineRule="auto"/>
        <w:rPr>
          <w:rFonts w:ascii="Verdana" w:hAnsi="Verdana"/>
          <w:lang w:val="es-ES_tradnl"/>
        </w:rPr>
      </w:pPr>
    </w:p>
    <w:p w14:paraId="1922946D" w14:textId="1BBD7779" w:rsidR="00AC0ED1" w:rsidRDefault="007D2ECF" w:rsidP="00AC0ED1">
      <w:pPr>
        <w:spacing w:after="0" w:line="240" w:lineRule="auto"/>
        <w:rPr>
          <w:rFonts w:ascii="Verdana" w:hAnsi="Verdana"/>
          <w:lang w:val="es-ES"/>
        </w:rPr>
      </w:pPr>
      <w:r>
        <w:rPr>
          <w:rFonts w:ascii="Verdana" w:eastAsia="Calibri" w:hAnsi="Verdana" w:cs="Arial"/>
          <w:noProof/>
          <w:lang w:val="es-ES" w:eastAsia="es-ES"/>
        </w:rPr>
        <w:drawing>
          <wp:anchor distT="0" distB="0" distL="114300" distR="114300" simplePos="0" relativeHeight="251658240" behindDoc="1" locked="0" layoutInCell="1" allowOverlap="1" wp14:anchorId="6E0C581E" wp14:editId="657692B3">
            <wp:simplePos x="0" y="0"/>
            <wp:positionH relativeFrom="margin">
              <wp:align>right</wp:align>
            </wp:positionH>
            <wp:positionV relativeFrom="paragraph">
              <wp:posOffset>11430</wp:posOffset>
            </wp:positionV>
            <wp:extent cx="2576830" cy="716280"/>
            <wp:effectExtent l="0" t="0" r="0" b="7620"/>
            <wp:wrapSquare wrapText="bothSides"/>
            <wp:docPr id="9677812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81248"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6830" cy="716280"/>
                    </a:xfrm>
                    <a:prstGeom prst="rect">
                      <a:avLst/>
                    </a:prstGeom>
                  </pic:spPr>
                </pic:pic>
              </a:graphicData>
            </a:graphic>
            <wp14:sizeRelH relativeFrom="page">
              <wp14:pctWidth>0</wp14:pctWidth>
            </wp14:sizeRelH>
            <wp14:sizeRelV relativeFrom="page">
              <wp14:pctHeight>0</wp14:pctHeight>
            </wp14:sizeRelV>
          </wp:anchor>
        </w:drawing>
      </w:r>
      <w:r w:rsidR="00AC0ED1">
        <w:rPr>
          <w:rFonts w:ascii="Verdana" w:eastAsia="Calibri" w:hAnsi="Verdana" w:cs="Arial"/>
          <w:lang w:val="es-ES" w:eastAsia="es-ES"/>
        </w:rPr>
        <w:t>Señora:</w:t>
      </w:r>
    </w:p>
    <w:p w14:paraId="5EA4C67A" w14:textId="77777777" w:rsidR="00AC0ED1" w:rsidRPr="00B04557" w:rsidRDefault="00AC0ED1" w:rsidP="00AC0ED1">
      <w:pPr>
        <w:spacing w:after="0" w:line="240" w:lineRule="auto"/>
        <w:rPr>
          <w:rFonts w:ascii="Verdana" w:hAnsi="Verdana"/>
          <w:b/>
          <w:bCs/>
          <w:lang w:val="es-ES"/>
        </w:rPr>
      </w:pPr>
      <w:r>
        <w:rPr>
          <w:rFonts w:ascii="Verdana" w:eastAsia="Calibri" w:hAnsi="Verdana" w:cs="Arial"/>
          <w:b/>
          <w:bCs/>
          <w:lang w:val="es-ES" w:eastAsia="es-ES"/>
        </w:rPr>
        <w:t>Julibeth De León Cueto</w:t>
      </w:r>
    </w:p>
    <w:p w14:paraId="5FFB379B" w14:textId="77777777" w:rsidR="00AC0ED1" w:rsidRDefault="00AC0ED1" w:rsidP="00AC0ED1">
      <w:pPr>
        <w:spacing w:after="0" w:line="240" w:lineRule="auto"/>
        <w:rPr>
          <w:rFonts w:ascii="Verdana" w:hAnsi="Verdana"/>
          <w:lang w:val="es-ES"/>
        </w:rPr>
      </w:pPr>
      <w:r>
        <w:rPr>
          <w:rFonts w:ascii="Verdana" w:eastAsia="Calibri" w:hAnsi="Verdana" w:cs="Arial"/>
          <w:lang w:val="es-ES" w:eastAsia="es-ES"/>
        </w:rPr>
        <w:t>Bogotá D.C.</w:t>
      </w:r>
    </w:p>
    <w:p w14:paraId="43912DB8" w14:textId="77777777" w:rsidR="00AC0ED1" w:rsidRPr="00966744" w:rsidRDefault="00AC0ED1" w:rsidP="00AC0ED1">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0ED1" w:rsidRPr="00777292" w14:paraId="46958504" w14:textId="77777777" w:rsidTr="004D2DC8">
        <w:trPr>
          <w:trHeight w:val="190"/>
        </w:trPr>
        <w:tc>
          <w:tcPr>
            <w:tcW w:w="2689" w:type="dxa"/>
          </w:tcPr>
          <w:p w14:paraId="3393C1B6" w14:textId="77777777" w:rsidR="00AC0ED1" w:rsidRDefault="00AC0ED1" w:rsidP="004D2DC8">
            <w:pPr>
              <w:jc w:val="both"/>
              <w:rPr>
                <w:rFonts w:ascii="Verdana" w:eastAsia="Calibri" w:hAnsi="Verdana" w:cs="Arial"/>
                <w:b/>
                <w:bCs/>
                <w:lang w:eastAsia="es-ES_tradnl"/>
              </w:rPr>
            </w:pPr>
          </w:p>
          <w:p w14:paraId="467B431A" w14:textId="77777777" w:rsidR="00AC0ED1" w:rsidRPr="00777292" w:rsidRDefault="00AC0ED1" w:rsidP="004D2DC8">
            <w:pPr>
              <w:jc w:val="both"/>
              <w:rPr>
                <w:rFonts w:ascii="Verdana" w:eastAsia="Calibri" w:hAnsi="Verdana" w:cs="Arial"/>
                <w:b/>
                <w:bCs/>
                <w:lang w:eastAsia="es-ES_tradnl"/>
              </w:rPr>
            </w:pPr>
          </w:p>
        </w:tc>
        <w:tc>
          <w:tcPr>
            <w:tcW w:w="6100" w:type="dxa"/>
          </w:tcPr>
          <w:p w14:paraId="38FFBF77" w14:textId="77777777" w:rsidR="007D2ECF" w:rsidRDefault="007D2ECF" w:rsidP="004D2DC8">
            <w:pPr>
              <w:jc w:val="both"/>
              <w:rPr>
                <w:rFonts w:ascii="Verdana" w:eastAsia="Calibri" w:hAnsi="Verdana" w:cs="Arial"/>
                <w:b/>
                <w:bCs/>
                <w:lang w:eastAsia="es-ES"/>
              </w:rPr>
            </w:pPr>
          </w:p>
          <w:p w14:paraId="01CA0A13" w14:textId="7A80C483" w:rsidR="00AC0ED1" w:rsidRPr="00777292" w:rsidRDefault="00AC0ED1" w:rsidP="004D2DC8">
            <w:pPr>
              <w:jc w:val="both"/>
              <w:rPr>
                <w:rFonts w:ascii="Verdana" w:eastAsia="Calibri" w:hAnsi="Verdana" w:cs="Arial"/>
                <w:b/>
                <w:bCs/>
                <w:lang w:eastAsia="es-ES"/>
              </w:rPr>
            </w:pPr>
            <w:r>
              <w:rPr>
                <w:rFonts w:ascii="Verdana" w:eastAsia="Calibri" w:hAnsi="Verdana" w:cs="Arial"/>
                <w:b/>
                <w:bCs/>
                <w:lang w:eastAsia="es-ES"/>
              </w:rPr>
              <w:t>Concepto C-1414 de 2026</w:t>
            </w:r>
          </w:p>
          <w:p w14:paraId="3EF13546" w14:textId="77777777" w:rsidR="00AC0ED1" w:rsidRPr="00777292" w:rsidRDefault="00AC0ED1" w:rsidP="004D2DC8">
            <w:pPr>
              <w:jc w:val="both"/>
              <w:rPr>
                <w:rFonts w:ascii="Verdana" w:eastAsia="Calibri" w:hAnsi="Verdana" w:cs="Arial"/>
                <w:b/>
                <w:bCs/>
                <w:lang w:eastAsia="es-ES"/>
              </w:rPr>
            </w:pPr>
          </w:p>
        </w:tc>
      </w:tr>
      <w:tr w:rsidR="00AC0ED1" w:rsidRPr="00777292" w14:paraId="60E83A64" w14:textId="77777777" w:rsidTr="004D2DC8">
        <w:trPr>
          <w:trHeight w:val="884"/>
        </w:trPr>
        <w:tc>
          <w:tcPr>
            <w:tcW w:w="2689" w:type="dxa"/>
          </w:tcPr>
          <w:p w14:paraId="711CB8FA" w14:textId="77777777" w:rsidR="00AC0ED1" w:rsidRPr="00777292" w:rsidRDefault="00AC0ED1" w:rsidP="004D2DC8">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75F13671" w14:textId="77777777" w:rsidR="00AC0ED1" w:rsidRDefault="00AC0ED1" w:rsidP="004D2DC8">
            <w:pPr>
              <w:contextualSpacing/>
              <w:jc w:val="both"/>
              <w:rPr>
                <w:rFonts w:ascii="Verdana" w:eastAsia="Calibri" w:hAnsi="Verdana" w:cs="Arial"/>
                <w:lang w:eastAsia="es-ES"/>
              </w:rPr>
            </w:pPr>
            <w:r>
              <w:rPr>
                <w:rFonts w:ascii="Verdana" w:eastAsia="Calibri" w:hAnsi="Verdana" w:cs="Arial"/>
                <w:lang w:eastAsia="es-ES"/>
              </w:rPr>
              <w:t>FONDO ROTATORIO DEL MINISTERIO DE RELACIONES EXTERIORES ‒ Naturaleza jurídica ‒ Unidad administrativa especial ‒ Entidad estatal ‒ Ámbito de aplicación del Estatuto General de Contratación / RÉGIMEN CONTRACTUAL EXCEPCIONAL ‒ Fuente legal ‒ Normas anteriores a la Ley 80 de 1993 ‒ Derogatoria ‒ Criterios de la Ley 153 de 1887 / ENTIDADES SOMETIDAS AL ESTATUTO GENERAL DE CONTRATACIÓN ‒ Aplicación en todas las etapas ‒ Normas civiles y comerciales ‒ Contratos celebrados o ejecutados en el exterior / ENTIDADES CON RÉGIMEN EXCEPTUADO ‒ Normas de derecho público aplicables ‒ Principios de la función administrativa y de la gestión fiscal ‒ Inhabilidades e incompatibilidades ‒ Publicidad en el SECOP II</w:t>
            </w:r>
          </w:p>
          <w:p w14:paraId="41C29558" w14:textId="77777777" w:rsidR="00AC0ED1" w:rsidRPr="00777292" w:rsidRDefault="00AC0ED1" w:rsidP="004D2DC8">
            <w:pPr>
              <w:contextualSpacing/>
              <w:jc w:val="both"/>
              <w:rPr>
                <w:rFonts w:ascii="Verdana" w:eastAsia="Calibri" w:hAnsi="Verdana" w:cs="Arial"/>
                <w:lang w:eastAsia="es-ES"/>
              </w:rPr>
            </w:pPr>
          </w:p>
        </w:tc>
      </w:tr>
      <w:tr w:rsidR="00AC0ED1" w:rsidRPr="00777292" w14:paraId="46C5F3D2" w14:textId="77777777" w:rsidTr="004D2DC8">
        <w:tc>
          <w:tcPr>
            <w:tcW w:w="2689" w:type="dxa"/>
          </w:tcPr>
          <w:p w14:paraId="4814FDF9" w14:textId="77777777" w:rsidR="00AC0ED1" w:rsidRPr="00777292" w:rsidRDefault="00AC0ED1" w:rsidP="004D2DC8">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686005A8" w14:textId="77777777" w:rsidR="00AC0ED1" w:rsidRPr="00777292" w:rsidRDefault="00AC0ED1" w:rsidP="004D2DC8">
            <w:pPr>
              <w:jc w:val="both"/>
              <w:rPr>
                <w:rFonts w:ascii="Verdana" w:eastAsia="Calibri" w:hAnsi="Verdana" w:cs="Arial"/>
                <w:lang w:eastAsia="es-ES_tradnl"/>
              </w:rPr>
            </w:pPr>
            <w:r>
              <w:rPr>
                <w:rFonts w:ascii="Verdana" w:eastAsia="Calibri" w:hAnsi="Verdana" w:cs="Arial"/>
                <w:lang w:eastAsia="es-ES_tradnl"/>
              </w:rPr>
              <w:t>Respuesta a consulta con radicado No. 1_2026_09_08_011948</w:t>
            </w:r>
          </w:p>
        </w:tc>
      </w:tr>
    </w:tbl>
    <w:p w14:paraId="33278772" w14:textId="77777777" w:rsidR="00AC0ED1" w:rsidRPr="00206556" w:rsidRDefault="00AC0ED1" w:rsidP="00AC0ED1">
      <w:pPr>
        <w:tabs>
          <w:tab w:val="left" w:pos="1520"/>
        </w:tabs>
        <w:spacing w:after="0" w:line="276" w:lineRule="auto"/>
        <w:jc w:val="both"/>
        <w:rPr>
          <w:rFonts w:ascii="Verdana" w:eastAsia="Calibri" w:hAnsi="Verdana" w:cs="Arial"/>
          <w:color w:val="ED7D31" w:themeColor="accent2"/>
          <w:sz w:val="20"/>
          <w:szCs w:val="20"/>
          <w:lang w:val="es-ES" w:eastAsia="es-ES"/>
        </w:rPr>
      </w:pPr>
    </w:p>
    <w:p w14:paraId="0E83F72F" w14:textId="77777777" w:rsidR="00AC0ED1" w:rsidRPr="00206556" w:rsidRDefault="00AC0ED1" w:rsidP="00AC0ED1">
      <w:pPr>
        <w:spacing w:after="0" w:line="276" w:lineRule="auto"/>
        <w:jc w:val="both"/>
        <w:rPr>
          <w:rFonts w:ascii="Verdana" w:eastAsia="Calibri" w:hAnsi="Verdana" w:cs="Arial"/>
          <w:color w:val="ED7D31" w:themeColor="accent2"/>
          <w:lang w:val="es-ES" w:eastAsia="es-ES"/>
        </w:rPr>
      </w:pPr>
    </w:p>
    <w:p w14:paraId="77AE8696" w14:textId="1924E2E8" w:rsidR="00AC0ED1" w:rsidRPr="00206556" w:rsidRDefault="00AC0ED1" w:rsidP="00AC0ED1">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 De León:</w:t>
      </w:r>
    </w:p>
    <w:p w14:paraId="7D6E1163" w14:textId="77777777" w:rsidR="00AC0ED1" w:rsidRPr="00206556" w:rsidRDefault="00AC0ED1" w:rsidP="00AC0ED1">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029E0E8F" w14:textId="3BA2C73A" w:rsidR="00AC0ED1" w:rsidRPr="00206556" w:rsidRDefault="00AC0ED1" w:rsidP="00AC0ED1">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petición del 7 de septiembre de 2026, en la cual manifiesta lo siguiente: </w:t>
      </w:r>
    </w:p>
    <w:p w14:paraId="04A146B7" w14:textId="77777777" w:rsidR="00AC0ED1" w:rsidRPr="006A0794" w:rsidRDefault="00AC0ED1" w:rsidP="00AC0ED1">
      <w:pPr>
        <w:spacing w:after="0" w:line="276" w:lineRule="auto"/>
        <w:ind w:right="709"/>
        <w:jc w:val="both"/>
        <w:rPr>
          <w:rFonts w:ascii="Verdana" w:eastAsia="Century Gothic" w:hAnsi="Verdana" w:cs="Century Gothic"/>
          <w:i/>
          <w:iCs/>
          <w:sz w:val="20"/>
          <w:szCs w:val="20"/>
          <w:lang w:val="es-ES"/>
        </w:rPr>
      </w:pPr>
    </w:p>
    <w:p w14:paraId="1F4E4515"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“Me permito respetuosamente elevar la presente consulta, relacionada con el régimen jurídico contractual aplicable al Fondo Rotatorio del Ministerio de Relaciones Exteriores, teniendo en cuenta lo siguiente:</w:t>
      </w:r>
    </w:p>
    <w:p w14:paraId="15C0E8D0"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Que el artículo 6 del Decreto 20 de 1992 dispone que los actos y contratos que celebre el Fondo Rotatorio del Ministerio de Relaciones Exteriores se regirán por las normas del derecho privado; que posteriormente fue expedida la Ley 80 de 1993, cuyo artículo 2.º incluye dentro del concepto de entidades estatales a las unidades administrativas especiales; que el artículo 13 de la Ley 1150 de 2007 reconoce la existencia de entidades estatales sometidas a regímenes contractuales excepcionales al Estatuto General de Contratación de la Administración Pública y determina las reglas y principios que les resultan aplicables; y considerando lo señalado por la Sala de Consulta y Servicio Civil en el Concepto 1578 del 18 de junio de 2004 respecto del Ministerio de Relaciones Exteriores y su Fondo Rotatorio, se formulan las siguientes preguntas:</w:t>
      </w:r>
    </w:p>
    <w:p w14:paraId="7091C41A"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2DA5808F"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¿Se encuentra vigente el régimen contractual especial previsto en el artículo 6 del Decreto 20 de 1992 para el Fondo Rotatorio del Ministerio de Relaciones Exteriores y, en consecuencia, constituye este Fondo una entidad estatal sometida a un régimen contractual excepcional al Estatuto General de Contratación de la Administración Pública, cuyos actos y contratos se rigen, como regla general, por el derecho privado?</w:t>
      </w:r>
    </w:p>
    <w:p w14:paraId="6E7DF28C"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2F149294"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En caso afirmativo, ¿cuál es el alcance actual de dicho régimen especial frente a las disposiciones de la Ley 80 de 1993, la Ley 1150 de 2007 y sus normas reglamentarias, particularmente en lo relacionado con los procedimientos de selección de contratistas, la formación, celebración, ejecución, modificación, terminación y liquidación de los contratos?</w:t>
      </w:r>
    </w:p>
    <w:p w14:paraId="2EBEB0D5"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258F8462"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¿Cómo debe interpretarse actualmente el Concepto 1578 del 18 de junio de 2004 de la Sala de Consulta y Servicio Civil, cuando señaló que el régimen de contratación estatal definido en la Ley 80 de 1993 resultaba aplicable al Fondo Rotatorio y que su contratación se regía por las disposiciones de dicho estatuto: como una afirmación acerca del régimen integral de contratación aplicable al Fondo Rotatorio o como una consideración efectuada específicamente para determinar la aplicación del régimen de inhabilidades e incompatibilidades previsto en los artículos 8.º y 9.º de la Ley 80 de 1993, que constituía el objeto de aquella consulta?</w:t>
      </w:r>
    </w:p>
    <w:p w14:paraId="67792F3F"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5D5E7415"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¿Qué disposiciones del Estatuto General de Contratación de la Administración Pública resultan, no obstante el régimen especial del Fondo Rotatorio, imperativamente aplicables a su actividad contractual, en particular las relacionadas con los principios de la función administrativa y de la gestión fiscal, el régimen de inhabilidades e incompatibilidades, la publicidad de la actividad contractual, la gestión fiscal y las demás normas de orden público aplicables a las entidades estatales con régimen contractual excepcional?</w:t>
      </w:r>
    </w:p>
    <w:p w14:paraId="40BD70AA" w14:textId="77777777" w:rsidR="00AC0ED1" w:rsidRDefault="00AC0ED1" w:rsidP="00AC0ED1">
      <w:pPr>
        <w:spacing w:after="0" w:line="240" w:lineRule="auto"/>
        <w:ind w:left="708" w:right="709"/>
        <w:jc w:val="both"/>
        <w:rPr>
          <w:rFonts w:ascii="Verdana" w:eastAsia="Century Gothic" w:hAnsi="Verdana" w:cs="Century Gothic"/>
          <w:sz w:val="20"/>
          <w:szCs w:val="20"/>
        </w:rPr>
      </w:pPr>
    </w:p>
    <w:p w14:paraId="21BEC9BD" w14:textId="77777777" w:rsidR="00AC0ED1" w:rsidRDefault="00AC0ED1" w:rsidP="00AC0ED1">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5. En consecuencia, ¿cuál es, en la actualidad, el régimen jurídico integral aplicable a la actividad contractual del Fondo Rotatorio del Ministerio de Relaciones Exteriores y cuáles son las normas de derecho público y de derecho privado que deben observarse en las distintas etapas de su actividad contractual?”.</w:t>
      </w:r>
    </w:p>
    <w:p w14:paraId="2D45478D" w14:textId="77777777" w:rsidR="00AC0ED1" w:rsidRPr="003248CC" w:rsidRDefault="00AC0ED1" w:rsidP="00AC0ED1">
      <w:pPr>
        <w:spacing w:before="120" w:after="120" w:line="276" w:lineRule="auto"/>
        <w:ind w:left="709" w:right="709"/>
        <w:contextualSpacing/>
        <w:rPr>
          <w:rFonts w:ascii="Verdana" w:eastAsia="Century Gothic" w:hAnsi="Verdana" w:cs="Century Gothic"/>
          <w:lang w:val="es-ES"/>
        </w:rPr>
      </w:pPr>
    </w:p>
    <w:p w14:paraId="0D048495" w14:textId="77777777" w:rsidR="00AC0ED1" w:rsidRPr="00206556" w:rsidRDefault="00AC0ED1" w:rsidP="00AC0ED1">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015F0DAB" w14:textId="77777777" w:rsidR="00AC0ED1" w:rsidRPr="00206556" w:rsidRDefault="00AC0ED1" w:rsidP="00AC0ED1">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9BFBD0" w14:textId="77777777" w:rsidR="00AC0ED1" w:rsidRPr="00206556" w:rsidRDefault="00AC0ED1" w:rsidP="00AC0ED1">
      <w:pPr>
        <w:spacing w:after="0" w:line="276" w:lineRule="auto"/>
        <w:ind w:firstLine="709"/>
        <w:jc w:val="both"/>
        <w:rPr>
          <w:rFonts w:ascii="Verdana" w:eastAsia="Calibri" w:hAnsi="Verdana" w:cs="Arial"/>
          <w:lang w:val="es-ES" w:eastAsia="es-ES"/>
        </w:rPr>
      </w:pPr>
    </w:p>
    <w:p w14:paraId="1918383A" w14:textId="77777777" w:rsidR="00AC0ED1" w:rsidRPr="00206556" w:rsidRDefault="00AC0ED1" w:rsidP="00AC0ED1">
      <w:pPr>
        <w:keepNext/>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5131C9F5" w14:textId="77777777" w:rsidR="00AC0ED1" w:rsidRPr="00206556" w:rsidRDefault="00AC0ED1" w:rsidP="00AC0ED1">
      <w:pPr>
        <w:keepNext/>
        <w:tabs>
          <w:tab w:val="left" w:pos="426"/>
        </w:tabs>
        <w:spacing w:after="0" w:line="276" w:lineRule="auto"/>
        <w:jc w:val="both"/>
        <w:rPr>
          <w:rFonts w:ascii="Verdana" w:eastAsia="Century Gothic" w:hAnsi="Verdana" w:cs="Century Gothic"/>
          <w:color w:val="ED7D31" w:themeColor="accent2"/>
          <w:lang w:val="es-ES"/>
        </w:rPr>
      </w:pPr>
    </w:p>
    <w:p w14:paraId="2CEB55DA" w14:textId="77777777" w:rsidR="00A94F33" w:rsidRPr="003550A6" w:rsidRDefault="00AC0ED1" w:rsidP="003550A6">
      <w:pPr>
        <w:spacing w:after="0" w:line="276" w:lineRule="auto"/>
        <w:jc w:val="both"/>
        <w:rPr>
          <w:rFonts w:ascii="Verdana" w:eastAsia="Times New Roman" w:hAnsi="Verdana" w:cs="Segoe UI"/>
          <w:lang w:eastAsia="es-ES_tradnl"/>
        </w:rPr>
      </w:pPr>
      <w:r>
        <w:rPr>
          <w:rFonts w:ascii="Verdana" w:eastAsia="Times New Roman" w:hAnsi="Verdana" w:cs="Times New Roman"/>
        </w:rPr>
        <w:t xml:space="preserve">De acuerdo con el contenido de su solicitud, esta Agencia resolverá el siguiente problema jurídico: i) ¿Conserva su vigencia el régimen contractual de derecho privado que una norma anterior a la Ley 80 de 1993 asignó a una unidad administrativa especial, aunque este estatuto incluya a dichas unidades dentro de su ámbito de aplicación?, en otras palabras, ¿Se encuentra vigente el régimen contractual especial previsto en el artículo 6 del Decreto 20 de 1992 para el Fondo Rotatorio del Ministerio de Relaciones Exteriores y cuál es su alcance frente al Estatuto General de Contratación de la Administración Pública?; ii) ¿Cuál es el alcance interpretativo del Concepto 1578 de 2004 de la Sala de Consulta y Servicio Civil respecto del régimen contractual aplicable al Fondo </w:t>
      </w:r>
      <w:r>
        <w:rPr>
          <w:rFonts w:ascii="Verdana" w:eastAsia="Times New Roman" w:hAnsi="Verdana" w:cs="Times New Roman"/>
        </w:rPr>
        <w:lastRenderedPageBreak/>
        <w:t>Rotatorio del Ministerio de Relaciones Exteriores? y; iii) ¿Qué disposiciones constitucionales y legales de derecho público resultan aplicables a la actividad contractual del Fondo Rotatorio del Ministerio de Relaciones Exteriores y cómo se articulan con el régimen de derecho privado previsto en el artículo 6 del Decreto 20 de 1992?</w:t>
      </w:r>
    </w:p>
    <w:p w14:paraId="6F78BA0A" w14:textId="2138F32D" w:rsidR="00B24DA3" w:rsidRPr="003550A6" w:rsidRDefault="00B24DA3" w:rsidP="003550A6">
      <w:pPr>
        <w:widowControl w:val="0"/>
        <w:autoSpaceDE w:val="0"/>
        <w:autoSpaceDN w:val="0"/>
        <w:spacing w:after="0" w:line="276" w:lineRule="auto"/>
        <w:jc w:val="both"/>
        <w:rPr>
          <w:rFonts w:ascii="Verdana" w:eastAsia="Times New Roman" w:hAnsi="Verdana" w:cs="Times New Roman"/>
        </w:rPr>
      </w:pPr>
    </w:p>
    <w:p w14:paraId="06C2280C" w14:textId="77777777" w:rsidR="00AC0ED1" w:rsidRDefault="00AC0ED1" w:rsidP="00AC0ED1">
      <w:pPr>
        <w:keepNext/>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61871ADD" w14:textId="77777777" w:rsidR="00AC0ED1" w:rsidRPr="00A4789E" w:rsidRDefault="00AC0ED1" w:rsidP="00AC0ED1">
      <w:pPr>
        <w:keepNext/>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0ED1" w:rsidRPr="00206556" w14:paraId="1E42D852" w14:textId="77777777" w:rsidTr="004D2DC8">
        <w:tc>
          <w:tcPr>
            <w:tcW w:w="8828" w:type="dxa"/>
          </w:tcPr>
          <w:p w14:paraId="210D2A36" w14:textId="77777777" w:rsidR="00AC0ED1" w:rsidRDefault="00AC0ED1" w:rsidP="003550A6">
            <w:pPr>
              <w:spacing w:line="276" w:lineRule="auto"/>
              <w:jc w:val="both"/>
              <w:rPr>
                <w:rFonts w:ascii="Verdana" w:eastAsia="Calibri" w:hAnsi="Verdana" w:cs="Arial"/>
              </w:rPr>
            </w:pPr>
            <w:r>
              <w:rPr>
                <w:rFonts w:ascii="Verdana" w:eastAsia="Calibri" w:hAnsi="Verdana" w:cs="Arial"/>
              </w:rPr>
              <w:t>En atención al problema jurídico planteado, es necesario precisar que una entidad estatal solo cuenta con un régimen contractual excepcional al Estatuto General de Contratación de la Administración Pública cuando una disposición legal vigente así lo establece, de conformidad con el artículo 13 de la Ley 1150 de 2007. En consecuencia, cuando el sometimiento de una entidad al derecho privado proviene de una norma anterior a la Ley 80 de 1993, corresponde analizar si dicha disposición conserva su vigencia frente al estatuto general de contratación.</w:t>
            </w:r>
          </w:p>
          <w:p w14:paraId="47D9DF29"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b/>
                <w:bCs/>
              </w:rPr>
              <w:t>(i)</w:t>
            </w:r>
            <w:r>
              <w:rPr>
                <w:rFonts w:ascii="Verdana" w:eastAsia="Calibri" w:hAnsi="Verdana" w:cs="Arial"/>
              </w:rPr>
              <w:t xml:space="preserve"> En criterio de esta Agencia, una disposición anterior a la Ley 80 de 1993 que somete de manera general al derecho privado la contratación de una entidad comprendida dentro del ámbito de aplicación del artículo 2 de dicho estatuto, como ocurre con las unidades administrativas especiales, plantea una tensión interpretativa frente al régimen general de contratación estatal. A la luz de los criterios previstos en el artículo 3 de la Ley 153 de 1887, existen elementos normativos relevantes para sostener que una disposición de esta naturaleza no conserva su vigencia cuando la ley posterior regula integralmente la materia y resultan incompatibles ambas regulaciones.</w:t>
            </w:r>
          </w:p>
          <w:p w14:paraId="52A5EEC2"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t>En este sentido, la Ley 80 de 1993 fue expedida como estatuto general de contratación de las entidades estatales, incluyó expresamente a las unidades administrativas especiales dentro de su ámbito de aplicación, ordenó la adecuación de los estatutos de las entidades estatales a sus disposiciones y derogó el Decreto Ley 222 de 1983, así como las demás normas que le fueran contrarias. Asimismo, resulta relevante considerar que cuando el legislador ha estimado necesario autorizar expresamente la inaplicación de la Ley 80 de 1993 para determinados contratos o circunstancias excepcionales, tal habilitación constituye un elemento interpretativo indicativo de la aplicación ordinaria del estatuto.</w:t>
            </w:r>
          </w:p>
          <w:p w14:paraId="274BE00C"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b/>
                <w:bCs/>
              </w:rPr>
              <w:lastRenderedPageBreak/>
              <w:t>(ii)</w:t>
            </w:r>
            <w:r>
              <w:rPr>
                <w:rFonts w:ascii="Verdana" w:eastAsia="Calibri" w:hAnsi="Verdana" w:cs="Arial"/>
              </w:rPr>
              <w:t xml:space="preserve"> Bajo esa interpretación, la entidad correspondiente deberá sujetar su actividad contractual a las disposiciones de la Ley 80 de 1993, la Ley 1150 de 2007, el Decreto 1082 de 2015 y las demás normas que integran el Estatuto General de Contratación de la Administración Pública. Lo anterior comprende todas las etapas de la actividad contractual, esto es, la planeación, la selección del contratista, la celebración, ejecución, modificación, terminación y liquidación de los contratos.</w:t>
            </w:r>
          </w:p>
          <w:p w14:paraId="3D4AC656"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t>Lo anterior no excluye la aplicación del derecho privado. De conformidad con el inciso primero del artículo 13 de la Ley 80 de 1993, los contratos estatales se rigen por las disposiciones civiles y comerciales pertinentes en aquellas materias que no hayan sido reguladas de manera especial por el estatuto. De igual forma, el mismo artículo contempla reglas particulares para la contratación internacional, permitiendo que determinados contratos celebrados o ejecutados en el exterior se sometan a la ley extranjera en los supuestos previstos por dicha disposición. Tales reglas hacen parte del propio Estatuto General de Contratación y no constituyen, por sí mismas, un régimen contractual excepcional.</w:t>
            </w:r>
          </w:p>
          <w:p w14:paraId="3D856AF7"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b/>
                <w:bCs/>
              </w:rPr>
              <w:t>(iii)</w:t>
            </w:r>
            <w:r>
              <w:rPr>
                <w:rFonts w:ascii="Verdana" w:eastAsia="Calibri" w:hAnsi="Verdana" w:cs="Arial"/>
              </w:rPr>
              <w:t xml:space="preserve"> Por otra parte, cuando una entidad estatal cuenta con un régimen contractual excepcional establecido por una disposición legal vigente, su actividad contractual se rige por dicho régimen especial, sin perjuicio de la aplicación de las normas de derecho público que resultan imperativas. En particular, el artículo 13 de la Ley 1150 de 2007 exige la observancia de los principios de la función administrativa y de la gestión fiscal previstos en los artículos 209 y 267 de la Constitución Política, la aplicación del régimen de inhabilidades e incompatibilidades de la contratación estatal y el cumplimiento de los deberes de publicidad de la actividad contractual mediante el SECOP.</w:t>
            </w:r>
          </w:p>
          <w:p w14:paraId="26C974C1"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t>Del mismo modo, los reglamentos o manuales internos de contratación no constituyen una fuente autónoma de regulación contractual y, por tanto, no pueden regular materias reservadas a la ley, tales como los requisitos de existencia y validez de los contratos, el régimen de inhabilidades e incompatibilidades, las sanciones, las restricciones de acceso a la administración de justicia o aquellas materias respecto de las cuales exista reserva legal. Lo anterior se entiende sin perjuicio de los controles fiscales, disciplinarios y demás mecanismos de control aplicables a la gestión de recursos públicos.</w:t>
            </w:r>
          </w:p>
          <w:p w14:paraId="14C0A8CA"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b/>
                <w:bCs/>
              </w:rPr>
              <w:lastRenderedPageBreak/>
              <w:t>(iv)</w:t>
            </w:r>
            <w:r>
              <w:rPr>
                <w:rFonts w:ascii="Verdana" w:eastAsia="Calibri" w:hAnsi="Verdana" w:cs="Arial"/>
              </w:rPr>
              <w:t xml:space="preserve"> En cuanto al Concepto 1578 del 18 de junio de 2004 de la Sala de Consulta y Servicio Civil del Consejo de Estado, esta Agencia no es competente para determinar el alcance jurídico de los pronunciamientos emitidos por otras autoridades ni para definir el sentido con el que fueron formuladas sus consideraciones. No obstante, se advierte que dicho concepto debe analizarse en el contexto del problema jurídico que motivó la consulta correspondiente y a partir de las normas vigentes aplicables al caso.</w:t>
            </w:r>
          </w:p>
          <w:p w14:paraId="7691C1EA" w14:textId="77777777" w:rsidR="00AC0ED1" w:rsidRDefault="00AC0ED1" w:rsidP="004D2DC8">
            <w:pPr>
              <w:spacing w:line="276" w:lineRule="auto"/>
              <w:ind w:firstLine="709"/>
              <w:jc w:val="both"/>
              <w:rPr>
                <w:rFonts w:ascii="Verdana" w:eastAsia="Calibri" w:hAnsi="Verdana" w:cs="Arial"/>
              </w:rPr>
            </w:pPr>
            <w:r>
              <w:rPr>
                <w:rFonts w:ascii="Verdana" w:eastAsia="Calibri" w:hAnsi="Verdana" w:cs="Arial"/>
              </w:rPr>
              <w:t>En todo caso, la determinación concreta del régimen contractual aplicable a una entidad específica corresponde a la propia entidad en ejercicio de sus competencias y, en caso de controversia, a las autoridades judiciales competentes. El presente concepto se limita a exponer criterios generales de interpretación normativa, en los términos del artículo 28 de la Ley 1437 de 2011.</w:t>
            </w:r>
          </w:p>
        </w:tc>
      </w:tr>
    </w:tbl>
    <w:p w14:paraId="057192DE" w14:textId="77777777" w:rsidR="00AC0ED1" w:rsidRPr="00206556" w:rsidRDefault="00AC0ED1" w:rsidP="00AC0ED1">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711BF04A" w14:textId="77777777" w:rsidR="00AC0ED1" w:rsidRPr="00206556" w:rsidRDefault="00AC0ED1" w:rsidP="00AC0ED1">
      <w:pPr>
        <w:keepNext/>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57DE3613" w14:textId="77777777" w:rsidR="00AC0ED1" w:rsidRPr="00206556" w:rsidRDefault="00AC0ED1" w:rsidP="00AC0ED1">
      <w:pPr>
        <w:keepNext/>
        <w:tabs>
          <w:tab w:val="left" w:pos="142"/>
          <w:tab w:val="left" w:pos="284"/>
        </w:tabs>
        <w:spacing w:after="0" w:line="276" w:lineRule="auto"/>
        <w:jc w:val="both"/>
        <w:rPr>
          <w:rFonts w:ascii="Verdana" w:eastAsia="Century Gothic" w:hAnsi="Verdana" w:cs="Century Gothic"/>
          <w:b/>
          <w:color w:val="ED7D31" w:themeColor="accent2"/>
          <w:lang w:val="es-ES"/>
        </w:rPr>
      </w:pPr>
    </w:p>
    <w:p w14:paraId="02CD6606" w14:textId="77777777" w:rsidR="00AC0ED1" w:rsidRPr="00206556" w:rsidRDefault="00AC0ED1" w:rsidP="00AC0ED1">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CCFB5F8" w14:textId="77777777" w:rsidR="00AC0ED1" w:rsidRPr="00206556" w:rsidRDefault="00AC0ED1" w:rsidP="00AC0ED1">
      <w:pPr>
        <w:spacing w:after="0" w:line="276" w:lineRule="auto"/>
        <w:jc w:val="both"/>
        <w:rPr>
          <w:rFonts w:ascii="Verdana" w:eastAsia="Calibri" w:hAnsi="Verdana" w:cs="Arial"/>
          <w:lang w:val="es-ES"/>
        </w:rPr>
      </w:pPr>
    </w:p>
    <w:p w14:paraId="276907B6"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(i) Para resolver el problema jurídico planteado, esta Agencia considera necesario partir de la naturaleza jurídica del Fondo Rotatorio del Ministerio de Relaciones Exteriores. El artículo 1 del Decreto Ley 20 de 1992, expedido en ejercicio de las facultades extraordinarias del literal d) del artículo 43 de la Ley 11 de 1991, dispone que:</w:t>
      </w:r>
    </w:p>
    <w:p w14:paraId="12D1A201"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“El Fondo Rotatorio del Ministerio de Relaciones Exteriores es una unidad administrativa especial del orden nacional, dotado de personería jurídica y patrimonio propio, adscrito al Ministerio de Relaciones Exteriores”.</w:t>
      </w:r>
    </w:p>
    <w:p w14:paraId="5132A8C0"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Se trata, entonces, de una entidad pública del orden nacional, con personería jurídica, cuya función principal consiste en atender las necesidades del Ministerio y del servicio exterior mediante la adquisición, administración y disposición de bienes y servicios, así como la celebración de los actos y contratos necesarios para el cumplimiento de sus finalidades, según el artículo 2 del mismo Decreto.</w:t>
      </w:r>
    </w:p>
    <w:p w14:paraId="37214809"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Ahora bien, el artículo 6 </w:t>
      </w:r>
      <w:r>
        <w:rPr>
          <w:rFonts w:ascii="Verdana" w:eastAsia="Times New Roman" w:hAnsi="Verdana" w:cs="Times New Roman"/>
          <w:i/>
          <w:iCs/>
        </w:rPr>
        <w:t>ibidem</w:t>
      </w:r>
      <w:r>
        <w:rPr>
          <w:rFonts w:ascii="Verdana" w:eastAsia="Times New Roman" w:hAnsi="Verdana" w:cs="Times New Roman"/>
        </w:rPr>
        <w:t xml:space="preserve">, el cual se analizará más adelante, señala sobre el régimen jurídico de los actos y contratos que celebre el Fondo que estos se regirán por las normas del derecho privado, salvo los contratos de obra </w:t>
      </w:r>
      <w:r>
        <w:rPr>
          <w:rFonts w:ascii="Verdana" w:eastAsia="Times New Roman" w:hAnsi="Verdana" w:cs="Times New Roman"/>
        </w:rPr>
        <w:lastRenderedPageBreak/>
        <w:t>pública que se celebren en el país y de empréstito</w:t>
      </w:r>
      <w:r>
        <w:rPr>
          <w:rStyle w:val="Refdenotaalpie"/>
          <w:rFonts w:ascii="Verdana" w:eastAsia="Times New Roman" w:hAnsi="Verdana" w:cs="Times New Roman"/>
        </w:rPr>
        <w:footnoteReference w:id="2"/>
      </w:r>
      <w:r>
        <w:rPr>
          <w:rFonts w:ascii="Verdana" w:eastAsia="Times New Roman" w:hAnsi="Verdana" w:cs="Times New Roman"/>
        </w:rPr>
        <w:t>, respecto de los cuales el propio legislador estableció reglas especiales. Esta disposición fue expedida el 3 de enero de 1992, cuando regía el Decreto Ley 222 de 1983. En ese contexto, el sometimiento general de la actividad contractual del Fondo al régimen de derecho privado era una excepción al estatuto contractual entonces vigente, que la propia norma dejaba a salvo para los contratos de obra pública celebrados en el país y de empréstito. En consecuencia, para determinar la vigencia actual de dicha norma resulta necesario examinar su relación con la Ley 80 de 1993, expedida posteriormente como Estatuto General de Contratación de la Administración Pública.</w:t>
      </w:r>
    </w:p>
    <w:p w14:paraId="3489C00A"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ese sentido, el inciso final del artículo 150 de la Constitución Política atribuye al Congreso de la República la competencia para expedir el Estatuto General de Contratación de la Administración Pública y, en especial, de la administración nacional. Esta competencia se ejerció con la expedición de Ley 80 de 1993, cuyo artículo 1 señala que tiene por objeto disponer las reglas y principios que rigen los contratos de las entidades estatales. Por su parte, el literal b) del numeral 1 del artículo 2 de esa ley incluye expresamente a las unidades administrativas especiales dentro de la categoría de entidades estatales.</w:t>
      </w:r>
    </w:p>
    <w:p w14:paraId="6F531B5D"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ha precisado que las entidades estatales previstas en los literales a) y b) del numeral 1 de su artículo 2 están sometidas, en principio, al Estatuto General de Contratación de la Administración Pública y a las modalidades de selección previstas en el artículo 2 de la Ley 1150 de 2007, sin perjuicio de las excepciones que una disposición legal vigente establezca de manera expresa</w:t>
      </w:r>
      <w:r>
        <w:rPr>
          <w:rStyle w:val="Refdenotaalpie"/>
          <w:rFonts w:ascii="Verdana" w:eastAsia="Times New Roman" w:hAnsi="Verdana" w:cs="Times New Roman"/>
        </w:rPr>
        <w:footnoteReference w:id="3"/>
      </w:r>
      <w:r>
        <w:rPr>
          <w:rFonts w:ascii="Verdana" w:eastAsia="Times New Roman" w:hAnsi="Verdana" w:cs="Times New Roman"/>
        </w:rPr>
        <w:t>. De este modo, la regla general para cualquier entidad estatal es la aplicación del Estatuto General de Contratación de la Administración Pública, la excepción requiere una disposición legal vigente.</w:t>
      </w:r>
    </w:p>
    <w:p w14:paraId="604248A0"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 xml:space="preserve">(ii) En segundo término, conviene exponer los criterios generales aplicables para </w:t>
      </w:r>
      <w:r>
        <w:rPr>
          <w:rFonts w:ascii="Verdana" w:eastAsia="Times New Roman" w:hAnsi="Verdana" w:cs="Times New Roman"/>
        </w:rPr>
        <w:lastRenderedPageBreak/>
        <w:t>establecer si una norma anterior conserva su vigencia frente a una ley posterior. El artículo 3 de la Ley 153 de 1887 dispone:</w:t>
      </w:r>
    </w:p>
    <w:p w14:paraId="4699020A"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“Estímase insubsistente una disposición legal por declaración expresa del legislador, ó por incompatibilidad con disposiciones especiales posteriores, ó por existir una ley nueva que regula íntegramente la materia á que la anterior disposición se refería”</w:t>
      </w:r>
      <w:r>
        <w:rPr>
          <w:rStyle w:val="Refdenotaalpie"/>
          <w:rFonts w:ascii="Verdana" w:eastAsia="Times New Roman" w:hAnsi="Verdana" w:cs="Times New Roman"/>
        </w:rPr>
        <w:footnoteReference w:id="4"/>
      </w:r>
      <w:r>
        <w:rPr>
          <w:rFonts w:ascii="Verdana" w:eastAsia="Century Gothic" w:hAnsi="Verdana" w:cs="Century Gothic"/>
          <w:sz w:val="20"/>
          <w:szCs w:val="20"/>
        </w:rPr>
        <w:t>.</w:t>
      </w:r>
    </w:p>
    <w:p w14:paraId="1EA7D2B0"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Estos criterios se aplican entre normas de igual jerarquía. Un decreto expedido con base en facultades extraordinarias tiene fuerza de ley, de modo que puede ser modificado o derogado por una ley posterior. Así las cosas, el análisis de vigencia exige, entonces, confrontar la norma anterior con la ley posterior y establecer si esta la derogó de manera expresa, si es incompatible con ella o si reguló íntegramente la materia.</w:t>
      </w:r>
    </w:p>
    <w:p w14:paraId="17A99E58"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Frente a la Ley 80 de 1993, son relevantes varias de sus disposiciones. Su artículo 1 señala que tiene por objeto disponer las reglas y principios que rigen los contratos de las entidades estatales. Su artículo 2 incluye a las unidades administrativas especiales dentro de esas entidades. Su artículo 80 dispuso:</w:t>
      </w:r>
    </w:p>
    <w:p w14:paraId="5D9C3A28"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“De la adecuación de estatutos. Dentro de los seis (6) meses siguientes a la fecha de promulgación de la presente ley, las autoridades competentes adoptarán las medidas necesarias para adecuar los estatutos de las entidades estatales a lo dispuesto en esta ley”.</w:t>
      </w:r>
    </w:p>
    <w:p w14:paraId="17E0A9B9"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Y su artículo 81 dispuso:</w:t>
      </w:r>
    </w:p>
    <w:p w14:paraId="4BC9FCD8"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“De la derogatoria y de la vigencia. A partir de la vigencia de la presente ley, quedan derogados el Decreto ley 2248 de 1972; la Ley 19 de 1982; el Decreto ley 222 de 1983, excepción hecha de los artículos 108, 109, 110, 111, 112 y 113; el Decreto ley 591 de 1991, excepción hecha de los artículos 2o., 8o., 9o., 17 y 19; el Decreto ley 1684 de 1991; las normas sobre contratación del Decreto 700 de 1992, y los artículos 253, 254, 255, 256, 257, 258, 259, 260, 261, 262, 263 y 264 del Código Contencioso Administrativo; así como las demás normas que le sean contrarias”.</w:t>
      </w:r>
    </w:p>
    <w:p w14:paraId="4E8A567A"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El artículo 81 no menciona de manera expresa el Decreto Ley 20 de 1992. Por eso, el análisis no se agota en la derogatoria expresa. Debe establecerse si la regla del artículo 6 es contraria al estatuto, o si la Ley 80 de 1993 reguló íntegramente la materia a que esa regla se refería. Para ese efecto, el intérprete debe considerar que la Ley 80 se expidió como el estatuto general, en desarrollo del inciso final del artículo 150 de la Constitución Política, que incluyó a las </w:t>
      </w:r>
      <w:r>
        <w:rPr>
          <w:rFonts w:ascii="Verdana" w:eastAsia="Times New Roman" w:hAnsi="Verdana" w:cs="Times New Roman"/>
        </w:rPr>
        <w:lastRenderedPageBreak/>
        <w:t>unidades administrativas especiales y que ordenó adecuar a sus disposiciones los estatutos de las entidades estatales.</w:t>
      </w:r>
    </w:p>
    <w:p w14:paraId="58D4A141"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Podría sostenerse que la norma especial anterior prevalece sobre la general posterior. Sin embargo, ese criterio cede cuando la ley posterior regula íntegramente la materia, pues en tal caso el propio artículo 3 de la Ley 153 de 1887 prevé la insubsistencia de la disposición anterior. En criterio de esta Agencia, eso es lo que ocurre con la Ley 80 de 1993: reguló íntegramente el régimen de los contratos de las entidades estatales. Por ello, una norma anterior que sustrae de manera general a una entidad comprendida en su artículo 2 del régimen contractual común es contraria al estatuto y queda comprendida en la derogatoria de “las demás normas que le sean contrarias”, salvo que una ley posterior haya establecido o reconocido de nuevo el régimen excepcional.</w:t>
      </w:r>
    </w:p>
    <w:p w14:paraId="41E8C2EC"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consecuencia, para el caso que nos ocupa el análisis no se limita a establecer si el artículo 6 del Decreto Ley 20 de 1992 fue derogado expresamente, sino que exige determinar si la expedición de la Ley 80 de 1993 produjo su derogatoria tácita por incompatibilidad normativa o por regulación integral de la materia. Sobre el particular, el intérprete debe tener en cuenta dos circunstancias. La primera es que el artículo 6 remitía los contratos de obra pública y de empréstito al Decreto Ley 222 de 1983, que el artículo 81 de la Ley 80 derogó de manera expresa. La segunda es que el Decreto Legislativo 537 de 2020 adicionó un parágrafo al artículo 2 del Decreto Ley 20 de 1992, con el siguiente texto:</w:t>
      </w:r>
    </w:p>
    <w:p w14:paraId="76250AF7"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“Contratos del Fondo Rotatorio del Ministerio de Relaciones Exteriores. Durante la vigencia de la Emergencia Sanitaria declarada por el Ministerio de Salud y Protección Social, con ocasión de la pandemia derivada del Coronavirus COVID-19, autorícese al Fondo Rotatorio del Ministerio de Relaciones Exteriores, para celebrar convenios interadministrativos internos y contratos que tengan como propósito adquirir de las entidades públicas extranjeras, empresas privadas extranjeras o de otras organizaciones o personas extranjeras, bienes y servicios necesarios para mitigar la pandemia y sus efectos, sin aplicar la Ley 80 de 1993”</w:t>
      </w:r>
      <w:r>
        <w:rPr>
          <w:rStyle w:val="Refdenotaalpie"/>
          <w:rFonts w:ascii="Verdana" w:eastAsia="Times New Roman" w:hAnsi="Verdana" w:cs="Times New Roman"/>
        </w:rPr>
        <w:footnoteReference w:id="5"/>
      </w:r>
      <w:r>
        <w:rPr>
          <w:rFonts w:ascii="Verdana" w:eastAsia="Century Gothic" w:hAnsi="Verdana" w:cs="Century Gothic"/>
          <w:sz w:val="20"/>
          <w:szCs w:val="20"/>
        </w:rPr>
        <w:t>.</w:t>
      </w:r>
    </w:p>
    <w:p w14:paraId="6D7DE46D"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Esta disposición autorizó de manera temporal y para cierto tipo de contratos la no aplicación de la Ley 80 de 1993. En términos generales, cuando el legislador debe autorizar expresamente a una entidad para contratar sin </w:t>
      </w:r>
      <w:r>
        <w:rPr>
          <w:rFonts w:ascii="Verdana" w:eastAsia="Times New Roman" w:hAnsi="Verdana" w:cs="Times New Roman"/>
        </w:rPr>
        <w:lastRenderedPageBreak/>
        <w:t>aplicar la Ley 80 de 1993, esa autorización supone que el estatuto le resulta aplicable en condiciones ordinarias. Es, por tanto, un indicio relevante al examinar el régimen contractual de la entidad.</w:t>
      </w:r>
    </w:p>
    <w:p w14:paraId="32069DEA"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Se reitera que la aplicación de estos criterios a una entidad determinada corresponde a ella, en ejercicio de su competencia. La declaración definitiva sobre la vigencia o la derogatoria tácita de una norma corresponde a las autoridades judiciales. Esta Agencia expone su interpretación de las normas generales, con el alcance del artículo 28 de la Ley 1437 de 2011.</w:t>
      </w:r>
    </w:p>
    <w:p w14:paraId="4043C4E2"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(iii) En tercer término, el artículo 13 de la Ley 1150 de 2007 se refiere a “Las entidades estatales que por disposición legal cuenten con un régimen contractual excepcional al del Estatuto General de Contratación de la Administración Pública”. Por consiguiente, la existencia de un régimen excepcional depende, por tanto, de una disposición legal vigente que lo establezca. Si esa disposición existe, la entidad aplica su régimen especial con el mínimo de derecho público del mismo artículo. Si no existe o no conserva su vigencia, la entidad se rige por el estatuto general.</w:t>
      </w:r>
    </w:p>
    <w:p w14:paraId="5EDCE552"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ha señalado que las entidades que cuentan con un régimen exceptuado pueden expedir manuales o reglamentos internos de contratación para desarrollar los procedimientos aplicables a su actividad contractual</w:t>
      </w:r>
      <w:r>
        <w:rPr>
          <w:rStyle w:val="Refdenotaalpie"/>
          <w:rFonts w:ascii="Verdana" w:eastAsia="Times New Roman" w:hAnsi="Verdana" w:cs="Times New Roman"/>
        </w:rPr>
        <w:footnoteReference w:id="6"/>
      </w:r>
      <w:r>
        <w:rPr>
          <w:rFonts w:ascii="Verdana" w:eastAsia="Times New Roman" w:hAnsi="Verdana" w:cs="Times New Roman"/>
        </w:rPr>
        <w:t>. Sin embargo, tales instrumentos no constituyen una fuente autónoma de excepcionalidad contractual ni pueden sustituir el fundamento legal que exige el artículo 13 de la Ley 1150 de 2007.</w:t>
      </w:r>
    </w:p>
    <w:p w14:paraId="29E80327"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Por consiguiente, la referencia contenida en esta disposición a las entidades con régimen excepcional no crea por sí misma un régimen especial, sino que presupone la existencia previa de una norma legal vigente que lo establezca.</w:t>
      </w:r>
    </w:p>
    <w:p w14:paraId="123FFC82"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 xml:space="preserve">(iv) En cuarto término, cuando una entidad estatal se encuentra sometida al Estatuto General de Contratación de la Administración Pública, debe observar las disposiciones contenidas en las Leyes 80 de 1993 y 1150 de 2007, así como </w:t>
      </w:r>
      <w:r>
        <w:rPr>
          <w:rFonts w:ascii="Verdana" w:eastAsia="Times New Roman" w:hAnsi="Verdana" w:cs="Times New Roman"/>
        </w:rPr>
        <w:lastRenderedPageBreak/>
        <w:t>sus normas reglamentarias, en todas las etapas de la actividad contractual.</w:t>
      </w:r>
    </w:p>
    <w:p w14:paraId="277196E0"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Así, durante la etapa de planeación resultan aplicables, entre otros, los deberes relacionados con los estudios y documentos previos, el análisis del sector y el plan anual de adquisiciones. En la fase de selección deben observarse las modalidades previstas en el artículo 2 de la Ley 1150 de 2007, teniendo la licitación pública carácter general. Durante la ejecución resultan aplicables las disposiciones sobre garantías, supervisión, modificación contractual y, cuando proceda, las cláusulas excepcionales. Finalmente, la terminación y liquidación se sujetan a las reglas previstas en la Ley 80 de 1993 y en la Ley 1150 de 2007.</w:t>
      </w:r>
    </w:p>
    <w:p w14:paraId="38310355"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Lo anterior no excluye la aplicación del derecho privado. En efecto, el artículo 13 de la Ley 80 de 1993 establece que los contratos estatales se regirán por las disposiciones civiles y comerciales pertinentes en aquellas materias que no hayan sido reguladas especialmente por el estatuto. En consecuencia, el derecho privado opera como fuente normativa complementaria dentro del propio sistema de contratación estatal.</w:t>
      </w:r>
    </w:p>
    <w:p w14:paraId="3529BEE0"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(v) En quinto término, frente a la pregunta sobre el Concepto 1578 del 18 de junio de 2004 de la Sala de Consulta y Servicio Civil del Consejo de Estado, se precisa que no corresponde a esta Agencia fijar el alcance de los pronunciamientos de otra autoridad, ni determinar si una afirmación contenida en ellos se refería al régimen integral de una entidad o solo a la aplicación del régimen de inhabilidades e incompatibilidades. Esa labor excede la competencia consultiva de esta Agencia, que se limita a la interpretación de normas generales.</w:t>
      </w:r>
    </w:p>
    <w:p w14:paraId="5FEB300D"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No obstante, resulta pertinente señalar que dicho concepto fue emitido para resolver una consulta relacionada con la aplicación del régimen de inhabilidades e incompatibilidades previsto en la Ley 80 de 1993. Por tal razón, sus consideraciones deben analizarse dentro del contexto específico del problema jurídico sometido al conocimiento de la Sala y no de manera aislada respecto de las circunstancias que motivaron la consulta.</w:t>
      </w:r>
    </w:p>
    <w:p w14:paraId="178B01F8"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todo caso, el régimen contractual aplicable a una entidad estatal debe determinarse a partir del análisis de las disposiciones legales vigentes y no únicamente de las consideraciones formuladas en un pronunciamiento consultivo.</w:t>
      </w:r>
    </w:p>
    <w:p w14:paraId="6795BBA3"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 xml:space="preserve">(vi) En sexto término, respecto de las normas de derecho público aplicables a </w:t>
      </w:r>
      <w:r>
        <w:rPr>
          <w:rFonts w:ascii="Verdana" w:eastAsia="Times New Roman" w:hAnsi="Verdana" w:cs="Times New Roman"/>
        </w:rPr>
        <w:lastRenderedPageBreak/>
        <w:t>las entidades con régimen excepcional, el artículo 13 de la Ley 1150 de 2007, adicionado por el artículo 53 de la Ley 2195 de 2022, establece un conjunto de disposiciones imperativas de derecho público que deben ser observadas en el desarrollo de su actividad contractual. En particular, dichas entidades deben aplicar los principios de la función administrativa y de la gestión fiscal, sujetarse al régimen legal de inhabilidades e incompatibilidades y garantizar la publicidad de su actividad contractual mediante la publicación de la información correspondiente en el SECOP.</w:t>
      </w:r>
    </w:p>
    <w:p w14:paraId="3DF07B50"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Sobre el particular, dispone:</w:t>
      </w:r>
    </w:p>
    <w:p w14:paraId="7DBC3FBF"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BB93653" w14:textId="77777777" w:rsidR="00AC0ED1" w:rsidRDefault="00AC0ED1" w:rsidP="00AC0ED1">
      <w:pPr>
        <w:spacing w:after="12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desarrollo de los anteriores principios, deberán publicar los documentos relacionados con su actividad contractual en el Sistema Electrónico para la Contratación Pública (SECOP II) o la plataforma transaccional que haga sus veces”.</w:t>
      </w:r>
    </w:p>
    <w:p w14:paraId="2A3081C3"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Agencia ha explicado que esta disposición significó un “retorno del derecho administrativo” para las entidades exceptuadas, y que su manual de contratación no puede regular materias reservadas al legislador, como los requisitos de existencia y validez del contrato, las sanciones y los procedimientos para imponerlas, las causales de inhabilidad e incompatibilidad, el principio de anualidad del gasto y las restricciones al acceso a la administración de justicia</w:t>
      </w:r>
      <w:r>
        <w:rPr>
          <w:rStyle w:val="Refdenotaalpie"/>
          <w:rFonts w:ascii="Verdana" w:eastAsia="Times New Roman" w:hAnsi="Verdana" w:cs="Times New Roman"/>
        </w:rPr>
        <w:footnoteReference w:id="7"/>
      </w:r>
      <w:r>
        <w:rPr>
          <w:rFonts w:ascii="Verdana" w:eastAsia="Times New Roman" w:hAnsi="Verdana" w:cs="Times New Roman"/>
        </w:rPr>
        <w:t>. A ello se suma el control fiscal, que para el Fondo Rotatorio prevé el artículo 7 del Decreto Ley 20 de 1992.</w:t>
      </w:r>
    </w:p>
    <w:p w14:paraId="35CFD146"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Estas reglas constituyen el mínimo de derecho público aplicable a cualquier entidad estatal con régimen exceptuado. Una entidad sometida al </w:t>
      </w:r>
      <w:r>
        <w:rPr>
          <w:rFonts w:ascii="Verdana" w:eastAsia="Times New Roman" w:hAnsi="Verdana" w:cs="Times New Roman"/>
        </w:rPr>
        <w:lastRenderedPageBreak/>
        <w:t>estatuto general también las observa, pues hacen parte de ese estatuto o de las normas que lo complementan.</w:t>
      </w:r>
    </w:p>
    <w:p w14:paraId="6EC98D69" w14:textId="77777777" w:rsidR="00AC0ED1" w:rsidRDefault="00AC0ED1" w:rsidP="003550A6">
      <w:pPr>
        <w:widowControl w:val="0"/>
        <w:autoSpaceDE w:val="0"/>
        <w:autoSpaceDN w:val="0"/>
        <w:spacing w:after="120" w:line="276" w:lineRule="auto"/>
        <w:jc w:val="both"/>
        <w:rPr>
          <w:rFonts w:ascii="Verdana" w:hAnsi="Verdana"/>
        </w:rPr>
      </w:pPr>
      <w:r>
        <w:rPr>
          <w:rFonts w:ascii="Verdana" w:eastAsia="Times New Roman" w:hAnsi="Verdana" w:cs="Times New Roman"/>
        </w:rPr>
        <w:t>(vii) En conclusión, frente al primer problema jurídico, esta Agencia considera que la determinación acerca de si el artículo 6 del Decreto Ley 20 de 1992 conserva vigencia exige analizar su compatibilidad con la Ley 80 de 1993, a la luz de las reglas de derogatoria previstas en la Ley 153 de 1887. En tal sentido, la inclusión de las unidades administrativas especiales dentro del ámbito de aplicación de la Ley 80, el mandato de adecuación contenido en su artículo 80 y la cláusula derogatoria prevista en su artículo 81 constituyen elementos normativos relevantes para sostener que la contratación del Fondo Rotatorio del Ministerio de Relaciones Exteriores se encuentra sometida al Estatuto General de Contratación de la Administración Pública, sin perjuicio de las particularidades previstas por el propio ordenamiento para la contratación internacional.</w:t>
      </w:r>
    </w:p>
    <w:p w14:paraId="3CD4663F"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Frente al segundo problema jurídico, las entidades estatales sometidas al Estatuto General de Contratación deben aplicar las Leyes 80 de 1993 y 1150 de 2007, así como el Decreto 1082 de 2015 y las demás normas que las desarrollan, durante todas las etapas de la actividad contractual. Por su parte, las entidades que cuenten con un régimen contractual excepcional establecido por una disposición legal vigente deberán aplicar dicho régimen conjuntamente con los principios de la función administrativa y de la gestión fiscal, el régimen de inhabilidades e incompatibilidades, los deberes de publicidad en SECOP y las demás normas de derecho público de carácter imperativo.</w:t>
      </w:r>
    </w:p>
    <w:p w14:paraId="57D61738"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Frente al alcance del Concepto 1578 de 2004, se precisa que las consideraciones contenidas en dicho pronunciamiento deben examinarse en el contexto del problema jurídico específico que dio lugar a la consulta, relacionado con la aplicación del régimen de inhabilidades e incompatibilidades previsto en la Ley 80 de 1993, sin que corresponda a esta Agencia efectuar una interpretación definitiva de su alcance.</w:t>
      </w:r>
    </w:p>
    <w:p w14:paraId="4030E802" w14:textId="3EDD59F1" w:rsidR="00AC0ED1" w:rsidRDefault="003F0EFC" w:rsidP="00AC0ED1">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corresponde a cada entidad estatal determinar, en ejercicio de sus competencias, la aplicación de las normas pertinentes a su actividad contractual y, en última instancia, a las autoridades judiciales resolver las controversias relacionadas con la vigencia, interpretación o alcance de disposiciones específicas. El presente concepto se emite con el alcance previsto en el artículo 28 de la Ley 1437 de 2011 y constituye un criterio general de interpretación jurídica que no es de obligatorio cumplimiento ni ejecución.</w:t>
      </w:r>
    </w:p>
    <w:p w14:paraId="40F756A1" w14:textId="77777777" w:rsidR="00AC0ED1" w:rsidRDefault="00AC0ED1" w:rsidP="003550A6">
      <w:pPr>
        <w:widowControl w:val="0"/>
        <w:autoSpaceDE w:val="0"/>
        <w:autoSpaceDN w:val="0"/>
        <w:spacing w:after="0" w:line="276" w:lineRule="auto"/>
        <w:ind w:firstLine="708"/>
        <w:jc w:val="both"/>
        <w:rPr>
          <w:rFonts w:ascii="Verdana" w:hAnsi="Verdana"/>
        </w:rPr>
      </w:pPr>
      <w:r>
        <w:rPr>
          <w:rFonts w:ascii="Verdana" w:eastAsia="Times New Roman" w:hAnsi="Verdana" w:cs="Times New Roman"/>
        </w:rPr>
        <w:lastRenderedPageBreak/>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6BC34896" w14:textId="77777777" w:rsidR="00AC0ED1" w:rsidRPr="00EE1130" w:rsidRDefault="00AC0ED1" w:rsidP="00AC0ED1">
      <w:pPr>
        <w:spacing w:after="0" w:line="276" w:lineRule="auto"/>
        <w:jc w:val="both"/>
        <w:rPr>
          <w:rFonts w:ascii="Verdana" w:eastAsia="Calibri" w:hAnsi="Verdana" w:cs="Arial"/>
        </w:rPr>
      </w:pPr>
    </w:p>
    <w:p w14:paraId="3DC48420" w14:textId="77777777" w:rsidR="00AC0ED1" w:rsidRDefault="00AC0ED1" w:rsidP="00AC0ED1">
      <w:pPr>
        <w:keepNext/>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70D8D2D" w14:textId="77777777" w:rsidR="00AC0ED1" w:rsidRPr="00EE1130" w:rsidRDefault="00AC0ED1" w:rsidP="00AC0ED1">
      <w:pPr>
        <w:keepNext/>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C0ED1" w:rsidRPr="00EE1130" w14:paraId="3D9C98F7" w14:textId="77777777" w:rsidTr="004D2DC8">
        <w:trPr>
          <w:trHeight w:val="297"/>
        </w:trPr>
        <w:tc>
          <w:tcPr>
            <w:tcW w:w="8647" w:type="dxa"/>
          </w:tcPr>
          <w:p w14:paraId="535C7E89"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Constitución Política de Colombia. Artículos 150, 209 y 267.</w:t>
            </w:r>
          </w:p>
          <w:p w14:paraId="1AEFC9BD"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153 de 1887. Artículos 2 y 3.</w:t>
            </w:r>
          </w:p>
          <w:p w14:paraId="7BF424A6"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11 de 1991. Artículo 43, literal d).</w:t>
            </w:r>
          </w:p>
          <w:p w14:paraId="4C7F5F80"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80 de 1993. Artículos 1, 2, 13, 60, 80 y 81.</w:t>
            </w:r>
          </w:p>
          <w:p w14:paraId="4D58565C"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1150 de 2007. Artículos 2, 11 y 13.</w:t>
            </w:r>
          </w:p>
          <w:p w14:paraId="1FAC3A54"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2816B6C0"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Ley 2195 de 2022. Artículo 53.</w:t>
            </w:r>
          </w:p>
          <w:p w14:paraId="2C404E63"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Ley 222 de 1983.</w:t>
            </w:r>
          </w:p>
          <w:p w14:paraId="3D5DBCC9"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Ley 20 de 1992. Artículos 1, 2, 6 y 7.</w:t>
            </w:r>
          </w:p>
          <w:p w14:paraId="3EE17E53"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7A36DAA1"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Legislativo 537 de 2020. Artículo 10.</w:t>
            </w:r>
          </w:p>
          <w:p w14:paraId="4DEDFE85"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Decreto 1082 de 2015.</w:t>
            </w:r>
          </w:p>
          <w:p w14:paraId="34F0F93C"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77835AFA" w14:textId="77777777" w:rsidR="00AC0ED1" w:rsidRDefault="00AC0ED1" w:rsidP="003550A6">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Pr>
                <w:rFonts w:ascii="Verdana" w:eastAsia="Arial MT" w:hAnsi="Verdana" w:cs="Arial"/>
                <w:lang w:eastAsia="es-ES" w:bidi="es-ES"/>
              </w:rPr>
              <w:t>Consejo de Estado. Sala de Consulta y Servicio Civil. Concepto 1578 del 18 de junio de 2004.</w:t>
            </w:r>
          </w:p>
        </w:tc>
      </w:tr>
    </w:tbl>
    <w:p w14:paraId="3BA50FF3" w14:textId="77777777" w:rsidR="00AC0ED1" w:rsidRPr="00EE1130" w:rsidRDefault="00AC0ED1" w:rsidP="00AC0ED1">
      <w:pPr>
        <w:widowControl w:val="0"/>
        <w:autoSpaceDE w:val="0"/>
        <w:autoSpaceDN w:val="0"/>
        <w:spacing w:after="0" w:line="276" w:lineRule="auto"/>
        <w:jc w:val="both"/>
        <w:rPr>
          <w:rFonts w:ascii="Verdana" w:hAnsi="Verdana" w:cs="Arial"/>
          <w:color w:val="ED7D31" w:themeColor="accent2"/>
          <w:lang w:val="es-ES"/>
        </w:rPr>
      </w:pPr>
    </w:p>
    <w:p w14:paraId="4661BD69" w14:textId="77777777" w:rsidR="00AC0ED1" w:rsidRPr="00EE1130" w:rsidRDefault="00AC0ED1" w:rsidP="00AC0ED1">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2EAC40B5" w14:textId="77777777" w:rsidR="00AC0ED1" w:rsidRPr="001B3CBA" w:rsidRDefault="00AC0ED1" w:rsidP="00AC0ED1">
      <w:pPr>
        <w:tabs>
          <w:tab w:val="left" w:pos="142"/>
          <w:tab w:val="left" w:pos="284"/>
        </w:tabs>
        <w:spacing w:after="0" w:line="276" w:lineRule="auto"/>
        <w:jc w:val="both"/>
        <w:rPr>
          <w:rFonts w:ascii="Verdana" w:eastAsia="Century Gothic" w:hAnsi="Verdana" w:cs="Century Gothic"/>
          <w:b/>
          <w:lang w:val="es-ES"/>
        </w:rPr>
      </w:pPr>
    </w:p>
    <w:p w14:paraId="213B383F" w14:textId="77777777" w:rsidR="00AC0ED1" w:rsidRDefault="00AC0ED1" w:rsidP="003550A6">
      <w:pPr>
        <w:spacing w:after="0" w:line="276" w:lineRule="auto"/>
        <w:jc w:val="both"/>
        <w:rPr>
          <w:rFonts w:ascii="Verdana" w:hAnsi="Verdana"/>
        </w:rPr>
      </w:pPr>
      <w:r>
        <w:rPr>
          <w:rFonts w:ascii="Verdana" w:hAnsi="Verdana"/>
        </w:rPr>
        <w:lastRenderedPageBreak/>
        <w:t>La Agencia Nacional de Contratación Pública – Colombia Compra Eficiente se ha referido al ámbito de aplicación del Estatuto General de Contratación de la Administración Pública y a las normas de derecho público aplicables a las entidades con régimen exceptuado en los Conceptos C-1003 del 2 de septiembre de 2025 y C-1633 del 13 de noviembre de 2025. Estos y otros se encuentran disponibles para consulta en el Sistema de relatoría de la Agencia, al cual se puede acceder a través del siguiente enlace: https://relatoria.colombiacompra.gov.co/busqueda/conceptos</w:t>
      </w:r>
    </w:p>
    <w:p w14:paraId="77E99037" w14:textId="77777777" w:rsidR="00AC0ED1" w:rsidRPr="00EE1130" w:rsidRDefault="00AC0ED1" w:rsidP="00AC0ED1">
      <w:pPr>
        <w:spacing w:after="0" w:line="276" w:lineRule="auto"/>
        <w:jc w:val="both"/>
        <w:rPr>
          <w:rFonts w:ascii="Verdana" w:hAnsi="Verdana" w:cs="Arial"/>
          <w:color w:val="ED7D31" w:themeColor="accent2"/>
          <w:shd w:val="clear" w:color="auto" w:fill="FFFFFF"/>
          <w:lang w:val="es-ES"/>
        </w:rPr>
      </w:pPr>
    </w:p>
    <w:p w14:paraId="564E8B2F"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1E3E77FF" w14:textId="77777777" w:rsidR="00AC0ED1" w:rsidRPr="001B3CBA" w:rsidRDefault="00AC0ED1" w:rsidP="00AC0ED1">
      <w:pPr>
        <w:spacing w:after="0" w:line="276" w:lineRule="auto"/>
        <w:jc w:val="both"/>
        <w:rPr>
          <w:rFonts w:ascii="Verdana" w:hAnsi="Verdana" w:cs="Arial"/>
          <w:shd w:val="clear" w:color="auto" w:fill="FFFFFF"/>
        </w:rPr>
      </w:pPr>
    </w:p>
    <w:p w14:paraId="5D8E3705"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33E19C4D" w14:textId="77777777" w:rsidR="00AC0ED1" w:rsidRPr="00EE1130" w:rsidRDefault="00AC0ED1" w:rsidP="00AC0ED1">
      <w:pPr>
        <w:spacing w:after="0" w:line="276" w:lineRule="auto"/>
        <w:jc w:val="both"/>
        <w:rPr>
          <w:rFonts w:ascii="Verdana" w:hAnsi="Verdana" w:cs="Arial"/>
          <w:shd w:val="clear" w:color="auto" w:fill="FFFFFF"/>
        </w:rPr>
      </w:pPr>
    </w:p>
    <w:p w14:paraId="7135F582"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w:t>
      </w:r>
      <w:r>
        <w:rPr>
          <w:rFonts w:ascii="Verdana" w:hAnsi="Verdana" w:cs="Arial"/>
          <w:shd w:val="clear" w:color="auto" w:fill="FFFFFF"/>
        </w:rPr>
        <w:lastRenderedPageBreak/>
        <w:t>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3E187DA1" w14:textId="77777777" w:rsidR="00AC0ED1" w:rsidRPr="00EE1130" w:rsidRDefault="00AC0ED1" w:rsidP="00AC0ED1">
      <w:pPr>
        <w:spacing w:after="0" w:line="276" w:lineRule="auto"/>
        <w:jc w:val="both"/>
        <w:rPr>
          <w:rFonts w:ascii="Verdana" w:hAnsi="Verdana" w:cs="Arial"/>
          <w:color w:val="ED7D31" w:themeColor="accent2"/>
          <w:shd w:val="clear" w:color="auto" w:fill="FFFFFF"/>
        </w:rPr>
      </w:pPr>
    </w:p>
    <w:p w14:paraId="4C9857A3"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0B66F35E" w14:textId="77777777" w:rsidR="00AC0ED1" w:rsidRPr="00EE1130" w:rsidRDefault="00AC0ED1" w:rsidP="00AC0ED1">
      <w:pPr>
        <w:spacing w:after="0" w:line="276" w:lineRule="auto"/>
        <w:jc w:val="both"/>
        <w:rPr>
          <w:rFonts w:ascii="Verdana" w:hAnsi="Verdana" w:cs="Arial"/>
          <w:shd w:val="clear" w:color="auto" w:fill="FFFFFF"/>
        </w:rPr>
      </w:pPr>
    </w:p>
    <w:p w14:paraId="079306E3"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2E7BEC9C"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6330F4B6"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6828D45D" w14:textId="77777777" w:rsidR="00AC0ED1" w:rsidRPr="00EE1130" w:rsidRDefault="00AC0ED1" w:rsidP="00AC0ED1">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0167E35C" w14:textId="77777777" w:rsidR="00AC0ED1" w:rsidRPr="00EE1130" w:rsidRDefault="00AC0ED1" w:rsidP="00AC0ED1">
      <w:pPr>
        <w:widowControl w:val="0"/>
        <w:autoSpaceDE w:val="0"/>
        <w:autoSpaceDN w:val="0"/>
        <w:spacing w:after="0" w:line="276" w:lineRule="auto"/>
        <w:jc w:val="both"/>
        <w:rPr>
          <w:rFonts w:ascii="Verdana" w:hAnsi="Verdana" w:cs="Arial"/>
          <w:color w:val="ED7D31" w:themeColor="accent2"/>
          <w:lang w:val="es-ES"/>
        </w:rPr>
      </w:pPr>
    </w:p>
    <w:p w14:paraId="0989DF4C" w14:textId="77777777" w:rsidR="00AC0ED1" w:rsidRPr="00EE1130" w:rsidRDefault="00AC0ED1" w:rsidP="00AC0ED1">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4813CC" w14:textId="77777777" w:rsidR="00AC0ED1" w:rsidRPr="00EE1130" w:rsidRDefault="00AC0ED1" w:rsidP="00AC0ED1">
      <w:pPr>
        <w:widowControl w:val="0"/>
        <w:autoSpaceDE w:val="0"/>
        <w:autoSpaceDN w:val="0"/>
        <w:spacing w:after="0" w:line="276" w:lineRule="auto"/>
        <w:jc w:val="both"/>
        <w:rPr>
          <w:rFonts w:ascii="Verdana" w:hAnsi="Verdana" w:cs="Arial"/>
          <w:lang w:val="es-ES"/>
        </w:rPr>
      </w:pPr>
    </w:p>
    <w:p w14:paraId="11BBC37C" w14:textId="721BF17F" w:rsidR="00AC0ED1" w:rsidRPr="00206556" w:rsidRDefault="00AC0ED1" w:rsidP="003550A6">
      <w:pPr>
        <w:spacing w:after="0" w:line="276" w:lineRule="auto"/>
        <w:rPr>
          <w:rFonts w:ascii="Verdana" w:eastAsia="Times New Roman" w:hAnsi="Verdana" w:cs="Arial"/>
          <w:lang w:eastAsia="es-ES"/>
        </w:rPr>
      </w:pPr>
      <w:r>
        <w:rPr>
          <w:rFonts w:ascii="Verdana" w:eastAsia="Times New Roman" w:hAnsi="Verdana" w:cs="Arial"/>
          <w:lang w:val="es-ES" w:eastAsia="es-CO"/>
        </w:rPr>
        <w:t>Atentamente,</w:t>
      </w:r>
      <w:r>
        <w:rPr>
          <w:rFonts w:ascii="Verdana" w:hAnsi="Verdana" w:cs="Arial"/>
          <w:lang w:val="es-ES" w:eastAsia="es-CO"/>
        </w:rPr>
        <w:t xml:space="preserve"> </w:t>
      </w:r>
    </w:p>
    <w:p w14:paraId="6B471B36" w14:textId="62AD5480" w:rsidR="00AC0ED1" w:rsidRPr="00206556" w:rsidRDefault="00295F4D" w:rsidP="006668F6">
      <w:pPr>
        <w:spacing w:after="0" w:line="240"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2E8FA644" wp14:editId="70380E96">
            <wp:extent cx="3594474" cy="1341120"/>
            <wp:effectExtent l="0" t="0" r="6350" b="0"/>
            <wp:docPr id="190433732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37326" name="Imagen 2"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598182" cy="1342504"/>
                    </a:xfrm>
                    <a:prstGeom prst="rect">
                      <a:avLst/>
                    </a:prstGeom>
                  </pic:spPr>
                </pic:pic>
              </a:graphicData>
            </a:graphic>
          </wp:inline>
        </w:drawing>
      </w:r>
    </w:p>
    <w:p w14:paraId="49136C7D" w14:textId="77777777" w:rsidR="003F0EFC" w:rsidRPr="00206556" w:rsidRDefault="003F0EFC" w:rsidP="00AC0ED1">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C0ED1" w:rsidRPr="00206556" w14:paraId="3F1D3437" w14:textId="77777777" w:rsidTr="004D2DC8">
        <w:trPr>
          <w:trHeight w:val="322"/>
        </w:trPr>
        <w:tc>
          <w:tcPr>
            <w:tcW w:w="733" w:type="dxa"/>
            <w:tcBorders>
              <w:top w:val="nil"/>
              <w:left w:val="nil"/>
              <w:bottom w:val="nil"/>
              <w:right w:val="nil"/>
            </w:tcBorders>
            <w:vAlign w:val="center"/>
            <w:hideMark/>
          </w:tcPr>
          <w:p w14:paraId="21EBE0CA"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11B727B"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4503D55D" w14:textId="77777777" w:rsidR="00AC0ED1" w:rsidRPr="00206556" w:rsidRDefault="00AC0ED1" w:rsidP="004D2DC8">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AC0ED1" w:rsidRPr="00206556" w14:paraId="57B62A8E" w14:textId="77777777" w:rsidTr="004D2DC8">
        <w:trPr>
          <w:trHeight w:val="322"/>
        </w:trPr>
        <w:tc>
          <w:tcPr>
            <w:tcW w:w="733" w:type="dxa"/>
            <w:tcBorders>
              <w:top w:val="nil"/>
              <w:left w:val="nil"/>
              <w:bottom w:val="nil"/>
              <w:right w:val="nil"/>
            </w:tcBorders>
            <w:vAlign w:val="center"/>
            <w:hideMark/>
          </w:tcPr>
          <w:p w14:paraId="5E68FD3E"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CC81680" w14:textId="77777777" w:rsidR="00AC0ED1" w:rsidRPr="00206556" w:rsidRDefault="00AC0ED1" w:rsidP="004D2DC8">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23142AAE" w14:textId="77777777" w:rsidR="00AC0ED1" w:rsidRPr="00206556" w:rsidRDefault="00AC0ED1" w:rsidP="004D2DC8">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AC0ED1" w:rsidRPr="00206556" w14:paraId="1B6C902D" w14:textId="77777777" w:rsidTr="004D2DC8">
        <w:trPr>
          <w:trHeight w:val="307"/>
        </w:trPr>
        <w:tc>
          <w:tcPr>
            <w:tcW w:w="733" w:type="dxa"/>
            <w:tcBorders>
              <w:top w:val="nil"/>
              <w:left w:val="nil"/>
              <w:bottom w:val="nil"/>
              <w:right w:val="nil"/>
            </w:tcBorders>
            <w:vAlign w:val="center"/>
            <w:hideMark/>
          </w:tcPr>
          <w:p w14:paraId="028B5F28" w14:textId="77777777" w:rsidR="00AC0ED1" w:rsidRPr="00206556" w:rsidRDefault="00AC0ED1" w:rsidP="004D2DC8">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7CE45A4" w14:textId="77777777" w:rsidR="00AC0ED1" w:rsidRPr="00206556" w:rsidRDefault="00AC0ED1" w:rsidP="004D2DC8">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7F5282B0" w14:textId="77777777" w:rsidR="00AC0ED1" w:rsidRPr="00206556" w:rsidRDefault="00AC0ED1" w:rsidP="004D2DC8">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69BC4D14" w14:textId="7428266B"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FDE5F" w14:textId="77777777" w:rsidR="004D305C" w:rsidRDefault="004D305C" w:rsidP="004A1847">
      <w:pPr>
        <w:spacing w:after="0" w:line="240" w:lineRule="auto"/>
      </w:pPr>
      <w:r>
        <w:separator/>
      </w:r>
    </w:p>
  </w:endnote>
  <w:endnote w:type="continuationSeparator" w:id="0">
    <w:p w14:paraId="129ABB6C" w14:textId="77777777" w:rsidR="004D305C" w:rsidRDefault="004D305C" w:rsidP="004A1847">
      <w:pPr>
        <w:spacing w:after="0" w:line="240" w:lineRule="auto"/>
      </w:pPr>
      <w:r>
        <w:continuationSeparator/>
      </w:r>
    </w:p>
  </w:endnote>
  <w:endnote w:type="continuationNotice" w:id="1">
    <w:p w14:paraId="1ADDA35E" w14:textId="77777777" w:rsidR="004D305C" w:rsidRDefault="004D30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EB318" w14:textId="77777777" w:rsidR="004D305C" w:rsidRDefault="004D305C" w:rsidP="004A1847">
      <w:pPr>
        <w:spacing w:after="0" w:line="240" w:lineRule="auto"/>
      </w:pPr>
      <w:r>
        <w:separator/>
      </w:r>
    </w:p>
  </w:footnote>
  <w:footnote w:type="continuationSeparator" w:id="0">
    <w:p w14:paraId="759AFAA0" w14:textId="77777777" w:rsidR="004D305C" w:rsidRDefault="004D305C" w:rsidP="004A1847">
      <w:pPr>
        <w:spacing w:after="0" w:line="240" w:lineRule="auto"/>
      </w:pPr>
      <w:r>
        <w:continuationSeparator/>
      </w:r>
    </w:p>
  </w:footnote>
  <w:footnote w:type="continuationNotice" w:id="1">
    <w:p w14:paraId="386C4C4D" w14:textId="77777777" w:rsidR="004D305C" w:rsidRDefault="004D305C">
      <w:pPr>
        <w:spacing w:after="0" w:line="240" w:lineRule="auto"/>
      </w:pPr>
    </w:p>
  </w:footnote>
  <w:footnote w:id="2">
    <w:p w14:paraId="1A5D2E2C"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020 de 1992. </w:t>
      </w:r>
      <w:r>
        <w:rPr>
          <w:rFonts w:ascii="Verdana" w:hAnsi="Verdana"/>
          <w:b/>
          <w:bCs/>
          <w:sz w:val="16"/>
          <w:szCs w:val="16"/>
        </w:rPr>
        <w:t xml:space="preserve">ARTÍCULO 6°. </w:t>
      </w:r>
      <w:r>
        <w:rPr>
          <w:rFonts w:ascii="Verdana" w:hAnsi="Verdana"/>
          <w:b/>
          <w:bCs/>
          <w:i/>
          <w:iCs/>
          <w:sz w:val="16"/>
          <w:szCs w:val="16"/>
        </w:rPr>
        <w:t>REGIMEN JURÍDICO DE ACTOS Y CONTRATOS</w:t>
      </w:r>
      <w:r>
        <w:rPr>
          <w:rFonts w:ascii="Verdana" w:hAnsi="Verdana"/>
          <w:b/>
          <w:bCs/>
          <w:sz w:val="16"/>
          <w:szCs w:val="16"/>
        </w:rPr>
        <w:t>.</w:t>
      </w:r>
      <w:r>
        <w:rPr>
          <w:rFonts w:ascii="Verdana" w:hAnsi="Verdana"/>
          <w:sz w:val="16"/>
          <w:szCs w:val="16"/>
        </w:rPr>
        <w:t xml:space="preserve"> Los actos y contratos que celebre el Fondo se regirán por las normas del derecho privado, salvo los contratos de obra pública que se celebren en el país y de empréstito, que se regirán por las disposiciones del Decreto extraordinario 222 de 1983 y los actos de naturaleza administrativa que se regirán por el Código Contencioso Administrativo.</w:t>
      </w:r>
    </w:p>
  </w:footnote>
  <w:footnote w:id="3">
    <w:p w14:paraId="4B0AC05C"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C-1003 del 2 de septiembre de 2025: “Ahora bien, para las entidades consagradas en el artículo 2 de la Ley 80 de 1993, sin perjuicio de las excepciones puntales a la aplicación del EGCAP, sus procesos de selección se rigen por el artículo 2 de la Ley 1150 de 2007”. En el mismo sentido, Concepto C-1633 del 13 de noviembre de 2025.</w:t>
      </w:r>
    </w:p>
  </w:footnote>
  <w:footnote w:id="4">
    <w:p w14:paraId="2F14E70F"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153 de 1887, “Por la cual se adiciona y reforma los códigos nacionales, la ley 61 de 1886 y la 57 de 1887”, artículo 3. Su artículo 2 dispone, además, que la ley posterior prevalece sobre la ley anterior.</w:t>
      </w:r>
    </w:p>
  </w:footnote>
  <w:footnote w:id="5">
    <w:p w14:paraId="5924B3E1"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Legislativo 537 de 2020, artículo 10, que adicionó un parágrafo al artículo 2 del Decreto Ley 20 de 1992.</w:t>
      </w:r>
    </w:p>
  </w:footnote>
  <w:footnote w:id="6">
    <w:p w14:paraId="301F75E5"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C-1633 del 13 de noviembre de 2025: “[…]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manual de contratación–, que regule aspectos asociados a la actividad contractual, como los procedimientos de selección, los requisitos de participación, las condiciones de ejecución del contrato, etc.”.</w:t>
      </w:r>
    </w:p>
  </w:footnote>
  <w:footnote w:id="7">
    <w:p w14:paraId="6513B88B" w14:textId="77777777" w:rsidR="00AC0ED1" w:rsidRDefault="00AC0ED1" w:rsidP="00AC0ED1">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C-1633 del 13 de noviembre de 2025: “El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1A8C"/>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5F4D"/>
    <w:rsid w:val="002962BC"/>
    <w:rsid w:val="002A093D"/>
    <w:rsid w:val="002A0DD0"/>
    <w:rsid w:val="002A49AC"/>
    <w:rsid w:val="002A64FD"/>
    <w:rsid w:val="002C7A84"/>
    <w:rsid w:val="002E2BF8"/>
    <w:rsid w:val="002E4FD9"/>
    <w:rsid w:val="0030657A"/>
    <w:rsid w:val="00322A85"/>
    <w:rsid w:val="00324168"/>
    <w:rsid w:val="00330834"/>
    <w:rsid w:val="003448F4"/>
    <w:rsid w:val="003550A6"/>
    <w:rsid w:val="003658D6"/>
    <w:rsid w:val="00374F5E"/>
    <w:rsid w:val="00377E3E"/>
    <w:rsid w:val="00396119"/>
    <w:rsid w:val="00396BB7"/>
    <w:rsid w:val="003A779E"/>
    <w:rsid w:val="003D0F4D"/>
    <w:rsid w:val="003D5B0D"/>
    <w:rsid w:val="003E0499"/>
    <w:rsid w:val="003E4F80"/>
    <w:rsid w:val="003E6439"/>
    <w:rsid w:val="003F0EFC"/>
    <w:rsid w:val="003F3941"/>
    <w:rsid w:val="00406575"/>
    <w:rsid w:val="00414C74"/>
    <w:rsid w:val="0042722E"/>
    <w:rsid w:val="0044528D"/>
    <w:rsid w:val="00466E39"/>
    <w:rsid w:val="004A1847"/>
    <w:rsid w:val="004A305D"/>
    <w:rsid w:val="004C0E18"/>
    <w:rsid w:val="004D305C"/>
    <w:rsid w:val="004F21C4"/>
    <w:rsid w:val="004F685F"/>
    <w:rsid w:val="005553D6"/>
    <w:rsid w:val="005566E8"/>
    <w:rsid w:val="00564362"/>
    <w:rsid w:val="00574867"/>
    <w:rsid w:val="00591460"/>
    <w:rsid w:val="005A65E0"/>
    <w:rsid w:val="005C3777"/>
    <w:rsid w:val="005C5CDC"/>
    <w:rsid w:val="005D476C"/>
    <w:rsid w:val="005E4C51"/>
    <w:rsid w:val="006200BF"/>
    <w:rsid w:val="006219F8"/>
    <w:rsid w:val="006302F7"/>
    <w:rsid w:val="00646B9F"/>
    <w:rsid w:val="00665D70"/>
    <w:rsid w:val="006668F6"/>
    <w:rsid w:val="006900D9"/>
    <w:rsid w:val="006C22C3"/>
    <w:rsid w:val="006D2CBC"/>
    <w:rsid w:val="00706C16"/>
    <w:rsid w:val="007340C3"/>
    <w:rsid w:val="0075235A"/>
    <w:rsid w:val="00756841"/>
    <w:rsid w:val="007649AB"/>
    <w:rsid w:val="00771D0C"/>
    <w:rsid w:val="007833AC"/>
    <w:rsid w:val="007B268C"/>
    <w:rsid w:val="007B7171"/>
    <w:rsid w:val="007C0C0F"/>
    <w:rsid w:val="007C3DC2"/>
    <w:rsid w:val="007D2ECF"/>
    <w:rsid w:val="007E5497"/>
    <w:rsid w:val="00806F5F"/>
    <w:rsid w:val="00820278"/>
    <w:rsid w:val="008258C9"/>
    <w:rsid w:val="00844AE9"/>
    <w:rsid w:val="00863F91"/>
    <w:rsid w:val="00867F95"/>
    <w:rsid w:val="008843B6"/>
    <w:rsid w:val="00891928"/>
    <w:rsid w:val="008A446D"/>
    <w:rsid w:val="008B25F1"/>
    <w:rsid w:val="008B4991"/>
    <w:rsid w:val="008D180B"/>
    <w:rsid w:val="008D6F3A"/>
    <w:rsid w:val="008F0EA7"/>
    <w:rsid w:val="00923EEF"/>
    <w:rsid w:val="009419F9"/>
    <w:rsid w:val="00944FDC"/>
    <w:rsid w:val="0095685E"/>
    <w:rsid w:val="00961B09"/>
    <w:rsid w:val="00965334"/>
    <w:rsid w:val="0097093E"/>
    <w:rsid w:val="009A0DFA"/>
    <w:rsid w:val="009A1A15"/>
    <w:rsid w:val="009A1C6F"/>
    <w:rsid w:val="009B2D26"/>
    <w:rsid w:val="009C71FA"/>
    <w:rsid w:val="009C72E7"/>
    <w:rsid w:val="009C7F7E"/>
    <w:rsid w:val="009D3058"/>
    <w:rsid w:val="009F3A13"/>
    <w:rsid w:val="00A122D3"/>
    <w:rsid w:val="00A14468"/>
    <w:rsid w:val="00A17F13"/>
    <w:rsid w:val="00A20739"/>
    <w:rsid w:val="00A23AF9"/>
    <w:rsid w:val="00A33C78"/>
    <w:rsid w:val="00A94F33"/>
    <w:rsid w:val="00AB0ADB"/>
    <w:rsid w:val="00AC0ED1"/>
    <w:rsid w:val="00B00C0E"/>
    <w:rsid w:val="00B01B1A"/>
    <w:rsid w:val="00B0381D"/>
    <w:rsid w:val="00B075C1"/>
    <w:rsid w:val="00B24DA3"/>
    <w:rsid w:val="00B26832"/>
    <w:rsid w:val="00B44A47"/>
    <w:rsid w:val="00B72CD3"/>
    <w:rsid w:val="00B72FFF"/>
    <w:rsid w:val="00BB2E72"/>
    <w:rsid w:val="00BC3D36"/>
    <w:rsid w:val="00BD54A6"/>
    <w:rsid w:val="00BD7F72"/>
    <w:rsid w:val="00BF7425"/>
    <w:rsid w:val="00C04FB3"/>
    <w:rsid w:val="00C11240"/>
    <w:rsid w:val="00C11D8B"/>
    <w:rsid w:val="00C15139"/>
    <w:rsid w:val="00C31A3A"/>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B5D50"/>
    <w:rsid w:val="00DC39FC"/>
    <w:rsid w:val="00DF5254"/>
    <w:rsid w:val="00E02524"/>
    <w:rsid w:val="00E16408"/>
    <w:rsid w:val="00E20894"/>
    <w:rsid w:val="00E245AB"/>
    <w:rsid w:val="00E24D1E"/>
    <w:rsid w:val="00E2764C"/>
    <w:rsid w:val="00E27F2E"/>
    <w:rsid w:val="00E50AFE"/>
    <w:rsid w:val="00E75C92"/>
    <w:rsid w:val="00E771DC"/>
    <w:rsid w:val="00E8772A"/>
    <w:rsid w:val="00E90F6B"/>
    <w:rsid w:val="00E92C27"/>
    <w:rsid w:val="00EA0E3D"/>
    <w:rsid w:val="00EC0B29"/>
    <w:rsid w:val="00EC38A7"/>
    <w:rsid w:val="00EE1AA8"/>
    <w:rsid w:val="00F05CEA"/>
    <w:rsid w:val="00F23FEA"/>
    <w:rsid w:val="00F25155"/>
    <w:rsid w:val="00F31EDC"/>
    <w:rsid w:val="00F462B3"/>
    <w:rsid w:val="00F5664F"/>
    <w:rsid w:val="00F666C4"/>
    <w:rsid w:val="00F76AFC"/>
    <w:rsid w:val="00FA47C0"/>
    <w:rsid w:val="00FB5DD1"/>
    <w:rsid w:val="00FC2B5D"/>
    <w:rsid w:val="00FC3E34"/>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C0ED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1163">
      <w:bodyDiv w:val="1"/>
      <w:marLeft w:val="0"/>
      <w:marRight w:val="0"/>
      <w:marTop w:val="0"/>
      <w:marBottom w:val="0"/>
      <w:divBdr>
        <w:top w:val="none" w:sz="0" w:space="0" w:color="auto"/>
        <w:left w:val="none" w:sz="0" w:space="0" w:color="auto"/>
        <w:bottom w:val="none" w:sz="0" w:space="0" w:color="auto"/>
        <w:right w:val="none" w:sz="0" w:space="0" w:color="auto"/>
      </w:divBdr>
      <w:divsChild>
        <w:div w:id="1776050033">
          <w:marLeft w:val="0"/>
          <w:marRight w:val="0"/>
          <w:marTop w:val="0"/>
          <w:marBottom w:val="0"/>
          <w:divBdr>
            <w:top w:val="none" w:sz="0" w:space="0" w:color="auto"/>
            <w:left w:val="none" w:sz="0" w:space="0" w:color="auto"/>
            <w:bottom w:val="none" w:sz="0" w:space="0" w:color="auto"/>
            <w:right w:val="none" w:sz="0" w:space="0" w:color="auto"/>
          </w:divBdr>
        </w:div>
      </w:divsChild>
    </w:div>
    <w:div w:id="252855642">
      <w:bodyDiv w:val="1"/>
      <w:marLeft w:val="0"/>
      <w:marRight w:val="0"/>
      <w:marTop w:val="0"/>
      <w:marBottom w:val="0"/>
      <w:divBdr>
        <w:top w:val="none" w:sz="0" w:space="0" w:color="auto"/>
        <w:left w:val="none" w:sz="0" w:space="0" w:color="auto"/>
        <w:bottom w:val="none" w:sz="0" w:space="0" w:color="auto"/>
        <w:right w:val="none" w:sz="0" w:space="0" w:color="auto"/>
      </w:divBdr>
      <w:divsChild>
        <w:div w:id="1693528665">
          <w:marLeft w:val="0"/>
          <w:marRight w:val="0"/>
          <w:marTop w:val="0"/>
          <w:marBottom w:val="0"/>
          <w:divBdr>
            <w:top w:val="none" w:sz="0" w:space="0" w:color="auto"/>
            <w:left w:val="none" w:sz="0" w:space="0" w:color="auto"/>
            <w:bottom w:val="none" w:sz="0" w:space="0" w:color="auto"/>
            <w:right w:val="none" w:sz="0" w:space="0" w:color="auto"/>
          </w:divBdr>
        </w:div>
      </w:divsChild>
    </w:div>
    <w:div w:id="429787447">
      <w:bodyDiv w:val="1"/>
      <w:marLeft w:val="0"/>
      <w:marRight w:val="0"/>
      <w:marTop w:val="0"/>
      <w:marBottom w:val="0"/>
      <w:divBdr>
        <w:top w:val="none" w:sz="0" w:space="0" w:color="auto"/>
        <w:left w:val="none" w:sz="0" w:space="0" w:color="auto"/>
        <w:bottom w:val="none" w:sz="0" w:space="0" w:color="auto"/>
        <w:right w:val="none" w:sz="0" w:space="0" w:color="auto"/>
      </w:divBdr>
      <w:divsChild>
        <w:div w:id="225263811">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7884888">
      <w:bodyDiv w:val="1"/>
      <w:marLeft w:val="0"/>
      <w:marRight w:val="0"/>
      <w:marTop w:val="0"/>
      <w:marBottom w:val="0"/>
      <w:divBdr>
        <w:top w:val="none" w:sz="0" w:space="0" w:color="auto"/>
        <w:left w:val="none" w:sz="0" w:space="0" w:color="auto"/>
        <w:bottom w:val="none" w:sz="0" w:space="0" w:color="auto"/>
        <w:right w:val="none" w:sz="0" w:space="0" w:color="auto"/>
      </w:divBdr>
      <w:divsChild>
        <w:div w:id="1431271233">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22450079">
      <w:bodyDiv w:val="1"/>
      <w:marLeft w:val="0"/>
      <w:marRight w:val="0"/>
      <w:marTop w:val="0"/>
      <w:marBottom w:val="0"/>
      <w:divBdr>
        <w:top w:val="none" w:sz="0" w:space="0" w:color="auto"/>
        <w:left w:val="none" w:sz="0" w:space="0" w:color="auto"/>
        <w:bottom w:val="none" w:sz="0" w:space="0" w:color="auto"/>
        <w:right w:val="none" w:sz="0" w:space="0" w:color="auto"/>
      </w:divBdr>
      <w:divsChild>
        <w:div w:id="1778014873">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5743311">
      <w:bodyDiv w:val="1"/>
      <w:marLeft w:val="0"/>
      <w:marRight w:val="0"/>
      <w:marTop w:val="0"/>
      <w:marBottom w:val="0"/>
      <w:divBdr>
        <w:top w:val="none" w:sz="0" w:space="0" w:color="auto"/>
        <w:left w:val="none" w:sz="0" w:space="0" w:color="auto"/>
        <w:bottom w:val="none" w:sz="0" w:space="0" w:color="auto"/>
        <w:right w:val="none" w:sz="0" w:space="0" w:color="auto"/>
      </w:divBdr>
      <w:divsChild>
        <w:div w:id="1342391539">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E638E39-1AB3-4F19-A062-E9E7F2C44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22</TotalTime>
  <Pages>18</Pages>
  <Words>6017</Words>
  <Characters>33099</Characters>
  <Application>Microsoft Office Word</Application>
  <DocSecurity>0</DocSecurity>
  <Lines>275</Lines>
  <Paragraphs>78</Paragraphs>
  <ScaleCrop>false</ScaleCrop>
  <Company/>
  <LinksUpToDate>false</LinksUpToDate>
  <CharactersWithSpaces>39038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2026-10-22T00:03:00Z</dcterms:created>
  <dcterms:modified xsi:type="dcterms:W3CDTF">2026-10-22T22:23:00Z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