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2FC47"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Regulación normativa </w:t>
      </w:r>
    </w:p>
    <w:p w14:paraId="4105298D"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p>
    <w:p w14:paraId="7E17E66D"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hAnsi="Verdana" w:cs="Arial"/>
          <w:sz w:val="20"/>
          <w:szCs w:val="20"/>
          <w:lang w:val="es-ES_tradnl"/>
        </w:rPr>
        <w:t>“</w:t>
      </w:r>
      <w:r w:rsidRPr="000F7403">
        <w:rPr>
          <w:rFonts w:ascii="Verdana" w:hAnsi="Verdana" w:cs="Arial"/>
          <w:sz w:val="20"/>
          <w:szCs w:val="20"/>
          <w:lang w:val="es-ES_tradnl"/>
        </w:rPr>
        <w:t>En los contratos que celebren las entidades estatales se podrá pactar el pago anticipado y la entrega de anticipos, pero su monto no podrá exceder del cincuenta por ciento (50%) del valor del respectivo contrato</w:t>
      </w:r>
      <w:r>
        <w:rPr>
          <w:rFonts w:ascii="Verdana" w:hAnsi="Verdana" w:cs="Arial"/>
          <w:sz w:val="20"/>
          <w:szCs w:val="20"/>
          <w:lang w:val="es-ES_tradnl"/>
        </w:rPr>
        <w:t>”</w:t>
      </w:r>
      <w:r w:rsidRPr="000F7403">
        <w:rPr>
          <w:rFonts w:ascii="Verdana" w:hAnsi="Verdana" w:cs="Arial"/>
          <w:sz w:val="20"/>
          <w:szCs w:val="20"/>
          <w:lang w:val="es-ES_tradnl"/>
        </w:rPr>
        <w:t>.</w:t>
      </w:r>
    </w:p>
    <w:p w14:paraId="75EFEC7D"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p>
    <w:p w14:paraId="10507239"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ANTICIPO – Definición jurisprudencial</w:t>
      </w:r>
    </w:p>
    <w:p w14:paraId="793A9D17"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b/>
          <w:bCs/>
          <w:sz w:val="20"/>
          <w:szCs w:val="20"/>
          <w:lang w:val="es-ES_tradnl"/>
        </w:rPr>
      </w:pPr>
    </w:p>
    <w:p w14:paraId="58A977E3"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[Sobre la calidad de recurso público del anticipo, la jurisprudencia ha reiterado que </w:t>
      </w:r>
      <w:r>
        <w:rPr>
          <w:rFonts w:ascii="Verdana" w:hAnsi="Verdana" w:cs="Arial"/>
          <w:sz w:val="20"/>
          <w:szCs w:val="20"/>
          <w:lang w:val="es-ES_tradnl"/>
        </w:rPr>
        <w:t>“</w:t>
      </w:r>
      <w:r w:rsidRPr="000F7403">
        <w:rPr>
          <w:rFonts w:ascii="Verdana" w:hAnsi="Verdana" w:cs="Arial"/>
          <w:sz w:val="20"/>
          <w:szCs w:val="20"/>
          <w:lang w:val="es-ES_tradn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hAnsi="Verdana" w:cs="Arial"/>
          <w:sz w:val="20"/>
          <w:szCs w:val="20"/>
          <w:lang w:val="es-ES_tradnl"/>
        </w:rPr>
        <w:t>”</w:t>
      </w:r>
      <w:r w:rsidRPr="000F7403">
        <w:rPr>
          <w:rFonts w:ascii="Verdana" w:hAnsi="Verdana" w:cs="Arial"/>
          <w:sz w:val="20"/>
          <w:szCs w:val="20"/>
          <w:lang w:val="es-ES_tradnl"/>
        </w:rPr>
        <w:t xml:space="preserve">. Igualmente, explica que el anticipo, al facilitar al contratista la financiación de los bienes y servicios que se le han encargado, es un factor determinante para impulsar la ejecución del contrato. Este también es el entendimiento de la doctrina, que ha considerado el anticipo como un dinero entregado al contratista que debe cancelarse mediante descuentos parciales, siendo una práctica común que permite impulsar la ejecución del contrato. </w:t>
      </w:r>
    </w:p>
    <w:p w14:paraId="7869151B"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p>
    <w:p w14:paraId="725B9E3F" w14:textId="77777777" w:rsidR="008F0FE4" w:rsidRPr="000F7403" w:rsidRDefault="008F0FE4" w:rsidP="008F0FE4">
      <w:pPr>
        <w:pStyle w:val="NormalWeb"/>
        <w:shd w:val="clear" w:color="auto" w:fill="FFFFFF" w:themeFill="background1"/>
        <w:spacing w:before="0" w:beforeAutospacing="0" w:after="0" w:afterAutospacing="0"/>
        <w:jc w:val="both"/>
        <w:rPr>
          <w:rFonts w:ascii="Verdana" w:hAnsi="Verdana" w:cs="Arial"/>
          <w:sz w:val="20"/>
          <w:szCs w:val="20"/>
          <w:lang w:val="es-ES"/>
        </w:rPr>
      </w:pPr>
      <w:r w:rsidRPr="620833A1">
        <w:rPr>
          <w:rFonts w:ascii="Verdana" w:hAnsi="Verdana" w:cs="Arial"/>
          <w:sz w:val="20"/>
          <w:szCs w:val="20"/>
          <w:lang w:val="es-ES"/>
        </w:rPr>
        <w:t>Así, de acuerdo con las consideraciones de la jurisprudencia y la doctrina, el anticipo es aquella suma de dinero entregada al contratista con la finalidad de apalancarlo financieramente para solventar los costos iniciales de la ejecución del contrato. Este dinero debe amortizarse de acuerdo con el avance en la ejecución. De esta forma, los recursos entregados a título de anticipo son del erario, razón por la que debe garantizarse su buen manejo y correcta inversión.</w:t>
      </w:r>
    </w:p>
    <w:p w14:paraId="3FD2D764"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b/>
          <w:bCs/>
          <w:sz w:val="20"/>
          <w:szCs w:val="20"/>
          <w:lang w:val="es-ES_tradnl"/>
        </w:rPr>
      </w:pPr>
    </w:p>
    <w:p w14:paraId="169DDE96"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Autonomía de la voluntad – Derechos y obligaciones recíprocas </w:t>
      </w:r>
    </w:p>
    <w:p w14:paraId="4170F05E"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p>
    <w:p w14:paraId="24C211C1"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w:t>
      </w:r>
    </w:p>
    <w:p w14:paraId="442FD727"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ES_tradnl"/>
        </w:rPr>
      </w:pPr>
    </w:p>
    <w:p w14:paraId="7A5DDC4A"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2"/>
          <w:szCs w:val="22"/>
          <w:lang w:val="es-MX"/>
        </w:rPr>
      </w:pPr>
      <w:r w:rsidRPr="000F7403">
        <w:rPr>
          <w:rFonts w:ascii="Verdana" w:hAnsi="Verdana" w:cs="Arial"/>
          <w:b/>
          <w:bCs/>
          <w:sz w:val="22"/>
          <w:szCs w:val="22"/>
          <w:lang w:val="es-MX"/>
        </w:rPr>
        <w:t>CONSTITUCIÓN DE FIDUCIA O PATRIMONIO AUTÓNOMO IRREVOCABLE – Artículo 91 – Ley 1474 de 2011</w:t>
      </w:r>
      <w:r w:rsidRPr="00B1147A">
        <w:rPr>
          <w:rFonts w:ascii="Verdana" w:hAnsi="Verdana" w:cs="Arial"/>
          <w:b/>
          <w:bCs/>
          <w:sz w:val="22"/>
          <w:szCs w:val="22"/>
          <w:lang w:val="es-ES"/>
        </w:rPr>
        <w:t xml:space="preserve">– </w:t>
      </w:r>
      <w:r>
        <w:rPr>
          <w:rFonts w:ascii="Verdana" w:hAnsi="Verdana" w:cs="Arial"/>
          <w:b/>
          <w:bCs/>
          <w:sz w:val="22"/>
          <w:szCs w:val="22"/>
          <w:lang w:val="es-ES"/>
        </w:rPr>
        <w:t>Contrato de prestación de servicios</w:t>
      </w:r>
    </w:p>
    <w:p w14:paraId="7DD8FD03" w14:textId="77777777" w:rsidR="008F0FE4" w:rsidRPr="000F7403" w:rsidRDefault="008F0FE4" w:rsidP="008F0FE4">
      <w:pPr>
        <w:pStyle w:val="NormalWeb"/>
        <w:shd w:val="clear" w:color="auto" w:fill="FFFFFF"/>
        <w:spacing w:before="0" w:beforeAutospacing="0" w:after="0" w:afterAutospacing="0"/>
        <w:jc w:val="both"/>
        <w:rPr>
          <w:rFonts w:ascii="Verdana" w:hAnsi="Verdana" w:cs="Arial"/>
          <w:sz w:val="20"/>
          <w:szCs w:val="20"/>
          <w:lang w:val="es-MX"/>
        </w:rPr>
      </w:pPr>
    </w:p>
    <w:p w14:paraId="086F5F4B" w14:textId="77777777" w:rsidR="008F0FE4" w:rsidRDefault="008F0FE4" w:rsidP="008F0FE4">
      <w:pPr>
        <w:spacing w:after="0" w:line="240" w:lineRule="auto"/>
        <w:jc w:val="both"/>
        <w:rPr>
          <w:rFonts w:ascii="Verdana" w:eastAsia="Times New Roman" w:hAnsi="Verdana" w:cs="Arial"/>
          <w:sz w:val="20"/>
          <w:szCs w:val="20"/>
          <w:lang w:val="es-MX" w:eastAsia="es-CO"/>
        </w:rPr>
      </w:pPr>
      <w:r w:rsidRPr="00F35716">
        <w:rPr>
          <w:rFonts w:ascii="Verdana" w:eastAsia="Times New Roman" w:hAnsi="Verdana" w:cs="Arial"/>
          <w:sz w:val="20"/>
          <w:szCs w:val="20"/>
          <w:lang w:val="es-MX" w:eastAsia="es-CO"/>
        </w:rPr>
        <w:t xml:space="preserve">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w:t>
      </w:r>
    </w:p>
    <w:p w14:paraId="33A775D2" w14:textId="77777777" w:rsidR="008F0FE4" w:rsidRPr="00F35716" w:rsidRDefault="008F0FE4" w:rsidP="008F0FE4">
      <w:pPr>
        <w:spacing w:after="0" w:line="240" w:lineRule="auto"/>
        <w:jc w:val="both"/>
        <w:rPr>
          <w:rFonts w:ascii="Verdana" w:eastAsia="Times New Roman" w:hAnsi="Verdana" w:cs="Arial"/>
          <w:sz w:val="20"/>
          <w:szCs w:val="20"/>
          <w:lang w:val="es-MX" w:eastAsia="es-CO"/>
        </w:rPr>
      </w:pPr>
    </w:p>
    <w:p w14:paraId="3A5FCE42" w14:textId="77777777" w:rsidR="008F0FE4" w:rsidRDefault="008F0FE4" w:rsidP="008F0FE4">
      <w:pPr>
        <w:spacing w:after="0" w:line="240" w:lineRule="auto"/>
        <w:jc w:val="both"/>
        <w:rPr>
          <w:rFonts w:ascii="Verdana" w:eastAsia="Times New Roman" w:hAnsi="Verdana" w:cs="Arial"/>
          <w:sz w:val="20"/>
          <w:szCs w:val="20"/>
          <w:lang w:val="es-MX" w:eastAsia="es-CO"/>
        </w:rPr>
      </w:pPr>
      <w:r w:rsidRPr="00F35716">
        <w:rPr>
          <w:rFonts w:ascii="Verdana" w:eastAsia="Times New Roman" w:hAnsi="Verdana" w:cs="Arial"/>
          <w:sz w:val="20"/>
          <w:szCs w:val="20"/>
          <w:lang w:val="es-MX" w:eastAsia="es-CO"/>
        </w:rPr>
        <w:t>En ese sentido, al tratarse de un contrato de prestación de servicios, las reglas para el manejo del anticipo deben ser pactadas en el contrato y en los Documentos del Proceso, ya que la regla de la constitución de una fiducia o un patrimonio autónomo irrevocable no es aplicable a este tipo de contrato. Por tanto, es en el contrato de prestación de servicios y en los Documentos del Proceso donde se debe definir cómo se manejará el anticipo, si en una cuenta bancaria, fiducia, patrimonio autónomo irrevocable u otras formas, y las reglas respecto de los rendimientos, en caso de que se generen.</w:t>
      </w:r>
    </w:p>
    <w:p w14:paraId="08789312" w14:textId="77777777" w:rsidR="008F0FE4" w:rsidRPr="00F35716" w:rsidRDefault="008F0FE4" w:rsidP="008F0FE4">
      <w:pPr>
        <w:spacing w:after="0" w:line="240" w:lineRule="auto"/>
        <w:jc w:val="both"/>
        <w:rPr>
          <w:rFonts w:ascii="Verdana" w:eastAsia="Times New Roman" w:hAnsi="Verdana" w:cs="Arial"/>
          <w:sz w:val="20"/>
          <w:szCs w:val="20"/>
          <w:lang w:val="es-MX" w:eastAsia="es-CO"/>
        </w:rPr>
      </w:pPr>
    </w:p>
    <w:p w14:paraId="14AECBE5" w14:textId="77777777" w:rsidR="008F0FE4" w:rsidRDefault="008F0FE4" w:rsidP="008F0FE4">
      <w:pPr>
        <w:spacing w:after="0" w:line="240" w:lineRule="auto"/>
        <w:jc w:val="both"/>
        <w:rPr>
          <w:rFonts w:ascii="Verdana" w:eastAsia="Times New Roman" w:hAnsi="Verdana" w:cs="Arial"/>
          <w:sz w:val="20"/>
          <w:szCs w:val="20"/>
          <w:lang w:val="es-MX" w:eastAsia="es-CO"/>
        </w:rPr>
      </w:pPr>
      <w:r w:rsidRPr="00F35716">
        <w:rPr>
          <w:rFonts w:ascii="Verdana" w:eastAsia="Times New Roman" w:hAnsi="Verdana" w:cs="Arial"/>
          <w:sz w:val="20"/>
          <w:szCs w:val="20"/>
          <w:lang w:val="es-MX" w:eastAsia="es-CO"/>
        </w:rPr>
        <w:t>Así pues, las condiciones relativas a la entrega y administración del anticipo deben estar incorporadas en el contrato estatal y deben ser conocidas previamente por las partes durante la contratación, por lo que deben estar consignadas de manera clara y expresa en los Documentos del Proceso. En tal sentido, lo relevante es que las condiciones sobre la administración del anticipo hayan sido previamente determinadas y puestas en conocimiento del contratista durante la etapa precontractual.</w:t>
      </w:r>
    </w:p>
    <w:p w14:paraId="10D0C611" w14:textId="77777777" w:rsidR="008F0FE4" w:rsidRPr="00B1147A" w:rsidRDefault="008F0FE4" w:rsidP="008F0FE4">
      <w:pPr>
        <w:spacing w:after="0" w:line="240" w:lineRule="auto"/>
        <w:rPr>
          <w:rFonts w:ascii="Verdana" w:eastAsia="Geomanist Light" w:hAnsi="Verdana" w:cs="Arial"/>
          <w:color w:val="000000" w:themeColor="text1"/>
          <w:sz w:val="20"/>
          <w:szCs w:val="20"/>
          <w:lang w:val="es-MX"/>
        </w:rPr>
      </w:pPr>
    </w:p>
    <w:p w14:paraId="344B44A8" w14:textId="77777777" w:rsidR="008F0FE4" w:rsidRPr="00B004BF" w:rsidRDefault="008F0FE4" w:rsidP="008F0FE4">
      <w:pPr>
        <w:spacing w:after="0" w:line="240" w:lineRule="auto"/>
        <w:jc w:val="both"/>
        <w:rPr>
          <w:rFonts w:ascii="Verdana" w:hAnsi="Verdana" w:cs="Arial"/>
          <w:b/>
          <w:bCs/>
          <w:lang w:val="es-ES" w:eastAsia="es-ES"/>
        </w:rPr>
      </w:pPr>
      <w:r w:rsidRPr="00B004BF">
        <w:rPr>
          <w:rFonts w:ascii="Verdana" w:hAnsi="Verdana" w:cs="Arial"/>
          <w:b/>
          <w:bCs/>
          <w:lang w:val="es-ES" w:eastAsia="es-ES"/>
        </w:rPr>
        <w:t xml:space="preserve">FONDOS MIXTOS – Creación </w:t>
      </w:r>
    </w:p>
    <w:p w14:paraId="4695A9A3" w14:textId="77777777" w:rsidR="008F0FE4" w:rsidRDefault="008F0FE4" w:rsidP="008F0FE4">
      <w:pPr>
        <w:spacing w:after="0" w:line="240" w:lineRule="auto"/>
        <w:jc w:val="both"/>
        <w:rPr>
          <w:rFonts w:ascii="Verdana" w:hAnsi="Verdana" w:cs="Arial"/>
          <w:b/>
          <w:bCs/>
          <w:lang w:val="es-ES" w:eastAsia="es-ES"/>
        </w:rPr>
      </w:pPr>
    </w:p>
    <w:p w14:paraId="7699AC6D" w14:textId="77777777" w:rsidR="008F0FE4" w:rsidRPr="00F417D7" w:rsidRDefault="008F0FE4" w:rsidP="008F0FE4">
      <w:pPr>
        <w:spacing w:after="0" w:line="240" w:lineRule="auto"/>
        <w:jc w:val="both"/>
        <w:rPr>
          <w:rFonts w:ascii="Verdana" w:hAnsi="Verdana" w:cs="Arial"/>
          <w:bCs/>
          <w:sz w:val="20"/>
          <w:lang w:val="es-ES" w:eastAsia="es-ES"/>
        </w:rPr>
      </w:pPr>
      <w:r w:rsidRPr="00F417D7">
        <w:rPr>
          <w:rFonts w:ascii="Verdana" w:hAnsi="Verdana" w:cs="Arial"/>
          <w:bCs/>
          <w:sz w:val="20"/>
          <w:lang w:val="es-ES" w:eastAsia="es-ES"/>
        </w:rPr>
        <w:t xml:space="preserve">Este marco jurídico, evidencia que las entidades </w:t>
      </w:r>
      <w:r w:rsidRPr="00F417D7">
        <w:rPr>
          <w:rFonts w:ascii="Verdana" w:hAnsi="Verdana" w:cs="Arial"/>
          <w:bCs/>
          <w:i/>
          <w:iCs/>
          <w:sz w:val="20"/>
          <w:lang w:val="es-ES" w:eastAsia="es-ES"/>
        </w:rPr>
        <w:t xml:space="preserve">descentralizadas indirectas </w:t>
      </w:r>
      <w:r w:rsidRPr="00F417D7">
        <w:rPr>
          <w:rFonts w:ascii="Verdana" w:hAnsi="Verdana" w:cs="Arial"/>
          <w:bCs/>
          <w:sz w:val="20"/>
          <w:lang w:val="es-ES" w:eastAsia="es-ES"/>
        </w:rPr>
        <w:t xml:space="preserve">son Entidades Estatales que se encuentran sometidas, en principio, al EGCAP, en virtud de la referencia genérica realizada por el literal a) del numeral 1 del artículo 2 de la Ley 80 de 1993. Sin embargo, conforme se desprende del texto del señalado literal, la calidad de Entidad Estatal en los términos del artículo 2 de la Ley 80 de 1993, solo aplica a las entidades descentralizadas indirectas </w:t>
      </w:r>
      <w:r w:rsidRPr="00F417D7">
        <w:rPr>
          <w:rFonts w:ascii="Verdana" w:hAnsi="Verdana" w:cs="Arial"/>
          <w:bCs/>
          <w:i/>
          <w:iCs/>
          <w:sz w:val="20"/>
          <w:lang w:val="es-ES" w:eastAsia="es-ES"/>
        </w:rPr>
        <w:t>en las que el estado tenga una participación mayoritaria</w:t>
      </w:r>
      <w:r w:rsidRPr="00F417D7">
        <w:rPr>
          <w:rFonts w:ascii="Verdana" w:hAnsi="Verdana" w:cs="Arial"/>
          <w:bCs/>
          <w:sz w:val="20"/>
          <w:lang w:val="es-ES" w:eastAsia="es-ES"/>
        </w:rPr>
        <w:t xml:space="preserve">. En ese sentido, las entidades descentralizadas indirectas en las que el Estado tenga una participación minoritaria no se encuadran en la definición de Entidades Estatales sometidas al EGCAP, de conformidad con lo establecido en el numeral 1 del artículo 2 de la Ley 80 de 1993, por lo que su contratación no está regida por dicho cuerpo normativo y se someterá al derecho privado, a sus normas de creación y manuales de contratación. </w:t>
      </w:r>
    </w:p>
    <w:p w14:paraId="0078C61E" w14:textId="77777777" w:rsidR="008F0FE4" w:rsidRDefault="008F0FE4" w:rsidP="008F0FE4">
      <w:pPr>
        <w:spacing w:after="0"/>
        <w:rPr>
          <w:rFonts w:ascii="Verdana" w:hAnsi="Verdana"/>
          <w:lang w:val="es-ES"/>
        </w:rPr>
      </w:pPr>
    </w:p>
    <w:p w14:paraId="34550B65" w14:textId="77777777" w:rsidR="008F0FE4" w:rsidRPr="00B004BF" w:rsidRDefault="008F0FE4" w:rsidP="008F0FE4">
      <w:pPr>
        <w:spacing w:after="0" w:line="240" w:lineRule="auto"/>
        <w:jc w:val="both"/>
        <w:rPr>
          <w:rFonts w:ascii="Verdana" w:hAnsi="Verdana" w:cs="Arial"/>
          <w:b/>
          <w:bCs/>
          <w:lang w:val="es-ES" w:eastAsia="es-ES"/>
        </w:rPr>
      </w:pPr>
      <w:r w:rsidRPr="00B004BF">
        <w:rPr>
          <w:rFonts w:ascii="Verdana" w:hAnsi="Verdana" w:cs="Arial"/>
          <w:b/>
          <w:bCs/>
          <w:lang w:val="es-ES" w:eastAsia="es-ES"/>
        </w:rPr>
        <w:t xml:space="preserve">FONDOS MIXTOS –   Régimen de contratación </w:t>
      </w:r>
    </w:p>
    <w:p w14:paraId="3DA2F8C2" w14:textId="77777777" w:rsidR="008F0FE4" w:rsidRDefault="008F0FE4" w:rsidP="008F0FE4">
      <w:pPr>
        <w:spacing w:after="0" w:line="240" w:lineRule="auto"/>
        <w:jc w:val="both"/>
        <w:rPr>
          <w:rFonts w:ascii="Verdana" w:hAnsi="Verdana" w:cs="Arial"/>
          <w:b/>
          <w:bCs/>
          <w:lang w:val="es-ES" w:eastAsia="es-ES"/>
        </w:rPr>
      </w:pPr>
    </w:p>
    <w:p w14:paraId="302E125E" w14:textId="77777777" w:rsidR="008F0FE4" w:rsidRPr="00F417D7" w:rsidRDefault="008F0FE4" w:rsidP="008F0FE4">
      <w:pPr>
        <w:spacing w:after="0" w:line="240" w:lineRule="auto"/>
        <w:jc w:val="both"/>
        <w:rPr>
          <w:rFonts w:ascii="Verdana" w:hAnsi="Verdana" w:cs="Arial"/>
          <w:bCs/>
          <w:sz w:val="20"/>
          <w:szCs w:val="20"/>
          <w:lang w:val="es-ES" w:eastAsia="es-ES"/>
        </w:rPr>
      </w:pPr>
      <w:r w:rsidRPr="00F417D7">
        <w:rPr>
          <w:rFonts w:ascii="Verdana" w:hAnsi="Verdana" w:cs="Arial"/>
          <w:bCs/>
          <w:iCs/>
          <w:sz w:val="20"/>
          <w:szCs w:val="20"/>
          <w:lang w:val="es-ES" w:eastAsia="es-ES"/>
        </w:rPr>
        <w:t>En todo caso debe aclararse que, el hecho de que las entidades descentralizadas indirectas con participación pública minoritaria no estén sujetas al EGCAP a luz del numeral 1 del artículo 2 de la Ley 80 de 1993, no significa que no sean entidades estatales. Esto comoquiera que estas asociaciones son una expresión de la descentralización administrativa, por cuanto hacen parte de las demás entidades de naturaleza especial creadas o autorizadas por la ley, las cuales se encuentran previstas en los artículos 38, literal g)</w:t>
      </w:r>
      <w:r w:rsidRPr="00F417D7">
        <w:rPr>
          <w:rFonts w:ascii="Verdana" w:hAnsi="Verdana" w:cs="Arial"/>
          <w:bCs/>
          <w:sz w:val="20"/>
          <w:szCs w:val="20"/>
          <w:lang w:val="es-ES" w:eastAsia="es-ES"/>
        </w:rPr>
        <w:t xml:space="preserve"> y 68 de la Ley 489 de 1998, como parte de sector descentralizado por servicios. Esto significa que, estén o no sometidas al EGCAP, nada obsta para que, en virtud de esa participación pública minoritaria, las entidades descentralizadas indirectas puedan ser consideradas en sentido amplio como entidades estatales, considerando que el propio ordenamiento jurídico las ubica dentro de la estructura de la Administración Pública. </w:t>
      </w:r>
    </w:p>
    <w:p w14:paraId="728360E2" w14:textId="77777777" w:rsidR="008F0FE4" w:rsidRPr="00F417D7" w:rsidRDefault="008F0FE4" w:rsidP="008F0FE4">
      <w:pPr>
        <w:spacing w:after="0" w:line="240" w:lineRule="auto"/>
        <w:jc w:val="both"/>
        <w:rPr>
          <w:rFonts w:ascii="Verdana" w:hAnsi="Verdana" w:cs="Arial"/>
          <w:bCs/>
          <w:sz w:val="20"/>
          <w:szCs w:val="20"/>
          <w:lang w:val="es-ES" w:eastAsia="es-ES"/>
        </w:rPr>
      </w:pPr>
    </w:p>
    <w:p w14:paraId="3528BBE8" w14:textId="77777777" w:rsidR="008F0FE4" w:rsidRDefault="008F0FE4" w:rsidP="008F0FE4">
      <w:pPr>
        <w:spacing w:after="0" w:line="240" w:lineRule="auto"/>
        <w:jc w:val="both"/>
        <w:rPr>
          <w:rFonts w:ascii="Verdana" w:hAnsi="Verdana" w:cs="Arial"/>
          <w:bCs/>
          <w:sz w:val="20"/>
          <w:szCs w:val="20"/>
          <w:lang w:val="es-ES" w:eastAsia="es-ES" w:bidi="es-ES"/>
        </w:rPr>
      </w:pPr>
      <w:r w:rsidRPr="00F417D7">
        <w:rPr>
          <w:rFonts w:ascii="Verdana" w:hAnsi="Verdana" w:cs="Arial"/>
          <w:bCs/>
          <w:sz w:val="20"/>
          <w:szCs w:val="20"/>
          <w:lang w:val="es-ES" w:eastAsia="es-ES" w:bidi="es-ES"/>
        </w:rPr>
        <w:t xml:space="preserve">En este sentido, incluso cuando los fondos mixtos se encuentren exceptuados de la aplicación del régimen de contratación del EGCAP, tal exclusión no es absoluta, toda vez que al administrar recursos públicos deben respetar los principios de la función administrativa y de la gestión fiscal, de conformidad con el artículo 13 de la Ley 1150 de 2007. </w:t>
      </w:r>
    </w:p>
    <w:p w14:paraId="76BD8C38" w14:textId="77777777" w:rsidR="008F0FE4" w:rsidRDefault="008F0FE4" w:rsidP="008F0FE4">
      <w:pPr>
        <w:spacing w:after="0" w:line="240" w:lineRule="auto"/>
        <w:rPr>
          <w:rFonts w:ascii="Verdana" w:eastAsia="Geomanist Light" w:hAnsi="Verdana" w:cs="Arial"/>
          <w:color w:val="000000" w:themeColor="text1"/>
          <w:lang w:val="es-ES"/>
        </w:rPr>
      </w:pPr>
    </w:p>
    <w:p w14:paraId="60B9317C" w14:textId="77777777" w:rsidR="008F0FE4" w:rsidRDefault="008F0FE4" w:rsidP="008F0FE4">
      <w:pPr>
        <w:spacing w:after="0" w:line="240" w:lineRule="auto"/>
        <w:rPr>
          <w:rFonts w:ascii="Verdana" w:eastAsia="Geomanist Light" w:hAnsi="Verdana" w:cs="Arial"/>
          <w:color w:val="000000" w:themeColor="text1"/>
          <w:lang w:val="es-ES"/>
        </w:rPr>
      </w:pPr>
    </w:p>
    <w:p w14:paraId="3BAC46AD" w14:textId="77777777" w:rsidR="008F0FE4" w:rsidRDefault="008F0FE4" w:rsidP="008F0FE4">
      <w:pPr>
        <w:spacing w:after="0" w:line="240" w:lineRule="auto"/>
        <w:rPr>
          <w:rFonts w:ascii="Verdana" w:eastAsia="Geomanist Light" w:hAnsi="Verdana" w:cs="Arial"/>
          <w:color w:val="000000" w:themeColor="text1"/>
          <w:lang w:val="es-ES"/>
        </w:rPr>
      </w:pPr>
    </w:p>
    <w:p w14:paraId="5B203283" w14:textId="77777777" w:rsidR="008F0FE4" w:rsidRDefault="008F0FE4" w:rsidP="008F0FE4">
      <w:pPr>
        <w:spacing w:after="0" w:line="240" w:lineRule="auto"/>
        <w:rPr>
          <w:rFonts w:ascii="Verdana" w:eastAsia="Geomanist Light" w:hAnsi="Verdana" w:cs="Arial"/>
          <w:color w:val="000000" w:themeColor="text1"/>
          <w:lang w:val="es-ES"/>
        </w:rPr>
      </w:pPr>
    </w:p>
    <w:p w14:paraId="7D3EB95B" w14:textId="77777777" w:rsidR="008F0FE4" w:rsidRDefault="008F0FE4" w:rsidP="008F0FE4">
      <w:pPr>
        <w:spacing w:after="0" w:line="240" w:lineRule="auto"/>
        <w:rPr>
          <w:rFonts w:ascii="Verdana" w:eastAsia="Geomanist Light" w:hAnsi="Verdana" w:cs="Arial"/>
          <w:color w:val="000000" w:themeColor="text1"/>
          <w:lang w:val="es-ES"/>
        </w:rPr>
      </w:pPr>
    </w:p>
    <w:p w14:paraId="6A59DC3B" w14:textId="77777777" w:rsidR="008F0FE4" w:rsidRDefault="008F0FE4" w:rsidP="008F0FE4">
      <w:pPr>
        <w:spacing w:after="0" w:line="240" w:lineRule="auto"/>
        <w:rPr>
          <w:rFonts w:ascii="Verdana" w:eastAsia="Geomanist Light" w:hAnsi="Verdana" w:cs="Arial"/>
          <w:color w:val="000000" w:themeColor="text1"/>
          <w:lang w:val="es-ES"/>
        </w:rPr>
      </w:pPr>
    </w:p>
    <w:p w14:paraId="1462AD29" w14:textId="77777777" w:rsidR="008F0FE4" w:rsidRDefault="008F0FE4" w:rsidP="008F0FE4">
      <w:pPr>
        <w:spacing w:after="0" w:line="240" w:lineRule="auto"/>
        <w:rPr>
          <w:rFonts w:ascii="Verdana" w:eastAsia="Geomanist Light" w:hAnsi="Verdana" w:cs="Arial"/>
          <w:color w:val="000000" w:themeColor="text1"/>
          <w:lang w:val="es-ES"/>
        </w:rPr>
      </w:pPr>
    </w:p>
    <w:p w14:paraId="2899BCB0" w14:textId="77777777" w:rsidR="008F0FE4" w:rsidRDefault="008F0FE4" w:rsidP="008F0FE4">
      <w:pPr>
        <w:spacing w:after="0" w:line="240" w:lineRule="auto"/>
        <w:rPr>
          <w:rFonts w:ascii="Verdana" w:eastAsia="Geomanist Light" w:hAnsi="Verdana" w:cs="Arial"/>
          <w:color w:val="000000" w:themeColor="text1"/>
          <w:lang w:val="es-ES"/>
        </w:rPr>
      </w:pPr>
    </w:p>
    <w:p w14:paraId="2CE867A8" w14:textId="77777777" w:rsidR="008F0FE4" w:rsidRDefault="008F0FE4" w:rsidP="008F0FE4">
      <w:pPr>
        <w:spacing w:after="0" w:line="240" w:lineRule="auto"/>
        <w:rPr>
          <w:rFonts w:ascii="Verdana" w:eastAsia="Geomanist Light" w:hAnsi="Verdana" w:cs="Arial"/>
          <w:color w:val="000000" w:themeColor="text1"/>
          <w:lang w:val="es-ES"/>
        </w:rPr>
      </w:pPr>
    </w:p>
    <w:p w14:paraId="6ADD68F4" w14:textId="77777777" w:rsidR="008F0FE4" w:rsidRDefault="008F0FE4" w:rsidP="008F0FE4">
      <w:pPr>
        <w:spacing w:after="0" w:line="240" w:lineRule="auto"/>
        <w:rPr>
          <w:rFonts w:ascii="Verdana" w:eastAsia="Geomanist Light" w:hAnsi="Verdana" w:cs="Arial"/>
          <w:color w:val="000000" w:themeColor="text1"/>
          <w:lang w:val="es-ES"/>
        </w:rPr>
      </w:pPr>
    </w:p>
    <w:p w14:paraId="4B103913" w14:textId="77777777" w:rsidR="008F0FE4" w:rsidRDefault="008F0FE4" w:rsidP="008F0FE4">
      <w:pPr>
        <w:spacing w:after="0" w:line="240" w:lineRule="auto"/>
        <w:rPr>
          <w:rFonts w:ascii="Verdana" w:eastAsia="Geomanist Light" w:hAnsi="Verdana" w:cs="Arial"/>
          <w:color w:val="000000" w:themeColor="text1"/>
          <w:lang w:val="es-ES"/>
        </w:rPr>
      </w:pPr>
    </w:p>
    <w:p w14:paraId="486A5F0D" w14:textId="77777777" w:rsidR="008F0FE4" w:rsidRDefault="008F0FE4" w:rsidP="008F0FE4">
      <w:pPr>
        <w:spacing w:after="0" w:line="240" w:lineRule="auto"/>
        <w:rPr>
          <w:rFonts w:ascii="Verdana" w:eastAsia="Geomanist Light" w:hAnsi="Verdana" w:cs="Arial"/>
          <w:color w:val="000000" w:themeColor="text1"/>
          <w:lang w:val="es-ES"/>
        </w:rPr>
      </w:pPr>
    </w:p>
    <w:p w14:paraId="33CD44B3" w14:textId="77777777" w:rsidR="008F0FE4" w:rsidRDefault="008F0FE4" w:rsidP="008F0FE4">
      <w:pPr>
        <w:spacing w:after="0" w:line="240" w:lineRule="auto"/>
        <w:rPr>
          <w:rFonts w:ascii="Verdana" w:eastAsia="Geomanist Light" w:hAnsi="Verdana" w:cs="Arial"/>
          <w:color w:val="000000" w:themeColor="text1"/>
          <w:lang w:val="es-ES"/>
        </w:rPr>
      </w:pPr>
    </w:p>
    <w:p w14:paraId="64D14BBC" w14:textId="77777777" w:rsidR="008F0FE4" w:rsidRDefault="008F0FE4" w:rsidP="008F0FE4">
      <w:pPr>
        <w:spacing w:after="0" w:line="240" w:lineRule="auto"/>
        <w:rPr>
          <w:rFonts w:ascii="Verdana" w:eastAsia="Geomanist Light" w:hAnsi="Verdana" w:cs="Arial"/>
          <w:color w:val="000000" w:themeColor="text1"/>
          <w:lang w:val="es-ES"/>
        </w:rPr>
      </w:pPr>
    </w:p>
    <w:p w14:paraId="4C535ACA" w14:textId="77777777" w:rsidR="008F0FE4" w:rsidRDefault="008F0FE4" w:rsidP="008F0FE4">
      <w:pPr>
        <w:spacing w:after="0" w:line="240" w:lineRule="auto"/>
        <w:rPr>
          <w:rFonts w:ascii="Verdana" w:eastAsia="Geomanist Light" w:hAnsi="Verdana" w:cs="Arial"/>
          <w:color w:val="000000" w:themeColor="text1"/>
          <w:lang w:val="es-ES"/>
        </w:rPr>
      </w:pPr>
    </w:p>
    <w:p w14:paraId="34CEDC03" w14:textId="77777777" w:rsidR="008F0FE4" w:rsidRDefault="008F0FE4" w:rsidP="008F0FE4">
      <w:pPr>
        <w:spacing w:after="0" w:line="240" w:lineRule="auto"/>
        <w:rPr>
          <w:rFonts w:ascii="Verdana" w:eastAsia="Geomanist Light" w:hAnsi="Verdana" w:cs="Arial"/>
          <w:color w:val="000000" w:themeColor="text1"/>
          <w:lang w:val="es-ES"/>
        </w:rPr>
      </w:pPr>
    </w:p>
    <w:p w14:paraId="7EDB36C1" w14:textId="77777777" w:rsidR="008F0FE4" w:rsidRDefault="008F0FE4" w:rsidP="008F0FE4">
      <w:pPr>
        <w:spacing w:after="0" w:line="240" w:lineRule="auto"/>
        <w:rPr>
          <w:rFonts w:ascii="Verdana" w:eastAsia="Geomanist Light" w:hAnsi="Verdana" w:cs="Arial"/>
          <w:color w:val="000000" w:themeColor="text1"/>
          <w:lang w:val="es-ES"/>
        </w:rPr>
      </w:pPr>
    </w:p>
    <w:p w14:paraId="3AD077E2" w14:textId="77777777" w:rsidR="008F0FE4" w:rsidRDefault="008F0FE4" w:rsidP="008F0FE4">
      <w:pPr>
        <w:spacing w:after="0" w:line="240" w:lineRule="auto"/>
        <w:rPr>
          <w:rFonts w:ascii="Verdana" w:eastAsia="Geomanist Light" w:hAnsi="Verdana" w:cs="Arial"/>
          <w:color w:val="000000" w:themeColor="text1"/>
          <w:lang w:val="es-ES"/>
        </w:rPr>
      </w:pPr>
    </w:p>
    <w:p w14:paraId="6A93F6FC" w14:textId="77777777" w:rsidR="008F0FE4" w:rsidRDefault="008F0FE4" w:rsidP="008F0FE4">
      <w:pPr>
        <w:spacing w:after="0" w:line="240" w:lineRule="auto"/>
        <w:rPr>
          <w:rFonts w:ascii="Verdana" w:eastAsia="Geomanist Light" w:hAnsi="Verdana" w:cs="Arial"/>
          <w:color w:val="000000" w:themeColor="text1"/>
          <w:lang w:val="es-ES"/>
        </w:rPr>
      </w:pPr>
    </w:p>
    <w:p w14:paraId="4977123D" w14:textId="77777777" w:rsidR="008F0FE4" w:rsidRDefault="008F0FE4" w:rsidP="008F0FE4">
      <w:pPr>
        <w:spacing w:after="0" w:line="240" w:lineRule="auto"/>
        <w:rPr>
          <w:rFonts w:ascii="Verdana" w:eastAsia="Geomanist Light" w:hAnsi="Verdana" w:cs="Arial"/>
          <w:color w:val="000000" w:themeColor="text1"/>
          <w:lang w:val="es-ES"/>
        </w:rPr>
      </w:pPr>
    </w:p>
    <w:p w14:paraId="78038F30" w14:textId="77777777" w:rsidR="008F0FE4" w:rsidRDefault="008F0FE4" w:rsidP="008F0FE4">
      <w:pPr>
        <w:spacing w:after="0" w:line="240" w:lineRule="auto"/>
        <w:rPr>
          <w:rFonts w:ascii="Verdana" w:eastAsia="Geomanist Light" w:hAnsi="Verdana" w:cs="Arial"/>
          <w:color w:val="000000" w:themeColor="text1"/>
          <w:lang w:val="es-ES"/>
        </w:rPr>
      </w:pPr>
    </w:p>
    <w:p w14:paraId="3B992D42" w14:textId="77777777" w:rsidR="008F0FE4" w:rsidRDefault="008F0FE4" w:rsidP="008F0FE4">
      <w:pPr>
        <w:spacing w:after="0" w:line="240" w:lineRule="auto"/>
        <w:rPr>
          <w:rFonts w:ascii="Verdana" w:eastAsia="Geomanist Light" w:hAnsi="Verdana" w:cs="Arial"/>
          <w:color w:val="000000" w:themeColor="text1"/>
          <w:lang w:val="es-ES"/>
        </w:rPr>
      </w:pPr>
    </w:p>
    <w:p w14:paraId="7E6A0A86" w14:textId="77777777" w:rsidR="008F0FE4" w:rsidRDefault="008F0FE4" w:rsidP="008F0FE4">
      <w:pPr>
        <w:spacing w:after="0" w:line="240" w:lineRule="auto"/>
        <w:rPr>
          <w:rFonts w:ascii="Verdana" w:eastAsia="Geomanist Light" w:hAnsi="Verdana" w:cs="Arial"/>
          <w:color w:val="000000" w:themeColor="text1"/>
          <w:lang w:val="es-ES"/>
        </w:rPr>
      </w:pPr>
    </w:p>
    <w:p w14:paraId="4522B6CF" w14:textId="77777777" w:rsidR="008F0FE4" w:rsidRDefault="008F0FE4" w:rsidP="008F0FE4">
      <w:pPr>
        <w:spacing w:after="0" w:line="240" w:lineRule="auto"/>
        <w:rPr>
          <w:rFonts w:ascii="Verdana" w:eastAsia="Geomanist Light" w:hAnsi="Verdana" w:cs="Arial"/>
          <w:color w:val="000000" w:themeColor="text1"/>
          <w:lang w:val="es-ES"/>
        </w:rPr>
      </w:pPr>
    </w:p>
    <w:p w14:paraId="5FCBEE0D" w14:textId="77777777" w:rsidR="008F0FE4" w:rsidRDefault="008F0FE4" w:rsidP="008F0FE4">
      <w:pPr>
        <w:spacing w:after="0" w:line="240" w:lineRule="auto"/>
        <w:rPr>
          <w:rFonts w:ascii="Verdana" w:eastAsia="Geomanist Light" w:hAnsi="Verdana" w:cs="Arial"/>
          <w:color w:val="000000" w:themeColor="text1"/>
          <w:lang w:val="es-ES"/>
        </w:rPr>
      </w:pPr>
    </w:p>
    <w:p w14:paraId="2D78542C" w14:textId="77777777" w:rsidR="008F0FE4" w:rsidRDefault="008F0FE4" w:rsidP="008F0FE4">
      <w:pPr>
        <w:spacing w:after="0" w:line="240" w:lineRule="auto"/>
        <w:rPr>
          <w:rFonts w:ascii="Verdana" w:eastAsia="Geomanist Light" w:hAnsi="Verdana" w:cs="Arial"/>
          <w:color w:val="000000" w:themeColor="text1"/>
          <w:lang w:val="es-ES"/>
        </w:rPr>
      </w:pPr>
    </w:p>
    <w:p w14:paraId="7C41E197" w14:textId="77777777" w:rsidR="008F0FE4" w:rsidRDefault="008F0FE4" w:rsidP="008F0FE4">
      <w:pPr>
        <w:spacing w:after="0" w:line="240" w:lineRule="auto"/>
        <w:rPr>
          <w:rFonts w:ascii="Verdana" w:eastAsia="Geomanist Light" w:hAnsi="Verdana" w:cs="Arial"/>
          <w:color w:val="000000" w:themeColor="text1"/>
          <w:lang w:val="es-ES"/>
        </w:rPr>
      </w:pPr>
    </w:p>
    <w:p w14:paraId="0678543F" w14:textId="77777777" w:rsidR="008F0FE4" w:rsidRDefault="008F0FE4" w:rsidP="008F0FE4">
      <w:pPr>
        <w:spacing w:after="0" w:line="240" w:lineRule="auto"/>
        <w:rPr>
          <w:rFonts w:ascii="Verdana" w:eastAsia="Geomanist Light" w:hAnsi="Verdana" w:cs="Arial"/>
          <w:color w:val="000000" w:themeColor="text1"/>
          <w:lang w:val="es-ES"/>
        </w:rPr>
      </w:pPr>
    </w:p>
    <w:p w14:paraId="5144A810" w14:textId="77777777" w:rsidR="008F0FE4" w:rsidRDefault="008F0FE4" w:rsidP="008F0FE4">
      <w:pPr>
        <w:spacing w:after="0" w:line="240" w:lineRule="auto"/>
        <w:rPr>
          <w:rFonts w:ascii="Verdana" w:eastAsia="Geomanist Light" w:hAnsi="Verdana" w:cs="Arial"/>
          <w:color w:val="000000" w:themeColor="text1"/>
          <w:lang w:val="es-ES"/>
        </w:rPr>
      </w:pPr>
    </w:p>
    <w:p w14:paraId="51F049F9" w14:textId="77777777" w:rsidR="008F0FE4" w:rsidRDefault="008F0FE4" w:rsidP="008F0FE4">
      <w:pPr>
        <w:spacing w:after="0" w:line="240" w:lineRule="auto"/>
        <w:rPr>
          <w:rFonts w:ascii="Verdana" w:eastAsia="Geomanist Light" w:hAnsi="Verdana" w:cs="Arial"/>
          <w:color w:val="000000" w:themeColor="text1"/>
          <w:lang w:val="es-ES"/>
        </w:rPr>
      </w:pPr>
    </w:p>
    <w:p w14:paraId="0A52BF56" w14:textId="77777777" w:rsidR="008F0FE4" w:rsidRDefault="008F0FE4" w:rsidP="008F0FE4">
      <w:pPr>
        <w:spacing w:after="0" w:line="240" w:lineRule="auto"/>
        <w:rPr>
          <w:rFonts w:ascii="Verdana" w:eastAsia="Geomanist Light" w:hAnsi="Verdana" w:cs="Arial"/>
          <w:color w:val="000000" w:themeColor="text1"/>
          <w:lang w:val="es-ES"/>
        </w:rPr>
      </w:pPr>
    </w:p>
    <w:p w14:paraId="2382EC9C" w14:textId="77777777" w:rsidR="008F0FE4" w:rsidRPr="000D4127" w:rsidRDefault="008F0FE4" w:rsidP="008F0FE4">
      <w:pPr>
        <w:spacing w:after="0" w:line="240" w:lineRule="auto"/>
        <w:rPr>
          <w:rFonts w:ascii="Verdana" w:eastAsia="Geomanist Light" w:hAnsi="Verdana" w:cs="Arial"/>
          <w:color w:val="000000" w:themeColor="text1"/>
          <w:lang w:val="es-ES"/>
        </w:rPr>
      </w:pPr>
    </w:p>
    <w:p w14:paraId="0C5108DD" w14:textId="6F29D60D" w:rsidR="008F0FE4" w:rsidRDefault="008F0FE4" w:rsidP="008F0FE4">
      <w:pPr>
        <w:spacing w:after="0" w:line="240" w:lineRule="auto"/>
        <w:jc w:val="both"/>
        <w:rPr>
          <w:rFonts w:ascii="Verdana" w:eastAsia="Geomanist Light" w:hAnsi="Verdana" w:cs="Arial"/>
          <w:color w:val="000000" w:themeColor="text1"/>
        </w:rPr>
      </w:pPr>
      <w:r w:rsidRPr="006B4084">
        <w:rPr>
          <w:rFonts w:ascii="Verdana" w:eastAsia="Geomanist Light" w:hAnsi="Verdana" w:cs="Arial"/>
          <w:color w:val="000000" w:themeColor="text1"/>
        </w:rPr>
        <w:t xml:space="preserve">Bogotá D.C., </w:t>
      </w:r>
      <w:r w:rsidR="00262F5D">
        <w:rPr>
          <w:rFonts w:ascii="Verdana" w:eastAsia="Geomanist Light" w:hAnsi="Verdana" w:cs="Arial"/>
          <w:color w:val="000000" w:themeColor="text1"/>
        </w:rPr>
        <w:t>19 de octubre de 2026</w:t>
      </w:r>
    </w:p>
    <w:p w14:paraId="7845352D" w14:textId="77777777" w:rsidR="00262F5D" w:rsidRDefault="00262F5D" w:rsidP="008F0FE4">
      <w:pPr>
        <w:spacing w:after="0" w:line="240" w:lineRule="auto"/>
        <w:jc w:val="both"/>
        <w:rPr>
          <w:rFonts w:ascii="Verdana" w:eastAsia="Geomanist Light" w:hAnsi="Verdana" w:cs="Arial"/>
          <w:color w:val="000000" w:themeColor="text1"/>
        </w:rPr>
      </w:pPr>
    </w:p>
    <w:p w14:paraId="6E0597E8" w14:textId="51E0E515" w:rsidR="00262F5D" w:rsidRPr="00782484" w:rsidRDefault="00262F5D" w:rsidP="00262F5D">
      <w:pPr>
        <w:spacing w:after="0" w:line="240" w:lineRule="auto"/>
        <w:jc w:val="right"/>
        <w:rPr>
          <w:rFonts w:ascii="Verdana" w:eastAsia="Calibri" w:hAnsi="Verdana" w:cs="Arial"/>
          <w:color w:val="000000"/>
        </w:rPr>
      </w:pPr>
      <w:r w:rsidRPr="00262F5D">
        <w:rPr>
          <w:rFonts w:ascii="Verdana" w:eastAsia="Calibri" w:hAnsi="Verdana" w:cs="Arial"/>
          <w:noProof/>
          <w:color w:val="000000"/>
        </w:rPr>
        <w:drawing>
          <wp:inline distT="0" distB="0" distL="0" distR="0" wp14:anchorId="3BC143F3" wp14:editId="00589BA5">
            <wp:extent cx="3705742" cy="981212"/>
            <wp:effectExtent l="0" t="0" r="9525" b="9525"/>
            <wp:docPr id="12679443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44385" name=""/>
                    <pic:cNvPicPr/>
                  </pic:nvPicPr>
                  <pic:blipFill>
                    <a:blip r:embed="rId10"/>
                    <a:stretch>
                      <a:fillRect/>
                    </a:stretch>
                  </pic:blipFill>
                  <pic:spPr>
                    <a:xfrm>
                      <a:off x="0" y="0"/>
                      <a:ext cx="3705742" cy="981212"/>
                    </a:xfrm>
                    <a:prstGeom prst="rect">
                      <a:avLst/>
                    </a:prstGeom>
                  </pic:spPr>
                </pic:pic>
              </a:graphicData>
            </a:graphic>
          </wp:inline>
        </w:drawing>
      </w:r>
    </w:p>
    <w:p w14:paraId="1BCDBC29" w14:textId="77777777" w:rsidR="008F0FE4" w:rsidRDefault="008F0FE4" w:rsidP="008F0FE4">
      <w:pPr>
        <w:spacing w:after="0" w:line="240" w:lineRule="auto"/>
        <w:jc w:val="right"/>
        <w:rPr>
          <w:rFonts w:ascii="Verdana" w:eastAsia="Calibri" w:hAnsi="Verdana" w:cs="Arial"/>
          <w:color w:val="000000"/>
          <w:lang w:val="es-ES"/>
        </w:rPr>
      </w:pPr>
    </w:p>
    <w:p w14:paraId="3EB83B60" w14:textId="77777777" w:rsidR="008F0FE4" w:rsidRPr="00593A5F" w:rsidRDefault="008F0FE4" w:rsidP="008F0FE4">
      <w:pPr>
        <w:spacing w:after="0" w:line="240" w:lineRule="auto"/>
        <w:jc w:val="both"/>
        <w:rPr>
          <w:rFonts w:ascii="Verdana" w:eastAsia="Calibri" w:hAnsi="Verdana" w:cs="Arial"/>
          <w:color w:val="000000"/>
          <w:lang w:val="es-ES"/>
        </w:rPr>
      </w:pPr>
    </w:p>
    <w:p w14:paraId="3CCA9A7B" w14:textId="77777777" w:rsidR="008F0FE4" w:rsidRPr="000C555D" w:rsidRDefault="008F0FE4" w:rsidP="008F0FE4">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3953AE6" w14:textId="77777777" w:rsidR="008F0FE4" w:rsidRPr="00583C7F" w:rsidRDefault="008F0FE4" w:rsidP="008F0FE4">
      <w:pPr>
        <w:spacing w:after="0" w:line="240" w:lineRule="auto"/>
        <w:rPr>
          <w:rFonts w:ascii="Verdana" w:eastAsia="Calibri" w:hAnsi="Verdana" w:cs="Arial"/>
          <w:b/>
          <w:lang w:val="es-ES" w:eastAsia="es-ES"/>
        </w:rPr>
      </w:pPr>
      <w:r>
        <w:rPr>
          <w:rFonts w:ascii="Verdana" w:eastAsia="Calibri" w:hAnsi="Verdana" w:cs="Arial"/>
          <w:b/>
          <w:lang w:val="es-ES" w:eastAsia="es-ES"/>
        </w:rPr>
        <w:t>Anónimo</w:t>
      </w:r>
    </w:p>
    <w:p w14:paraId="4F0157B4" w14:textId="77777777" w:rsidR="008F0FE4" w:rsidRPr="00DB7C82" w:rsidRDefault="008F0FE4" w:rsidP="008F0FE4">
      <w:pPr>
        <w:spacing w:after="0" w:line="240" w:lineRule="auto"/>
        <w:rPr>
          <w:rFonts w:ascii="Verdana" w:hAnsi="Verdana"/>
        </w:rPr>
      </w:pPr>
      <w:hyperlink r:id="rId11" w:history="1">
        <w:r w:rsidRPr="00DB7C82">
          <w:rPr>
            <w:rStyle w:val="Hyperlink"/>
            <w:rFonts w:ascii="Verdana" w:hAnsi="Verdana"/>
          </w:rPr>
          <w:t>dianahiguerafl@gmail.com</w:t>
        </w:r>
      </w:hyperlink>
    </w:p>
    <w:p w14:paraId="018E7F8B" w14:textId="77777777" w:rsidR="008F0FE4" w:rsidRDefault="008F0FE4" w:rsidP="008F0FE4">
      <w:pPr>
        <w:spacing w:after="0" w:line="240" w:lineRule="auto"/>
        <w:rPr>
          <w:rFonts w:ascii="Verdana" w:eastAsia="Calibri" w:hAnsi="Verdana" w:cs="Arial"/>
          <w:lang w:val="es-ES" w:eastAsia="es-ES"/>
        </w:rPr>
      </w:pPr>
      <w:r>
        <w:rPr>
          <w:rFonts w:ascii="Verdana" w:eastAsia="Calibri" w:hAnsi="Verdana" w:cs="Arial"/>
          <w:lang w:val="es-ES" w:eastAsia="es-ES"/>
        </w:rPr>
        <w:t>Ciudad</w:t>
      </w:r>
    </w:p>
    <w:p w14:paraId="52BFA13B" w14:textId="77777777" w:rsidR="008F0FE4" w:rsidRPr="00593A5F" w:rsidRDefault="008F0FE4" w:rsidP="008F0FE4">
      <w:pPr>
        <w:spacing w:after="0" w:line="240" w:lineRule="auto"/>
        <w:rPr>
          <w:rFonts w:ascii="Verdana" w:eastAsia="Calibri" w:hAnsi="Verdana" w:cs="Arial"/>
          <w:b/>
          <w:bCs/>
          <w:color w:val="000000"/>
          <w:lang w:val="es-ES_tradnl" w:eastAsia="es-ES_tradnl"/>
        </w:rPr>
      </w:pPr>
    </w:p>
    <w:p w14:paraId="1C9934F2" w14:textId="77777777" w:rsidR="008F0FE4" w:rsidRPr="00593A5F" w:rsidRDefault="008F0FE4" w:rsidP="008F0FE4">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F0FE4" w:rsidRPr="00593A5F" w14:paraId="0AA0FE4A" w14:textId="77777777" w:rsidTr="00474617">
        <w:trPr>
          <w:trHeight w:val="184"/>
        </w:trPr>
        <w:tc>
          <w:tcPr>
            <w:tcW w:w="2689" w:type="dxa"/>
          </w:tcPr>
          <w:p w14:paraId="3C90E50E" w14:textId="77777777" w:rsidR="008F0FE4" w:rsidRPr="00C00976" w:rsidRDefault="008F0FE4">
            <w:pPr>
              <w:jc w:val="both"/>
              <w:rPr>
                <w:rFonts w:ascii="Verdana" w:eastAsia="Calibri" w:hAnsi="Verdana" w:cs="Arial"/>
                <w:b/>
                <w:bCs/>
                <w:color w:val="7030A0"/>
                <w:lang w:val="es-ES_tradnl" w:eastAsia="es-ES_tradnl"/>
              </w:rPr>
            </w:pPr>
          </w:p>
        </w:tc>
        <w:tc>
          <w:tcPr>
            <w:tcW w:w="6100" w:type="dxa"/>
          </w:tcPr>
          <w:p w14:paraId="7E365E12" w14:textId="77777777" w:rsidR="008F0FE4" w:rsidRDefault="008F0FE4">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1415 </w:t>
            </w:r>
            <w:r w:rsidRPr="008E6AD9">
              <w:rPr>
                <w:rFonts w:ascii="Verdana" w:eastAsia="Calibri" w:hAnsi="Verdana" w:cs="Arial"/>
                <w:b/>
                <w:bCs/>
                <w:lang w:val="es-ES" w:eastAsia="es-ES"/>
              </w:rPr>
              <w:t>de 202</w:t>
            </w:r>
            <w:r>
              <w:rPr>
                <w:rFonts w:ascii="Verdana" w:eastAsia="Calibri" w:hAnsi="Verdana" w:cs="Arial"/>
                <w:b/>
                <w:bCs/>
                <w:lang w:val="es-ES" w:eastAsia="es-ES"/>
              </w:rPr>
              <w:t>6</w:t>
            </w:r>
          </w:p>
          <w:p w14:paraId="1DB02C52" w14:textId="77777777" w:rsidR="008F0FE4" w:rsidRPr="00C00976" w:rsidRDefault="008F0FE4">
            <w:pPr>
              <w:jc w:val="both"/>
              <w:rPr>
                <w:rFonts w:ascii="Verdana" w:eastAsia="Calibri" w:hAnsi="Verdana" w:cs="Arial"/>
                <w:b/>
                <w:bCs/>
                <w:color w:val="7030A0"/>
                <w:lang w:val="es-ES" w:eastAsia="es-ES"/>
              </w:rPr>
            </w:pPr>
          </w:p>
        </w:tc>
      </w:tr>
      <w:tr w:rsidR="008F0FE4" w:rsidRPr="00593A5F" w14:paraId="78A288EF" w14:textId="77777777">
        <w:trPr>
          <w:trHeight w:val="884"/>
        </w:trPr>
        <w:tc>
          <w:tcPr>
            <w:tcW w:w="2689" w:type="dxa"/>
          </w:tcPr>
          <w:p w14:paraId="5D480EB5" w14:textId="77777777" w:rsidR="008F0FE4" w:rsidRPr="00593A5F" w:rsidRDefault="008F0FE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0692DF1" w14:textId="77777777" w:rsidR="008F0FE4" w:rsidRPr="00A11406" w:rsidRDefault="008F0FE4">
            <w:pPr>
              <w:spacing w:line="276" w:lineRule="auto"/>
              <w:jc w:val="both"/>
              <w:rPr>
                <w:rFonts w:ascii="Verdana" w:eastAsia="Calibri" w:hAnsi="Verdana" w:cs="Arial"/>
                <w:lang w:val="es-ES" w:eastAsia="es-ES"/>
              </w:rPr>
            </w:pPr>
            <w:r w:rsidRPr="00267F65">
              <w:rPr>
                <w:rFonts w:ascii="Verdana" w:eastAsia="Calibri" w:hAnsi="Verdana" w:cs="Arial"/>
                <w:lang w:val="es-ES" w:eastAsia="es-ES"/>
              </w:rPr>
              <w:t>ANTICIPO – Regulación normativa</w:t>
            </w:r>
            <w:r>
              <w:rPr>
                <w:rFonts w:ascii="Verdana" w:eastAsia="Calibri" w:hAnsi="Verdana" w:cs="Arial"/>
                <w:lang w:val="es-ES" w:eastAsia="es-ES"/>
              </w:rPr>
              <w:t xml:space="preserve"> / </w:t>
            </w:r>
            <w:r w:rsidRPr="00267F65">
              <w:rPr>
                <w:rFonts w:ascii="Verdana" w:eastAsia="Calibri" w:hAnsi="Verdana" w:cs="Arial"/>
                <w:lang w:val="es-ES" w:eastAsia="es-ES"/>
              </w:rPr>
              <w:t>ANTICIPO – Definición jurisprudencial</w:t>
            </w:r>
            <w:r>
              <w:rPr>
                <w:rFonts w:ascii="Verdana" w:eastAsia="Calibri" w:hAnsi="Verdana" w:cs="Arial"/>
                <w:lang w:val="es-ES" w:eastAsia="es-ES"/>
              </w:rPr>
              <w:t xml:space="preserve"> / </w:t>
            </w:r>
            <w:r w:rsidRPr="00267F65">
              <w:rPr>
                <w:rFonts w:ascii="Verdana" w:eastAsia="Calibri" w:hAnsi="Verdana" w:cs="Arial"/>
                <w:lang w:val="es-ES" w:eastAsia="es-ES"/>
              </w:rPr>
              <w:t xml:space="preserve">ANTICIPO – Autonomía de la voluntad – Derechos y obligaciones recíprocas </w:t>
            </w:r>
            <w:r>
              <w:rPr>
                <w:rFonts w:ascii="Verdana" w:eastAsia="Calibri" w:hAnsi="Verdana" w:cs="Arial"/>
                <w:lang w:val="es-ES" w:eastAsia="es-ES"/>
              </w:rPr>
              <w:t xml:space="preserve">/ </w:t>
            </w:r>
            <w:r w:rsidRPr="00267F65">
              <w:rPr>
                <w:rFonts w:ascii="Verdana" w:eastAsia="Calibri" w:hAnsi="Verdana" w:cs="Arial"/>
                <w:lang w:val="es-ES" w:eastAsia="es-ES"/>
              </w:rPr>
              <w:t>CONSTITUCIÓN DE FIDUCIA O PATRIMONIO AUTÓNOMO IRREVOCABLE – Artículo 91 – Ley 1474 de 2011</w:t>
            </w:r>
            <w:r>
              <w:rPr>
                <w:rFonts w:ascii="Verdana" w:eastAsia="Calibri" w:hAnsi="Verdana" w:cs="Arial"/>
                <w:lang w:val="es-ES" w:eastAsia="es-ES"/>
              </w:rPr>
              <w:t xml:space="preserve"> </w:t>
            </w:r>
            <w:r w:rsidRPr="00267F65">
              <w:rPr>
                <w:rFonts w:ascii="Verdana" w:eastAsia="Calibri" w:hAnsi="Verdana" w:cs="Arial"/>
                <w:lang w:val="es-ES" w:eastAsia="es-ES"/>
              </w:rPr>
              <w:t>–</w:t>
            </w:r>
            <w:r>
              <w:rPr>
                <w:rFonts w:ascii="Verdana" w:eastAsia="Calibri" w:hAnsi="Verdana" w:cs="Arial"/>
                <w:lang w:val="es-ES" w:eastAsia="es-ES"/>
              </w:rPr>
              <w:t xml:space="preserve"> Contrato de prestación de servicios / </w:t>
            </w:r>
            <w:r w:rsidRPr="0061306E">
              <w:rPr>
                <w:rFonts w:ascii="Verdana" w:hAnsi="Verdana" w:cs="Arial"/>
                <w:bCs/>
                <w:lang w:val="es-ES" w:eastAsia="es-ES"/>
              </w:rPr>
              <w:t>FONDOS MIXTOS – Creación / FONDOS MIXTOS –   Régimen de contratación</w:t>
            </w:r>
          </w:p>
          <w:p w14:paraId="4E143783" w14:textId="77777777" w:rsidR="008F0FE4" w:rsidRPr="00593A5F" w:rsidRDefault="008F0FE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F0FE4" w:rsidRPr="008E6AD9" w14:paraId="112DBDB5" w14:textId="77777777">
        <w:tc>
          <w:tcPr>
            <w:tcW w:w="2689" w:type="dxa"/>
          </w:tcPr>
          <w:p w14:paraId="0E6C2BB1" w14:textId="77777777" w:rsidR="008F0FE4" w:rsidRPr="008E6AD9" w:rsidRDefault="008F0FE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6D4EA4F" w14:textId="77777777" w:rsidR="008F0FE4" w:rsidRPr="00B92340" w:rsidRDefault="008F0FE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6B4084">
              <w:rPr>
                <w:rFonts w:ascii="Verdana" w:eastAsia="Calibri" w:hAnsi="Verdana" w:cs="Arial"/>
                <w:lang w:val="es-ES_tradnl" w:eastAsia="es-ES_tradnl"/>
              </w:rPr>
              <w:t>1_2026_09_08_011950</w:t>
            </w:r>
          </w:p>
        </w:tc>
      </w:tr>
    </w:tbl>
    <w:p w14:paraId="22D3768A" w14:textId="77777777" w:rsidR="008F0FE4" w:rsidRPr="00593A5F" w:rsidRDefault="008F0FE4" w:rsidP="008F0FE4">
      <w:pPr>
        <w:spacing w:after="0" w:line="240" w:lineRule="auto"/>
        <w:jc w:val="both"/>
        <w:rPr>
          <w:rFonts w:ascii="Verdana" w:eastAsia="Calibri" w:hAnsi="Verdana" w:cs="Arial"/>
          <w:color w:val="000000"/>
          <w:lang w:val="es-ES_tradnl" w:eastAsia="es-ES_tradnl"/>
        </w:rPr>
      </w:pPr>
    </w:p>
    <w:p w14:paraId="25773EF0" w14:textId="77777777" w:rsidR="008F0FE4" w:rsidRPr="00593A5F" w:rsidRDefault="008F0FE4" w:rsidP="008F0FE4">
      <w:pPr>
        <w:spacing w:after="0" w:line="240" w:lineRule="auto"/>
        <w:jc w:val="both"/>
        <w:rPr>
          <w:rFonts w:ascii="Verdana" w:eastAsia="Calibri" w:hAnsi="Verdana" w:cs="Arial"/>
          <w:color w:val="000000"/>
          <w:lang w:val="es-ES_tradnl" w:eastAsia="es-ES_tradnl"/>
        </w:rPr>
      </w:pPr>
    </w:p>
    <w:p w14:paraId="6AB63681" w14:textId="77777777" w:rsidR="008F0FE4" w:rsidRPr="008E6AD9" w:rsidRDefault="008F0FE4" w:rsidP="008F0FE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señor(a) ciudadano(a)</w:t>
      </w:r>
      <w:r w:rsidRPr="008E6AD9">
        <w:rPr>
          <w:rFonts w:ascii="Verdana" w:eastAsia="Calibri" w:hAnsi="Verdana" w:cs="Arial"/>
          <w:lang w:val="es-ES" w:eastAsia="es-ES"/>
        </w:rPr>
        <w:t xml:space="preserve">: </w:t>
      </w:r>
    </w:p>
    <w:p w14:paraId="6B55F157" w14:textId="77777777" w:rsidR="008F0FE4" w:rsidRDefault="008F0FE4" w:rsidP="008F0FE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B1887D2" w14:textId="77777777" w:rsidR="008F0FE4" w:rsidRPr="007A4451" w:rsidRDefault="008F0FE4" w:rsidP="008F0FE4">
      <w:pPr>
        <w:spacing w:after="0" w:line="276" w:lineRule="auto"/>
        <w:jc w:val="both"/>
        <w:rPr>
          <w:rFonts w:ascii="Verdana" w:eastAsia="Calibri" w:hAnsi="Verdana" w:cs="Times New Roman"/>
        </w:rPr>
      </w:pPr>
      <w:r w:rsidRPr="007A4451">
        <w:rPr>
          <w:rFonts w:ascii="Verdana" w:eastAsia="Calibri" w:hAnsi="Verdana" w:cs="Times New Roman"/>
        </w:rPr>
        <w:t xml:space="preserve">La Agencia Nacional de Contratación Pública – Colombia Compra Eficiente –, en ejercicio de las competencias otorgadas por los artículos 3, numeral 5º, y 11, numeral 8º, del Decreto Ley 4170 de 2011 y de conformidad con las modalidades del derecho de petición contempladas en la Ley 1755 de 2015 y en la resolución N° 469 del 2025 expedida por esta Agencia, responde su solicitud de consulta del </w:t>
      </w:r>
      <w:r>
        <w:rPr>
          <w:rFonts w:ascii="Verdana" w:eastAsia="Calibri" w:hAnsi="Verdana" w:cs="Times New Roman"/>
        </w:rPr>
        <w:t>8</w:t>
      </w:r>
      <w:r w:rsidRPr="007A4451">
        <w:rPr>
          <w:rFonts w:ascii="Verdana" w:eastAsia="Calibri" w:hAnsi="Verdana" w:cs="Times New Roman"/>
        </w:rPr>
        <w:t xml:space="preserve"> de septiembre de 2026, en la cual manifiesta lo siguiente</w:t>
      </w:r>
      <w:r w:rsidRPr="008E6AD9">
        <w:rPr>
          <w:rFonts w:ascii="Verdana" w:eastAsia="Calibri" w:hAnsi="Verdana" w:cs="Arial"/>
          <w:lang w:val="es-ES" w:eastAsia="es-ES"/>
        </w:rPr>
        <w:t xml:space="preserve">: </w:t>
      </w:r>
    </w:p>
    <w:p w14:paraId="571F6ECF" w14:textId="77777777" w:rsidR="008F0FE4" w:rsidRPr="00272A7B" w:rsidRDefault="008F0FE4" w:rsidP="008F0FE4">
      <w:pPr>
        <w:pStyle w:val="ListParagraph"/>
        <w:tabs>
          <w:tab w:val="left" w:pos="142"/>
          <w:tab w:val="left" w:pos="284"/>
        </w:tabs>
        <w:spacing w:after="0" w:line="276" w:lineRule="auto"/>
        <w:ind w:left="0"/>
        <w:jc w:val="both"/>
        <w:rPr>
          <w:rFonts w:ascii="Verdana" w:eastAsia="Century Gothic" w:hAnsi="Verdana" w:cs="Century Gothic"/>
          <w:b/>
          <w:bCs/>
        </w:rPr>
      </w:pPr>
    </w:p>
    <w:p w14:paraId="6BEAEE23" w14:textId="77777777" w:rsidR="008F0FE4" w:rsidRDefault="008F0FE4" w:rsidP="008F0FE4">
      <w:pPr>
        <w:spacing w:after="120" w:line="240" w:lineRule="auto"/>
        <w:ind w:left="709" w:right="709"/>
        <w:jc w:val="both"/>
        <w:rPr>
          <w:rFonts w:ascii="Verdana" w:hAnsi="Verdana"/>
          <w:sz w:val="20"/>
          <w:szCs w:val="20"/>
        </w:rPr>
      </w:pPr>
      <w:bookmarkStart w:id="0" w:name="_Hlk95313578"/>
      <w:r w:rsidRPr="00905599">
        <w:rPr>
          <w:rFonts w:ascii="Verdana" w:eastAsia="Century Gothic" w:hAnsi="Verdana" w:cs="Century Gothic"/>
          <w:sz w:val="20"/>
          <w:szCs w:val="20"/>
          <w:lang w:val="es-ES"/>
        </w:rPr>
        <w:t>“</w:t>
      </w:r>
      <w:bookmarkEnd w:id="0"/>
      <w:r w:rsidRPr="00DC00F4">
        <w:rPr>
          <w:rFonts w:ascii="Verdana" w:hAnsi="Verdana"/>
          <w:sz w:val="20"/>
          <w:szCs w:val="20"/>
        </w:rPr>
        <w:t>Cordial saludo. Agradezco dar claridad a las siguiente</w:t>
      </w:r>
      <w:r>
        <w:rPr>
          <w:rFonts w:ascii="Verdana" w:hAnsi="Verdana"/>
          <w:sz w:val="20"/>
          <w:szCs w:val="20"/>
        </w:rPr>
        <w:t>s</w:t>
      </w:r>
      <w:r w:rsidRPr="00DC00F4">
        <w:rPr>
          <w:rFonts w:ascii="Verdana" w:hAnsi="Verdana"/>
          <w:sz w:val="20"/>
          <w:szCs w:val="20"/>
        </w:rPr>
        <w:t xml:space="preserve"> inquietudes,</w:t>
      </w:r>
      <w:r>
        <w:rPr>
          <w:rFonts w:ascii="Verdana" w:hAnsi="Verdana"/>
          <w:sz w:val="20"/>
          <w:szCs w:val="20"/>
        </w:rPr>
        <w:t xml:space="preserve"> </w:t>
      </w:r>
      <w:r w:rsidRPr="00DC00F4">
        <w:rPr>
          <w:rFonts w:ascii="Verdana" w:hAnsi="Verdana"/>
          <w:sz w:val="20"/>
          <w:szCs w:val="20"/>
        </w:rPr>
        <w:t>relacionadas con la devolución de los rendimientos financieros</w:t>
      </w:r>
      <w:r>
        <w:rPr>
          <w:rFonts w:ascii="Verdana" w:hAnsi="Verdana"/>
          <w:sz w:val="20"/>
          <w:szCs w:val="20"/>
        </w:rPr>
        <w:t xml:space="preserve"> </w:t>
      </w:r>
      <w:r w:rsidRPr="00DC00F4">
        <w:rPr>
          <w:rFonts w:ascii="Verdana" w:hAnsi="Verdana"/>
          <w:sz w:val="20"/>
          <w:szCs w:val="20"/>
        </w:rPr>
        <w:t>generados por concepto de anticipos girados a contratos de prestación</w:t>
      </w:r>
      <w:r>
        <w:rPr>
          <w:rFonts w:ascii="Verdana" w:hAnsi="Verdana"/>
          <w:sz w:val="20"/>
          <w:szCs w:val="20"/>
        </w:rPr>
        <w:t xml:space="preserve"> </w:t>
      </w:r>
      <w:r w:rsidRPr="00DC00F4">
        <w:rPr>
          <w:rFonts w:ascii="Verdana" w:hAnsi="Verdana"/>
          <w:sz w:val="20"/>
          <w:szCs w:val="20"/>
        </w:rPr>
        <w:t>de servicios (persona natural). La consulta se realiza debido a que no</w:t>
      </w:r>
      <w:r>
        <w:rPr>
          <w:rFonts w:ascii="Verdana" w:hAnsi="Verdana"/>
          <w:sz w:val="20"/>
          <w:szCs w:val="20"/>
        </w:rPr>
        <w:t xml:space="preserve"> </w:t>
      </w:r>
      <w:r w:rsidRPr="00DC00F4">
        <w:rPr>
          <w:rFonts w:ascii="Verdana" w:hAnsi="Verdana"/>
          <w:sz w:val="20"/>
          <w:szCs w:val="20"/>
        </w:rPr>
        <w:t>existe claridad en la Ley 80/1993 ni en la Ley 1474/2011.</w:t>
      </w:r>
    </w:p>
    <w:p w14:paraId="2EBEA6FB" w14:textId="77777777" w:rsidR="008F0FE4" w:rsidRDefault="008F0FE4" w:rsidP="008F0FE4">
      <w:pPr>
        <w:spacing w:after="120" w:line="240" w:lineRule="auto"/>
        <w:ind w:left="709" w:right="709"/>
        <w:jc w:val="both"/>
        <w:rPr>
          <w:rFonts w:ascii="Verdana" w:hAnsi="Verdana"/>
          <w:sz w:val="20"/>
          <w:szCs w:val="20"/>
        </w:rPr>
      </w:pPr>
      <w:r w:rsidRPr="00DC00F4">
        <w:rPr>
          <w:rFonts w:ascii="Verdana" w:hAnsi="Verdana"/>
          <w:sz w:val="20"/>
          <w:szCs w:val="20"/>
        </w:rPr>
        <w:t>1. Los rendimientos financieros producto de los anticipos girados a los</w:t>
      </w:r>
      <w:r>
        <w:rPr>
          <w:rFonts w:ascii="Verdana" w:hAnsi="Verdana"/>
          <w:sz w:val="20"/>
          <w:szCs w:val="20"/>
        </w:rPr>
        <w:t xml:space="preserve"> </w:t>
      </w:r>
      <w:r w:rsidRPr="00DC00F4">
        <w:rPr>
          <w:rFonts w:ascii="Verdana" w:hAnsi="Verdana"/>
          <w:sz w:val="20"/>
          <w:szCs w:val="20"/>
        </w:rPr>
        <w:t>contratos de prestación de servicios como apoyos a la supervisión,</w:t>
      </w:r>
      <w:r>
        <w:rPr>
          <w:rFonts w:ascii="Verdana" w:hAnsi="Verdana"/>
          <w:sz w:val="20"/>
          <w:szCs w:val="20"/>
        </w:rPr>
        <w:t xml:space="preserve"> </w:t>
      </w:r>
      <w:r w:rsidRPr="00DC00F4">
        <w:rPr>
          <w:rFonts w:ascii="Verdana" w:hAnsi="Verdana"/>
          <w:sz w:val="20"/>
          <w:szCs w:val="20"/>
        </w:rPr>
        <w:t>¿deben ser reintegrados a la entidad que les dio origen?</w:t>
      </w:r>
    </w:p>
    <w:p w14:paraId="6318C52C" w14:textId="77777777" w:rsidR="008F0FE4" w:rsidRDefault="008F0FE4" w:rsidP="008F0FE4">
      <w:pPr>
        <w:spacing w:after="120" w:line="240" w:lineRule="auto"/>
        <w:ind w:left="709" w:right="709"/>
        <w:jc w:val="both"/>
        <w:rPr>
          <w:rFonts w:ascii="Verdana" w:hAnsi="Verdana"/>
          <w:sz w:val="20"/>
          <w:szCs w:val="20"/>
        </w:rPr>
      </w:pPr>
      <w:r w:rsidRPr="00DC00F4">
        <w:rPr>
          <w:rFonts w:ascii="Verdana" w:hAnsi="Verdana"/>
          <w:sz w:val="20"/>
          <w:szCs w:val="20"/>
        </w:rPr>
        <w:t xml:space="preserve">2. ¿Qué normatividad o jurisprudencia específica respalda el concepto? </w:t>
      </w:r>
    </w:p>
    <w:p w14:paraId="48510898" w14:textId="77777777" w:rsidR="008F0FE4" w:rsidRDefault="008F0FE4" w:rsidP="008F0FE4">
      <w:pPr>
        <w:spacing w:after="120" w:line="240" w:lineRule="auto"/>
        <w:ind w:left="709" w:right="709"/>
        <w:jc w:val="both"/>
        <w:rPr>
          <w:rFonts w:ascii="Verdana" w:hAnsi="Verdana"/>
          <w:sz w:val="20"/>
          <w:szCs w:val="20"/>
        </w:rPr>
      </w:pPr>
      <w:r w:rsidRPr="00DC00F4">
        <w:rPr>
          <w:rFonts w:ascii="Verdana" w:hAnsi="Verdana"/>
          <w:sz w:val="20"/>
          <w:szCs w:val="20"/>
        </w:rPr>
        <w:t>3. Los contratistas (personas narurales), ¿deben abrir una cuenta</w:t>
      </w:r>
      <w:r>
        <w:rPr>
          <w:rFonts w:ascii="Verdana" w:hAnsi="Verdana"/>
          <w:sz w:val="20"/>
          <w:szCs w:val="20"/>
        </w:rPr>
        <w:t xml:space="preserve"> </w:t>
      </w:r>
      <w:r w:rsidRPr="00DC00F4">
        <w:rPr>
          <w:rFonts w:ascii="Verdana" w:hAnsi="Verdana"/>
          <w:sz w:val="20"/>
          <w:szCs w:val="20"/>
        </w:rPr>
        <w:t>bancaria específica para el manejo de estos recursos?</w:t>
      </w:r>
    </w:p>
    <w:p w14:paraId="67C3805D" w14:textId="77777777" w:rsidR="008F0FE4" w:rsidRPr="00905599" w:rsidRDefault="008F0FE4" w:rsidP="008F0FE4">
      <w:pPr>
        <w:spacing w:after="120" w:line="240" w:lineRule="auto"/>
        <w:ind w:left="709" w:right="709"/>
        <w:jc w:val="both"/>
        <w:rPr>
          <w:rFonts w:ascii="Verdana" w:eastAsia="Century Gothic" w:hAnsi="Verdana" w:cs="Century Gothic"/>
          <w:sz w:val="20"/>
          <w:szCs w:val="20"/>
        </w:rPr>
      </w:pPr>
      <w:r w:rsidRPr="00DC00F4">
        <w:rPr>
          <w:rFonts w:ascii="Verdana" w:hAnsi="Verdana"/>
          <w:sz w:val="20"/>
          <w:szCs w:val="20"/>
        </w:rPr>
        <w:t>4. ¿El concepto aplica si la entidad contratante de los recursos públicos</w:t>
      </w:r>
      <w:r>
        <w:rPr>
          <w:rFonts w:ascii="Verdana" w:hAnsi="Verdana"/>
          <w:sz w:val="20"/>
          <w:szCs w:val="20"/>
        </w:rPr>
        <w:t xml:space="preserve"> </w:t>
      </w:r>
      <w:r w:rsidRPr="00DC00F4">
        <w:rPr>
          <w:rFonts w:ascii="Verdana" w:hAnsi="Verdana"/>
          <w:sz w:val="20"/>
          <w:szCs w:val="20"/>
        </w:rPr>
        <w:t>es un Fondo Mixto?</w:t>
      </w:r>
      <w:r w:rsidRPr="00905599">
        <w:rPr>
          <w:rFonts w:ascii="Verdana" w:eastAsia="Century Gothic" w:hAnsi="Verdana" w:cs="Century Gothic"/>
          <w:sz w:val="20"/>
          <w:szCs w:val="20"/>
        </w:rPr>
        <w:t>”</w:t>
      </w:r>
    </w:p>
    <w:p w14:paraId="5220651F" w14:textId="77777777" w:rsidR="008F0FE4" w:rsidRPr="008E6AD9" w:rsidRDefault="008F0FE4" w:rsidP="008F0FE4">
      <w:pPr>
        <w:pStyle w:val="ListParagraph"/>
        <w:tabs>
          <w:tab w:val="left" w:pos="142"/>
          <w:tab w:val="left" w:pos="284"/>
        </w:tabs>
        <w:spacing w:after="0" w:line="276" w:lineRule="auto"/>
        <w:ind w:left="0"/>
        <w:jc w:val="both"/>
        <w:rPr>
          <w:rFonts w:ascii="Verdana" w:eastAsia="Century Gothic" w:hAnsi="Verdana" w:cs="Century Gothic"/>
          <w:b/>
          <w:bCs/>
        </w:rPr>
      </w:pPr>
    </w:p>
    <w:p w14:paraId="3FD44156" w14:textId="77777777" w:rsidR="008F0FE4" w:rsidRPr="00A652FF" w:rsidRDefault="008F0FE4" w:rsidP="008F0FE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CDB495F" w14:textId="77777777" w:rsidR="008F0FE4" w:rsidRDefault="008F0FE4" w:rsidP="008F0FE4">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39AA625" w14:textId="77777777" w:rsidR="008F0FE4" w:rsidRPr="00593A5F" w:rsidRDefault="008F0FE4" w:rsidP="008F0FE4">
      <w:pPr>
        <w:spacing w:after="0" w:line="276" w:lineRule="auto"/>
        <w:ind w:firstLine="709"/>
        <w:jc w:val="both"/>
        <w:rPr>
          <w:rFonts w:ascii="Verdana" w:eastAsia="Calibri" w:hAnsi="Verdana" w:cs="Arial"/>
          <w:color w:val="000000"/>
          <w:lang w:val="es-ES" w:eastAsia="es-ES"/>
        </w:rPr>
      </w:pPr>
    </w:p>
    <w:p w14:paraId="2EE48ABF" w14:textId="77777777" w:rsidR="008F0FE4" w:rsidRPr="00593A5F" w:rsidRDefault="008F0FE4" w:rsidP="008F0FE4">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0AB88CC" w14:textId="77777777" w:rsidR="008F0FE4" w:rsidRPr="00593A5F" w:rsidRDefault="008F0FE4" w:rsidP="008F0FE4">
      <w:pPr>
        <w:tabs>
          <w:tab w:val="left" w:pos="426"/>
        </w:tabs>
        <w:spacing w:after="0" w:line="276" w:lineRule="auto"/>
        <w:jc w:val="both"/>
        <w:rPr>
          <w:rFonts w:ascii="Verdana" w:eastAsia="Century Gothic" w:hAnsi="Verdana" w:cs="Century Gothic"/>
          <w:lang w:val="es-ES"/>
        </w:rPr>
      </w:pPr>
    </w:p>
    <w:p w14:paraId="09636358" w14:textId="218B7947" w:rsidR="00FC5F6B" w:rsidRPr="00FC5F6B" w:rsidRDefault="008F0FE4" w:rsidP="00FC5F6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906BE9">
        <w:rPr>
          <w:rFonts w:ascii="Verdana" w:eastAsia="Century Gothic" w:hAnsi="Verdana" w:cs="Century Gothic"/>
        </w:rPr>
        <w:t>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411C6D">
        <w:rPr>
          <w:rFonts w:ascii="Verdana" w:eastAsia="Century Gothic" w:hAnsi="Verdana" w:cs="Century Gothic"/>
        </w:rPr>
        <w:t>¿</w:t>
      </w:r>
      <w:r w:rsidR="00FC5F6B" w:rsidRPr="00FC5F6B">
        <w:rPr>
          <w:rFonts w:ascii="Verdana" w:eastAsia="Century Gothic" w:hAnsi="Verdana" w:cs="Century Gothic"/>
        </w:rPr>
        <w:t>Cuál es el régimen jurídico aplicable al anticipo pactado en un contrato de prestación de servicios celebrado por un Fondo Mixto y, en particular, cuál debe ser el manejo de los recursos entregados por este concepto y de los rendimientos financieros que lleguen a generarse?</w:t>
      </w:r>
    </w:p>
    <w:p w14:paraId="1FABB18F" w14:textId="0285FFE2" w:rsidR="008F0FE4" w:rsidRPr="00593A5F" w:rsidRDefault="008F0FE4" w:rsidP="008F0FE4">
      <w:pPr>
        <w:spacing w:after="0" w:line="276" w:lineRule="auto"/>
        <w:jc w:val="both"/>
        <w:rPr>
          <w:rFonts w:ascii="Verdana" w:eastAsia="Century Gothic" w:hAnsi="Verdana" w:cs="Century Gothic"/>
        </w:rPr>
      </w:pPr>
    </w:p>
    <w:p w14:paraId="18C77E50" w14:textId="77777777" w:rsidR="008F0FE4" w:rsidRPr="004B140F" w:rsidRDefault="008F0FE4" w:rsidP="008F0FE4">
      <w:pPr>
        <w:spacing w:after="0" w:line="276" w:lineRule="auto"/>
        <w:jc w:val="both"/>
        <w:rPr>
          <w:rFonts w:ascii="Verdana" w:eastAsia="Calibri" w:hAnsi="Verdana" w:cs="Arial"/>
          <w:color w:val="7030A0"/>
        </w:rPr>
      </w:pPr>
    </w:p>
    <w:p w14:paraId="384581DA" w14:textId="77777777" w:rsidR="008F0FE4" w:rsidRPr="00593A5F" w:rsidRDefault="008F0FE4" w:rsidP="008F0FE4">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D936A46" w14:textId="77777777" w:rsidR="008F0FE4" w:rsidRPr="00593A5F" w:rsidRDefault="008F0FE4" w:rsidP="008F0FE4">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F0FE4" w:rsidRPr="00593A5F" w14:paraId="30217D16" w14:textId="77777777">
        <w:trPr>
          <w:jc w:val="center"/>
        </w:trPr>
        <w:tc>
          <w:tcPr>
            <w:tcW w:w="8828" w:type="dxa"/>
          </w:tcPr>
          <w:p w14:paraId="7B60F6B6" w14:textId="1EDBCCA9" w:rsidR="008F0FE4" w:rsidRDefault="008F0FE4">
            <w:pPr>
              <w:spacing w:after="120" w:line="276" w:lineRule="auto"/>
              <w:jc w:val="both"/>
              <w:rPr>
                <w:rFonts w:ascii="Verdana" w:hAnsi="Verdana" w:cs="Arial"/>
                <w:color w:val="000000" w:themeColor="text1"/>
                <w:lang w:val="es-ES"/>
              </w:rPr>
            </w:pPr>
            <w:bookmarkStart w:id="1" w:name="_Hlk171694685"/>
            <w:r>
              <w:rPr>
                <w:rFonts w:ascii="Verdana" w:hAnsi="Verdana" w:cs="Arial"/>
                <w:color w:val="000000" w:themeColor="text1"/>
                <w:lang w:val="es-ES"/>
              </w:rPr>
              <w:t>E</w:t>
            </w:r>
            <w:r w:rsidRPr="00326D28">
              <w:rPr>
                <w:rFonts w:ascii="Verdana" w:hAnsi="Verdana" w:cs="Arial"/>
                <w:color w:val="000000" w:themeColor="text1"/>
                <w:lang w:val="es-ES"/>
              </w:rPr>
              <w:t xml:space="preserve">l artículo 91 de la Ley 1474 de 2011 consagra una regla especial para el manejo </w:t>
            </w:r>
            <w:r w:rsidR="00300226">
              <w:rPr>
                <w:rFonts w:ascii="Verdana" w:hAnsi="Verdana" w:cs="Arial"/>
                <w:color w:val="000000" w:themeColor="text1"/>
                <w:lang w:val="es-ES"/>
              </w:rPr>
              <w:t>de los recursos entregados</w:t>
            </w:r>
            <w:r w:rsidR="000423C1">
              <w:rPr>
                <w:rFonts w:ascii="Verdana" w:hAnsi="Verdana" w:cs="Arial"/>
                <w:color w:val="000000" w:themeColor="text1"/>
                <w:lang w:val="es-ES"/>
              </w:rPr>
              <w:t xml:space="preserve"> a título</w:t>
            </w:r>
            <w:r w:rsidRPr="00326D28">
              <w:rPr>
                <w:rFonts w:ascii="Verdana" w:hAnsi="Verdana" w:cs="Arial"/>
                <w:color w:val="000000" w:themeColor="text1"/>
                <w:lang w:val="es-ES"/>
              </w:rPr>
              <w:t xml:space="preserve"> del anticipo</w:t>
            </w:r>
            <w:r w:rsidR="000423C1">
              <w:rPr>
                <w:rFonts w:ascii="Verdana" w:hAnsi="Verdana" w:cs="Arial"/>
                <w:color w:val="000000" w:themeColor="text1"/>
                <w:lang w:val="es-ES"/>
              </w:rPr>
              <w:t xml:space="preserve"> en determinados contratos estatales</w:t>
            </w:r>
            <w:r w:rsidRPr="00326D28">
              <w:rPr>
                <w:rFonts w:ascii="Verdana" w:hAnsi="Verdana" w:cs="Arial"/>
                <w:color w:val="000000" w:themeColor="text1"/>
                <w:lang w:val="es-ES"/>
              </w:rPr>
              <w:t>.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w:t>
            </w:r>
            <w:r w:rsidR="00F90765">
              <w:rPr>
                <w:rFonts w:ascii="Verdana" w:hAnsi="Verdana" w:cs="Arial"/>
                <w:color w:val="000000" w:themeColor="text1"/>
                <w:lang w:val="es-ES"/>
              </w:rPr>
              <w:t xml:space="preserve"> para la administración de dichos recursos</w:t>
            </w:r>
            <w:r>
              <w:rPr>
                <w:rFonts w:ascii="Verdana" w:hAnsi="Verdana" w:cs="Arial"/>
                <w:color w:val="000000" w:themeColor="text1"/>
                <w:lang w:val="es-ES"/>
              </w:rPr>
              <w:t xml:space="preserve">. </w:t>
            </w:r>
          </w:p>
          <w:p w14:paraId="51E5AAEA" w14:textId="40F3F2EF" w:rsidR="008F0FE4" w:rsidRDefault="008F0FE4">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En </w:t>
            </w:r>
            <w:r w:rsidRPr="00810F8E">
              <w:rPr>
                <w:rFonts w:ascii="Verdana" w:eastAsia="Calibri" w:hAnsi="Verdana" w:cs="Arial"/>
                <w:bCs/>
                <w:color w:val="000000" w:themeColor="text1"/>
                <w:lang w:val="es-ES_tradnl"/>
              </w:rPr>
              <w:t>ese</w:t>
            </w:r>
            <w:r>
              <w:rPr>
                <w:rFonts w:ascii="Verdana" w:eastAsia="Calibri" w:hAnsi="Verdana" w:cs="Arial"/>
                <w:bCs/>
                <w:color w:val="000000" w:themeColor="text1"/>
              </w:rPr>
              <w:t xml:space="preserve"> sentido, </w:t>
            </w:r>
            <w:r w:rsidR="00ED5CF3">
              <w:rPr>
                <w:rFonts w:ascii="Verdana" w:eastAsia="Calibri" w:hAnsi="Verdana" w:cs="Arial"/>
                <w:bCs/>
                <w:color w:val="000000" w:themeColor="text1"/>
              </w:rPr>
              <w:t>tratándose</w:t>
            </w:r>
            <w:r>
              <w:rPr>
                <w:rFonts w:ascii="Verdana" w:eastAsia="Calibri" w:hAnsi="Verdana" w:cs="Arial"/>
                <w:bCs/>
                <w:color w:val="000000" w:themeColor="text1"/>
              </w:rPr>
              <w:t xml:space="preserve"> de contrato</w:t>
            </w:r>
            <w:r w:rsidR="00ED5CF3">
              <w:rPr>
                <w:rFonts w:ascii="Verdana" w:eastAsia="Calibri" w:hAnsi="Verdana" w:cs="Arial"/>
                <w:bCs/>
                <w:color w:val="000000" w:themeColor="text1"/>
              </w:rPr>
              <w:t>s</w:t>
            </w:r>
            <w:r>
              <w:rPr>
                <w:rFonts w:ascii="Verdana" w:eastAsia="Calibri" w:hAnsi="Verdana" w:cs="Arial"/>
                <w:bCs/>
                <w:color w:val="000000" w:themeColor="text1"/>
              </w:rPr>
              <w:t xml:space="preserve"> de prestación de servicios</w:t>
            </w:r>
            <w:r w:rsidR="007050CE">
              <w:rPr>
                <w:rFonts w:ascii="Verdana" w:eastAsia="Calibri" w:hAnsi="Verdana" w:cs="Arial"/>
                <w:bCs/>
                <w:color w:val="000000" w:themeColor="text1"/>
              </w:rPr>
              <w:t xml:space="preserve"> dicha obligación no resulta aplicable por mandato legal. No obstante, ello no significa que </w:t>
            </w:r>
            <w:r w:rsidR="00E32974">
              <w:rPr>
                <w:rFonts w:ascii="Verdana" w:eastAsia="Calibri" w:hAnsi="Verdana" w:cs="Arial"/>
                <w:bCs/>
                <w:color w:val="000000" w:themeColor="text1"/>
              </w:rPr>
              <w:t xml:space="preserve">la </w:t>
            </w:r>
            <w:r w:rsidR="00A03FB2">
              <w:rPr>
                <w:rFonts w:ascii="Verdana" w:eastAsia="Calibri" w:hAnsi="Verdana" w:cs="Arial"/>
                <w:bCs/>
                <w:color w:val="000000" w:themeColor="text1"/>
              </w:rPr>
              <w:t xml:space="preserve">administración del anticipo </w:t>
            </w:r>
            <w:r w:rsidR="008122C7">
              <w:rPr>
                <w:rFonts w:ascii="Verdana" w:eastAsia="Calibri" w:hAnsi="Verdana" w:cs="Arial"/>
                <w:bCs/>
                <w:color w:val="000000" w:themeColor="text1"/>
              </w:rPr>
              <w:t xml:space="preserve">quede desprovista de regulación. Por el contario, </w:t>
            </w:r>
            <w:r>
              <w:rPr>
                <w:rFonts w:ascii="Verdana" w:eastAsia="Calibri" w:hAnsi="Verdana" w:cs="Arial"/>
                <w:bCs/>
                <w:color w:val="000000" w:themeColor="text1"/>
              </w:rPr>
              <w:t>las reglas para el manejo del anticipo deben ser pactadas en el contrato y en los Documentos del Proceso</w:t>
            </w:r>
            <w:r>
              <w:rPr>
                <w:rFonts w:ascii="Verdana" w:hAnsi="Verdana" w:cs="Arial"/>
                <w:color w:val="000000" w:themeColor="text1"/>
                <w:lang w:val="es-ES"/>
              </w:rPr>
              <w:t xml:space="preserve">. Por tanto, es en el contrato de </w:t>
            </w:r>
            <w:r>
              <w:rPr>
                <w:rFonts w:ascii="Verdana" w:eastAsia="Calibri" w:hAnsi="Verdana" w:cs="Arial"/>
                <w:bCs/>
                <w:color w:val="000000" w:themeColor="text1"/>
              </w:rPr>
              <w:t xml:space="preserve">prestación de servicios y en los Documentos del Proceso donde se debe definir cómo se manejará el anticipo, si en una cuenta bancaria, fiducia, patrimonio autónomo irrevocable u otras formas, </w:t>
            </w:r>
            <w:r w:rsidR="00096422">
              <w:rPr>
                <w:rFonts w:ascii="Verdana" w:eastAsia="Calibri" w:hAnsi="Verdana" w:cs="Arial"/>
                <w:bCs/>
                <w:color w:val="000000" w:themeColor="text1"/>
              </w:rPr>
              <w:t xml:space="preserve">así como los mecanismos necesarios para </w:t>
            </w:r>
            <w:r w:rsidR="00403E84">
              <w:rPr>
                <w:rFonts w:ascii="Verdana" w:eastAsia="Calibri" w:hAnsi="Verdana" w:cs="Arial"/>
                <w:bCs/>
                <w:color w:val="000000" w:themeColor="text1"/>
              </w:rPr>
              <w:t xml:space="preserve">garantizar su adecuada inversión, control y amortización. </w:t>
            </w:r>
          </w:p>
          <w:p w14:paraId="72DAA427" w14:textId="77777777" w:rsidR="008F0FE4" w:rsidRDefault="008F0FE4">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Así pues, </w:t>
            </w:r>
            <w:r w:rsidRPr="003B2F99">
              <w:rPr>
                <w:rFonts w:ascii="Verdana" w:hAnsi="Verdana" w:cs="Arial"/>
                <w:color w:val="000000" w:themeColor="text1"/>
              </w:rPr>
              <w:t>las condiciones relativas a la entrega y administración del anticipo deben estar incorporadas en el contrato estatal y</w:t>
            </w:r>
            <w:r>
              <w:rPr>
                <w:rFonts w:ascii="Verdana" w:hAnsi="Verdana" w:cs="Arial"/>
                <w:color w:val="000000" w:themeColor="text1"/>
              </w:rPr>
              <w:t xml:space="preserve"> </w:t>
            </w:r>
            <w:r w:rsidRPr="003B2F99">
              <w:rPr>
                <w:rFonts w:ascii="Verdana" w:hAnsi="Verdana" w:cs="Arial"/>
                <w:color w:val="000000" w:themeColor="text1"/>
              </w:rPr>
              <w:t xml:space="preserve">deben ser conocidas previamente por las partes durante </w:t>
            </w:r>
            <w:r>
              <w:rPr>
                <w:rFonts w:ascii="Verdana" w:hAnsi="Verdana" w:cs="Arial"/>
                <w:color w:val="000000" w:themeColor="text1"/>
              </w:rPr>
              <w:t xml:space="preserve">la contratación, por lo que </w:t>
            </w:r>
            <w:r w:rsidRPr="003B2F99">
              <w:rPr>
                <w:rFonts w:ascii="Verdana" w:hAnsi="Verdana" w:cs="Arial"/>
                <w:color w:val="000000" w:themeColor="text1"/>
              </w:rPr>
              <w:t xml:space="preserve">deben estar consignadas de manera clara y expresa en los </w:t>
            </w:r>
            <w:r>
              <w:rPr>
                <w:rFonts w:ascii="Verdana" w:hAnsi="Verdana" w:cs="Arial"/>
                <w:color w:val="000000" w:themeColor="text1"/>
              </w:rPr>
              <w:t>Documentos del Proceso</w:t>
            </w:r>
            <w:r w:rsidRPr="003B2F99">
              <w:rPr>
                <w:rFonts w:ascii="Verdana" w:hAnsi="Verdana" w:cs="Arial"/>
                <w:color w:val="000000" w:themeColor="text1"/>
              </w:rPr>
              <w:t>.</w:t>
            </w:r>
            <w:r>
              <w:rPr>
                <w:rFonts w:ascii="Verdana" w:hAnsi="Verdana" w:cs="Arial"/>
                <w:color w:val="000000" w:themeColor="text1"/>
              </w:rPr>
              <w:t xml:space="preserve"> En tal sentido, lo relevante es que las condiciones sobre la administración del anticipo </w:t>
            </w:r>
            <w:r w:rsidRPr="00652C63">
              <w:rPr>
                <w:rFonts w:ascii="Verdana" w:hAnsi="Verdana" w:cs="Arial"/>
                <w:color w:val="000000" w:themeColor="text1"/>
              </w:rPr>
              <w:t>hayan sido previamente determinadas y puestas en conocimiento de</w:t>
            </w:r>
            <w:r>
              <w:rPr>
                <w:rFonts w:ascii="Verdana" w:hAnsi="Verdana" w:cs="Arial"/>
                <w:color w:val="000000" w:themeColor="text1"/>
              </w:rPr>
              <w:t xml:space="preserve">l contratista </w:t>
            </w:r>
            <w:r w:rsidRPr="00652C63">
              <w:rPr>
                <w:rFonts w:ascii="Verdana" w:hAnsi="Verdana" w:cs="Arial"/>
                <w:color w:val="000000" w:themeColor="text1"/>
              </w:rPr>
              <w:t>durante la etapa precontractual</w:t>
            </w:r>
            <w:r>
              <w:rPr>
                <w:rFonts w:ascii="Verdana" w:hAnsi="Verdana" w:cs="Arial"/>
                <w:color w:val="000000" w:themeColor="text1"/>
              </w:rPr>
              <w:t>.</w:t>
            </w:r>
          </w:p>
          <w:p w14:paraId="38651F71" w14:textId="340738E4" w:rsidR="008F5D25" w:rsidRPr="008F5D25" w:rsidRDefault="008F5D25" w:rsidP="008F5D25">
            <w:pPr>
              <w:spacing w:after="120" w:line="276" w:lineRule="auto"/>
              <w:ind w:firstLine="709"/>
              <w:jc w:val="both"/>
              <w:rPr>
                <w:rFonts w:ascii="Verdana" w:hAnsi="Verdana" w:cs="Arial"/>
                <w:color w:val="000000" w:themeColor="text1"/>
              </w:rPr>
            </w:pPr>
            <w:r w:rsidRPr="008F5D25">
              <w:rPr>
                <w:rFonts w:ascii="Verdana" w:hAnsi="Verdana" w:cs="Arial"/>
                <w:color w:val="000000" w:themeColor="text1"/>
              </w:rPr>
              <w:t xml:space="preserve">Ahora bien, en relación con los rendimientos financieros que eventualmente se generen, debe tenerse en cuenta que la jurisprudencia y la doctrina han señalado que los recursos entregados a título de anticipo no ingresan inmediatamente al patrimonio del contratista, sino que conservan su naturaleza de recursos de la entidad contratante hasta su amortización. Por esta razón, los rendimientos financieros producidos por tales recursos pertenecen, en principio, al propietario del capital que los genera, esto es, a la entidad contratante, razón por la cual procede su reintegro, salvo que exista una disposición legal especial que establezca una regla diferente para el caso concreto. </w:t>
            </w:r>
          </w:p>
          <w:p w14:paraId="48D86181" w14:textId="5073EED5" w:rsidR="008F0FE4" w:rsidRPr="00474617" w:rsidRDefault="008F0FE4">
            <w:pPr>
              <w:spacing w:after="120" w:line="276" w:lineRule="auto"/>
              <w:ind w:firstLine="709"/>
              <w:jc w:val="both"/>
              <w:rPr>
                <w:rFonts w:ascii="Verdana" w:hAnsi="Verdana" w:cs="Arial"/>
                <w:color w:val="000000" w:themeColor="text1"/>
              </w:rPr>
            </w:pPr>
            <w:r>
              <w:rPr>
                <w:rFonts w:ascii="Verdana" w:hAnsi="Verdana" w:cs="Arial"/>
                <w:color w:val="000000" w:themeColor="text1"/>
              </w:rPr>
              <w:t>Por último, sobre su pregunta del manejo del anticipo cuando se trata de un fondo mixto</w:t>
            </w:r>
            <w:r w:rsidR="007A52C1">
              <w:rPr>
                <w:rFonts w:ascii="Verdana" w:hAnsi="Verdana" w:cs="Arial"/>
                <w:color w:val="000000" w:themeColor="text1"/>
              </w:rPr>
              <w:t xml:space="preserve"> </w:t>
            </w:r>
            <w:r w:rsidR="00250962">
              <w:rPr>
                <w:rFonts w:ascii="Verdana" w:hAnsi="Verdana" w:cs="Arial"/>
                <w:color w:val="000000" w:themeColor="text1"/>
              </w:rPr>
              <w:t xml:space="preserve">la respuesta dependerá del régimen jurídico aplicable a la entidad y de la naturaleza de los recursos administrados. </w:t>
            </w:r>
            <w:r w:rsidR="00AC5BA1">
              <w:rPr>
                <w:rFonts w:ascii="Verdana" w:hAnsi="Verdana" w:cs="Arial"/>
                <w:color w:val="000000" w:themeColor="text1"/>
              </w:rPr>
              <w:t xml:space="preserve">Así las cosas, cuando el fondo mixto tenga la condición de entidad sometida al Estatuto General de Contratación de la Administración Pública </w:t>
            </w:r>
            <w:r w:rsidR="00D971E3">
              <w:rPr>
                <w:rFonts w:ascii="Verdana" w:hAnsi="Verdana" w:cs="Arial"/>
                <w:color w:val="000000" w:themeColor="text1"/>
              </w:rPr>
              <w:t xml:space="preserve">– en adelante EGCAP -, </w:t>
            </w:r>
            <w:r>
              <w:rPr>
                <w:rFonts w:ascii="Verdana" w:hAnsi="Verdana" w:cs="Arial"/>
                <w:color w:val="000000" w:themeColor="text1"/>
              </w:rPr>
              <w:t xml:space="preserve">lo señalado anteriormente </w:t>
            </w:r>
            <w:r w:rsidR="00D971E3">
              <w:rPr>
                <w:rFonts w:ascii="Verdana" w:hAnsi="Verdana" w:cs="Arial"/>
                <w:color w:val="000000" w:themeColor="text1"/>
              </w:rPr>
              <w:t xml:space="preserve">resulta aplicable </w:t>
            </w:r>
            <w:r w:rsidR="00371E49">
              <w:rPr>
                <w:rFonts w:ascii="Verdana" w:hAnsi="Verdana" w:cs="Arial"/>
                <w:color w:val="000000" w:themeColor="text1"/>
              </w:rPr>
              <w:t xml:space="preserve">respecto del manejo del anticipo. </w:t>
            </w:r>
            <w:r>
              <w:rPr>
                <w:rFonts w:ascii="Verdana" w:hAnsi="Verdana" w:cs="Arial"/>
                <w:color w:val="000000" w:themeColor="text1"/>
              </w:rPr>
              <w:t>L</w:t>
            </w:r>
            <w:r w:rsidRPr="00F14C2B">
              <w:rPr>
                <w:rFonts w:ascii="Verdana" w:hAnsi="Verdana" w:cs="Arial"/>
                <w:color w:val="000000" w:themeColor="text1"/>
              </w:rPr>
              <w:t>as entidades descentralizadas indirectas en las que el Estado tenga una participación minoritaria no se encuadran en la definición de Entidades Estatales sometidas al EGCAP, de conformidad con lo establecido en el numeral 1 del artículo 2 de la Ley 80 de 1993, por lo que su contratación no está regida por dicho cuerpo normativo y se someterá al derecho privado, a sus normas de creación y manuales de contratación.</w:t>
            </w:r>
            <w:r w:rsidR="00307E4E">
              <w:rPr>
                <w:rFonts w:ascii="Verdana" w:hAnsi="Verdana" w:cs="Arial"/>
                <w:color w:val="000000" w:themeColor="text1"/>
              </w:rPr>
              <w:t xml:space="preserve"> </w:t>
            </w:r>
            <w:r w:rsidR="00307E4E" w:rsidRPr="00307E4E">
              <w:rPr>
                <w:rFonts w:ascii="Verdana" w:hAnsi="Verdana" w:cs="Arial"/>
                <w:color w:val="000000" w:themeColor="text1"/>
              </w:rPr>
              <w:t>En todo caso, para efectos de determinar la titularidad de los rendimientos financieros, adquiere especial relevancia establecer si los recursos entregados a título de anticipo corresponden a recursos públicos, pues la doctrina del Consejo de Estado ha señalado que los rendimientos financieros siguen la suerte del capital que los produce.</w:t>
            </w:r>
          </w:p>
        </w:tc>
      </w:tr>
    </w:tbl>
    <w:p w14:paraId="0FC88C10" w14:textId="77777777" w:rsidR="008F0FE4" w:rsidRPr="00593A5F" w:rsidRDefault="008F0FE4" w:rsidP="008F0FE4">
      <w:pPr>
        <w:tabs>
          <w:tab w:val="left" w:pos="142"/>
          <w:tab w:val="left" w:pos="284"/>
        </w:tabs>
        <w:spacing w:after="0" w:line="276" w:lineRule="auto"/>
        <w:jc w:val="both"/>
        <w:rPr>
          <w:rFonts w:ascii="Verdana" w:eastAsia="Century Gothic" w:hAnsi="Verdana" w:cs="Century Gothic"/>
          <w:b/>
          <w:bCs/>
          <w:lang w:val="es-ES"/>
        </w:rPr>
      </w:pPr>
    </w:p>
    <w:bookmarkEnd w:id="1"/>
    <w:p w14:paraId="1BB1F7D7" w14:textId="77777777" w:rsidR="008F0FE4" w:rsidRPr="00593A5F" w:rsidRDefault="008F0FE4" w:rsidP="008F0FE4">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57DA529" w14:textId="77777777" w:rsidR="008F0FE4" w:rsidRPr="00593A5F" w:rsidRDefault="008F0FE4" w:rsidP="008F0FE4">
      <w:pPr>
        <w:spacing w:after="0" w:line="276" w:lineRule="auto"/>
        <w:jc w:val="both"/>
        <w:rPr>
          <w:rFonts w:ascii="Verdana" w:eastAsia="Calibri" w:hAnsi="Verdana" w:cs="Arial"/>
          <w:color w:val="7030A0"/>
          <w:lang w:val="es-ES"/>
        </w:rPr>
      </w:pPr>
    </w:p>
    <w:p w14:paraId="1035D643" w14:textId="77777777" w:rsidR="008F0FE4" w:rsidRDefault="008F0FE4" w:rsidP="008F0FE4">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C697CF0" w14:textId="77777777" w:rsidR="008F0FE4" w:rsidRDefault="008F0FE4" w:rsidP="008F0FE4">
      <w:pPr>
        <w:spacing w:after="0" w:line="276" w:lineRule="auto"/>
        <w:jc w:val="both"/>
        <w:rPr>
          <w:rFonts w:ascii="Verdana" w:eastAsia="Calibri" w:hAnsi="Verdana" w:cs="Arial"/>
          <w:lang w:val="es-ES"/>
        </w:rPr>
      </w:pPr>
    </w:p>
    <w:p w14:paraId="75EAF0A8" w14:textId="3A6F60F9" w:rsidR="008F0FE4" w:rsidRPr="00326D28" w:rsidRDefault="008F0FE4" w:rsidP="008F0FE4">
      <w:pPr>
        <w:tabs>
          <w:tab w:val="left" w:pos="0"/>
        </w:tabs>
        <w:spacing w:after="120" w:line="276" w:lineRule="auto"/>
        <w:jc w:val="both"/>
        <w:rPr>
          <w:rFonts w:ascii="Verdana" w:hAnsi="Verdana" w:cs="Arial"/>
          <w:color w:val="000000" w:themeColor="text1"/>
        </w:rPr>
      </w:pPr>
      <w:r w:rsidRPr="00326D28">
        <w:rPr>
          <w:rFonts w:ascii="Verdana" w:hAnsi="Verdana" w:cs="Arial"/>
          <w:lang w:val="es-ES_tradnl"/>
        </w:rPr>
        <w:t xml:space="preserve">i. </w:t>
      </w:r>
      <w:r w:rsidRPr="00326D28">
        <w:rPr>
          <w:rFonts w:ascii="Verdana" w:eastAsia="Calibri" w:hAnsi="Verdana" w:cs="Arial"/>
          <w:color w:val="000000"/>
          <w:lang w:eastAsia="en-GB"/>
        </w:rPr>
        <w:t>En materia de contratación pública, la figura del anticipo está prevista en dos (2) normas: el</w:t>
      </w:r>
      <w:r w:rsidRPr="00326D28">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w:t>
      </w:r>
      <w:r w:rsidR="008956F7">
        <w:rPr>
          <w:rFonts w:ascii="Verdana" w:hAnsi="Verdana" w:cs="Arial"/>
          <w:color w:val="000000" w:themeColor="text1"/>
        </w:rPr>
        <w:t xml:space="preserve"> – en adelante EGCAP</w:t>
      </w:r>
      <w:r w:rsidRPr="00326D28">
        <w:rPr>
          <w:rFonts w:ascii="Verdana" w:hAnsi="Verdana" w:cs="Arial"/>
          <w:color w:val="000000" w:themeColor="text1"/>
        </w:rPr>
        <w:t>, se dispone la posibilidad de pactar anticipos en los contratos, pero sujeto a determinadas limitaciones. En efecto, la norma prescribe que</w:t>
      </w:r>
      <w:r w:rsidR="000C0AAA">
        <w:rPr>
          <w:rFonts w:ascii="Verdana" w:hAnsi="Verdana" w:cs="Arial"/>
          <w:color w:val="000000" w:themeColor="text1"/>
        </w:rPr>
        <w:t>:</w:t>
      </w:r>
      <w:r w:rsidRPr="00326D28">
        <w:rPr>
          <w:rFonts w:ascii="Verdana" w:hAnsi="Verdana" w:cs="Arial"/>
          <w:color w:val="000000" w:themeColor="text1"/>
        </w:rPr>
        <w:t xml:space="preserve"> </w:t>
      </w:r>
      <w:r>
        <w:rPr>
          <w:rFonts w:ascii="Verdana" w:eastAsia="Calibri" w:hAnsi="Verdana" w:cs="Arial"/>
          <w:color w:val="000000" w:themeColor="text1"/>
          <w:lang w:val="es-ES"/>
        </w:rPr>
        <w:t>“</w:t>
      </w:r>
      <w:r w:rsidRPr="00326D28">
        <w:rPr>
          <w:rFonts w:ascii="Verdana" w:hAnsi="Verdana" w:cs="Arial"/>
          <w:color w:val="000000" w:themeColor="text1"/>
        </w:rPr>
        <w:t xml:space="preserve">En los contratos que celebren las </w:t>
      </w:r>
      <w:r w:rsidR="009751E0" w:rsidRPr="00326D28">
        <w:rPr>
          <w:rFonts w:ascii="Verdana" w:hAnsi="Verdana" w:cs="Arial"/>
          <w:color w:val="000000" w:themeColor="text1"/>
        </w:rPr>
        <w:t>Entidades Estatales</w:t>
      </w:r>
      <w:r w:rsidRPr="00326D28">
        <w:rPr>
          <w:rFonts w:ascii="Verdana" w:hAnsi="Verdana" w:cs="Arial"/>
          <w:color w:val="000000" w:themeColor="text1"/>
        </w:rPr>
        <w:t xml:space="preserve"> se podrá pactar el pago anticipado y la entrega de anticipos, pero su monto no podrá exceder del cincuenta por ciento (50%) del valor del respectivo contrato</w:t>
      </w:r>
      <w:r>
        <w:rPr>
          <w:rFonts w:ascii="Verdana" w:eastAsia="Calibri" w:hAnsi="Verdana" w:cs="Arial"/>
          <w:color w:val="000000" w:themeColor="text1"/>
          <w:lang w:val="es-ES"/>
        </w:rPr>
        <w:t>”</w:t>
      </w:r>
      <w:r w:rsidRPr="00326D28">
        <w:rPr>
          <w:rFonts w:ascii="Verdana" w:hAnsi="Verdana" w:cs="Arial"/>
          <w:color w:val="000000" w:themeColor="text1"/>
        </w:rPr>
        <w:t xml:space="preserve">. </w:t>
      </w:r>
    </w:p>
    <w:p w14:paraId="511F4568" w14:textId="77777777" w:rsidR="008F0FE4" w:rsidRPr="00326D28" w:rsidRDefault="008F0FE4" w:rsidP="008F0FE4">
      <w:pPr>
        <w:tabs>
          <w:tab w:val="left" w:pos="0"/>
        </w:tabs>
        <w:spacing w:after="120" w:line="276" w:lineRule="auto"/>
        <w:ind w:firstLine="709"/>
        <w:jc w:val="both"/>
        <w:rPr>
          <w:rFonts w:ascii="Verdana" w:hAnsi="Verdana" w:cs="Arial"/>
          <w:color w:val="000000" w:themeColor="text1"/>
        </w:rPr>
      </w:pPr>
      <w:r w:rsidRPr="00326D28">
        <w:rPr>
          <w:rFonts w:ascii="Verdana" w:hAnsi="Verdana" w:cs="Arial"/>
          <w:color w:val="000000" w:themeColor="text1"/>
        </w:rPr>
        <w:t xml:space="preserve">Por su parte, </w:t>
      </w:r>
      <w:r w:rsidRPr="00326D28">
        <w:rPr>
          <w:rFonts w:ascii="Verdana" w:hAnsi="Verdana" w:cs="Arial"/>
          <w:color w:val="000000" w:themeColor="text1"/>
          <w:lang w:val="es-ES"/>
        </w:rPr>
        <w:t>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37B681AC" w14:textId="097C8D0F" w:rsidR="008F0FE4" w:rsidRPr="00326D28" w:rsidRDefault="008F0FE4" w:rsidP="008F0FE4">
      <w:pPr>
        <w:tabs>
          <w:tab w:val="left" w:pos="0"/>
        </w:tabs>
        <w:spacing w:after="120" w:line="276" w:lineRule="auto"/>
        <w:ind w:firstLine="709"/>
        <w:jc w:val="both"/>
        <w:rPr>
          <w:rFonts w:ascii="Verdana" w:eastAsia="Calibri" w:hAnsi="Verdana" w:cs="Arial"/>
          <w:vertAlign w:val="superscript"/>
        </w:rPr>
      </w:pPr>
      <w:r w:rsidRPr="00326D28">
        <w:rPr>
          <w:rFonts w:ascii="Verdana" w:eastAsia="Calibri" w:hAnsi="Verdana" w:cs="Arial"/>
        </w:rPr>
        <w:t>Aunque las normas citadas no definen el anticipo, el Consejo de Estado ha precisado su naturaleza jurídica fijando parámetros para su aplicación</w:t>
      </w:r>
      <w:r w:rsidRPr="00326D28">
        <w:rPr>
          <w:rStyle w:val="FootnoteReference"/>
          <w:rFonts w:ascii="Verdana" w:eastAsia="Calibri" w:hAnsi="Verdana" w:cs="Arial"/>
        </w:rPr>
        <w:footnoteReference w:id="1"/>
      </w:r>
      <w:r w:rsidRPr="00326D28">
        <w:rPr>
          <w:rFonts w:ascii="Verdana" w:eastAsia="Calibri" w:hAnsi="Verdana" w:cs="Arial"/>
        </w:rPr>
        <w:t>. Dicha Corporación se ha referido  al anticipo como</w:t>
      </w:r>
      <w:r w:rsidR="00767552">
        <w:rPr>
          <w:rFonts w:ascii="Verdana" w:eastAsia="Calibri" w:hAnsi="Verdana" w:cs="Arial"/>
        </w:rPr>
        <w:t>:</w:t>
      </w:r>
      <w:r w:rsidRPr="00326D28">
        <w:rPr>
          <w:rFonts w:ascii="Verdana" w:eastAsia="Calibri" w:hAnsi="Verdana" w:cs="Arial"/>
        </w:rPr>
        <w:t xml:space="preserve"> </w:t>
      </w:r>
      <w:r w:rsidRPr="00474617">
        <w:rPr>
          <w:rFonts w:ascii="Verdana" w:eastAsia="Calibri" w:hAnsi="Verdana" w:cs="Arial"/>
          <w:i/>
          <w:color w:val="000000" w:themeColor="text1"/>
          <w:lang w:val="es-ES"/>
        </w:rPr>
        <w:t>“</w:t>
      </w:r>
      <w:r w:rsidRPr="00474617">
        <w:rPr>
          <w:rFonts w:ascii="Verdana" w:eastAsia="Calibri" w:hAnsi="Verdana" w:cs="Arial"/>
          <w:i/>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474617">
        <w:rPr>
          <w:rFonts w:ascii="Verdana" w:eastAsia="Calibri" w:hAnsi="Verdana" w:cs="Arial"/>
          <w:i/>
          <w:color w:val="000000" w:themeColor="text1"/>
          <w:lang w:val="es-ES"/>
        </w:rPr>
        <w:t>”</w:t>
      </w:r>
      <w:r w:rsidRPr="00326D28">
        <w:rPr>
          <w:rFonts w:ascii="Verdana" w:eastAsia="Calibri" w:hAnsi="Verdana" w:cs="Arial"/>
          <w:vertAlign w:val="superscript"/>
        </w:rPr>
        <w:footnoteReference w:id="2"/>
      </w:r>
      <w:r w:rsidRPr="00326D28">
        <w:rPr>
          <w:rFonts w:ascii="Verdana" w:eastAsia="Calibri" w:hAnsi="Verdana" w:cs="Arial"/>
          <w:color w:val="000000" w:themeColor="text1"/>
          <w:lang w:val="es-ES"/>
        </w:rPr>
        <w:t>.</w:t>
      </w:r>
    </w:p>
    <w:p w14:paraId="6F99639F" w14:textId="77777777" w:rsidR="008F0FE4" w:rsidRPr="00326D28" w:rsidRDefault="008F0FE4" w:rsidP="008F0FE4">
      <w:pPr>
        <w:spacing w:after="120" w:line="276" w:lineRule="auto"/>
        <w:ind w:firstLine="708"/>
        <w:jc w:val="both"/>
        <w:rPr>
          <w:rFonts w:ascii="Verdana" w:eastAsia="Calibri" w:hAnsi="Verdana" w:cs="Arial"/>
        </w:rPr>
      </w:pPr>
      <w:r w:rsidRPr="00326D28">
        <w:rPr>
          <w:rFonts w:ascii="Verdana" w:eastAsia="Calibri" w:hAnsi="Verdana" w:cs="Arial"/>
        </w:rPr>
        <w:t xml:space="preserve">Sobre la calidad de recurso público del anticipo, la jurisprudencia ha reiterado que </w:t>
      </w:r>
      <w:r>
        <w:rPr>
          <w:rFonts w:ascii="Verdana" w:eastAsia="Calibri" w:hAnsi="Verdana" w:cs="Arial"/>
          <w:color w:val="000000" w:themeColor="text1"/>
          <w:lang w:val="es-ES"/>
        </w:rPr>
        <w:t>“</w:t>
      </w:r>
      <w:r w:rsidRPr="00326D28">
        <w:rPr>
          <w:rFonts w:ascii="Verdana" w:eastAsia="Calibri"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eastAsia="Calibri" w:hAnsi="Verdana" w:cs="Arial"/>
          <w:color w:val="000000" w:themeColor="text1"/>
          <w:lang w:val="es-ES"/>
        </w:rPr>
        <w:t>”</w:t>
      </w:r>
      <w:r w:rsidRPr="00326D28">
        <w:rPr>
          <w:rStyle w:val="FootnoteReference"/>
          <w:rFonts w:ascii="Verdana" w:eastAsia="Calibri" w:hAnsi="Verdana" w:cs="Arial"/>
        </w:rPr>
        <w:footnoteReference w:id="3"/>
      </w:r>
      <w:r w:rsidRPr="00326D28">
        <w:rPr>
          <w:rFonts w:ascii="Verdana" w:eastAsia="Calibri" w:hAnsi="Verdana" w:cs="Arial"/>
        </w:rPr>
        <w:t>. Igualmente, explica que el anticipo, al facilitar al contratista la financiación de los bienes y servicios que se le han encargado, es un factor determinante para impulsar la ejecución del contrato</w:t>
      </w:r>
      <w:r w:rsidRPr="00326D28">
        <w:rPr>
          <w:rStyle w:val="FootnoteReference"/>
          <w:rFonts w:ascii="Verdana" w:eastAsia="Calibri" w:hAnsi="Verdana" w:cs="Arial"/>
        </w:rPr>
        <w:footnoteReference w:id="4"/>
      </w:r>
      <w:r w:rsidRPr="00326D28">
        <w:rPr>
          <w:rFonts w:ascii="Verdana" w:eastAsia="Calibri" w:hAnsi="Verdana" w:cs="Arial"/>
        </w:rPr>
        <w:t>. Este también es el entendimiento de la doctrina</w:t>
      </w:r>
      <w:r w:rsidRPr="00326D28">
        <w:rPr>
          <w:rFonts w:ascii="Verdana" w:eastAsia="Calibri" w:hAnsi="Verdana" w:cs="Arial"/>
          <w:color w:val="000000" w:themeColor="text1"/>
        </w:rPr>
        <w:t>,</w:t>
      </w:r>
      <w:r w:rsidRPr="00326D28">
        <w:rPr>
          <w:rFonts w:ascii="Verdana" w:eastAsia="Calibri" w:hAnsi="Verdana" w:cs="Arial"/>
        </w:rPr>
        <w:t xml:space="preserve"> que ha considerado el anticipo como un dinero entregado al contratista que debe cancelarse mediante descuentos parciales, siendo una práctica común que permite impulsar la ejecución del contrato</w:t>
      </w:r>
      <w:r w:rsidRPr="00326D28">
        <w:rPr>
          <w:rStyle w:val="FootnoteReference"/>
          <w:rFonts w:ascii="Verdana" w:eastAsia="Calibri" w:hAnsi="Verdana" w:cs="Arial"/>
        </w:rPr>
        <w:footnoteReference w:id="5"/>
      </w:r>
      <w:r w:rsidRPr="00326D28">
        <w:rPr>
          <w:rFonts w:ascii="Verdana" w:eastAsia="Calibri" w:hAnsi="Verdana" w:cs="Arial"/>
        </w:rPr>
        <w:t xml:space="preserve">. </w:t>
      </w:r>
    </w:p>
    <w:p w14:paraId="6A8FB72E" w14:textId="77777777" w:rsidR="008F0FE4" w:rsidRPr="00326D28" w:rsidRDefault="008F0FE4" w:rsidP="008F0FE4">
      <w:pPr>
        <w:spacing w:before="120" w:after="120" w:line="276" w:lineRule="auto"/>
        <w:ind w:firstLine="708"/>
        <w:jc w:val="both"/>
        <w:rPr>
          <w:rFonts w:ascii="Verdana" w:eastAsia="Calibri" w:hAnsi="Verdana" w:cs="Arial"/>
          <w:color w:val="000000" w:themeColor="text1"/>
        </w:rPr>
      </w:pPr>
      <w:r w:rsidRPr="00326D28">
        <w:rPr>
          <w:rFonts w:ascii="Verdana" w:eastAsia="Calibri" w:hAnsi="Verdana" w:cs="Arial"/>
          <w:color w:val="000000" w:themeColor="text1"/>
        </w:rPr>
        <w:t xml:space="preserve">Así, de acuerdo con las consideraciones de la jurisprudencia y la doctrina, el anticipo es </w:t>
      </w:r>
      <w:r w:rsidRPr="00326D28">
        <w:rPr>
          <w:rFonts w:ascii="Verdana" w:eastAsia="Calibri" w:hAnsi="Verdana" w:cs="Arial"/>
        </w:rPr>
        <w:t>aquella suma de dinero entregada al contratista con la finalidad de apalancarlo financieramente para solventar los costos iniciales de la ejecución del contrato. Este dinero debe amortizarse de acuerdo al avance en la ejecución. De esta forma, los recursos entregados a título de anticipo son del erario, razón por la que debe garantizarse su buen manejo y correcta inversión.</w:t>
      </w:r>
    </w:p>
    <w:p w14:paraId="458DB4FB" w14:textId="77777777" w:rsidR="009123E4" w:rsidRDefault="008F0FE4" w:rsidP="008F0FE4">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w:t>
      </w:r>
    </w:p>
    <w:p w14:paraId="2673599F" w14:textId="14C0DA91" w:rsidR="008F0FE4" w:rsidRPr="00326D28" w:rsidRDefault="008F0FE4" w:rsidP="008F0FE4">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De esta manera, el Consejo de Estado explica lo siguiente: </w:t>
      </w:r>
    </w:p>
    <w:p w14:paraId="3241F08B" w14:textId="77777777" w:rsidR="008F0FE4" w:rsidRPr="00326D28" w:rsidRDefault="008F0FE4" w:rsidP="008F0FE4">
      <w:pPr>
        <w:spacing w:after="0" w:line="276" w:lineRule="auto"/>
        <w:ind w:firstLine="709"/>
        <w:jc w:val="both"/>
        <w:rPr>
          <w:rFonts w:ascii="Verdana" w:eastAsia="Calibri" w:hAnsi="Verdana" w:cs="Arial"/>
          <w:lang w:val="es-MX"/>
        </w:rPr>
      </w:pPr>
    </w:p>
    <w:p w14:paraId="26B5DEC9" w14:textId="77777777" w:rsidR="008F0FE4" w:rsidRPr="00D720BD" w:rsidRDefault="008F0FE4" w:rsidP="008F0FE4">
      <w:pPr>
        <w:spacing w:after="0" w:line="240" w:lineRule="auto"/>
        <w:ind w:left="709" w:right="709"/>
        <w:jc w:val="both"/>
        <w:rPr>
          <w:rFonts w:ascii="Verdana" w:eastAsia="Calibri" w:hAnsi="Verdana" w:cs="Arial"/>
          <w:sz w:val="20"/>
          <w:szCs w:val="20"/>
        </w:rPr>
      </w:pPr>
      <w:r w:rsidRPr="00D720BD">
        <w:rPr>
          <w:rFonts w:ascii="Verdana" w:eastAsia="Calibri" w:hAnsi="Verdana" w:cs="Arial"/>
          <w:sz w:val="20"/>
          <w:szCs w:val="20"/>
        </w:rPr>
        <w:t>“[…]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etc).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D720BD">
        <w:rPr>
          <w:rFonts w:ascii="Verdana" w:eastAsia="Calibri" w:hAnsi="Verdana" w:cs="Arial"/>
          <w:b/>
          <w:sz w:val="20"/>
          <w:szCs w:val="20"/>
        </w:rPr>
        <w:t xml:space="preserve"> </w:t>
      </w:r>
      <w:r w:rsidRPr="00D720BD">
        <w:rPr>
          <w:rFonts w:ascii="Verdana" w:eastAsia="Calibri" w:hAnsi="Verdana" w:cs="Arial"/>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D720BD">
        <w:rPr>
          <w:rStyle w:val="FootnoteReference"/>
          <w:rFonts w:ascii="Verdana" w:eastAsia="Calibri" w:hAnsi="Verdana" w:cs="Arial"/>
          <w:sz w:val="20"/>
          <w:szCs w:val="20"/>
        </w:rPr>
        <w:footnoteReference w:id="6"/>
      </w:r>
      <w:r w:rsidRPr="00D720BD">
        <w:rPr>
          <w:rFonts w:ascii="Verdana" w:eastAsia="Calibri" w:hAnsi="Verdana" w:cs="Arial"/>
          <w:sz w:val="20"/>
          <w:szCs w:val="20"/>
        </w:rPr>
        <w:t>.</w:t>
      </w:r>
    </w:p>
    <w:p w14:paraId="2A309A24" w14:textId="77777777" w:rsidR="008F0FE4" w:rsidRPr="00326D28" w:rsidRDefault="008F0FE4" w:rsidP="008F0FE4">
      <w:pPr>
        <w:spacing w:after="0" w:line="276" w:lineRule="auto"/>
        <w:ind w:left="567" w:right="709"/>
        <w:jc w:val="both"/>
        <w:rPr>
          <w:rFonts w:ascii="Verdana" w:eastAsia="Calibri" w:hAnsi="Verdana" w:cs="Arial"/>
        </w:rPr>
      </w:pPr>
      <w:r>
        <w:rPr>
          <w:rFonts w:ascii="Verdana" w:eastAsia="Calibri" w:hAnsi="Verdana" w:cs="Arial"/>
          <w:sz w:val="21"/>
          <w:szCs w:val="21"/>
        </w:rPr>
        <w:tab/>
      </w:r>
    </w:p>
    <w:p w14:paraId="259617BE" w14:textId="66A05E15" w:rsidR="008F0FE4" w:rsidRPr="00326D28" w:rsidRDefault="008F0FE4" w:rsidP="008F0FE4">
      <w:pPr>
        <w:tabs>
          <w:tab w:val="left" w:pos="0"/>
        </w:tabs>
        <w:spacing w:after="120" w:line="276" w:lineRule="auto"/>
        <w:ind w:firstLine="709"/>
        <w:jc w:val="both"/>
        <w:rPr>
          <w:rFonts w:ascii="Verdana" w:eastAsia="Calibri" w:hAnsi="Verdana" w:cs="Arial"/>
          <w:lang w:val="es-MX"/>
        </w:rPr>
      </w:pPr>
      <w:r w:rsidRPr="00326D28">
        <w:rPr>
          <w:rFonts w:ascii="Verdana" w:eastAsia="Calibri" w:hAnsi="Verdana" w:cs="Arial"/>
        </w:rPr>
        <w:t xml:space="preserve">Las </w:t>
      </w:r>
      <w:r w:rsidR="009751E0" w:rsidRPr="00326D28">
        <w:rPr>
          <w:rFonts w:ascii="Verdana" w:eastAsia="Calibri" w:hAnsi="Verdana" w:cs="Arial"/>
        </w:rPr>
        <w:t>Entidades Estatales</w:t>
      </w:r>
      <w:r w:rsidRPr="00326D28">
        <w:rPr>
          <w:rFonts w:ascii="Verdana" w:eastAsia="Calibri" w:hAnsi="Verdana" w:cs="Arial"/>
        </w:rPr>
        <w:t xml:space="preserve">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w:t>
      </w:r>
      <w:r w:rsidR="009D7FD2">
        <w:rPr>
          <w:rFonts w:ascii="Verdana" w:eastAsia="Calibri" w:hAnsi="Verdana" w:cs="Arial"/>
        </w:rPr>
        <w:t>cincuenta por ciento (</w:t>
      </w:r>
      <w:r w:rsidRPr="00326D28">
        <w:rPr>
          <w:rFonts w:ascii="Verdana" w:eastAsia="Calibri" w:hAnsi="Verdana" w:cs="Arial"/>
        </w:rPr>
        <w:t>50%</w:t>
      </w:r>
      <w:r w:rsidR="009D7FD2">
        <w:rPr>
          <w:rFonts w:ascii="Verdana" w:eastAsia="Calibri" w:hAnsi="Verdana" w:cs="Arial"/>
        </w:rPr>
        <w:t>)</w:t>
      </w:r>
      <w:r w:rsidRPr="00326D28">
        <w:rPr>
          <w:rFonts w:ascii="Verdana" w:eastAsia="Calibri" w:hAnsi="Verdana" w:cs="Arial"/>
        </w:rPr>
        <w:t xml:space="preserve"> del valor del contrato–, el plazo de amortización, las condiciones necesarias para su exigibilidad, así como todas las obligaciones para su correcta inversión.</w:t>
      </w:r>
    </w:p>
    <w:p w14:paraId="0A19A480" w14:textId="0A9E47E2" w:rsidR="008F0FE4" w:rsidRPr="00326D28" w:rsidRDefault="008F0FE4" w:rsidP="008F0FE4">
      <w:pPr>
        <w:tabs>
          <w:tab w:val="left" w:pos="0"/>
        </w:tabs>
        <w:spacing w:before="120" w:after="120" w:line="276" w:lineRule="auto"/>
        <w:ind w:firstLine="709"/>
        <w:jc w:val="both"/>
        <w:rPr>
          <w:rFonts w:ascii="Verdana" w:hAnsi="Verdana" w:cs="Arial"/>
          <w:color w:val="000000" w:themeColor="text1"/>
          <w:lang w:val="es-ES"/>
        </w:rPr>
      </w:pPr>
      <w:r w:rsidRPr="00326D28">
        <w:rPr>
          <w:rFonts w:ascii="Verdana" w:eastAsia="Calibri"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326D28">
        <w:rPr>
          <w:rFonts w:ascii="Verdana" w:hAnsi="Verdana" w:cs="Arial"/>
          <w:color w:val="000000" w:themeColor="text1"/>
          <w:lang w:val="es-ES"/>
        </w:rPr>
        <w:t xml:space="preserve">De hecho, el </w:t>
      </w:r>
      <w:r w:rsidR="002B3ADA">
        <w:rPr>
          <w:rFonts w:ascii="Verdana" w:hAnsi="Verdana" w:cs="Arial"/>
          <w:color w:val="000000" w:themeColor="text1"/>
          <w:lang w:val="es-ES"/>
        </w:rPr>
        <w:t>EGCAP</w:t>
      </w:r>
      <w:r w:rsidRPr="00326D28">
        <w:rPr>
          <w:rFonts w:ascii="Verdana" w:hAnsi="Verdana" w:cs="Arial"/>
          <w:color w:val="000000" w:themeColor="text1"/>
          <w:lang w:val="es-ES"/>
        </w:rPr>
        <w:t xml:space="preserve"> dispone como única limitación el valor máximo que puede desembolsar la entidad para pactar el anticipo. </w:t>
      </w:r>
      <w:r w:rsidR="00FE35FB">
        <w:rPr>
          <w:rFonts w:ascii="Verdana" w:hAnsi="Verdana" w:cs="Arial"/>
          <w:color w:val="000000" w:themeColor="text1"/>
          <w:lang w:val="es-ES"/>
        </w:rPr>
        <w:t xml:space="preserve">De allí se concluye que es posible pactar anticipo en los contratos de prestación de servicios a los que hace alusión en su consulta. </w:t>
      </w:r>
    </w:p>
    <w:p w14:paraId="14C87920" w14:textId="77777777" w:rsidR="008F0FE4" w:rsidRDefault="008F0FE4" w:rsidP="008F0FE4">
      <w:pPr>
        <w:tabs>
          <w:tab w:val="left" w:pos="0"/>
        </w:tabs>
        <w:spacing w:before="120" w:after="120" w:line="276" w:lineRule="auto"/>
        <w:ind w:firstLine="709"/>
        <w:jc w:val="both"/>
        <w:rPr>
          <w:rFonts w:ascii="Verdana" w:hAnsi="Verdana" w:cs="Arial"/>
          <w:color w:val="000000" w:themeColor="text1"/>
          <w:lang w:val="es-ES"/>
        </w:rPr>
      </w:pPr>
      <w:r w:rsidRPr="00326D28">
        <w:rPr>
          <w:rFonts w:ascii="Verdana" w:hAnsi="Verdana" w:cs="Arial"/>
          <w:color w:val="000000" w:themeColor="text1"/>
          <w:lang w:val="es-ES"/>
        </w:rPr>
        <w:t>La entidad y el contratista podrán disponer, en ejercicio de la autonomía de la voluntad, las condiciones que consideren convenientes de acuerdo con las normas civiles, siempre que no contraríen los parámetros normativos y los principios de la actividad contractual. No obstante, se reitera la importancia de analizar y justificar en cada caso la pertinencia y conveniencia de entregar al contratista recursos en calidad de anticipo.</w:t>
      </w:r>
    </w:p>
    <w:p w14:paraId="63B44EB6" w14:textId="2FAE01E6" w:rsidR="00FC6457" w:rsidRDefault="00FC6457" w:rsidP="00474617">
      <w:pPr>
        <w:spacing w:after="120" w:line="276" w:lineRule="auto"/>
        <w:ind w:firstLine="708"/>
        <w:jc w:val="both"/>
        <w:rPr>
          <w:rFonts w:ascii="Verdana" w:eastAsia="Calibri" w:hAnsi="Verdana" w:cs="Arial"/>
        </w:rPr>
      </w:pPr>
      <w:r>
        <w:rPr>
          <w:rFonts w:ascii="Verdana" w:eastAsia="Calibri" w:hAnsi="Verdana" w:cs="Arial"/>
        </w:rPr>
        <w:t>Asimismo, en atención</w:t>
      </w:r>
      <w:r w:rsidRPr="002E3FFE">
        <w:rPr>
          <w:rFonts w:ascii="Verdana" w:eastAsia="Calibri" w:hAnsi="Verdana" w:cs="Arial"/>
        </w:rPr>
        <w:t xml:space="preserve"> a la relevancia jurídica que reviste el anticipo por tratarse de recursos públicos, la entidad contratante está en la obligación de ejercer un control permanente sobre su destinación y ejecución. En ese sentido, le corresponde acudir a los mecanismos previstos en la ley o en el clausulado contractual para garantizar su adecuada administración</w:t>
      </w:r>
      <w:r>
        <w:rPr>
          <w:rFonts w:ascii="Verdana" w:eastAsia="Calibri" w:hAnsi="Verdana" w:cs="Arial"/>
        </w:rPr>
        <w:t xml:space="preserve"> y </w:t>
      </w:r>
      <w:r w:rsidRPr="002E3FFE">
        <w:rPr>
          <w:rFonts w:ascii="Verdana" w:eastAsia="Calibri" w:hAnsi="Verdana" w:cs="Arial"/>
        </w:rPr>
        <w:t>exigir que su utilización se ajuste a los fines contractuales establecidos</w:t>
      </w:r>
      <w:r>
        <w:rPr>
          <w:rFonts w:ascii="Verdana" w:eastAsia="Calibri" w:hAnsi="Verdana" w:cs="Arial"/>
        </w:rPr>
        <w:t xml:space="preserve">. </w:t>
      </w:r>
    </w:p>
    <w:p w14:paraId="69DB840F" w14:textId="5BEE38C3" w:rsidR="008F0FE4" w:rsidRPr="005F2061" w:rsidRDefault="00864B3C" w:rsidP="008F0FE4">
      <w:pPr>
        <w:spacing w:line="276" w:lineRule="auto"/>
        <w:ind w:firstLine="708"/>
        <w:jc w:val="both"/>
        <w:rPr>
          <w:rFonts w:ascii="Verdana" w:eastAsia="Calibri" w:hAnsi="Verdana" w:cs="Arial"/>
        </w:rPr>
      </w:pPr>
      <w:r>
        <w:rPr>
          <w:rFonts w:ascii="Verdana" w:eastAsia="Calibri" w:hAnsi="Verdana" w:cs="Arial"/>
        </w:rPr>
        <w:t>Sobre el particular, es importante destacar que, c</w:t>
      </w:r>
      <w:r w:rsidRPr="005F2061">
        <w:rPr>
          <w:rFonts w:ascii="Verdana" w:eastAsia="Calibri" w:hAnsi="Verdana" w:cs="Arial"/>
        </w:rPr>
        <w:t>onforme</w:t>
      </w:r>
      <w:r w:rsidR="008F0FE4" w:rsidRPr="005F2061">
        <w:rPr>
          <w:rFonts w:ascii="Verdana" w:eastAsia="Calibri" w:hAnsi="Verdana" w:cs="Arial"/>
        </w:rPr>
        <w:t xml:space="preserve"> al citado artículo 91 de la Ley 1474 de 2011, existen algunos contratos respecto de los cuales la ley obliga al contratista de constituir una fiducia mercantil para el manejo de los recursos entregados a título de anticipo.</w:t>
      </w:r>
      <w:r w:rsidR="008F0FE4">
        <w:rPr>
          <w:rFonts w:ascii="Verdana" w:eastAsia="Calibri" w:hAnsi="Verdana" w:cs="Arial"/>
        </w:rPr>
        <w:t xml:space="preserve"> </w:t>
      </w:r>
      <w:r w:rsidR="008F0FE4" w:rsidRPr="005F2061">
        <w:rPr>
          <w:rFonts w:ascii="Verdana" w:eastAsia="Calibri" w:hAnsi="Verdana" w:cs="Arial"/>
          <w:bCs/>
          <w:color w:val="000000" w:themeColor="text1"/>
          <w:lang w:val="es-ES_tradnl"/>
        </w:rPr>
        <w:t xml:space="preserve">Esta norma dispone que: </w:t>
      </w:r>
      <w:r w:rsidR="008F0FE4">
        <w:rPr>
          <w:rFonts w:ascii="Verdana" w:eastAsia="Calibri" w:hAnsi="Verdana" w:cs="Arial"/>
          <w:bCs/>
          <w:color w:val="000000" w:themeColor="text1"/>
          <w:lang w:val="es-ES_tradnl"/>
        </w:rPr>
        <w:t>“</w:t>
      </w:r>
      <w:r w:rsidR="008F0FE4" w:rsidRPr="005F2061">
        <w:rPr>
          <w:rFonts w:ascii="Verdana" w:eastAsia="Calibri" w:hAnsi="Verdana" w:cs="Arial"/>
        </w:rPr>
        <w:t>En los contratos de obra, concesión, salud, o los que se realicen por licitación pública</w:t>
      </w:r>
      <w:r w:rsidR="008F0FE4" w:rsidRPr="005F2061">
        <w:rPr>
          <w:rFonts w:ascii="Verdana" w:eastAsia="Calibri" w:hAnsi="Verdana" w:cs="Arial"/>
          <w:i/>
          <w:iCs/>
        </w:rPr>
        <w:t>,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r w:rsidR="008F0FE4" w:rsidRPr="005F2061">
        <w:rPr>
          <w:rFonts w:ascii="Verdana" w:eastAsia="Calibri" w:hAnsi="Verdana" w:cs="Arial"/>
        </w:rPr>
        <w:t>. El costo de la comisión fiduciaria será cubierto directamente por el contratista</w:t>
      </w:r>
      <w:r w:rsidR="008F0FE4">
        <w:rPr>
          <w:rFonts w:ascii="Verdana" w:eastAsia="Calibri" w:hAnsi="Verdana" w:cs="Arial"/>
        </w:rPr>
        <w:t>”</w:t>
      </w:r>
      <w:r w:rsidR="008F0FE4" w:rsidRPr="005F2061">
        <w:rPr>
          <w:rFonts w:ascii="Verdana" w:eastAsia="Calibri" w:hAnsi="Verdana" w:cs="Arial"/>
        </w:rPr>
        <w:t xml:space="preserve"> (Énfasis fuera de texto).</w:t>
      </w:r>
    </w:p>
    <w:p w14:paraId="25661F93" w14:textId="77777777" w:rsidR="008F0FE4" w:rsidRDefault="008F0FE4" w:rsidP="008F0FE4">
      <w:pPr>
        <w:spacing w:line="276" w:lineRule="auto"/>
        <w:ind w:firstLine="709"/>
        <w:jc w:val="both"/>
        <w:rPr>
          <w:rFonts w:ascii="Verdana" w:eastAsia="Calibri" w:hAnsi="Verdana" w:cs="Arial"/>
          <w:bCs/>
          <w:color w:val="000000" w:themeColor="text1"/>
          <w:lang w:val="es-ES_tradnl"/>
        </w:rPr>
      </w:pPr>
      <w:r w:rsidRPr="005F2061">
        <w:rPr>
          <w:rFonts w:ascii="Verdana" w:eastAsia="Calibri" w:hAnsi="Verdana" w:cs="Arial"/>
          <w:bCs/>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w:t>
      </w:r>
      <w:r w:rsidRPr="005F2061">
        <w:rPr>
          <w:rStyle w:val="FootnoteReference"/>
          <w:rFonts w:ascii="Verdana" w:eastAsia="Calibri" w:hAnsi="Verdana" w:cs="Arial"/>
          <w:bCs/>
          <w:color w:val="000000" w:themeColor="text1"/>
          <w:lang w:val="es-ES_tradnl"/>
        </w:rPr>
        <w:footnoteReference w:id="7"/>
      </w:r>
      <w:r w:rsidRPr="005F2061">
        <w:rPr>
          <w:rFonts w:ascii="Verdana" w:eastAsia="Calibri" w:hAnsi="Verdana" w:cs="Arial"/>
          <w:bCs/>
          <w:color w:val="000000" w:themeColor="text1"/>
          <w:lang w:val="es-ES_tradnl"/>
        </w:rPr>
        <w:t xml:space="preserve">. </w:t>
      </w:r>
    </w:p>
    <w:p w14:paraId="59D601FF" w14:textId="77777777" w:rsidR="008F0FE4" w:rsidRDefault="008F0FE4" w:rsidP="008F0FE4">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En todo caso, </w:t>
      </w:r>
      <w:r w:rsidRPr="00820BDB">
        <w:rPr>
          <w:rFonts w:ascii="Verdana" w:hAnsi="Verdana" w:cs="Arial"/>
          <w:color w:val="000000" w:themeColor="text1"/>
        </w:rPr>
        <w:t xml:space="preserve">cada entidad contratante goza de autonomía para definir la forma en que incorporará las condiciones relacionadas con el manejo del anticipo </w:t>
      </w:r>
      <w:r>
        <w:rPr>
          <w:rFonts w:ascii="Verdana" w:hAnsi="Verdana" w:cs="Arial"/>
          <w:color w:val="000000" w:themeColor="text1"/>
        </w:rPr>
        <w:t xml:space="preserve">mediante fiducia mercantil </w:t>
      </w:r>
      <w:r w:rsidRPr="00820BDB">
        <w:rPr>
          <w:rFonts w:ascii="Verdana" w:hAnsi="Verdana" w:cs="Arial"/>
          <w:color w:val="000000" w:themeColor="text1"/>
        </w:rPr>
        <w:t>dentro del proceso de selección. En ejercicio de dicha facultad, puede optar por incluir dichas disposiciones directamente en el cuerpo principal del pliego de condiciones o</w:t>
      </w:r>
      <w:r>
        <w:rPr>
          <w:rFonts w:ascii="Verdana" w:hAnsi="Verdana" w:cs="Arial"/>
          <w:color w:val="000000" w:themeColor="text1"/>
        </w:rPr>
        <w:t xml:space="preserve"> </w:t>
      </w:r>
      <w:r w:rsidRPr="00820BDB">
        <w:rPr>
          <w:rFonts w:ascii="Verdana" w:hAnsi="Verdana" w:cs="Arial"/>
          <w:color w:val="000000" w:themeColor="text1"/>
        </w:rPr>
        <w:t>consignarlas en la minuta del contrato que hace parte integral del mismo.</w:t>
      </w:r>
      <w:r>
        <w:rPr>
          <w:rFonts w:ascii="Verdana" w:hAnsi="Verdana" w:cs="Arial"/>
          <w:color w:val="000000" w:themeColor="text1"/>
        </w:rPr>
        <w:t xml:space="preserve"> </w:t>
      </w:r>
      <w:r w:rsidRPr="00820BDB">
        <w:rPr>
          <w:rFonts w:ascii="Verdana" w:hAnsi="Verdana" w:cs="Arial"/>
          <w:color w:val="000000" w:themeColor="text1"/>
        </w:rPr>
        <w:t>Lo anterior no implica que deban replicarse en ambos documentos, pues tanto el pliego de condiciones como sus anexos, incluida la minuta contractual, tienen fuerza vinculante y obligatoria para todos los intervinientes en el proceso.</w:t>
      </w:r>
    </w:p>
    <w:p w14:paraId="02178B4D" w14:textId="43FE7DF2" w:rsidR="008F0FE4" w:rsidRPr="001910D1" w:rsidRDefault="008F0FE4" w:rsidP="008F0FE4">
      <w:pPr>
        <w:spacing w:after="120" w:line="276" w:lineRule="auto"/>
        <w:ind w:firstLine="709"/>
        <w:jc w:val="both"/>
        <w:rPr>
          <w:rFonts w:ascii="Verdana" w:hAnsi="Verdana" w:cs="Arial"/>
          <w:color w:val="000000" w:themeColor="text1"/>
        </w:rPr>
      </w:pPr>
      <w:r>
        <w:rPr>
          <w:rFonts w:ascii="Verdana" w:eastAsia="Calibri" w:hAnsi="Verdana" w:cs="Arial"/>
          <w:color w:val="000000" w:themeColor="text1"/>
          <w:lang w:val="es-ES"/>
        </w:rPr>
        <w:t>En este contexto, la constitución de la fiducia</w:t>
      </w:r>
      <w:r w:rsidRPr="0A0BB7DD">
        <w:rPr>
          <w:rFonts w:ascii="Verdana" w:eastAsia="Calibri" w:hAnsi="Verdana" w:cs="Arial"/>
          <w:color w:val="000000" w:themeColor="text1"/>
          <w:lang w:val="es-ES"/>
        </w:rPr>
        <w:t xml:space="preserve">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A0BB7DD">
        <w:rPr>
          <w:rStyle w:val="FootnoteReference"/>
          <w:rFonts w:ascii="Verdana" w:eastAsia="Calibri" w:hAnsi="Verdana" w:cs="Arial"/>
          <w:color w:val="000000" w:themeColor="text1"/>
          <w:lang w:val="es-ES"/>
        </w:rPr>
        <w:footnoteReference w:id="8"/>
      </w:r>
      <w:r w:rsidRPr="0A0BB7DD">
        <w:rPr>
          <w:rFonts w:ascii="Verdana" w:eastAsia="Calibri" w:hAnsi="Verdana" w:cs="Arial"/>
          <w:color w:val="000000" w:themeColor="text1"/>
          <w:lang w:val="es-ES"/>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w:t>
      </w:r>
      <w:r w:rsidR="009751E0" w:rsidRPr="0A0BB7DD">
        <w:rPr>
          <w:rFonts w:ascii="Verdana" w:eastAsia="Calibri" w:hAnsi="Verdana" w:cs="Arial"/>
          <w:color w:val="000000" w:themeColor="text1"/>
          <w:lang w:val="es-ES"/>
        </w:rPr>
        <w:t>Entidad Estatal</w:t>
      </w:r>
      <w:r w:rsidRPr="0A0BB7DD">
        <w:rPr>
          <w:rFonts w:ascii="Verdana" w:eastAsia="Calibri" w:hAnsi="Verdana" w:cs="Arial"/>
          <w:color w:val="000000" w:themeColor="text1"/>
          <w:lang w:val="es-ES"/>
        </w:rPr>
        <w:t xml:space="preserve">. </w:t>
      </w:r>
    </w:p>
    <w:p w14:paraId="5C47BF85" w14:textId="4611161C" w:rsidR="008F0FE4" w:rsidRPr="005F2061" w:rsidRDefault="006E24B5" w:rsidP="008F0FE4">
      <w:pPr>
        <w:spacing w:after="120" w:line="276" w:lineRule="auto"/>
        <w:ind w:firstLine="709"/>
        <w:jc w:val="both"/>
        <w:rPr>
          <w:rFonts w:ascii="Verdana" w:eastAsia="Calibri" w:hAnsi="Verdana" w:cs="Arial"/>
          <w:color w:val="000000" w:themeColor="text1"/>
          <w:lang w:val="es-ES"/>
        </w:rPr>
      </w:pPr>
      <w:r>
        <w:rPr>
          <w:rFonts w:ascii="Verdana" w:eastAsia="Calibri" w:hAnsi="Verdana" w:cs="Arial"/>
          <w:bCs/>
          <w:color w:val="000000" w:themeColor="text1"/>
          <w:lang w:val="es-ES_tradnl"/>
        </w:rPr>
        <w:t>Al respecto</w:t>
      </w:r>
      <w:r w:rsidR="008F0FE4" w:rsidRPr="005F2061">
        <w:rPr>
          <w:rFonts w:ascii="Verdana" w:eastAsia="Calibri" w:hAnsi="Verdana" w:cs="Arial"/>
          <w:bCs/>
          <w:color w:val="000000" w:themeColor="text1"/>
          <w:lang w:val="es-ES_tradnl"/>
        </w:rPr>
        <w:t>, la Agencia Nacional de Contratación Pública</w:t>
      </w:r>
      <w:r w:rsidR="008F0FE4">
        <w:rPr>
          <w:rFonts w:ascii="Verdana" w:eastAsia="Calibri" w:hAnsi="Verdana" w:cs="Arial"/>
          <w:bCs/>
          <w:color w:val="000000" w:themeColor="text1"/>
          <w:lang w:val="es-ES_tradnl"/>
        </w:rPr>
        <w:t xml:space="preserve"> </w:t>
      </w:r>
      <w:r w:rsidR="008F0FE4" w:rsidRPr="005F2061">
        <w:rPr>
          <w:rFonts w:ascii="Verdana" w:eastAsia="Calibri" w:hAnsi="Verdana" w:cs="Arial"/>
          <w:bCs/>
          <w:color w:val="000000" w:themeColor="text1"/>
          <w:lang w:val="es-ES_tradnl"/>
        </w:rPr>
        <w:t>–</w:t>
      </w:r>
      <w:r w:rsidR="008F0FE4">
        <w:rPr>
          <w:rFonts w:ascii="Verdana" w:eastAsia="Calibri" w:hAnsi="Verdana" w:cs="Arial"/>
          <w:bCs/>
          <w:color w:val="000000" w:themeColor="text1"/>
          <w:lang w:val="es-ES_tradnl"/>
        </w:rPr>
        <w:t xml:space="preserve"> </w:t>
      </w:r>
      <w:r w:rsidR="008F0FE4" w:rsidRPr="005F2061">
        <w:rPr>
          <w:rFonts w:ascii="Verdana" w:eastAsia="Calibri" w:hAnsi="Verdana" w:cs="Arial"/>
          <w:bCs/>
          <w:color w:val="000000" w:themeColor="text1"/>
          <w:lang w:val="es-ES_tradnl"/>
        </w:rPr>
        <w:t xml:space="preserve">Colombia Compra Eficiente expidió la </w:t>
      </w:r>
      <w:r w:rsidR="008F0FE4">
        <w:rPr>
          <w:rFonts w:ascii="Verdana" w:eastAsia="Calibri" w:hAnsi="Verdana" w:cs="Arial"/>
          <w:color w:val="000000" w:themeColor="text1"/>
          <w:lang w:val="es-ES"/>
        </w:rPr>
        <w:t>“</w:t>
      </w:r>
      <w:r w:rsidR="008F0FE4" w:rsidRPr="005F2061">
        <w:rPr>
          <w:rFonts w:ascii="Verdana" w:eastAsia="Calibri" w:hAnsi="Verdana" w:cs="Arial"/>
          <w:bCs/>
          <w:color w:val="000000" w:themeColor="text1"/>
          <w:lang w:val="es-ES_tradnl"/>
        </w:rPr>
        <w:t>Guía para el manejo de anticipos mediante contrato de fiducia irrevocable</w:t>
      </w:r>
      <w:r w:rsidR="008F0FE4">
        <w:rPr>
          <w:rFonts w:ascii="Verdana" w:eastAsia="Calibri" w:hAnsi="Verdana" w:cs="Arial"/>
          <w:color w:val="000000" w:themeColor="text1"/>
          <w:lang w:val="es-ES"/>
        </w:rPr>
        <w:t>”</w:t>
      </w:r>
      <w:r w:rsidR="008F0FE4" w:rsidRPr="005F2061">
        <w:rPr>
          <w:rStyle w:val="FootnoteReference"/>
          <w:rFonts w:ascii="Verdana" w:eastAsia="Calibri" w:hAnsi="Verdana" w:cs="Arial"/>
          <w:color w:val="000000" w:themeColor="text1"/>
          <w:lang w:val="es-ES"/>
        </w:rPr>
        <w:footnoteReference w:id="9"/>
      </w:r>
      <w:r w:rsidR="008F0FE4" w:rsidRPr="005F2061">
        <w:rPr>
          <w:rFonts w:ascii="Verdana" w:eastAsia="Calibri" w:hAnsi="Verdana" w:cs="Arial"/>
          <w:bCs/>
          <w:color w:val="000000" w:themeColor="text1"/>
          <w:lang w:val="es-ES_tradnl"/>
        </w:rPr>
        <w:t xml:space="preserve">. En esta se explica que </w:t>
      </w:r>
      <w:r w:rsidR="008F0FE4">
        <w:rPr>
          <w:rFonts w:ascii="Verdana" w:eastAsia="Calibri" w:hAnsi="Verdana" w:cs="Arial"/>
          <w:color w:val="000000" w:themeColor="text1"/>
          <w:lang w:val="es-ES"/>
        </w:rPr>
        <w:t>“</w:t>
      </w:r>
      <w:r w:rsidR="008F0FE4" w:rsidRPr="005F2061">
        <w:rPr>
          <w:rFonts w:ascii="Verdana" w:eastAsia="Calibri" w:hAnsi="Verdana" w:cs="Arial"/>
          <w:color w:val="000000" w:themeColor="text1"/>
          <w:lang w:val="es-ES"/>
        </w:rPr>
        <w:t xml:space="preserve">[…] </w:t>
      </w:r>
      <w:r w:rsidR="008F0FE4" w:rsidRPr="005F2061">
        <w:rPr>
          <w:rFonts w:ascii="Verdana" w:eastAsia="Calibri" w:hAnsi="Verdana" w:cs="Arial"/>
          <w:bCs/>
          <w:color w:val="000000" w:themeColor="text1"/>
          <w:lang w:val="es-ES"/>
        </w:rPr>
        <w:t>e</w:t>
      </w:r>
      <w:r w:rsidR="008F0FE4" w:rsidRPr="005F2061">
        <w:rPr>
          <w:rFonts w:ascii="Verdana" w:eastAsia="Calibri" w:hAnsi="Verdana" w:cs="Arial"/>
          <w:bCs/>
          <w:color w:val="000000" w:themeColor="text1"/>
        </w:rPr>
        <w:t>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sidR="008F0FE4">
        <w:rPr>
          <w:rFonts w:ascii="Verdana" w:eastAsia="Calibri" w:hAnsi="Verdana" w:cs="Arial"/>
          <w:color w:val="000000" w:themeColor="text1"/>
          <w:lang w:val="es-ES"/>
        </w:rPr>
        <w:t>”</w:t>
      </w:r>
      <w:r w:rsidR="008F0FE4" w:rsidRPr="005F2061">
        <w:rPr>
          <w:rFonts w:ascii="Verdana" w:eastAsia="Calibri" w:hAnsi="Verdana" w:cs="Arial"/>
          <w:color w:val="000000" w:themeColor="text1"/>
          <w:lang w:val="es-ES"/>
        </w:rPr>
        <w:t xml:space="preserve">. Además, indica que, en los contratos de obra, concesión, salud y los que se realicen por licitación pública, siempre que no sean de menor o mínima cuantía, el contratista debe constituir un contrato de fiducia mercantil irrevocable para el manejo de los recursos que recibe a título de anticipo. Igualmente, expone las condiciones para administrar los recursos del patrimonio autónomo, las obligaciones principales de la fiduciaria, el manejo de los excedentes, entre otros. </w:t>
      </w:r>
    </w:p>
    <w:p w14:paraId="478B3426" w14:textId="77777777" w:rsidR="008F0FE4" w:rsidRPr="005F2061" w:rsidRDefault="008F0FE4" w:rsidP="008F0FE4">
      <w:pPr>
        <w:spacing w:after="120" w:line="276" w:lineRule="auto"/>
        <w:ind w:firstLine="709"/>
        <w:jc w:val="both"/>
        <w:rPr>
          <w:rFonts w:ascii="Verdana" w:eastAsia="Calibri" w:hAnsi="Verdana" w:cs="Arial"/>
          <w:lang w:val="es-MX"/>
        </w:rPr>
      </w:pPr>
      <w:r w:rsidRPr="005F2061">
        <w:rPr>
          <w:rFonts w:ascii="Verdana" w:eastAsia="Calibri" w:hAnsi="Verdana" w:cs="Arial"/>
          <w:bCs/>
          <w:color w:val="000000" w:themeColor="text1"/>
          <w:lang w:val="es-ES_tradnl"/>
        </w:rPr>
        <w:t xml:space="preserve">Es evidente entonces que para ciertos tipos de contratos la </w:t>
      </w:r>
      <w:r>
        <w:rPr>
          <w:rFonts w:ascii="Verdana" w:eastAsia="Calibri" w:hAnsi="Verdana" w:cs="Arial"/>
          <w:bCs/>
          <w:color w:val="000000" w:themeColor="text1"/>
          <w:lang w:val="es-ES_tradnl"/>
        </w:rPr>
        <w:t>l</w:t>
      </w:r>
      <w:r w:rsidRPr="005F2061">
        <w:rPr>
          <w:rFonts w:ascii="Verdana" w:eastAsia="Calibri" w:hAnsi="Verdana" w:cs="Arial"/>
          <w:bCs/>
          <w:color w:val="000000" w:themeColor="text1"/>
          <w:lang w:val="es-ES_tradnl"/>
        </w:rPr>
        <w:t xml:space="preserve">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5F2061">
        <w:rPr>
          <w:rFonts w:ascii="Verdana" w:eastAsia="Calibri" w:hAnsi="Verdana" w:cs="Arial"/>
        </w:rPr>
        <w:t>solventar los costos iniciales de la ejecución, de acuerdo con las condiciones pactadas</w:t>
      </w:r>
      <w:r>
        <w:rPr>
          <w:rFonts w:ascii="Verdana" w:eastAsia="Calibri" w:hAnsi="Verdana" w:cs="Arial"/>
        </w:rPr>
        <w:t xml:space="preserve">, las cuales deben incorporase previamente en el pliego de condiciones y pasan a hacer parte del contrato. </w:t>
      </w:r>
    </w:p>
    <w:p w14:paraId="425C76B0" w14:textId="7B1BE844" w:rsidR="008F0FE4" w:rsidRDefault="008F0FE4" w:rsidP="008F0FE4">
      <w:pPr>
        <w:spacing w:after="120" w:line="276" w:lineRule="auto"/>
        <w:ind w:firstLine="709"/>
        <w:jc w:val="both"/>
        <w:rPr>
          <w:rFonts w:ascii="Verdana" w:eastAsia="Calibri" w:hAnsi="Verdana" w:cs="Arial"/>
          <w:lang w:val="es-ES_tradnl"/>
        </w:rPr>
      </w:pPr>
      <w:r>
        <w:rPr>
          <w:rFonts w:ascii="Verdana" w:eastAsia="Calibri" w:hAnsi="Verdana" w:cs="Arial"/>
        </w:rPr>
        <w:t xml:space="preserve">En este punto, vale la pena aclarar que </w:t>
      </w:r>
      <w:r w:rsidRPr="00AB0AA0">
        <w:rPr>
          <w:rFonts w:ascii="Verdana" w:eastAsia="Calibri" w:hAnsi="Verdana" w:cs="Arial"/>
          <w:lang w:val="es-ES_tradnl"/>
        </w:rPr>
        <w:t xml:space="preserve">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w:t>
      </w:r>
      <w:r w:rsidR="009751E0" w:rsidRPr="00AB0AA0">
        <w:rPr>
          <w:rFonts w:ascii="Verdana" w:eastAsia="Calibri" w:hAnsi="Verdana" w:cs="Arial"/>
          <w:lang w:val="es-ES_tradnl"/>
        </w:rPr>
        <w:t>Entidad Estatal</w:t>
      </w:r>
      <w:r w:rsidRPr="00AB0AA0">
        <w:rPr>
          <w:rFonts w:ascii="Verdana" w:eastAsia="Calibri" w:hAnsi="Verdana" w:cs="Arial"/>
          <w:lang w:val="es-ES_tradnl"/>
        </w:rPr>
        <w:t xml:space="preserve">. En este contexto, la constitución de patrimonios autónomos por parte de </w:t>
      </w:r>
      <w:r w:rsidR="009751E0" w:rsidRPr="00AB0AA0">
        <w:rPr>
          <w:rFonts w:ascii="Verdana" w:eastAsia="Calibri" w:hAnsi="Verdana" w:cs="Arial"/>
          <w:lang w:val="es-ES_tradnl"/>
        </w:rPr>
        <w:t>Entidades Estatales</w:t>
      </w:r>
      <w:r w:rsidRPr="00AB0AA0">
        <w:rPr>
          <w:rFonts w:ascii="Verdana" w:eastAsia="Calibri" w:hAnsi="Verdana" w:cs="Arial"/>
          <w:lang w:val="es-ES_tradnl"/>
        </w:rPr>
        <w:t xml:space="preserve"> solamente puede darse en virtud de una autorización legal. Respecto de la fiducia pública y el encargo fiduciario, el Consejo de Estado ha precisado que el primero constituye un contrato nuevo y autónomo y el segundo se autoriza solamente para administrar o manejar los recursos vinculados a contratos que las </w:t>
      </w:r>
      <w:r w:rsidR="009751E0" w:rsidRPr="00AB0AA0">
        <w:rPr>
          <w:rFonts w:ascii="Verdana" w:eastAsia="Calibri" w:hAnsi="Verdana" w:cs="Arial"/>
          <w:lang w:val="es-ES_tradnl"/>
        </w:rPr>
        <w:t>Entidades Estatales</w:t>
      </w:r>
      <w:r w:rsidRPr="00AB0AA0">
        <w:rPr>
          <w:rFonts w:ascii="Verdana" w:eastAsia="Calibri" w:hAnsi="Verdana" w:cs="Arial"/>
          <w:lang w:val="es-ES_tradnl"/>
        </w:rPr>
        <w:t xml:space="preserve"> celebren lo cual se encuentra en consonancia con la disposición según la cual los pagos correspondientes a los contratos celebrados por las entidades para la prestación de los servicios de salud, se pueden hacer mediante encargos fiduciarios y con aquella que establece que los fondos destinados a la cancelación de obligaciones derivadas de contratos estatales pueden ser entregados en administración fiduciaria</w:t>
      </w:r>
      <w:r w:rsidRPr="00AB0AA0">
        <w:rPr>
          <w:rFonts w:ascii="Verdana" w:eastAsia="Calibri" w:hAnsi="Verdana" w:cs="Arial"/>
          <w:vertAlign w:val="superscript"/>
          <w:lang w:val="es-ES_tradnl"/>
        </w:rPr>
        <w:footnoteReference w:id="10"/>
      </w:r>
      <w:r w:rsidRPr="00AB0AA0">
        <w:rPr>
          <w:rFonts w:ascii="Verdana" w:eastAsia="Calibri" w:hAnsi="Verdana" w:cs="Arial"/>
          <w:lang w:val="es-ES_tradnl"/>
        </w:rPr>
        <w:t>.</w:t>
      </w:r>
    </w:p>
    <w:p w14:paraId="70421274" w14:textId="77777777" w:rsidR="008F0FE4" w:rsidRDefault="008F0FE4" w:rsidP="00474617">
      <w:pPr>
        <w:spacing w:after="0" w:line="276" w:lineRule="auto"/>
        <w:ind w:firstLine="709"/>
        <w:jc w:val="both"/>
      </w:pPr>
      <w:r>
        <w:rPr>
          <w:rFonts w:ascii="Verdana" w:eastAsia="Calibri" w:hAnsi="Verdana" w:cs="Arial"/>
          <w:lang w:val="es-ES_tradnl"/>
        </w:rPr>
        <w:t xml:space="preserve">Esta aclaración es relevante puesto que, como lo establece la </w:t>
      </w:r>
      <w:r w:rsidRPr="005F2061">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bCs/>
          <w:color w:val="000000" w:themeColor="text1"/>
          <w:lang w:val="es-ES_tradnl"/>
        </w:rPr>
        <w:t>, “</w:t>
      </w:r>
      <w:r>
        <w:rPr>
          <w:rFonts w:ascii="Verdana" w:eastAsia="Calibri" w:hAnsi="Verdana" w:cs="Arial"/>
          <w:bCs/>
          <w:color w:val="000000" w:themeColor="text1"/>
        </w:rPr>
        <w:t>n</w:t>
      </w:r>
      <w:r w:rsidRPr="00573699">
        <w:rPr>
          <w:rFonts w:ascii="Verdana" w:eastAsia="Calibri" w:hAnsi="Verdana" w:cs="Arial"/>
          <w:bCs/>
          <w:color w:val="000000" w:themeColor="text1"/>
        </w:rPr>
        <w:t>o son admisibles otro tipo de negocios fiduciarios como los encargos fiduciarios, la fiducia pública o fiducia mercantil de garantía, los cuales no corresponden a la finalidad prevista por la ley para el manejo de anticipo</w:t>
      </w:r>
      <w:r>
        <w:rPr>
          <w:rFonts w:ascii="Verdana" w:eastAsia="Calibri" w:hAnsi="Verdana" w:cs="Arial"/>
          <w:bCs/>
          <w:color w:val="000000" w:themeColor="text1"/>
        </w:rPr>
        <w:t>”.</w:t>
      </w:r>
      <w:r w:rsidRPr="00467FE8">
        <w:rPr>
          <w:rFonts w:ascii="Century Gothic" w:eastAsia="MS Mincho" w:hAnsi="Century Gothic" w:cs="Arial"/>
          <w:lang w:val="es-ES_tradnl" w:eastAsia="es-CO"/>
        </w:rPr>
        <w:t xml:space="preserve"> </w:t>
      </w:r>
      <w:r w:rsidRPr="00467FE8">
        <w:rPr>
          <w:rFonts w:ascii="Verdana" w:eastAsia="Calibri" w:hAnsi="Verdana" w:cs="Arial"/>
          <w:bCs/>
          <w:color w:val="000000" w:themeColor="text1"/>
          <w:lang w:val="es-ES_tradnl"/>
        </w:rPr>
        <w:t xml:space="preserve">En consecuencia, para la Agencia, el manejo de los recursos girados por concepto de anticipo sólo puede ser administrado a través de una fiducia mercantil irrevocable. Al respecto, la entidad estructuró un documento de modelo de contrato de fiducia mercantil irrevocable para el manejo de anticipos disponible en el siguiente enlace: </w:t>
      </w:r>
      <w:hyperlink r:id="rId12" w:history="1">
        <w:r w:rsidRPr="00467FE8">
          <w:rPr>
            <w:rStyle w:val="Hyperlink"/>
            <w:rFonts w:ascii="Verdana" w:eastAsia="Calibri" w:hAnsi="Verdana" w:cs="Arial"/>
            <w:bCs/>
            <w:lang w:val="es-ES_tradnl"/>
          </w:rPr>
          <w:t>https://colombiacompra.gov.co/sites/cce_public/files/cce_documents/20151115_contrato_de_fiducia_para_el_manejo_de_anticipos_v2_0.pdf</w:t>
        </w:r>
      </w:hyperlink>
    </w:p>
    <w:p w14:paraId="31CAE826" w14:textId="77777777" w:rsidR="008F0FE4" w:rsidRDefault="008F0FE4" w:rsidP="00474617">
      <w:pPr>
        <w:spacing w:after="0" w:line="276" w:lineRule="auto"/>
        <w:ind w:firstLine="709"/>
        <w:jc w:val="both"/>
        <w:rPr>
          <w:rFonts w:ascii="Verdana" w:eastAsia="Calibri" w:hAnsi="Verdana" w:cs="Arial"/>
          <w:bCs/>
          <w:color w:val="000000" w:themeColor="text1"/>
        </w:rPr>
      </w:pPr>
    </w:p>
    <w:p w14:paraId="5038C4F5" w14:textId="188A1C85" w:rsidR="008F0FE4" w:rsidRDefault="008F0FE4" w:rsidP="00016CE6">
      <w:pPr>
        <w:spacing w:after="0" w:line="276" w:lineRule="auto"/>
        <w:ind w:right="177"/>
        <w:jc w:val="both"/>
        <w:rPr>
          <w:rFonts w:ascii="Verdana" w:eastAsia="Times New Roman" w:hAnsi="Verdana" w:cs="Arial"/>
          <w:color w:val="000000" w:themeColor="text1"/>
          <w:lang w:val="es-ES" w:eastAsia="es-ES_tradnl"/>
        </w:rPr>
      </w:pPr>
      <w:r>
        <w:rPr>
          <w:rFonts w:ascii="Verdana" w:eastAsia="Calibri" w:hAnsi="Verdana" w:cs="Arial"/>
          <w:bCs/>
          <w:color w:val="000000" w:themeColor="text1"/>
        </w:rPr>
        <w:t xml:space="preserve">ii. </w:t>
      </w:r>
      <w:r w:rsidRPr="0061306E">
        <w:rPr>
          <w:rFonts w:ascii="Verdana" w:eastAsia="Times New Roman" w:hAnsi="Verdana" w:cs="Arial"/>
          <w:lang w:val="es-ES" w:eastAsia="es-MX"/>
        </w:rPr>
        <w:t>E</w:t>
      </w:r>
      <w:r w:rsidRPr="0061306E">
        <w:rPr>
          <w:rFonts w:ascii="Verdana" w:eastAsia="Times New Roman" w:hAnsi="Verdana" w:cs="Arial"/>
          <w:color w:val="000000" w:themeColor="text1"/>
          <w:lang w:val="es-ES" w:eastAsia="es-ES_tradnl"/>
        </w:rPr>
        <w:t xml:space="preserve">l ámbito de aplicación del </w:t>
      </w:r>
      <w:r w:rsidR="00A74194">
        <w:rPr>
          <w:rFonts w:ascii="Verdana" w:eastAsia="Times New Roman" w:hAnsi="Verdana" w:cs="Arial"/>
          <w:color w:val="000000" w:themeColor="text1"/>
          <w:lang w:val="es-ES" w:eastAsia="es-ES_tradnl"/>
        </w:rPr>
        <w:t>EGCAP</w:t>
      </w:r>
      <w:r w:rsidRPr="0061306E">
        <w:rPr>
          <w:rFonts w:ascii="Verdana" w:eastAsia="Times New Roman" w:hAnsi="Verdana" w:cs="Arial"/>
          <w:color w:val="000000" w:themeColor="text1"/>
          <w:lang w:val="es-ES" w:eastAsia="es-ES_tradnl"/>
        </w:rPr>
        <w:t xml:space="preserve"> se encuentra en gran medida determinado por lo dispuesto en el artículo 2 de la Ley 80 de 1993; dicha norma, consta de tres numerales a través de los cuales identifica las Entidades Estatales, servidores públicos y servicios que se encuentran sometid</w:t>
      </w:r>
      <w:r>
        <w:rPr>
          <w:rFonts w:ascii="Verdana" w:eastAsia="Times New Roman" w:hAnsi="Verdana" w:cs="Arial"/>
          <w:color w:val="000000" w:themeColor="text1"/>
          <w:lang w:val="es-ES" w:eastAsia="es-ES_tradnl"/>
        </w:rPr>
        <w:t>o</w:t>
      </w:r>
      <w:r w:rsidRPr="0061306E">
        <w:rPr>
          <w:rFonts w:ascii="Verdana" w:eastAsia="Times New Roman" w:hAnsi="Verdana" w:cs="Arial"/>
          <w:color w:val="000000" w:themeColor="text1"/>
          <w:lang w:val="es-ES" w:eastAsia="es-ES_tradnl"/>
        </w:rPr>
        <w:t>s a este régimen. Al respecto, resulta relevante lo dispuesto en el literal a) del numeral 1, el cual dispone:</w:t>
      </w:r>
    </w:p>
    <w:p w14:paraId="3292D819" w14:textId="77777777" w:rsidR="00016CE6" w:rsidRPr="0061306E" w:rsidRDefault="00016CE6" w:rsidP="00474617">
      <w:pPr>
        <w:spacing w:after="0" w:line="276" w:lineRule="auto"/>
        <w:ind w:right="177"/>
        <w:jc w:val="both"/>
        <w:rPr>
          <w:rFonts w:ascii="Verdana" w:eastAsia="Times New Roman" w:hAnsi="Verdana" w:cs="Arial"/>
          <w:lang w:val="es-ES" w:eastAsia="es-MX"/>
        </w:rPr>
      </w:pPr>
    </w:p>
    <w:p w14:paraId="2CE8CBF6" w14:textId="77777777" w:rsidR="008F0FE4" w:rsidRPr="0061306E" w:rsidRDefault="008F0FE4" w:rsidP="008F0FE4">
      <w:pPr>
        <w:spacing w:after="0" w:line="240" w:lineRule="auto"/>
        <w:ind w:left="709" w:right="709"/>
        <w:contextualSpacing/>
        <w:jc w:val="both"/>
        <w:rPr>
          <w:rFonts w:ascii="Verdana" w:eastAsia="Times New Roman" w:hAnsi="Verdana" w:cs="Arial"/>
          <w:color w:val="000000" w:themeColor="text1"/>
          <w:sz w:val="20"/>
          <w:szCs w:val="20"/>
          <w:lang w:val="es-ES" w:eastAsia="es-ES_tradnl"/>
        </w:rPr>
      </w:pPr>
      <w:r w:rsidRPr="0061306E">
        <w:rPr>
          <w:rFonts w:ascii="Verdana" w:hAnsi="Verdana" w:cs="Arial"/>
          <w:color w:val="000000"/>
          <w:sz w:val="20"/>
          <w:szCs w:val="20"/>
          <w:lang w:val="es-ES"/>
        </w:rPr>
        <w:t>“[…] Artículo 2o. De la definición de entidades, servidores y servicios públicos.</w:t>
      </w:r>
      <w:r w:rsidRPr="0061306E">
        <w:rPr>
          <w:rFonts w:ascii="Verdana" w:hAnsi="Verdana" w:cs="Arial"/>
          <w:b/>
          <w:bCs/>
          <w:color w:val="000000"/>
          <w:sz w:val="20"/>
          <w:szCs w:val="20"/>
          <w:lang w:val="es-ES"/>
        </w:rPr>
        <w:t xml:space="preserve"> </w:t>
      </w:r>
      <w:r w:rsidRPr="0061306E">
        <w:rPr>
          <w:rFonts w:ascii="Verdana" w:hAnsi="Verdana" w:cs="Arial"/>
          <w:color w:val="000000"/>
          <w:sz w:val="20"/>
          <w:szCs w:val="20"/>
          <w:lang w:val="es-ES"/>
        </w:rPr>
        <w:t>Para los solos efectos de esta ley: </w:t>
      </w:r>
    </w:p>
    <w:p w14:paraId="79E577DA" w14:textId="77777777" w:rsidR="008F0FE4" w:rsidRPr="0061306E" w:rsidRDefault="008F0FE4" w:rsidP="008F0FE4">
      <w:pPr>
        <w:spacing w:after="0" w:line="240" w:lineRule="auto"/>
        <w:ind w:left="709" w:right="709"/>
        <w:contextualSpacing/>
        <w:jc w:val="both"/>
        <w:rPr>
          <w:rFonts w:ascii="Verdana" w:eastAsia="Times New Roman" w:hAnsi="Verdana" w:cs="Arial"/>
          <w:color w:val="000000"/>
          <w:sz w:val="20"/>
          <w:szCs w:val="20"/>
          <w:lang w:val="es-ES" w:eastAsia="es-CO"/>
        </w:rPr>
      </w:pPr>
      <w:r w:rsidRPr="0061306E">
        <w:rPr>
          <w:rFonts w:ascii="Verdana" w:eastAsia="Times New Roman" w:hAnsi="Verdana" w:cs="Arial"/>
          <w:color w:val="000000"/>
          <w:sz w:val="20"/>
          <w:szCs w:val="20"/>
          <w:lang w:val="es-ES" w:eastAsia="es-CO"/>
        </w:rPr>
        <w:t>1o. Se denominan entidades estatales: </w:t>
      </w:r>
    </w:p>
    <w:p w14:paraId="7333DE14" w14:textId="77777777" w:rsidR="008F0FE4" w:rsidRPr="0061306E" w:rsidRDefault="008F0FE4" w:rsidP="008F0FE4">
      <w:pPr>
        <w:spacing w:after="0" w:line="240" w:lineRule="auto"/>
        <w:ind w:left="709" w:right="709"/>
        <w:contextualSpacing/>
        <w:jc w:val="both"/>
        <w:rPr>
          <w:rFonts w:ascii="Verdana" w:eastAsia="Times New Roman" w:hAnsi="Verdana" w:cs="Arial"/>
          <w:color w:val="000000"/>
          <w:sz w:val="20"/>
          <w:szCs w:val="20"/>
          <w:lang w:val="es-ES" w:eastAsia="es-CO"/>
        </w:rPr>
      </w:pPr>
      <w:r w:rsidRPr="0061306E">
        <w:rPr>
          <w:rFonts w:ascii="Verdana" w:eastAsia="Times New Roman" w:hAnsi="Verdana" w:cs="Arial"/>
          <w:color w:val="000000"/>
          <w:sz w:val="20"/>
          <w:szCs w:val="20"/>
          <w:lang w:val="es-ES" w:eastAsia="es-CO"/>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w:t>
      </w:r>
      <w:r w:rsidRPr="0061306E">
        <w:rPr>
          <w:rFonts w:ascii="Verdana" w:eastAsia="Times New Roman" w:hAnsi="Verdana" w:cs="Arial"/>
          <w:i/>
          <w:iCs/>
          <w:color w:val="000000"/>
          <w:sz w:val="20"/>
          <w:szCs w:val="20"/>
          <w:u w:val="single"/>
          <w:lang w:val="es-ES" w:eastAsia="es-CO"/>
        </w:rPr>
        <w:t>así como las entidades descentralizadas indirectas y las demás personas jurídicas en las que exista dicha participación pública mayoritaria</w:t>
      </w:r>
      <w:r w:rsidRPr="0061306E">
        <w:rPr>
          <w:rFonts w:ascii="Verdana" w:eastAsia="Times New Roman" w:hAnsi="Verdana" w:cs="Arial"/>
          <w:i/>
          <w:iCs/>
          <w:color w:val="000000"/>
          <w:sz w:val="20"/>
          <w:szCs w:val="20"/>
          <w:lang w:val="es-ES" w:eastAsia="es-CO"/>
        </w:rPr>
        <w:t>, cualquiera sea la denominación que ellas adopten, en todos los órdenes y niveles </w:t>
      </w:r>
      <w:r w:rsidRPr="0061306E">
        <w:rPr>
          <w:rFonts w:ascii="Verdana" w:eastAsia="Times New Roman" w:hAnsi="Verdana" w:cs="Arial"/>
          <w:color w:val="000000"/>
          <w:sz w:val="20"/>
          <w:szCs w:val="20"/>
          <w:lang w:val="es-ES" w:eastAsia="es-CO"/>
        </w:rPr>
        <w:t xml:space="preserve">[…]” [Énfasis fuera de texto] </w:t>
      </w:r>
    </w:p>
    <w:p w14:paraId="27DB9715" w14:textId="77777777" w:rsidR="008F0FE4" w:rsidRPr="0061306E" w:rsidRDefault="008F0FE4" w:rsidP="008F0FE4">
      <w:pPr>
        <w:spacing w:after="0" w:line="240" w:lineRule="auto"/>
        <w:ind w:left="709" w:right="709"/>
        <w:contextualSpacing/>
        <w:jc w:val="both"/>
        <w:rPr>
          <w:rFonts w:ascii="Verdana" w:eastAsia="Times New Roman" w:hAnsi="Verdana" w:cs="Arial"/>
          <w:color w:val="000000"/>
          <w:sz w:val="20"/>
          <w:szCs w:val="20"/>
          <w:lang w:val="es-ES" w:eastAsia="es-CO"/>
        </w:rPr>
      </w:pPr>
    </w:p>
    <w:p w14:paraId="2E3FD72C" w14:textId="23B473EB" w:rsidR="008F0FE4" w:rsidRPr="0061306E" w:rsidRDefault="008F0FE4" w:rsidP="008F0FE4">
      <w:pPr>
        <w:spacing w:after="120" w:line="276" w:lineRule="auto"/>
        <w:ind w:firstLine="708"/>
        <w:jc w:val="both"/>
        <w:rPr>
          <w:rFonts w:ascii="Verdana" w:eastAsia="Times New Roman" w:hAnsi="Verdana" w:cs="Arial"/>
          <w:lang w:val="es-ES" w:eastAsia="es-MX"/>
        </w:rPr>
      </w:pPr>
      <w:r w:rsidRPr="0061306E">
        <w:rPr>
          <w:rFonts w:ascii="Verdana" w:eastAsia="Times New Roman" w:hAnsi="Verdana" w:cs="Arial"/>
          <w:lang w:val="es-ES" w:eastAsia="es-MX"/>
        </w:rPr>
        <w:t xml:space="preserve">De acuerdo con lo anterior, entidades como la Nación, los departamentos, municipios, establecimientos públicos y asociaciones de municipios, obedecen a la noción de </w:t>
      </w:r>
      <w:r w:rsidR="009751E0" w:rsidRPr="0061306E">
        <w:rPr>
          <w:rFonts w:ascii="Verdana" w:eastAsia="Times New Roman" w:hAnsi="Verdana" w:cs="Arial"/>
          <w:lang w:val="es-ES" w:eastAsia="es-MX"/>
        </w:rPr>
        <w:t>Entidades Estatales</w:t>
      </w:r>
      <w:r w:rsidRPr="0061306E">
        <w:rPr>
          <w:rFonts w:ascii="Verdana" w:eastAsia="Times New Roman" w:hAnsi="Verdana" w:cs="Arial"/>
          <w:lang w:val="es-ES" w:eastAsia="es-MX"/>
        </w:rPr>
        <w:t xml:space="preserve"> establecida por el literal </w:t>
      </w:r>
      <w:bookmarkStart w:id="2" w:name="_Hlk167866735"/>
      <w:r w:rsidRPr="0061306E">
        <w:rPr>
          <w:rFonts w:ascii="Verdana" w:eastAsia="Times New Roman" w:hAnsi="Verdana" w:cs="Arial"/>
          <w:lang w:val="es-ES" w:eastAsia="es-MX"/>
        </w:rPr>
        <w:t xml:space="preserve">a) del numeral 1 del artículo 2 de la Ley 80 de 1993, por lo que se encuentran sujetas a este régimen de contratación pública. En principio, lo mismo puede decirse de las empresas industriales y comerciales del Estado, las sociedades de economía mixta en las que el Estado tenga una participación superior al cincuenta por ciento (50%), las </w:t>
      </w:r>
      <w:r w:rsidRPr="0061306E">
        <w:rPr>
          <w:rFonts w:ascii="Verdana" w:eastAsia="Times New Roman" w:hAnsi="Verdana" w:cs="Arial"/>
          <w:i/>
          <w:iCs/>
          <w:lang w:val="es-ES" w:eastAsia="es-MX"/>
        </w:rPr>
        <w:t>entidades descentralizadas indirectas y las demás p</w:t>
      </w:r>
      <w:bookmarkEnd w:id="2"/>
      <w:r w:rsidRPr="0061306E">
        <w:rPr>
          <w:rFonts w:ascii="Verdana" w:eastAsia="Times New Roman" w:hAnsi="Verdana" w:cs="Arial"/>
          <w:i/>
          <w:iCs/>
          <w:lang w:val="es-ES" w:eastAsia="es-MX"/>
        </w:rPr>
        <w:t>ersonas jurídicas en las que exista una participación pública mayoritaria</w:t>
      </w:r>
      <w:r w:rsidRPr="0061306E">
        <w:rPr>
          <w:rFonts w:ascii="Verdana" w:eastAsia="Times New Roman" w:hAnsi="Verdana" w:cs="Arial"/>
          <w:lang w:val="es-ES" w:eastAsia="es-MX"/>
        </w:rPr>
        <w:t>.</w:t>
      </w:r>
    </w:p>
    <w:p w14:paraId="622E84F4" w14:textId="77777777" w:rsidR="008F0FE4" w:rsidRPr="0061306E" w:rsidRDefault="008F0FE4" w:rsidP="0076315E">
      <w:pPr>
        <w:spacing w:after="0" w:line="276" w:lineRule="auto"/>
        <w:ind w:firstLine="708"/>
        <w:jc w:val="both"/>
        <w:rPr>
          <w:rFonts w:ascii="Verdana" w:eastAsia="Times New Roman" w:hAnsi="Verdana" w:cs="Arial"/>
          <w:lang w:val="es-ES" w:eastAsia="es-MX"/>
        </w:rPr>
      </w:pPr>
      <w:r w:rsidRPr="0061306E">
        <w:rPr>
          <w:rFonts w:ascii="Verdana" w:eastAsia="Times New Roman" w:hAnsi="Verdana" w:cs="Arial"/>
          <w:lang w:val="es-ES" w:eastAsia="es-MX"/>
        </w:rPr>
        <w:t xml:space="preserve">Sin perjuicio de lo dispuesto en los artículos 1 y 2 de la Ley 80 de 1993, la aplicabilidad del EGCAP a las empresas industriales </w:t>
      </w:r>
      <w:r>
        <w:rPr>
          <w:rFonts w:ascii="Verdana" w:eastAsia="Times New Roman" w:hAnsi="Verdana" w:cs="Arial"/>
          <w:lang w:val="es-ES" w:eastAsia="es-MX"/>
        </w:rPr>
        <w:t xml:space="preserve">y </w:t>
      </w:r>
      <w:r w:rsidRPr="0061306E">
        <w:rPr>
          <w:rFonts w:ascii="Verdana" w:eastAsia="Times New Roman" w:hAnsi="Verdana" w:cs="Arial"/>
          <w:lang w:val="es-ES" w:eastAsia="es-MX"/>
        </w:rPr>
        <w:t xml:space="preserve">comerciales del Estado, sociedades de economía mixta y entidades descentralizadas indirectas también está determinada por el artículo 14 de la Ley 1150 de 2007. Esta norma exceptúa a las referidas entidades de la aplicación del régimen contractual público en consideración al desarrollo de actividades comerciales en competencia con el sector privado o en mercados regulados. El texto es el siguiente:  </w:t>
      </w:r>
    </w:p>
    <w:p w14:paraId="2A7C0127" w14:textId="77777777" w:rsidR="0076315E" w:rsidRPr="0061306E" w:rsidRDefault="0076315E" w:rsidP="00474617">
      <w:pPr>
        <w:spacing w:after="0" w:line="276" w:lineRule="auto"/>
        <w:ind w:firstLine="708"/>
        <w:jc w:val="both"/>
        <w:rPr>
          <w:rFonts w:ascii="Verdana" w:eastAsia="Times New Roman" w:hAnsi="Verdana" w:cs="Arial"/>
          <w:lang w:val="es-ES" w:eastAsia="es-MX"/>
        </w:rPr>
      </w:pPr>
    </w:p>
    <w:p w14:paraId="2DAF79E8" w14:textId="77777777" w:rsidR="008F0FE4" w:rsidRPr="0061306E" w:rsidRDefault="008F0FE4" w:rsidP="008F0FE4">
      <w:pPr>
        <w:spacing w:after="0" w:line="240" w:lineRule="auto"/>
        <w:ind w:left="709" w:right="709"/>
        <w:jc w:val="both"/>
        <w:rPr>
          <w:rFonts w:ascii="Verdana" w:eastAsia="Calibri" w:hAnsi="Verdana" w:cs="Arial"/>
          <w:color w:val="000000" w:themeColor="text1"/>
          <w:sz w:val="20"/>
          <w:szCs w:val="20"/>
        </w:rPr>
      </w:pPr>
      <w:r w:rsidRPr="60FB409F">
        <w:rPr>
          <w:rFonts w:ascii="Verdana" w:eastAsia="Calibri" w:hAnsi="Verdana" w:cs="Arial"/>
          <w:color w:val="000000" w:themeColor="text1"/>
          <w:sz w:val="20"/>
          <w:szCs w:val="20"/>
        </w:rPr>
        <w:t xml:space="preserve">“Artículo 14. Modificado por la Ley 1474 de 2011.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Pr="60FB409F">
        <w:rPr>
          <w:rFonts w:ascii="Verdana" w:eastAsia="Calibri" w:hAnsi="Verdana" w:cs="Arial"/>
          <w:i/>
          <w:color w:val="000000" w:themeColor="text1"/>
          <w:sz w:val="20"/>
          <w:szCs w:val="20"/>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Pr="60FB409F">
        <w:rPr>
          <w:rFonts w:ascii="Verdana" w:eastAsia="Calibri" w:hAnsi="Verdana" w:cs="Arial"/>
          <w:color w:val="000000" w:themeColor="text1"/>
          <w:sz w:val="20"/>
          <w:szCs w:val="20"/>
        </w:rPr>
        <w:t>Se exceptúan los contratos de ciencia y tecnología, que se regirán por la Ley 29 de 1990 y las disposiciones normativas existentes.”[Énfasis fuera de texto]</w:t>
      </w:r>
    </w:p>
    <w:p w14:paraId="3FE47706" w14:textId="77777777" w:rsidR="008F0FE4" w:rsidRPr="0061306E" w:rsidRDefault="008F0FE4" w:rsidP="008F0FE4">
      <w:pPr>
        <w:spacing w:after="0" w:line="276" w:lineRule="auto"/>
        <w:jc w:val="both"/>
        <w:rPr>
          <w:rFonts w:ascii="Century Gothic" w:eastAsia="Calibri" w:hAnsi="Century Gothic" w:cs="Arial"/>
          <w:color w:val="000000" w:themeColor="text1"/>
          <w:lang w:val="es-ES"/>
        </w:rPr>
      </w:pPr>
    </w:p>
    <w:p w14:paraId="3AB6EE6E" w14:textId="77777777" w:rsidR="008F0FE4" w:rsidRPr="0061306E" w:rsidRDefault="008F0FE4" w:rsidP="008F0FE4">
      <w:pPr>
        <w:spacing w:after="120" w:line="276" w:lineRule="auto"/>
        <w:jc w:val="both"/>
        <w:rPr>
          <w:rFonts w:ascii="Century Gothic" w:eastAsia="Times New Roman" w:hAnsi="Century Gothic" w:cs="Arial"/>
          <w:color w:val="000000" w:themeColor="text1"/>
          <w:lang w:val="es-ES" w:eastAsia="es-ES_tradnl"/>
        </w:rPr>
      </w:pPr>
      <w:r w:rsidRPr="0061306E">
        <w:rPr>
          <w:rFonts w:ascii="Century Gothic" w:eastAsia="Calibri" w:hAnsi="Century Gothic" w:cs="Arial"/>
          <w:color w:val="000000" w:themeColor="text1"/>
          <w:lang w:val="es-ES"/>
        </w:rPr>
        <w:tab/>
      </w:r>
      <w:bookmarkStart w:id="3" w:name="_Hlk113525097"/>
      <w:r w:rsidRPr="0061306E">
        <w:rPr>
          <w:rFonts w:ascii="Verdana" w:eastAsia="Times New Roman" w:hAnsi="Verdana" w:cs="Arial"/>
          <w:lang w:val="es-ES" w:eastAsia="es-MX"/>
        </w:rPr>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que no estén en competencia ni desarrollen su actividad en mercados regulados están sometidas al EGCAP y </w:t>
      </w:r>
      <w:r>
        <w:rPr>
          <w:rFonts w:ascii="Verdana" w:eastAsia="Times New Roman" w:hAnsi="Verdana" w:cs="Arial"/>
          <w:lang w:val="es-ES" w:eastAsia="es-MX"/>
        </w:rPr>
        <w:t xml:space="preserve">a </w:t>
      </w:r>
      <w:r w:rsidRPr="0061306E">
        <w:rPr>
          <w:rFonts w:ascii="Verdana" w:eastAsia="Times New Roman" w:hAnsi="Verdana" w:cs="Arial"/>
          <w:lang w:val="es-ES" w:eastAsia="es-MX"/>
        </w:rPr>
        <w:t>las normas que lo complementan. En contraste, el régimen contractual de los mencionados tipos de entidades cuando se encuentren en competencia o en mercados regulados es el propio de tales actividades, es decir, por regla general, el derecho privado. De acuerdo con la jurisprudencia, la exclusión de estas últimas del EGCAP se justifica en el principio de igualdad, ya que, si el Estado desarrolla actividades de los particulares, debe actuar no solo desprovisto de poderes exorbitantes sino también con la misma eficacia y eficiencia que los sujetos de derecho privado.</w:t>
      </w:r>
      <w:r w:rsidRPr="0061306E">
        <w:rPr>
          <w:rFonts w:ascii="Verdana" w:eastAsia="Calibri" w:hAnsi="Verdana" w:cs="Arial"/>
          <w:color w:val="000000" w:themeColor="text1"/>
          <w:vertAlign w:val="superscript"/>
          <w:lang w:val="es-ES"/>
        </w:rPr>
        <w:footnoteReference w:id="11"/>
      </w:r>
      <w:r w:rsidRPr="0061306E">
        <w:rPr>
          <w:rFonts w:ascii="Verdana" w:eastAsia="Times New Roman" w:hAnsi="Verdana" w:cs="Arial"/>
          <w:color w:val="000000" w:themeColor="text1"/>
          <w:lang w:val="es-ES" w:eastAsia="es-ES_tradnl"/>
        </w:rPr>
        <w:t xml:space="preserve"> </w:t>
      </w:r>
    </w:p>
    <w:p w14:paraId="16E5D638" w14:textId="77777777" w:rsidR="008F0FE4" w:rsidRPr="0061306E" w:rsidRDefault="008F0FE4" w:rsidP="008F0FE4">
      <w:pPr>
        <w:spacing w:after="120" w:line="276" w:lineRule="auto"/>
        <w:jc w:val="both"/>
        <w:rPr>
          <w:rFonts w:ascii="Century Gothic" w:eastAsia="Calibri" w:hAnsi="Century Gothic" w:cs="Arial"/>
          <w:color w:val="000000" w:themeColor="text1"/>
          <w:lang w:val="es-ES"/>
        </w:rPr>
      </w:pPr>
      <w:r w:rsidRPr="0061306E">
        <w:rPr>
          <w:rFonts w:ascii="Century Gothic" w:eastAsia="Times New Roman" w:hAnsi="Century Gothic" w:cs="Arial"/>
          <w:color w:val="000000" w:themeColor="text1"/>
          <w:lang w:val="es-ES" w:eastAsia="es-ES_tradnl"/>
        </w:rPr>
        <w:tab/>
      </w:r>
      <w:r w:rsidRPr="0061306E">
        <w:rPr>
          <w:rFonts w:ascii="Verdana" w:eastAsia="Times New Roman" w:hAnsi="Verdana" w:cs="Arial"/>
          <w:lang w:val="es-ES" w:eastAsia="es-MX"/>
        </w:rPr>
        <w:t>Es importante anotar que el artículo 2.2.1.1.1.3.1 del Decreto 1082 de 2015 establece una definición de Entidad Estatal que abarca no solo a las del artículo 2 de la Ley 80 de 1993, sino también a entidades referidas en otras disposiciones. Según esta definición no solo constituyen Entidades Estatales las mencionadas en el artículo 2 de la Ley</w:t>
      </w:r>
      <w:r w:rsidRPr="0061306E">
        <w:rPr>
          <w:rFonts w:ascii="Verdana" w:eastAsia="Times New Roman" w:hAnsi="Verdana" w:cs="Arial"/>
          <w:color w:val="000000" w:themeColor="text1"/>
          <w:lang w:val="es-ES" w:eastAsia="es-ES_tradnl"/>
        </w:rPr>
        <w:t xml:space="preserve"> 80 de 1993, sino también las mencionadas en los artículos 10</w:t>
      </w:r>
      <w:r w:rsidRPr="0061306E">
        <w:rPr>
          <w:rFonts w:ascii="Verdana" w:eastAsia="Times New Roman" w:hAnsi="Verdana" w:cs="Arial"/>
          <w:color w:val="000000" w:themeColor="text1"/>
          <w:vertAlign w:val="superscript"/>
          <w:lang w:val="es-ES" w:eastAsia="es-ES_tradnl"/>
        </w:rPr>
        <w:footnoteReference w:id="12"/>
      </w:r>
      <w:r w:rsidRPr="0061306E">
        <w:rPr>
          <w:rFonts w:ascii="Verdana" w:eastAsia="Times New Roman" w:hAnsi="Verdana" w:cs="Arial"/>
          <w:color w:val="000000" w:themeColor="text1"/>
          <w:lang w:val="es-ES" w:eastAsia="es-ES_tradnl"/>
        </w:rPr>
        <w:t>, 14 y 24</w:t>
      </w:r>
      <w:r w:rsidRPr="0061306E">
        <w:rPr>
          <w:rFonts w:ascii="Verdana" w:eastAsia="Times New Roman" w:hAnsi="Verdana" w:cs="Arial"/>
          <w:color w:val="000000" w:themeColor="text1"/>
          <w:vertAlign w:val="superscript"/>
          <w:lang w:val="es-ES" w:eastAsia="es-ES_tradnl"/>
        </w:rPr>
        <w:footnoteReference w:id="13"/>
      </w:r>
      <w:r w:rsidRPr="0061306E">
        <w:rPr>
          <w:rFonts w:ascii="Verdana" w:eastAsia="Times New Roman" w:hAnsi="Verdana" w:cs="Arial"/>
          <w:color w:val="000000" w:themeColor="text1"/>
          <w:lang w:val="es-ES" w:eastAsia="es-ES_tradnl"/>
        </w:rPr>
        <w:t xml:space="preserve"> de la Ley 1150 de 2007.</w:t>
      </w:r>
      <w:r w:rsidRPr="0061306E">
        <w:rPr>
          <w:rFonts w:ascii="Century Gothic" w:eastAsia="Times New Roman" w:hAnsi="Century Gothic" w:cs="Arial"/>
          <w:color w:val="000000" w:themeColor="text1"/>
          <w:lang w:val="es-ES" w:eastAsia="es-ES_tradnl"/>
        </w:rPr>
        <w:t xml:space="preserve"> </w:t>
      </w:r>
    </w:p>
    <w:p w14:paraId="0A57D72C" w14:textId="77777777" w:rsidR="008F0FE4" w:rsidRPr="0061306E" w:rsidRDefault="008F0FE4" w:rsidP="008F0FE4">
      <w:pPr>
        <w:spacing w:after="120" w:line="276" w:lineRule="auto"/>
        <w:ind w:firstLine="708"/>
        <w:jc w:val="both"/>
        <w:rPr>
          <w:rFonts w:ascii="Century Gothic" w:eastAsia="Times New Roman" w:hAnsi="Century Gothic" w:cs="Arial"/>
          <w:color w:val="000000" w:themeColor="text1"/>
          <w:lang w:val="es-ES" w:eastAsia="es-ES_tradnl"/>
        </w:rPr>
      </w:pPr>
      <w:r w:rsidRPr="0061306E">
        <w:rPr>
          <w:rFonts w:ascii="Verdana" w:eastAsia="Times New Roman" w:hAnsi="Verdana" w:cs="Arial"/>
          <w:color w:val="000000" w:themeColor="text1"/>
          <w:lang w:val="es-ES" w:eastAsia="es-ES_tradnl"/>
        </w:rPr>
        <w:t>Este marco jurídico</w:t>
      </w:r>
      <w:r>
        <w:rPr>
          <w:rFonts w:ascii="Verdana" w:eastAsia="Times New Roman" w:hAnsi="Verdana" w:cs="Arial"/>
          <w:color w:val="000000" w:themeColor="text1"/>
          <w:lang w:val="es-ES" w:eastAsia="es-ES_tradnl"/>
        </w:rPr>
        <w:t xml:space="preserve"> </w:t>
      </w:r>
      <w:r w:rsidRPr="0061306E">
        <w:rPr>
          <w:rFonts w:ascii="Verdana" w:eastAsia="Times New Roman" w:hAnsi="Verdana" w:cs="Arial"/>
          <w:color w:val="000000" w:themeColor="text1"/>
          <w:lang w:val="es-ES" w:eastAsia="es-ES_tradnl"/>
        </w:rPr>
        <w:t xml:space="preserve">evidencia que las entidades </w:t>
      </w:r>
      <w:r w:rsidRPr="0061306E">
        <w:rPr>
          <w:rFonts w:ascii="Verdana" w:eastAsia="Times New Roman" w:hAnsi="Verdana" w:cs="Arial"/>
          <w:i/>
          <w:iCs/>
          <w:color w:val="000000" w:themeColor="text1"/>
          <w:lang w:val="es-ES" w:eastAsia="es-ES_tradnl"/>
        </w:rPr>
        <w:t xml:space="preserve">descentralizadas indirectas </w:t>
      </w:r>
      <w:r w:rsidRPr="0061306E">
        <w:rPr>
          <w:rFonts w:ascii="Verdana" w:eastAsia="Times New Roman" w:hAnsi="Verdana" w:cs="Arial"/>
          <w:color w:val="000000" w:themeColor="text1"/>
          <w:lang w:val="es-ES" w:eastAsia="es-ES_tradnl"/>
        </w:rPr>
        <w:t xml:space="preserve">son Entidades Estatales que se encuentran sometidas, en principio, al EGCAP, en virtud de la referencia genérica realizada por el literal a) del numeral 1 del artículo 2 de la Ley 80 de 1993. Sin embargo, conforme se desprende del texto del señalado literal, la calidad de Entidad Estatal en los términos del artículo 2 de la Ley 80 de 1993, solo aplica a las entidades descentralizadas indirectas </w:t>
      </w:r>
      <w:r w:rsidRPr="0061306E">
        <w:rPr>
          <w:rFonts w:ascii="Verdana" w:eastAsia="Times New Roman" w:hAnsi="Verdana" w:cs="Arial"/>
          <w:i/>
          <w:iCs/>
          <w:color w:val="000000" w:themeColor="text1"/>
          <w:lang w:val="es-ES" w:eastAsia="es-ES_tradnl"/>
        </w:rPr>
        <w:t>en las que el estado tenga una participación mayoritaria</w:t>
      </w:r>
      <w:r w:rsidRPr="0061306E">
        <w:rPr>
          <w:rFonts w:ascii="Verdana" w:eastAsia="Times New Roman" w:hAnsi="Verdana" w:cs="Arial"/>
          <w:color w:val="000000" w:themeColor="text1"/>
          <w:lang w:val="es-ES" w:eastAsia="es-ES_tradnl"/>
        </w:rPr>
        <w:t>. En ese sentido, las entidades descentralizadas indirectas en las que el Estado tenga una participación minoritaria no se encuadran en la definición de Entidades Estatales sometidas al EGCAP, de conformidad con lo establecido en el numeral 1 del artículo 2 de la Ley 80 de 1993, por lo que su contratación no está regida por dicho cuerpo normativo y se someterá al derecho privado, a sus normas de creación y manuales de contratación</w:t>
      </w:r>
      <w:r w:rsidRPr="0061306E">
        <w:rPr>
          <w:rFonts w:ascii="Century Gothic" w:eastAsia="Times New Roman" w:hAnsi="Century Gothic" w:cs="Arial"/>
          <w:color w:val="000000" w:themeColor="text1"/>
          <w:lang w:val="es-ES" w:eastAsia="es-ES_tradnl"/>
        </w:rPr>
        <w:t xml:space="preserve">. </w:t>
      </w:r>
    </w:p>
    <w:p w14:paraId="66E668A2" w14:textId="77777777" w:rsidR="008F0FE4" w:rsidRPr="0061306E" w:rsidRDefault="008F0FE4" w:rsidP="008F0FE4">
      <w:pPr>
        <w:spacing w:after="120" w:line="276" w:lineRule="auto"/>
        <w:ind w:firstLine="708"/>
        <w:jc w:val="both"/>
        <w:rPr>
          <w:rFonts w:ascii="Verdana" w:eastAsia="Times New Roman" w:hAnsi="Verdana" w:cs="Arial"/>
          <w:color w:val="000000" w:themeColor="text1"/>
          <w:lang w:val="es-ES" w:eastAsia="es-ES_tradnl"/>
        </w:rPr>
      </w:pPr>
      <w:r w:rsidRPr="0061306E">
        <w:rPr>
          <w:rFonts w:ascii="Verdana" w:eastAsia="Times New Roman" w:hAnsi="Verdana" w:cs="Arial"/>
          <w:color w:val="000000" w:themeColor="text1"/>
          <w:lang w:val="es-ES" w:eastAsia="es-ES_tradnl"/>
        </w:rPr>
        <w:t>En todo caso, es importante aclarar que, aunque el literal a) del numeral 1 del artículo 2 de la Ley 80 de 1993 se refiere de manera expresa a las entidades descentralizadas indirectas, esta categoría es aplicable a personas jurídicas de diversa naturaleza y régimen jurídico, creadas con la anuencia de entidades públicas. Contrario a lo que sucede con las entidades descentralizadas directas o de primer grado, las cuales son creadas por la ley, las entidades descentralizadas indirectas o de segundo grado surgen como producto de la voluntad asociativa de Entidades Estatales</w:t>
      </w:r>
      <w:bookmarkEnd w:id="3"/>
      <w:r w:rsidRPr="0061306E">
        <w:rPr>
          <w:rFonts w:ascii="Verdana" w:eastAsia="Times New Roman" w:hAnsi="Verdana" w:cs="Arial"/>
          <w:color w:val="000000" w:themeColor="text1"/>
          <w:lang w:val="es-ES" w:eastAsia="es-ES_tradnl"/>
        </w:rPr>
        <w:t>.</w:t>
      </w:r>
    </w:p>
    <w:p w14:paraId="3048EACA" w14:textId="77777777" w:rsidR="008F0FE4" w:rsidRPr="0061306E" w:rsidRDefault="008F0FE4" w:rsidP="008F0FE4">
      <w:pPr>
        <w:spacing w:after="120" w:line="276" w:lineRule="auto"/>
        <w:ind w:firstLine="567"/>
        <w:jc w:val="both"/>
        <w:rPr>
          <w:rFonts w:ascii="Century Gothic" w:eastAsia="Times New Roman" w:hAnsi="Century Gothic" w:cs="Arial"/>
          <w:bCs/>
          <w:lang w:val="es-ES" w:eastAsia="es-CO"/>
        </w:rPr>
      </w:pPr>
      <w:r w:rsidRPr="0061306E">
        <w:rPr>
          <w:rFonts w:ascii="Verdana" w:eastAsia="Times New Roman" w:hAnsi="Verdana" w:cs="Arial"/>
          <w:color w:val="000000" w:themeColor="text1"/>
          <w:lang w:val="es-ES" w:eastAsia="es-ES_tradnl"/>
        </w:rPr>
        <w:t>Con relación a la distinción entre entidades descentralizadas directas e indirectas, 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61306E">
        <w:rPr>
          <w:rFonts w:ascii="Verdana" w:hAnsi="Verdana"/>
          <w:color w:val="000000" w:themeColor="text1"/>
          <w:vertAlign w:val="superscript"/>
          <w:lang w:val="es-ES" w:eastAsia="es-ES_tradnl"/>
        </w:rPr>
        <w:footnoteReference w:id="14"/>
      </w:r>
      <w:r w:rsidRPr="0061306E">
        <w:rPr>
          <w:rFonts w:ascii="Verdana" w:eastAsia="Times New Roman" w:hAnsi="Verdana" w:cs="Arial"/>
          <w:color w:val="000000" w:themeColor="text1"/>
          <w:lang w:val="es-ES" w:eastAsia="es-ES_tradnl"/>
        </w:rPr>
        <w:t>. En el mismo sentido, la doctrina nacional ha señalado que</w:t>
      </w:r>
      <w:r>
        <w:rPr>
          <w:rFonts w:ascii="Verdana" w:eastAsia="Times New Roman" w:hAnsi="Verdana" w:cs="Arial"/>
          <w:color w:val="000000" w:themeColor="text1"/>
          <w:lang w:val="es-ES" w:eastAsia="es-ES_tradnl"/>
        </w:rPr>
        <w:t xml:space="preserve"> </w:t>
      </w:r>
      <w:r w:rsidRPr="0061306E">
        <w:rPr>
          <w:rFonts w:ascii="Verdana" w:eastAsia="Times New Roman" w:hAnsi="Verdana" w:cs="Arial"/>
          <w:color w:val="000000" w:themeColor="text1"/>
          <w:lang w:val="es-ES" w:eastAsia="es-ES_tradnl"/>
        </w:rPr>
        <w:t>la denominación “entidades descentralizadas indirectas” o de “segundo grado” se ha dado a las personas jurídicas que nacen no de la ley, sino de la voluntad asociativa de los entes públicos</w:t>
      </w:r>
      <w:r w:rsidRPr="0061306E">
        <w:rPr>
          <w:rFonts w:ascii="Verdana" w:eastAsia="Times New Roman" w:hAnsi="Verdana" w:cs="Arial"/>
          <w:bCs/>
          <w:vertAlign w:val="superscript"/>
          <w:lang w:val="es-ES" w:eastAsia="es-CO"/>
        </w:rPr>
        <w:footnoteReference w:id="15"/>
      </w:r>
      <w:r w:rsidRPr="0061306E">
        <w:rPr>
          <w:rFonts w:ascii="Verdana" w:eastAsia="Times New Roman" w:hAnsi="Verdana" w:cs="Arial"/>
          <w:bCs/>
          <w:lang w:val="es-ES" w:eastAsia="es-CO"/>
        </w:rPr>
        <w:t>.</w:t>
      </w:r>
      <w:r w:rsidRPr="0061306E">
        <w:rPr>
          <w:rFonts w:ascii="Century Gothic" w:eastAsia="Times New Roman" w:hAnsi="Century Gothic" w:cs="Arial"/>
          <w:bCs/>
          <w:lang w:val="es-ES" w:eastAsia="es-CO"/>
        </w:rPr>
        <w:t xml:space="preserve"> </w:t>
      </w:r>
    </w:p>
    <w:p w14:paraId="78641C59" w14:textId="77777777" w:rsidR="008F0FE4" w:rsidRPr="0061306E" w:rsidRDefault="008F0FE4" w:rsidP="008F0FE4">
      <w:pPr>
        <w:spacing w:after="0" w:line="276" w:lineRule="auto"/>
        <w:ind w:firstLine="708"/>
        <w:jc w:val="both"/>
        <w:rPr>
          <w:rFonts w:ascii="Verdana" w:eastAsia="Times New Roman" w:hAnsi="Verdana" w:cs="Arial"/>
          <w:lang w:val="es-ES" w:eastAsia="es-CO"/>
        </w:rPr>
      </w:pPr>
      <w:r w:rsidRPr="0061306E">
        <w:rPr>
          <w:rFonts w:ascii="Verdana" w:eastAsia="Times New Roman" w:hAnsi="Verdana" w:cs="Arial"/>
          <w:lang w:val="es-ES" w:eastAsia="es-CO"/>
        </w:rPr>
        <w:t xml:space="preserve">Al respecto, es importante resaltar que la Corte Constitucional, al revisar la constitucionalidad del literal a) del </w:t>
      </w:r>
      <w:r w:rsidRPr="0061306E">
        <w:rPr>
          <w:rFonts w:ascii="Verdana" w:eastAsia="Times New Roman" w:hAnsi="Verdana" w:cs="Arial"/>
          <w:color w:val="000000" w:themeColor="text1"/>
          <w:lang w:val="es-ES" w:eastAsia="es-ES_tradnl"/>
        </w:rPr>
        <w:t xml:space="preserve">numeral 2 del artículo 2 </w:t>
      </w:r>
      <w:r w:rsidRPr="0061306E">
        <w:rPr>
          <w:rFonts w:ascii="Verdana" w:eastAsia="Times New Roman" w:hAnsi="Verdana" w:cs="Arial"/>
          <w:lang w:val="es-ES" w:eastAsia="es-CO"/>
        </w:rPr>
        <w:t xml:space="preserve">de la Ley 80 de 1993 en la Sentencia C-230 de 1995, analizó el régimen aplicable a las asociaciones de carácter </w:t>
      </w:r>
      <w:r w:rsidRPr="0061306E">
        <w:rPr>
          <w:rFonts w:ascii="Verdana" w:eastAsia="Times New Roman" w:hAnsi="Verdana" w:cs="Arial"/>
          <w:i/>
          <w:iCs/>
          <w:lang w:val="es-ES" w:eastAsia="es-CO"/>
        </w:rPr>
        <w:t>mixto</w:t>
      </w:r>
      <w:r w:rsidRPr="0061306E">
        <w:rPr>
          <w:rFonts w:ascii="Verdana" w:eastAsia="Times New Roman" w:hAnsi="Verdana" w:cs="Arial"/>
          <w:lang w:val="es-ES" w:eastAsia="es-CO"/>
        </w:rPr>
        <w:t xml:space="preserve"> sin ánimo de lucro que se constituyeron en vigencia del artículo 6º del Decreto Ley 130 de 1976. Manifestó que era perfectamente viable someter las asociaciones que cuenten con una participación pública mayoritaria a las reglas y principios de la contratación pública. Al respecto, la Corte Constitucional señaló lo siguiente:</w:t>
      </w:r>
    </w:p>
    <w:p w14:paraId="33A081C9" w14:textId="77777777" w:rsidR="008F0FE4" w:rsidRPr="0061306E" w:rsidRDefault="008F0FE4" w:rsidP="008F0FE4">
      <w:pPr>
        <w:spacing w:after="0" w:line="276" w:lineRule="auto"/>
        <w:ind w:firstLine="567"/>
        <w:jc w:val="both"/>
        <w:rPr>
          <w:rFonts w:ascii="Century Gothic" w:eastAsia="Times New Roman" w:hAnsi="Century Gothic" w:cs="Arial"/>
          <w:lang w:val="es-ES" w:eastAsia="es-CO"/>
        </w:rPr>
      </w:pPr>
    </w:p>
    <w:p w14:paraId="2F9FD4D0" w14:textId="77777777" w:rsidR="008F0FE4" w:rsidRPr="0061306E" w:rsidRDefault="008F0FE4" w:rsidP="008F0FE4">
      <w:pPr>
        <w:snapToGrid w:val="0"/>
        <w:spacing w:after="0" w:line="240" w:lineRule="auto"/>
        <w:ind w:left="709" w:right="709"/>
        <w:contextualSpacing/>
        <w:jc w:val="both"/>
        <w:rPr>
          <w:rFonts w:ascii="Verdana" w:eastAsia="Times New Roman" w:hAnsi="Verdana" w:cs="Arial"/>
          <w:sz w:val="20"/>
          <w:szCs w:val="20"/>
          <w:lang w:val="es-ES" w:eastAsia="es-CO"/>
        </w:rPr>
      </w:pPr>
      <w:r w:rsidRPr="0061306E">
        <w:rPr>
          <w:rFonts w:ascii="Verdana" w:eastAsia="Times New Roman" w:hAnsi="Verdana" w:cs="Arial"/>
          <w:iCs/>
          <w:sz w:val="20"/>
          <w:szCs w:val="20"/>
          <w:lang w:val="es-ES" w:eastAsia="es-CO"/>
        </w:rPr>
        <w:t>“</w:t>
      </w:r>
      <w:r w:rsidRPr="0061306E">
        <w:rPr>
          <w:rFonts w:ascii="Verdana" w:eastAsia="Times New Roman" w:hAnsi="Verdana" w:cs="Arial"/>
          <w:i/>
          <w:sz w:val="20"/>
          <w:szCs w:val="20"/>
          <w:lang w:val="es-ES" w:eastAsia="es-CO"/>
        </w:rPr>
        <w:t>La ley 80 de 1993 sometió a las corporaciones y fundaciones, en las cuales el Estado tenga </w:t>
      </w:r>
      <w:r w:rsidRPr="0061306E">
        <w:rPr>
          <w:rFonts w:ascii="Verdana" w:eastAsia="Times New Roman" w:hAnsi="Verdana" w:cs="Arial"/>
          <w:bCs/>
          <w:i/>
          <w:sz w:val="20"/>
          <w:szCs w:val="20"/>
          <w:lang w:val="es-ES" w:eastAsia="es-CO"/>
        </w:rPr>
        <w:t>una participación mayoritaria</w:t>
      </w:r>
      <w:r w:rsidRPr="0061306E">
        <w:rPr>
          <w:rFonts w:ascii="Verdana" w:eastAsia="Times New Roman" w:hAnsi="Verdana" w:cs="Arial"/>
          <w:i/>
          <w:sz w:val="20"/>
          <w:szCs w:val="20"/>
          <w:lang w:val="es-ES" w:eastAsia="es-CO"/>
        </w:rPr>
        <w:t> (art. 2o., ord. 1o, lit. a.), a las reglas y principios de la contratación de la administración pública y para ello las reconoció en el literal a) del ordinal 1 del art. 2 de dicha ley como entidades estatales.</w:t>
      </w:r>
      <w:r w:rsidRPr="0061306E">
        <w:rPr>
          <w:rFonts w:ascii="Verdana" w:eastAsia="Times New Roman" w:hAnsi="Verdana" w:cs="Arial"/>
          <w:sz w:val="20"/>
          <w:szCs w:val="20"/>
          <w:lang w:val="es-ES" w:eastAsia="es-CO"/>
        </w:rPr>
        <w:t xml:space="preserve"> Consecuencialmente se determinó en el fragmento normativo acusado que sus representantes y los funcionarios de determinados niveles en quienes se delegue la celebración de contratos tienen el carácter de servidores públicos. Es claro, que supuesto lo primero tenía que establecerse lo segundo, porque de otra manera no se lograría alcanzar el propósito práctico de vincular al régimen de responsabilidades a quienes obraran en nombre de tales fundaciones y corporaciones, lo cual se adecua a lo establecido en los arts. 6 y 123 de la C.P.</w:t>
      </w:r>
    </w:p>
    <w:p w14:paraId="21B3EC68" w14:textId="77777777" w:rsidR="008F0FE4" w:rsidRPr="0061306E" w:rsidRDefault="008F0FE4" w:rsidP="008F0FE4">
      <w:pPr>
        <w:snapToGrid w:val="0"/>
        <w:spacing w:after="0" w:line="240" w:lineRule="auto"/>
        <w:ind w:left="709" w:right="709"/>
        <w:contextualSpacing/>
        <w:jc w:val="both"/>
        <w:rPr>
          <w:rFonts w:ascii="Verdana" w:eastAsia="Times New Roman" w:hAnsi="Verdana" w:cs="Arial"/>
          <w:sz w:val="20"/>
          <w:szCs w:val="20"/>
          <w:lang w:val="es-ES" w:eastAsia="es-CO"/>
        </w:rPr>
      </w:pPr>
      <w:r w:rsidRPr="0061306E">
        <w:rPr>
          <w:rFonts w:ascii="Verdana" w:eastAsia="Times New Roman" w:hAnsi="Verdana" w:cs="Arial"/>
          <w:sz w:val="20"/>
          <w:szCs w:val="20"/>
          <w:lang w:val="es-ES" w:eastAsia="es-CO"/>
        </w:rPr>
        <w:t>El encuadramiento de las corporaciones y fundaciones en la condición de entidades estatales y la calificación de sus directivos como servidores públicos, </w:t>
      </w:r>
      <w:r w:rsidRPr="0061306E">
        <w:rPr>
          <w:rFonts w:ascii="Verdana" w:eastAsia="Times New Roman" w:hAnsi="Verdana" w:cs="Arial"/>
          <w:bCs/>
          <w:sz w:val="20"/>
          <w:szCs w:val="20"/>
          <w:lang w:val="es-ES" w:eastAsia="es-CO"/>
        </w:rPr>
        <w:t>para los efectos indicados, no modifica ni la naturaleza de aquéllas ni la situación laboral particular de estos últimos con las referidas entidades</w:t>
      </w:r>
      <w:r w:rsidRPr="0061306E">
        <w:rPr>
          <w:rFonts w:ascii="Verdana" w:eastAsia="Times New Roman" w:hAnsi="Verdana" w:cs="Arial"/>
          <w:sz w:val="20"/>
          <w:szCs w:val="20"/>
          <w:lang w:val="es-ES" w:eastAsia="es-CO"/>
        </w:rPr>
        <w:t>, </w:t>
      </w:r>
      <w:r w:rsidRPr="0061306E">
        <w:rPr>
          <w:rFonts w:ascii="Verdana" w:eastAsia="Times New Roman" w:hAnsi="Verdana" w:cs="Arial"/>
          <w:bCs/>
          <w:sz w:val="20"/>
          <w:szCs w:val="20"/>
          <w:lang w:val="es-ES" w:eastAsia="es-CO"/>
        </w:rPr>
        <w:t>porque unas y otros siguen sometidos al régimen de derecho privado que les es aplicable</w:t>
      </w:r>
      <w:r w:rsidRPr="0061306E">
        <w:rPr>
          <w:rFonts w:ascii="Verdana" w:eastAsia="Times New Roman" w:hAnsi="Verdana" w:cs="Arial"/>
          <w:sz w:val="20"/>
          <w:szCs w:val="20"/>
          <w:lang w:val="es-ES" w:eastAsia="es-CO"/>
        </w:rPr>
        <w:t>, pues, como ya se dijo la referida clasificación se consagró exclusivamente para fines del manejo, control y responsabilidad de la inversión de los recursos públicos mediante la contratación.</w:t>
      </w:r>
    </w:p>
    <w:p w14:paraId="0E811824" w14:textId="77777777" w:rsidR="008F0FE4" w:rsidRPr="0061306E" w:rsidRDefault="008F0FE4" w:rsidP="008F0FE4">
      <w:pPr>
        <w:snapToGrid w:val="0"/>
        <w:spacing w:after="0" w:line="240" w:lineRule="auto"/>
        <w:ind w:left="709" w:right="709"/>
        <w:contextualSpacing/>
        <w:jc w:val="both"/>
        <w:rPr>
          <w:rFonts w:ascii="Verdana" w:eastAsia="Times New Roman" w:hAnsi="Verdana" w:cs="Arial"/>
          <w:sz w:val="20"/>
          <w:szCs w:val="20"/>
          <w:lang w:val="es-ES" w:eastAsia="es-CO"/>
        </w:rPr>
      </w:pPr>
      <w:r w:rsidRPr="0061306E">
        <w:rPr>
          <w:rFonts w:ascii="Verdana" w:eastAsia="Times New Roman" w:hAnsi="Verdana" w:cs="Arial"/>
          <w:sz w:val="20"/>
          <w:szCs w:val="20"/>
          <w:lang w:val="es-ES" w:eastAsia="es-CO"/>
        </w:rPr>
        <w:t>[…]</w:t>
      </w:r>
    </w:p>
    <w:p w14:paraId="0987E610" w14:textId="0574E6D2" w:rsidR="008F0FE4" w:rsidRPr="0061306E" w:rsidRDefault="008F0FE4" w:rsidP="008F0FE4">
      <w:pPr>
        <w:snapToGrid w:val="0"/>
        <w:spacing w:after="0" w:line="240" w:lineRule="auto"/>
        <w:ind w:left="709" w:right="709"/>
        <w:contextualSpacing/>
        <w:jc w:val="both"/>
        <w:rPr>
          <w:rFonts w:ascii="Verdana" w:eastAsia="Times New Roman" w:hAnsi="Verdana" w:cs="Arial"/>
          <w:sz w:val="20"/>
          <w:szCs w:val="20"/>
          <w:lang w:val="es-ES" w:eastAsia="es-CO"/>
        </w:rPr>
      </w:pPr>
      <w:r w:rsidRPr="0061306E">
        <w:rPr>
          <w:rFonts w:ascii="Verdana" w:eastAsia="Times New Roman" w:hAnsi="Verdana" w:cs="Arial"/>
          <w:sz w:val="20"/>
          <w:szCs w:val="20"/>
          <w:lang w:val="es-ES" w:eastAsia="es-CO"/>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r w:rsidRPr="0061306E">
        <w:rPr>
          <w:rFonts w:ascii="Verdana" w:eastAsia="Times New Roman" w:hAnsi="Verdana" w:cs="Arial"/>
          <w:sz w:val="20"/>
          <w:szCs w:val="20"/>
          <w:vertAlign w:val="superscript"/>
          <w:lang w:val="es-ES" w:eastAsia="es-CO"/>
        </w:rPr>
        <w:footnoteReference w:id="16"/>
      </w:r>
      <w:r w:rsidRPr="0061306E">
        <w:rPr>
          <w:rFonts w:ascii="Verdana" w:eastAsia="Times New Roman" w:hAnsi="Verdana" w:cs="Arial"/>
          <w:sz w:val="20"/>
          <w:szCs w:val="20"/>
          <w:lang w:val="es-ES" w:eastAsia="es-CO"/>
        </w:rPr>
        <w:t xml:space="preserve"> [Énfasis fuera de texto]. </w:t>
      </w:r>
    </w:p>
    <w:p w14:paraId="3D91A424" w14:textId="77777777" w:rsidR="008F0FE4" w:rsidRPr="00474617" w:rsidRDefault="008F0FE4" w:rsidP="00474617">
      <w:pPr>
        <w:snapToGrid w:val="0"/>
        <w:spacing w:after="0" w:line="276" w:lineRule="auto"/>
        <w:ind w:left="709" w:right="709"/>
        <w:contextualSpacing/>
        <w:jc w:val="both"/>
        <w:rPr>
          <w:rFonts w:ascii="Verdana" w:eastAsia="Times New Roman" w:hAnsi="Verdana" w:cs="Arial"/>
          <w:lang w:val="es-ES" w:eastAsia="es-CO"/>
        </w:rPr>
      </w:pPr>
    </w:p>
    <w:p w14:paraId="1752D8FD" w14:textId="6F64843B" w:rsidR="008F0FE4" w:rsidRPr="0061306E" w:rsidRDefault="008F0FE4" w:rsidP="008F0FE4">
      <w:pPr>
        <w:spacing w:after="120" w:line="276" w:lineRule="auto"/>
        <w:ind w:firstLine="709"/>
        <w:jc w:val="both"/>
        <w:rPr>
          <w:rFonts w:ascii="Verdana" w:hAnsi="Verdana" w:cs="Arial"/>
          <w:lang w:val="es-ES"/>
        </w:rPr>
      </w:pPr>
      <w:r w:rsidRPr="0061306E">
        <w:rPr>
          <w:rFonts w:ascii="Verdana" w:hAnsi="Verdana" w:cs="Arial"/>
          <w:lang w:val="es-ES"/>
        </w:rPr>
        <w:t xml:space="preserve">Para efectos de determinar la participación de las </w:t>
      </w:r>
      <w:r w:rsidR="009751E0" w:rsidRPr="0061306E">
        <w:rPr>
          <w:rFonts w:ascii="Verdana" w:hAnsi="Verdana" w:cs="Arial"/>
          <w:lang w:val="es-ES"/>
        </w:rPr>
        <w:t>Entidades</w:t>
      </w:r>
      <w:r w:rsidRPr="0061306E">
        <w:rPr>
          <w:rFonts w:ascii="Verdana" w:hAnsi="Verdana" w:cs="Arial"/>
          <w:lang w:val="es-ES"/>
        </w:rPr>
        <w:t xml:space="preserve"> del Estado en estas </w:t>
      </w:r>
      <w:r w:rsidRPr="0061306E">
        <w:rPr>
          <w:rFonts w:ascii="Verdana" w:hAnsi="Verdana" w:cs="Arial"/>
          <w:i/>
          <w:iCs/>
          <w:lang w:val="es-ES"/>
        </w:rPr>
        <w:t>asociaciones mixtas</w:t>
      </w:r>
      <w:r w:rsidRPr="0061306E">
        <w:rPr>
          <w:rFonts w:ascii="Verdana" w:hAnsi="Verdana" w:cs="Arial"/>
          <w:lang w:val="es-ES"/>
        </w:rPr>
        <w:t>, se hace necesario remitir a lo expresamente dispuesto en el artículo 96 de la Ley 489 de 1998</w:t>
      </w:r>
      <w:r w:rsidRPr="0061306E">
        <w:rPr>
          <w:rFonts w:ascii="Verdana" w:hAnsi="Verdana" w:cs="Arial"/>
          <w:vertAlign w:val="superscript"/>
          <w:lang w:val="es-ES"/>
        </w:rPr>
        <w:footnoteReference w:id="17"/>
      </w:r>
      <w:r w:rsidRPr="0061306E">
        <w:rPr>
          <w:rFonts w:ascii="Verdana" w:hAnsi="Verdana" w:cs="Arial"/>
          <w:lang w:val="es-ES"/>
        </w:rPr>
        <w:t xml:space="preserve">, el cual señala que las </w:t>
      </w:r>
      <w:r w:rsidR="008307C0" w:rsidRPr="0061306E">
        <w:rPr>
          <w:rFonts w:ascii="Verdana" w:hAnsi="Verdana" w:cs="Arial"/>
          <w:lang w:val="es-ES"/>
        </w:rPr>
        <w:t>Entidades Estatales</w:t>
      </w:r>
      <w:r w:rsidRPr="0061306E">
        <w:rPr>
          <w:rFonts w:ascii="Verdana" w:hAnsi="Verdana" w:cs="Arial"/>
          <w:lang w:val="es-ES"/>
        </w:rPr>
        <w:t>, cualquiera sea su naturaleza y orden administrativo</w:t>
      </w:r>
      <w:r>
        <w:rPr>
          <w:rFonts w:ascii="Verdana" w:hAnsi="Verdana" w:cs="Arial"/>
          <w:lang w:val="es-ES"/>
        </w:rPr>
        <w:t>,</w:t>
      </w:r>
      <w:r w:rsidRPr="0061306E">
        <w:rPr>
          <w:rFonts w:ascii="Verdana" w:hAnsi="Verdana" w:cs="Arial"/>
          <w:lang w:val="es-ES"/>
        </w:rPr>
        <w:t xml:space="preserve"> podrán asociarse con personas jurídicas particulares, mediante la celebración de convenios de asociación o la creación de personas jurídicas, para el desarrollo conjunto de actividades en relación con los cometidos y funciones que les asigna a aquéllas la ley. Adicionalmente, este artículo señala que en el acto constitutivo que dé origen a una persona jurídica se dispondrá, entre otros aspectos, los compromisos o aportes iniciales de las entidades asociadas, así como la participación de las entidades asociadas en el sostenimiento y funcionamiento de la entidad. Bajo esa perspectiva, el legislador diferenció dos (2) elementos importantes para el funcionamiento de estas asociaciones mixtas. Por un lado, los aportes realizados al momento de su constitución, los cuales determinan la participación de los asociados en la creación </w:t>
      </w:r>
      <w:r w:rsidRPr="0061306E">
        <w:rPr>
          <w:rFonts w:ascii="Verdana" w:eastAsia="Times New Roman" w:hAnsi="Verdana" w:cs="Arial"/>
          <w:color w:val="000000" w:themeColor="text1"/>
          <w:lang w:val="es-ES" w:eastAsia="es-ES_tradnl"/>
        </w:rPr>
        <w:t xml:space="preserve">de la persona jurídica, y con ello la naturaleza y el régimen jurídico de la entidad. Por otro lado, las contribuciones que se realizan para el sostenimiento y funcionamiento de la entidad sin ánimo de lucro. </w:t>
      </w:r>
    </w:p>
    <w:p w14:paraId="605B2891" w14:textId="079FC8BD" w:rsidR="008F0FE4" w:rsidRPr="0061306E" w:rsidRDefault="008F0FE4" w:rsidP="008F0FE4">
      <w:pPr>
        <w:spacing w:after="120" w:line="276" w:lineRule="auto"/>
        <w:ind w:firstLine="709"/>
        <w:jc w:val="both"/>
        <w:rPr>
          <w:rFonts w:ascii="Verdana" w:hAnsi="Verdana" w:cs="Arial"/>
          <w:color w:val="000000" w:themeColor="text1"/>
          <w:lang w:val="es-ES"/>
        </w:rPr>
      </w:pPr>
      <w:r w:rsidRPr="0061306E">
        <w:rPr>
          <w:rFonts w:ascii="Verdana" w:eastAsia="Times New Roman" w:hAnsi="Verdana" w:cs="Arial"/>
          <w:color w:val="000000" w:themeColor="text1"/>
          <w:lang w:val="es-ES" w:eastAsia="es-ES_tradnl"/>
        </w:rPr>
        <w:t xml:space="preserve">En ese sentido, para esta Agencia, las asociaciones de carácter mixto con participación mayoritaria del Estado que se constituyan en virtud del artículo 96 de la Ley 489 de 1998 se consideran como Entidades Estatales sometidas al EGCAP cuando los aportes realizados al momento de su constitución son superiores al </w:t>
      </w:r>
      <w:r w:rsidR="00E22158">
        <w:rPr>
          <w:rFonts w:ascii="Verdana" w:eastAsia="Times New Roman" w:hAnsi="Verdana" w:cs="Arial"/>
          <w:color w:val="000000" w:themeColor="text1"/>
          <w:lang w:val="es-ES" w:eastAsia="es-ES_tradnl"/>
        </w:rPr>
        <w:t>cincuenta por ciento</w:t>
      </w:r>
      <w:r w:rsidRPr="0061306E">
        <w:rPr>
          <w:rFonts w:ascii="Verdana" w:eastAsia="Times New Roman" w:hAnsi="Verdana" w:cs="Arial"/>
          <w:color w:val="000000" w:themeColor="text1"/>
          <w:lang w:val="es-ES" w:eastAsia="es-ES_tradnl"/>
        </w:rPr>
        <w:t xml:space="preserve"> </w:t>
      </w:r>
      <w:r w:rsidR="00E22158">
        <w:rPr>
          <w:rFonts w:ascii="Verdana" w:eastAsia="Times New Roman" w:hAnsi="Verdana" w:cs="Arial"/>
          <w:color w:val="000000" w:themeColor="text1"/>
          <w:lang w:val="es-ES" w:eastAsia="es-ES_tradnl"/>
        </w:rPr>
        <w:t>(</w:t>
      </w:r>
      <w:r w:rsidRPr="0061306E">
        <w:rPr>
          <w:rFonts w:ascii="Verdana" w:eastAsia="Times New Roman" w:hAnsi="Verdana" w:cs="Arial"/>
          <w:color w:val="000000" w:themeColor="text1"/>
          <w:lang w:val="es-ES" w:eastAsia="es-ES_tradnl"/>
        </w:rPr>
        <w:t>50%</w:t>
      </w:r>
      <w:r w:rsidR="00E22158">
        <w:rPr>
          <w:rFonts w:ascii="Verdana" w:eastAsia="Times New Roman" w:hAnsi="Verdana" w:cs="Arial"/>
          <w:color w:val="000000" w:themeColor="text1"/>
          <w:lang w:val="es-ES" w:eastAsia="es-ES_tradnl"/>
        </w:rPr>
        <w:t>)</w:t>
      </w:r>
      <w:r w:rsidRPr="0061306E">
        <w:rPr>
          <w:rFonts w:ascii="Verdana" w:eastAsia="Times New Roman" w:hAnsi="Verdana" w:cs="Arial"/>
          <w:color w:val="000000" w:themeColor="text1"/>
          <w:lang w:val="es-ES" w:eastAsia="es-ES_tradnl"/>
        </w:rPr>
        <w:t>. Lo anterior, sin perjuicio de cualquier modificación posterior que se realice de dichos</w:t>
      </w:r>
      <w:r w:rsidRPr="0061306E">
        <w:rPr>
          <w:rFonts w:ascii="Verdana" w:hAnsi="Verdana" w:cs="Arial"/>
          <w:lang w:val="es-ES"/>
        </w:rPr>
        <w:t xml:space="preserve"> aportes y que impliquen un cambio en la participación de los socios, fundadores o constituyentes. De esta manera, una corporación o fundación mixta con participación minoritaria del Estado adquiere la calidad de </w:t>
      </w:r>
      <w:r w:rsidR="009751E0" w:rsidRPr="0061306E">
        <w:rPr>
          <w:rFonts w:ascii="Verdana" w:hAnsi="Verdana" w:cs="Arial"/>
          <w:lang w:val="es-ES"/>
        </w:rPr>
        <w:t>Entidad Pública</w:t>
      </w:r>
      <w:r w:rsidRPr="0061306E">
        <w:rPr>
          <w:rFonts w:ascii="Verdana" w:hAnsi="Verdana" w:cs="Arial"/>
          <w:lang w:val="es-ES"/>
        </w:rPr>
        <w:t xml:space="preserve"> sujeta al EGCAP cuando la participación del Estado cambie y se torne mayoritaria</w:t>
      </w:r>
      <w:r>
        <w:rPr>
          <w:rFonts w:ascii="Verdana" w:hAnsi="Verdana" w:cs="Arial"/>
          <w:lang w:val="es-ES"/>
        </w:rPr>
        <w:t xml:space="preserve">. </w:t>
      </w:r>
      <w:r w:rsidRPr="0061306E">
        <w:rPr>
          <w:rFonts w:ascii="Verdana" w:hAnsi="Verdana" w:cs="Arial"/>
          <w:lang w:val="es-ES"/>
        </w:rPr>
        <w:t>Esto se fundamenta en el alcance explicado del literal a) numeral 1 del artículo 2 de la Ley 80 de 1993, al establecer que lo que interesa es determinar la participación mayoritaria del Estado, independiente</w:t>
      </w:r>
      <w:r>
        <w:rPr>
          <w:rFonts w:ascii="Verdana" w:hAnsi="Verdana" w:cs="Arial"/>
          <w:lang w:val="es-ES"/>
        </w:rPr>
        <w:t>mente</w:t>
      </w:r>
      <w:r w:rsidRPr="0061306E">
        <w:rPr>
          <w:rFonts w:ascii="Verdana" w:hAnsi="Verdana" w:cs="Arial"/>
          <w:lang w:val="es-ES"/>
        </w:rPr>
        <w:t xml:space="preserve"> si fue en su</w:t>
      </w:r>
      <w:r w:rsidRPr="0061306E">
        <w:rPr>
          <w:rFonts w:ascii="Verdana" w:hAnsi="Verdana" w:cs="Arial"/>
          <w:color w:val="000000" w:themeColor="text1"/>
          <w:lang w:val="es-ES"/>
        </w:rPr>
        <w:t xml:space="preserve"> constitución o en un momento posterior. Esto significa que estas entidades podrán estar sujetas a cambios en su régimen de contratación cuando se produzcan variaciones del aporte estatal, sin importar el tiempo en que se presenten. </w:t>
      </w:r>
    </w:p>
    <w:p w14:paraId="24302788" w14:textId="70C7CB38" w:rsidR="008F0FE4" w:rsidRPr="0061306E" w:rsidRDefault="008F0FE4" w:rsidP="008F0FE4">
      <w:pPr>
        <w:spacing w:after="120" w:line="276" w:lineRule="auto"/>
        <w:ind w:firstLine="709"/>
        <w:jc w:val="both"/>
        <w:rPr>
          <w:rFonts w:ascii="Verdana" w:hAnsi="Verdana" w:cs="Arial"/>
          <w:iCs/>
          <w:lang w:val="es-ES"/>
        </w:rPr>
      </w:pPr>
      <w:r w:rsidRPr="0061306E">
        <w:rPr>
          <w:rFonts w:ascii="Verdana" w:hAnsi="Verdana" w:cs="Arial"/>
          <w:lang w:val="es-ES"/>
        </w:rPr>
        <w:t xml:space="preserve">De esta manera, el artículo 96 de la Ley 489 de 1998 no puede interpretarse aisladamente con respecto a lo prescrito en el artículo 2 de la Ley 80 de 1993, </w:t>
      </w:r>
      <w:r>
        <w:rPr>
          <w:rFonts w:ascii="Verdana" w:hAnsi="Verdana" w:cs="Arial"/>
          <w:lang w:val="es-ES"/>
        </w:rPr>
        <w:t xml:space="preserve">el </w:t>
      </w:r>
      <w:r w:rsidRPr="0061306E">
        <w:rPr>
          <w:rFonts w:ascii="Verdana" w:hAnsi="Verdana" w:cs="Arial"/>
          <w:lang w:val="es-ES"/>
        </w:rPr>
        <w:t>cual no hace una distinción de los momentos de los aportes, sino que lo que importa es la participación mayoritaria del Estado, para efectos de determinar la aplicación del EGCAP.</w:t>
      </w:r>
      <w:r w:rsidRPr="0061306E">
        <w:rPr>
          <w:rFonts w:ascii="Verdana" w:hAnsi="Verdana" w:cs="Arial"/>
          <w:iCs/>
          <w:lang w:val="es-ES"/>
        </w:rPr>
        <w:t xml:space="preserve"> Así pues, las personas jurídicas creadas de conformidad con el artículo 96 de la Ley 489 de 1998, al constituir entidades descentralizadas indirectas, son susceptibles de ser consideradas Entidades Estatales en los términos del numeral 1 del artículo 2 de la Ley 80 de 1993 y</w:t>
      </w:r>
      <w:r w:rsidR="00B030A3">
        <w:rPr>
          <w:rFonts w:ascii="Verdana" w:hAnsi="Verdana" w:cs="Arial"/>
          <w:iCs/>
          <w:lang w:val="es-ES"/>
        </w:rPr>
        <w:t>,</w:t>
      </w:r>
      <w:r w:rsidRPr="0061306E">
        <w:rPr>
          <w:rFonts w:ascii="Verdana" w:hAnsi="Verdana" w:cs="Arial"/>
          <w:iCs/>
          <w:lang w:val="es-ES"/>
        </w:rPr>
        <w:t xml:space="preserve"> en consecuencia, estar sometidas al EGCAP. No obstante, ello solo aplica respecto de aquellas que cuenten con una participación mayoritaria en cabeza de otras entidades públicas, por lo que las entidades descentralizadas indirectas en los que la participación del Estado es minoritaria, no se encontrarían sujetas al régimen de contratación de la Ley 80 de 1993. Tampoco se encontrarán sujetas al EGCAP cuando exista una disposición legal que las exceptúe de la aplicación de este régimen</w:t>
      </w:r>
      <w:r w:rsidRPr="0061306E">
        <w:rPr>
          <w:rFonts w:ascii="Verdana" w:hAnsi="Verdana" w:cs="Arial"/>
          <w:iCs/>
          <w:vertAlign w:val="superscript"/>
          <w:lang w:val="es-ES"/>
        </w:rPr>
        <w:footnoteReference w:id="18"/>
      </w:r>
      <w:r w:rsidRPr="0061306E">
        <w:rPr>
          <w:rFonts w:ascii="Verdana" w:hAnsi="Verdana" w:cs="Arial"/>
          <w:iCs/>
          <w:lang w:val="es-ES"/>
        </w:rPr>
        <w:t>.</w:t>
      </w:r>
    </w:p>
    <w:p w14:paraId="6669529D" w14:textId="77777777" w:rsidR="008F0FE4" w:rsidRPr="0061306E" w:rsidRDefault="008F0FE4" w:rsidP="008F0FE4">
      <w:pPr>
        <w:spacing w:after="120" w:line="276" w:lineRule="auto"/>
        <w:ind w:firstLine="709"/>
        <w:jc w:val="both"/>
        <w:rPr>
          <w:rFonts w:ascii="Verdana" w:hAnsi="Verdana" w:cs="Arial"/>
          <w:lang w:val="es-ES"/>
        </w:rPr>
      </w:pPr>
      <w:r w:rsidRPr="0061306E">
        <w:rPr>
          <w:rFonts w:ascii="Verdana" w:hAnsi="Verdana" w:cs="Arial"/>
          <w:iCs/>
          <w:lang w:val="es-ES"/>
        </w:rPr>
        <w:t>En todo caso debe aclararse que el hecho de que las entidades descentralizadas indirectas con participación pública minoritaria no estén sujetas al EGCAP a luz del numeral 1 del artículo 2 de la Ley 80 de 1993, no significa que no sean entidades estatales. Esto comoquiera que estas asociaciones son una expresión de la descentralización administrativa, por cuanto hacen parte de las demás entidades de naturaleza especial creadas o autorizadas por la ley, las cuales se encuentran previstas en los artículos 38, literal g)</w:t>
      </w:r>
      <w:r w:rsidRPr="0061306E">
        <w:rPr>
          <w:rFonts w:ascii="Verdana" w:hAnsi="Verdana" w:cs="Arial"/>
          <w:vertAlign w:val="superscript"/>
          <w:lang w:val="es-ES"/>
        </w:rPr>
        <w:footnoteReference w:id="19"/>
      </w:r>
      <w:r w:rsidRPr="0061306E">
        <w:rPr>
          <w:rFonts w:ascii="Verdana" w:hAnsi="Verdana" w:cs="Arial"/>
          <w:lang w:val="es-ES"/>
        </w:rPr>
        <w:t xml:space="preserve"> y 68 de la Ley 489 de 1998</w:t>
      </w:r>
      <w:r w:rsidRPr="0061306E">
        <w:rPr>
          <w:rFonts w:ascii="Verdana" w:hAnsi="Verdana" w:cs="Arial"/>
          <w:vertAlign w:val="superscript"/>
          <w:lang w:val="es-ES"/>
        </w:rPr>
        <w:footnoteReference w:id="20"/>
      </w:r>
      <w:r w:rsidRPr="0061306E">
        <w:rPr>
          <w:rFonts w:ascii="Verdana" w:hAnsi="Verdana" w:cs="Arial"/>
          <w:lang w:val="es-ES"/>
        </w:rPr>
        <w:t>, como parte de</w:t>
      </w:r>
      <w:r>
        <w:rPr>
          <w:rFonts w:ascii="Verdana" w:hAnsi="Verdana" w:cs="Arial"/>
          <w:lang w:val="es-ES"/>
        </w:rPr>
        <w:t>l</w:t>
      </w:r>
      <w:r w:rsidRPr="0061306E">
        <w:rPr>
          <w:rFonts w:ascii="Verdana" w:hAnsi="Verdana" w:cs="Arial"/>
          <w:lang w:val="es-ES"/>
        </w:rPr>
        <w:t xml:space="preserve"> sector descentralizado por servicios. Esto significa que, estén o no sometidas al EGCAP, nada obsta para que, en virtud de esa participación pública minoritaria, las entidades descentralizadas indirectas puedan ser consideradas en sentido amplio como entidades estatales, considerando que el propio ordenamiento jurídico las ubica dentro de la estructura de la Administración Pública. </w:t>
      </w:r>
    </w:p>
    <w:p w14:paraId="71933270" w14:textId="77777777" w:rsidR="008F0FE4" w:rsidRPr="0061306E" w:rsidRDefault="008F0FE4" w:rsidP="008F0FE4">
      <w:pPr>
        <w:spacing w:after="120" w:line="276" w:lineRule="auto"/>
        <w:ind w:firstLine="709"/>
        <w:jc w:val="both"/>
        <w:rPr>
          <w:rFonts w:ascii="Verdana" w:hAnsi="Verdana" w:cs="Arial"/>
          <w:lang w:val="es-ES"/>
        </w:rPr>
      </w:pPr>
      <w:r w:rsidRPr="0061306E">
        <w:rPr>
          <w:rFonts w:ascii="Verdana" w:hAnsi="Verdana" w:cs="Arial"/>
          <w:color w:val="000000" w:themeColor="text1"/>
          <w:lang w:val="es-ES" w:eastAsia="es-ES" w:bidi="es-ES"/>
        </w:rPr>
        <w:t>En este sentido, incluso cuando los fondos mixtos se encuentren exceptuados de la aplicación del régimen de contratación del EGCAP, tal exclusión no es absoluta, toda vez que al administrar recursos públicos deben respetar los principios de la función administrativa y de la gestión fiscal</w:t>
      </w:r>
      <w:r w:rsidRPr="0061306E">
        <w:rPr>
          <w:rFonts w:ascii="Verdana" w:hAnsi="Verdana" w:cs="Arial"/>
          <w:color w:val="000000" w:themeColor="text1"/>
          <w:vertAlign w:val="superscript"/>
          <w:lang w:val="es-ES" w:eastAsia="es-ES" w:bidi="es-ES"/>
        </w:rPr>
        <w:footnoteReference w:id="21"/>
      </w:r>
      <w:r w:rsidRPr="0061306E">
        <w:rPr>
          <w:rFonts w:ascii="Verdana" w:hAnsi="Verdana" w:cs="Arial"/>
          <w:color w:val="000000" w:themeColor="text1"/>
          <w:lang w:val="es-ES" w:eastAsia="es-ES" w:bidi="es-ES"/>
        </w:rPr>
        <w:t xml:space="preserve">, de conformidad con el artículo 13 de la Ley 1150 de 2007. </w:t>
      </w:r>
      <w:r w:rsidRPr="0061306E">
        <w:rPr>
          <w:rFonts w:ascii="Verdana" w:hAnsi="Verdana" w:cs="Arial"/>
          <w:color w:val="000000" w:themeColor="text1"/>
          <w:lang w:val="es-ES"/>
        </w:rPr>
        <w:t>La jurisprudencia del Consejo de Estado se ha pronunciado sobre la imbricación de ordenamientos que confluyen en el régimen contractual de las entidades excluidas del Estatuto General de Contratación de la Administración Pública y ha considerado que el régimen sustantivo del contrato ―derecho privado― no desvanece el sometimiento de la Administración al principio de legalidad y a los principios constitucionales.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61306E">
        <w:rPr>
          <w:rFonts w:ascii="Verdana" w:hAnsi="Verdana" w:cs="Arial"/>
          <w:color w:val="000000" w:themeColor="text1"/>
          <w:vertAlign w:val="superscript"/>
          <w:lang w:val="es-ES"/>
        </w:rPr>
        <w:footnoteReference w:id="22"/>
      </w:r>
      <w:r w:rsidRPr="0061306E">
        <w:rPr>
          <w:rFonts w:ascii="Verdana" w:hAnsi="Verdana" w:cs="Arial"/>
          <w:color w:val="000000" w:themeColor="text1"/>
          <w:lang w:val="es-ES"/>
        </w:rPr>
        <w:t xml:space="preserve">.     </w:t>
      </w:r>
    </w:p>
    <w:p w14:paraId="3702F7FC" w14:textId="77777777" w:rsidR="008F0FE4" w:rsidRPr="0061306E" w:rsidRDefault="008F0FE4" w:rsidP="008F0FE4">
      <w:pPr>
        <w:widowControl w:val="0"/>
        <w:autoSpaceDE w:val="0"/>
        <w:autoSpaceDN w:val="0"/>
        <w:spacing w:before="120" w:line="276" w:lineRule="auto"/>
        <w:ind w:firstLine="709"/>
        <w:jc w:val="both"/>
        <w:rPr>
          <w:rFonts w:ascii="Verdana" w:eastAsia="Times New Roman" w:hAnsi="Verdana" w:cs="Arial"/>
          <w:bCs/>
          <w:lang w:val="es-ES"/>
        </w:rPr>
      </w:pPr>
      <w:r w:rsidRPr="0061306E">
        <w:rPr>
          <w:rFonts w:ascii="Verdana" w:eastAsia="Times New Roman" w:hAnsi="Verdana" w:cs="Arial"/>
          <w:bCs/>
          <w:lang w:val="es-ES"/>
        </w:rPr>
        <w:t xml:space="preserve">Las entidades del régimen exceptuado no se desligan por completo de las normas de derecho público. Lo anterior, en la medida </w:t>
      </w:r>
      <w:r>
        <w:rPr>
          <w:rFonts w:ascii="Verdana" w:eastAsia="Times New Roman" w:hAnsi="Verdana" w:cs="Arial"/>
          <w:bCs/>
          <w:lang w:val="es-ES"/>
        </w:rPr>
        <w:t xml:space="preserve">en </w:t>
      </w:r>
      <w:r w:rsidRPr="0061306E">
        <w:rPr>
          <w:rFonts w:ascii="Verdana" w:eastAsia="Times New Roman" w:hAnsi="Verdana" w:cs="Arial"/>
          <w:bCs/>
          <w:lang w:val="es-ES"/>
        </w:rPr>
        <w:t>que el inciso primero del artículo 13 de la Ley 1150 de 2007 prescribe que “Las entidades estatales que por disposición legal cuenten con un régimen contractual excepcional […]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7F05DC9" w14:textId="77777777" w:rsidR="008F0FE4" w:rsidRPr="0061306E" w:rsidRDefault="008F0FE4" w:rsidP="008F0FE4">
      <w:pPr>
        <w:widowControl w:val="0"/>
        <w:autoSpaceDE w:val="0"/>
        <w:autoSpaceDN w:val="0"/>
        <w:spacing w:after="0" w:line="276" w:lineRule="auto"/>
        <w:ind w:firstLine="709"/>
        <w:jc w:val="both"/>
        <w:rPr>
          <w:rFonts w:ascii="Verdana" w:eastAsia="Calibri" w:hAnsi="Verdana" w:cs="Arial"/>
          <w:lang w:val="es-ES"/>
        </w:rPr>
      </w:pPr>
      <w:bookmarkStart w:id="9" w:name="_Hlk77949048"/>
      <w:r w:rsidRPr="0061306E">
        <w:rPr>
          <w:rFonts w:ascii="Verdana" w:hAnsi="Verdana" w:cs="Arial"/>
          <w:color w:val="000000" w:themeColor="text1"/>
          <w:lang w:val="es-ES"/>
        </w:rPr>
        <w:t xml:space="preserve">Conforme a lo anterior, en los contratos celebrados por los fondos mixtos con regímenes de derecho privado, el margen de libertad de configuración de la actividad contractual no se rige de forma absoluta por el principio de la autonomía privada, en la medida en que también resultan aplicables normas y principios de la función administrativa que deben ser observados para ceñir la contratación al ordenamiento jurídico aplicable, así como el deber de publicidad en SECOP II. </w:t>
      </w:r>
      <w:bookmarkEnd w:id="9"/>
      <w:r w:rsidRPr="0061306E">
        <w:rPr>
          <w:rFonts w:ascii="Verdana" w:eastAsia="Calibri" w:hAnsi="Verdana" w:cs="Arial"/>
          <w:lang w:val="es-ES"/>
        </w:rPr>
        <w:t xml:space="preserve">Según lo expuesto, las entidades descentralizadas indirectas, como es el caso de los fondos mixtos, son Entidades Estatales que estarán sometidas al régimen del EGCAP o del derecho privado según el porcentaje de participación estatal, o </w:t>
      </w:r>
      <w:r>
        <w:rPr>
          <w:rFonts w:ascii="Verdana" w:eastAsia="Calibri" w:hAnsi="Verdana" w:cs="Arial"/>
          <w:lang w:val="es-ES"/>
        </w:rPr>
        <w:t>a</w:t>
      </w:r>
      <w:r w:rsidRPr="0061306E">
        <w:rPr>
          <w:rFonts w:ascii="Verdana" w:eastAsia="Calibri" w:hAnsi="Verdana" w:cs="Arial"/>
          <w:lang w:val="es-ES"/>
        </w:rPr>
        <w:t>l régimen que la ley disponga, en los casos en que lo determine expresamente</w:t>
      </w:r>
      <w:r w:rsidRPr="0061306E">
        <w:rPr>
          <w:rFonts w:ascii="Verdana" w:eastAsia="Calibri" w:hAnsi="Verdana" w:cs="Arial"/>
          <w:vertAlign w:val="superscript"/>
          <w:lang w:val="es-ES"/>
        </w:rPr>
        <w:footnoteReference w:id="23"/>
      </w:r>
      <w:r w:rsidRPr="0061306E">
        <w:rPr>
          <w:rFonts w:ascii="Verdana" w:eastAsia="Calibri" w:hAnsi="Verdana" w:cs="Arial"/>
          <w:lang w:val="es-ES"/>
        </w:rPr>
        <w:t xml:space="preserve">.  </w:t>
      </w:r>
    </w:p>
    <w:p w14:paraId="2B4A9654" w14:textId="77777777" w:rsidR="008F0FE4" w:rsidRDefault="008F0FE4" w:rsidP="00474617">
      <w:pPr>
        <w:spacing w:after="0" w:line="276" w:lineRule="auto"/>
        <w:jc w:val="both"/>
        <w:rPr>
          <w:rFonts w:ascii="Verdana" w:eastAsia="Calibri" w:hAnsi="Verdana" w:cs="Arial"/>
          <w:bCs/>
          <w:color w:val="000000" w:themeColor="text1"/>
        </w:rPr>
      </w:pPr>
    </w:p>
    <w:p w14:paraId="6775D1BB" w14:textId="77777777" w:rsidR="008F0FE4" w:rsidRPr="0023727A" w:rsidRDefault="008F0FE4" w:rsidP="008F0FE4">
      <w:pPr>
        <w:spacing w:after="120" w:line="276" w:lineRule="auto"/>
        <w:jc w:val="both"/>
        <w:rPr>
          <w:rFonts w:ascii="Verdana" w:hAnsi="Verdana"/>
        </w:rPr>
      </w:pPr>
      <w:r>
        <w:rPr>
          <w:rFonts w:ascii="Verdana" w:eastAsia="Calibri" w:hAnsi="Verdana" w:cs="Arial"/>
          <w:bCs/>
          <w:color w:val="000000" w:themeColor="text1"/>
        </w:rPr>
        <w:t xml:space="preserve">iii.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w:t>
      </w:r>
      <w:r w:rsidRPr="006B2B7B">
        <w:rPr>
          <w:rFonts w:ascii="Verdana" w:eastAsia="Calibri" w:hAnsi="Verdana" w:cs="Arial"/>
          <w:bCs/>
          <w:color w:val="000000" w:themeColor="text1"/>
        </w:rPr>
        <w:t>, en caso de conflicto, a las autoridades judiciales, fiscales y disciplinarias.</w:t>
      </w:r>
    </w:p>
    <w:p w14:paraId="2DFBDC22" w14:textId="77777777" w:rsidR="008F0FE4" w:rsidRPr="00185EE9" w:rsidRDefault="008F0FE4" w:rsidP="008F0FE4">
      <w:pPr>
        <w:spacing w:after="0" w:line="276" w:lineRule="auto"/>
        <w:ind w:firstLine="708"/>
        <w:jc w:val="both"/>
        <w:rPr>
          <w:rFonts w:ascii="Verdana" w:eastAsia="Calibri" w:hAnsi="Verdana" w:cs="Arial"/>
          <w:bCs/>
          <w:color w:val="000000" w:themeColor="text1"/>
        </w:rPr>
      </w:pPr>
      <w:r w:rsidRPr="006B2B7B">
        <w:rPr>
          <w:rFonts w:ascii="Verdana" w:eastAsia="Calibri" w:hAnsi="Verdana" w:cs="Arial"/>
          <w:bCs/>
          <w:color w:val="000000" w:themeColor="text1"/>
        </w:rPr>
        <w:t xml:space="preserve">Dentro de este marco, corresponde a cada entidad pública, en ejercicio de su competencia, determinar el </w:t>
      </w:r>
      <w:r w:rsidRPr="0068390B">
        <w:rPr>
          <w:rFonts w:ascii="Verdana" w:hAnsi="Verdana" w:cs="Arial"/>
          <w:lang w:val="es-ES" w:eastAsia="es-ES"/>
        </w:rPr>
        <w:t>esquema que la administración usará para estipular el precio</w:t>
      </w:r>
      <w:r>
        <w:rPr>
          <w:rFonts w:ascii="Verdana" w:eastAsia="Calibri" w:hAnsi="Verdana" w:cs="Arial"/>
          <w:bCs/>
          <w:color w:val="000000" w:themeColor="text1"/>
        </w:rPr>
        <w:t xml:space="preserve"> y lo referente a los costos indirectos</w:t>
      </w:r>
      <w:r w:rsidRPr="006B2B7B">
        <w:rPr>
          <w:rFonts w:ascii="Verdana" w:eastAsia="Calibri" w:hAnsi="Verdana" w:cs="Arial"/>
          <w:bCs/>
          <w:color w:val="000000" w:themeColor="text1"/>
        </w:rPr>
        <w:t>. Al tratarse de un análisis que debe realizarse en el procedimiento contractual específico, la Agencia no puede definir un criterio universal y absoluto</w:t>
      </w:r>
      <w:r w:rsidRPr="00E853DE">
        <w:rPr>
          <w:rFonts w:ascii="Verdana" w:eastAsia="Calibri" w:hAnsi="Verdana" w:cs="Arial"/>
          <w:bCs/>
          <w:color w:val="000000" w:themeColor="text1"/>
        </w:rPr>
        <w:t xml:space="preserve">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238DF17" w14:textId="77777777" w:rsidR="008F0FE4" w:rsidRPr="008415A2" w:rsidRDefault="008F0FE4" w:rsidP="008F0FE4">
      <w:pPr>
        <w:spacing w:after="0" w:line="276" w:lineRule="auto"/>
        <w:jc w:val="both"/>
        <w:rPr>
          <w:rFonts w:ascii="Verdana" w:hAnsi="Verdana"/>
        </w:rPr>
      </w:pPr>
      <w:r>
        <w:rPr>
          <w:rFonts w:ascii="Verdana" w:hAnsi="Verdana"/>
        </w:rPr>
        <w:t xml:space="preserve"> </w:t>
      </w:r>
    </w:p>
    <w:p w14:paraId="4AD34DEC" w14:textId="77777777" w:rsidR="008F0FE4" w:rsidRPr="00593A5F" w:rsidRDefault="008F0FE4" w:rsidP="008F0FE4">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7612509" w14:textId="77777777" w:rsidR="008F0FE4" w:rsidRPr="00593A5F" w:rsidRDefault="008F0FE4" w:rsidP="008F0FE4">
      <w:pPr>
        <w:widowControl w:val="0"/>
        <w:autoSpaceDE w:val="0"/>
        <w:autoSpaceDN w:val="0"/>
        <w:spacing w:after="0" w:line="276"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F0FE4" w:rsidRPr="002407CE" w14:paraId="3EAB6C36" w14:textId="77777777">
        <w:trPr>
          <w:trHeight w:val="870"/>
          <w:jc w:val="center"/>
        </w:trPr>
        <w:tc>
          <w:tcPr>
            <w:tcW w:w="8647" w:type="dxa"/>
          </w:tcPr>
          <w:p w14:paraId="54D69CFD" w14:textId="77777777" w:rsidR="008F0FE4" w:rsidRPr="00D90432" w:rsidRDefault="008F0FE4">
            <w:pPr>
              <w:pStyle w:val="ListParagraph"/>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Ley 80 de 1993, artículos 4, 5, 12, 14, 26 y 40.</w:t>
            </w:r>
          </w:p>
          <w:p w14:paraId="48518421" w14:textId="77777777" w:rsidR="008F0FE4" w:rsidRPr="00D90432" w:rsidRDefault="008F0FE4">
            <w:pPr>
              <w:pStyle w:val="ListParagraph"/>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Ley 1474 de 2011, artículo 91.</w:t>
            </w:r>
          </w:p>
          <w:p w14:paraId="7A46C73E" w14:textId="4356CB38" w:rsidR="008F0FE4" w:rsidRPr="00D90432" w:rsidRDefault="008F0FE4">
            <w:pPr>
              <w:pStyle w:val="ListParagraph"/>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 xml:space="preserve">Decreto 1082 de 2015, artículos 2.2.1.1.2.4.1 y </w:t>
            </w:r>
            <w:r w:rsidRPr="00D90432">
              <w:rPr>
                <w:rFonts w:ascii="Verdana" w:hAnsi="Verdana" w:cs="Arial"/>
                <w:color w:val="000000" w:themeColor="text1"/>
              </w:rPr>
              <w:t>2.2.1.1.2.1.3</w:t>
            </w:r>
            <w:r w:rsidR="0005074A">
              <w:rPr>
                <w:rFonts w:ascii="Verdana" w:hAnsi="Verdana" w:cs="Arial"/>
                <w:color w:val="000000" w:themeColor="text1"/>
              </w:rPr>
              <w:t>.</w:t>
            </w:r>
          </w:p>
          <w:p w14:paraId="08568CE3" w14:textId="5B51F06D" w:rsidR="008F0FE4" w:rsidRPr="00D90432" w:rsidRDefault="008F0FE4">
            <w:pPr>
              <w:pStyle w:val="ListParagraph"/>
              <w:widowControl w:val="0"/>
              <w:numPr>
                <w:ilvl w:val="0"/>
                <w:numId w:val="17"/>
              </w:numPr>
              <w:autoSpaceDE w:val="0"/>
              <w:autoSpaceDN w:val="0"/>
              <w:spacing w:line="276" w:lineRule="auto"/>
              <w:ind w:left="459" w:hanging="283"/>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 xml:space="preserve">e Estado. </w:t>
            </w:r>
            <w:r w:rsidR="0005074A" w:rsidRPr="00D90432">
              <w:rPr>
                <w:rFonts w:ascii="Verdana" w:eastAsiaTheme="minorEastAsia" w:hAnsi="Verdana" w:cs="Arial"/>
                <w:lang w:val="es-ES_tradnl" w:eastAsia="es-CO"/>
              </w:rPr>
              <w:t>Sala de Consulta y Servicio Civil. Concepto del 4 de marzo de 1998. Radicado Nro. 1.074. CP.: Cesar Hoyos Salazar.</w:t>
            </w:r>
            <w:r w:rsidRPr="00D90432">
              <w:rPr>
                <w:rFonts w:ascii="Verdana" w:hAnsi="Verdana" w:cs="Arial"/>
              </w:rPr>
              <w:t xml:space="preserve">Consejo </w:t>
            </w:r>
            <w:r>
              <w:rPr>
                <w:rFonts w:ascii="Verdana" w:hAnsi="Verdana" w:cs="Arial"/>
              </w:rPr>
              <w:t>d</w:t>
            </w:r>
            <w:r w:rsidRPr="00D90432">
              <w:rPr>
                <w:rFonts w:ascii="Verdana" w:hAnsi="Verdana" w:cs="Arial"/>
              </w:rPr>
              <w:t>e Estado. Sala de lo Contencioso Administrativo. Sección Tercera – Subsección A. Sentencia del 16 de mayo de 2019. Rad. (40102). C.P: María Adriana Marín</w:t>
            </w:r>
            <w:r w:rsidR="0005074A">
              <w:rPr>
                <w:rFonts w:ascii="Verdana" w:hAnsi="Verdana" w:cs="Arial"/>
              </w:rPr>
              <w:t>.</w:t>
            </w:r>
          </w:p>
          <w:p w14:paraId="7B67A193" w14:textId="77777777" w:rsidR="008F0FE4" w:rsidRPr="00D90432" w:rsidRDefault="008F0FE4">
            <w:pPr>
              <w:pStyle w:val="ListParagraph"/>
              <w:widowControl w:val="0"/>
              <w:numPr>
                <w:ilvl w:val="0"/>
                <w:numId w:val="17"/>
              </w:numPr>
              <w:autoSpaceDE w:val="0"/>
              <w:autoSpaceDN w:val="0"/>
              <w:spacing w:line="276" w:lineRule="auto"/>
              <w:ind w:left="459" w:hanging="283"/>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 xml:space="preserve">e Estado. Sala de lo Contencioso Administrativo. Sección Tercera – Subsección C. Sentencia del 2 de octubre del 2020. Rad. 63644. CP. Jaime Enrique Rodríguez Nava. </w:t>
            </w:r>
          </w:p>
          <w:p w14:paraId="2E3EEA33" w14:textId="624614DC" w:rsidR="008F0FE4" w:rsidRPr="003F76EF" w:rsidRDefault="008F0FE4">
            <w:pPr>
              <w:pStyle w:val="ListParagraph"/>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e Estado. Sección Tercera. Sentencia de 22 de junio de 2001. Exp. 13436, C.P. Ricardo Hoyos Duque</w:t>
            </w:r>
            <w:r w:rsidR="0005074A">
              <w:rPr>
                <w:rFonts w:ascii="Verdana" w:hAnsi="Verdana" w:cs="Arial"/>
              </w:rPr>
              <w:t>.</w:t>
            </w:r>
          </w:p>
        </w:tc>
      </w:tr>
    </w:tbl>
    <w:p w14:paraId="51632A9C" w14:textId="77777777" w:rsidR="008F0FE4" w:rsidRPr="002407CE" w:rsidRDefault="008F0FE4" w:rsidP="008F0FE4">
      <w:pPr>
        <w:widowControl w:val="0"/>
        <w:autoSpaceDE w:val="0"/>
        <w:autoSpaceDN w:val="0"/>
        <w:spacing w:after="0" w:line="276" w:lineRule="auto"/>
        <w:jc w:val="both"/>
        <w:rPr>
          <w:rFonts w:ascii="Verdana" w:hAnsi="Verdana" w:cs="Arial"/>
        </w:rPr>
      </w:pPr>
    </w:p>
    <w:p w14:paraId="64667817" w14:textId="77777777" w:rsidR="008F0FE4" w:rsidRPr="00593A5F" w:rsidRDefault="008F0FE4" w:rsidP="008F0FE4">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A19E6E4" w14:textId="77777777" w:rsidR="008F0FE4" w:rsidRPr="00593A5F" w:rsidRDefault="008F0FE4" w:rsidP="008F0FE4">
      <w:pPr>
        <w:widowControl w:val="0"/>
        <w:autoSpaceDE w:val="0"/>
        <w:autoSpaceDN w:val="0"/>
        <w:spacing w:after="0" w:line="276" w:lineRule="auto"/>
        <w:jc w:val="both"/>
        <w:rPr>
          <w:rFonts w:ascii="Verdana" w:hAnsi="Verdana" w:cs="Arial"/>
        </w:rPr>
      </w:pPr>
    </w:p>
    <w:p w14:paraId="5EBB9F2E" w14:textId="77777777" w:rsidR="008F0FE4" w:rsidRDefault="008F0FE4" w:rsidP="008F0FE4">
      <w:pPr>
        <w:widowControl w:val="0"/>
        <w:autoSpaceDE w:val="0"/>
        <w:autoSpaceDN w:val="0"/>
        <w:spacing w:after="0" w:line="276" w:lineRule="auto"/>
        <w:jc w:val="both"/>
        <w:rPr>
          <w:rFonts w:ascii="Verdana" w:hAnsi="Verdana" w:cs="Arial"/>
          <w:shd w:val="clear" w:color="auto" w:fill="FFFFFF"/>
        </w:rPr>
      </w:pPr>
      <w:r w:rsidRPr="0068390B">
        <w:rPr>
          <w:rFonts w:ascii="Verdana" w:hAnsi="Verdana" w:cs="Arial"/>
          <w:shd w:val="clear" w:color="auto" w:fill="FFFFFF"/>
        </w:rPr>
        <w:t xml:space="preserve">La Agencia Nacional de Contratación Pública – Colombia Compra Eficiente se ha pronunciado en varias ocasiones sobre el </w:t>
      </w:r>
      <w:r>
        <w:rPr>
          <w:rFonts w:ascii="Verdana" w:hAnsi="Verdana" w:cs="Arial"/>
          <w:shd w:val="clear" w:color="auto" w:fill="FFFFFF"/>
        </w:rPr>
        <w:t>anticipo</w:t>
      </w:r>
      <w:r w:rsidRPr="0068390B">
        <w:rPr>
          <w:rFonts w:ascii="Verdana" w:hAnsi="Verdana" w:cs="Arial"/>
          <w:shd w:val="clear" w:color="auto" w:fill="FFFFFF"/>
        </w:rPr>
        <w:t xml:space="preserve"> en los </w:t>
      </w:r>
      <w:r>
        <w:rPr>
          <w:rFonts w:ascii="Verdana" w:hAnsi="Verdana" w:cs="Arial"/>
          <w:shd w:val="clear" w:color="auto" w:fill="FFFFFF"/>
        </w:rPr>
        <w:t>c</w:t>
      </w:r>
      <w:r w:rsidRPr="0068390B">
        <w:rPr>
          <w:rFonts w:ascii="Verdana" w:hAnsi="Verdana" w:cs="Arial"/>
          <w:shd w:val="clear" w:color="auto" w:fill="FFFFFF"/>
        </w:rPr>
        <w:t xml:space="preserve">onceptos </w:t>
      </w:r>
      <w:r w:rsidRPr="00A16967">
        <w:rPr>
          <w:rFonts w:ascii="Verdana" w:hAnsi="Verdana" w:cs="Arial"/>
          <w:shd w:val="clear" w:color="auto" w:fill="FFFFFF"/>
        </w:rPr>
        <w:t>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C-842 del 7 de diciembre de 2022, C-825 del 28 de diciembre de 2022, C-033 de 27 de febrero de 2023, C-003 de 13 de marzo de 2023, C-037 del 5 de abril de 2023, C-109 de 10 de mayo de 2023,  C- 157 de 10 de agosto de 2023 y C–911 del 31 de diciembre de 2024</w:t>
      </w:r>
      <w:r>
        <w:rPr>
          <w:rFonts w:ascii="Verdana" w:hAnsi="Verdana" w:cs="Arial"/>
          <w:shd w:val="clear" w:color="auto" w:fill="FFFFFF"/>
        </w:rPr>
        <w:t>, C-</w:t>
      </w:r>
      <w:r w:rsidRPr="0007718D">
        <w:rPr>
          <w:rFonts w:ascii="Verdana" w:hAnsi="Verdana" w:cs="Arial"/>
          <w:shd w:val="clear" w:color="auto" w:fill="FFFFFF"/>
        </w:rPr>
        <w:t>814 de</w:t>
      </w:r>
      <w:r>
        <w:rPr>
          <w:rFonts w:ascii="Verdana" w:hAnsi="Verdana" w:cs="Arial"/>
          <w:shd w:val="clear" w:color="auto" w:fill="FFFFFF"/>
        </w:rPr>
        <w:t>l 25 de julio de</w:t>
      </w:r>
      <w:r w:rsidRPr="0007718D">
        <w:rPr>
          <w:rFonts w:ascii="Verdana" w:hAnsi="Verdana" w:cs="Arial"/>
          <w:shd w:val="clear" w:color="auto" w:fill="FFFFFF"/>
        </w:rPr>
        <w:t xml:space="preserve"> 2025</w:t>
      </w:r>
      <w:r>
        <w:rPr>
          <w:rFonts w:ascii="Verdana" w:hAnsi="Verdana" w:cs="Arial"/>
          <w:shd w:val="clear" w:color="auto" w:fill="FFFFFF"/>
        </w:rPr>
        <w:t xml:space="preserve">. </w:t>
      </w:r>
    </w:p>
    <w:p w14:paraId="5ED68632" w14:textId="77777777" w:rsidR="008F0FE4" w:rsidRDefault="008F0FE4" w:rsidP="008F0FE4">
      <w:pPr>
        <w:widowControl w:val="0"/>
        <w:autoSpaceDE w:val="0"/>
        <w:autoSpaceDN w:val="0"/>
        <w:spacing w:after="0" w:line="276" w:lineRule="auto"/>
        <w:jc w:val="both"/>
        <w:rPr>
          <w:rFonts w:ascii="Verdana" w:hAnsi="Verdana" w:cs="Arial"/>
          <w:shd w:val="clear" w:color="auto" w:fill="FFFFFF"/>
        </w:rPr>
      </w:pPr>
    </w:p>
    <w:p w14:paraId="66E707E0" w14:textId="77777777" w:rsidR="008F0FE4" w:rsidRPr="00ED0098" w:rsidRDefault="008F0FE4" w:rsidP="008F0FE4">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Sobre </w:t>
      </w:r>
      <w:r w:rsidRPr="00264941">
        <w:rPr>
          <w:rFonts w:ascii="Verdana" w:hAnsi="Verdana" w:cs="Arial"/>
          <w:shd w:val="clear" w:color="auto" w:fill="FFFFFF"/>
        </w:rPr>
        <w:t>el régimen de contratación de las entidades descentralizadas indirectas o fondos mixtos</w:t>
      </w:r>
      <w:r>
        <w:rPr>
          <w:rFonts w:ascii="Verdana" w:hAnsi="Verdana" w:cs="Arial"/>
          <w:shd w:val="clear" w:color="auto" w:fill="FFFFFF"/>
        </w:rPr>
        <w:t>, ésta Agencia se pronunció</w:t>
      </w:r>
      <w:r w:rsidRPr="00264941">
        <w:rPr>
          <w:rFonts w:ascii="Verdana" w:hAnsi="Verdana" w:cs="Arial"/>
          <w:shd w:val="clear" w:color="auto" w:fill="FFFFFF"/>
        </w:rPr>
        <w:t xml:space="preserve"> en los conceptos con radicados 4201912000007709 y 4201913000007595 del 24 de diciembre de 2019, C-360 del 19 de septiembre de 2023, C–081 del 05 de junio de 2024, C-384 del 6 de septiembre de 2024, C-504 del 1º de octubre de 2024, C–558 del 1º de octubre de 2024, C-687 del 18 de noviembre de 2024, C-758 del 26 de noviembre de 2024, C-781 del 10 de diciembre de 2024, C-958 del 27 de agosto de 2025</w:t>
      </w:r>
      <w:r>
        <w:rPr>
          <w:rFonts w:ascii="Verdana" w:hAnsi="Verdana" w:cs="Arial"/>
          <w:shd w:val="clear" w:color="auto" w:fill="FFFFFF"/>
        </w:rPr>
        <w:t xml:space="preserve">, </w:t>
      </w:r>
      <w:r w:rsidRPr="00264941">
        <w:rPr>
          <w:rFonts w:ascii="Verdana" w:hAnsi="Verdana" w:cs="Arial"/>
          <w:shd w:val="clear" w:color="auto" w:fill="FFFFFF"/>
        </w:rPr>
        <w:t>C-1651 del 23 de diciembre de 2025</w:t>
      </w:r>
      <w:r>
        <w:rPr>
          <w:rFonts w:ascii="Verdana" w:hAnsi="Verdana" w:cs="Arial"/>
          <w:shd w:val="clear" w:color="auto" w:fill="FFFFFF"/>
        </w:rPr>
        <w:t xml:space="preserve">, C-920 del 16 de julio de 2026.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w:t>
      </w:r>
      <w:r>
        <w:rPr>
          <w:rFonts w:ascii="Verdana" w:hAnsi="Verdana" w:cs="Arial"/>
          <w:shd w:val="clear" w:color="auto" w:fill="FFFFFF"/>
        </w:rPr>
        <w:t>conceptos</w:t>
      </w:r>
      <w:r w:rsidRPr="008D0AB0">
        <w:rPr>
          <w:rStyle w:val="normaltextrun"/>
          <w:rFonts w:ascii="Verdana" w:hAnsi="Verdana" w:cs="Arial"/>
          <w:shd w:val="clear" w:color="auto" w:fill="FFFFFF"/>
        </w:rPr>
        <w:t xml:space="preserve"> se encuentran disponibles para consulta en el Sistema de relatoría de la Agencia, al cual puede accederse a través del siguiente enlace: </w:t>
      </w:r>
      <w:hyperlink r:id="rId13" w:history="1">
        <w:r w:rsidRPr="00186F77">
          <w:rPr>
            <w:rStyle w:val="Hyperlink"/>
            <w:rFonts w:ascii="Verdana" w:hAnsi="Verdana" w:cs="Arial"/>
            <w:shd w:val="clear" w:color="auto" w:fill="FFFFFF"/>
          </w:rPr>
          <w:t>https://relatoria.colombiacompra.gov.co/busqueda/conceptos</w:t>
        </w:r>
      </w:hyperlink>
    </w:p>
    <w:p w14:paraId="482602CD" w14:textId="77777777" w:rsidR="008F0FE4" w:rsidRDefault="008F0FE4" w:rsidP="008F0FE4">
      <w:pPr>
        <w:shd w:val="clear" w:color="auto" w:fill="FFFFFF" w:themeFill="background1"/>
        <w:spacing w:after="0" w:line="276" w:lineRule="auto"/>
        <w:jc w:val="both"/>
        <w:rPr>
          <w:rFonts w:ascii="Verdana" w:hAnsi="Verdana"/>
          <w:color w:val="000000" w:themeColor="text1"/>
        </w:rPr>
      </w:pPr>
    </w:p>
    <w:p w14:paraId="754657EC"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r w:rsidRPr="004407BC">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407BC">
        <w:rPr>
          <w:rFonts w:ascii="Verdana" w:eastAsia="Times New Roman" w:hAnsi="Verdana" w:cs="Times New Roman"/>
          <w:b/>
          <w:bCs/>
          <w:color w:val="000000"/>
          <w:lang w:eastAsia="es-MX"/>
        </w:rPr>
        <w:t>Guía para la Exigencia y Constitución de Garantías en los Procesos de Contratación</w:t>
      </w:r>
      <w:r w:rsidRPr="004407BC">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4407BC">
          <w:rPr>
            <w:rFonts w:ascii="Verdana" w:eastAsia="Times New Roman" w:hAnsi="Verdana" w:cs="Times New Roman"/>
            <w:color w:val="0086F0"/>
            <w:u w:val="single"/>
            <w:lang w:eastAsia="es-MX"/>
          </w:rPr>
          <w:t>https://www.colombiacompra.gov.co/archivos/manual/guia-de-garantias-en-procesos-de-contratacion</w:t>
        </w:r>
      </w:hyperlink>
    </w:p>
    <w:p w14:paraId="26A7F6B1"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p>
    <w:p w14:paraId="14AFA4D1"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r w:rsidRPr="004407BC">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4407BC">
        <w:rPr>
          <w:rFonts w:ascii="Verdana" w:eastAsia="Times New Roman" w:hAnsi="Verdana" w:cs="Times New Roman"/>
          <w:b/>
          <w:bCs/>
          <w:color w:val="000000"/>
          <w:lang w:eastAsia="es-MX"/>
        </w:rPr>
        <w:t>Sistema Integral de Preferencias en favor de las personas con discapacidad</w:t>
      </w:r>
      <w:r w:rsidRPr="004407BC">
        <w:rPr>
          <w:rFonts w:ascii="Verdana" w:eastAsia="Times New Roman" w:hAnsi="Verdana" w:cs="Times New Roman"/>
          <w:color w:val="000000"/>
          <w:lang w:eastAsia="es-MX"/>
        </w:rPr>
        <w:t>, en cumplimiento del artículo 13 de la Ley Estatutaria 1618 de 2013. Para orientar su aplicación, esta Agencia expidió la </w:t>
      </w:r>
      <w:r w:rsidRPr="004407BC">
        <w:rPr>
          <w:rFonts w:ascii="Verdana" w:eastAsia="Times New Roman" w:hAnsi="Verdana" w:cs="Times New Roman"/>
          <w:b/>
          <w:bCs/>
          <w:color w:val="000000"/>
          <w:lang w:eastAsia="es-MX"/>
        </w:rPr>
        <w:t>Circular Externa 003 del 12 de mayo de 2026, </w:t>
      </w:r>
      <w:r w:rsidRPr="004407BC">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4407BC">
          <w:rPr>
            <w:rFonts w:ascii="Verdana" w:eastAsia="Times New Roman" w:hAnsi="Verdana" w:cs="Times New Roman"/>
            <w:color w:val="0086F0"/>
            <w:u w:val="single"/>
            <w:lang w:eastAsia="es-MX"/>
          </w:rPr>
          <w:t>https://www.colombiacompra.gov.co/archivos/circular/circular-externa-003-de-2026</w:t>
        </w:r>
      </w:hyperlink>
    </w:p>
    <w:p w14:paraId="3152A877"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p>
    <w:p w14:paraId="4B159C18"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r w:rsidRPr="004407BC">
        <w:rPr>
          <w:rFonts w:ascii="Verdana" w:eastAsia="Times New Roman" w:hAnsi="Verdana" w:cs="Times New Roman"/>
          <w:color w:val="000000"/>
          <w:lang w:eastAsia="es-MX"/>
        </w:rPr>
        <w:t>Recuerda también que la</w:t>
      </w:r>
      <w:r w:rsidRPr="004407BC">
        <w:rPr>
          <w:rFonts w:ascii="Verdana" w:eastAsia="Times New Roman" w:hAnsi="Verdana" w:cs="Times New Roman"/>
          <w:b/>
          <w:bCs/>
          <w:color w:val="000000"/>
          <w:lang w:eastAsia="es-MX"/>
        </w:rPr>
        <w:t> información sobre sanciones e inhabilidades </w:t>
      </w:r>
      <w:r w:rsidRPr="004407BC">
        <w:rPr>
          <w:rFonts w:ascii="Verdana" w:eastAsia="Times New Roman" w:hAnsi="Verdana" w:cs="Times New Roman"/>
          <w:color w:val="000000"/>
          <w:lang w:eastAsia="es-MX"/>
        </w:rPr>
        <w:t>solo cumple su función preventiva si llega oportunamente a los registros públicos. Sobre este deber, esta Agencia expidió la </w:t>
      </w:r>
      <w:r w:rsidRPr="004407BC">
        <w:rPr>
          <w:rFonts w:ascii="Verdana" w:eastAsia="Times New Roman" w:hAnsi="Verdana" w:cs="Times New Roman"/>
          <w:b/>
          <w:bCs/>
          <w:color w:val="000000"/>
          <w:lang w:eastAsia="es-MX"/>
        </w:rPr>
        <w:t>Circular Externa 002 del 5 de mayo de 2026,</w:t>
      </w:r>
      <w:r w:rsidRPr="004407BC">
        <w:rPr>
          <w:rFonts w:ascii="Verdana" w:eastAsia="Times New Roman" w:hAnsi="Verdana" w:cs="Times New Roman"/>
          <w:color w:val="000000"/>
          <w:lang w:eastAsia="es-MX"/>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4407BC">
          <w:rPr>
            <w:rFonts w:ascii="Verdana" w:eastAsia="Times New Roman" w:hAnsi="Verdana" w:cs="Times New Roman"/>
            <w:color w:val="0086F0"/>
            <w:u w:val="single"/>
            <w:lang w:eastAsia="es-MX"/>
          </w:rPr>
          <w:t>https://www.colombiacompra.gov.co/archivos/circular/circular-externa-002-de-2026</w:t>
        </w:r>
      </w:hyperlink>
    </w:p>
    <w:p w14:paraId="17122DC5" w14:textId="77777777" w:rsidR="008F0FE4" w:rsidRPr="004407BC" w:rsidRDefault="008F0FE4" w:rsidP="008F0FE4">
      <w:pPr>
        <w:spacing w:after="0" w:line="276" w:lineRule="auto"/>
        <w:jc w:val="both"/>
        <w:rPr>
          <w:rFonts w:ascii="Verdana" w:eastAsia="Times New Roman" w:hAnsi="Verdana" w:cs="Times New Roman"/>
          <w:color w:val="000000"/>
          <w:lang w:eastAsia="es-MX"/>
        </w:rPr>
      </w:pPr>
    </w:p>
    <w:p w14:paraId="2F72AB5F" w14:textId="77777777" w:rsidR="008F0FE4" w:rsidRPr="00474617" w:rsidRDefault="008F0FE4" w:rsidP="008F0FE4">
      <w:pPr>
        <w:spacing w:after="0" w:line="276" w:lineRule="auto"/>
        <w:jc w:val="both"/>
        <w:rPr>
          <w:rFonts w:ascii="Verdana" w:eastAsia="Times New Roman" w:hAnsi="Verdana" w:cs="Times New Roman"/>
          <w:color w:val="000000"/>
          <w:lang w:eastAsia="es-MX"/>
        </w:rPr>
      </w:pPr>
      <w:r w:rsidRPr="004407BC">
        <w:rPr>
          <w:rFonts w:ascii="Verdana" w:eastAsia="Times New Roman" w:hAnsi="Verdana" w:cs="Times New Roman"/>
          <w:color w:val="000000"/>
          <w:lang w:eastAsia="es-MX"/>
        </w:rPr>
        <w:t>Finalmente, si quieres seguir de cerca la actividad de la Agencia, la tercera edición de 2026 del</w:t>
      </w:r>
      <w:r w:rsidRPr="004407BC">
        <w:rPr>
          <w:rFonts w:ascii="Verdana" w:eastAsia="Times New Roman" w:hAnsi="Verdana" w:cs="Times New Roman"/>
          <w:b/>
          <w:bCs/>
          <w:color w:val="000000"/>
          <w:lang w:eastAsia="es-MX"/>
        </w:rPr>
        <w:t> Radar de la Compra Pública</w:t>
      </w:r>
      <w:r w:rsidRPr="004407BC">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4407BC">
          <w:rPr>
            <w:rFonts w:ascii="Verdana" w:eastAsia="Times New Roman" w:hAnsi="Verdana" w:cs="Times New Roman"/>
            <w:color w:val="0086F0"/>
            <w:u w:val="single"/>
            <w:lang w:eastAsia="es-MX"/>
          </w:rPr>
          <w:t>https://www.colombiacompra.gov.co/archivos/boletin/boletin-edicion-n-3-de-2026-radar-de-la-compra-publica</w:t>
        </w:r>
      </w:hyperlink>
    </w:p>
    <w:p w14:paraId="5D2515F4" w14:textId="77777777" w:rsidR="008F0FE4" w:rsidRPr="004407BC" w:rsidRDefault="008F0FE4" w:rsidP="008F0FE4">
      <w:pPr>
        <w:shd w:val="clear" w:color="auto" w:fill="FFFFFF"/>
        <w:spacing w:after="0" w:line="276" w:lineRule="auto"/>
        <w:jc w:val="both"/>
        <w:rPr>
          <w:rFonts w:ascii="Verdana" w:eastAsia="Calibri" w:hAnsi="Verdana" w:cs="Times New Roman"/>
          <w:color w:val="000000"/>
          <w:u w:val="single"/>
        </w:rPr>
      </w:pPr>
    </w:p>
    <w:p w14:paraId="72C8258D" w14:textId="77777777" w:rsidR="008F0FE4" w:rsidRPr="004407BC" w:rsidRDefault="008F0FE4" w:rsidP="00474617">
      <w:pPr>
        <w:spacing w:after="0" w:line="276" w:lineRule="auto"/>
        <w:jc w:val="both"/>
        <w:rPr>
          <w:rFonts w:ascii="Verdana" w:eastAsia="Calibri" w:hAnsi="Verdana" w:cs="Times New Roman"/>
        </w:rPr>
      </w:pPr>
      <w:r w:rsidRPr="004407BC">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355925B" w14:textId="77777777" w:rsidR="008F0FE4" w:rsidRPr="004407BC" w:rsidRDefault="008F0FE4" w:rsidP="00474617">
      <w:pPr>
        <w:spacing w:after="0" w:line="276" w:lineRule="auto"/>
        <w:jc w:val="both"/>
        <w:rPr>
          <w:rFonts w:ascii="Verdana" w:eastAsia="Calibri" w:hAnsi="Verdana" w:cs="Times New Roman"/>
        </w:rPr>
      </w:pPr>
    </w:p>
    <w:p w14:paraId="04DC518D" w14:textId="77777777" w:rsidR="008F0FE4" w:rsidRPr="004407BC" w:rsidRDefault="008F0FE4" w:rsidP="00474617">
      <w:pPr>
        <w:numPr>
          <w:ilvl w:val="0"/>
          <w:numId w:val="18"/>
        </w:numPr>
        <w:spacing w:after="0" w:line="276" w:lineRule="auto"/>
        <w:contextualSpacing/>
        <w:jc w:val="both"/>
        <w:rPr>
          <w:rFonts w:ascii="Verdana" w:eastAsia="Verdana" w:hAnsi="Verdana" w:cs="Verdana"/>
          <w:color w:val="4472C4" w:themeColor="accent1"/>
          <w:u w:val="single"/>
          <w:lang w:val="es-MX"/>
        </w:rPr>
      </w:pPr>
      <w:r w:rsidRPr="004407BC">
        <w:rPr>
          <w:rFonts w:ascii="Verdana" w:eastAsia="Verdana" w:hAnsi="Verdana" w:cs="Verdana"/>
          <w:lang w:val="es-MX"/>
        </w:rPr>
        <w:t xml:space="preserve">Línea nacional gratuita o servicio a la ciudadanía (Mesa de servicio): </w:t>
      </w:r>
      <w:r w:rsidRPr="004407BC">
        <w:rPr>
          <w:rFonts w:ascii="Verdana" w:eastAsia="Calibri" w:hAnsi="Verdana" w:cs="Times New Roman"/>
          <w:color w:val="0000FF"/>
          <w:u w:val="single"/>
          <w:lang w:val="es-ES"/>
        </w:rPr>
        <w:t>01800 0520808</w:t>
      </w:r>
    </w:p>
    <w:p w14:paraId="1331534F" w14:textId="77777777" w:rsidR="008F0FE4" w:rsidRPr="004407BC" w:rsidRDefault="008F0FE4" w:rsidP="00474617">
      <w:pPr>
        <w:numPr>
          <w:ilvl w:val="0"/>
          <w:numId w:val="18"/>
        </w:numPr>
        <w:spacing w:after="0" w:line="276" w:lineRule="auto"/>
        <w:contextualSpacing/>
        <w:rPr>
          <w:rFonts w:ascii="Verdana" w:eastAsia="Verdana" w:hAnsi="Verdana" w:cs="Verdana"/>
          <w:color w:val="4472C4" w:themeColor="accent1"/>
          <w:u w:val="single"/>
          <w:lang w:val="es-MX"/>
        </w:rPr>
      </w:pPr>
      <w:r w:rsidRPr="004407BC">
        <w:rPr>
          <w:rFonts w:ascii="Verdana" w:eastAsia="Verdana" w:hAnsi="Verdana" w:cs="Verdana"/>
          <w:lang w:val="es-MX"/>
        </w:rPr>
        <w:t>Línea en Bogotá (Mesa de servicio):</w:t>
      </w:r>
      <w:r w:rsidRPr="004407BC">
        <w:rPr>
          <w:rFonts w:ascii="Verdana" w:eastAsia="Calibri" w:hAnsi="Verdana" w:cs="Times New Roman"/>
          <w:color w:val="0000FF"/>
          <w:u w:val="single"/>
          <w:lang w:val="es-ES"/>
        </w:rPr>
        <w:t>+57 601 7456788</w:t>
      </w:r>
    </w:p>
    <w:p w14:paraId="6655C34E" w14:textId="77777777" w:rsidR="008F0FE4" w:rsidRPr="004407BC" w:rsidRDefault="008F0FE4" w:rsidP="00474617">
      <w:pPr>
        <w:numPr>
          <w:ilvl w:val="0"/>
          <w:numId w:val="18"/>
        </w:numPr>
        <w:spacing w:after="0" w:line="276" w:lineRule="auto"/>
        <w:contextualSpacing/>
        <w:rPr>
          <w:rFonts w:ascii="Verdana" w:eastAsia="Verdana" w:hAnsi="Verdana" w:cs="Verdana"/>
          <w:color w:val="0000FF"/>
          <w:u w:val="single"/>
          <w:lang w:val="es-MX"/>
        </w:rPr>
      </w:pPr>
      <w:r w:rsidRPr="004407BC">
        <w:rPr>
          <w:rFonts w:ascii="Verdana" w:eastAsia="Verdana" w:hAnsi="Verdana" w:cs="Verdana"/>
          <w:lang w:val="es-MX"/>
        </w:rPr>
        <w:t xml:space="preserve">Correo de radicación de correspondencia: </w:t>
      </w:r>
      <w:hyperlink r:id="rId18" w:history="1">
        <w:r w:rsidRPr="004407BC">
          <w:rPr>
            <w:rFonts w:ascii="Verdana" w:eastAsia="Verdana" w:hAnsi="Verdana" w:cs="Verdana"/>
            <w:color w:val="0000FF"/>
            <w:u w:val="single"/>
            <w:lang w:val="es-MX"/>
          </w:rPr>
          <w:t>ventanilladeradicacion@colombiacompra.gov.co</w:t>
        </w:r>
      </w:hyperlink>
    </w:p>
    <w:p w14:paraId="03327DBA" w14:textId="77777777" w:rsidR="008F0FE4" w:rsidRPr="004407BC" w:rsidRDefault="008F0FE4" w:rsidP="00474617">
      <w:pPr>
        <w:numPr>
          <w:ilvl w:val="0"/>
          <w:numId w:val="18"/>
        </w:numPr>
        <w:spacing w:after="0" w:line="276" w:lineRule="auto"/>
        <w:contextualSpacing/>
        <w:rPr>
          <w:rFonts w:ascii="Verdana" w:eastAsia="Verdana" w:hAnsi="Verdana" w:cs="Verdana"/>
          <w:color w:val="0000FF"/>
          <w:u w:val="single"/>
          <w:lang w:val="es-MX"/>
        </w:rPr>
      </w:pPr>
      <w:r w:rsidRPr="004407BC">
        <w:rPr>
          <w:rFonts w:ascii="Verdana" w:eastAsia="Verdana" w:hAnsi="Verdana" w:cs="Verdana"/>
          <w:lang w:val="es-ES"/>
        </w:rPr>
        <w:t xml:space="preserve">Formulario web para PQRSD: </w:t>
      </w:r>
      <w:hyperlink r:id="rId19" w:history="1">
        <w:r w:rsidRPr="004407BC">
          <w:rPr>
            <w:rFonts w:ascii="Verdana" w:eastAsia="Verdana" w:hAnsi="Verdana" w:cs="Verdana"/>
            <w:color w:val="0000FF"/>
            <w:u w:val="single"/>
            <w:lang w:val="es-MX"/>
          </w:rPr>
          <w:t>https://www.colombiacompra.gov.co/pqrsd/informacion-importante-antes-de-formular-una-pqrsd</w:t>
        </w:r>
      </w:hyperlink>
    </w:p>
    <w:p w14:paraId="430DFBBF" w14:textId="77777777" w:rsidR="008F0FE4" w:rsidRPr="004407BC" w:rsidRDefault="008F0FE4" w:rsidP="00474617">
      <w:pPr>
        <w:spacing w:after="0" w:line="276" w:lineRule="auto"/>
        <w:ind w:left="720"/>
        <w:jc w:val="both"/>
        <w:rPr>
          <w:rFonts w:ascii="Verdana" w:eastAsia="Calibri" w:hAnsi="Verdana" w:cs="Times New Roman"/>
        </w:rPr>
      </w:pPr>
    </w:p>
    <w:p w14:paraId="0A7FAA8E" w14:textId="77777777" w:rsidR="008F0FE4" w:rsidRPr="004407BC" w:rsidRDefault="008F0FE4" w:rsidP="00474617">
      <w:pPr>
        <w:spacing w:after="0" w:line="276" w:lineRule="auto"/>
        <w:rPr>
          <w:rFonts w:ascii="Verdana" w:eastAsia="Calibri" w:hAnsi="Verdana" w:cs="Times New Roman"/>
        </w:rPr>
      </w:pPr>
      <w:r w:rsidRPr="004407BC">
        <w:rPr>
          <w:rFonts w:ascii="Verdana" w:eastAsia="Calibri" w:hAnsi="Verdana" w:cs="Times New Roman"/>
        </w:rPr>
        <w:t>Evalúa el servicio que ofrece la Agencia por el canal de atención de PQRSD en el siguiente enlace :</w:t>
      </w:r>
      <w:hyperlink r:id="rId20" w:tgtFrame="_blank" w:tooltip="https://forms.office.com/r/pphywvs2sz" w:history="1">
        <w:r w:rsidRPr="004407BC">
          <w:rPr>
            <w:rFonts w:ascii="Verdana" w:eastAsia="Calibri" w:hAnsi="Verdana" w:cs="Times New Roman"/>
            <w:color w:val="0000FF"/>
            <w:u w:val="single"/>
          </w:rPr>
          <w:t>https://forms.office.com/r/pPHyWVs2SZ</w:t>
        </w:r>
      </w:hyperlink>
      <w:r w:rsidRPr="004407BC">
        <w:rPr>
          <w:rFonts w:ascii="Verdana" w:eastAsia="Calibri" w:hAnsi="Verdana" w:cs="Times New Roman"/>
        </w:rPr>
        <w:t xml:space="preserve"> .¡Ayúdanos a mejorar porque el compromiso es de todos!</w:t>
      </w:r>
    </w:p>
    <w:p w14:paraId="5EBEBDBC" w14:textId="77777777" w:rsidR="008F0FE4" w:rsidRPr="004407BC" w:rsidRDefault="008F0FE4" w:rsidP="00474617">
      <w:pPr>
        <w:spacing w:after="0" w:line="276" w:lineRule="auto"/>
        <w:rPr>
          <w:rFonts w:ascii="Verdana" w:eastAsia="Calibri" w:hAnsi="Verdana" w:cs="Times New Roman"/>
        </w:rPr>
      </w:pPr>
    </w:p>
    <w:p w14:paraId="5681BF52" w14:textId="77777777" w:rsidR="008F0FE4" w:rsidRPr="004407BC" w:rsidRDefault="008F0FE4" w:rsidP="00474617">
      <w:pPr>
        <w:spacing w:after="0" w:line="276" w:lineRule="auto"/>
        <w:jc w:val="both"/>
        <w:rPr>
          <w:rFonts w:ascii="Verdana" w:eastAsia="Calibri" w:hAnsi="Verdana" w:cs="Times New Roman"/>
        </w:rPr>
      </w:pPr>
      <w:r w:rsidRPr="004407BC">
        <w:rPr>
          <w:rFonts w:ascii="Verdana" w:eastAsia="Calibri" w:hAnsi="Verdana" w:cs="Times New Roman"/>
        </w:rPr>
        <w:t xml:space="preserve">Por último, lo invitamos a seguirnos en las redes sociales en las cuales se difunde información institucional: </w:t>
      </w:r>
    </w:p>
    <w:p w14:paraId="4A958774" w14:textId="77777777" w:rsidR="008F0FE4" w:rsidRPr="004407BC" w:rsidRDefault="008F0FE4" w:rsidP="00474617">
      <w:pPr>
        <w:spacing w:after="0" w:line="276" w:lineRule="auto"/>
        <w:jc w:val="both"/>
        <w:rPr>
          <w:rFonts w:ascii="Verdana" w:eastAsia="Calibri" w:hAnsi="Verdana" w:cs="Times New Roman"/>
        </w:rPr>
      </w:pPr>
    </w:p>
    <w:p w14:paraId="657A3EBC" w14:textId="77777777" w:rsidR="008F0FE4" w:rsidRPr="004407BC" w:rsidRDefault="008F0FE4" w:rsidP="00474617">
      <w:pPr>
        <w:spacing w:after="0" w:line="276" w:lineRule="auto"/>
        <w:jc w:val="both"/>
        <w:rPr>
          <w:rFonts w:ascii="Verdana" w:eastAsia="Calibri" w:hAnsi="Verdana" w:cs="Times New Roman"/>
        </w:rPr>
      </w:pPr>
      <w:r w:rsidRPr="004407BC">
        <w:rPr>
          <w:rFonts w:ascii="Verdana" w:eastAsia="Calibri" w:hAnsi="Verdana" w:cs="Times New Roman"/>
        </w:rPr>
        <w:t xml:space="preserve">Twitter: </w:t>
      </w:r>
      <w:r w:rsidRPr="004407BC">
        <w:rPr>
          <w:rFonts w:ascii="Verdana" w:eastAsia="Calibri" w:hAnsi="Verdana" w:cs="Times New Roman"/>
          <w:color w:val="0000FF"/>
          <w:u w:val="single"/>
        </w:rPr>
        <w:t>@colombiacompra</w:t>
      </w:r>
      <w:r w:rsidRPr="004407BC">
        <w:rPr>
          <w:rFonts w:ascii="Verdana" w:eastAsia="Calibri" w:hAnsi="Verdana" w:cs="Times New Roman"/>
        </w:rPr>
        <w:t xml:space="preserve"> </w:t>
      </w:r>
    </w:p>
    <w:p w14:paraId="1DC5AB15" w14:textId="77777777" w:rsidR="008F0FE4" w:rsidRPr="004407BC" w:rsidRDefault="008F0FE4" w:rsidP="00474617">
      <w:pPr>
        <w:spacing w:after="0" w:line="276" w:lineRule="auto"/>
        <w:jc w:val="both"/>
        <w:rPr>
          <w:rFonts w:ascii="Verdana" w:eastAsia="Calibri" w:hAnsi="Verdana" w:cs="Times New Roman"/>
        </w:rPr>
      </w:pPr>
      <w:r w:rsidRPr="004407BC">
        <w:rPr>
          <w:rFonts w:ascii="Verdana" w:eastAsia="Calibri" w:hAnsi="Verdana" w:cs="Times New Roman"/>
        </w:rPr>
        <w:t xml:space="preserve">Facebook: </w:t>
      </w:r>
      <w:r w:rsidRPr="004407BC">
        <w:rPr>
          <w:rFonts w:ascii="Verdana" w:eastAsia="Calibri" w:hAnsi="Verdana" w:cs="Times New Roman"/>
          <w:color w:val="0000FF"/>
          <w:u w:val="single"/>
        </w:rPr>
        <w:t>ColombiaCompraEficiente</w:t>
      </w:r>
    </w:p>
    <w:p w14:paraId="434116FA" w14:textId="77777777" w:rsidR="008F0FE4" w:rsidRPr="004407BC" w:rsidRDefault="008F0FE4" w:rsidP="00474617">
      <w:pPr>
        <w:spacing w:after="0" w:line="276" w:lineRule="auto"/>
        <w:jc w:val="both"/>
        <w:rPr>
          <w:rFonts w:ascii="Verdana" w:eastAsia="Calibri" w:hAnsi="Verdana" w:cs="Times New Roman"/>
        </w:rPr>
      </w:pPr>
      <w:r w:rsidRPr="004407BC">
        <w:rPr>
          <w:rFonts w:ascii="Verdana" w:eastAsia="Calibri" w:hAnsi="Verdana" w:cs="Times New Roman"/>
        </w:rPr>
        <w:t xml:space="preserve">LinkedIn: </w:t>
      </w:r>
      <w:r w:rsidRPr="004407BC">
        <w:rPr>
          <w:rFonts w:ascii="Verdana" w:eastAsia="Calibri" w:hAnsi="Verdana" w:cs="Times New Roman"/>
          <w:color w:val="0000FF"/>
          <w:u w:val="single"/>
        </w:rPr>
        <w:t>Agencia Nacional de Contratación Pública - Colombia Compra Eficiente</w:t>
      </w:r>
      <w:r w:rsidRPr="004407BC">
        <w:rPr>
          <w:rFonts w:ascii="Verdana" w:eastAsia="Calibri" w:hAnsi="Verdana" w:cs="Times New Roman"/>
        </w:rPr>
        <w:t xml:space="preserve"> Instagram: </w:t>
      </w:r>
      <w:r w:rsidRPr="004407BC">
        <w:rPr>
          <w:rFonts w:ascii="Verdana" w:eastAsia="Calibri" w:hAnsi="Verdana" w:cs="Times New Roman"/>
          <w:color w:val="0000FF"/>
          <w:u w:val="single"/>
        </w:rPr>
        <w:t>@colombiacompraeficiente_cce</w:t>
      </w:r>
    </w:p>
    <w:p w14:paraId="331B4033" w14:textId="77777777" w:rsidR="008F0FE4" w:rsidRPr="004407BC" w:rsidRDefault="008F0FE4" w:rsidP="00474617">
      <w:pPr>
        <w:widowControl w:val="0"/>
        <w:autoSpaceDE w:val="0"/>
        <w:autoSpaceDN w:val="0"/>
        <w:spacing w:after="0" w:line="276" w:lineRule="auto"/>
        <w:jc w:val="both"/>
        <w:rPr>
          <w:rFonts w:ascii="Verdana" w:eastAsia="Calibri" w:hAnsi="Verdana" w:cs="Arial"/>
          <w:color w:val="FF0000"/>
          <w:shd w:val="clear" w:color="auto" w:fill="FFFFFF"/>
          <w:lang w:val="es-ES_tradnl"/>
        </w:rPr>
      </w:pPr>
      <w:r w:rsidRPr="004407BC">
        <w:rPr>
          <w:rFonts w:ascii="Verdana" w:eastAsia="Calibri" w:hAnsi="Verdana" w:cs="Arial"/>
          <w:color w:val="FF0000"/>
          <w:shd w:val="clear" w:color="auto" w:fill="FFFFFF"/>
          <w:lang w:val="es-ES_tradnl"/>
        </w:rPr>
        <w:t xml:space="preserve">        </w:t>
      </w:r>
    </w:p>
    <w:p w14:paraId="377AB407" w14:textId="77777777" w:rsidR="008F0FE4" w:rsidRPr="004407BC" w:rsidRDefault="008F0FE4" w:rsidP="008F0FE4">
      <w:pPr>
        <w:widowControl w:val="0"/>
        <w:autoSpaceDE w:val="0"/>
        <w:autoSpaceDN w:val="0"/>
        <w:spacing w:after="0" w:line="276" w:lineRule="auto"/>
        <w:jc w:val="both"/>
        <w:rPr>
          <w:rFonts w:ascii="Verdana" w:eastAsia="Calibri" w:hAnsi="Verdana" w:cs="Arial"/>
          <w:lang w:val="es-ES_tradnl"/>
        </w:rPr>
      </w:pPr>
      <w:r w:rsidRPr="004407BC">
        <w:rPr>
          <w:rFonts w:ascii="Verdana" w:eastAsia="Calibri" w:hAnsi="Verdana" w:cs="Arial"/>
        </w:rPr>
        <w:t xml:space="preserve">Este concepto tiene el alcance previsto en el artículo 28 del Código de Procedimiento Administrativo y de lo Contencioso Administrativo </w:t>
      </w:r>
      <w:r w:rsidRPr="004407BC">
        <w:rPr>
          <w:rFonts w:ascii="Verdana" w:eastAsia="Calibri" w:hAnsi="Verdana" w:cs="Arial"/>
          <w:lang w:val="es-ES_tradnl"/>
        </w:rPr>
        <w:t>y las expresiones aquí utilizadas con mayúscula inicial deben ser entendidas con el significado que les otorga el artículo 2.2.1.1.1.3.1. del Decreto 1082 de 2015.</w:t>
      </w:r>
    </w:p>
    <w:p w14:paraId="79593FAA" w14:textId="77777777" w:rsidR="008F0FE4" w:rsidRPr="004407BC" w:rsidRDefault="008F0FE4" w:rsidP="008F0FE4">
      <w:pPr>
        <w:widowControl w:val="0"/>
        <w:autoSpaceDE w:val="0"/>
        <w:autoSpaceDN w:val="0"/>
        <w:spacing w:after="0" w:line="276" w:lineRule="auto"/>
        <w:jc w:val="both"/>
        <w:rPr>
          <w:rFonts w:ascii="Verdana" w:eastAsia="Calibri" w:hAnsi="Verdana" w:cs="Arial"/>
        </w:rPr>
      </w:pPr>
    </w:p>
    <w:p w14:paraId="6FEC55C4" w14:textId="77777777" w:rsidR="008F0FE4" w:rsidRPr="004407BC" w:rsidRDefault="008F0FE4" w:rsidP="008F0FE4">
      <w:pPr>
        <w:spacing w:after="0" w:line="276" w:lineRule="auto"/>
        <w:rPr>
          <w:rFonts w:ascii="Verdana" w:eastAsia="Calibri" w:hAnsi="Verdana" w:cs="Arial"/>
          <w:lang w:val="es-ES" w:eastAsia="es-CO"/>
        </w:rPr>
      </w:pPr>
      <w:r w:rsidRPr="004407BC">
        <w:rPr>
          <w:rFonts w:ascii="Verdana" w:eastAsia="Times New Roman" w:hAnsi="Verdana" w:cs="Arial"/>
          <w:lang w:val="es-ES" w:eastAsia="es-CO"/>
        </w:rPr>
        <w:t>Atentamente,</w:t>
      </w:r>
      <w:r w:rsidRPr="004407BC">
        <w:rPr>
          <w:rFonts w:ascii="Verdana" w:eastAsia="Calibri" w:hAnsi="Verdana" w:cs="Arial"/>
          <w:lang w:val="es-ES" w:eastAsia="es-CO"/>
        </w:rPr>
        <w:t xml:space="preserve"> </w:t>
      </w:r>
    </w:p>
    <w:p w14:paraId="31D869F0" w14:textId="77777777" w:rsidR="001E358C" w:rsidRDefault="001E358C" w:rsidP="001E358C">
      <w:pPr>
        <w:spacing w:after="0" w:line="240" w:lineRule="auto"/>
        <w:rPr>
          <w:rFonts w:ascii="Verdana" w:eastAsia="Times New Roman" w:hAnsi="Verdana" w:cs="Arial"/>
          <w:lang w:eastAsia="es-ES"/>
        </w:rPr>
      </w:pPr>
    </w:p>
    <w:p w14:paraId="78E08BFD" w14:textId="5FF6A353" w:rsidR="001E358C" w:rsidRDefault="001E358C" w:rsidP="006F04B0">
      <w:pPr>
        <w:spacing w:after="0" w:line="240" w:lineRule="auto"/>
        <w:jc w:val="center"/>
        <w:rPr>
          <w:rFonts w:ascii="Verdana" w:eastAsia="Times New Roman" w:hAnsi="Verdana" w:cs="Arial"/>
          <w:lang w:eastAsia="es-ES"/>
        </w:rPr>
      </w:pPr>
      <w:r w:rsidRPr="001E358C">
        <w:rPr>
          <w:rFonts w:ascii="Verdana" w:eastAsia="Times New Roman" w:hAnsi="Verdana" w:cs="Arial"/>
          <w:noProof/>
          <w:sz w:val="16"/>
          <w:szCs w:val="16"/>
          <w:lang w:eastAsia="es-ES"/>
        </w:rPr>
        <w:drawing>
          <wp:inline distT="0" distB="0" distL="0" distR="0" wp14:anchorId="13E48EEE" wp14:editId="3D68B2C8">
            <wp:extent cx="3486785" cy="1294130"/>
            <wp:effectExtent l="0" t="0" r="0" b="1270"/>
            <wp:docPr id="13333976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86785" cy="1294130"/>
                    </a:xfrm>
                    <a:prstGeom prst="rect">
                      <a:avLst/>
                    </a:prstGeom>
                    <a:noFill/>
                    <a:ln>
                      <a:noFill/>
                    </a:ln>
                  </pic:spPr>
                </pic:pic>
              </a:graphicData>
            </a:graphic>
          </wp:inline>
        </w:drawing>
      </w:r>
    </w:p>
    <w:p w14:paraId="63113686" w14:textId="77777777" w:rsidR="001E358C" w:rsidRPr="004407BC" w:rsidRDefault="001E358C" w:rsidP="00A02C43">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F0FE4" w:rsidRPr="004407BC" w14:paraId="779DE207" w14:textId="77777777">
        <w:trPr>
          <w:trHeight w:val="322"/>
        </w:trPr>
        <w:tc>
          <w:tcPr>
            <w:tcW w:w="733" w:type="dxa"/>
            <w:tcBorders>
              <w:top w:val="nil"/>
              <w:left w:val="nil"/>
              <w:bottom w:val="nil"/>
              <w:right w:val="nil"/>
            </w:tcBorders>
            <w:vAlign w:val="center"/>
            <w:hideMark/>
          </w:tcPr>
          <w:p w14:paraId="38B52434" w14:textId="77777777" w:rsidR="008F0FE4" w:rsidRPr="004407BC" w:rsidRDefault="008F0FE4">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Elaboró:         </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83ABD4E" w14:textId="77777777" w:rsidR="008F0FE4" w:rsidRPr="004407BC" w:rsidRDefault="008F0FE4">
            <w:pPr>
              <w:spacing w:after="0" w:line="252" w:lineRule="auto"/>
              <w:rPr>
                <w:rFonts w:ascii="Verdana" w:eastAsia="Times New Roman" w:hAnsi="Verdana" w:cs="Arial"/>
                <w:sz w:val="16"/>
                <w:szCs w:val="16"/>
                <w:lang w:val="es-ES_tradnl" w:eastAsia="es-ES"/>
              </w:rPr>
            </w:pPr>
            <w:r w:rsidRPr="004407BC">
              <w:rPr>
                <w:rFonts w:ascii="Verdana" w:eastAsia="Times New Roman" w:hAnsi="Verdana" w:cs="Arial"/>
                <w:sz w:val="16"/>
                <w:szCs w:val="16"/>
                <w:lang w:val="es-ES_tradnl" w:eastAsia="es-ES"/>
              </w:rPr>
              <w:t>Ximena Ríos López</w:t>
            </w:r>
          </w:p>
          <w:p w14:paraId="207D07B8" w14:textId="77777777" w:rsidR="008F0FE4" w:rsidRPr="004407BC" w:rsidRDefault="008F0FE4">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Gestor T1-11 de la Subdirección de Gestión Contractual</w:t>
            </w:r>
          </w:p>
        </w:tc>
      </w:tr>
      <w:tr w:rsidR="008F0FE4" w:rsidRPr="004407BC" w14:paraId="7F0915B0" w14:textId="77777777">
        <w:trPr>
          <w:trHeight w:val="322"/>
        </w:trPr>
        <w:tc>
          <w:tcPr>
            <w:tcW w:w="733" w:type="dxa"/>
            <w:tcBorders>
              <w:top w:val="nil"/>
              <w:left w:val="nil"/>
              <w:bottom w:val="nil"/>
              <w:right w:val="nil"/>
            </w:tcBorders>
            <w:vAlign w:val="center"/>
            <w:hideMark/>
          </w:tcPr>
          <w:p w14:paraId="7EF50B9E" w14:textId="77777777" w:rsidR="008F0FE4" w:rsidRPr="004407BC" w:rsidRDefault="008F0FE4">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Revisó: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9CBADF4" w14:textId="77777777" w:rsidR="008F0FE4" w:rsidRPr="004407BC" w:rsidRDefault="008F0FE4">
            <w:pPr>
              <w:spacing w:after="0" w:line="252" w:lineRule="auto"/>
              <w:rPr>
                <w:rFonts w:ascii="Verdana" w:eastAsia="Times New Roman" w:hAnsi="Verdana" w:cs="Arial"/>
                <w:sz w:val="16"/>
                <w:szCs w:val="16"/>
                <w:lang w:val="es-ES_tradnl" w:eastAsia="es-ES"/>
              </w:rPr>
            </w:pPr>
            <w:r w:rsidRPr="004407BC">
              <w:rPr>
                <w:rFonts w:ascii="Verdana" w:eastAsia="Times New Roman" w:hAnsi="Verdana" w:cs="Arial"/>
                <w:sz w:val="16"/>
                <w:szCs w:val="16"/>
                <w:lang w:val="es-ES_tradnl" w:eastAsia="es-ES"/>
              </w:rPr>
              <w:t>Diana Saavedra</w:t>
            </w:r>
          </w:p>
          <w:p w14:paraId="35DD1F5D" w14:textId="77777777" w:rsidR="008F0FE4" w:rsidRPr="004407BC" w:rsidRDefault="008F0FE4">
            <w:pPr>
              <w:autoSpaceDE w:val="0"/>
              <w:autoSpaceDN w:val="0"/>
              <w:adjustRightInd w:val="0"/>
              <w:spacing w:after="0" w:line="276" w:lineRule="auto"/>
              <w:rPr>
                <w:rFonts w:ascii="Verdana" w:eastAsia="Calibri" w:hAnsi="Verdana" w:cs="Arial"/>
              </w:rPr>
            </w:pPr>
            <w:r w:rsidRPr="004407BC">
              <w:rPr>
                <w:rFonts w:ascii="Verdana" w:eastAsia="Times New Roman" w:hAnsi="Verdana" w:cs="Arial"/>
                <w:sz w:val="16"/>
                <w:szCs w:val="16"/>
                <w:lang w:eastAsia="es-ES"/>
              </w:rPr>
              <w:t>Contratista de la Subdirección de Gestión Contractual</w:t>
            </w:r>
          </w:p>
        </w:tc>
      </w:tr>
      <w:tr w:rsidR="008F0FE4" w:rsidRPr="004407BC" w14:paraId="6F183302" w14:textId="77777777">
        <w:trPr>
          <w:trHeight w:val="307"/>
        </w:trPr>
        <w:tc>
          <w:tcPr>
            <w:tcW w:w="733" w:type="dxa"/>
            <w:tcBorders>
              <w:top w:val="nil"/>
              <w:left w:val="nil"/>
              <w:bottom w:val="nil"/>
              <w:right w:val="nil"/>
            </w:tcBorders>
            <w:vAlign w:val="center"/>
            <w:hideMark/>
          </w:tcPr>
          <w:p w14:paraId="1A91F827" w14:textId="77777777" w:rsidR="008F0FE4" w:rsidRPr="004407BC" w:rsidRDefault="008F0FE4">
            <w:pPr>
              <w:spacing w:after="0" w:line="240" w:lineRule="auto"/>
              <w:textAlignment w:val="baseline"/>
              <w:rPr>
                <w:rFonts w:ascii="Verdana" w:eastAsia="Times New Roman" w:hAnsi="Verdana" w:cs="Times New Roman"/>
                <w:sz w:val="16"/>
                <w:szCs w:val="16"/>
                <w:lang w:eastAsia="es-CO"/>
              </w:rPr>
            </w:pPr>
            <w:r w:rsidRPr="004407BC">
              <w:rPr>
                <w:rFonts w:ascii="Verdana" w:eastAsia="Times New Roman" w:hAnsi="Verdana" w:cs="Times New Roman"/>
                <w:sz w:val="16"/>
                <w:szCs w:val="16"/>
                <w:lang w:val="es-MX" w:eastAsia="es-CO"/>
              </w:rPr>
              <w:t>Aprobó:</w:t>
            </w:r>
            <w:r w:rsidRPr="004407BC">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5588650" w14:textId="5B989763" w:rsidR="00E81FFC" w:rsidRPr="004407BC" w:rsidRDefault="00E81FFC">
            <w:pPr>
              <w:spacing w:after="0" w:line="252"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5A2C4321" w14:textId="07F48F01" w:rsidR="008F0FE4" w:rsidRPr="004407BC" w:rsidRDefault="008F0FE4">
            <w:pPr>
              <w:spacing w:after="0" w:line="252" w:lineRule="auto"/>
              <w:rPr>
                <w:rFonts w:ascii="Verdana" w:eastAsia="Times New Roman" w:hAnsi="Verdana" w:cs="Arial"/>
                <w:sz w:val="16"/>
                <w:szCs w:val="16"/>
                <w:lang w:eastAsia="es-ES"/>
              </w:rPr>
            </w:pPr>
            <w:r w:rsidRPr="004407BC">
              <w:rPr>
                <w:rFonts w:ascii="Verdana" w:eastAsia="Times New Roman" w:hAnsi="Verdana" w:cs="Arial"/>
                <w:sz w:val="16"/>
                <w:szCs w:val="16"/>
                <w:lang w:eastAsia="es-ES"/>
              </w:rPr>
              <w:t>Subdirector</w:t>
            </w:r>
            <w:r w:rsidR="00B030A3">
              <w:rPr>
                <w:rFonts w:ascii="Verdana" w:eastAsia="Times New Roman" w:hAnsi="Verdana" w:cs="Arial"/>
                <w:sz w:val="16"/>
                <w:szCs w:val="16"/>
                <w:lang w:eastAsia="es-ES"/>
              </w:rPr>
              <w:t xml:space="preserve"> (E)</w:t>
            </w:r>
            <w:r w:rsidRPr="004407BC">
              <w:rPr>
                <w:rFonts w:ascii="Verdana" w:eastAsia="Times New Roman" w:hAnsi="Verdana" w:cs="Arial"/>
                <w:sz w:val="16"/>
                <w:szCs w:val="16"/>
                <w:lang w:eastAsia="es-ES"/>
              </w:rPr>
              <w:t xml:space="preserve"> de Gestión Contractual ANCP – CCE</w:t>
            </w:r>
          </w:p>
        </w:tc>
      </w:tr>
    </w:tbl>
    <w:p w14:paraId="0E69D4C2" w14:textId="06C19F8C" w:rsidR="008F0FE4" w:rsidRPr="004407BC" w:rsidRDefault="008F0FE4" w:rsidP="008F0FE4">
      <w:pPr>
        <w:widowControl w:val="0"/>
        <w:autoSpaceDE w:val="0"/>
        <w:autoSpaceDN w:val="0"/>
        <w:spacing w:after="120" w:line="276" w:lineRule="auto"/>
        <w:jc w:val="both"/>
        <w:rPr>
          <w:rFonts w:ascii="Verdana" w:eastAsia="Calibri" w:hAnsi="Verdana" w:cs="Arial"/>
          <w:color w:val="000000" w:themeColor="text1"/>
          <w:shd w:val="clear" w:color="auto" w:fill="FFFFFF"/>
        </w:rPr>
      </w:pPr>
    </w:p>
    <w:p w14:paraId="0D13C1DD" w14:textId="77777777" w:rsidR="008F0FE4" w:rsidRPr="004407BC" w:rsidRDefault="008F0FE4" w:rsidP="008F0FE4">
      <w:pPr>
        <w:widowControl w:val="0"/>
        <w:autoSpaceDE w:val="0"/>
        <w:autoSpaceDN w:val="0"/>
        <w:spacing w:after="0" w:line="276" w:lineRule="auto"/>
        <w:jc w:val="both"/>
        <w:rPr>
          <w:rFonts w:ascii="Verdana" w:eastAsia="Calibri" w:hAnsi="Verdana" w:cs="Arial"/>
        </w:rPr>
      </w:pPr>
    </w:p>
    <w:p w14:paraId="4A00F548" w14:textId="77777777" w:rsidR="008F0FE4" w:rsidRDefault="008F0FE4" w:rsidP="008F0FE4">
      <w:pPr>
        <w:shd w:val="clear" w:color="auto" w:fill="FFFFFF" w:themeFill="background1"/>
        <w:spacing w:after="0" w:line="276" w:lineRule="auto"/>
        <w:jc w:val="both"/>
        <w:rPr>
          <w:rFonts w:ascii="Verdana" w:hAnsi="Verdana"/>
          <w:color w:val="000000" w:themeColor="text1"/>
        </w:rPr>
      </w:pPr>
    </w:p>
    <w:p w14:paraId="0F293BF4" w14:textId="6419F664" w:rsidR="00127233" w:rsidRPr="00586637" w:rsidRDefault="00127233" w:rsidP="00586637"/>
    <w:sectPr w:rsidR="00127233" w:rsidRPr="00586637"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16DA" w14:textId="77777777" w:rsidR="00141C29" w:rsidRDefault="00141C29" w:rsidP="004A1847">
      <w:pPr>
        <w:spacing w:after="0" w:line="240" w:lineRule="auto"/>
      </w:pPr>
      <w:r>
        <w:separator/>
      </w:r>
    </w:p>
  </w:endnote>
  <w:endnote w:type="continuationSeparator" w:id="0">
    <w:p w14:paraId="2FDDB799" w14:textId="77777777" w:rsidR="00141C29" w:rsidRDefault="00141C2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703EA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703EA8">
      <w:rPr>
        <w:rFonts w:ascii="Verdana" w:eastAsia="Verdana" w:hAnsi="Verdana" w:cs="Verdana"/>
        <w:b/>
        <w:bCs/>
        <w:color w:val="000000" w:themeColor="text1"/>
        <w:sz w:val="18"/>
        <w:szCs w:val="18"/>
        <w:lang w:val="pt-PT" w:eastAsia="es-CO"/>
      </w:rPr>
      <w:t xml:space="preserve">Código: </w:t>
    </w:r>
    <w:r w:rsidRPr="00703EA8">
      <w:rPr>
        <w:rFonts w:ascii="Verdana" w:eastAsia="Verdana" w:hAnsi="Verdana" w:cs="Verdana"/>
        <w:color w:val="000000" w:themeColor="text1"/>
        <w:sz w:val="18"/>
        <w:szCs w:val="18"/>
        <w:lang w:val="pt-PT" w:eastAsia="es-CO"/>
      </w:rPr>
      <w:t xml:space="preserve">CCE-REC-FM-17 </w:t>
    </w:r>
    <w:r w:rsidRPr="00703EA8">
      <w:rPr>
        <w:rFonts w:ascii="Verdana" w:eastAsia="Verdana" w:hAnsi="Verdana" w:cs="Verdana"/>
        <w:b/>
        <w:bCs/>
        <w:color w:val="000000" w:themeColor="text1"/>
        <w:sz w:val="18"/>
        <w:szCs w:val="18"/>
        <w:lang w:val="pt-PT" w:eastAsia="es-CO"/>
      </w:rPr>
      <w:t xml:space="preserve">V: </w:t>
    </w:r>
    <w:r w:rsidRPr="00703EA8">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85087" w14:textId="77777777" w:rsidR="00141C29" w:rsidRDefault="00141C29" w:rsidP="004A1847">
      <w:pPr>
        <w:spacing w:after="0" w:line="240" w:lineRule="auto"/>
      </w:pPr>
      <w:r>
        <w:separator/>
      </w:r>
    </w:p>
  </w:footnote>
  <w:footnote w:type="continuationSeparator" w:id="0">
    <w:p w14:paraId="19708AB4" w14:textId="77777777" w:rsidR="00141C29" w:rsidRDefault="00141C29" w:rsidP="004A1847">
      <w:pPr>
        <w:spacing w:after="0" w:line="240" w:lineRule="auto"/>
      </w:pPr>
      <w:r>
        <w:continuationSeparator/>
      </w:r>
    </w:p>
  </w:footnote>
  <w:footnote w:id="1">
    <w:p w14:paraId="75DAF064" w14:textId="77777777" w:rsidR="008F0FE4" w:rsidRDefault="008F0FE4" w:rsidP="008F0FE4">
      <w:pPr>
        <w:pStyle w:val="FootnoteText"/>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eastAsia="Calibri" w:hAnsi="Verdana" w:cs="Arial"/>
          <w:color w:val="000000" w:themeColor="text1"/>
          <w:sz w:val="16"/>
          <w:szCs w:val="16"/>
          <w:lang w:val="es-ES"/>
        </w:rPr>
        <w:t>“</w:t>
      </w:r>
      <w:r w:rsidRPr="00544BDE">
        <w:rPr>
          <w:rFonts w:ascii="Verdana" w:hAnsi="Verdana" w:cs="Arial"/>
          <w:sz w:val="16"/>
          <w:szCs w:val="16"/>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544BDE">
        <w:rPr>
          <w:rFonts w:ascii="Verdana" w:eastAsia="Calibri" w:hAnsi="Verdana" w:cs="Arial"/>
          <w:color w:val="000000" w:themeColor="text1"/>
          <w:sz w:val="16"/>
          <w:szCs w:val="16"/>
          <w:lang w:val="es-ES"/>
        </w:rPr>
        <w:t>”.</w:t>
      </w:r>
      <w:r w:rsidRPr="00544BDE">
        <w:rPr>
          <w:rFonts w:ascii="Verdana" w:hAnsi="Verdana" w:cs="Arial"/>
          <w:sz w:val="16"/>
          <w:szCs w:val="16"/>
        </w:rPr>
        <w:t xml:space="preserve"> Citado en CONSEJO DE ESTADO. Sala de lo Contencioso Administrativo. Sección Tercera – Subsección A. Sentencia del 16 de mayo de 2019. Rad. (40102). C.P: María Adriana Marín [cita No. 35].</w:t>
      </w:r>
    </w:p>
    <w:p w14:paraId="6B4516B9" w14:textId="77777777" w:rsidR="008F0FE4" w:rsidRPr="00544BDE" w:rsidRDefault="008F0FE4" w:rsidP="008F0FE4">
      <w:pPr>
        <w:pStyle w:val="FootnoteText"/>
        <w:ind w:firstLine="709"/>
        <w:jc w:val="both"/>
        <w:rPr>
          <w:rFonts w:ascii="Verdana" w:hAnsi="Verdana" w:cs="Arial"/>
          <w:sz w:val="16"/>
          <w:szCs w:val="16"/>
        </w:rPr>
      </w:pPr>
      <w:r w:rsidRPr="00544BDE">
        <w:rPr>
          <w:rFonts w:ascii="Verdana" w:hAnsi="Verdana" w:cs="Arial"/>
          <w:sz w:val="16"/>
          <w:szCs w:val="16"/>
        </w:rPr>
        <w:t xml:space="preserve"> </w:t>
      </w:r>
    </w:p>
  </w:footnote>
  <w:footnote w:id="2">
    <w:p w14:paraId="28728D8C" w14:textId="77777777" w:rsidR="008F0FE4" w:rsidRDefault="008F0FE4" w:rsidP="008F0FE4">
      <w:pPr>
        <w:pStyle w:val="FootnoteText"/>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hAnsi="Verdana" w:cs="Arial"/>
          <w:sz w:val="16"/>
          <w:szCs w:val="16"/>
        </w:rPr>
        <w:t xml:space="preserve"> CONSEJO DE ESTADO. Sala de lo Contencioso Administrativo. Sección Tercera – Subsección A. Sentencia del 16 de mayo de 2019. Rad. (40102). C.P: María Adriana Marín</w:t>
      </w:r>
      <w:r>
        <w:rPr>
          <w:rFonts w:ascii="Verdana" w:hAnsi="Verdana" w:cs="Arial"/>
          <w:sz w:val="16"/>
          <w:szCs w:val="16"/>
        </w:rPr>
        <w:t>.</w:t>
      </w:r>
    </w:p>
    <w:p w14:paraId="4DAD0F1F" w14:textId="77777777" w:rsidR="008F0FE4" w:rsidRPr="00544BDE" w:rsidRDefault="008F0FE4" w:rsidP="008F0FE4">
      <w:pPr>
        <w:pStyle w:val="FootnoteText"/>
        <w:ind w:firstLine="709"/>
        <w:jc w:val="both"/>
        <w:rPr>
          <w:rFonts w:ascii="Verdana" w:hAnsi="Verdana" w:cs="Arial"/>
          <w:sz w:val="16"/>
          <w:szCs w:val="16"/>
        </w:rPr>
      </w:pPr>
    </w:p>
  </w:footnote>
  <w:footnote w:id="3">
    <w:p w14:paraId="0329FB3F" w14:textId="77777777" w:rsidR="008F0FE4" w:rsidRDefault="008F0FE4" w:rsidP="008F0FE4">
      <w:pPr>
        <w:pStyle w:val="FootnoteText"/>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hAnsi="Verdana" w:cs="Arial"/>
          <w:sz w:val="16"/>
          <w:szCs w:val="16"/>
        </w:rPr>
        <w:t xml:space="preserve"> CONSEJO DE ESTADO. Sala de lo Contencioso Administrativo. Sección Tercera – Subsección C. Sentencia del 2 de octubre del 2020. Rad. 63644. CP. Jaime Enrique Rodríguez Nava. </w:t>
      </w:r>
    </w:p>
    <w:p w14:paraId="7C985156" w14:textId="77777777" w:rsidR="008F0FE4" w:rsidRPr="00544BDE" w:rsidRDefault="008F0FE4" w:rsidP="008F0FE4">
      <w:pPr>
        <w:pStyle w:val="FootnoteText"/>
        <w:ind w:firstLine="709"/>
        <w:jc w:val="both"/>
        <w:rPr>
          <w:rFonts w:ascii="Verdana" w:hAnsi="Verdana" w:cs="Arial"/>
          <w:sz w:val="16"/>
          <w:szCs w:val="16"/>
        </w:rPr>
      </w:pPr>
    </w:p>
  </w:footnote>
  <w:footnote w:id="4">
    <w:p w14:paraId="7A754BF3" w14:textId="77777777" w:rsidR="008F0FE4" w:rsidRDefault="008F0FE4" w:rsidP="008F0FE4">
      <w:pPr>
        <w:pStyle w:val="FootnoteText"/>
        <w:ind w:firstLine="709"/>
        <w:jc w:val="both"/>
        <w:rPr>
          <w:rFonts w:ascii="Verdana" w:hAnsi="Verdana" w:cs="Arial"/>
          <w:color w:val="000000" w:themeColor="text1"/>
          <w:sz w:val="16"/>
          <w:szCs w:val="16"/>
          <w:lang w:val="es-ES"/>
        </w:rPr>
      </w:pPr>
      <w:r w:rsidRPr="00544BDE">
        <w:rPr>
          <w:rStyle w:val="FootnoteReferenc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color w:val="000000" w:themeColor="text1"/>
          <w:sz w:val="16"/>
          <w:szCs w:val="16"/>
          <w:lang w:val="es-ES"/>
        </w:rPr>
        <w:t>CONSEJO DE ESTADO. Sección Tercera. Sentencia de 22 de junio de 2001. Exp. 13436, C.P. Ricardo Hoyos Duque</w:t>
      </w:r>
      <w:r>
        <w:rPr>
          <w:rFonts w:ascii="Verdana" w:hAnsi="Verdana" w:cs="Arial"/>
          <w:color w:val="000000" w:themeColor="text1"/>
          <w:sz w:val="16"/>
          <w:szCs w:val="16"/>
          <w:lang w:val="es-ES"/>
        </w:rPr>
        <w:t>.</w:t>
      </w:r>
    </w:p>
    <w:p w14:paraId="00EF95DA" w14:textId="77777777" w:rsidR="008F0FE4" w:rsidRPr="00544BDE" w:rsidRDefault="008F0FE4" w:rsidP="008F0FE4">
      <w:pPr>
        <w:pStyle w:val="FootnoteText"/>
        <w:ind w:firstLine="709"/>
        <w:jc w:val="both"/>
        <w:rPr>
          <w:rFonts w:ascii="Verdana" w:hAnsi="Verdana" w:cs="Arial"/>
          <w:color w:val="000000" w:themeColor="text1"/>
          <w:sz w:val="16"/>
          <w:szCs w:val="16"/>
          <w:lang w:val="es-ES"/>
        </w:rPr>
      </w:pPr>
    </w:p>
  </w:footnote>
  <w:footnote w:id="5">
    <w:p w14:paraId="02548751" w14:textId="77777777" w:rsidR="008F0FE4" w:rsidRDefault="008F0FE4" w:rsidP="008F0FE4">
      <w:pPr>
        <w:pStyle w:val="FootnoteText"/>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hAnsi="Verdana" w:cs="Arial"/>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544BDE">
        <w:rPr>
          <w:rFonts w:ascii="Verdana" w:eastAsia="Calibri" w:hAnsi="Verdana" w:cs="Arial"/>
          <w:color w:val="000000" w:themeColor="text1"/>
          <w:sz w:val="16"/>
          <w:szCs w:val="16"/>
          <w:lang w:val="es-ES"/>
        </w:rPr>
        <w:t>” (</w:t>
      </w:r>
      <w:r w:rsidRPr="00544BDE">
        <w:rPr>
          <w:rFonts w:ascii="Verdana" w:hAnsi="Verdana" w:cs="Arial"/>
          <w:sz w:val="16"/>
          <w:szCs w:val="16"/>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544BDE">
        <w:rPr>
          <w:rFonts w:ascii="Verdana" w:eastAsia="Calibri" w:hAnsi="Verdana" w:cs="Arial"/>
          <w:color w:val="000000" w:themeColor="text1"/>
          <w:sz w:val="16"/>
          <w:szCs w:val="16"/>
          <w:lang w:val="es-ES"/>
        </w:rPr>
        <w:t>”</w:t>
      </w:r>
      <w:r w:rsidRPr="00544BDE">
        <w:rPr>
          <w:rFonts w:ascii="Verdana" w:hAnsi="Verdana" w:cs="Arial"/>
          <w:sz w:val="16"/>
          <w:szCs w:val="16"/>
        </w:rPr>
        <w:t xml:space="preserve"> (MATALLANA CAMACHO, Ernesto. Manual de Contratación de la Administración Pública. Reforma de la Ley 80 de 1993. Cuarta edición. Bogotá: Universidad Externado de Colombia, 2015. p. 921 y ss).</w:t>
      </w:r>
    </w:p>
    <w:p w14:paraId="589D11F4" w14:textId="77777777" w:rsidR="008F0FE4" w:rsidRPr="00544BDE" w:rsidRDefault="008F0FE4" w:rsidP="008F0FE4">
      <w:pPr>
        <w:pStyle w:val="FootnoteText"/>
        <w:ind w:firstLine="709"/>
        <w:jc w:val="both"/>
        <w:rPr>
          <w:rFonts w:ascii="Verdana" w:hAnsi="Verdana" w:cs="Arial"/>
          <w:sz w:val="16"/>
          <w:szCs w:val="16"/>
        </w:rPr>
      </w:pPr>
    </w:p>
  </w:footnote>
  <w:footnote w:id="6">
    <w:p w14:paraId="7FD7EDF6" w14:textId="77777777" w:rsidR="008F0FE4" w:rsidRDefault="008F0FE4" w:rsidP="008F0FE4">
      <w:pPr>
        <w:spacing w:after="0" w:line="240" w:lineRule="auto"/>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hAnsi="Verdana" w:cs="Arial"/>
          <w:sz w:val="16"/>
          <w:szCs w:val="16"/>
        </w:rPr>
        <w:t xml:space="preserve"> CONSEJO DE ESTADO. Sala Plena. Sentencia del 8 de agosto de 2001. Exp. AC-10966 - AC-11274. Consejero Ponente: Reinaldo Chavarro Buriticá.</w:t>
      </w:r>
    </w:p>
    <w:p w14:paraId="35E4BE4A" w14:textId="77777777" w:rsidR="008F0FE4" w:rsidRPr="00544BDE" w:rsidRDefault="008F0FE4" w:rsidP="008F0FE4">
      <w:pPr>
        <w:spacing w:after="0" w:line="240" w:lineRule="auto"/>
        <w:ind w:firstLine="709"/>
        <w:jc w:val="both"/>
        <w:rPr>
          <w:rFonts w:ascii="Verdana" w:hAnsi="Verdana" w:cs="Arial"/>
          <w:sz w:val="16"/>
          <w:szCs w:val="16"/>
        </w:rPr>
      </w:pPr>
    </w:p>
  </w:footnote>
  <w:footnote w:id="7">
    <w:p w14:paraId="19D10345" w14:textId="77777777" w:rsidR="008F0FE4" w:rsidRPr="00544BDE" w:rsidRDefault="008F0FE4" w:rsidP="008F0FE4">
      <w:pPr>
        <w:pStyle w:val="NormalWeb"/>
        <w:shd w:val="clear" w:color="auto" w:fill="FFFFFF"/>
        <w:spacing w:before="0" w:beforeAutospacing="0" w:after="0" w:afterAutospacing="0"/>
        <w:ind w:firstLine="709"/>
        <w:jc w:val="both"/>
        <w:rPr>
          <w:rFonts w:ascii="Verdana" w:hAnsi="Verdana" w:cs="Arial"/>
          <w:sz w:val="16"/>
          <w:szCs w:val="16"/>
        </w:rPr>
      </w:pPr>
      <w:r w:rsidRPr="00544BDE">
        <w:rPr>
          <w:rStyle w:val="FootnoteReference"/>
          <w:rFonts w:ascii="Verdana" w:hAnsi="Verdana" w:cs="Arial"/>
          <w:sz w:val="16"/>
          <w:szCs w:val="16"/>
        </w:rPr>
        <w:footnoteRef/>
      </w:r>
      <w:r w:rsidRPr="00544BDE">
        <w:rPr>
          <w:rFonts w:ascii="Verdana" w:eastAsia="Calibri" w:hAnsi="Verdana" w:cs="Arial"/>
          <w:sz w:val="16"/>
          <w:szCs w:val="16"/>
          <w:lang w:val="es-ES"/>
        </w:rPr>
        <w:t>“</w:t>
      </w:r>
      <w:r w:rsidRPr="00544BDE">
        <w:rPr>
          <w:rFonts w:ascii="Verdana" w:hAnsi="Verdana" w:cs="Arial"/>
          <w:sz w:val="16"/>
          <w:szCs w:val="16"/>
        </w:rPr>
        <w:t>Artículo 2.2.1.1.2.4.1.</w:t>
      </w:r>
      <w:r w:rsidRPr="00544BDE">
        <w:rPr>
          <w:rFonts w:ascii="Verdana" w:hAnsi="Verdana" w:cs="Arial"/>
          <w:i/>
          <w:iCs/>
          <w:sz w:val="16"/>
          <w:szCs w:val="16"/>
        </w:rPr>
        <w:t> </w:t>
      </w:r>
      <w:r w:rsidRPr="00544BDE">
        <w:rPr>
          <w:rFonts w:ascii="Verdana" w:hAnsi="Verdana" w:cs="Arial"/>
          <w:sz w:val="16"/>
          <w:szCs w:val="16"/>
        </w:rPr>
        <w:t>Patrimonio autónomo para el manejo de anticipos.</w:t>
      </w:r>
      <w:r w:rsidRPr="00544BDE">
        <w:rPr>
          <w:rFonts w:ascii="Verdana" w:hAnsi="Verdana" w:cs="Arial"/>
          <w:i/>
          <w:iCs/>
          <w:sz w:val="16"/>
          <w:szCs w:val="16"/>
        </w:rPr>
        <w:t> </w:t>
      </w:r>
      <w:r w:rsidRPr="00544BDE">
        <w:rPr>
          <w:rFonts w:ascii="Verdana" w:hAnsi="Verdana" w:cs="Arial"/>
          <w:sz w:val="16"/>
          <w:szCs w:val="16"/>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027733D4" w14:textId="77777777" w:rsidR="008F0FE4" w:rsidRPr="00544BDE" w:rsidRDefault="008F0FE4" w:rsidP="008F0FE4">
      <w:pPr>
        <w:pStyle w:val="NormalWeb"/>
        <w:shd w:val="clear" w:color="auto" w:fill="FFFFFF"/>
        <w:spacing w:before="0" w:beforeAutospacing="0" w:after="0" w:afterAutospacing="0"/>
        <w:ind w:firstLine="709"/>
        <w:jc w:val="both"/>
        <w:rPr>
          <w:rFonts w:ascii="Verdana" w:hAnsi="Verdana" w:cs="Arial"/>
          <w:sz w:val="16"/>
          <w:szCs w:val="16"/>
        </w:rPr>
      </w:pPr>
      <w:r w:rsidRPr="00544BDE">
        <w:rPr>
          <w:rFonts w:ascii="Verdana" w:hAnsi="Verdana" w:cs="Arial"/>
          <w:sz w:val="16"/>
          <w:szCs w:val="16"/>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320C039D" w14:textId="77777777" w:rsidR="008F0FE4" w:rsidRDefault="008F0FE4" w:rsidP="008F0FE4">
      <w:pPr>
        <w:pStyle w:val="NormalWeb"/>
        <w:shd w:val="clear" w:color="auto" w:fill="FFFFFF"/>
        <w:spacing w:before="0" w:beforeAutospacing="0" w:after="0" w:afterAutospacing="0"/>
        <w:ind w:firstLine="709"/>
        <w:jc w:val="both"/>
        <w:rPr>
          <w:rFonts w:ascii="Verdana" w:hAnsi="Verdana" w:cs="Arial"/>
          <w:sz w:val="16"/>
          <w:szCs w:val="16"/>
        </w:rPr>
      </w:pPr>
      <w:r w:rsidRPr="00544BDE">
        <w:rPr>
          <w:rFonts w:ascii="Verdana" w:hAnsi="Verdana" w:cs="Arial"/>
          <w:sz w:val="16"/>
          <w:szCs w:val="16"/>
        </w:rPr>
        <w:t>En los pliegos de condiciones, la Entidad Estatal debe establecer los términos y condiciones de la administración del anticipo a través del patrimonio autónomo.</w:t>
      </w:r>
    </w:p>
    <w:p w14:paraId="11F36F56" w14:textId="77777777" w:rsidR="008F0FE4" w:rsidRDefault="008F0FE4" w:rsidP="008F0FE4">
      <w:pPr>
        <w:pStyle w:val="NormalWeb"/>
        <w:shd w:val="clear" w:color="auto" w:fill="FFFFFF"/>
        <w:spacing w:before="0" w:beforeAutospacing="0" w:after="0" w:afterAutospacing="0"/>
        <w:ind w:firstLine="709"/>
        <w:jc w:val="both"/>
        <w:rPr>
          <w:rFonts w:ascii="Verdana" w:eastAsia="Calibri" w:hAnsi="Verdana" w:cs="Arial"/>
          <w:sz w:val="16"/>
          <w:szCs w:val="16"/>
          <w:lang w:val="es-ES"/>
        </w:rPr>
      </w:pPr>
      <w:r w:rsidRPr="00544BDE">
        <w:rPr>
          <w:rFonts w:ascii="Verdana" w:hAnsi="Verdana" w:cs="Arial"/>
          <w:sz w:val="16"/>
          <w:szCs w:val="16"/>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544BDE">
        <w:rPr>
          <w:rFonts w:ascii="Verdana" w:eastAsia="Calibri" w:hAnsi="Verdana" w:cs="Arial"/>
          <w:sz w:val="16"/>
          <w:szCs w:val="16"/>
          <w:lang w:val="es-ES"/>
        </w:rPr>
        <w:t>”.</w:t>
      </w:r>
    </w:p>
    <w:p w14:paraId="1074F8E2" w14:textId="77777777" w:rsidR="008F0FE4" w:rsidRPr="0005074A" w:rsidRDefault="008F0FE4" w:rsidP="008F0FE4">
      <w:pPr>
        <w:pStyle w:val="NormalWeb"/>
        <w:shd w:val="clear" w:color="auto" w:fill="FFFFFF"/>
        <w:spacing w:before="0" w:beforeAutospacing="0" w:after="0" w:afterAutospacing="0"/>
        <w:ind w:firstLine="709"/>
        <w:jc w:val="both"/>
        <w:rPr>
          <w:rFonts w:ascii="Verdana" w:eastAsia="Calibri" w:hAnsi="Verdana" w:cs="Arial"/>
          <w:sz w:val="16"/>
          <w:szCs w:val="16"/>
          <w:lang w:val="es-ES" w:eastAsia="es-ES_tradnl"/>
        </w:rPr>
      </w:pPr>
    </w:p>
  </w:footnote>
  <w:footnote w:id="8">
    <w:p w14:paraId="430303CB" w14:textId="77777777" w:rsidR="008F0FE4" w:rsidRDefault="008F0FE4" w:rsidP="008F0FE4">
      <w:pPr>
        <w:pStyle w:val="FootnoteText"/>
        <w:ind w:firstLine="709"/>
        <w:jc w:val="both"/>
        <w:rPr>
          <w:rFonts w:ascii="Verdana" w:hAnsi="Verdana" w:cs="Arial"/>
          <w:sz w:val="16"/>
          <w:szCs w:val="16"/>
          <w:lang w:val="es-ES"/>
        </w:rPr>
      </w:pPr>
      <w:r w:rsidRPr="00544BDE">
        <w:rPr>
          <w:rStyle w:val="FootnoteReferenc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544BDE">
          <w:rPr>
            <w:rStyle w:val="Hyperlink"/>
            <w:rFonts w:ascii="Verdana" w:hAnsi="Verdana" w:cs="Arial"/>
            <w:sz w:val="16"/>
            <w:szCs w:val="16"/>
            <w:lang w:val="es-ES"/>
          </w:rPr>
          <w:t>http://svrpubindc.imprenta.gov.co/senado/index.xhtml;jsessionid=b3ba7213a248bacd37376ffcedca</w:t>
        </w:r>
      </w:hyperlink>
      <w:r w:rsidRPr="00544BDE">
        <w:rPr>
          <w:rFonts w:ascii="Verdana" w:hAnsi="Verdana" w:cs="Arial"/>
          <w:sz w:val="16"/>
          <w:szCs w:val="16"/>
          <w:lang w:val="es-ES"/>
        </w:rPr>
        <w:t xml:space="preserve"> </w:t>
      </w:r>
    </w:p>
    <w:p w14:paraId="7F282D0F" w14:textId="77777777" w:rsidR="008F0FE4" w:rsidRPr="00544BDE" w:rsidRDefault="008F0FE4" w:rsidP="008F0FE4">
      <w:pPr>
        <w:pStyle w:val="FootnoteText"/>
        <w:ind w:firstLine="709"/>
        <w:jc w:val="both"/>
        <w:rPr>
          <w:rFonts w:ascii="Verdana" w:hAnsi="Verdana" w:cs="Arial"/>
          <w:sz w:val="16"/>
          <w:szCs w:val="16"/>
          <w:lang w:val="es-ES"/>
        </w:rPr>
      </w:pPr>
    </w:p>
  </w:footnote>
  <w:footnote w:id="9">
    <w:p w14:paraId="65B55C82" w14:textId="77777777" w:rsidR="008F0FE4" w:rsidRDefault="008F0FE4" w:rsidP="008F0FE4">
      <w:pPr>
        <w:pStyle w:val="NoSpacing"/>
        <w:ind w:firstLine="708"/>
        <w:jc w:val="both"/>
        <w:rPr>
          <w:rFonts w:ascii="Verdana" w:hAnsi="Verdana" w:cs="Arial"/>
          <w:sz w:val="16"/>
          <w:szCs w:val="16"/>
          <w:lang w:val="es-ES"/>
        </w:rPr>
      </w:pPr>
      <w:r w:rsidRPr="00544BDE">
        <w:rPr>
          <w:rStyle w:val="FootnoteReferenc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sz w:val="16"/>
          <w:szCs w:val="16"/>
          <w:lang w:val="es-ES"/>
        </w:rPr>
        <w:t xml:space="preserve">La Guía para el manejo de anticipos mediante contrato de fiducia irrevocable puede ser consultada en: </w:t>
      </w:r>
      <w:hyperlink r:id="rId2" w:history="1">
        <w:r w:rsidRPr="00544BDE">
          <w:rPr>
            <w:rStyle w:val="Hyperlink"/>
            <w:rFonts w:ascii="Verdana" w:hAnsi="Verdana" w:cs="Arial"/>
            <w:sz w:val="16"/>
            <w:szCs w:val="16"/>
            <w:lang w:val="es-ES"/>
          </w:rPr>
          <w:t>https://www.colombiacompra.gov.co/wp-content/uploads/2024/08/2017-Guia-para-el-manejo-de-anticipos-mediante-contrato-de-fiducia-mercantil-irrevocable-G-MACFMI-01.pdf</w:t>
        </w:r>
      </w:hyperlink>
      <w:r w:rsidRPr="00544BDE">
        <w:rPr>
          <w:rFonts w:ascii="Verdana" w:hAnsi="Verdana" w:cs="Arial"/>
          <w:sz w:val="16"/>
          <w:szCs w:val="16"/>
          <w:lang w:val="es-ES"/>
        </w:rPr>
        <w:t xml:space="preserve">.  </w:t>
      </w:r>
    </w:p>
    <w:p w14:paraId="01B9E1FB" w14:textId="77777777" w:rsidR="008F0FE4" w:rsidRPr="00544BDE" w:rsidRDefault="008F0FE4" w:rsidP="008F0FE4">
      <w:pPr>
        <w:pStyle w:val="NoSpacing"/>
        <w:ind w:firstLine="708"/>
        <w:jc w:val="both"/>
        <w:rPr>
          <w:rFonts w:ascii="Verdana" w:hAnsi="Verdana" w:cs="Arial"/>
          <w:sz w:val="16"/>
          <w:szCs w:val="16"/>
          <w:lang w:val="es-ES"/>
        </w:rPr>
      </w:pPr>
    </w:p>
  </w:footnote>
  <w:footnote w:id="10">
    <w:p w14:paraId="79AAD84A" w14:textId="77777777" w:rsidR="008F0FE4" w:rsidRDefault="008F0FE4" w:rsidP="008F0FE4">
      <w:pPr>
        <w:pStyle w:val="FootnoteText"/>
        <w:ind w:firstLine="709"/>
        <w:jc w:val="both"/>
        <w:rPr>
          <w:rFonts w:ascii="Verdana" w:eastAsiaTheme="minorEastAsia" w:hAnsi="Verdana" w:cs="Arial"/>
          <w:sz w:val="16"/>
          <w:szCs w:val="16"/>
          <w:lang w:val="es-ES_tradnl" w:eastAsia="es-CO"/>
        </w:rPr>
      </w:pPr>
      <w:r w:rsidRPr="00544BDE">
        <w:rPr>
          <w:rStyle w:val="FootnoteReference"/>
          <w:rFonts w:ascii="Verdana" w:hAnsi="Verdana"/>
          <w:sz w:val="16"/>
          <w:szCs w:val="16"/>
        </w:rPr>
        <w:footnoteRef/>
      </w:r>
      <w:r w:rsidRPr="00544BDE">
        <w:rPr>
          <w:rFonts w:ascii="Verdana" w:hAnsi="Verdana"/>
          <w:sz w:val="16"/>
          <w:szCs w:val="16"/>
        </w:rPr>
        <w:t xml:space="preserve"> </w:t>
      </w:r>
      <w:r w:rsidRPr="00544BDE">
        <w:rPr>
          <w:rFonts w:ascii="Verdana" w:hAnsi="Verdana" w:cs="Arial"/>
          <w:sz w:val="16"/>
          <w:szCs w:val="16"/>
        </w:rPr>
        <w:t xml:space="preserve">Consejo de Estado. </w:t>
      </w:r>
      <w:r w:rsidRPr="00544BDE">
        <w:rPr>
          <w:rFonts w:ascii="Verdana" w:eastAsiaTheme="minorEastAsia" w:hAnsi="Verdana" w:cs="Arial"/>
          <w:sz w:val="16"/>
          <w:szCs w:val="16"/>
          <w:lang w:val="es-ES_tradnl" w:eastAsia="es-CO"/>
        </w:rPr>
        <w:t>Sala de Consulta y Servicio Civil. Concepto del 4 de marzo de 1998. Radicado Nro. 1.074. CP.: Cesar Hoyos Salazar.</w:t>
      </w:r>
    </w:p>
    <w:p w14:paraId="55024974" w14:textId="77777777" w:rsidR="008F0FE4" w:rsidRPr="0005074A" w:rsidRDefault="008F0FE4" w:rsidP="008F0FE4">
      <w:pPr>
        <w:pStyle w:val="FootnoteText"/>
        <w:ind w:firstLine="709"/>
        <w:jc w:val="both"/>
        <w:rPr>
          <w:rFonts w:ascii="Verdana" w:hAnsi="Verdana"/>
          <w:sz w:val="16"/>
          <w:szCs w:val="16"/>
          <w:lang w:val="es-CO"/>
        </w:rPr>
      </w:pPr>
    </w:p>
  </w:footnote>
  <w:footnote w:id="11">
    <w:p w14:paraId="2A3892C2" w14:textId="77777777" w:rsidR="008F0FE4" w:rsidRPr="003E78FA" w:rsidRDefault="008F0FE4" w:rsidP="008F0FE4">
      <w:pPr>
        <w:snapToGrid w:val="0"/>
        <w:spacing w:after="0" w:line="240" w:lineRule="auto"/>
        <w:ind w:firstLine="709"/>
        <w:jc w:val="both"/>
        <w:rPr>
          <w:rFonts w:ascii="Verdana"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Al respecto, se ha pronunciado el Alto Tribunal de lo contencioso administrativo señalando que: «La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5762EA53" w14:textId="77777777" w:rsidR="008F0FE4" w:rsidRPr="003E78FA" w:rsidRDefault="008F0FE4" w:rsidP="008F0FE4">
      <w:pPr>
        <w:snapToGrid w:val="0"/>
        <w:spacing w:after="0" w:line="240" w:lineRule="auto"/>
        <w:ind w:firstLine="709"/>
        <w:jc w:val="both"/>
        <w:rPr>
          <w:rFonts w:ascii="Verdana" w:hAnsi="Verdana" w:cs="Arial"/>
          <w:sz w:val="16"/>
          <w:szCs w:val="16"/>
        </w:rPr>
      </w:pPr>
      <w:r w:rsidRPr="003E78FA">
        <w:rPr>
          <w:rFonts w:ascii="Verdana" w:hAnsi="Verdana" w:cs="Arial"/>
          <w:sz w:val="16"/>
          <w:szCs w:val="16"/>
        </w:rPr>
        <w:t>“Se trata pues, de que sus actividades de explotación industrial o comercial se desarrollen con las mismas oportunidades y las mismas ventajas o desventajas que las adelantadas por aquellos, sin que</w:t>
      </w:r>
      <w:r w:rsidRPr="003E78FA">
        <w:rPr>
          <w:rFonts w:ascii="Verdana" w:eastAsia="Calibri" w:hAnsi="Verdana" w:cs="Arial"/>
          <w:sz w:val="16"/>
          <w:szCs w:val="16"/>
        </w:rPr>
        <w:t xml:space="preserve"> </w:t>
      </w:r>
      <w:r w:rsidRPr="003E78FA">
        <w:rPr>
          <w:rFonts w:ascii="Verdana" w:hAnsi="Verdana" w:cs="Arial"/>
          <w:sz w:val="16"/>
          <w:szCs w:val="16"/>
        </w:rPr>
        <w:t>influya para nada su investidura de entidad estatal; que puedan actuar como particulares, frente a las exigencias de la economía y del mercado.</w:t>
      </w:r>
    </w:p>
    <w:p w14:paraId="7279F742" w14:textId="77777777" w:rsidR="0005074A" w:rsidRPr="0005074A" w:rsidRDefault="0005074A" w:rsidP="008F0FE4">
      <w:pPr>
        <w:snapToGrid w:val="0"/>
        <w:spacing w:after="0" w:line="240" w:lineRule="auto"/>
        <w:ind w:firstLine="709"/>
        <w:jc w:val="both"/>
        <w:rPr>
          <w:rFonts w:ascii="Verdana" w:hAnsi="Verdana" w:cs="Arial"/>
          <w:sz w:val="16"/>
          <w:szCs w:val="16"/>
        </w:rPr>
      </w:pPr>
    </w:p>
    <w:p w14:paraId="08C467CB" w14:textId="77777777" w:rsidR="008F0FE4" w:rsidRDefault="008F0FE4" w:rsidP="008F0FE4">
      <w:pPr>
        <w:snapToGrid w:val="0"/>
        <w:spacing w:after="0" w:line="240" w:lineRule="auto"/>
        <w:ind w:firstLine="567"/>
        <w:jc w:val="both"/>
        <w:rPr>
          <w:rFonts w:ascii="Verdana" w:hAnsi="Verdana" w:cs="Arial"/>
          <w:sz w:val="16"/>
          <w:szCs w:val="16"/>
        </w:rPr>
      </w:pPr>
      <w:r w:rsidRPr="003E78FA">
        <w:rPr>
          <w:rFonts w:ascii="Verdana" w:eastAsia="Calibri" w:hAnsi="Verdana" w:cs="Arial"/>
          <w:sz w:val="16"/>
          <w:szCs w:val="16"/>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3E78FA">
        <w:rPr>
          <w:rFonts w:ascii="Verdana" w:eastAsia="Times New Roman" w:hAnsi="Verdana" w:cs="Arial"/>
          <w:sz w:val="16"/>
          <w:szCs w:val="16"/>
          <w:lang w:val="es-ES" w:eastAsia="es-ES_tradnl"/>
        </w:rPr>
        <w:t xml:space="preserve"> </w:t>
      </w:r>
      <w:r w:rsidRPr="003E78FA">
        <w:rPr>
          <w:rFonts w:ascii="Verdana" w:hAnsi="Verdana" w:cs="Arial"/>
          <w:sz w:val="16"/>
          <w:szCs w:val="16"/>
        </w:rPr>
        <w:t>CONSEJO DE ESTADO. Sección Tercera. Sentencia del 19 de agosto de 2004. Exp. 12.342. C.P. Ramiro Saavedra Becerra.</w:t>
      </w:r>
    </w:p>
    <w:p w14:paraId="75D7F959" w14:textId="77777777" w:rsidR="008F0FE4" w:rsidRPr="003E78FA" w:rsidRDefault="008F0FE4" w:rsidP="008F0FE4">
      <w:pPr>
        <w:snapToGrid w:val="0"/>
        <w:spacing w:after="0" w:line="240" w:lineRule="auto"/>
        <w:ind w:firstLine="567"/>
        <w:jc w:val="both"/>
        <w:rPr>
          <w:rFonts w:ascii="Verdana" w:hAnsi="Verdana" w:cs="Arial"/>
          <w:sz w:val="16"/>
          <w:szCs w:val="16"/>
        </w:rPr>
      </w:pPr>
    </w:p>
  </w:footnote>
  <w:footnote w:id="12">
    <w:p w14:paraId="71CE90F6" w14:textId="77777777" w:rsidR="008F0FE4" w:rsidRDefault="008F0FE4" w:rsidP="008F0FE4">
      <w:pPr>
        <w:pStyle w:val="FootnoteText"/>
        <w:snapToGrid w:val="0"/>
        <w:ind w:firstLine="567"/>
        <w:jc w:val="both"/>
        <w:rPr>
          <w:rFonts w:ascii="Verdana"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cs="Arial"/>
          <w:sz w:val="16"/>
          <w:szCs w:val="16"/>
          <w:lang w:val="es-CO"/>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sidRPr="003E78FA">
        <w:rPr>
          <w:rFonts w:ascii="Verdana" w:hAnsi="Verdana" w:cs="Arial"/>
          <w:sz w:val="16"/>
          <w:szCs w:val="16"/>
        </w:rPr>
        <w:t xml:space="preserve"> </w:t>
      </w:r>
    </w:p>
    <w:p w14:paraId="1032DF05" w14:textId="77777777" w:rsidR="008F0FE4" w:rsidRPr="003E78FA" w:rsidRDefault="008F0FE4" w:rsidP="008F0FE4">
      <w:pPr>
        <w:pStyle w:val="FootnoteText"/>
        <w:snapToGrid w:val="0"/>
        <w:ind w:firstLine="567"/>
        <w:jc w:val="both"/>
        <w:rPr>
          <w:rFonts w:ascii="Verdana" w:hAnsi="Verdana" w:cs="Arial"/>
          <w:sz w:val="16"/>
          <w:szCs w:val="16"/>
        </w:rPr>
      </w:pPr>
    </w:p>
  </w:footnote>
  <w:footnote w:id="13">
    <w:p w14:paraId="1C9C32BE" w14:textId="77777777" w:rsidR="008F0FE4" w:rsidRDefault="008F0FE4" w:rsidP="008F0FE4">
      <w:pPr>
        <w:pStyle w:val="FootnoteText"/>
        <w:snapToGrid w:val="0"/>
        <w:ind w:firstLine="567"/>
        <w:jc w:val="both"/>
        <w:rPr>
          <w:rFonts w:ascii="Verdana" w:eastAsia="Calibri" w:hAnsi="Verdana" w:cs="Arial"/>
          <w:sz w:val="16"/>
          <w:szCs w:val="16"/>
          <w:lang w:val="es-CO"/>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cs="Arial"/>
          <w:sz w:val="16"/>
          <w:szCs w:val="16"/>
          <w:lang w:val="es-CO"/>
        </w:rPr>
        <w:t>“Artículo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p w14:paraId="72F205CE" w14:textId="77777777" w:rsidR="008F0FE4" w:rsidRPr="0005074A" w:rsidRDefault="008F0FE4" w:rsidP="008F0FE4">
      <w:pPr>
        <w:pStyle w:val="FootnoteText"/>
        <w:snapToGrid w:val="0"/>
        <w:ind w:firstLine="567"/>
        <w:jc w:val="both"/>
        <w:rPr>
          <w:rFonts w:ascii="Verdana" w:hAnsi="Verdana" w:cs="Arial"/>
          <w:sz w:val="16"/>
          <w:szCs w:val="16"/>
        </w:rPr>
      </w:pPr>
    </w:p>
  </w:footnote>
  <w:footnote w:id="14">
    <w:p w14:paraId="2F5362CA" w14:textId="77777777" w:rsidR="008F0FE4" w:rsidRDefault="008F0FE4" w:rsidP="008F0FE4">
      <w:pPr>
        <w:pStyle w:val="FootnoteText"/>
        <w:snapToGrid w:val="0"/>
        <w:ind w:firstLine="708"/>
        <w:jc w:val="both"/>
        <w:rPr>
          <w:rFonts w:ascii="Verdana"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cs="Arial"/>
          <w:sz w:val="16"/>
          <w:szCs w:val="16"/>
          <w:lang w:val="es-CO"/>
        </w:rPr>
        <w:t>CONSEJO DE ESTADO. Sala de Consulta y Servicio Civil del Consejo de Estado, Concepto 1291 de 2000.</w:t>
      </w:r>
      <w:r w:rsidRPr="003E78FA">
        <w:rPr>
          <w:rFonts w:ascii="Verdana" w:hAnsi="Verdana" w:cs="Arial"/>
          <w:sz w:val="16"/>
          <w:szCs w:val="16"/>
        </w:rPr>
        <w:t xml:space="preserve"> </w:t>
      </w:r>
    </w:p>
    <w:p w14:paraId="13C16AA6" w14:textId="77777777" w:rsidR="008F0FE4" w:rsidRPr="003E78FA" w:rsidRDefault="008F0FE4" w:rsidP="008F0FE4">
      <w:pPr>
        <w:pStyle w:val="FootnoteText"/>
        <w:snapToGrid w:val="0"/>
        <w:ind w:firstLine="708"/>
        <w:jc w:val="both"/>
        <w:rPr>
          <w:rFonts w:ascii="Verdana" w:hAnsi="Verdana" w:cs="Arial"/>
          <w:sz w:val="16"/>
          <w:szCs w:val="16"/>
        </w:rPr>
      </w:pPr>
    </w:p>
  </w:footnote>
  <w:footnote w:id="15">
    <w:p w14:paraId="2D01A8F7" w14:textId="77777777" w:rsidR="008F0FE4" w:rsidRDefault="008F0FE4" w:rsidP="008F0FE4">
      <w:pPr>
        <w:pStyle w:val="FootnoteText"/>
        <w:snapToGrid w:val="0"/>
        <w:ind w:firstLine="708"/>
        <w:jc w:val="both"/>
        <w:rPr>
          <w:rFonts w:ascii="Verdana"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cs="Arial"/>
          <w:sz w:val="16"/>
          <w:szCs w:val="16"/>
          <w:lang w:val="es-CO"/>
        </w:rPr>
        <w:t>VIDAL PERDOMO, Jaime y MOLINA BETANCUR, Carlos. Derecho Administrativo. Decimoquinta edición. 2019, Legis Editores. pp. 168-169.</w:t>
      </w:r>
      <w:r w:rsidRPr="003E78FA">
        <w:rPr>
          <w:rFonts w:ascii="Verdana" w:hAnsi="Verdana" w:cs="Arial"/>
          <w:sz w:val="16"/>
          <w:szCs w:val="16"/>
        </w:rPr>
        <w:t xml:space="preserve"> </w:t>
      </w:r>
    </w:p>
    <w:p w14:paraId="08B77A66" w14:textId="77777777" w:rsidR="008F0FE4" w:rsidRPr="003E78FA" w:rsidRDefault="008F0FE4" w:rsidP="008F0FE4">
      <w:pPr>
        <w:pStyle w:val="FootnoteText"/>
        <w:snapToGrid w:val="0"/>
        <w:ind w:firstLine="708"/>
        <w:jc w:val="both"/>
        <w:rPr>
          <w:rFonts w:ascii="Verdana" w:hAnsi="Verdana" w:cs="Arial"/>
          <w:sz w:val="16"/>
          <w:szCs w:val="16"/>
        </w:rPr>
      </w:pPr>
    </w:p>
  </w:footnote>
  <w:footnote w:id="16">
    <w:p w14:paraId="33BBCD72" w14:textId="77777777" w:rsidR="008F0FE4" w:rsidRDefault="008F0FE4" w:rsidP="008F0FE4">
      <w:pPr>
        <w:pStyle w:val="FootnoteText"/>
        <w:snapToGrid w:val="0"/>
        <w:ind w:firstLine="708"/>
        <w:jc w:val="both"/>
        <w:rPr>
          <w:rFonts w:ascii="Verdana"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cs="Arial"/>
          <w:sz w:val="16"/>
          <w:szCs w:val="16"/>
          <w:lang w:val="es-CO"/>
        </w:rPr>
        <w:t>Corte Constitucional. Sentencia C- 230 de 1995. M.P. Antonio Barrera Carbonell.</w:t>
      </w:r>
      <w:r w:rsidRPr="003E78FA">
        <w:rPr>
          <w:rFonts w:ascii="Verdana" w:hAnsi="Verdana" w:cs="Arial"/>
          <w:sz w:val="16"/>
          <w:szCs w:val="16"/>
        </w:rPr>
        <w:t xml:space="preserve"> </w:t>
      </w:r>
    </w:p>
    <w:p w14:paraId="51B84AD9" w14:textId="77777777" w:rsidR="008F0FE4" w:rsidRPr="003E78FA" w:rsidRDefault="008F0FE4" w:rsidP="008F0FE4">
      <w:pPr>
        <w:pStyle w:val="FootnoteText"/>
        <w:snapToGrid w:val="0"/>
        <w:ind w:firstLine="708"/>
        <w:jc w:val="both"/>
        <w:rPr>
          <w:rFonts w:ascii="Verdana" w:hAnsi="Verdana" w:cs="Arial"/>
          <w:sz w:val="16"/>
          <w:szCs w:val="16"/>
        </w:rPr>
      </w:pPr>
    </w:p>
  </w:footnote>
  <w:footnote w:id="17">
    <w:p w14:paraId="46C54D5B" w14:textId="77777777" w:rsidR="008F0FE4" w:rsidRPr="003E78FA" w:rsidRDefault="008F0FE4" w:rsidP="008F0FE4">
      <w:pPr>
        <w:pStyle w:val="FootnoteText"/>
        <w:snapToGrid w:val="0"/>
        <w:ind w:firstLine="708"/>
        <w:jc w:val="both"/>
        <w:rPr>
          <w:rFonts w:ascii="Verdana" w:hAnsi="Verdana"/>
          <w:sz w:val="16"/>
          <w:szCs w:val="16"/>
        </w:rPr>
      </w:pPr>
      <w:r w:rsidRPr="003E78FA">
        <w:rPr>
          <w:rStyle w:val="FootnoteReference"/>
          <w:rFonts w:ascii="Verdana" w:hAnsi="Verdana"/>
          <w:sz w:val="16"/>
          <w:szCs w:val="16"/>
        </w:rPr>
        <w:footnoteRef/>
      </w:r>
      <w:r w:rsidRPr="003E78FA">
        <w:rPr>
          <w:rFonts w:ascii="Verdana" w:hAnsi="Verdana"/>
          <w:sz w:val="16"/>
          <w:szCs w:val="16"/>
        </w:rPr>
        <w:t xml:space="preserve"> Ley 488 de 1998. “Artículo</w:t>
      </w:r>
      <w:bookmarkStart w:id="4" w:name="96"/>
      <w:bookmarkEnd w:id="4"/>
      <w:r w:rsidRPr="003E78FA">
        <w:rPr>
          <w:rFonts w:ascii="Verdana" w:hAnsi="Verdana"/>
          <w:sz w:val="16"/>
          <w:szCs w:val="16"/>
        </w:rPr>
        <w:t xml:space="preserve"> 96. </w:t>
      </w:r>
      <w:r w:rsidRPr="003E78FA">
        <w:rPr>
          <w:rFonts w:ascii="Verdana" w:hAnsi="Verdana"/>
          <w:i/>
          <w:sz w:val="16"/>
          <w:szCs w:val="16"/>
        </w:rPr>
        <w:t>Constitución de asociaciones y fundaciones para el cumplimiento de las actividades propias de las entidades públicas con participacion de particulares</w:t>
      </w:r>
      <w:r w:rsidRPr="003E78FA">
        <w:rPr>
          <w:rFonts w:ascii="Verdana" w:hAnsi="Verdana"/>
          <w:b/>
          <w:i/>
          <w:sz w:val="16"/>
          <w:szCs w:val="16"/>
        </w:rPr>
        <w:t>.</w:t>
      </w:r>
      <w:r w:rsidRPr="003E78FA">
        <w:rPr>
          <w:rFonts w:ascii="Verdana" w:hAnsi="Verdana"/>
          <w:sz w:val="16"/>
          <w:szCs w:val="16"/>
        </w:rPr>
        <w:t> Las entidades estatales, cualquiera sea su naturaleza y orden administrativo podrán, con la observancia de los principios señalados en el artículo 209 de la Constitución, asociarse con personas jurídicas particulares, mediante la celebracion de convenios de asociacion o la creacion de personas jurídicas, para el desarrollo conjunto de actividades en relación con los cometidos y funciones que les asigna a aquellas la ley.</w:t>
      </w:r>
    </w:p>
    <w:p w14:paraId="1A3565B7" w14:textId="77777777" w:rsidR="008F0FE4" w:rsidRPr="003E78FA"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Los convenios de asociacion a que se refiere el presente artículo se celebraran de conformidad con lo dispuesto en el artículo 355 de la Constitución Política, en ellos se determinara con precision su objeto, término, obligaciones de las partes, aportes, coordinación y todos aquellos aspectos que se consideren pertinentes.</w:t>
      </w:r>
    </w:p>
    <w:p w14:paraId="0D8BE62A" w14:textId="77777777" w:rsidR="008F0FE4" w:rsidRPr="003E78FA" w:rsidRDefault="008F0FE4" w:rsidP="008F0FE4">
      <w:pPr>
        <w:pStyle w:val="FootnoteText"/>
        <w:snapToGrid w:val="0"/>
        <w:jc w:val="both"/>
        <w:rPr>
          <w:rFonts w:ascii="Verdana" w:hAnsi="Verdana"/>
          <w:sz w:val="16"/>
          <w:szCs w:val="16"/>
        </w:rPr>
      </w:pPr>
      <w:r w:rsidRPr="003E78FA">
        <w:rPr>
          <w:rFonts w:ascii="Verdana" w:hAnsi="Verdana"/>
          <w:sz w:val="16"/>
          <w:szCs w:val="16"/>
        </w:rPr>
        <w:t> </w:t>
      </w:r>
      <w:r w:rsidRPr="003E78FA">
        <w:rPr>
          <w:rFonts w:ascii="Verdana" w:hAnsi="Verdana"/>
          <w:sz w:val="16"/>
          <w:szCs w:val="16"/>
        </w:rPr>
        <w:tab/>
        <w:t>Cuando en virtud de lo dispuesto en el presente artículo, surjan personas jurídicas sin animo de lucro, estas se sujetaran a las disposiciones previstas en el Código Civil para las asociaciones civiles de utilidad comun.</w:t>
      </w:r>
    </w:p>
    <w:p w14:paraId="4B099414" w14:textId="77777777" w:rsidR="008F0FE4" w:rsidRPr="003E78FA" w:rsidRDefault="008F0FE4" w:rsidP="008F0FE4">
      <w:pPr>
        <w:pStyle w:val="FootnoteText"/>
        <w:snapToGrid w:val="0"/>
        <w:jc w:val="both"/>
        <w:rPr>
          <w:rFonts w:ascii="Verdana" w:hAnsi="Verdana"/>
          <w:sz w:val="16"/>
          <w:szCs w:val="16"/>
        </w:rPr>
      </w:pPr>
      <w:r w:rsidRPr="003E78FA">
        <w:rPr>
          <w:rFonts w:ascii="Verdana" w:hAnsi="Verdana"/>
          <w:sz w:val="16"/>
          <w:szCs w:val="16"/>
        </w:rPr>
        <w:t> </w:t>
      </w:r>
      <w:r w:rsidRPr="003E78FA">
        <w:rPr>
          <w:rFonts w:ascii="Verdana" w:hAnsi="Verdana"/>
          <w:sz w:val="16"/>
          <w:szCs w:val="16"/>
        </w:rPr>
        <w:tab/>
        <w:t>En todo caso, en el correspondiente acto constitutivo que de origen a una persona jurídica se dispondra sobre los siguientes aspectos:</w:t>
      </w:r>
    </w:p>
    <w:p w14:paraId="49828D4B" w14:textId="77777777" w:rsidR="008F0FE4" w:rsidRPr="003E78FA"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a. Los objetivos y actividades a cargo, con precision de la conexidad con los objetivos, funciones y controles propios de las entidades públicas participantes;</w:t>
      </w:r>
    </w:p>
    <w:p w14:paraId="307361C5" w14:textId="77777777" w:rsidR="008F0FE4" w:rsidRPr="003E78FA"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b. Los compromisos o aportes iniciales de las entidades asociadas y su naturaleza y forma de pago, con sujecion a las disposiciones presupuestales y fiscales, para el caso de las públicas;</w:t>
      </w:r>
    </w:p>
    <w:p w14:paraId="557A8F24" w14:textId="77777777" w:rsidR="008F0FE4" w:rsidRPr="003E78FA"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c. La participacion de las entidades asociadas en el sostenimiento y funcionamiento de la entidad;</w:t>
      </w:r>
    </w:p>
    <w:p w14:paraId="59D24A58" w14:textId="77777777" w:rsidR="008F0FE4" w:rsidRPr="003E78FA"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d. La integracion de los organos de dirección y administración, en los cuáles deben participar representantes de las entidades públicas y de los particulares;</w:t>
      </w:r>
      <w:r w:rsidRPr="003E78FA">
        <w:rPr>
          <w:rFonts w:ascii="Verdana" w:hAnsi="Verdana"/>
          <w:sz w:val="16"/>
          <w:szCs w:val="16"/>
        </w:rPr>
        <w:tab/>
      </w:r>
    </w:p>
    <w:p w14:paraId="737AEBE1" w14:textId="77777777" w:rsidR="008F0FE4" w:rsidRDefault="008F0FE4" w:rsidP="008F0FE4">
      <w:pPr>
        <w:pStyle w:val="FootnoteText"/>
        <w:snapToGrid w:val="0"/>
        <w:ind w:firstLine="708"/>
        <w:jc w:val="both"/>
        <w:rPr>
          <w:rFonts w:ascii="Verdana" w:hAnsi="Verdana"/>
          <w:sz w:val="16"/>
          <w:szCs w:val="16"/>
        </w:rPr>
      </w:pPr>
      <w:r w:rsidRPr="003E78FA">
        <w:rPr>
          <w:rFonts w:ascii="Verdana" w:hAnsi="Verdana"/>
          <w:sz w:val="16"/>
          <w:szCs w:val="16"/>
        </w:rPr>
        <w:t>e. La duración de la asociacion y las causales de disolucion”.</w:t>
      </w:r>
    </w:p>
    <w:p w14:paraId="6B3ECDBA" w14:textId="77777777" w:rsidR="008F0FE4" w:rsidRPr="0005074A" w:rsidRDefault="008F0FE4" w:rsidP="008F0FE4">
      <w:pPr>
        <w:pStyle w:val="FootnoteText"/>
        <w:snapToGrid w:val="0"/>
        <w:ind w:firstLine="708"/>
        <w:jc w:val="both"/>
        <w:rPr>
          <w:rFonts w:ascii="Verdana" w:hAnsi="Verdana"/>
          <w:sz w:val="16"/>
          <w:szCs w:val="16"/>
          <w:lang w:val="es-ES"/>
        </w:rPr>
      </w:pPr>
    </w:p>
  </w:footnote>
  <w:footnote w:id="18">
    <w:p w14:paraId="4DB815BE" w14:textId="77777777" w:rsidR="008F0FE4" w:rsidRPr="003E78FA" w:rsidRDefault="008F0FE4" w:rsidP="008F0FE4">
      <w:pPr>
        <w:pStyle w:val="FootnoteText"/>
        <w:snapToGrid w:val="0"/>
        <w:ind w:firstLine="708"/>
        <w:jc w:val="both"/>
        <w:rPr>
          <w:rFonts w:ascii="Verdana" w:hAnsi="Verdana"/>
          <w:sz w:val="16"/>
          <w:szCs w:val="16"/>
          <w:lang w:val="es-ES"/>
        </w:rPr>
      </w:pPr>
      <w:r w:rsidRPr="003E78FA">
        <w:rPr>
          <w:rStyle w:val="FootnoteReference"/>
          <w:rFonts w:ascii="Verdana" w:hAnsi="Verdana"/>
          <w:sz w:val="16"/>
          <w:szCs w:val="16"/>
        </w:rPr>
        <w:footnoteRef/>
      </w:r>
      <w:r w:rsidRPr="003E78FA">
        <w:rPr>
          <w:rFonts w:ascii="Verdana" w:hAnsi="Verdana"/>
          <w:sz w:val="16"/>
          <w:szCs w:val="16"/>
        </w:rPr>
        <w:t xml:space="preserve"> </w:t>
      </w:r>
      <w:r w:rsidRPr="003E78FA">
        <w:rPr>
          <w:rFonts w:ascii="Verdana" w:hAnsi="Verdana"/>
          <w:sz w:val="16"/>
          <w:szCs w:val="16"/>
          <w:lang w:val="es-ES"/>
        </w:rPr>
        <w:t xml:space="preserve">Este es el caso, por ejemplo, de los fondos </w:t>
      </w:r>
      <w:r w:rsidRPr="003E78FA">
        <w:rPr>
          <w:rFonts w:ascii="Verdana" w:eastAsia="Times New Roman" w:hAnsi="Verdana" w:cs="Arial"/>
          <w:iCs/>
          <w:sz w:val="16"/>
          <w:szCs w:val="16"/>
          <w:lang w:eastAsia="es-ES"/>
        </w:rPr>
        <w:t>para la promoción de la cultura y las artes</w:t>
      </w:r>
      <w:r w:rsidRPr="003E78FA">
        <w:rPr>
          <w:rFonts w:ascii="Verdana" w:hAnsi="Verdana"/>
          <w:sz w:val="16"/>
          <w:szCs w:val="16"/>
        </w:rPr>
        <w:t xml:space="preserve"> que, en virtud de lo dispuesto en el artículo 63 de la la Ley 397 de 1997, actúan por disposición legal especial al amparo de las normas de derecho privado. Esto se traduce en que la existencia y validez de sus actos y contratos están regidas por las leyes civiles y comerciales pertinentes, así como por lo dispuesto en los estatutos, manuales de contratación y demás normas internas que las rigen. Sin embargo, a dicha contratación realizada en el marco del derecho privado también le resultan aplicables los principios de la función administrativa y de la gestión fiscal de que tratan los artículos 209 y 267 de la Constitución Política. Así como el régimen de inhabilidades e incompatibilidades para contratar con el Estado y la obligación de publicar la actividad contractual en el SECOP II.  </w:t>
      </w:r>
    </w:p>
  </w:footnote>
  <w:footnote w:id="19">
    <w:p w14:paraId="2A26EF5E" w14:textId="77777777" w:rsidR="008F0FE4" w:rsidRPr="003E78FA" w:rsidRDefault="008F0FE4" w:rsidP="008F0FE4">
      <w:pPr>
        <w:shd w:val="clear" w:color="auto" w:fill="FFFFFF"/>
        <w:snapToGrid w:val="0"/>
        <w:spacing w:after="0" w:line="240" w:lineRule="auto"/>
        <w:ind w:firstLine="708"/>
        <w:jc w:val="both"/>
        <w:rPr>
          <w:rFonts w:ascii="Verdana" w:eastAsia="Calibri" w:hAnsi="Verdana" w:cs="Arial"/>
          <w:sz w:val="16"/>
          <w:szCs w:val="16"/>
        </w:rPr>
      </w:pPr>
      <w:r w:rsidRPr="003E78FA">
        <w:rPr>
          <w:rStyle w:val="FootnoteReference"/>
          <w:rFonts w:ascii="Verdana" w:hAnsi="Verdana" w:cs="Arial"/>
          <w:sz w:val="16"/>
          <w:szCs w:val="16"/>
        </w:rPr>
        <w:footnoteRef/>
      </w:r>
      <w:r w:rsidRPr="003E78FA">
        <w:rPr>
          <w:rFonts w:ascii="Verdana" w:hAnsi="Verdana" w:cs="Arial"/>
          <w:sz w:val="16"/>
          <w:szCs w:val="16"/>
        </w:rPr>
        <w:t xml:space="preserve">  “</w:t>
      </w:r>
      <w:r w:rsidRPr="003E78FA">
        <w:rPr>
          <w:rFonts w:ascii="Verdana" w:eastAsia="Calibri" w:hAnsi="Verdana"/>
          <w:bCs/>
          <w:sz w:val="16"/>
          <w:szCs w:val="16"/>
        </w:rPr>
        <w:t>Artículo 38.-</w:t>
      </w:r>
      <w:r w:rsidRPr="003E78FA">
        <w:rPr>
          <w:rFonts w:ascii="Verdana" w:eastAsia="Calibri" w:hAnsi="Verdana"/>
          <w:b/>
          <w:bCs/>
          <w:sz w:val="16"/>
          <w:szCs w:val="16"/>
        </w:rPr>
        <w:t> </w:t>
      </w:r>
      <w:r w:rsidRPr="003E78FA">
        <w:rPr>
          <w:rFonts w:ascii="Verdana" w:eastAsia="Calibri" w:hAnsi="Verdana"/>
          <w:i/>
          <w:iCs/>
          <w:sz w:val="16"/>
          <w:szCs w:val="16"/>
        </w:rPr>
        <w:t>Integración de la Rama Ejecutiva del Poder Público en el orden nacional. </w:t>
      </w:r>
      <w:r w:rsidRPr="003E78FA">
        <w:rPr>
          <w:rFonts w:ascii="Verdana" w:eastAsia="Calibri" w:hAnsi="Verdana" w:cs="Arial"/>
          <w:sz w:val="16"/>
          <w:szCs w:val="16"/>
        </w:rPr>
        <w:t>La Rama Ejecutiva del Poder Público en el orden nacional, está integrada por los siguientes organismos y entidades:</w:t>
      </w:r>
    </w:p>
    <w:p w14:paraId="32B9BEB8" w14:textId="77777777" w:rsidR="008F0FE4" w:rsidRPr="003E78FA" w:rsidRDefault="008F0FE4" w:rsidP="008F0FE4">
      <w:pPr>
        <w:shd w:val="clear" w:color="auto" w:fill="FFFFFF"/>
        <w:snapToGrid w:val="0"/>
        <w:spacing w:after="0" w:line="240" w:lineRule="auto"/>
        <w:ind w:firstLine="708"/>
        <w:jc w:val="both"/>
        <w:rPr>
          <w:rFonts w:ascii="Verdana" w:eastAsia="Calibri" w:hAnsi="Verdana" w:cs="Arial"/>
          <w:sz w:val="16"/>
          <w:szCs w:val="16"/>
        </w:rPr>
      </w:pPr>
      <w:bookmarkStart w:id="5" w:name="38.d."/>
      <w:bookmarkStart w:id="6" w:name="38.e."/>
      <w:bookmarkEnd w:id="5"/>
      <w:bookmarkEnd w:id="6"/>
      <w:r w:rsidRPr="003E78FA">
        <w:rPr>
          <w:rFonts w:ascii="Verdana" w:eastAsia="Calibri" w:hAnsi="Verdana" w:cs="Arial"/>
          <w:sz w:val="16"/>
          <w:szCs w:val="16"/>
        </w:rPr>
        <w:t>[…]</w:t>
      </w:r>
    </w:p>
    <w:p w14:paraId="1AD65CF5" w14:textId="77777777" w:rsidR="008F0FE4" w:rsidRPr="003E78FA" w:rsidRDefault="008F0FE4" w:rsidP="008F0FE4">
      <w:pPr>
        <w:shd w:val="clear" w:color="auto" w:fill="FFFFFF"/>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“2. Del Sector descentralizado por servicios:</w:t>
      </w:r>
    </w:p>
    <w:p w14:paraId="2CB8DAC1" w14:textId="77777777" w:rsidR="008F0FE4" w:rsidRPr="003E78FA" w:rsidRDefault="008F0FE4" w:rsidP="008F0FE4">
      <w:pPr>
        <w:shd w:val="clear" w:color="auto" w:fill="FFFFFF"/>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w:t>
      </w:r>
    </w:p>
    <w:p w14:paraId="4AACD6FC" w14:textId="77777777" w:rsidR="008F0FE4" w:rsidRPr="003E78FA" w:rsidRDefault="008F0FE4" w:rsidP="008F0FE4">
      <w:pPr>
        <w:shd w:val="clear" w:color="auto" w:fill="FFFFFF"/>
        <w:snapToGrid w:val="0"/>
        <w:spacing w:after="0" w:line="240" w:lineRule="auto"/>
        <w:ind w:firstLine="708"/>
        <w:jc w:val="both"/>
        <w:rPr>
          <w:rFonts w:ascii="Verdana" w:eastAsia="Calibri" w:hAnsi="Verdana" w:cs="Arial"/>
          <w:sz w:val="16"/>
          <w:szCs w:val="16"/>
        </w:rPr>
      </w:pPr>
      <w:bookmarkStart w:id="7" w:name="38.g."/>
      <w:bookmarkStart w:id="8" w:name="38.g"/>
      <w:bookmarkEnd w:id="7"/>
      <w:bookmarkEnd w:id="8"/>
      <w:r w:rsidRPr="003E78FA">
        <w:rPr>
          <w:rFonts w:ascii="Verdana" w:eastAsia="Calibri" w:hAnsi="Verdana" w:cs="Arial"/>
          <w:sz w:val="16"/>
          <w:szCs w:val="16"/>
        </w:rPr>
        <w:t>“g. Las demás entidades administrativas nacionales con personería jurídica que cree, organice o autorice la ley para que formen parte de la Rama Ejecutiva del Poder Público. […]”.</w:t>
      </w:r>
    </w:p>
  </w:footnote>
  <w:footnote w:id="20">
    <w:p w14:paraId="63C05637" w14:textId="77777777" w:rsidR="008F0FE4" w:rsidRPr="003E78FA" w:rsidRDefault="008F0FE4" w:rsidP="008F0FE4">
      <w:pPr>
        <w:pStyle w:val="NormalWeb"/>
        <w:snapToGrid w:val="0"/>
        <w:spacing w:before="0" w:beforeAutospacing="0" w:after="0" w:afterAutospacing="0"/>
        <w:ind w:firstLine="708"/>
        <w:jc w:val="both"/>
        <w:rPr>
          <w:rFonts w:ascii="Verdana" w:eastAsia="Calibri" w:hAnsi="Verdana" w:cs="Arial"/>
          <w:sz w:val="16"/>
          <w:szCs w:val="16"/>
        </w:rPr>
      </w:pPr>
      <w:r w:rsidRPr="003E78FA">
        <w:rPr>
          <w:rFonts w:ascii="Verdana" w:eastAsia="Calibri" w:hAnsi="Verdana"/>
          <w:sz w:val="16"/>
          <w:szCs w:val="16"/>
        </w:rPr>
        <w:footnoteRef/>
      </w:r>
      <w:r w:rsidRPr="003E78FA">
        <w:rPr>
          <w:rFonts w:ascii="Verdana" w:eastAsia="Calibri" w:hAnsi="Verdana" w:cs="Arial"/>
          <w:sz w:val="16"/>
          <w:szCs w:val="16"/>
        </w:rPr>
        <w:t xml:space="preserve"> “Articulo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64B85F8F" w14:textId="77777777" w:rsidR="008F0FE4" w:rsidRPr="003E78FA" w:rsidRDefault="008F0FE4" w:rsidP="008F0FE4">
      <w:pPr>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“Las entidades descentralizadas se sujetan a las reglas señaladas en la Constitución Política, en la presente ley, en las leyes que las creen y determinen su estructura orgánica y a sus estatutos internos. “Los organismos y entidades descentralizados, sujetos a regímenes especiales por mandato de la Constitución Política, se someterán a las disposiciones que para ellos establezca la respectiva ley.</w:t>
      </w:r>
    </w:p>
    <w:p w14:paraId="1036DA27" w14:textId="77777777" w:rsidR="008F0FE4" w:rsidRPr="003E78FA" w:rsidRDefault="008F0FE4" w:rsidP="008F0FE4">
      <w:pPr>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“Parágrafo 1o. De conformidad con el inciso segundo del artículo </w:t>
      </w:r>
      <w:hyperlink r:id="rId3" w:anchor="210" w:history="1">
        <w:r w:rsidRPr="003E78FA">
          <w:rPr>
            <w:rFonts w:ascii="Verdana" w:eastAsia="Calibri" w:hAnsi="Verdana" w:cs="Arial"/>
            <w:sz w:val="16"/>
            <w:szCs w:val="16"/>
          </w:rPr>
          <w:t>210</w:t>
        </w:r>
      </w:hyperlink>
      <w:r w:rsidRPr="003E78FA">
        <w:rPr>
          <w:rFonts w:ascii="Verdana" w:eastAsia="Calibri" w:hAnsi="Verdana" w:cs="Arial"/>
          <w:sz w:val="16"/>
          <w:szCs w:val="16"/>
        </w:rPr>
        <w:t>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235BBE8C" w14:textId="77777777" w:rsidR="008F0FE4" w:rsidRPr="003E78FA" w:rsidRDefault="008F0FE4" w:rsidP="008F0FE4">
      <w:pPr>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“Parágrafo 2o. Los organismos o entidades del Sector Descentralizado que tengan como objetivo desarrollar actividades científicas y tecnológicas, se sujetarán a la Legislación de Ciencia y Tecnología y su organización será determinada por el Gobierno Nacional.</w:t>
      </w:r>
    </w:p>
    <w:p w14:paraId="11A9B311" w14:textId="77777777" w:rsidR="008F0FE4" w:rsidRPr="003E78FA" w:rsidRDefault="008F0FE4" w:rsidP="008F0FE4">
      <w:pPr>
        <w:snapToGrid w:val="0"/>
        <w:spacing w:after="0" w:line="240" w:lineRule="auto"/>
        <w:ind w:firstLine="708"/>
        <w:jc w:val="both"/>
        <w:rPr>
          <w:rFonts w:ascii="Verdana" w:eastAsia="Calibri" w:hAnsi="Verdana" w:cs="Arial"/>
          <w:sz w:val="16"/>
          <w:szCs w:val="16"/>
        </w:rPr>
      </w:pPr>
      <w:r w:rsidRPr="003E78FA">
        <w:rPr>
          <w:rFonts w:ascii="Verdana" w:eastAsia="Calibri" w:hAnsi="Verdana" w:cs="Arial"/>
          <w:sz w:val="16"/>
          <w:szCs w:val="16"/>
        </w:rPr>
        <w:t xml:space="preserve">“Parágrafo 3o. Lo dispuesto en el presente artículo no se aplica a las corporaciones civiles sin ánimo de lucro de derecho privado, vinculadas al Ministerio del Medio Ambiente, creadas por la Ley 99 de 1993”. </w:t>
      </w:r>
    </w:p>
  </w:footnote>
  <w:footnote w:id="21">
    <w:p w14:paraId="261EEF9F" w14:textId="77777777" w:rsidR="0005074A" w:rsidRDefault="0005074A" w:rsidP="008F0FE4">
      <w:pPr>
        <w:pStyle w:val="FootnoteText"/>
        <w:snapToGrid w:val="0"/>
        <w:ind w:firstLine="709"/>
        <w:jc w:val="both"/>
        <w:rPr>
          <w:rFonts w:ascii="Verdana" w:hAnsi="Verdana" w:cs="Arial"/>
          <w:iCs/>
          <w:color w:val="000000" w:themeColor="text1"/>
          <w:sz w:val="16"/>
          <w:szCs w:val="16"/>
        </w:rPr>
      </w:pPr>
    </w:p>
    <w:p w14:paraId="36473B1D" w14:textId="4170F976" w:rsidR="008F0FE4" w:rsidRPr="003E78FA" w:rsidRDefault="008F0FE4" w:rsidP="008F0FE4">
      <w:pPr>
        <w:pStyle w:val="FootnoteText"/>
        <w:snapToGrid w:val="0"/>
        <w:ind w:firstLine="709"/>
        <w:jc w:val="both"/>
        <w:rPr>
          <w:rFonts w:ascii="Verdana" w:hAnsi="Verdana" w:cs="Arial"/>
          <w:iCs/>
          <w:color w:val="000000" w:themeColor="text1"/>
          <w:sz w:val="16"/>
          <w:szCs w:val="16"/>
        </w:rPr>
      </w:pPr>
      <w:r w:rsidRPr="003E78FA">
        <w:rPr>
          <w:rStyle w:val="FootnoteReference"/>
          <w:rFonts w:ascii="Verdana" w:hAnsi="Verdana" w:cs="Arial"/>
          <w:color w:val="000000" w:themeColor="text1"/>
          <w:sz w:val="16"/>
          <w:szCs w:val="16"/>
        </w:rPr>
        <w:footnoteRef/>
      </w:r>
      <w:r w:rsidRPr="003E78FA">
        <w:rPr>
          <w:rFonts w:ascii="Verdana" w:hAnsi="Verdana" w:cs="Arial"/>
          <w:iCs/>
          <w:color w:val="000000" w:themeColor="text1"/>
          <w:sz w:val="16"/>
          <w:szCs w:val="16"/>
        </w:rPr>
        <w:t xml:space="preserve"> Definición legal que hoy puede encontrarse en el artículo 3 del CPACA.</w:t>
      </w:r>
    </w:p>
  </w:footnote>
  <w:footnote w:id="22">
    <w:p w14:paraId="17C07E8D" w14:textId="77777777" w:rsidR="0005074A" w:rsidRDefault="0005074A" w:rsidP="008F0FE4">
      <w:pPr>
        <w:pStyle w:val="FootnoteText"/>
        <w:snapToGrid w:val="0"/>
        <w:ind w:firstLine="709"/>
        <w:jc w:val="both"/>
        <w:rPr>
          <w:rFonts w:ascii="Verdana" w:hAnsi="Verdana" w:cs="Arial"/>
          <w:color w:val="000000" w:themeColor="text1"/>
          <w:sz w:val="16"/>
          <w:szCs w:val="16"/>
        </w:rPr>
      </w:pPr>
    </w:p>
    <w:p w14:paraId="65B39A41" w14:textId="0C078686" w:rsidR="008F0FE4" w:rsidRDefault="008F0FE4" w:rsidP="008F0FE4">
      <w:pPr>
        <w:pStyle w:val="FootnoteText"/>
        <w:snapToGrid w:val="0"/>
        <w:ind w:firstLine="709"/>
        <w:jc w:val="both"/>
        <w:rPr>
          <w:rFonts w:ascii="Verdana" w:hAnsi="Verdana" w:cs="Arial"/>
          <w:iCs/>
          <w:color w:val="000000" w:themeColor="text1"/>
          <w:sz w:val="16"/>
          <w:szCs w:val="16"/>
        </w:rPr>
      </w:pPr>
      <w:r w:rsidRPr="003E78FA">
        <w:rPr>
          <w:rStyle w:val="FootnoteReference"/>
          <w:rFonts w:ascii="Verdana" w:hAnsi="Verdana" w:cs="Arial"/>
          <w:color w:val="000000" w:themeColor="text1"/>
          <w:sz w:val="16"/>
          <w:szCs w:val="16"/>
        </w:rPr>
        <w:footnoteRef/>
      </w:r>
      <w:r w:rsidRPr="003E78FA">
        <w:rPr>
          <w:rFonts w:ascii="Verdana" w:hAnsi="Verdana" w:cs="Arial"/>
          <w:color w:val="000000" w:themeColor="text1"/>
          <w:sz w:val="16"/>
          <w:szCs w:val="16"/>
        </w:rPr>
        <w:t xml:space="preserve"> </w:t>
      </w:r>
      <w:r w:rsidRPr="003E78FA">
        <w:rPr>
          <w:rFonts w:ascii="Verdana" w:hAnsi="Verdana" w:cs="Arial"/>
          <w:iCs/>
          <w:color w:val="000000" w:themeColor="text1"/>
          <w:sz w:val="16"/>
          <w:szCs w:val="16"/>
        </w:rPr>
        <w:t xml:space="preserve">Al respecto ver: Consejo de Estado, Sección Tercera, Subsección A, sentencia de 6 de julio de 2017. Exp. 51.920.  C.P. Marta Nubia Velázquez Rico; Sección Tercera, Subsección C. Sentencia de 13 de abril de 2011. Exp. 37423. C.P. Jaime Orlando Santofimio Gamboa; entre otras. </w:t>
      </w:r>
    </w:p>
    <w:p w14:paraId="09052567" w14:textId="77777777" w:rsidR="008F0FE4" w:rsidRPr="003E78FA" w:rsidRDefault="008F0FE4" w:rsidP="008F0FE4">
      <w:pPr>
        <w:pStyle w:val="FootnoteText"/>
        <w:snapToGrid w:val="0"/>
        <w:ind w:firstLine="709"/>
        <w:jc w:val="both"/>
        <w:rPr>
          <w:rFonts w:ascii="Verdana" w:hAnsi="Verdana" w:cs="Arial"/>
          <w:iCs/>
          <w:color w:val="000000" w:themeColor="text1"/>
          <w:sz w:val="16"/>
          <w:szCs w:val="16"/>
        </w:rPr>
      </w:pPr>
    </w:p>
  </w:footnote>
  <w:footnote w:id="23">
    <w:p w14:paraId="36319DD5" w14:textId="77777777" w:rsidR="008F0FE4" w:rsidRDefault="008F0FE4" w:rsidP="008F0FE4">
      <w:pPr>
        <w:pStyle w:val="FootnoteText"/>
        <w:snapToGrid w:val="0"/>
        <w:ind w:firstLine="708"/>
        <w:jc w:val="both"/>
        <w:rPr>
          <w:rFonts w:ascii="Verdana" w:hAnsi="Verdana"/>
          <w:sz w:val="16"/>
          <w:szCs w:val="16"/>
        </w:rPr>
      </w:pPr>
      <w:r w:rsidRPr="003E78FA">
        <w:rPr>
          <w:rStyle w:val="FootnoteReference"/>
          <w:rFonts w:ascii="Verdana" w:hAnsi="Verdana"/>
          <w:sz w:val="16"/>
          <w:szCs w:val="16"/>
        </w:rPr>
        <w:footnoteRef/>
      </w:r>
      <w:r w:rsidRPr="003E78FA">
        <w:rPr>
          <w:rFonts w:ascii="Verdana" w:hAnsi="Verdana"/>
          <w:sz w:val="16"/>
          <w:szCs w:val="16"/>
        </w:rPr>
        <w:t xml:space="preserve"> </w:t>
      </w:r>
      <w:r w:rsidRPr="003E78FA">
        <w:rPr>
          <w:rFonts w:ascii="Verdana" w:hAnsi="Verdana"/>
          <w:sz w:val="16"/>
          <w:szCs w:val="16"/>
          <w:lang w:val="es-ES"/>
        </w:rPr>
        <w:t xml:space="preserve">Este es el caso, por ejemplo, de los fondos </w:t>
      </w:r>
      <w:r w:rsidRPr="003E78FA">
        <w:rPr>
          <w:rFonts w:ascii="Verdana" w:eastAsia="Times New Roman" w:hAnsi="Verdana" w:cs="Arial"/>
          <w:iCs/>
          <w:sz w:val="16"/>
          <w:szCs w:val="16"/>
          <w:lang w:eastAsia="es-ES"/>
        </w:rPr>
        <w:t>para la promoción de la cultura y las artes</w:t>
      </w:r>
      <w:r w:rsidRPr="003E78FA">
        <w:rPr>
          <w:rFonts w:ascii="Verdana" w:hAnsi="Verdana"/>
          <w:sz w:val="16"/>
          <w:szCs w:val="16"/>
        </w:rPr>
        <w:t xml:space="preserve"> que, en virtud de lo dispuesto en el artículo 63 de la la Ley 397 de 1997, actúan por disposición legal especial al amparo de las normas de derecho privado. Esto se traduce en que la existencia y validez de sus actos y contratos están regidas por las leyes civiles y comerciales pertinentes, así como por lo dispuesto en los estatutos, manuales de contratación y demás normas internas que las rigen. Sin embargo, a dicha contratación realizada en el marco del derecho privado también le resultan aplicables los principios de la función administrativa y de la gestión fiscal de que tratan los artículos 209 y 267 de la Constitución Política. Así como el régimen de inhabilidades e incompatibilidades para contratar con el Estado y la obligación de publicar la actividad contractual en el SECOP II.  </w:t>
      </w:r>
    </w:p>
    <w:p w14:paraId="2AB685E5" w14:textId="77777777" w:rsidR="008F0FE4" w:rsidRPr="0005074A" w:rsidRDefault="008F0FE4" w:rsidP="008F0FE4">
      <w:pPr>
        <w:pStyle w:val="FootnoteText"/>
        <w:snapToGrid w:val="0"/>
        <w:ind w:firstLine="708"/>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1792356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CE6"/>
    <w:rsid w:val="00016F78"/>
    <w:rsid w:val="000423C1"/>
    <w:rsid w:val="00046945"/>
    <w:rsid w:val="0005074A"/>
    <w:rsid w:val="00061B2A"/>
    <w:rsid w:val="00082362"/>
    <w:rsid w:val="00096422"/>
    <w:rsid w:val="000A683E"/>
    <w:rsid w:val="000B1898"/>
    <w:rsid w:val="000B19B9"/>
    <w:rsid w:val="000C0AAA"/>
    <w:rsid w:val="000D0334"/>
    <w:rsid w:val="000D5DA7"/>
    <w:rsid w:val="000F6486"/>
    <w:rsid w:val="001065B4"/>
    <w:rsid w:val="00116940"/>
    <w:rsid w:val="00125105"/>
    <w:rsid w:val="00127233"/>
    <w:rsid w:val="00141C29"/>
    <w:rsid w:val="0015521E"/>
    <w:rsid w:val="0015699B"/>
    <w:rsid w:val="001A33BF"/>
    <w:rsid w:val="001E358C"/>
    <w:rsid w:val="001E4177"/>
    <w:rsid w:val="001F0B24"/>
    <w:rsid w:val="001F7DC6"/>
    <w:rsid w:val="0022400B"/>
    <w:rsid w:val="002421BB"/>
    <w:rsid w:val="00250962"/>
    <w:rsid w:val="0025796E"/>
    <w:rsid w:val="00262F5D"/>
    <w:rsid w:val="002707A2"/>
    <w:rsid w:val="002951A0"/>
    <w:rsid w:val="002962BC"/>
    <w:rsid w:val="002A093D"/>
    <w:rsid w:val="002A0DD0"/>
    <w:rsid w:val="002A49AC"/>
    <w:rsid w:val="002A64FD"/>
    <w:rsid w:val="002B3ADA"/>
    <w:rsid w:val="002C7A84"/>
    <w:rsid w:val="002E2BF8"/>
    <w:rsid w:val="002E4FD9"/>
    <w:rsid w:val="00300226"/>
    <w:rsid w:val="0030657A"/>
    <w:rsid w:val="00307E4E"/>
    <w:rsid w:val="00322A85"/>
    <w:rsid w:val="00324168"/>
    <w:rsid w:val="00330834"/>
    <w:rsid w:val="003448F4"/>
    <w:rsid w:val="00356E52"/>
    <w:rsid w:val="00371E49"/>
    <w:rsid w:val="00374F5E"/>
    <w:rsid w:val="00377E3E"/>
    <w:rsid w:val="003A779E"/>
    <w:rsid w:val="003D0F4D"/>
    <w:rsid w:val="003D511D"/>
    <w:rsid w:val="003D5B0D"/>
    <w:rsid w:val="003E0499"/>
    <w:rsid w:val="003E4F80"/>
    <w:rsid w:val="003E6439"/>
    <w:rsid w:val="003F3941"/>
    <w:rsid w:val="003F76EF"/>
    <w:rsid w:val="00403E84"/>
    <w:rsid w:val="00406575"/>
    <w:rsid w:val="00414C74"/>
    <w:rsid w:val="0042722E"/>
    <w:rsid w:val="0044528D"/>
    <w:rsid w:val="00466E39"/>
    <w:rsid w:val="00474617"/>
    <w:rsid w:val="004A17EB"/>
    <w:rsid w:val="004A1847"/>
    <w:rsid w:val="004A305D"/>
    <w:rsid w:val="004F21C4"/>
    <w:rsid w:val="004F685F"/>
    <w:rsid w:val="005566E8"/>
    <w:rsid w:val="00574867"/>
    <w:rsid w:val="00586637"/>
    <w:rsid w:val="00591460"/>
    <w:rsid w:val="005A65E0"/>
    <w:rsid w:val="005C3777"/>
    <w:rsid w:val="005C5CDC"/>
    <w:rsid w:val="005D476C"/>
    <w:rsid w:val="005D7F94"/>
    <w:rsid w:val="006200BF"/>
    <w:rsid w:val="006219F8"/>
    <w:rsid w:val="006302F7"/>
    <w:rsid w:val="00646B9F"/>
    <w:rsid w:val="00665D70"/>
    <w:rsid w:val="006900D9"/>
    <w:rsid w:val="006A75A3"/>
    <w:rsid w:val="006D095D"/>
    <w:rsid w:val="006E24B5"/>
    <w:rsid w:val="006F04B0"/>
    <w:rsid w:val="00703EA8"/>
    <w:rsid w:val="007050CE"/>
    <w:rsid w:val="00706C16"/>
    <w:rsid w:val="007340C3"/>
    <w:rsid w:val="0075235A"/>
    <w:rsid w:val="00756841"/>
    <w:rsid w:val="00760990"/>
    <w:rsid w:val="0076315E"/>
    <w:rsid w:val="007649AB"/>
    <w:rsid w:val="00767552"/>
    <w:rsid w:val="00771D0C"/>
    <w:rsid w:val="007833AC"/>
    <w:rsid w:val="007A52C1"/>
    <w:rsid w:val="007B268C"/>
    <w:rsid w:val="007B7171"/>
    <w:rsid w:val="007C0C0F"/>
    <w:rsid w:val="007C3DC2"/>
    <w:rsid w:val="007E5497"/>
    <w:rsid w:val="00806F5F"/>
    <w:rsid w:val="008122C7"/>
    <w:rsid w:val="00820278"/>
    <w:rsid w:val="008258C9"/>
    <w:rsid w:val="008307C0"/>
    <w:rsid w:val="00844AE9"/>
    <w:rsid w:val="0085756A"/>
    <w:rsid w:val="00864B3C"/>
    <w:rsid w:val="00866025"/>
    <w:rsid w:val="00867F95"/>
    <w:rsid w:val="00871433"/>
    <w:rsid w:val="008843B6"/>
    <w:rsid w:val="00891928"/>
    <w:rsid w:val="008956F7"/>
    <w:rsid w:val="00895897"/>
    <w:rsid w:val="008A446D"/>
    <w:rsid w:val="008B0DEF"/>
    <w:rsid w:val="008B25F1"/>
    <w:rsid w:val="008C0E96"/>
    <w:rsid w:val="008D180B"/>
    <w:rsid w:val="008D5463"/>
    <w:rsid w:val="008F0EA7"/>
    <w:rsid w:val="008F0FE4"/>
    <w:rsid w:val="008F5D25"/>
    <w:rsid w:val="009123E4"/>
    <w:rsid w:val="00923EEF"/>
    <w:rsid w:val="00937C8D"/>
    <w:rsid w:val="009419F9"/>
    <w:rsid w:val="0095685E"/>
    <w:rsid w:val="00961B09"/>
    <w:rsid w:val="00965334"/>
    <w:rsid w:val="0097093E"/>
    <w:rsid w:val="009751E0"/>
    <w:rsid w:val="009A0DFA"/>
    <w:rsid w:val="009A1C6F"/>
    <w:rsid w:val="009B2D26"/>
    <w:rsid w:val="009C71FA"/>
    <w:rsid w:val="009C72E7"/>
    <w:rsid w:val="009C7F7E"/>
    <w:rsid w:val="009D3058"/>
    <w:rsid w:val="009D7FD2"/>
    <w:rsid w:val="009F3A13"/>
    <w:rsid w:val="00A02C43"/>
    <w:rsid w:val="00A03FB2"/>
    <w:rsid w:val="00A122D3"/>
    <w:rsid w:val="00A14468"/>
    <w:rsid w:val="00A17F13"/>
    <w:rsid w:val="00A20739"/>
    <w:rsid w:val="00A23AF9"/>
    <w:rsid w:val="00A256B6"/>
    <w:rsid w:val="00A33C78"/>
    <w:rsid w:val="00A74194"/>
    <w:rsid w:val="00A9069E"/>
    <w:rsid w:val="00AB0ADB"/>
    <w:rsid w:val="00AC5BA1"/>
    <w:rsid w:val="00AD1F05"/>
    <w:rsid w:val="00B00C0E"/>
    <w:rsid w:val="00B01B1A"/>
    <w:rsid w:val="00B030A3"/>
    <w:rsid w:val="00B0381D"/>
    <w:rsid w:val="00B44A47"/>
    <w:rsid w:val="00B6561D"/>
    <w:rsid w:val="00B72CD3"/>
    <w:rsid w:val="00B72FFF"/>
    <w:rsid w:val="00B76A27"/>
    <w:rsid w:val="00B87B8A"/>
    <w:rsid w:val="00B973F7"/>
    <w:rsid w:val="00BC3D36"/>
    <w:rsid w:val="00BD54A6"/>
    <w:rsid w:val="00BD7F72"/>
    <w:rsid w:val="00BF7425"/>
    <w:rsid w:val="00C01CE1"/>
    <w:rsid w:val="00C0200E"/>
    <w:rsid w:val="00C04FB3"/>
    <w:rsid w:val="00C11D8B"/>
    <w:rsid w:val="00C15139"/>
    <w:rsid w:val="00C330EB"/>
    <w:rsid w:val="00C43F58"/>
    <w:rsid w:val="00C50D69"/>
    <w:rsid w:val="00C5365C"/>
    <w:rsid w:val="00C754BE"/>
    <w:rsid w:val="00C76B1C"/>
    <w:rsid w:val="00C925AC"/>
    <w:rsid w:val="00CB6357"/>
    <w:rsid w:val="00CC1B26"/>
    <w:rsid w:val="00D131F2"/>
    <w:rsid w:val="00D361FD"/>
    <w:rsid w:val="00D423A2"/>
    <w:rsid w:val="00D44E26"/>
    <w:rsid w:val="00D520D8"/>
    <w:rsid w:val="00D63AC2"/>
    <w:rsid w:val="00D6598A"/>
    <w:rsid w:val="00D7383B"/>
    <w:rsid w:val="00D7788A"/>
    <w:rsid w:val="00D971E3"/>
    <w:rsid w:val="00DA231B"/>
    <w:rsid w:val="00DC39FC"/>
    <w:rsid w:val="00DC3B21"/>
    <w:rsid w:val="00DF5254"/>
    <w:rsid w:val="00E02524"/>
    <w:rsid w:val="00E16408"/>
    <w:rsid w:val="00E20894"/>
    <w:rsid w:val="00E22158"/>
    <w:rsid w:val="00E245AB"/>
    <w:rsid w:val="00E2764C"/>
    <w:rsid w:val="00E27F2E"/>
    <w:rsid w:val="00E32974"/>
    <w:rsid w:val="00E37DEF"/>
    <w:rsid w:val="00E42647"/>
    <w:rsid w:val="00E50AFE"/>
    <w:rsid w:val="00E75C92"/>
    <w:rsid w:val="00E771DC"/>
    <w:rsid w:val="00E81FFC"/>
    <w:rsid w:val="00E8772A"/>
    <w:rsid w:val="00E90F6B"/>
    <w:rsid w:val="00E92C27"/>
    <w:rsid w:val="00EA0A20"/>
    <w:rsid w:val="00EA0E3D"/>
    <w:rsid w:val="00EC38A7"/>
    <w:rsid w:val="00ED5CF3"/>
    <w:rsid w:val="00EE1AA8"/>
    <w:rsid w:val="00F23FEA"/>
    <w:rsid w:val="00F31EDC"/>
    <w:rsid w:val="00F462B3"/>
    <w:rsid w:val="00F5664F"/>
    <w:rsid w:val="00F666C4"/>
    <w:rsid w:val="00F76AFC"/>
    <w:rsid w:val="00F879DF"/>
    <w:rsid w:val="00F90765"/>
    <w:rsid w:val="00F9548A"/>
    <w:rsid w:val="00FA47C0"/>
    <w:rsid w:val="00FB5DD1"/>
    <w:rsid w:val="00FC2B5D"/>
    <w:rsid w:val="00FC5F6B"/>
    <w:rsid w:val="00FC6457"/>
    <w:rsid w:val="00FE35F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5D94337-24C4-466A-B230-2F9EC67C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8F0FE4"/>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8F0FE4"/>
    <w:rPr>
      <w:rFonts w:ascii="Geomanist Light" w:hAnsi="Geomanist Light"/>
      <w:lang w:val="es-ES"/>
    </w:rPr>
  </w:style>
  <w:style w:type="paragraph" w:styleId="NoSpacing">
    <w:name w:val="No Spacing"/>
    <w:aliases w:val="No Indent"/>
    <w:uiPriority w:val="1"/>
    <w:qFormat/>
    <w:rsid w:val="008F0FE4"/>
    <w:pPr>
      <w:spacing w:after="0" w:line="240" w:lineRule="auto"/>
    </w:pPr>
    <w:rPr>
      <w:sz w:val="24"/>
      <w:lang w:val="es-MX"/>
    </w:rPr>
  </w:style>
  <w:style w:type="character" w:customStyle="1" w:styleId="NormalWebChar">
    <w:name w:val="Normal (Web) Char"/>
    <w:link w:val="NormalWeb"/>
    <w:uiPriority w:val="99"/>
    <w:locked/>
    <w:rsid w:val="008F0FE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colombiacompra.gov.co/sites/cce_public/files/cce_documents/20151115_contrato_de_fiducia_para_el_manejo_de_anticipos_v2_0.pdf"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nahiguerafl@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constitucion_politica_1991_pr006.html" TargetMode="External"/><Relationship Id="rId2" Type="http://schemas.openxmlformats.org/officeDocument/2006/relationships/hyperlink" Target="https://www.colombiacompra.gov.co/wp-content/uploads/2024/08/2017-Guia-para-el-manejo-de-anticipos-mediante-contrato-de-fiducia-mercantil-irrevocable-G-MACFMI-01.pdf"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FF92B1C-FDD5-4DCF-AAC8-C4D9796A9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Pages>
  <Words>8353</Words>
  <Characters>47615</Characters>
  <Application>Microsoft Office Word</Application>
  <DocSecurity>4</DocSecurity>
  <Lines>396</Lines>
  <Paragraphs>111</Paragraphs>
  <ScaleCrop>false</ScaleCrop>
  <Company/>
  <LinksUpToDate>false</LinksUpToDate>
  <CharactersWithSpaces>55857</CharactersWithSpaces>
  <SharedDoc>false</SharedDoc>
  <HLinks>
    <vt:vector size="78" baseType="variant">
      <vt:variant>
        <vt:i4>4456513</vt:i4>
      </vt:variant>
      <vt:variant>
        <vt:i4>27</vt:i4>
      </vt:variant>
      <vt:variant>
        <vt:i4>0</vt:i4>
      </vt:variant>
      <vt:variant>
        <vt:i4>5</vt:i4>
      </vt:variant>
      <vt:variant>
        <vt:lpwstr>https://forms.office.com/r/pPHyWVs2SZ</vt:lpwstr>
      </vt:variant>
      <vt:variant>
        <vt:lpwstr/>
      </vt:variant>
      <vt:variant>
        <vt:i4>3407926</vt:i4>
      </vt:variant>
      <vt:variant>
        <vt:i4>24</vt:i4>
      </vt:variant>
      <vt:variant>
        <vt:i4>0</vt:i4>
      </vt:variant>
      <vt:variant>
        <vt:i4>5</vt:i4>
      </vt:variant>
      <vt:variant>
        <vt:lpwstr>https://www.colombiacompra.gov.co/pqrsd/informacion-importante-antes-de-formular-una-pqrsd</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2752625</vt:i4>
      </vt:variant>
      <vt:variant>
        <vt:i4>18</vt:i4>
      </vt:variant>
      <vt:variant>
        <vt:i4>0</vt:i4>
      </vt:variant>
      <vt:variant>
        <vt:i4>5</vt:i4>
      </vt:variant>
      <vt:variant>
        <vt:lpwstr>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vt:lpwstr>
      </vt:variant>
      <vt:variant>
        <vt:lpwstr/>
      </vt:variant>
      <vt:variant>
        <vt:i4>8192122</vt:i4>
      </vt:variant>
      <vt:variant>
        <vt:i4>15</vt:i4>
      </vt:variant>
      <vt:variant>
        <vt:i4>0</vt:i4>
      </vt:variant>
      <vt:variant>
        <vt:i4>5</vt:i4>
      </vt:variant>
      <vt:variant>
        <vt:lpwstr>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vt:lpwstr>
      </vt:variant>
      <vt:variant>
        <vt:lpwstr/>
      </vt:variant>
      <vt:variant>
        <vt:i4>8126586</vt:i4>
      </vt:variant>
      <vt:variant>
        <vt:i4>12</vt:i4>
      </vt:variant>
      <vt:variant>
        <vt:i4>0</vt:i4>
      </vt:variant>
      <vt:variant>
        <vt:i4>5</vt:i4>
      </vt:variant>
      <vt:variant>
        <vt:lpwstr>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vt:lpwstr>
      </vt:variant>
      <vt:variant>
        <vt:lpwstr/>
      </vt:variant>
      <vt:variant>
        <vt:i4>2490422</vt:i4>
      </vt:variant>
      <vt:variant>
        <vt:i4>9</vt:i4>
      </vt:variant>
      <vt:variant>
        <vt:i4>0</vt:i4>
      </vt:variant>
      <vt:variant>
        <vt:i4>5</vt:i4>
      </vt:variant>
      <vt:variant>
        <vt:lpwstr>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2359406</vt:i4>
      </vt:variant>
      <vt:variant>
        <vt:i4>3</vt:i4>
      </vt:variant>
      <vt:variant>
        <vt:i4>0</vt:i4>
      </vt:variant>
      <vt:variant>
        <vt:i4>5</vt:i4>
      </vt:variant>
      <vt:variant>
        <vt:lpwstr>https://colombiacompra.gov.co/sites/cce_public/files/cce_documents/20151115_contrato_de_fiducia_para_el_manejo_de_anticipos_v2_0.pdf</vt:lpwstr>
      </vt:variant>
      <vt:variant>
        <vt:lpwstr/>
      </vt:variant>
      <vt:variant>
        <vt:i4>720931</vt:i4>
      </vt:variant>
      <vt:variant>
        <vt:i4>0</vt:i4>
      </vt:variant>
      <vt:variant>
        <vt:i4>0</vt:i4>
      </vt:variant>
      <vt:variant>
        <vt:i4>5</vt:i4>
      </vt:variant>
      <vt:variant>
        <vt:lpwstr>mailto:dianahiguerafl@gmail.com</vt:lpwstr>
      </vt:variant>
      <vt:variant>
        <vt:lpwstr/>
      </vt:variant>
      <vt:variant>
        <vt:i4>2359366</vt:i4>
      </vt:variant>
      <vt:variant>
        <vt:i4>6</vt:i4>
      </vt:variant>
      <vt:variant>
        <vt:i4>0</vt:i4>
      </vt:variant>
      <vt:variant>
        <vt:i4>5</vt:i4>
      </vt:variant>
      <vt:variant>
        <vt:lpwstr>http://www.secretariasenado.gov.co/senado/basedoc/constitucion_politica_1991_pr006.html</vt:lpwstr>
      </vt:variant>
      <vt:variant>
        <vt:lpwstr>210</vt:lpwstr>
      </vt:variant>
      <vt:variant>
        <vt:i4>5046361</vt:i4>
      </vt:variant>
      <vt:variant>
        <vt:i4>3</vt:i4>
      </vt:variant>
      <vt:variant>
        <vt:i4>0</vt:i4>
      </vt:variant>
      <vt:variant>
        <vt:i4>5</vt:i4>
      </vt:variant>
      <vt:variant>
        <vt:lpwstr>https://www.colombiacompra.gov.co/wp-content/uploads/2024/08/2017-Guia-para-el-manejo-de-anticipos-mediante-contrato-de-fiducia-mercantil-irrevocable-G-MACFMI-01.pdf</vt:lpwstr>
      </vt:variant>
      <vt:variant>
        <vt:lpwstr/>
      </vt:variant>
      <vt:variant>
        <vt:i4>5505090</vt:i4>
      </vt:variant>
      <vt:variant>
        <vt:i4>0</vt:i4>
      </vt:variant>
      <vt:variant>
        <vt:i4>0</vt:i4>
      </vt:variant>
      <vt:variant>
        <vt:i4>5</vt:i4>
      </vt:variant>
      <vt:variant>
        <vt:lpwstr>http://svrpubindc.imprenta.gov.co/senado/index.xhtml;jsessionid=b3ba7213a248bacd37376ffcedca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15</cp:revision>
  <cp:lastPrinted>2023-01-11T00:18:00Z</cp:lastPrinted>
  <dcterms:created xsi:type="dcterms:W3CDTF">2026-10-19T23:07:00Z</dcterms:created>
  <dcterms:modified xsi:type="dcterms:W3CDTF">2026-10-19T21:49:00Z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