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EA68E6" w14:textId="77777777" w:rsidR="0055252E" w:rsidRDefault="0055252E" w:rsidP="0055252E">
      <w:pPr>
        <w:snapToGrid w:val="0"/>
        <w:spacing w:line="240" w:lineRule="auto"/>
        <w:contextualSpacing/>
        <w:jc w:val="both"/>
        <w:rPr>
          <w:rFonts w:ascii="Verdana" w:eastAsia="Calibri" w:hAnsi="Verdana" w:cs="Arial"/>
          <w:b/>
          <w:bCs/>
          <w:lang w:val="es-ES"/>
        </w:rPr>
      </w:pPr>
      <w:r>
        <w:rPr>
          <w:rFonts w:ascii="Verdana" w:eastAsia="Calibri" w:hAnsi="Verdana" w:cs="Arial"/>
          <w:b/>
          <w:bCs/>
          <w:lang w:val="es-ES"/>
        </w:rPr>
        <w:t>CUERPOS DE BOMBEROS VOLUNTARIOS – Ley general de bomberos de Colombia – Noción</w:t>
      </w:r>
    </w:p>
    <w:p w14:paraId="03C739C4" w14:textId="77777777" w:rsidR="0055252E" w:rsidRDefault="0055252E" w:rsidP="0055252E">
      <w:pPr>
        <w:snapToGrid w:val="0"/>
        <w:spacing w:line="240" w:lineRule="auto"/>
        <w:contextualSpacing/>
        <w:jc w:val="both"/>
        <w:rPr>
          <w:rFonts w:ascii="Verdana" w:eastAsia="Calibri" w:hAnsi="Verdana" w:cs="Arial"/>
          <w:b/>
          <w:bCs/>
          <w:lang w:val="es-ES"/>
        </w:rPr>
      </w:pPr>
    </w:p>
    <w:p w14:paraId="0CFFD17F" w14:textId="77777777" w:rsidR="0055252E" w:rsidRDefault="0055252E" w:rsidP="0055252E">
      <w:pPr>
        <w:spacing w:after="120" w:line="240" w:lineRule="auto"/>
        <w:jc w:val="both"/>
        <w:rPr>
          <w:rFonts w:ascii="Verdana" w:eastAsia="Times New Roman" w:hAnsi="Verdana" w:cs="Arial"/>
          <w:bCs/>
          <w:sz w:val="20"/>
          <w:szCs w:val="20"/>
          <w:lang w:val="es-ES" w:eastAsia="es-CO"/>
        </w:rPr>
      </w:pPr>
      <w:r>
        <w:rPr>
          <w:rFonts w:ascii="Verdana" w:eastAsia="Times New Roman" w:hAnsi="Verdana" w:cs="Arial"/>
          <w:bCs/>
          <w:sz w:val="20"/>
          <w:szCs w:val="20"/>
          <w:lang w:val="es-ES" w:eastAsia="es-CO"/>
        </w:rPr>
        <w:t xml:space="preserve">[…] El artículo 1 de </w:t>
      </w:r>
      <w:r>
        <w:rPr>
          <w:rFonts w:ascii="Verdana" w:eastAsia="Times New Roman" w:hAnsi="Verdana" w:cs="Arial"/>
          <w:sz w:val="20"/>
          <w:szCs w:val="20"/>
          <w:lang w:val="es-ES" w:eastAsia="es-CO"/>
        </w:rPr>
        <w:t xml:space="preserve">la </w:t>
      </w:r>
      <w:r>
        <w:rPr>
          <w:rFonts w:ascii="Verdana" w:eastAsia="Times New Roman" w:hAnsi="Verdana" w:cs="Arial"/>
          <w:bCs/>
          <w:sz w:val="20"/>
          <w:szCs w:val="20"/>
          <w:lang w:val="es-ES" w:eastAsia="es-CO"/>
        </w:rPr>
        <w:t xml:space="preserve">Ley 1575 de 2012, denominada </w:t>
      </w:r>
      <w:r>
        <w:rPr>
          <w:rFonts w:ascii="Verdana" w:eastAsia="Times New Roman" w:hAnsi="Verdana" w:cs="Arial"/>
          <w:bCs/>
          <w:i/>
          <w:iCs/>
          <w:sz w:val="20"/>
          <w:szCs w:val="20"/>
          <w:lang w:val="es-ES" w:eastAsia="es-CO"/>
        </w:rPr>
        <w:t>“Ley General de Bomberos de Colombia”</w:t>
      </w:r>
      <w:r>
        <w:rPr>
          <w:rFonts w:ascii="Verdana" w:eastAsia="Times New Roman" w:hAnsi="Verdana" w:cs="Arial"/>
          <w:bCs/>
          <w:sz w:val="20"/>
          <w:szCs w:val="20"/>
          <w:lang w:val="es-ES" w:eastAsia="es-CO"/>
        </w:rPr>
        <w:t>, dispone que la gestión integral del riesgo contra incendio, la preparación y atención de rescates en todas sus modalidades y la respuesta a incidentes con materiales peligrosos constituyen una responsabilidad concurrente de las autoridades y de los habitantes del territorio nacional, con especial énfasis en los municipios, los departamentos y la Nación</w:t>
      </w:r>
      <w:r>
        <w:rPr>
          <w:rFonts w:ascii="Verdana" w:hAnsi="Verdana" w:cs="Arial"/>
          <w:bCs/>
          <w:sz w:val="20"/>
          <w:szCs w:val="20"/>
          <w:lang w:val="es-ES"/>
        </w:rPr>
        <w:t>, sin perjuicio de las competencias asignadas a las demás entidades que integran el Sistema Nacional para la Prevención y Atención de Desastres.</w:t>
      </w:r>
      <w:r>
        <w:rPr>
          <w:rFonts w:ascii="Verdana" w:hAnsi="Verdana" w:cs="Arial"/>
          <w:sz w:val="20"/>
          <w:szCs w:val="20"/>
          <w:lang w:val="es-ES"/>
        </w:rPr>
        <w:t xml:space="preserve"> </w:t>
      </w:r>
      <w:r>
        <w:rPr>
          <w:rFonts w:ascii="Verdana" w:eastAsia="Times New Roman" w:hAnsi="Verdana" w:cs="Arial"/>
          <w:bCs/>
          <w:sz w:val="20"/>
          <w:szCs w:val="20"/>
          <w:lang w:val="es-ES" w:eastAsia="es-CO"/>
        </w:rPr>
        <w:t xml:space="preserve">De acuerdo con esto, la norma dispone un esquema de </w:t>
      </w:r>
      <w:r>
        <w:rPr>
          <w:rFonts w:ascii="Verdana" w:eastAsia="Times New Roman" w:hAnsi="Verdana" w:cs="Arial"/>
          <w:bCs/>
          <w:i/>
          <w:iCs/>
          <w:sz w:val="20"/>
          <w:szCs w:val="20"/>
          <w:lang w:val="es-ES" w:eastAsia="es-CO"/>
        </w:rPr>
        <w:t>responsabilidad compartida</w:t>
      </w:r>
      <w:r>
        <w:rPr>
          <w:rFonts w:ascii="Verdana" w:eastAsia="Times New Roman" w:hAnsi="Verdana" w:cs="Arial"/>
          <w:bCs/>
          <w:sz w:val="20"/>
          <w:szCs w:val="20"/>
          <w:lang w:val="es-ES" w:eastAsia="es-CO"/>
        </w:rPr>
        <w:t xml:space="preserve">, en el marco del cual las entidades públicas y privadas deben incorporar la contingencia asociada a estos riesgos en la administración de sus bienes muebles e inmuebles —incluidos parques naturales, edificaciones, desarrollos urbanísticos e instalaciones— y adelantar planes, programas y proyectos orientados a reducir su vulnerabilidad y fortalecer la prevención y atención de tales eventos. </w:t>
      </w:r>
    </w:p>
    <w:p w14:paraId="4D14BEF1" w14:textId="77777777" w:rsidR="0055252E" w:rsidRDefault="0055252E" w:rsidP="0055252E">
      <w:pPr>
        <w:spacing w:after="120" w:line="240" w:lineRule="auto"/>
        <w:jc w:val="both"/>
        <w:rPr>
          <w:rFonts w:ascii="Verdana" w:eastAsia="Times New Roman" w:hAnsi="Verdana" w:cs="Arial"/>
          <w:bCs/>
          <w:sz w:val="20"/>
          <w:szCs w:val="20"/>
          <w:lang w:val="es-ES" w:eastAsia="es-CO"/>
        </w:rPr>
      </w:pPr>
      <w:r>
        <w:rPr>
          <w:rFonts w:ascii="Verdana" w:eastAsia="Times New Roman" w:hAnsi="Verdana" w:cs="Arial"/>
          <w:bCs/>
          <w:sz w:val="20"/>
          <w:szCs w:val="20"/>
          <w:lang w:val="es-ES" w:eastAsia="es-CO"/>
        </w:rPr>
        <w:t xml:space="preserve">En consonancia con lo anterior, el artículo 2 </w:t>
      </w:r>
      <w:r>
        <w:rPr>
          <w:rFonts w:ascii="Verdana" w:hAnsi="Verdana" w:cs="Arial"/>
          <w:bCs/>
          <w:sz w:val="20"/>
          <w:szCs w:val="20"/>
          <w:lang w:val="es-ES"/>
        </w:rPr>
        <w:t xml:space="preserve">dispone que la gestión integral del riesgo contra incendio, la preparación y atención de rescates en todas sus modalidades y la respuesta a incidentes con materiales peligrosos se encuentran a cargo de las instituciones bomberiles y, para todos los efectos, constituyen un servicio público esencial bajo responsabilidad del Estado. </w:t>
      </w:r>
      <w:r>
        <w:rPr>
          <w:rFonts w:ascii="Verdana" w:eastAsia="Times New Roman" w:hAnsi="Verdana" w:cs="Arial"/>
          <w:bCs/>
          <w:sz w:val="20"/>
          <w:szCs w:val="20"/>
          <w:lang w:val="es-ES" w:eastAsia="es-CO"/>
        </w:rPr>
        <w:t>En ese sentido, corresponde al Estado garantizar su prestación eficiente a todos los habitantes del territorio nacional, de manera directa a través de los Cuerpos de Bomberos Oficiales, Voluntarios y aeronáuticos, asegurando la continuidad y cobertura de este servicio. [...]</w:t>
      </w:r>
    </w:p>
    <w:p w14:paraId="2FEDFA2B" w14:textId="77777777" w:rsidR="0055252E" w:rsidRDefault="0055252E" w:rsidP="0055252E">
      <w:pPr>
        <w:snapToGrid w:val="0"/>
        <w:spacing w:line="240" w:lineRule="auto"/>
        <w:contextualSpacing/>
        <w:jc w:val="both"/>
        <w:rPr>
          <w:rFonts w:ascii="Verdana" w:eastAsia="Calibri" w:hAnsi="Verdana" w:cs="Arial"/>
          <w:b/>
          <w:bCs/>
          <w:color w:val="4472C4" w:themeColor="accent1"/>
          <w:lang w:val="es-ES"/>
        </w:rPr>
      </w:pPr>
    </w:p>
    <w:p w14:paraId="57A31C8F" w14:textId="77777777" w:rsidR="0055252E" w:rsidRDefault="0055252E" w:rsidP="0055252E">
      <w:pPr>
        <w:snapToGrid w:val="0"/>
        <w:spacing w:line="240" w:lineRule="auto"/>
        <w:contextualSpacing/>
        <w:jc w:val="both"/>
        <w:rPr>
          <w:rFonts w:ascii="Verdana" w:eastAsia="Calibri" w:hAnsi="Verdana" w:cs="Arial"/>
          <w:b/>
          <w:bCs/>
          <w:lang w:val="es-ES"/>
        </w:rPr>
      </w:pPr>
      <w:r>
        <w:rPr>
          <w:rFonts w:ascii="Verdana" w:eastAsia="Calibri" w:hAnsi="Verdana" w:cs="Arial"/>
          <w:b/>
          <w:bCs/>
          <w:lang w:val="es-ES"/>
        </w:rPr>
        <w:t>CUERPOS DE BOMBEROS VOLUNTARIOS – Contratación directa – Inexistencia de pluralidad de oferentes – Proveedor exclusivo</w:t>
      </w:r>
    </w:p>
    <w:p w14:paraId="278B8B18" w14:textId="77777777" w:rsidR="0055252E" w:rsidRDefault="0055252E" w:rsidP="0055252E">
      <w:pPr>
        <w:snapToGrid w:val="0"/>
        <w:contextualSpacing/>
        <w:jc w:val="both"/>
        <w:rPr>
          <w:rFonts w:ascii="Verdana" w:hAnsi="Verdana" w:cs="Arial"/>
          <w:sz w:val="20"/>
          <w:szCs w:val="20"/>
          <w:lang w:val="es-ES"/>
        </w:rPr>
      </w:pPr>
    </w:p>
    <w:p w14:paraId="2F63D5D6" w14:textId="77777777" w:rsidR="0055252E" w:rsidRDefault="0055252E" w:rsidP="0055252E">
      <w:pPr>
        <w:snapToGrid w:val="0"/>
        <w:spacing w:line="240" w:lineRule="auto"/>
        <w:contextualSpacing/>
        <w:jc w:val="both"/>
        <w:rPr>
          <w:rFonts w:ascii="Verdana" w:hAnsi="Verdana" w:cs="Arial"/>
          <w:sz w:val="20"/>
          <w:szCs w:val="20"/>
          <w:lang w:val="es-ES"/>
        </w:rPr>
      </w:pPr>
      <w:r>
        <w:rPr>
          <w:rFonts w:ascii="Verdana" w:hAnsi="Verdana" w:cs="Arial"/>
          <w:sz w:val="20"/>
          <w:szCs w:val="20"/>
          <w:lang w:val="es-ES"/>
        </w:rPr>
        <w:t>[…] Tratándose del objeto propio de la prestación del servicio bomberil, cuando el análisis del sector demuestre que —por efecto de la regulación sectorial— un único cuerpo puede prestarlo lícitamente en la jurisdicción sin incurrir en la causal de suspensión de su personería, la entidad territorial puede sustentar la configuración de la causal de inexistencia de pluralidad de oferentes y, por consiguiente, acudir a la contratación directa con dicho cuerpo, pues se satisface el supuesto de la norma que exige que exista un proveedor exclusivo en el territorio nacional que pueda prestar el servicio requerido. Esta lectura resulta congruente con el deber permanente de garantizar la continuidad de un servicio esencial y con el reconocimiento de que la exclusividad, en este sector, no obedece a una posición comercial del prestador, sino a una restricción impuesta por su propio régimen jurídico.</w:t>
      </w:r>
    </w:p>
    <w:p w14:paraId="240F3C79" w14:textId="77777777" w:rsidR="0055252E" w:rsidRDefault="0055252E" w:rsidP="0055252E">
      <w:pPr>
        <w:snapToGrid w:val="0"/>
        <w:spacing w:line="240" w:lineRule="auto"/>
        <w:contextualSpacing/>
        <w:jc w:val="both"/>
        <w:rPr>
          <w:rFonts w:ascii="Verdana" w:hAnsi="Verdana" w:cs="Arial"/>
          <w:sz w:val="20"/>
          <w:szCs w:val="20"/>
          <w:lang w:val="es-ES"/>
        </w:rPr>
      </w:pPr>
    </w:p>
    <w:p w14:paraId="778FBD9A" w14:textId="77777777" w:rsidR="0055252E" w:rsidRDefault="0055252E" w:rsidP="0055252E">
      <w:pPr>
        <w:snapToGrid w:val="0"/>
        <w:spacing w:line="240" w:lineRule="auto"/>
        <w:contextualSpacing/>
        <w:jc w:val="both"/>
        <w:rPr>
          <w:rFonts w:ascii="Verdana" w:hAnsi="Verdana" w:cs="Arial"/>
          <w:sz w:val="20"/>
          <w:szCs w:val="20"/>
          <w:lang w:val="es-ES"/>
        </w:rPr>
      </w:pPr>
      <w:r>
        <w:rPr>
          <w:rFonts w:ascii="Verdana" w:hAnsi="Verdana" w:cs="Arial"/>
          <w:sz w:val="20"/>
          <w:szCs w:val="20"/>
          <w:lang w:val="es-ES"/>
        </w:rPr>
        <w:t xml:space="preserve">Ahora bien, la aplicación de la causal objeto de análisis sigue siendo restrictiva y no admite una interpretación flexible o extensión a supuestos distintos a los contemplados en la ley y su reglamento. En este sentido, corresponde a la entidad justificar la configuración de la causal que fundamenta la contratación directa en los estudios y </w:t>
      </w:r>
      <w:r>
        <w:rPr>
          <w:rFonts w:ascii="Verdana" w:hAnsi="Verdana" w:cs="Arial"/>
          <w:sz w:val="20"/>
          <w:szCs w:val="20"/>
          <w:lang w:val="es-ES"/>
        </w:rPr>
        <w:lastRenderedPageBreak/>
        <w:t>documentos previos, acreditando la regulación aplicable, la existencia y certificación del cuerpo local, la realidad del mercado y la imposibilidad jurídica de que otros cuerpos del territorio nacional puedan prestar el servicio sin incurrir en la causal de suspensión. Adicionalmente, la causal no puede extenderse a objetos o finalidades distintos a satisfacer el deber legal de prestación del servicio esencial bomberil —tales como la adquisición de bienes, dotaciones, vehículos, obras u otros servicios—, respecto de los cuales puede existir libre concurrencia, aun cuando en ellos participen cuerpos voluntarios […]</w:t>
      </w:r>
    </w:p>
    <w:p w14:paraId="6069C05E" w14:textId="77777777" w:rsidR="0055252E" w:rsidRDefault="0055252E" w:rsidP="0055252E">
      <w:pPr>
        <w:snapToGrid w:val="0"/>
        <w:spacing w:line="240" w:lineRule="auto"/>
        <w:contextualSpacing/>
        <w:jc w:val="both"/>
        <w:rPr>
          <w:rFonts w:ascii="Verdana" w:eastAsia="Calibri" w:hAnsi="Verdana" w:cs="Arial"/>
          <w:b/>
          <w:bCs/>
          <w:color w:val="4472C4" w:themeColor="accent1"/>
          <w:lang w:val="es-ES" w:eastAsia="es-ES"/>
        </w:rPr>
      </w:pPr>
    </w:p>
    <w:p w14:paraId="5405C711" w14:textId="77777777" w:rsidR="0055252E" w:rsidRDefault="0055252E" w:rsidP="0055252E">
      <w:pPr>
        <w:snapToGrid w:val="0"/>
        <w:spacing w:line="240" w:lineRule="auto"/>
        <w:contextualSpacing/>
        <w:jc w:val="both"/>
        <w:rPr>
          <w:rFonts w:ascii="Verdana" w:eastAsia="Calibri" w:hAnsi="Verdana" w:cs="Arial"/>
          <w:b/>
          <w:bCs/>
          <w:lang w:val="es-ES" w:eastAsia="es-ES"/>
        </w:rPr>
      </w:pPr>
      <w:r>
        <w:rPr>
          <w:rFonts w:ascii="Verdana" w:eastAsia="Calibri" w:hAnsi="Verdana" w:cs="Arial"/>
          <w:b/>
          <w:bCs/>
          <w:lang w:eastAsia="es-ES"/>
        </w:rPr>
        <w:t>CONTRATACIÓN CON ESAL – Objeto –Requisitos de procedencia – Alcance</w:t>
      </w:r>
    </w:p>
    <w:p w14:paraId="7CB2A6BF" w14:textId="77777777" w:rsidR="0055252E" w:rsidRDefault="0055252E" w:rsidP="0055252E">
      <w:pPr>
        <w:snapToGrid w:val="0"/>
        <w:spacing w:line="240" w:lineRule="auto"/>
        <w:contextualSpacing/>
        <w:jc w:val="both"/>
        <w:rPr>
          <w:rFonts w:ascii="Verdana" w:eastAsia="Calibri" w:hAnsi="Verdana" w:cs="Arial"/>
          <w:sz w:val="20"/>
          <w:szCs w:val="20"/>
          <w:lang w:val="es-ES"/>
        </w:rPr>
      </w:pPr>
    </w:p>
    <w:p w14:paraId="6CB3E9D7" w14:textId="77777777" w:rsidR="0055252E" w:rsidRDefault="0055252E" w:rsidP="0055252E">
      <w:pPr>
        <w:snapToGrid w:val="0"/>
        <w:spacing w:line="240" w:lineRule="auto"/>
        <w:contextualSpacing/>
        <w:jc w:val="both"/>
        <w:rPr>
          <w:rFonts w:ascii="Verdana" w:eastAsia="Calibri" w:hAnsi="Verdana" w:cs="Arial"/>
          <w:sz w:val="20"/>
          <w:szCs w:val="20"/>
          <w:lang w:val="es-ES" w:eastAsia="es-ES"/>
        </w:rPr>
      </w:pPr>
      <w:r>
        <w:rPr>
          <w:rFonts w:ascii="Verdana" w:eastAsia="Calibri" w:hAnsi="Verdana" w:cs="Arial"/>
          <w:sz w:val="20"/>
          <w:szCs w:val="20"/>
          <w:lang w:val="es-ES"/>
        </w:rPr>
        <w:t>[…] Los contratos del artículo 355 de la Constitución Política tienen como objeto promover acciones de fomento social en beneficio de los sectores más desprotegidos de la población, siempre que estén previstas en los planes de desarrollo, motivo por el cual no dan lugar a una contraprestación directa a favor de la entidad y tampoco a una relación conmutativa entre ésta y la ESAL, toda vez que el beneficio directo lo recibirán, en últimas, los sectores de este tipo de acciones de fomento. Para celebrar estos contratos, según lo establece el artículo 3 del Decreto 092 de 2017, por regla general, la entidad debe adelantar un proceso competitivo para seleccionar la entidad sin ánimo de lucro contratista. En particular, debe verificar el cumplimiento de los siguientes requisitos: i) que el objeto del contrato corresponda a programas y actividades de interés público acordes con el Plan Nacional o Seccional de Desarrollo; y ii) que no haya una contraprestación directa a favor de la entidad estatal, es decir, que el programa o actividad a desarrollar este dirigida al beneficio de la población en general, ya que cuando se adquieren bienes o servicios o se ejecutan obras en una relación conmutativa, las normas aplicables son las del Estatuto General de Contratación. Solo cuando se reúnan estas condiciones es procedente celebrar contratos del artículo 355 de la Constitución Política; de lo contrario, se aplicarán las normas del Estatuto General de Contratación de la Administración Pública […]</w:t>
      </w:r>
    </w:p>
    <w:p w14:paraId="4D1ED211" w14:textId="77777777" w:rsidR="0055252E" w:rsidRDefault="0055252E" w:rsidP="0055252E">
      <w:pPr>
        <w:spacing w:after="0" w:line="240" w:lineRule="auto"/>
        <w:jc w:val="both"/>
        <w:rPr>
          <w:rFonts w:ascii="Verdana" w:hAnsi="Verdana"/>
          <w:color w:val="4472C4" w:themeColor="accent1"/>
          <w:lang w:val="es-ES"/>
        </w:rPr>
      </w:pPr>
    </w:p>
    <w:p w14:paraId="326DC4D9" w14:textId="77777777" w:rsidR="0055252E" w:rsidRDefault="0055252E" w:rsidP="0055252E">
      <w:pPr>
        <w:spacing w:after="0" w:line="240" w:lineRule="auto"/>
        <w:jc w:val="both"/>
        <w:rPr>
          <w:rFonts w:ascii="Verdana" w:hAnsi="Verdana"/>
          <w:b/>
          <w:bCs/>
        </w:rPr>
      </w:pPr>
      <w:r>
        <w:rPr>
          <w:rFonts w:ascii="Verdana" w:hAnsi="Verdana"/>
          <w:b/>
          <w:bCs/>
        </w:rPr>
        <w:t>PRINCIPIO DE PLANEACIÓN CONTRACTUAL – Noción – Obligación de las entidades – Ley 80 de 1993</w:t>
      </w:r>
    </w:p>
    <w:p w14:paraId="3825772C" w14:textId="77777777" w:rsidR="0055252E" w:rsidRDefault="0055252E" w:rsidP="0055252E">
      <w:pPr>
        <w:spacing w:after="0" w:line="240" w:lineRule="auto"/>
        <w:jc w:val="both"/>
        <w:rPr>
          <w:rFonts w:ascii="Verdana" w:hAnsi="Verdana"/>
          <w:b/>
          <w:bCs/>
        </w:rPr>
      </w:pPr>
    </w:p>
    <w:p w14:paraId="1059B19F" w14:textId="77777777" w:rsidR="0055252E" w:rsidRDefault="0055252E" w:rsidP="0055252E">
      <w:pPr>
        <w:spacing w:after="0" w:line="240" w:lineRule="auto"/>
        <w:jc w:val="both"/>
        <w:rPr>
          <w:rFonts w:ascii="Verdana" w:hAnsi="Verdana"/>
          <w:sz w:val="20"/>
          <w:szCs w:val="20"/>
        </w:rPr>
      </w:pPr>
      <w:r>
        <w:rPr>
          <w:rFonts w:ascii="Verdana" w:hAnsi="Verdana"/>
          <w:sz w:val="20"/>
          <w:szCs w:val="20"/>
        </w:rPr>
        <w:t>[…] La planeación contractual es una herramienta de gerencia pública, que exige estructurar el proceso contractual dedicando tiempo y esfuerzos para elaborar estudios previos, con el fin de determinar la necesidad que pretende satisfacer la Entidad Estatal y cuál es la mejor manera de hacerlo, consultado el tipo de bienes y servicios que ofrece el mercado y sus características, especificaciones, precios, costos, riesgos, garantías, disponibilidad, oferentes, etc. Lo anterior con la finalidad de realizar la escogencia diligente de la mejor oferta, para beneficiar los intereses y fines públicos inmersos en la contratación de las Entidades Estatales.</w:t>
      </w:r>
    </w:p>
    <w:p w14:paraId="5BFFE40C" w14:textId="77777777" w:rsidR="0055252E" w:rsidRDefault="0055252E" w:rsidP="0055252E">
      <w:pPr>
        <w:spacing w:after="0" w:line="240" w:lineRule="auto"/>
        <w:jc w:val="both"/>
        <w:rPr>
          <w:rFonts w:ascii="Verdana" w:hAnsi="Verdana"/>
          <w:sz w:val="20"/>
          <w:szCs w:val="20"/>
        </w:rPr>
      </w:pPr>
    </w:p>
    <w:p w14:paraId="02DC7E8C" w14:textId="77777777" w:rsidR="0055252E" w:rsidRDefault="0055252E" w:rsidP="0055252E">
      <w:pPr>
        <w:spacing w:after="0" w:line="240" w:lineRule="auto"/>
        <w:jc w:val="both"/>
        <w:rPr>
          <w:rFonts w:ascii="Verdana" w:hAnsi="Verdana"/>
          <w:sz w:val="20"/>
          <w:szCs w:val="20"/>
        </w:rPr>
      </w:pPr>
      <w:r>
        <w:rPr>
          <w:rFonts w:ascii="Verdana" w:hAnsi="Verdana"/>
          <w:sz w:val="20"/>
          <w:szCs w:val="20"/>
        </w:rPr>
        <w:t xml:space="preserve">[…] el Estatuto General de Contratación de la Administración Pública, en adelante EGCAP, contiene disposiciones que exigen a las Entidades Estatales el deber de realizar </w:t>
      </w:r>
      <w:r>
        <w:rPr>
          <w:rFonts w:ascii="Verdana" w:hAnsi="Verdana"/>
          <w:sz w:val="20"/>
          <w:szCs w:val="20"/>
        </w:rPr>
        <w:lastRenderedPageBreak/>
        <w:t>planeación en la etapa precontractual, esto con el fin de que los Procesos de Contratación satisfagan las necesidades de la Administración, cumplan sus fines, logren la continua y eficiente prestación de los servicios públicos y permitan la efectividad de los derechos e intereses de los administrados que colaboran en su consecución. […]</w:t>
      </w:r>
    </w:p>
    <w:p w14:paraId="5FEF80B2" w14:textId="77777777" w:rsidR="0055252E" w:rsidRDefault="0055252E" w:rsidP="0055252E">
      <w:pPr>
        <w:spacing w:after="0" w:line="240" w:lineRule="auto"/>
        <w:jc w:val="both"/>
        <w:rPr>
          <w:rFonts w:ascii="Verdana" w:hAnsi="Verdana"/>
        </w:rPr>
      </w:pPr>
    </w:p>
    <w:p w14:paraId="02292395" w14:textId="77777777" w:rsidR="0055252E" w:rsidRDefault="0055252E" w:rsidP="0055252E">
      <w:pPr>
        <w:spacing w:after="0" w:line="240" w:lineRule="auto"/>
        <w:jc w:val="both"/>
        <w:rPr>
          <w:rFonts w:ascii="Verdana" w:hAnsi="Verdana"/>
          <w:lang w:val="es-ES"/>
        </w:rPr>
      </w:pPr>
    </w:p>
    <w:p w14:paraId="7F46B95B" w14:textId="77777777" w:rsidR="0055252E" w:rsidRDefault="0055252E" w:rsidP="0055252E">
      <w:pPr>
        <w:spacing w:after="0" w:line="240" w:lineRule="auto"/>
        <w:jc w:val="both"/>
        <w:rPr>
          <w:rFonts w:ascii="Verdana" w:hAnsi="Verdana"/>
          <w:lang w:val="es-ES"/>
        </w:rPr>
      </w:pPr>
    </w:p>
    <w:p w14:paraId="5741DB09" w14:textId="77777777" w:rsidR="0055252E" w:rsidRDefault="0055252E" w:rsidP="0055252E">
      <w:pPr>
        <w:spacing w:after="0" w:line="240" w:lineRule="auto"/>
        <w:jc w:val="both"/>
        <w:rPr>
          <w:rFonts w:ascii="Verdana" w:hAnsi="Verdana"/>
          <w:lang w:val="es-ES"/>
        </w:rPr>
      </w:pPr>
    </w:p>
    <w:p w14:paraId="147CC64F" w14:textId="77777777" w:rsidR="0055252E" w:rsidRDefault="0055252E" w:rsidP="0055252E">
      <w:pPr>
        <w:spacing w:after="0" w:line="240" w:lineRule="auto"/>
        <w:jc w:val="both"/>
        <w:rPr>
          <w:rFonts w:ascii="Verdana" w:hAnsi="Verdana"/>
          <w:lang w:val="es-ES"/>
        </w:rPr>
      </w:pPr>
    </w:p>
    <w:p w14:paraId="11D0769B" w14:textId="77777777" w:rsidR="0055252E" w:rsidRDefault="0055252E" w:rsidP="0055252E">
      <w:pPr>
        <w:spacing w:after="0" w:line="240" w:lineRule="auto"/>
        <w:jc w:val="both"/>
        <w:rPr>
          <w:rFonts w:ascii="Verdana" w:hAnsi="Verdana"/>
          <w:lang w:val="es-ES"/>
        </w:rPr>
      </w:pPr>
    </w:p>
    <w:p w14:paraId="0562CABD" w14:textId="77777777" w:rsidR="0055252E" w:rsidRDefault="0055252E" w:rsidP="0055252E">
      <w:pPr>
        <w:spacing w:after="0" w:line="240" w:lineRule="auto"/>
        <w:jc w:val="both"/>
        <w:rPr>
          <w:rFonts w:ascii="Verdana" w:hAnsi="Verdana"/>
          <w:lang w:val="es-ES"/>
        </w:rPr>
      </w:pPr>
    </w:p>
    <w:p w14:paraId="3A087181" w14:textId="77777777" w:rsidR="0055252E" w:rsidRDefault="0055252E" w:rsidP="0055252E">
      <w:pPr>
        <w:spacing w:after="0" w:line="240" w:lineRule="auto"/>
        <w:jc w:val="both"/>
        <w:rPr>
          <w:rFonts w:ascii="Verdana" w:hAnsi="Verdana"/>
          <w:lang w:val="es-ES"/>
        </w:rPr>
      </w:pPr>
    </w:p>
    <w:p w14:paraId="70F72838" w14:textId="77777777" w:rsidR="0055252E" w:rsidRDefault="0055252E" w:rsidP="0055252E">
      <w:pPr>
        <w:spacing w:after="0" w:line="240" w:lineRule="auto"/>
        <w:jc w:val="both"/>
        <w:rPr>
          <w:rFonts w:ascii="Verdana" w:hAnsi="Verdana"/>
          <w:lang w:val="es-ES"/>
        </w:rPr>
      </w:pPr>
    </w:p>
    <w:p w14:paraId="54CEDBB0" w14:textId="77777777" w:rsidR="0055252E" w:rsidRDefault="0055252E" w:rsidP="0055252E">
      <w:pPr>
        <w:spacing w:after="0" w:line="240" w:lineRule="auto"/>
        <w:jc w:val="both"/>
        <w:rPr>
          <w:rFonts w:ascii="Verdana" w:hAnsi="Verdana"/>
          <w:lang w:val="es-ES"/>
        </w:rPr>
      </w:pPr>
    </w:p>
    <w:p w14:paraId="1ECEC5C8" w14:textId="77777777" w:rsidR="0055252E" w:rsidRDefault="0055252E" w:rsidP="0055252E">
      <w:pPr>
        <w:spacing w:after="0" w:line="240" w:lineRule="auto"/>
        <w:jc w:val="both"/>
        <w:rPr>
          <w:rFonts w:ascii="Verdana" w:hAnsi="Verdana"/>
          <w:lang w:val="es-ES"/>
        </w:rPr>
      </w:pPr>
    </w:p>
    <w:p w14:paraId="7D865122" w14:textId="77777777" w:rsidR="0055252E" w:rsidRDefault="0055252E" w:rsidP="0055252E">
      <w:pPr>
        <w:spacing w:after="0" w:line="240" w:lineRule="auto"/>
        <w:jc w:val="both"/>
        <w:rPr>
          <w:rFonts w:ascii="Verdana" w:hAnsi="Verdana"/>
          <w:lang w:val="es-ES"/>
        </w:rPr>
      </w:pPr>
    </w:p>
    <w:p w14:paraId="24E3907F" w14:textId="77777777" w:rsidR="0055252E" w:rsidRDefault="0055252E" w:rsidP="0055252E">
      <w:pPr>
        <w:spacing w:after="0" w:line="240" w:lineRule="auto"/>
        <w:jc w:val="both"/>
        <w:rPr>
          <w:rFonts w:ascii="Verdana" w:hAnsi="Verdana"/>
          <w:lang w:val="es-ES"/>
        </w:rPr>
      </w:pPr>
    </w:p>
    <w:p w14:paraId="492B1773" w14:textId="77777777" w:rsidR="0055252E" w:rsidRDefault="0055252E" w:rsidP="0055252E">
      <w:pPr>
        <w:spacing w:after="0" w:line="240" w:lineRule="auto"/>
        <w:jc w:val="both"/>
        <w:rPr>
          <w:rFonts w:ascii="Verdana" w:hAnsi="Verdana"/>
          <w:lang w:val="es-ES"/>
        </w:rPr>
      </w:pPr>
    </w:p>
    <w:p w14:paraId="152F8347" w14:textId="77777777" w:rsidR="0055252E" w:rsidRDefault="0055252E" w:rsidP="0055252E">
      <w:pPr>
        <w:spacing w:after="0" w:line="240" w:lineRule="auto"/>
        <w:jc w:val="both"/>
        <w:rPr>
          <w:rFonts w:ascii="Verdana" w:hAnsi="Verdana"/>
          <w:lang w:val="es-ES"/>
        </w:rPr>
      </w:pPr>
    </w:p>
    <w:p w14:paraId="5ACBEEDE" w14:textId="77777777" w:rsidR="0055252E" w:rsidRDefault="0055252E" w:rsidP="0055252E">
      <w:pPr>
        <w:spacing w:after="0" w:line="240" w:lineRule="auto"/>
        <w:jc w:val="both"/>
        <w:rPr>
          <w:rFonts w:ascii="Verdana" w:hAnsi="Verdana"/>
          <w:lang w:val="es-ES"/>
        </w:rPr>
      </w:pPr>
    </w:p>
    <w:p w14:paraId="5C979DB4" w14:textId="77777777" w:rsidR="0055252E" w:rsidRDefault="0055252E" w:rsidP="0055252E">
      <w:pPr>
        <w:spacing w:after="0" w:line="240" w:lineRule="auto"/>
        <w:jc w:val="both"/>
        <w:rPr>
          <w:rFonts w:ascii="Verdana" w:hAnsi="Verdana"/>
          <w:lang w:val="es-ES"/>
        </w:rPr>
      </w:pPr>
    </w:p>
    <w:p w14:paraId="3F89E12D" w14:textId="77777777" w:rsidR="0055252E" w:rsidRDefault="0055252E" w:rsidP="0055252E">
      <w:pPr>
        <w:spacing w:after="0" w:line="240" w:lineRule="auto"/>
        <w:jc w:val="both"/>
        <w:rPr>
          <w:rFonts w:ascii="Verdana" w:hAnsi="Verdana"/>
          <w:lang w:val="es-ES"/>
        </w:rPr>
      </w:pPr>
    </w:p>
    <w:p w14:paraId="27904C92" w14:textId="77777777" w:rsidR="0055252E" w:rsidRDefault="0055252E" w:rsidP="0055252E">
      <w:pPr>
        <w:spacing w:after="0" w:line="240" w:lineRule="auto"/>
        <w:jc w:val="both"/>
        <w:rPr>
          <w:rFonts w:ascii="Verdana" w:hAnsi="Verdana"/>
          <w:lang w:val="es-ES"/>
        </w:rPr>
      </w:pPr>
    </w:p>
    <w:p w14:paraId="65D652FB" w14:textId="77777777" w:rsidR="0055252E" w:rsidRDefault="0055252E" w:rsidP="0055252E">
      <w:pPr>
        <w:spacing w:after="0" w:line="240" w:lineRule="auto"/>
        <w:jc w:val="both"/>
        <w:rPr>
          <w:rFonts w:ascii="Verdana" w:hAnsi="Verdana"/>
          <w:lang w:val="es-ES"/>
        </w:rPr>
      </w:pPr>
    </w:p>
    <w:p w14:paraId="6A3A4E22" w14:textId="77777777" w:rsidR="0055252E" w:rsidRDefault="0055252E" w:rsidP="0055252E">
      <w:pPr>
        <w:spacing w:after="0" w:line="240" w:lineRule="auto"/>
        <w:jc w:val="both"/>
        <w:rPr>
          <w:rFonts w:ascii="Verdana" w:hAnsi="Verdana"/>
          <w:lang w:val="es-ES"/>
        </w:rPr>
      </w:pPr>
    </w:p>
    <w:p w14:paraId="59D45E38" w14:textId="77777777" w:rsidR="0055252E" w:rsidRDefault="0055252E" w:rsidP="0055252E">
      <w:pPr>
        <w:spacing w:after="0" w:line="240" w:lineRule="auto"/>
        <w:jc w:val="both"/>
        <w:rPr>
          <w:rFonts w:ascii="Verdana" w:hAnsi="Verdana"/>
          <w:lang w:val="es-ES"/>
        </w:rPr>
      </w:pPr>
    </w:p>
    <w:p w14:paraId="432F6B73" w14:textId="77777777" w:rsidR="0055252E" w:rsidRDefault="0055252E" w:rsidP="0055252E">
      <w:pPr>
        <w:spacing w:after="0" w:line="240" w:lineRule="auto"/>
        <w:jc w:val="both"/>
        <w:rPr>
          <w:rFonts w:ascii="Verdana" w:hAnsi="Verdana"/>
          <w:lang w:val="es-ES"/>
        </w:rPr>
      </w:pPr>
    </w:p>
    <w:p w14:paraId="0D3A0434" w14:textId="77777777" w:rsidR="0055252E" w:rsidRDefault="0055252E" w:rsidP="0055252E">
      <w:pPr>
        <w:spacing w:after="0" w:line="240" w:lineRule="auto"/>
        <w:jc w:val="both"/>
        <w:rPr>
          <w:rFonts w:ascii="Verdana" w:hAnsi="Verdana"/>
          <w:lang w:val="es-ES"/>
        </w:rPr>
      </w:pPr>
    </w:p>
    <w:p w14:paraId="05C0082D" w14:textId="77777777" w:rsidR="0055252E" w:rsidRDefault="0055252E" w:rsidP="0055252E">
      <w:pPr>
        <w:spacing w:after="0" w:line="240" w:lineRule="auto"/>
        <w:jc w:val="both"/>
        <w:rPr>
          <w:rFonts w:ascii="Verdana" w:hAnsi="Verdana"/>
          <w:lang w:val="es-ES"/>
        </w:rPr>
      </w:pPr>
    </w:p>
    <w:p w14:paraId="33064C30" w14:textId="77777777" w:rsidR="0055252E" w:rsidRDefault="0055252E" w:rsidP="0055252E">
      <w:pPr>
        <w:spacing w:after="0" w:line="240" w:lineRule="auto"/>
        <w:jc w:val="both"/>
        <w:rPr>
          <w:rFonts w:ascii="Verdana" w:hAnsi="Verdana"/>
          <w:lang w:val="es-ES"/>
        </w:rPr>
      </w:pPr>
    </w:p>
    <w:p w14:paraId="13A59CDD" w14:textId="77777777" w:rsidR="0055252E" w:rsidRDefault="0055252E" w:rsidP="0055252E">
      <w:pPr>
        <w:spacing w:after="0" w:line="240" w:lineRule="auto"/>
        <w:jc w:val="both"/>
        <w:rPr>
          <w:rFonts w:ascii="Verdana" w:hAnsi="Verdana"/>
          <w:lang w:val="es-ES"/>
        </w:rPr>
      </w:pPr>
    </w:p>
    <w:p w14:paraId="537F9271" w14:textId="77777777" w:rsidR="0055252E" w:rsidRDefault="0055252E" w:rsidP="0055252E">
      <w:pPr>
        <w:spacing w:after="0" w:line="240" w:lineRule="auto"/>
        <w:jc w:val="both"/>
        <w:rPr>
          <w:rFonts w:ascii="Verdana" w:hAnsi="Verdana"/>
          <w:lang w:val="es-ES"/>
        </w:rPr>
      </w:pPr>
    </w:p>
    <w:p w14:paraId="6021CFD1" w14:textId="77777777" w:rsidR="0055252E" w:rsidRDefault="0055252E" w:rsidP="0055252E">
      <w:pPr>
        <w:spacing w:after="0" w:line="240" w:lineRule="auto"/>
        <w:jc w:val="both"/>
        <w:rPr>
          <w:rFonts w:ascii="Verdana" w:hAnsi="Verdana"/>
          <w:lang w:val="es-ES"/>
        </w:rPr>
      </w:pPr>
    </w:p>
    <w:p w14:paraId="0C2E6BCE" w14:textId="77777777" w:rsidR="0055252E" w:rsidRDefault="0055252E" w:rsidP="0055252E">
      <w:pPr>
        <w:spacing w:after="0" w:line="240" w:lineRule="auto"/>
        <w:jc w:val="both"/>
        <w:rPr>
          <w:rFonts w:ascii="Verdana" w:hAnsi="Verdana"/>
          <w:lang w:val="es-ES"/>
        </w:rPr>
      </w:pPr>
    </w:p>
    <w:p w14:paraId="6BEA805F" w14:textId="77777777" w:rsidR="0055252E" w:rsidRDefault="0055252E" w:rsidP="0055252E">
      <w:pPr>
        <w:spacing w:after="0" w:line="240" w:lineRule="auto"/>
        <w:jc w:val="both"/>
        <w:rPr>
          <w:rFonts w:ascii="Verdana" w:hAnsi="Verdana"/>
          <w:lang w:val="es-ES"/>
        </w:rPr>
      </w:pPr>
    </w:p>
    <w:p w14:paraId="1E4BA1BE" w14:textId="77777777" w:rsidR="0055252E" w:rsidRDefault="0055252E" w:rsidP="0055252E">
      <w:pPr>
        <w:spacing w:after="0" w:line="240" w:lineRule="auto"/>
        <w:jc w:val="both"/>
        <w:rPr>
          <w:rFonts w:ascii="Verdana" w:hAnsi="Verdana"/>
          <w:lang w:val="es-ES"/>
        </w:rPr>
      </w:pPr>
    </w:p>
    <w:p w14:paraId="5688B8C9" w14:textId="77777777" w:rsidR="0055252E" w:rsidRDefault="0055252E" w:rsidP="0055252E">
      <w:pPr>
        <w:spacing w:after="0" w:line="240" w:lineRule="auto"/>
        <w:jc w:val="both"/>
        <w:rPr>
          <w:rFonts w:ascii="Verdana" w:hAnsi="Verdana"/>
          <w:lang w:val="es-ES"/>
        </w:rPr>
      </w:pPr>
    </w:p>
    <w:p w14:paraId="5625CACA" w14:textId="77777777" w:rsidR="0055252E" w:rsidRDefault="0055252E" w:rsidP="0055252E">
      <w:pPr>
        <w:spacing w:after="0" w:line="240" w:lineRule="auto"/>
        <w:jc w:val="both"/>
        <w:rPr>
          <w:rFonts w:ascii="Verdana" w:hAnsi="Verdana"/>
          <w:lang w:val="es-ES"/>
        </w:rPr>
      </w:pPr>
    </w:p>
    <w:p w14:paraId="02E18413" w14:textId="77777777" w:rsidR="0055252E" w:rsidRDefault="0055252E" w:rsidP="0055252E">
      <w:pPr>
        <w:spacing w:after="0" w:line="240" w:lineRule="auto"/>
        <w:jc w:val="both"/>
        <w:rPr>
          <w:rFonts w:ascii="Verdana" w:hAnsi="Verdana"/>
          <w:lang w:val="es-ES"/>
        </w:rPr>
      </w:pPr>
    </w:p>
    <w:p w14:paraId="20947477" w14:textId="77777777" w:rsidR="0055252E" w:rsidRDefault="0055252E" w:rsidP="0055252E">
      <w:pPr>
        <w:spacing w:after="0" w:line="240" w:lineRule="auto"/>
        <w:jc w:val="both"/>
        <w:rPr>
          <w:rFonts w:ascii="Verdana" w:hAnsi="Verdana"/>
          <w:lang w:val="es-ES"/>
        </w:rPr>
      </w:pPr>
    </w:p>
    <w:p w14:paraId="7A44CF79" w14:textId="77777777" w:rsidR="0055252E" w:rsidRDefault="0055252E" w:rsidP="0055252E">
      <w:pPr>
        <w:spacing w:after="0" w:line="240" w:lineRule="auto"/>
        <w:jc w:val="both"/>
        <w:rPr>
          <w:rFonts w:ascii="Verdana" w:hAnsi="Verdana"/>
          <w:lang w:val="es-ES"/>
        </w:rPr>
      </w:pPr>
    </w:p>
    <w:p w14:paraId="3CD8486C" w14:textId="77777777" w:rsidR="0055252E" w:rsidRDefault="0055252E" w:rsidP="0055252E">
      <w:pPr>
        <w:spacing w:after="0" w:line="240" w:lineRule="auto"/>
        <w:jc w:val="both"/>
        <w:rPr>
          <w:rFonts w:ascii="Verdana" w:hAnsi="Verdana"/>
          <w:lang w:val="es-ES"/>
        </w:rPr>
      </w:pPr>
    </w:p>
    <w:p w14:paraId="505F2DA0" w14:textId="29C7D6D3" w:rsidR="0055252E" w:rsidRDefault="007326A1" w:rsidP="0055252E">
      <w:pPr>
        <w:spacing w:after="0" w:line="240" w:lineRule="auto"/>
        <w:jc w:val="both"/>
        <w:rPr>
          <w:rFonts w:ascii="Verdana" w:eastAsia="Calibri" w:hAnsi="Verdana" w:cs="Arial"/>
          <w:sz w:val="20"/>
          <w:szCs w:val="20"/>
          <w:lang w:val="es-ES_tradnl" w:eastAsia="es-ES_tradnl"/>
        </w:rPr>
      </w:pPr>
      <w:r w:rsidRPr="007326A1">
        <w:rPr>
          <w:rFonts w:ascii="Verdana" w:hAnsi="Verdana"/>
          <w:color w:val="2F5496" w:themeColor="accent1" w:themeShade="BF"/>
          <w:lang w:val="es-ES"/>
        </w:rPr>
        <w:lastRenderedPageBreak/>
        <w:drawing>
          <wp:anchor distT="0" distB="0" distL="114300" distR="114300" simplePos="0" relativeHeight="251658240" behindDoc="1" locked="0" layoutInCell="1" allowOverlap="1" wp14:anchorId="5279836C" wp14:editId="0BAB38A9">
            <wp:simplePos x="0" y="0"/>
            <wp:positionH relativeFrom="column">
              <wp:posOffset>3453765</wp:posOffset>
            </wp:positionH>
            <wp:positionV relativeFrom="paragraph">
              <wp:posOffset>5080</wp:posOffset>
            </wp:positionV>
            <wp:extent cx="2494053" cy="684642"/>
            <wp:effectExtent l="0" t="0" r="1905" b="1270"/>
            <wp:wrapNone/>
            <wp:docPr id="23154414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544142" name=""/>
                    <pic:cNvPicPr/>
                  </pic:nvPicPr>
                  <pic:blipFill>
                    <a:blip r:embed="rId10">
                      <a:extLst>
                        <a:ext uri="{28A0092B-C50C-407E-A947-70E740481C1C}">
                          <a14:useLocalDpi xmlns:a14="http://schemas.microsoft.com/office/drawing/2010/main" val="0"/>
                        </a:ext>
                      </a:extLst>
                    </a:blip>
                    <a:stretch>
                      <a:fillRect/>
                    </a:stretch>
                  </pic:blipFill>
                  <pic:spPr>
                    <a:xfrm>
                      <a:off x="0" y="0"/>
                      <a:ext cx="2496856" cy="685412"/>
                    </a:xfrm>
                    <a:prstGeom prst="rect">
                      <a:avLst/>
                    </a:prstGeom>
                  </pic:spPr>
                </pic:pic>
              </a:graphicData>
            </a:graphic>
            <wp14:sizeRelH relativeFrom="margin">
              <wp14:pctWidth>0</wp14:pctWidth>
            </wp14:sizeRelH>
            <wp14:sizeRelV relativeFrom="margin">
              <wp14:pctHeight>0</wp14:pctHeight>
            </wp14:sizeRelV>
          </wp:anchor>
        </w:drawing>
      </w:r>
      <w:r w:rsidR="0055252E">
        <w:rPr>
          <w:rFonts w:ascii="Verdana" w:hAnsi="Verdana"/>
        </w:rPr>
        <w:t xml:space="preserve">Bogotá D.C., </w:t>
      </w:r>
      <w:r w:rsidR="00CD029D">
        <w:rPr>
          <w:rFonts w:ascii="Verdana" w:hAnsi="Verdana"/>
        </w:rPr>
        <w:t>15 Octubre 2026</w:t>
      </w:r>
    </w:p>
    <w:p w14:paraId="6E663D85" w14:textId="5ACA9BCC" w:rsidR="0055252E" w:rsidRDefault="0055252E" w:rsidP="0055252E">
      <w:pPr>
        <w:spacing w:after="0"/>
        <w:rPr>
          <w:rFonts w:ascii="Verdana" w:hAnsi="Verdana"/>
          <w:color w:val="2F5496" w:themeColor="accent1" w:themeShade="BF"/>
          <w:lang w:val="es-ES"/>
        </w:rPr>
      </w:pPr>
    </w:p>
    <w:p w14:paraId="635314D2" w14:textId="77777777" w:rsidR="0055252E" w:rsidRDefault="0055252E" w:rsidP="0055252E">
      <w:pPr>
        <w:spacing w:after="0" w:line="240" w:lineRule="auto"/>
        <w:rPr>
          <w:rFonts w:ascii="Verdana" w:hAnsi="Verdana"/>
          <w:lang w:val="es-ES"/>
        </w:rPr>
      </w:pPr>
      <w:bookmarkStart w:id="0" w:name="_Hlk143780582"/>
      <w:r>
        <w:rPr>
          <w:rFonts w:ascii="Verdana" w:eastAsia="Calibri" w:hAnsi="Verdana" w:cs="Arial"/>
          <w:lang w:val="es-ES" w:eastAsia="es-ES"/>
        </w:rPr>
        <w:t>Señora</w:t>
      </w:r>
    </w:p>
    <w:p w14:paraId="05529FB9" w14:textId="77777777" w:rsidR="0055252E" w:rsidRDefault="0055252E" w:rsidP="0055252E">
      <w:pPr>
        <w:spacing w:after="0" w:line="240" w:lineRule="auto"/>
        <w:rPr>
          <w:rFonts w:ascii="Verdana" w:eastAsia="Calibri" w:hAnsi="Verdana" w:cs="Arial"/>
          <w:b/>
          <w:bCs/>
          <w:lang w:eastAsia="es-ES"/>
        </w:rPr>
      </w:pPr>
      <w:r>
        <w:rPr>
          <w:rFonts w:ascii="Verdana" w:eastAsia="Calibri" w:hAnsi="Verdana" w:cs="Arial"/>
          <w:b/>
          <w:bCs/>
          <w:lang w:eastAsia="es-ES"/>
        </w:rPr>
        <w:t>Adriana Patricia Rodríguez Medellin</w:t>
      </w:r>
    </w:p>
    <w:p w14:paraId="4DC6311B" w14:textId="77777777" w:rsidR="0055252E" w:rsidRDefault="0055252E" w:rsidP="0055252E">
      <w:pPr>
        <w:spacing w:after="0" w:line="240" w:lineRule="auto"/>
        <w:rPr>
          <w:rFonts w:ascii="Verdana" w:eastAsia="Calibri" w:hAnsi="Verdana" w:cs="Arial"/>
          <w:lang w:eastAsia="es-ES"/>
        </w:rPr>
      </w:pPr>
      <w:r>
        <w:rPr>
          <w:rFonts w:ascii="Verdana" w:eastAsia="Calibri" w:hAnsi="Verdana" w:cs="Arial"/>
          <w:lang w:eastAsia="es-ES"/>
        </w:rPr>
        <w:t>Secretaria de Gobierno y Desarrollo Social</w:t>
      </w:r>
    </w:p>
    <w:p w14:paraId="4756BBCA" w14:textId="77777777" w:rsidR="0055252E" w:rsidRDefault="0055252E" w:rsidP="0055252E">
      <w:pPr>
        <w:spacing w:after="0" w:line="240" w:lineRule="auto"/>
        <w:rPr>
          <w:rFonts w:ascii="Verdana" w:eastAsia="Calibri" w:hAnsi="Verdana" w:cs="Arial"/>
          <w:lang w:eastAsia="es-ES"/>
        </w:rPr>
      </w:pPr>
      <w:r>
        <w:rPr>
          <w:rFonts w:ascii="Verdana" w:eastAsia="Calibri" w:hAnsi="Verdana" w:cs="Arial"/>
          <w:lang w:eastAsia="es-ES"/>
        </w:rPr>
        <w:t>Alcaldía Municipal de Puerto Parra</w:t>
      </w:r>
    </w:p>
    <w:p w14:paraId="656F0C32" w14:textId="77777777" w:rsidR="0055252E" w:rsidRDefault="0055252E" w:rsidP="0055252E">
      <w:pPr>
        <w:spacing w:after="0" w:line="240" w:lineRule="auto"/>
        <w:rPr>
          <w:rFonts w:ascii="Verdana" w:hAnsi="Verdana"/>
          <w:color w:val="0000CC"/>
          <w:lang w:val="es-ES"/>
        </w:rPr>
      </w:pPr>
      <w:hyperlink r:id="rId11" w:history="1">
        <w:r>
          <w:rPr>
            <w:rStyle w:val="Hipervnculo"/>
            <w:rFonts w:ascii="Verdana" w:eastAsia="Calibri" w:hAnsi="Verdana" w:cs="Arial"/>
            <w:color w:val="0000CC"/>
            <w:lang w:eastAsia="es-ES"/>
          </w:rPr>
          <w:t>secgobierno@puertoparra-santander.gov.co</w:t>
        </w:r>
      </w:hyperlink>
      <w:r>
        <w:rPr>
          <w:rFonts w:ascii="Verdana" w:eastAsia="Calibri" w:hAnsi="Verdana" w:cs="Arial"/>
          <w:color w:val="0000CC"/>
          <w:lang w:eastAsia="es-ES"/>
        </w:rPr>
        <w:t xml:space="preserve"> </w:t>
      </w:r>
    </w:p>
    <w:p w14:paraId="7033D5DE" w14:textId="77777777" w:rsidR="0055252E" w:rsidRDefault="0055252E" w:rsidP="0055252E">
      <w:pPr>
        <w:spacing w:after="0"/>
        <w:rPr>
          <w:rFonts w:ascii="Verdana" w:eastAsia="Calibri" w:hAnsi="Verdana" w:cs="Arial"/>
          <w:lang w:val="es-ES" w:eastAsia="es-ES"/>
        </w:rPr>
      </w:pPr>
      <w:r>
        <w:rPr>
          <w:rFonts w:ascii="Verdana" w:eastAsia="Calibri" w:hAnsi="Verdana" w:cs="Arial"/>
          <w:lang w:val="es-ES" w:eastAsia="es-ES"/>
        </w:rPr>
        <w:t>Puerto Parra, Santander</w:t>
      </w:r>
    </w:p>
    <w:p w14:paraId="0FA0A195" w14:textId="77777777" w:rsidR="0055252E" w:rsidRDefault="0055252E" w:rsidP="0055252E">
      <w:pPr>
        <w:spacing w:after="0"/>
        <w:rPr>
          <w:rFonts w:ascii="Verdana" w:eastAsia="Calibri" w:hAnsi="Verdana" w:cs="Arial"/>
          <w:color w:val="2F5496" w:themeColor="accent1" w:themeShade="BF"/>
          <w:lang w:val="es-ES" w:eastAsia="es-ES"/>
        </w:rPr>
      </w:pPr>
    </w:p>
    <w:p w14:paraId="20639564" w14:textId="77777777" w:rsidR="0055252E" w:rsidRDefault="0055252E" w:rsidP="0055252E">
      <w:pPr>
        <w:spacing w:after="0" w:line="240" w:lineRule="auto"/>
        <w:rPr>
          <w:rFonts w:ascii="Verdana" w:eastAsia="Calibri" w:hAnsi="Verdana" w:cs="Arial"/>
          <w:b/>
          <w:bCs/>
          <w:color w:val="2F5496" w:themeColor="accent1" w:themeShade="BF"/>
          <w:lang w:val="es-ES" w:eastAsia="es-ES"/>
        </w:rPr>
      </w:pPr>
    </w:p>
    <w:tbl>
      <w:tblPr>
        <w:tblStyle w:val="Tablaconcuadrcula"/>
        <w:tblW w:w="8789"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379"/>
      </w:tblGrid>
      <w:tr w:rsidR="0055252E" w14:paraId="518A60E5" w14:textId="77777777">
        <w:trPr>
          <w:trHeight w:val="300"/>
        </w:trPr>
        <w:tc>
          <w:tcPr>
            <w:tcW w:w="2410" w:type="dxa"/>
          </w:tcPr>
          <w:p w14:paraId="2766E303" w14:textId="77777777" w:rsidR="0055252E" w:rsidRDefault="0055252E">
            <w:pPr>
              <w:ind w:left="-142"/>
              <w:jc w:val="both"/>
              <w:rPr>
                <w:rFonts w:ascii="Verdana" w:eastAsia="Calibri" w:hAnsi="Verdana" w:cs="Arial"/>
                <w:b/>
                <w:bCs/>
                <w:lang w:val="es-ES" w:eastAsia="es-ES_tradnl"/>
              </w:rPr>
            </w:pPr>
          </w:p>
        </w:tc>
        <w:tc>
          <w:tcPr>
            <w:tcW w:w="6379" w:type="dxa"/>
          </w:tcPr>
          <w:p w14:paraId="311FC115" w14:textId="77777777" w:rsidR="0055252E" w:rsidRDefault="0055252E">
            <w:pPr>
              <w:ind w:left="3"/>
              <w:jc w:val="both"/>
              <w:rPr>
                <w:rFonts w:ascii="Verdana" w:eastAsia="Calibri" w:hAnsi="Verdana" w:cs="Arial"/>
                <w:b/>
                <w:bCs/>
                <w:lang w:val="es-ES" w:eastAsia="es-ES"/>
              </w:rPr>
            </w:pPr>
            <w:r>
              <w:rPr>
                <w:rFonts w:ascii="Verdana" w:eastAsia="Calibri" w:hAnsi="Verdana" w:cs="Arial"/>
                <w:b/>
                <w:bCs/>
                <w:lang w:val="es-ES" w:eastAsia="es-ES"/>
              </w:rPr>
              <w:t>Concepto C-1416 de 2026</w:t>
            </w:r>
          </w:p>
          <w:p w14:paraId="2A3F180C" w14:textId="77777777" w:rsidR="0055252E" w:rsidRDefault="0055252E">
            <w:pPr>
              <w:ind w:left="3"/>
              <w:jc w:val="both"/>
              <w:rPr>
                <w:rFonts w:ascii="Verdana" w:eastAsia="Calibri" w:hAnsi="Verdana" w:cs="Arial"/>
                <w:b/>
                <w:bCs/>
                <w:lang w:val="es-ES" w:eastAsia="es-ES"/>
              </w:rPr>
            </w:pPr>
          </w:p>
        </w:tc>
      </w:tr>
      <w:tr w:rsidR="0055252E" w14:paraId="74B0049E" w14:textId="77777777">
        <w:trPr>
          <w:trHeight w:val="300"/>
        </w:trPr>
        <w:tc>
          <w:tcPr>
            <w:tcW w:w="2410" w:type="dxa"/>
            <w:hideMark/>
          </w:tcPr>
          <w:p w14:paraId="44B4178B" w14:textId="77777777" w:rsidR="0055252E" w:rsidRDefault="0055252E">
            <w:pPr>
              <w:ind w:left="424" w:firstLine="142"/>
              <w:jc w:val="both"/>
              <w:rPr>
                <w:rFonts w:ascii="Verdana" w:eastAsia="Calibri" w:hAnsi="Verdana" w:cs="Arial"/>
                <w:lang w:val="es-ES" w:eastAsia="es-ES_tradnl"/>
              </w:rPr>
            </w:pPr>
            <w:r>
              <w:rPr>
                <w:rFonts w:ascii="Verdana" w:eastAsia="Calibri" w:hAnsi="Verdana" w:cs="Arial"/>
                <w:b/>
                <w:lang w:val="es-ES" w:eastAsia="es-ES_tradnl"/>
              </w:rPr>
              <w:t>Temas:</w:t>
            </w:r>
            <w:r>
              <w:rPr>
                <w:rFonts w:ascii="Verdana" w:eastAsia="Calibri" w:hAnsi="Verdana" w:cs="Arial"/>
                <w:lang w:val="es-ES" w:eastAsia="es-ES_tradnl"/>
              </w:rPr>
              <w:t xml:space="preserve">                  </w:t>
            </w:r>
          </w:p>
        </w:tc>
        <w:tc>
          <w:tcPr>
            <w:tcW w:w="6379" w:type="dxa"/>
          </w:tcPr>
          <w:p w14:paraId="4BF80DFB" w14:textId="77777777" w:rsidR="0055252E" w:rsidRDefault="0055252E">
            <w:pPr>
              <w:spacing w:after="255"/>
              <w:contextualSpacing/>
              <w:jc w:val="both"/>
              <w:rPr>
                <w:rFonts w:ascii="Verdana" w:hAnsi="Verdana" w:cs="Arial"/>
                <w:lang w:val="es-ES_tradnl"/>
              </w:rPr>
            </w:pPr>
            <w:r>
              <w:rPr>
                <w:rFonts w:ascii="Verdana" w:hAnsi="Verdana" w:cs="Arial"/>
                <w:lang w:val="es-ES_tradnl"/>
              </w:rPr>
              <w:t xml:space="preserve">CUERPOS DE BOMBEROS VOLUNTARIOS – Ley general de bomberos de Colombia – Noción / CUERPOS DE BOMBEROS VOLUNTARIOS – Contratación directa – Inexistencia de pluralidad de oferentes – Proveedor exclusivo / CONTRATACIÓN CON ESAL – Objeto –Requisitos de procedencia – Alcance / PRINCIPIO DE PLANEACIÓN CONTRACTUAL – Noción – Obligación de las entidades – Ley 80 de 1993 </w:t>
            </w:r>
          </w:p>
          <w:p w14:paraId="063D31E6" w14:textId="77777777" w:rsidR="0055252E" w:rsidRDefault="0055252E">
            <w:pPr>
              <w:spacing w:after="255"/>
              <w:contextualSpacing/>
              <w:jc w:val="both"/>
              <w:rPr>
                <w:rFonts w:ascii="Verdana" w:eastAsia="Calibri" w:hAnsi="Verdana" w:cs="Arial"/>
              </w:rPr>
            </w:pPr>
          </w:p>
        </w:tc>
      </w:tr>
      <w:tr w:rsidR="0055252E" w14:paraId="2BE32F27" w14:textId="77777777">
        <w:trPr>
          <w:trHeight w:val="350"/>
        </w:trPr>
        <w:tc>
          <w:tcPr>
            <w:tcW w:w="2410" w:type="dxa"/>
            <w:hideMark/>
          </w:tcPr>
          <w:p w14:paraId="1FAE06DB" w14:textId="77777777" w:rsidR="0055252E" w:rsidRDefault="0055252E">
            <w:pPr>
              <w:ind w:left="561"/>
              <w:jc w:val="both"/>
              <w:rPr>
                <w:rFonts w:ascii="Verdana" w:eastAsia="Calibri" w:hAnsi="Verdana" w:cs="Arial"/>
                <w:b/>
                <w:lang w:val="es-ES" w:eastAsia="es-ES_tradnl"/>
              </w:rPr>
            </w:pPr>
            <w:r>
              <w:rPr>
                <w:rFonts w:ascii="Verdana" w:eastAsia="Calibri" w:hAnsi="Verdana" w:cs="Arial"/>
                <w:b/>
                <w:lang w:val="es-ES" w:eastAsia="es-ES_tradnl"/>
              </w:rPr>
              <w:t>Radicación:</w:t>
            </w:r>
            <w:r>
              <w:rPr>
                <w:rFonts w:ascii="Verdana" w:eastAsia="Calibri" w:hAnsi="Verdana" w:cs="Arial"/>
                <w:lang w:val="es-ES" w:eastAsia="es-ES_tradnl"/>
              </w:rPr>
              <w:t xml:space="preserve">              </w:t>
            </w:r>
          </w:p>
        </w:tc>
        <w:tc>
          <w:tcPr>
            <w:tcW w:w="6379" w:type="dxa"/>
          </w:tcPr>
          <w:p w14:paraId="7249B0EF" w14:textId="77777777" w:rsidR="0055252E" w:rsidRDefault="0055252E">
            <w:pPr>
              <w:ind w:left="3"/>
              <w:jc w:val="both"/>
              <w:rPr>
                <w:rFonts w:ascii="Verdana" w:eastAsia="Calibri" w:hAnsi="Verdana" w:cs="Arial"/>
                <w:lang w:val="es-ES" w:eastAsia="es-ES"/>
              </w:rPr>
            </w:pPr>
            <w:r>
              <w:rPr>
                <w:rFonts w:ascii="Verdana" w:eastAsia="Calibri" w:hAnsi="Verdana" w:cs="Arial"/>
                <w:lang w:val="es-ES" w:eastAsia="es-ES"/>
              </w:rPr>
              <w:t>Respuesta a consulta con radicado No. 1_2026_09_08_011956</w:t>
            </w:r>
          </w:p>
          <w:p w14:paraId="1015B591" w14:textId="77777777" w:rsidR="0055252E" w:rsidRDefault="0055252E">
            <w:pPr>
              <w:ind w:left="3"/>
              <w:jc w:val="both"/>
              <w:rPr>
                <w:rFonts w:ascii="Verdana" w:hAnsi="Verdana"/>
                <w:lang w:val="es-ES"/>
              </w:rPr>
            </w:pPr>
          </w:p>
        </w:tc>
      </w:tr>
      <w:tr w:rsidR="0055252E" w14:paraId="5F989F5C" w14:textId="77777777">
        <w:trPr>
          <w:trHeight w:val="350"/>
        </w:trPr>
        <w:tc>
          <w:tcPr>
            <w:tcW w:w="2410" w:type="dxa"/>
          </w:tcPr>
          <w:p w14:paraId="4594BCD7" w14:textId="77777777" w:rsidR="0055252E" w:rsidRDefault="0055252E">
            <w:pPr>
              <w:ind w:left="561"/>
              <w:jc w:val="both"/>
              <w:rPr>
                <w:rFonts w:ascii="Verdana" w:eastAsia="Calibri" w:hAnsi="Verdana" w:cs="Arial"/>
                <w:b/>
                <w:color w:val="2F5496" w:themeColor="accent1" w:themeShade="BF"/>
                <w:lang w:val="es-ES" w:eastAsia="es-ES_tradnl"/>
              </w:rPr>
            </w:pPr>
          </w:p>
        </w:tc>
        <w:tc>
          <w:tcPr>
            <w:tcW w:w="6379" w:type="dxa"/>
          </w:tcPr>
          <w:p w14:paraId="761D5D7E" w14:textId="77777777" w:rsidR="0055252E" w:rsidRDefault="0055252E">
            <w:pPr>
              <w:ind w:left="3"/>
              <w:jc w:val="both"/>
              <w:rPr>
                <w:rFonts w:ascii="Verdana" w:eastAsia="Calibri" w:hAnsi="Verdana" w:cs="Arial"/>
                <w:color w:val="2F5496" w:themeColor="accent1" w:themeShade="BF"/>
                <w:lang w:val="es-ES" w:eastAsia="es-ES"/>
              </w:rPr>
            </w:pPr>
          </w:p>
        </w:tc>
      </w:tr>
    </w:tbl>
    <w:p w14:paraId="7D267E89" w14:textId="77777777" w:rsidR="0055252E" w:rsidRDefault="0055252E" w:rsidP="0055252E">
      <w:pPr>
        <w:spacing w:after="0" w:line="276" w:lineRule="auto"/>
        <w:jc w:val="both"/>
        <w:rPr>
          <w:rFonts w:ascii="Verdana" w:eastAsia="Calibri" w:hAnsi="Verdana" w:cs="Arial"/>
          <w:lang w:val="es-ES" w:eastAsia="es-ES"/>
        </w:rPr>
      </w:pPr>
      <w:r>
        <w:rPr>
          <w:rFonts w:ascii="Verdana" w:eastAsia="Calibri" w:hAnsi="Verdana" w:cs="Arial"/>
          <w:lang w:val="es-ES" w:eastAsia="es-ES"/>
        </w:rPr>
        <w:t>Estimada Señora Rodríguez:</w:t>
      </w:r>
    </w:p>
    <w:p w14:paraId="48D1401C" w14:textId="77777777" w:rsidR="0055252E" w:rsidRDefault="0055252E" w:rsidP="0055252E">
      <w:pPr>
        <w:tabs>
          <w:tab w:val="left" w:pos="3768"/>
        </w:tabs>
        <w:spacing w:after="0" w:line="276" w:lineRule="auto"/>
        <w:jc w:val="both"/>
        <w:rPr>
          <w:rFonts w:ascii="Verdana" w:eastAsia="Calibri" w:hAnsi="Verdana" w:cs="Arial"/>
          <w:lang w:val="es-ES" w:eastAsia="es-ES"/>
        </w:rPr>
      </w:pPr>
      <w:r>
        <w:rPr>
          <w:rFonts w:ascii="Verdana" w:eastAsia="Calibri" w:hAnsi="Verdana" w:cs="Arial"/>
          <w:lang w:val="es-ES" w:eastAsia="es-ES"/>
        </w:rPr>
        <w:tab/>
      </w:r>
    </w:p>
    <w:p w14:paraId="1E955335" w14:textId="77777777" w:rsidR="0055252E" w:rsidRDefault="0055252E" w:rsidP="0055252E">
      <w:pPr>
        <w:spacing w:after="0" w:line="276" w:lineRule="auto"/>
        <w:jc w:val="both"/>
        <w:rPr>
          <w:rFonts w:ascii="Verdana" w:eastAsia="Calibri" w:hAnsi="Verdana" w:cs="Arial"/>
          <w:lang w:val="es-ES" w:eastAsia="es-ES"/>
        </w:rPr>
      </w:pPr>
      <w:r>
        <w:rPr>
          <w:rFonts w:ascii="Verdana" w:eastAsia="Calibri" w:hAnsi="Verdana" w:cs="Arial"/>
          <w:lang w:val="es-ES" w:eastAsia="es-ES"/>
        </w:rPr>
        <w:t>En ejercicio de la competencia otorgada por los artículos 3, numeral 5º, y 11, numeral 8º, del Decreto Ley 4170 de 2011,</w:t>
      </w:r>
      <w:r>
        <w:rPr>
          <w:rFonts w:ascii="Verdana" w:eastAsia="Arial MT" w:hAnsi="Verdana" w:cs="Arial MT"/>
          <w:lang w:val="es-ES" w:eastAsia="es-ES"/>
        </w:rPr>
        <w:t xml:space="preserve"> </w:t>
      </w:r>
      <w:r>
        <w:rPr>
          <w:rFonts w:ascii="Verdana" w:hAnsi="Verdana" w:cs="Arial"/>
          <w:lang w:val="es-ES"/>
        </w:rPr>
        <w:t xml:space="preserve">así como lo establecido en el artículo 4 de la Resolución 469 de 2025 expedida por esta Entidad, </w:t>
      </w:r>
      <w:r>
        <w:rPr>
          <w:rFonts w:ascii="Verdana" w:eastAsia="Calibri" w:hAnsi="Verdana" w:cs="Arial"/>
          <w:lang w:val="es-ES" w:eastAsia="es-ES"/>
        </w:rPr>
        <w:t xml:space="preserve">la Agencia Nacional de Contratación Pública – Colombia Compra Eficiente– responde a su solicitud de consulta de fecha 08 de septiembre de 2026, en la cual manifiesta lo siguiente: </w:t>
      </w:r>
    </w:p>
    <w:p w14:paraId="61A5D458" w14:textId="77777777" w:rsidR="0055252E" w:rsidRDefault="0055252E" w:rsidP="0055252E">
      <w:pPr>
        <w:tabs>
          <w:tab w:val="left" w:pos="142"/>
          <w:tab w:val="left" w:pos="284"/>
        </w:tabs>
        <w:spacing w:after="0" w:line="276" w:lineRule="auto"/>
        <w:jc w:val="both"/>
        <w:rPr>
          <w:rFonts w:ascii="Verdana" w:eastAsia="Century Gothic" w:hAnsi="Verdana" w:cs="Century Gothic"/>
          <w:b/>
          <w:bCs/>
          <w:lang w:val="es-ES"/>
        </w:rPr>
      </w:pPr>
    </w:p>
    <w:p w14:paraId="31D027BC" w14:textId="77777777" w:rsidR="0055252E" w:rsidRDefault="0055252E" w:rsidP="0055252E">
      <w:pPr>
        <w:spacing w:after="0" w:line="240" w:lineRule="auto"/>
        <w:ind w:left="709" w:right="709"/>
        <w:jc w:val="both"/>
        <w:rPr>
          <w:rFonts w:ascii="Verdana" w:eastAsia="Century Gothic" w:hAnsi="Verdana" w:cs="Century Gothic"/>
          <w:i/>
          <w:iCs/>
          <w:sz w:val="20"/>
          <w:szCs w:val="20"/>
          <w:lang w:val="es-ES"/>
        </w:rPr>
      </w:pPr>
      <w:r>
        <w:rPr>
          <w:rFonts w:ascii="Verdana" w:eastAsia="Century Gothic" w:hAnsi="Verdana" w:cs="Century Gothic"/>
          <w:i/>
          <w:iCs/>
          <w:sz w:val="20"/>
          <w:szCs w:val="20"/>
          <w:lang w:val="es-ES"/>
        </w:rPr>
        <w:t>“[…]  PRIMERO. – Sobre la obligación de transferir recursos y el nivel de detalle que debe contener el instrumento contractual.</w:t>
      </w:r>
    </w:p>
    <w:p w14:paraId="19912321" w14:textId="77777777" w:rsidR="0055252E" w:rsidRDefault="0055252E" w:rsidP="0055252E">
      <w:pPr>
        <w:spacing w:after="0" w:line="240" w:lineRule="auto"/>
        <w:ind w:left="709" w:right="709"/>
        <w:jc w:val="both"/>
        <w:rPr>
          <w:rFonts w:ascii="Verdana" w:eastAsia="Century Gothic" w:hAnsi="Verdana" w:cs="Century Gothic"/>
          <w:i/>
          <w:iCs/>
          <w:sz w:val="20"/>
          <w:szCs w:val="20"/>
          <w:lang w:val="es-ES"/>
        </w:rPr>
      </w:pPr>
    </w:p>
    <w:p w14:paraId="6FFD5591" w14:textId="77777777" w:rsidR="0055252E" w:rsidRDefault="0055252E" w:rsidP="0055252E">
      <w:pPr>
        <w:spacing w:after="0" w:line="240" w:lineRule="auto"/>
        <w:ind w:left="709" w:right="709"/>
        <w:jc w:val="both"/>
        <w:rPr>
          <w:rFonts w:ascii="Verdana" w:eastAsia="Century Gothic" w:hAnsi="Verdana" w:cs="Century Gothic"/>
          <w:i/>
          <w:iCs/>
          <w:sz w:val="20"/>
          <w:szCs w:val="20"/>
          <w:lang w:val="es-ES"/>
        </w:rPr>
      </w:pPr>
      <w:r>
        <w:rPr>
          <w:rFonts w:ascii="Verdana" w:eastAsia="Century Gothic" w:hAnsi="Verdana" w:cs="Century Gothic"/>
          <w:i/>
          <w:iCs/>
          <w:sz w:val="20"/>
          <w:szCs w:val="20"/>
          <w:lang w:val="es-ES"/>
        </w:rPr>
        <w:t xml:space="preserve">De conformidad con la Ley 1575 de 2012 y las demás disposiciones que regulan la prestación del servicio público esencial bomberil, ¿se encuentra el Municipio obligado a transferir o girar directamente recursos al Cuerpo </w:t>
      </w:r>
      <w:r>
        <w:rPr>
          <w:rFonts w:ascii="Verdana" w:eastAsia="Century Gothic" w:hAnsi="Verdana" w:cs="Century Gothic"/>
          <w:i/>
          <w:iCs/>
          <w:sz w:val="20"/>
          <w:szCs w:val="20"/>
          <w:lang w:val="es-ES"/>
        </w:rPr>
        <w:lastRenderedPageBreak/>
        <w:t>de Bomberos Voluntarios, sin que en el respectivo contrato o convenio se establezca de manera detallada la destinación de dichos recursos?</w:t>
      </w:r>
    </w:p>
    <w:p w14:paraId="64C89ECC" w14:textId="77777777" w:rsidR="0055252E" w:rsidRDefault="0055252E" w:rsidP="0055252E">
      <w:pPr>
        <w:spacing w:after="0" w:line="240" w:lineRule="auto"/>
        <w:ind w:left="709" w:right="709"/>
        <w:jc w:val="both"/>
        <w:rPr>
          <w:rFonts w:ascii="Verdana" w:eastAsia="Century Gothic" w:hAnsi="Verdana" w:cs="Century Gothic"/>
          <w:i/>
          <w:iCs/>
          <w:sz w:val="20"/>
          <w:szCs w:val="20"/>
          <w:lang w:val="es-ES"/>
        </w:rPr>
      </w:pPr>
      <w:r>
        <w:rPr>
          <w:rFonts w:ascii="Verdana" w:eastAsia="Century Gothic" w:hAnsi="Verdana" w:cs="Century Gothic"/>
          <w:i/>
          <w:iCs/>
          <w:sz w:val="20"/>
          <w:szCs w:val="20"/>
          <w:lang w:val="es-ES"/>
        </w:rPr>
        <w:t xml:space="preserve">En particular, ¿es jurídicamente válido que el Municipio establezca únicamente montos globales para los gastos de funcionamiento y/o para los gastos de inversión, dejando al libre albedrío del Cuerpo de Bomberos la ejecución de dichos recursos, de acuerdo con sus propias necesidades </w:t>
      </w:r>
    </w:p>
    <w:p w14:paraId="7F80F383" w14:textId="77777777" w:rsidR="0055252E" w:rsidRDefault="0055252E" w:rsidP="0055252E">
      <w:pPr>
        <w:spacing w:after="0" w:line="240" w:lineRule="auto"/>
        <w:ind w:left="709" w:right="709"/>
        <w:jc w:val="both"/>
        <w:rPr>
          <w:rFonts w:ascii="Verdana" w:eastAsia="Century Gothic" w:hAnsi="Verdana" w:cs="Century Gothic"/>
          <w:i/>
          <w:iCs/>
          <w:sz w:val="20"/>
          <w:szCs w:val="20"/>
          <w:lang w:val="es-ES"/>
        </w:rPr>
      </w:pPr>
      <w:r>
        <w:rPr>
          <w:rFonts w:ascii="Verdana" w:eastAsia="Century Gothic" w:hAnsi="Verdana" w:cs="Century Gothic"/>
          <w:i/>
          <w:iCs/>
          <w:sz w:val="20"/>
          <w:szCs w:val="20"/>
          <w:lang w:val="es-ES"/>
        </w:rPr>
        <w:t>funcionales, administrativas y operativas, sin que en el contrato o convenio se determinen previamente las actividades, bienes o servicios que serán financiados, sus especificaciones, cantidades, precios unitarios y valores?</w:t>
      </w:r>
    </w:p>
    <w:p w14:paraId="110AEF04" w14:textId="77777777" w:rsidR="0055252E" w:rsidRDefault="0055252E" w:rsidP="0055252E">
      <w:pPr>
        <w:spacing w:after="0" w:line="240" w:lineRule="auto"/>
        <w:ind w:left="709" w:right="709"/>
        <w:jc w:val="both"/>
        <w:rPr>
          <w:rFonts w:ascii="Verdana" w:eastAsia="Century Gothic" w:hAnsi="Verdana" w:cs="Century Gothic"/>
          <w:i/>
          <w:iCs/>
          <w:sz w:val="20"/>
          <w:szCs w:val="20"/>
          <w:highlight w:val="yellow"/>
        </w:rPr>
      </w:pPr>
    </w:p>
    <w:p w14:paraId="6B801AD5" w14:textId="77777777" w:rsidR="0055252E" w:rsidRDefault="0055252E" w:rsidP="0055252E">
      <w:pPr>
        <w:spacing w:after="0" w:line="240" w:lineRule="auto"/>
        <w:ind w:left="709" w:right="709"/>
        <w:jc w:val="both"/>
        <w:rPr>
          <w:rFonts w:ascii="Verdana" w:eastAsia="Century Gothic" w:hAnsi="Verdana" w:cs="Century Gothic"/>
          <w:i/>
          <w:iCs/>
          <w:sz w:val="20"/>
          <w:szCs w:val="20"/>
        </w:rPr>
      </w:pPr>
      <w:r>
        <w:rPr>
          <w:rFonts w:ascii="Verdana" w:eastAsia="Century Gothic" w:hAnsi="Verdana" w:cs="Century Gothic"/>
          <w:i/>
          <w:iCs/>
          <w:sz w:val="20"/>
          <w:szCs w:val="20"/>
        </w:rPr>
        <w:t>Así mismo, ¿existe alguna disposición especial en la Ley 1575 de 2012, o en otra norma que regule específicamente la financiación de los cuerpos de bomberos voluntarios, que permita o exija esta modalidad de transferencia global de recursos?</w:t>
      </w:r>
    </w:p>
    <w:p w14:paraId="2C9247EE" w14:textId="77777777" w:rsidR="0055252E" w:rsidRDefault="0055252E" w:rsidP="0055252E">
      <w:pPr>
        <w:spacing w:after="0" w:line="240" w:lineRule="auto"/>
        <w:ind w:left="709" w:right="709"/>
        <w:jc w:val="both"/>
        <w:rPr>
          <w:rFonts w:ascii="Verdana" w:eastAsia="Century Gothic" w:hAnsi="Verdana" w:cs="Century Gothic"/>
          <w:i/>
          <w:iCs/>
          <w:sz w:val="20"/>
          <w:szCs w:val="20"/>
          <w:highlight w:val="yellow"/>
        </w:rPr>
      </w:pPr>
    </w:p>
    <w:p w14:paraId="02DE3454" w14:textId="77777777" w:rsidR="0055252E" w:rsidRDefault="0055252E" w:rsidP="0055252E">
      <w:pPr>
        <w:spacing w:after="0" w:line="240" w:lineRule="auto"/>
        <w:ind w:left="709" w:right="709"/>
        <w:jc w:val="both"/>
        <w:rPr>
          <w:rFonts w:ascii="Verdana" w:eastAsia="Century Gothic" w:hAnsi="Verdana" w:cs="Century Gothic"/>
          <w:i/>
          <w:iCs/>
          <w:sz w:val="20"/>
          <w:szCs w:val="20"/>
        </w:rPr>
      </w:pPr>
      <w:r>
        <w:rPr>
          <w:rFonts w:ascii="Verdana" w:eastAsia="Century Gothic" w:hAnsi="Verdana" w:cs="Century Gothic"/>
          <w:i/>
          <w:iCs/>
          <w:sz w:val="20"/>
          <w:szCs w:val="20"/>
        </w:rPr>
        <w:t xml:space="preserve">Lo anterior se consulta teniendo en cuenta que el Municipio, en aplicación de los principios de planeación, economía, transparencia y responsabilidad del gasto público, ha considerado necesario identificar previamente en los estudios y documentos contractuales las necesidades que serán atendidas, las actividades que se ejecutarán y, cuando corresponda, los bienes y </w:t>
      </w:r>
    </w:p>
    <w:p w14:paraId="218A3D34" w14:textId="77777777" w:rsidR="0055252E" w:rsidRDefault="0055252E" w:rsidP="0055252E">
      <w:pPr>
        <w:spacing w:after="0" w:line="240" w:lineRule="auto"/>
        <w:ind w:left="709" w:right="709"/>
        <w:jc w:val="both"/>
        <w:rPr>
          <w:rFonts w:ascii="Verdana" w:eastAsia="Century Gothic" w:hAnsi="Verdana" w:cs="Century Gothic"/>
          <w:i/>
          <w:iCs/>
          <w:sz w:val="20"/>
          <w:szCs w:val="20"/>
          <w:highlight w:val="yellow"/>
        </w:rPr>
      </w:pPr>
      <w:r>
        <w:rPr>
          <w:rFonts w:ascii="Verdana" w:eastAsia="Century Gothic" w:hAnsi="Verdana" w:cs="Century Gothic"/>
          <w:i/>
          <w:iCs/>
          <w:sz w:val="20"/>
          <w:szCs w:val="20"/>
        </w:rPr>
        <w:t>servicios requeridos, con sus respectivas cantidades, especificaciones y valores.</w:t>
      </w:r>
    </w:p>
    <w:p w14:paraId="4F5AC0B2" w14:textId="77777777" w:rsidR="0055252E" w:rsidRDefault="0055252E" w:rsidP="0055252E">
      <w:pPr>
        <w:spacing w:after="0" w:line="240" w:lineRule="auto"/>
        <w:ind w:left="709" w:right="709"/>
        <w:jc w:val="both"/>
        <w:rPr>
          <w:rFonts w:ascii="Verdana" w:eastAsia="Century Gothic" w:hAnsi="Verdana" w:cs="Century Gothic"/>
          <w:i/>
          <w:iCs/>
          <w:sz w:val="20"/>
          <w:szCs w:val="20"/>
          <w:highlight w:val="yellow"/>
        </w:rPr>
      </w:pPr>
    </w:p>
    <w:p w14:paraId="679F3E1C" w14:textId="77777777" w:rsidR="0055252E" w:rsidRDefault="0055252E" w:rsidP="0055252E">
      <w:pPr>
        <w:spacing w:after="0" w:line="240" w:lineRule="auto"/>
        <w:ind w:left="709" w:right="709"/>
        <w:jc w:val="both"/>
        <w:rPr>
          <w:rFonts w:ascii="Verdana" w:eastAsia="Century Gothic" w:hAnsi="Verdana" w:cs="Century Gothic"/>
          <w:i/>
          <w:iCs/>
          <w:sz w:val="20"/>
          <w:szCs w:val="20"/>
        </w:rPr>
      </w:pPr>
      <w:r>
        <w:rPr>
          <w:rFonts w:ascii="Verdana" w:eastAsia="Century Gothic" w:hAnsi="Verdana" w:cs="Century Gothic"/>
          <w:i/>
          <w:iCs/>
          <w:sz w:val="20"/>
          <w:szCs w:val="20"/>
        </w:rPr>
        <w:t>SEGUNDO. – Sobre el deber de planeación de las Entidades Estatales y el nivel de detalle exigible en este tipo de contratación.</w:t>
      </w:r>
    </w:p>
    <w:p w14:paraId="631EA305" w14:textId="77777777" w:rsidR="0055252E" w:rsidRDefault="0055252E" w:rsidP="0055252E">
      <w:pPr>
        <w:spacing w:after="0" w:line="240" w:lineRule="auto"/>
        <w:ind w:left="709" w:right="709"/>
        <w:jc w:val="both"/>
        <w:rPr>
          <w:rFonts w:ascii="Verdana" w:eastAsia="Century Gothic" w:hAnsi="Verdana" w:cs="Century Gothic"/>
          <w:i/>
          <w:iCs/>
          <w:sz w:val="20"/>
          <w:szCs w:val="20"/>
        </w:rPr>
      </w:pPr>
    </w:p>
    <w:p w14:paraId="2960D168" w14:textId="77777777" w:rsidR="0055252E" w:rsidRDefault="0055252E" w:rsidP="0055252E">
      <w:pPr>
        <w:spacing w:after="0" w:line="240" w:lineRule="auto"/>
        <w:ind w:left="709" w:right="709"/>
        <w:jc w:val="both"/>
        <w:rPr>
          <w:rFonts w:ascii="Verdana" w:eastAsia="Century Gothic" w:hAnsi="Verdana" w:cs="Century Gothic"/>
          <w:i/>
          <w:iCs/>
          <w:sz w:val="20"/>
          <w:szCs w:val="20"/>
        </w:rPr>
      </w:pPr>
      <w:r>
        <w:rPr>
          <w:rFonts w:ascii="Verdana" w:eastAsia="Century Gothic" w:hAnsi="Verdana" w:cs="Century Gothic"/>
          <w:i/>
          <w:iCs/>
          <w:sz w:val="20"/>
          <w:szCs w:val="20"/>
        </w:rPr>
        <w:t>¿Cuáles son las disposiciones constitucionales, legales y reglamentarias que establecen y desarrollan el deber de planeación de las Entidades Estatales en los procesos de contratación pública, particularmente aquellas relacionadas con la planeación del objeto contractual, las necesidades que se pretenden satisfacer, las actividades a ejecutar, la  estructuración del presupuesto, la determinación y justificación del gasto, las cantidades, especificaciones técnicas, precios unitarios y valores de los bienes y servicios que serán financiados con recursos públicos?</w:t>
      </w:r>
    </w:p>
    <w:p w14:paraId="024E4D6A" w14:textId="77777777" w:rsidR="0055252E" w:rsidRDefault="0055252E" w:rsidP="0055252E">
      <w:pPr>
        <w:spacing w:after="0" w:line="240" w:lineRule="auto"/>
        <w:ind w:left="709" w:right="709"/>
        <w:jc w:val="both"/>
        <w:rPr>
          <w:rFonts w:ascii="Verdana" w:eastAsia="Century Gothic" w:hAnsi="Verdana" w:cs="Century Gothic"/>
          <w:i/>
          <w:iCs/>
          <w:sz w:val="20"/>
          <w:szCs w:val="20"/>
        </w:rPr>
      </w:pPr>
    </w:p>
    <w:p w14:paraId="10FC8BB1" w14:textId="77777777" w:rsidR="0055252E" w:rsidRDefault="0055252E" w:rsidP="0055252E">
      <w:pPr>
        <w:spacing w:after="0" w:line="240" w:lineRule="auto"/>
        <w:ind w:left="709" w:right="709"/>
        <w:jc w:val="both"/>
        <w:rPr>
          <w:rFonts w:ascii="Verdana" w:eastAsia="Century Gothic" w:hAnsi="Verdana" w:cs="Century Gothic"/>
          <w:i/>
          <w:iCs/>
          <w:sz w:val="20"/>
          <w:szCs w:val="20"/>
        </w:rPr>
      </w:pPr>
      <w:r>
        <w:rPr>
          <w:rFonts w:ascii="Verdana" w:eastAsia="Century Gothic" w:hAnsi="Verdana" w:cs="Century Gothic"/>
          <w:i/>
          <w:iCs/>
          <w:sz w:val="20"/>
          <w:szCs w:val="20"/>
        </w:rPr>
        <w:t>En particular, ¿cuál es el alcance del principio de planeación en los procesos de contratación de las Entidades Estatales y qué grado de detalle debe contener el estudio previo, el presupuesto oficial y el respectivo contrato o convenio respecto de los bienes, servicios, actividades, cantidades, especificaciones y valores que serán objeto de financiación?</w:t>
      </w:r>
    </w:p>
    <w:p w14:paraId="4387B0E9" w14:textId="77777777" w:rsidR="0055252E" w:rsidRDefault="0055252E" w:rsidP="0055252E">
      <w:pPr>
        <w:spacing w:after="0" w:line="240" w:lineRule="auto"/>
        <w:ind w:left="709" w:right="709"/>
        <w:jc w:val="both"/>
        <w:rPr>
          <w:rFonts w:ascii="Verdana" w:eastAsia="Century Gothic" w:hAnsi="Verdana" w:cs="Century Gothic"/>
          <w:i/>
          <w:iCs/>
          <w:sz w:val="20"/>
          <w:szCs w:val="20"/>
        </w:rPr>
      </w:pPr>
    </w:p>
    <w:p w14:paraId="479AC08C" w14:textId="77777777" w:rsidR="0055252E" w:rsidRDefault="0055252E" w:rsidP="0055252E">
      <w:pPr>
        <w:spacing w:after="0" w:line="240" w:lineRule="auto"/>
        <w:ind w:left="709" w:right="709"/>
        <w:jc w:val="both"/>
        <w:rPr>
          <w:rFonts w:ascii="Verdana" w:eastAsia="Century Gothic" w:hAnsi="Verdana" w:cs="Century Gothic"/>
          <w:i/>
          <w:iCs/>
          <w:sz w:val="20"/>
          <w:szCs w:val="20"/>
        </w:rPr>
      </w:pPr>
      <w:r>
        <w:rPr>
          <w:rFonts w:ascii="Verdana" w:eastAsia="Century Gothic" w:hAnsi="Verdana" w:cs="Century Gothic"/>
          <w:i/>
          <w:iCs/>
          <w:sz w:val="20"/>
          <w:szCs w:val="20"/>
        </w:rPr>
        <w:t xml:space="preserve">Así mismo, ¿se encuentra la Entidad Estatal obligada, en aplicación del principio de planeación y de las normas que regulan los estudios y documentos previos, a identificar, cuantificar, especificar y valorar previamente las necesidades que serán atendidas con los recursos </w:t>
      </w:r>
      <w:r>
        <w:rPr>
          <w:rFonts w:ascii="Verdana" w:eastAsia="Century Gothic" w:hAnsi="Verdana" w:cs="Century Gothic"/>
          <w:i/>
          <w:iCs/>
          <w:sz w:val="20"/>
          <w:szCs w:val="20"/>
        </w:rPr>
        <w:lastRenderedPageBreak/>
        <w:t>públicos, incluso cuando el contratista o asociado sea una entidad privada sin ánimo de lucro y los recursos sean posteriormente ejecutados directamente por esta?</w:t>
      </w:r>
    </w:p>
    <w:p w14:paraId="16D995E6" w14:textId="77777777" w:rsidR="0055252E" w:rsidRDefault="0055252E" w:rsidP="0055252E">
      <w:pPr>
        <w:spacing w:after="0" w:line="240" w:lineRule="auto"/>
        <w:ind w:left="709" w:right="709"/>
        <w:jc w:val="both"/>
        <w:rPr>
          <w:rFonts w:ascii="Verdana" w:eastAsia="Century Gothic" w:hAnsi="Verdana" w:cs="Century Gothic"/>
          <w:i/>
          <w:iCs/>
          <w:sz w:val="20"/>
          <w:szCs w:val="20"/>
        </w:rPr>
      </w:pPr>
    </w:p>
    <w:p w14:paraId="345866A2" w14:textId="77777777" w:rsidR="0055252E" w:rsidRDefault="0055252E" w:rsidP="0055252E">
      <w:pPr>
        <w:spacing w:after="0" w:line="240" w:lineRule="auto"/>
        <w:ind w:left="709" w:right="709"/>
        <w:jc w:val="both"/>
        <w:rPr>
          <w:rFonts w:ascii="Verdana" w:eastAsia="Century Gothic" w:hAnsi="Verdana" w:cs="Century Gothic"/>
          <w:i/>
          <w:iCs/>
          <w:sz w:val="20"/>
          <w:szCs w:val="20"/>
        </w:rPr>
      </w:pPr>
      <w:r>
        <w:rPr>
          <w:rFonts w:ascii="Verdana" w:eastAsia="Century Gothic" w:hAnsi="Verdana" w:cs="Century Gothic"/>
          <w:i/>
          <w:iCs/>
          <w:sz w:val="20"/>
          <w:szCs w:val="20"/>
        </w:rPr>
        <w:t xml:space="preserve">De manera particular, ¿ese deber de planeación resulta igualmente exigible cuando la Entidad Estatal pretende celebrar un convenio de asociación con un Cuerpo de Bomberos Voluntarios, cuyo objeto sea aunar esfuerzos para la prestación y fortalecimiento de un servicio público esencial, y dentro del presupuesto se contemplen recursos para gastos de </w:t>
      </w:r>
    </w:p>
    <w:p w14:paraId="3E6612AB" w14:textId="77777777" w:rsidR="0055252E" w:rsidRDefault="0055252E" w:rsidP="0055252E">
      <w:pPr>
        <w:spacing w:after="0" w:line="240" w:lineRule="auto"/>
        <w:ind w:left="709" w:right="709"/>
        <w:jc w:val="both"/>
        <w:rPr>
          <w:rFonts w:ascii="Verdana" w:eastAsia="Century Gothic" w:hAnsi="Verdana" w:cs="Century Gothic"/>
          <w:i/>
          <w:iCs/>
          <w:sz w:val="20"/>
          <w:szCs w:val="20"/>
        </w:rPr>
      </w:pPr>
      <w:r>
        <w:rPr>
          <w:rFonts w:ascii="Verdana" w:eastAsia="Century Gothic" w:hAnsi="Verdana" w:cs="Century Gothic"/>
          <w:i/>
          <w:iCs/>
          <w:sz w:val="20"/>
          <w:szCs w:val="20"/>
        </w:rPr>
        <w:t>funcionamiento y para la adquisición de bienes y dotaciones necesarios para fortalecer su capacidad operativa?</w:t>
      </w:r>
    </w:p>
    <w:p w14:paraId="6CE6FE57" w14:textId="77777777" w:rsidR="0055252E" w:rsidRDefault="0055252E" w:rsidP="0055252E">
      <w:pPr>
        <w:spacing w:after="0" w:line="240" w:lineRule="auto"/>
        <w:ind w:left="709" w:right="709"/>
        <w:jc w:val="both"/>
        <w:rPr>
          <w:rFonts w:ascii="Verdana" w:eastAsia="Century Gothic" w:hAnsi="Verdana" w:cs="Century Gothic"/>
          <w:i/>
          <w:iCs/>
          <w:sz w:val="20"/>
          <w:szCs w:val="20"/>
        </w:rPr>
      </w:pPr>
    </w:p>
    <w:p w14:paraId="74B82FBC" w14:textId="77777777" w:rsidR="0055252E" w:rsidRDefault="0055252E" w:rsidP="0055252E">
      <w:pPr>
        <w:spacing w:after="0" w:line="240" w:lineRule="auto"/>
        <w:ind w:left="709" w:right="709"/>
        <w:jc w:val="both"/>
        <w:rPr>
          <w:rFonts w:ascii="Verdana" w:eastAsia="Century Gothic" w:hAnsi="Verdana" w:cs="Century Gothic"/>
          <w:i/>
          <w:iCs/>
          <w:sz w:val="20"/>
          <w:szCs w:val="20"/>
        </w:rPr>
      </w:pPr>
      <w:r>
        <w:rPr>
          <w:rFonts w:ascii="Verdana" w:eastAsia="Century Gothic" w:hAnsi="Verdana" w:cs="Century Gothic"/>
          <w:i/>
          <w:iCs/>
          <w:sz w:val="20"/>
          <w:szCs w:val="20"/>
        </w:rPr>
        <w:t>Finalmente, ¿puede considerarse que, en este tipo de contratación, la Entidad Estatal cumple adecuadamente con el principio de planeación mediante la simple determinación de montos globales de recursos destinados al funcionamiento y/o inversión, dejando para la etapa de ejecución la identificación de los bienes, servicios, cantidades, especificaciones y valores que serán adquiridos por el Cuerpo de Bomberos, o, por el contrario, el principio de planeación exige que tales aspectos sean previamente identificados, justificados y determinados por la Entidad en los estudios y documentos que soportan la contratación?</w:t>
      </w:r>
    </w:p>
    <w:p w14:paraId="590C414C" w14:textId="77777777" w:rsidR="0055252E" w:rsidRDefault="0055252E" w:rsidP="0055252E">
      <w:pPr>
        <w:spacing w:after="0" w:line="240" w:lineRule="auto"/>
        <w:ind w:left="709" w:right="709"/>
        <w:jc w:val="both"/>
        <w:rPr>
          <w:rFonts w:ascii="Verdana" w:eastAsia="Century Gothic" w:hAnsi="Verdana" w:cs="Century Gothic"/>
          <w:i/>
          <w:iCs/>
          <w:sz w:val="20"/>
          <w:szCs w:val="20"/>
          <w:highlight w:val="yellow"/>
        </w:rPr>
      </w:pPr>
    </w:p>
    <w:p w14:paraId="4631E025" w14:textId="77777777" w:rsidR="0055252E" w:rsidRDefault="0055252E" w:rsidP="0055252E">
      <w:pPr>
        <w:spacing w:after="0" w:line="240" w:lineRule="auto"/>
        <w:ind w:left="709" w:right="709"/>
        <w:jc w:val="both"/>
        <w:rPr>
          <w:rFonts w:ascii="Verdana" w:eastAsia="Century Gothic" w:hAnsi="Verdana" w:cs="Century Gothic"/>
          <w:i/>
          <w:iCs/>
          <w:sz w:val="20"/>
          <w:szCs w:val="20"/>
        </w:rPr>
      </w:pPr>
      <w:r>
        <w:rPr>
          <w:rFonts w:ascii="Verdana" w:eastAsia="Century Gothic" w:hAnsi="Verdana" w:cs="Century Gothic"/>
          <w:i/>
          <w:iCs/>
          <w:sz w:val="20"/>
          <w:szCs w:val="20"/>
        </w:rPr>
        <w:t>TERCERO. – Sobre la inclusión de gastos de funcionamiento e inversión dentro del mismo instrumento contractual.</w:t>
      </w:r>
    </w:p>
    <w:p w14:paraId="0270B5A0" w14:textId="77777777" w:rsidR="0055252E" w:rsidRDefault="0055252E" w:rsidP="0055252E">
      <w:pPr>
        <w:spacing w:after="0" w:line="240" w:lineRule="auto"/>
        <w:ind w:left="709" w:right="709"/>
        <w:jc w:val="both"/>
        <w:rPr>
          <w:rFonts w:ascii="Verdana" w:eastAsia="Century Gothic" w:hAnsi="Verdana" w:cs="Century Gothic"/>
          <w:i/>
          <w:iCs/>
          <w:sz w:val="20"/>
          <w:szCs w:val="20"/>
        </w:rPr>
      </w:pPr>
    </w:p>
    <w:p w14:paraId="38F467DC" w14:textId="77777777" w:rsidR="0055252E" w:rsidRDefault="0055252E" w:rsidP="0055252E">
      <w:pPr>
        <w:spacing w:after="0" w:line="240" w:lineRule="auto"/>
        <w:ind w:left="709" w:right="709"/>
        <w:jc w:val="both"/>
        <w:rPr>
          <w:rFonts w:ascii="Verdana" w:eastAsia="Century Gothic" w:hAnsi="Verdana" w:cs="Century Gothic"/>
          <w:i/>
          <w:iCs/>
          <w:sz w:val="20"/>
          <w:szCs w:val="20"/>
        </w:rPr>
      </w:pPr>
      <w:r>
        <w:rPr>
          <w:rFonts w:ascii="Verdana" w:eastAsia="Century Gothic" w:hAnsi="Verdana" w:cs="Century Gothic"/>
          <w:i/>
          <w:iCs/>
          <w:sz w:val="20"/>
          <w:szCs w:val="20"/>
        </w:rPr>
        <w:t>En el evento en que resulte jurídicamente procedente celebrar un contrato o convenio para aunar esfuerzos para la prestación y fortalecimiento del servicio público esencial bomberil, ¿es jurídicamente posible que dentro del mismo instrumento se incorporen dos componentes presupuestales diferenciados:</w:t>
      </w:r>
    </w:p>
    <w:p w14:paraId="13412743" w14:textId="77777777" w:rsidR="0055252E" w:rsidRDefault="0055252E" w:rsidP="0055252E">
      <w:pPr>
        <w:spacing w:after="0" w:line="240" w:lineRule="auto"/>
        <w:ind w:left="709" w:right="709"/>
        <w:jc w:val="both"/>
        <w:rPr>
          <w:rFonts w:ascii="Verdana" w:eastAsia="Century Gothic" w:hAnsi="Verdana" w:cs="Century Gothic"/>
          <w:i/>
          <w:iCs/>
          <w:sz w:val="20"/>
          <w:szCs w:val="20"/>
        </w:rPr>
      </w:pPr>
    </w:p>
    <w:p w14:paraId="458BF2A2" w14:textId="77777777" w:rsidR="0055252E" w:rsidRDefault="0055252E" w:rsidP="0055252E">
      <w:pPr>
        <w:spacing w:after="0" w:line="240" w:lineRule="auto"/>
        <w:ind w:left="709" w:right="709"/>
        <w:jc w:val="both"/>
        <w:rPr>
          <w:rFonts w:ascii="Verdana" w:eastAsia="Century Gothic" w:hAnsi="Verdana" w:cs="Century Gothic"/>
          <w:i/>
          <w:iCs/>
          <w:sz w:val="20"/>
          <w:szCs w:val="20"/>
        </w:rPr>
      </w:pPr>
      <w:r>
        <w:rPr>
          <w:rFonts w:ascii="Verdana" w:eastAsia="Century Gothic" w:hAnsi="Verdana" w:cs="Century Gothic"/>
          <w:i/>
          <w:iCs/>
          <w:sz w:val="20"/>
          <w:szCs w:val="20"/>
        </w:rPr>
        <w:t xml:space="preserve">1. Un componente de funcionamiento, destinado a atender gastos como arrendamiento de sede, telefonía, combustible, papelería y aseo, impuestos, contabilidad y revisoría fiscal, seguros y demás gastos necesarios para la operación; y </w:t>
      </w:r>
    </w:p>
    <w:p w14:paraId="24E7FAA8" w14:textId="77777777" w:rsidR="0055252E" w:rsidRDefault="0055252E" w:rsidP="0055252E">
      <w:pPr>
        <w:spacing w:after="0" w:line="240" w:lineRule="auto"/>
        <w:ind w:left="709" w:right="709"/>
        <w:jc w:val="both"/>
        <w:rPr>
          <w:rFonts w:ascii="Verdana" w:eastAsia="Century Gothic" w:hAnsi="Verdana" w:cs="Century Gothic"/>
          <w:i/>
          <w:iCs/>
          <w:sz w:val="20"/>
          <w:szCs w:val="20"/>
        </w:rPr>
      </w:pPr>
    </w:p>
    <w:p w14:paraId="7287D5A5" w14:textId="77777777" w:rsidR="0055252E" w:rsidRDefault="0055252E" w:rsidP="0055252E">
      <w:pPr>
        <w:spacing w:after="0" w:line="240" w:lineRule="auto"/>
        <w:ind w:left="709" w:right="709"/>
        <w:jc w:val="both"/>
        <w:rPr>
          <w:rFonts w:ascii="Verdana" w:eastAsia="Century Gothic" w:hAnsi="Verdana" w:cs="Century Gothic"/>
          <w:i/>
          <w:iCs/>
          <w:sz w:val="20"/>
          <w:szCs w:val="20"/>
        </w:rPr>
      </w:pPr>
      <w:r>
        <w:rPr>
          <w:rFonts w:ascii="Verdana" w:eastAsia="Century Gothic" w:hAnsi="Verdana" w:cs="Century Gothic"/>
          <w:i/>
          <w:iCs/>
          <w:sz w:val="20"/>
          <w:szCs w:val="20"/>
        </w:rPr>
        <w:t>2. Un componente de inversión, destinado a la adquisición de herramientas, uniformes, trajes estructurales, botas, cascos, mangueras, motobombas, botiquines, escaleras dieléctricas, motosierras, bombas de espalda, pinzas para animales, tanques para almacenamiento de agua, barras Halligan, extintores y demás elementos necesarios para fortalecer la capacidad operativa del Cuerpo de Bomberos?</w:t>
      </w:r>
    </w:p>
    <w:p w14:paraId="601C1A3E" w14:textId="77777777" w:rsidR="0055252E" w:rsidRDefault="0055252E" w:rsidP="0055252E">
      <w:pPr>
        <w:spacing w:after="0" w:line="240" w:lineRule="auto"/>
        <w:ind w:left="709" w:right="709"/>
        <w:jc w:val="both"/>
        <w:rPr>
          <w:rFonts w:ascii="Verdana" w:eastAsia="Century Gothic" w:hAnsi="Verdana" w:cs="Century Gothic"/>
          <w:i/>
          <w:iCs/>
          <w:sz w:val="20"/>
          <w:szCs w:val="20"/>
          <w:highlight w:val="yellow"/>
        </w:rPr>
      </w:pPr>
    </w:p>
    <w:p w14:paraId="3127ADBE" w14:textId="77777777" w:rsidR="0055252E" w:rsidRDefault="0055252E" w:rsidP="0055252E">
      <w:pPr>
        <w:spacing w:after="0" w:line="240" w:lineRule="auto"/>
        <w:ind w:left="709" w:right="709"/>
        <w:jc w:val="both"/>
        <w:rPr>
          <w:rFonts w:ascii="Verdana" w:eastAsia="Century Gothic" w:hAnsi="Verdana" w:cs="Century Gothic"/>
          <w:i/>
          <w:iCs/>
          <w:sz w:val="20"/>
          <w:szCs w:val="20"/>
        </w:rPr>
      </w:pPr>
      <w:r>
        <w:rPr>
          <w:rFonts w:ascii="Verdana" w:eastAsia="Century Gothic" w:hAnsi="Verdana" w:cs="Century Gothic"/>
          <w:i/>
          <w:iCs/>
          <w:sz w:val="20"/>
          <w:szCs w:val="20"/>
        </w:rPr>
        <w:t>CUARTO. – Sobre el nivel de planeación y detalle del presupuesto contractual.</w:t>
      </w:r>
    </w:p>
    <w:p w14:paraId="5A41171B" w14:textId="77777777" w:rsidR="0055252E" w:rsidRDefault="0055252E" w:rsidP="0055252E">
      <w:pPr>
        <w:spacing w:after="0" w:line="240" w:lineRule="auto"/>
        <w:ind w:left="709" w:right="709"/>
        <w:jc w:val="both"/>
        <w:rPr>
          <w:rFonts w:ascii="Verdana" w:eastAsia="Century Gothic" w:hAnsi="Verdana" w:cs="Century Gothic"/>
          <w:i/>
          <w:iCs/>
          <w:sz w:val="20"/>
          <w:szCs w:val="20"/>
        </w:rPr>
      </w:pPr>
    </w:p>
    <w:p w14:paraId="0E2052C9" w14:textId="77777777" w:rsidR="0055252E" w:rsidRDefault="0055252E" w:rsidP="0055252E">
      <w:pPr>
        <w:spacing w:after="0" w:line="240" w:lineRule="auto"/>
        <w:ind w:left="709" w:right="709"/>
        <w:jc w:val="both"/>
        <w:rPr>
          <w:rFonts w:ascii="Verdana" w:eastAsia="Century Gothic" w:hAnsi="Verdana" w:cs="Century Gothic"/>
          <w:i/>
          <w:iCs/>
          <w:sz w:val="20"/>
          <w:szCs w:val="20"/>
        </w:rPr>
      </w:pPr>
      <w:r>
        <w:rPr>
          <w:rFonts w:ascii="Verdana" w:eastAsia="Century Gothic" w:hAnsi="Verdana" w:cs="Century Gothic"/>
          <w:i/>
          <w:iCs/>
          <w:sz w:val="20"/>
          <w:szCs w:val="20"/>
        </w:rPr>
        <w:lastRenderedPageBreak/>
        <w:t>En aplicación del principio de planeación y de lo dispuesto en el artículo 2.2.1.1.2.1.1 del Decreto 1082 de 2015, ¿puede y debe la Entidad Estatal establecer en los estudios y documentos previos, y posteriormente en el contrato o convenio, el detalle de los bienes y servicios requeridos, incluyendo especificaciones técnicas, cantidades, precios unitarios y valores, cuando dichos bienes y servicios serán financiados con recursos públicos destinados a la prestación y fortalecimiento del servicio bomberil?</w:t>
      </w:r>
    </w:p>
    <w:p w14:paraId="091492AF" w14:textId="77777777" w:rsidR="0055252E" w:rsidRDefault="0055252E" w:rsidP="0055252E">
      <w:pPr>
        <w:spacing w:after="0" w:line="240" w:lineRule="auto"/>
        <w:ind w:left="709" w:right="709"/>
        <w:jc w:val="both"/>
        <w:rPr>
          <w:rFonts w:ascii="Verdana" w:eastAsia="Century Gothic" w:hAnsi="Verdana" w:cs="Century Gothic"/>
          <w:i/>
          <w:iCs/>
          <w:sz w:val="20"/>
          <w:szCs w:val="20"/>
        </w:rPr>
      </w:pPr>
    </w:p>
    <w:p w14:paraId="754BF6BF" w14:textId="77777777" w:rsidR="0055252E" w:rsidRDefault="0055252E" w:rsidP="0055252E">
      <w:pPr>
        <w:spacing w:after="0" w:line="240" w:lineRule="auto"/>
        <w:ind w:left="709" w:right="709"/>
        <w:jc w:val="both"/>
        <w:rPr>
          <w:rFonts w:ascii="Verdana" w:eastAsia="Century Gothic" w:hAnsi="Verdana" w:cs="Century Gothic"/>
          <w:i/>
          <w:iCs/>
          <w:sz w:val="20"/>
          <w:szCs w:val="20"/>
        </w:rPr>
      </w:pPr>
      <w:r>
        <w:rPr>
          <w:rFonts w:ascii="Verdana" w:eastAsia="Century Gothic" w:hAnsi="Verdana" w:cs="Century Gothic"/>
          <w:i/>
          <w:iCs/>
          <w:sz w:val="20"/>
          <w:szCs w:val="20"/>
        </w:rPr>
        <w:t>Lo anterior, incluso cuando la adquisición material de los bienes sea realizada directamente por el Cuerpo de Bomberos Voluntarios durante la ejecución del contrato o convenio.</w:t>
      </w:r>
    </w:p>
    <w:p w14:paraId="7E45FFE9" w14:textId="77777777" w:rsidR="0055252E" w:rsidRDefault="0055252E" w:rsidP="0055252E">
      <w:pPr>
        <w:spacing w:after="0" w:line="240" w:lineRule="auto"/>
        <w:ind w:left="709" w:right="709"/>
        <w:jc w:val="both"/>
        <w:rPr>
          <w:rFonts w:ascii="Verdana" w:eastAsia="Century Gothic" w:hAnsi="Verdana" w:cs="Century Gothic"/>
          <w:i/>
          <w:iCs/>
          <w:sz w:val="20"/>
          <w:szCs w:val="20"/>
          <w:highlight w:val="yellow"/>
        </w:rPr>
      </w:pPr>
    </w:p>
    <w:p w14:paraId="5E7777AB" w14:textId="77777777" w:rsidR="0055252E" w:rsidRDefault="0055252E" w:rsidP="0055252E">
      <w:pPr>
        <w:spacing w:after="0" w:line="240" w:lineRule="auto"/>
        <w:ind w:left="709" w:right="709"/>
        <w:jc w:val="both"/>
        <w:rPr>
          <w:rFonts w:ascii="Verdana" w:eastAsia="Century Gothic" w:hAnsi="Verdana" w:cs="Century Gothic"/>
          <w:i/>
          <w:iCs/>
          <w:sz w:val="20"/>
          <w:szCs w:val="20"/>
        </w:rPr>
      </w:pPr>
      <w:r>
        <w:rPr>
          <w:rFonts w:ascii="Verdana" w:eastAsia="Century Gothic" w:hAnsi="Verdana" w:cs="Century Gothic"/>
          <w:i/>
          <w:iCs/>
          <w:sz w:val="20"/>
          <w:szCs w:val="20"/>
        </w:rPr>
        <w:t>QUINTO. – Sobre la diferencia entre la prestación del servicio y el fortalecimiento de la capacidad operativa del Cuerpo de Bomberos.</w:t>
      </w:r>
    </w:p>
    <w:p w14:paraId="2836B5DC" w14:textId="77777777" w:rsidR="0055252E" w:rsidRDefault="0055252E" w:rsidP="0055252E">
      <w:pPr>
        <w:spacing w:after="0" w:line="240" w:lineRule="auto"/>
        <w:ind w:left="709" w:right="709"/>
        <w:jc w:val="both"/>
        <w:rPr>
          <w:rFonts w:ascii="Verdana" w:eastAsia="Century Gothic" w:hAnsi="Verdana" w:cs="Century Gothic"/>
          <w:i/>
          <w:iCs/>
          <w:sz w:val="20"/>
          <w:szCs w:val="20"/>
          <w:highlight w:val="yellow"/>
        </w:rPr>
      </w:pPr>
    </w:p>
    <w:p w14:paraId="55EB917C" w14:textId="77777777" w:rsidR="0055252E" w:rsidRDefault="0055252E" w:rsidP="0055252E">
      <w:pPr>
        <w:spacing w:after="0" w:line="240" w:lineRule="auto"/>
        <w:ind w:left="709" w:right="709"/>
        <w:jc w:val="both"/>
        <w:rPr>
          <w:rFonts w:ascii="Verdana" w:eastAsia="Century Gothic" w:hAnsi="Verdana" w:cs="Century Gothic"/>
          <w:i/>
          <w:iCs/>
          <w:sz w:val="20"/>
          <w:szCs w:val="20"/>
        </w:rPr>
      </w:pPr>
      <w:r>
        <w:rPr>
          <w:rFonts w:ascii="Verdana" w:eastAsia="Century Gothic" w:hAnsi="Verdana" w:cs="Century Gothic"/>
          <w:i/>
          <w:iCs/>
          <w:sz w:val="20"/>
          <w:szCs w:val="20"/>
        </w:rPr>
        <w:t xml:space="preserve">Teniendo en cuenta que el Cuerpo de Bomberos Voluntarios existente en Puerto Parra, aunque se encuentra legalmente constituido, no cuenta actualmente con carro tanque para la atención de incendios, no dispone de sede propia, no cuenta con herramientas suficientes y presenta limitaciones en su capacidad y fortaleza operativa, ¿resulta jurídicamente posible estructurar un contrato o convenio cuyo objeto no se limite a remunerar la prestación del servicio bomberil, sino que tenga como finalidad aunar esfuerzos para fortalecer las capacidades institucionales, </w:t>
      </w:r>
    </w:p>
    <w:p w14:paraId="493936B6" w14:textId="77777777" w:rsidR="0055252E" w:rsidRDefault="0055252E" w:rsidP="0055252E">
      <w:pPr>
        <w:spacing w:after="0" w:line="240" w:lineRule="auto"/>
        <w:ind w:left="709" w:right="709"/>
        <w:jc w:val="both"/>
        <w:rPr>
          <w:rFonts w:ascii="Verdana" w:eastAsia="Century Gothic" w:hAnsi="Verdana" w:cs="Century Gothic"/>
          <w:i/>
          <w:iCs/>
          <w:sz w:val="20"/>
          <w:szCs w:val="20"/>
        </w:rPr>
      </w:pPr>
      <w:r>
        <w:rPr>
          <w:rFonts w:ascii="Verdana" w:eastAsia="Century Gothic" w:hAnsi="Verdana" w:cs="Century Gothic"/>
          <w:i/>
          <w:iCs/>
          <w:sz w:val="20"/>
          <w:szCs w:val="20"/>
        </w:rPr>
        <w:t>operativas, logísticas y técnicas necesarias para garantizar la adecuada prestación del servicio público esencial?</w:t>
      </w:r>
    </w:p>
    <w:p w14:paraId="32F4B6D7" w14:textId="77777777" w:rsidR="0055252E" w:rsidRDefault="0055252E" w:rsidP="0055252E">
      <w:pPr>
        <w:spacing w:after="0" w:line="240" w:lineRule="auto"/>
        <w:ind w:left="709" w:right="709"/>
        <w:jc w:val="both"/>
        <w:rPr>
          <w:rFonts w:ascii="Verdana" w:eastAsia="Century Gothic" w:hAnsi="Verdana" w:cs="Century Gothic"/>
          <w:i/>
          <w:iCs/>
          <w:sz w:val="20"/>
          <w:szCs w:val="20"/>
        </w:rPr>
      </w:pPr>
    </w:p>
    <w:p w14:paraId="71171DF6" w14:textId="77777777" w:rsidR="0055252E" w:rsidRDefault="0055252E" w:rsidP="0055252E">
      <w:pPr>
        <w:spacing w:after="0" w:line="240" w:lineRule="auto"/>
        <w:ind w:left="709" w:right="709"/>
        <w:jc w:val="both"/>
        <w:rPr>
          <w:rFonts w:ascii="Verdana" w:eastAsia="Century Gothic" w:hAnsi="Verdana" w:cs="Century Gothic"/>
          <w:i/>
          <w:iCs/>
          <w:sz w:val="20"/>
          <w:szCs w:val="20"/>
        </w:rPr>
      </w:pPr>
      <w:r>
        <w:rPr>
          <w:rFonts w:ascii="Verdana" w:eastAsia="Century Gothic" w:hAnsi="Verdana" w:cs="Century Gothic"/>
          <w:i/>
          <w:iCs/>
          <w:sz w:val="20"/>
          <w:szCs w:val="20"/>
        </w:rPr>
        <w:t>Lo anterior, considerando que el Municipio entiende que, si se tratara exclusivamente de un contrato para la prestación del servicio, podría razonablemente exigirse que el contratista contara previamente con la infraestructura, equipos, herramientas, vehículos y demás capacidades necesarias para demostrar su idoneidad y ejecutar integralmente el objeto contractual.</w:t>
      </w:r>
    </w:p>
    <w:p w14:paraId="1EE547A0" w14:textId="77777777" w:rsidR="0055252E" w:rsidRDefault="0055252E" w:rsidP="0055252E">
      <w:pPr>
        <w:spacing w:after="0" w:line="240" w:lineRule="auto"/>
        <w:ind w:left="709" w:right="709"/>
        <w:jc w:val="both"/>
        <w:rPr>
          <w:rFonts w:ascii="Verdana" w:eastAsia="Century Gothic" w:hAnsi="Verdana" w:cs="Century Gothic"/>
          <w:i/>
          <w:iCs/>
          <w:sz w:val="20"/>
          <w:szCs w:val="20"/>
        </w:rPr>
      </w:pPr>
    </w:p>
    <w:p w14:paraId="5CF99645" w14:textId="77777777" w:rsidR="0055252E" w:rsidRDefault="0055252E" w:rsidP="0055252E">
      <w:pPr>
        <w:spacing w:after="0" w:line="240" w:lineRule="auto"/>
        <w:ind w:left="709" w:right="709"/>
        <w:jc w:val="both"/>
        <w:rPr>
          <w:rFonts w:ascii="Verdana" w:eastAsia="Century Gothic" w:hAnsi="Verdana" w:cs="Century Gothic"/>
          <w:i/>
          <w:iCs/>
          <w:sz w:val="20"/>
          <w:szCs w:val="20"/>
        </w:rPr>
      </w:pPr>
      <w:r>
        <w:rPr>
          <w:rFonts w:ascii="Verdana" w:eastAsia="Century Gothic" w:hAnsi="Verdana" w:cs="Century Gothic"/>
          <w:i/>
          <w:iCs/>
          <w:sz w:val="20"/>
          <w:szCs w:val="20"/>
        </w:rPr>
        <w:t>Por el contrario, en el caso particular del Municipio de Puerto Parra, la necesidad identificada consiste precisamente en fortalecer al único Cuerpo de Bomberos existente en la jurisdicción, para que pueda contar con las condiciones materiales y operativas necesarias para garantizar adecuadamente la prestación del servicio.</w:t>
      </w:r>
    </w:p>
    <w:p w14:paraId="6E06CA67" w14:textId="77777777" w:rsidR="0055252E" w:rsidRDefault="0055252E" w:rsidP="0055252E">
      <w:pPr>
        <w:spacing w:after="0" w:line="240" w:lineRule="auto"/>
        <w:ind w:right="709"/>
        <w:jc w:val="both"/>
        <w:rPr>
          <w:rFonts w:ascii="Verdana" w:eastAsia="Century Gothic" w:hAnsi="Verdana" w:cs="Century Gothic"/>
          <w:i/>
          <w:iCs/>
          <w:sz w:val="20"/>
          <w:szCs w:val="20"/>
          <w:highlight w:val="yellow"/>
        </w:rPr>
      </w:pPr>
    </w:p>
    <w:p w14:paraId="158FBC7E" w14:textId="77777777" w:rsidR="0055252E" w:rsidRDefault="0055252E" w:rsidP="0055252E">
      <w:pPr>
        <w:spacing w:after="0" w:line="240" w:lineRule="auto"/>
        <w:ind w:left="709" w:right="709"/>
        <w:jc w:val="both"/>
        <w:rPr>
          <w:rFonts w:ascii="Verdana" w:eastAsia="Century Gothic" w:hAnsi="Verdana" w:cs="Century Gothic"/>
          <w:i/>
          <w:iCs/>
          <w:sz w:val="20"/>
          <w:szCs w:val="20"/>
        </w:rPr>
      </w:pPr>
      <w:r>
        <w:rPr>
          <w:rFonts w:ascii="Verdana" w:eastAsia="Century Gothic" w:hAnsi="Verdana" w:cs="Century Gothic"/>
          <w:i/>
          <w:iCs/>
          <w:sz w:val="20"/>
          <w:szCs w:val="20"/>
        </w:rPr>
        <w:t>SEXTO. – Sobre el argumento de la “coadministración”.</w:t>
      </w:r>
    </w:p>
    <w:p w14:paraId="463EF6FA" w14:textId="77777777" w:rsidR="0055252E" w:rsidRDefault="0055252E" w:rsidP="0055252E">
      <w:pPr>
        <w:spacing w:after="0" w:line="240" w:lineRule="auto"/>
        <w:ind w:left="709" w:right="709"/>
        <w:jc w:val="both"/>
        <w:rPr>
          <w:rFonts w:ascii="Verdana" w:eastAsia="Century Gothic" w:hAnsi="Verdana" w:cs="Century Gothic"/>
          <w:i/>
          <w:iCs/>
          <w:sz w:val="20"/>
          <w:szCs w:val="20"/>
        </w:rPr>
      </w:pPr>
    </w:p>
    <w:p w14:paraId="7895C06A" w14:textId="77777777" w:rsidR="0055252E" w:rsidRDefault="0055252E" w:rsidP="0055252E">
      <w:pPr>
        <w:spacing w:after="0" w:line="240" w:lineRule="auto"/>
        <w:ind w:left="709" w:right="709"/>
        <w:jc w:val="both"/>
        <w:rPr>
          <w:rFonts w:ascii="Verdana" w:eastAsia="Century Gothic" w:hAnsi="Verdana" w:cs="Century Gothic"/>
          <w:i/>
          <w:iCs/>
          <w:sz w:val="20"/>
          <w:szCs w:val="20"/>
        </w:rPr>
      </w:pPr>
      <w:r>
        <w:rPr>
          <w:rFonts w:ascii="Verdana" w:eastAsia="Century Gothic" w:hAnsi="Verdana" w:cs="Century Gothic"/>
          <w:i/>
          <w:iCs/>
          <w:sz w:val="20"/>
          <w:szCs w:val="20"/>
        </w:rPr>
        <w:t xml:space="preserve">¿El hecho de que el Municipio determine contractualmente la destinación de los recursos públicos, las actividades que deben ejecutarse, los bienes y servicios que pueden adquirirse, sus cantidades, especificaciones y valores constituye una forma de coadministración del Cuerpo de Bomberos, o, por el contrario, corresponde al ejercicio legítimo de las </w:t>
      </w:r>
      <w:r>
        <w:rPr>
          <w:rFonts w:ascii="Verdana" w:eastAsia="Century Gothic" w:hAnsi="Verdana" w:cs="Century Gothic"/>
          <w:i/>
          <w:iCs/>
          <w:sz w:val="20"/>
          <w:szCs w:val="20"/>
        </w:rPr>
        <w:lastRenderedPageBreak/>
        <w:t>competencias de planeación, vigilancia, seguimiento y control que tiene la Entidad Estatal sobre la ejecución de recursos públicos?</w:t>
      </w:r>
    </w:p>
    <w:p w14:paraId="24039C6B" w14:textId="77777777" w:rsidR="0055252E" w:rsidRDefault="0055252E" w:rsidP="0055252E">
      <w:pPr>
        <w:spacing w:after="0" w:line="240" w:lineRule="auto"/>
        <w:ind w:left="709" w:right="709"/>
        <w:jc w:val="both"/>
        <w:rPr>
          <w:rFonts w:ascii="Verdana" w:eastAsia="Century Gothic" w:hAnsi="Verdana" w:cs="Century Gothic"/>
          <w:i/>
          <w:iCs/>
          <w:sz w:val="20"/>
          <w:szCs w:val="20"/>
        </w:rPr>
      </w:pPr>
    </w:p>
    <w:p w14:paraId="39947CBA" w14:textId="77777777" w:rsidR="0055252E" w:rsidRDefault="0055252E" w:rsidP="0055252E">
      <w:pPr>
        <w:spacing w:after="0" w:line="240" w:lineRule="auto"/>
        <w:ind w:left="709" w:right="709"/>
        <w:jc w:val="both"/>
        <w:rPr>
          <w:rFonts w:ascii="Verdana" w:eastAsia="Century Gothic" w:hAnsi="Verdana" w:cs="Century Gothic"/>
          <w:i/>
          <w:iCs/>
          <w:sz w:val="20"/>
          <w:szCs w:val="20"/>
        </w:rPr>
      </w:pPr>
      <w:r>
        <w:rPr>
          <w:rFonts w:ascii="Verdana" w:eastAsia="Century Gothic" w:hAnsi="Verdana" w:cs="Century Gothic"/>
          <w:i/>
          <w:iCs/>
          <w:sz w:val="20"/>
          <w:szCs w:val="20"/>
        </w:rPr>
        <w:t>En particular, ¿puede el Cuerpo de Bomberos exigir que el Municipio se limite a transferir una suma global de recursos, sin establecer contractualmente su destinación específica, bajo el argumento de que corresponde exclusivamente al Cuerpo de Bomberos determinar durante la ejecución la forma en que serán utilizados los recursos?</w:t>
      </w:r>
    </w:p>
    <w:p w14:paraId="1081CCD5" w14:textId="77777777" w:rsidR="0055252E" w:rsidRDefault="0055252E" w:rsidP="0055252E">
      <w:pPr>
        <w:spacing w:after="0" w:line="240" w:lineRule="auto"/>
        <w:ind w:right="709"/>
        <w:jc w:val="both"/>
        <w:rPr>
          <w:rFonts w:ascii="Verdana" w:eastAsia="Century Gothic" w:hAnsi="Verdana" w:cs="Century Gothic"/>
          <w:i/>
          <w:iCs/>
          <w:sz w:val="20"/>
          <w:szCs w:val="20"/>
          <w:highlight w:val="yellow"/>
        </w:rPr>
      </w:pPr>
    </w:p>
    <w:p w14:paraId="5E9BB203" w14:textId="77777777" w:rsidR="0055252E" w:rsidRDefault="0055252E" w:rsidP="0055252E">
      <w:pPr>
        <w:spacing w:after="0" w:line="240" w:lineRule="auto"/>
        <w:ind w:left="709" w:right="709"/>
        <w:jc w:val="both"/>
        <w:rPr>
          <w:rFonts w:ascii="Verdana" w:eastAsia="Century Gothic" w:hAnsi="Verdana" w:cs="Century Gothic"/>
          <w:i/>
          <w:iCs/>
          <w:sz w:val="20"/>
          <w:szCs w:val="20"/>
        </w:rPr>
      </w:pPr>
      <w:r>
        <w:rPr>
          <w:rFonts w:ascii="Verdana" w:eastAsia="Century Gothic" w:hAnsi="Verdana" w:cs="Century Gothic"/>
          <w:i/>
          <w:iCs/>
          <w:sz w:val="20"/>
          <w:szCs w:val="20"/>
        </w:rPr>
        <w:t>SÉPTIMO. Sobre el argumento de la “coadministración”.</w:t>
      </w:r>
    </w:p>
    <w:p w14:paraId="1609047E" w14:textId="77777777" w:rsidR="0055252E" w:rsidRDefault="0055252E" w:rsidP="0055252E">
      <w:pPr>
        <w:spacing w:after="0" w:line="240" w:lineRule="auto"/>
        <w:ind w:left="709" w:right="709"/>
        <w:jc w:val="both"/>
        <w:rPr>
          <w:rFonts w:ascii="Verdana" w:eastAsia="Century Gothic" w:hAnsi="Verdana" w:cs="Century Gothic"/>
          <w:i/>
          <w:iCs/>
          <w:sz w:val="20"/>
          <w:szCs w:val="20"/>
        </w:rPr>
      </w:pPr>
    </w:p>
    <w:p w14:paraId="72FE22B9" w14:textId="77777777" w:rsidR="0055252E" w:rsidRDefault="0055252E" w:rsidP="0055252E">
      <w:pPr>
        <w:spacing w:after="0" w:line="240" w:lineRule="auto"/>
        <w:ind w:left="709" w:right="709"/>
        <w:jc w:val="both"/>
        <w:rPr>
          <w:rFonts w:ascii="Verdana" w:eastAsia="Century Gothic" w:hAnsi="Verdana" w:cs="Century Gothic"/>
          <w:i/>
          <w:iCs/>
          <w:sz w:val="20"/>
          <w:szCs w:val="20"/>
        </w:rPr>
      </w:pPr>
      <w:r>
        <w:rPr>
          <w:rFonts w:ascii="Verdana" w:eastAsia="Century Gothic" w:hAnsi="Verdana" w:cs="Century Gothic"/>
          <w:i/>
          <w:iCs/>
          <w:sz w:val="20"/>
          <w:szCs w:val="20"/>
        </w:rPr>
        <w:t>Frente al argumento del Cuerpo de Bomberos según el cual el Municipio no puede determinar o establecer en el contrato los gastos específicos que serán financiados con los recursos públicos, por considerar que ello constituye una forma de “coadministración”, ¿cuál es el alcance jurídicamente permitido a la Entidad Estatal para establecer, en los estudios previos, presupuesto, obligaciones contractuales, destinación de recursos, actividades, bienes, cantidades y valores, en aplicación de los principios de planeación, economía, responsabilidad, transparencia y adecuada ejecución del gasto público?</w:t>
      </w:r>
    </w:p>
    <w:p w14:paraId="1A8701F4" w14:textId="77777777" w:rsidR="0055252E" w:rsidRDefault="0055252E" w:rsidP="0055252E">
      <w:pPr>
        <w:spacing w:after="0" w:line="240" w:lineRule="auto"/>
        <w:ind w:left="709" w:right="709"/>
        <w:jc w:val="both"/>
        <w:rPr>
          <w:rFonts w:ascii="Verdana" w:eastAsia="Century Gothic" w:hAnsi="Verdana" w:cs="Century Gothic"/>
          <w:i/>
          <w:iCs/>
          <w:sz w:val="20"/>
          <w:szCs w:val="20"/>
          <w:highlight w:val="yellow"/>
        </w:rPr>
      </w:pPr>
    </w:p>
    <w:p w14:paraId="4862B319" w14:textId="77777777" w:rsidR="0055252E" w:rsidRDefault="0055252E" w:rsidP="0055252E">
      <w:pPr>
        <w:spacing w:after="0" w:line="240" w:lineRule="auto"/>
        <w:ind w:left="709" w:right="709"/>
        <w:jc w:val="both"/>
        <w:rPr>
          <w:rFonts w:ascii="Verdana" w:eastAsia="Century Gothic" w:hAnsi="Verdana" w:cs="Century Gothic"/>
          <w:i/>
          <w:iCs/>
          <w:sz w:val="20"/>
          <w:szCs w:val="20"/>
        </w:rPr>
      </w:pPr>
      <w:r>
        <w:rPr>
          <w:rFonts w:ascii="Verdana" w:eastAsia="Century Gothic" w:hAnsi="Verdana" w:cs="Century Gothic"/>
          <w:i/>
          <w:iCs/>
          <w:sz w:val="20"/>
          <w:szCs w:val="20"/>
        </w:rPr>
        <w:t>OCTAVO. – Sobre la modalidad de selección aplicable y la utilización del Decreto 092 de 2017.</w:t>
      </w:r>
    </w:p>
    <w:p w14:paraId="0D7DAE89" w14:textId="77777777" w:rsidR="0055252E" w:rsidRDefault="0055252E" w:rsidP="0055252E">
      <w:pPr>
        <w:spacing w:after="0" w:line="240" w:lineRule="auto"/>
        <w:ind w:left="709" w:right="709"/>
        <w:jc w:val="both"/>
        <w:rPr>
          <w:rFonts w:ascii="Verdana" w:eastAsia="Century Gothic" w:hAnsi="Verdana" w:cs="Century Gothic"/>
          <w:i/>
          <w:iCs/>
          <w:sz w:val="20"/>
          <w:szCs w:val="20"/>
        </w:rPr>
      </w:pPr>
    </w:p>
    <w:p w14:paraId="299D7930" w14:textId="77777777" w:rsidR="0055252E" w:rsidRDefault="0055252E" w:rsidP="0055252E">
      <w:pPr>
        <w:spacing w:after="0" w:line="240" w:lineRule="auto"/>
        <w:ind w:left="709" w:right="709"/>
        <w:jc w:val="both"/>
        <w:rPr>
          <w:rFonts w:ascii="Verdana" w:eastAsia="Century Gothic" w:hAnsi="Verdana" w:cs="Century Gothic"/>
          <w:i/>
          <w:iCs/>
          <w:sz w:val="20"/>
          <w:szCs w:val="20"/>
        </w:rPr>
      </w:pPr>
      <w:r>
        <w:rPr>
          <w:rFonts w:ascii="Verdana" w:eastAsia="Century Gothic" w:hAnsi="Verdana" w:cs="Century Gothic"/>
          <w:i/>
          <w:iCs/>
          <w:sz w:val="20"/>
          <w:szCs w:val="20"/>
        </w:rPr>
        <w:t>Teniendo en cuenta que el Cuerpo de Bomberos Voluntarios del Municipio de Puerto Parra es una entidad sin ánimo de lucro – ESAL, el Municipio ha venido estructurando la contratación para la prestación y fortalecimiento del servicio bomberil mediante la figura del convenio de asociación regulado por el Decreto 092 de 2017.</w:t>
      </w:r>
    </w:p>
    <w:p w14:paraId="193F01DA" w14:textId="77777777" w:rsidR="0055252E" w:rsidRDefault="0055252E" w:rsidP="0055252E">
      <w:pPr>
        <w:spacing w:after="0" w:line="240" w:lineRule="auto"/>
        <w:ind w:left="709" w:right="709"/>
        <w:jc w:val="both"/>
        <w:rPr>
          <w:rFonts w:ascii="Verdana" w:eastAsia="Century Gothic" w:hAnsi="Verdana" w:cs="Century Gothic"/>
          <w:i/>
          <w:iCs/>
          <w:sz w:val="20"/>
          <w:szCs w:val="20"/>
        </w:rPr>
      </w:pPr>
    </w:p>
    <w:p w14:paraId="2136D2C0" w14:textId="77777777" w:rsidR="0055252E" w:rsidRDefault="0055252E" w:rsidP="0055252E">
      <w:pPr>
        <w:spacing w:after="0" w:line="240" w:lineRule="auto"/>
        <w:ind w:left="709" w:right="709"/>
        <w:jc w:val="both"/>
        <w:rPr>
          <w:rFonts w:ascii="Verdana" w:eastAsia="Century Gothic" w:hAnsi="Verdana" w:cs="Century Gothic"/>
          <w:i/>
          <w:iCs/>
          <w:sz w:val="20"/>
          <w:szCs w:val="20"/>
        </w:rPr>
      </w:pPr>
      <w:r>
        <w:rPr>
          <w:rFonts w:ascii="Verdana" w:eastAsia="Century Gothic" w:hAnsi="Verdana" w:cs="Century Gothic"/>
          <w:i/>
          <w:iCs/>
          <w:sz w:val="20"/>
          <w:szCs w:val="20"/>
        </w:rPr>
        <w:t>En consideración a lo señalado por esa Agencia en el Concepto C-1139 de 2026, ¿debe entenderse que la utilización del Decreto 092 de 2017 y, particularmente, la figura del convenio de asociación continúa siendo jurídicamente procedente para estructurar la relación contractual entre el Municipio y el Cuerpo de Bomberos Voluntarios?</w:t>
      </w:r>
    </w:p>
    <w:p w14:paraId="4F3FDF53" w14:textId="77777777" w:rsidR="0055252E" w:rsidRDefault="0055252E" w:rsidP="0055252E">
      <w:pPr>
        <w:spacing w:after="0" w:line="240" w:lineRule="auto"/>
        <w:ind w:left="709" w:right="709"/>
        <w:jc w:val="both"/>
        <w:rPr>
          <w:rFonts w:ascii="Verdana" w:eastAsia="Century Gothic" w:hAnsi="Verdana" w:cs="Century Gothic"/>
          <w:i/>
          <w:iCs/>
          <w:sz w:val="20"/>
          <w:szCs w:val="20"/>
        </w:rPr>
      </w:pPr>
    </w:p>
    <w:p w14:paraId="6067493E" w14:textId="77777777" w:rsidR="0055252E" w:rsidRDefault="0055252E" w:rsidP="0055252E">
      <w:pPr>
        <w:spacing w:after="0" w:line="240" w:lineRule="auto"/>
        <w:ind w:left="709" w:right="709"/>
        <w:jc w:val="both"/>
        <w:rPr>
          <w:rFonts w:ascii="Verdana" w:eastAsia="Century Gothic" w:hAnsi="Verdana" w:cs="Century Gothic"/>
          <w:i/>
          <w:iCs/>
          <w:sz w:val="20"/>
          <w:szCs w:val="20"/>
        </w:rPr>
      </w:pPr>
      <w:r>
        <w:rPr>
          <w:rFonts w:ascii="Verdana" w:eastAsia="Century Gothic" w:hAnsi="Verdana" w:cs="Century Gothic"/>
          <w:i/>
          <w:iCs/>
          <w:sz w:val="20"/>
          <w:szCs w:val="20"/>
        </w:rPr>
        <w:t>O, por el contrario, ¿la posición desarrollada en el Concepto C-1139 de 2026 implica que, cuando el objeto corresponda propiamente a la prestación del servicio público esencial bomberil, la Entidad Estatal debe acudir necesariamente a la contratación directa, particularmente a la causal de inexistencia de pluralidad de oferentes prevista en el artículo 2.2.1.2.1.4.8 del Decreto 1082 de 2015, siempre que se acrediten las condiciones allí señaladas?</w:t>
      </w:r>
    </w:p>
    <w:p w14:paraId="7571C469" w14:textId="77777777" w:rsidR="0055252E" w:rsidRDefault="0055252E" w:rsidP="0055252E">
      <w:pPr>
        <w:spacing w:after="0" w:line="240" w:lineRule="auto"/>
        <w:ind w:left="709" w:right="709"/>
        <w:jc w:val="both"/>
        <w:rPr>
          <w:rFonts w:ascii="Verdana" w:eastAsia="Century Gothic" w:hAnsi="Verdana" w:cs="Century Gothic"/>
          <w:i/>
          <w:iCs/>
          <w:sz w:val="20"/>
          <w:szCs w:val="20"/>
        </w:rPr>
      </w:pPr>
    </w:p>
    <w:p w14:paraId="2888D7C6" w14:textId="77777777" w:rsidR="0055252E" w:rsidRDefault="0055252E" w:rsidP="0055252E">
      <w:pPr>
        <w:spacing w:after="0" w:line="240" w:lineRule="auto"/>
        <w:ind w:left="709" w:right="709"/>
        <w:jc w:val="both"/>
        <w:rPr>
          <w:rFonts w:ascii="Verdana" w:eastAsia="Century Gothic" w:hAnsi="Verdana" w:cs="Century Gothic"/>
          <w:i/>
          <w:iCs/>
          <w:sz w:val="20"/>
          <w:szCs w:val="20"/>
        </w:rPr>
      </w:pPr>
      <w:r>
        <w:rPr>
          <w:rFonts w:ascii="Verdana" w:eastAsia="Century Gothic" w:hAnsi="Verdana" w:cs="Century Gothic"/>
          <w:i/>
          <w:iCs/>
          <w:sz w:val="20"/>
          <w:szCs w:val="20"/>
        </w:rPr>
        <w:t xml:space="preserve">En ese sentido, ¿debe considerarse incorrecta o improcedente la utilización del régimen especial del Decreto 092 de 2017 para este tipo de </w:t>
      </w:r>
      <w:r>
        <w:rPr>
          <w:rFonts w:ascii="Verdana" w:eastAsia="Century Gothic" w:hAnsi="Verdana" w:cs="Century Gothic"/>
          <w:i/>
          <w:iCs/>
          <w:sz w:val="20"/>
          <w:szCs w:val="20"/>
        </w:rPr>
        <w:lastRenderedPageBreak/>
        <w:t>contratación, cuando el Municipio ha venido utilizando dicha figura con fundamento en la naturaleza jurídica de ESAL del Cuerpo de Bomberos?</w:t>
      </w:r>
    </w:p>
    <w:p w14:paraId="24CA8280" w14:textId="77777777" w:rsidR="0055252E" w:rsidRDefault="0055252E" w:rsidP="0055252E">
      <w:pPr>
        <w:spacing w:after="0" w:line="240" w:lineRule="auto"/>
        <w:ind w:left="709" w:right="709"/>
        <w:jc w:val="both"/>
        <w:rPr>
          <w:rFonts w:ascii="Verdana" w:eastAsia="Century Gothic" w:hAnsi="Verdana" w:cs="Century Gothic"/>
          <w:i/>
          <w:iCs/>
          <w:sz w:val="20"/>
          <w:szCs w:val="20"/>
          <w:highlight w:val="yellow"/>
        </w:rPr>
      </w:pPr>
    </w:p>
    <w:p w14:paraId="07FD2B7D" w14:textId="77777777" w:rsidR="0055252E" w:rsidRDefault="0055252E" w:rsidP="0055252E">
      <w:pPr>
        <w:spacing w:after="0" w:line="240" w:lineRule="auto"/>
        <w:ind w:left="709" w:right="709"/>
        <w:jc w:val="both"/>
        <w:rPr>
          <w:rFonts w:ascii="Verdana" w:eastAsia="Century Gothic" w:hAnsi="Verdana" w:cs="Century Gothic"/>
          <w:i/>
          <w:iCs/>
          <w:sz w:val="20"/>
          <w:szCs w:val="20"/>
        </w:rPr>
      </w:pPr>
      <w:r>
        <w:rPr>
          <w:rFonts w:ascii="Verdana" w:eastAsia="Century Gothic" w:hAnsi="Verdana" w:cs="Century Gothic"/>
          <w:i/>
          <w:iCs/>
          <w:sz w:val="20"/>
          <w:szCs w:val="20"/>
        </w:rPr>
        <w:t>NOVENO. Sobre detalle del gasto en la modalidad de selección aplicable</w:t>
      </w:r>
    </w:p>
    <w:p w14:paraId="167A1CB9" w14:textId="77777777" w:rsidR="0055252E" w:rsidRDefault="0055252E" w:rsidP="0055252E">
      <w:pPr>
        <w:spacing w:after="0" w:line="240" w:lineRule="auto"/>
        <w:ind w:left="709" w:right="709"/>
        <w:jc w:val="both"/>
        <w:rPr>
          <w:rFonts w:ascii="Verdana" w:eastAsia="Century Gothic" w:hAnsi="Verdana" w:cs="Century Gothic"/>
          <w:i/>
          <w:iCs/>
          <w:sz w:val="20"/>
          <w:szCs w:val="20"/>
        </w:rPr>
      </w:pPr>
      <w:r>
        <w:rPr>
          <w:rFonts w:ascii="Verdana" w:eastAsia="Century Gothic" w:hAnsi="Verdana" w:cs="Century Gothic"/>
          <w:i/>
          <w:iCs/>
          <w:sz w:val="20"/>
          <w:szCs w:val="20"/>
        </w:rPr>
        <w:t xml:space="preserve">En relación con los convenios de asociación regulados por el Decreto 092 de 2017, ¿resulta jurídicamente procedente que una Entidad Estatal estructure un convenio de asociación con un Cuerpo de Bomberos Voluntarios en cuyo presupuesto se determinen de manera detallada los </w:t>
      </w:r>
    </w:p>
    <w:p w14:paraId="65ACB587" w14:textId="77777777" w:rsidR="0055252E" w:rsidRDefault="0055252E" w:rsidP="0055252E">
      <w:pPr>
        <w:spacing w:after="0" w:line="240" w:lineRule="auto"/>
        <w:ind w:left="709" w:right="709"/>
        <w:jc w:val="both"/>
        <w:rPr>
          <w:rFonts w:ascii="Verdana" w:eastAsia="Century Gothic" w:hAnsi="Verdana" w:cs="Century Gothic"/>
          <w:i/>
          <w:iCs/>
          <w:sz w:val="20"/>
          <w:szCs w:val="20"/>
        </w:rPr>
      </w:pPr>
      <w:r>
        <w:rPr>
          <w:rFonts w:ascii="Verdana" w:eastAsia="Century Gothic" w:hAnsi="Verdana" w:cs="Century Gothic"/>
          <w:i/>
          <w:iCs/>
          <w:sz w:val="20"/>
          <w:szCs w:val="20"/>
        </w:rPr>
        <w:t>gastos de funcionamiento y las inversiones que serán ejecutadas, incluyendo cantidades, especificaciones técnicas y valores de cada bien o servicio, cuando tales elementos hayan sido identificados a partir de las necesidades y requerimientos previamente presentados por el propio Cuerpo de Bomberos?</w:t>
      </w:r>
    </w:p>
    <w:p w14:paraId="2DBCF175" w14:textId="77777777" w:rsidR="0055252E" w:rsidRDefault="0055252E" w:rsidP="0055252E">
      <w:pPr>
        <w:spacing w:after="0" w:line="240" w:lineRule="auto"/>
        <w:ind w:left="709" w:right="709"/>
        <w:jc w:val="both"/>
        <w:rPr>
          <w:rFonts w:ascii="Verdana" w:eastAsia="Century Gothic" w:hAnsi="Verdana" w:cs="Century Gothic"/>
          <w:i/>
          <w:iCs/>
          <w:sz w:val="20"/>
          <w:szCs w:val="20"/>
        </w:rPr>
      </w:pPr>
    </w:p>
    <w:p w14:paraId="4487E12E" w14:textId="77777777" w:rsidR="0055252E" w:rsidRDefault="0055252E" w:rsidP="0055252E">
      <w:pPr>
        <w:spacing w:after="0" w:line="240" w:lineRule="auto"/>
        <w:ind w:left="709" w:right="709"/>
        <w:jc w:val="both"/>
        <w:rPr>
          <w:rFonts w:ascii="Verdana" w:eastAsia="Century Gothic" w:hAnsi="Verdana" w:cs="Century Gothic"/>
          <w:i/>
          <w:iCs/>
          <w:sz w:val="20"/>
          <w:szCs w:val="20"/>
        </w:rPr>
      </w:pPr>
      <w:r>
        <w:rPr>
          <w:rFonts w:ascii="Verdana" w:eastAsia="Century Gothic" w:hAnsi="Verdana" w:cs="Century Gothic"/>
          <w:i/>
          <w:iCs/>
          <w:sz w:val="20"/>
          <w:szCs w:val="20"/>
        </w:rPr>
        <w:t>Así mismo, ¿Puede una Entidad Estatal, en cumplimiento del principio de planeación y de las obligaciones previstas en el artículo 2.2.1.1.2.1.1 del Decreto 1082 de 2015, determinar y soportar en los estudios y documentos previos los precios unitarios, cantidades, especificaciones y valores de los bienes y servicios que serán financiados dentro del contrato o convenio, aun cuando dichos bienes sean posteriormente adquiridos directamente por el Cuerpo de Bomberos Voluntarios?</w:t>
      </w:r>
    </w:p>
    <w:p w14:paraId="2BD68D16" w14:textId="77777777" w:rsidR="0055252E" w:rsidRDefault="0055252E" w:rsidP="0055252E">
      <w:pPr>
        <w:spacing w:after="0" w:line="240" w:lineRule="auto"/>
        <w:ind w:left="709" w:right="709"/>
        <w:jc w:val="both"/>
        <w:rPr>
          <w:rFonts w:ascii="Verdana" w:eastAsia="Century Gothic" w:hAnsi="Verdana" w:cs="Century Gothic"/>
          <w:i/>
          <w:iCs/>
          <w:sz w:val="20"/>
          <w:szCs w:val="20"/>
          <w:highlight w:val="yellow"/>
        </w:rPr>
      </w:pPr>
    </w:p>
    <w:p w14:paraId="60EF43A1" w14:textId="77777777" w:rsidR="0055252E" w:rsidRDefault="0055252E" w:rsidP="0055252E">
      <w:pPr>
        <w:spacing w:after="0" w:line="240" w:lineRule="auto"/>
        <w:ind w:left="709" w:right="709"/>
        <w:jc w:val="both"/>
        <w:rPr>
          <w:rFonts w:ascii="Verdana" w:eastAsia="Century Gothic" w:hAnsi="Verdana" w:cs="Century Gothic"/>
          <w:i/>
          <w:iCs/>
          <w:sz w:val="20"/>
          <w:szCs w:val="20"/>
        </w:rPr>
      </w:pPr>
      <w:r>
        <w:rPr>
          <w:rFonts w:ascii="Verdana" w:eastAsia="Century Gothic" w:hAnsi="Verdana" w:cs="Century Gothic"/>
          <w:i/>
          <w:iCs/>
          <w:sz w:val="20"/>
          <w:szCs w:val="20"/>
        </w:rPr>
        <w:t>DÉCIMO. – Sobre la inexistencia de pluralidad de oferentes y la existencia de un único Cuerpo de Bomberos en el Municipio.</w:t>
      </w:r>
    </w:p>
    <w:p w14:paraId="560271FF" w14:textId="77777777" w:rsidR="0055252E" w:rsidRDefault="0055252E" w:rsidP="0055252E">
      <w:pPr>
        <w:spacing w:after="0" w:line="240" w:lineRule="auto"/>
        <w:ind w:left="709" w:right="709"/>
        <w:jc w:val="both"/>
        <w:rPr>
          <w:rFonts w:ascii="Verdana" w:eastAsia="Century Gothic" w:hAnsi="Verdana" w:cs="Century Gothic"/>
          <w:i/>
          <w:iCs/>
          <w:sz w:val="20"/>
          <w:szCs w:val="20"/>
        </w:rPr>
      </w:pPr>
    </w:p>
    <w:p w14:paraId="36DC1CCD" w14:textId="77777777" w:rsidR="0055252E" w:rsidRDefault="0055252E" w:rsidP="0055252E">
      <w:pPr>
        <w:spacing w:after="0" w:line="240" w:lineRule="auto"/>
        <w:ind w:left="709" w:right="709"/>
        <w:jc w:val="both"/>
        <w:rPr>
          <w:rFonts w:ascii="Verdana" w:eastAsia="Century Gothic" w:hAnsi="Verdana" w:cs="Century Gothic"/>
          <w:i/>
          <w:iCs/>
          <w:sz w:val="20"/>
          <w:szCs w:val="20"/>
        </w:rPr>
      </w:pPr>
      <w:r>
        <w:rPr>
          <w:rFonts w:ascii="Verdana" w:eastAsia="Century Gothic" w:hAnsi="Verdana" w:cs="Century Gothic"/>
          <w:i/>
          <w:iCs/>
          <w:sz w:val="20"/>
          <w:szCs w:val="20"/>
        </w:rPr>
        <w:t>En el evento en que resulte aplicable la contratación directa prevista en el artículo 2.2.1.2.1.4.8 del Decreto 1082 de 2015, ¿puede el Municipio de Puerto Parra sustentar la inexistencia de pluralidad de oferentes cuando en su jurisdicción existe un único Cuerpo de Bomberos Voluntarios legalmente constituido, reconocido y habilitado para prestar el servicio bomberil?</w:t>
      </w:r>
    </w:p>
    <w:p w14:paraId="3549C428" w14:textId="77777777" w:rsidR="0055252E" w:rsidRDefault="0055252E" w:rsidP="0055252E">
      <w:pPr>
        <w:spacing w:after="0" w:line="240" w:lineRule="auto"/>
        <w:ind w:left="709" w:right="709"/>
        <w:jc w:val="both"/>
        <w:rPr>
          <w:rFonts w:ascii="Verdana" w:eastAsia="Century Gothic" w:hAnsi="Verdana" w:cs="Century Gothic"/>
          <w:i/>
          <w:iCs/>
          <w:sz w:val="20"/>
          <w:szCs w:val="20"/>
        </w:rPr>
      </w:pPr>
    </w:p>
    <w:p w14:paraId="69F70AA5" w14:textId="77777777" w:rsidR="0055252E" w:rsidRDefault="0055252E" w:rsidP="0055252E">
      <w:pPr>
        <w:spacing w:after="0" w:line="240" w:lineRule="auto"/>
        <w:ind w:left="709" w:right="709"/>
        <w:jc w:val="both"/>
        <w:rPr>
          <w:rFonts w:ascii="Verdana" w:eastAsia="Century Gothic" w:hAnsi="Verdana" w:cs="Century Gothic"/>
          <w:i/>
          <w:iCs/>
          <w:sz w:val="20"/>
          <w:szCs w:val="20"/>
        </w:rPr>
      </w:pPr>
      <w:r>
        <w:rPr>
          <w:rFonts w:ascii="Verdana" w:eastAsia="Century Gothic" w:hAnsi="Verdana" w:cs="Century Gothic"/>
          <w:i/>
          <w:iCs/>
          <w:sz w:val="20"/>
          <w:szCs w:val="20"/>
        </w:rPr>
        <w:t>Lo anterior, teniendo en cuenta que la Ley 1575 de 2012 y la reglamentación aplicable establecen restricciones respecto de la existencia y actuación de cuerpos de bomberos voluntarios en una misma jurisdicción, de manera que otros cuerpos de bomberos no podrían concurrir libremente a prestar el servicio en el Municipio sin exponerse a las consecuencias previstas en el régimen jurídico aplicable.</w:t>
      </w:r>
    </w:p>
    <w:p w14:paraId="45604D28" w14:textId="77777777" w:rsidR="0055252E" w:rsidRDefault="0055252E" w:rsidP="0055252E">
      <w:pPr>
        <w:spacing w:after="0" w:line="240" w:lineRule="auto"/>
        <w:ind w:left="709" w:right="709"/>
        <w:jc w:val="both"/>
        <w:rPr>
          <w:rFonts w:ascii="Verdana" w:eastAsia="Century Gothic" w:hAnsi="Verdana" w:cs="Century Gothic"/>
          <w:i/>
          <w:iCs/>
          <w:sz w:val="20"/>
          <w:szCs w:val="20"/>
        </w:rPr>
      </w:pPr>
    </w:p>
    <w:p w14:paraId="1A7CE2FB" w14:textId="77777777" w:rsidR="0055252E" w:rsidRDefault="0055252E" w:rsidP="0055252E">
      <w:pPr>
        <w:spacing w:after="0" w:line="240" w:lineRule="auto"/>
        <w:ind w:left="709" w:right="709"/>
        <w:jc w:val="both"/>
        <w:rPr>
          <w:rFonts w:ascii="Verdana" w:eastAsia="Century Gothic" w:hAnsi="Verdana" w:cs="Century Gothic"/>
          <w:i/>
          <w:iCs/>
          <w:sz w:val="20"/>
          <w:szCs w:val="20"/>
        </w:rPr>
      </w:pPr>
      <w:r>
        <w:rPr>
          <w:rFonts w:ascii="Verdana" w:eastAsia="Century Gothic" w:hAnsi="Verdana" w:cs="Century Gothic"/>
          <w:i/>
          <w:iCs/>
          <w:sz w:val="20"/>
          <w:szCs w:val="20"/>
        </w:rPr>
        <w:t>En este escenario, ¿resultaría jurídicamente procedente que el Municipio documente en los estudios previos la existencia de un único proveedor jurídicamente habilitado para prestar el servicio bomberil en la jurisdicción, conforme a los criterios desarrollados por esa Agencia en el Concepto C-1139 de 2026?</w:t>
      </w:r>
    </w:p>
    <w:p w14:paraId="441C7CCB" w14:textId="77777777" w:rsidR="0055252E" w:rsidRDefault="0055252E" w:rsidP="0055252E">
      <w:pPr>
        <w:spacing w:after="0" w:line="240" w:lineRule="auto"/>
        <w:ind w:left="709" w:right="709"/>
        <w:jc w:val="both"/>
        <w:rPr>
          <w:rFonts w:ascii="Verdana" w:eastAsia="Century Gothic" w:hAnsi="Verdana" w:cs="Century Gothic"/>
          <w:i/>
          <w:iCs/>
          <w:sz w:val="20"/>
          <w:szCs w:val="20"/>
        </w:rPr>
      </w:pPr>
    </w:p>
    <w:p w14:paraId="13EC47C6" w14:textId="77777777" w:rsidR="0055252E" w:rsidRDefault="0055252E" w:rsidP="0055252E">
      <w:pPr>
        <w:spacing w:after="0" w:line="240" w:lineRule="auto"/>
        <w:ind w:left="709" w:right="709"/>
        <w:jc w:val="both"/>
        <w:rPr>
          <w:rFonts w:ascii="Verdana" w:eastAsia="Century Gothic" w:hAnsi="Verdana" w:cs="Century Gothic"/>
          <w:i/>
          <w:iCs/>
          <w:sz w:val="20"/>
          <w:szCs w:val="20"/>
        </w:rPr>
      </w:pPr>
      <w:r>
        <w:rPr>
          <w:rFonts w:ascii="Verdana" w:eastAsia="Century Gothic" w:hAnsi="Verdana" w:cs="Century Gothic"/>
          <w:i/>
          <w:iCs/>
          <w:sz w:val="20"/>
          <w:szCs w:val="20"/>
        </w:rPr>
        <w:lastRenderedPageBreak/>
        <w:t>DÉCIMO PRIMERO. – Sobre la posibilidad de incluir las dotaciones dentro del objeto principal del servicio bomberil.</w:t>
      </w:r>
    </w:p>
    <w:p w14:paraId="6A8A2A1A" w14:textId="77777777" w:rsidR="0055252E" w:rsidRDefault="0055252E" w:rsidP="0055252E">
      <w:pPr>
        <w:spacing w:after="0" w:line="240" w:lineRule="auto"/>
        <w:ind w:left="709" w:right="709"/>
        <w:jc w:val="both"/>
        <w:rPr>
          <w:rFonts w:ascii="Verdana" w:eastAsia="Century Gothic" w:hAnsi="Verdana" w:cs="Century Gothic"/>
          <w:i/>
          <w:iCs/>
          <w:sz w:val="20"/>
          <w:szCs w:val="20"/>
        </w:rPr>
      </w:pPr>
    </w:p>
    <w:p w14:paraId="517E29F8" w14:textId="77777777" w:rsidR="0055252E" w:rsidRDefault="0055252E" w:rsidP="0055252E">
      <w:pPr>
        <w:spacing w:after="0" w:line="240" w:lineRule="auto"/>
        <w:ind w:left="709" w:right="709"/>
        <w:jc w:val="both"/>
        <w:rPr>
          <w:rFonts w:ascii="Verdana" w:eastAsia="Century Gothic" w:hAnsi="Verdana" w:cs="Century Gothic"/>
          <w:i/>
          <w:iCs/>
          <w:sz w:val="20"/>
          <w:szCs w:val="20"/>
        </w:rPr>
      </w:pPr>
      <w:r>
        <w:rPr>
          <w:rFonts w:ascii="Verdana" w:eastAsia="Century Gothic" w:hAnsi="Verdana" w:cs="Century Gothic"/>
          <w:i/>
          <w:iCs/>
          <w:sz w:val="20"/>
          <w:szCs w:val="20"/>
        </w:rPr>
        <w:t>De acuerdo con el Concepto C-1139 de 2026, esa Agencia ha señalado que la causal de inexistencia de pluralidad de oferentes no puede extenderse a objetos distintos de la prestación del servicio esencial, como la adquisición de bienes, dotaciones, vehículos u obras.</w:t>
      </w:r>
    </w:p>
    <w:p w14:paraId="701CF8F7" w14:textId="77777777" w:rsidR="0055252E" w:rsidRDefault="0055252E" w:rsidP="0055252E">
      <w:pPr>
        <w:spacing w:after="0" w:line="240" w:lineRule="auto"/>
        <w:ind w:left="709" w:right="709"/>
        <w:jc w:val="both"/>
        <w:rPr>
          <w:rFonts w:ascii="Verdana" w:eastAsia="Century Gothic" w:hAnsi="Verdana" w:cs="Century Gothic"/>
          <w:i/>
          <w:iCs/>
          <w:sz w:val="20"/>
          <w:szCs w:val="20"/>
        </w:rPr>
      </w:pPr>
    </w:p>
    <w:p w14:paraId="22880ED3" w14:textId="77777777" w:rsidR="0055252E" w:rsidRDefault="0055252E" w:rsidP="0055252E">
      <w:pPr>
        <w:spacing w:after="0" w:line="240" w:lineRule="auto"/>
        <w:ind w:left="709" w:right="709"/>
        <w:jc w:val="both"/>
        <w:rPr>
          <w:rFonts w:ascii="Verdana" w:eastAsia="Century Gothic" w:hAnsi="Verdana" w:cs="Century Gothic"/>
          <w:i/>
          <w:iCs/>
          <w:sz w:val="20"/>
          <w:szCs w:val="20"/>
        </w:rPr>
      </w:pPr>
      <w:r>
        <w:rPr>
          <w:rFonts w:ascii="Verdana" w:eastAsia="Century Gothic" w:hAnsi="Verdana" w:cs="Century Gothic"/>
          <w:i/>
          <w:iCs/>
          <w:sz w:val="20"/>
          <w:szCs w:val="20"/>
        </w:rPr>
        <w:t>En ese contexto, ¿cómo debe interpretarse dicha restricción cuando la adquisición de los bienes y dotaciones no constituye un objeto autónomo de adquisición, sino que se encuentra directamente vinculada, es instrumental y resulta indispensable para alcanzar el objeto principal de fortalecer y garantizar la prestación del servicio público esencial bomberil?</w:t>
      </w:r>
    </w:p>
    <w:p w14:paraId="58AD6820" w14:textId="77777777" w:rsidR="0055252E" w:rsidRDefault="0055252E" w:rsidP="0055252E">
      <w:pPr>
        <w:spacing w:after="0" w:line="240" w:lineRule="auto"/>
        <w:ind w:left="709" w:right="709"/>
        <w:jc w:val="both"/>
        <w:rPr>
          <w:rFonts w:ascii="Verdana" w:eastAsia="Century Gothic" w:hAnsi="Verdana" w:cs="Century Gothic"/>
          <w:i/>
          <w:iCs/>
          <w:sz w:val="20"/>
          <w:szCs w:val="20"/>
        </w:rPr>
      </w:pPr>
    </w:p>
    <w:p w14:paraId="0F808BAA" w14:textId="77777777" w:rsidR="0055252E" w:rsidRDefault="0055252E" w:rsidP="0055252E">
      <w:pPr>
        <w:spacing w:after="0" w:line="240" w:lineRule="auto"/>
        <w:ind w:left="709" w:right="709"/>
        <w:jc w:val="both"/>
        <w:rPr>
          <w:rFonts w:ascii="Verdana" w:eastAsia="Century Gothic" w:hAnsi="Verdana" w:cs="Century Gothic"/>
          <w:i/>
          <w:iCs/>
          <w:sz w:val="20"/>
          <w:szCs w:val="20"/>
        </w:rPr>
      </w:pPr>
      <w:r>
        <w:rPr>
          <w:rFonts w:ascii="Verdana" w:eastAsia="Century Gothic" w:hAnsi="Verdana" w:cs="Century Gothic"/>
          <w:i/>
          <w:iCs/>
          <w:sz w:val="20"/>
          <w:szCs w:val="20"/>
        </w:rPr>
        <w:t>En otras palabras, ¿la inclusión de herramientas, equipos, elementos de protección, uniformes, trajes, motobombas, mangueras y demás dotaciones dentro del presupuesto de un contrato cuyo objeto principal sea la prestación y fortalecimiento del servicio bomberil impide necesariamente acudir a la contratación directa por inexistencia de pluralidad de oferentes?</w:t>
      </w:r>
    </w:p>
    <w:p w14:paraId="517AABC9" w14:textId="77777777" w:rsidR="0055252E" w:rsidRDefault="0055252E" w:rsidP="0055252E">
      <w:pPr>
        <w:spacing w:after="0" w:line="240" w:lineRule="auto"/>
        <w:ind w:left="709" w:right="709"/>
        <w:jc w:val="both"/>
        <w:rPr>
          <w:rFonts w:ascii="Verdana" w:eastAsia="Century Gothic" w:hAnsi="Verdana" w:cs="Century Gothic"/>
          <w:i/>
          <w:iCs/>
          <w:sz w:val="20"/>
          <w:szCs w:val="20"/>
          <w:highlight w:val="yellow"/>
        </w:rPr>
      </w:pPr>
    </w:p>
    <w:p w14:paraId="6A1D0C3E" w14:textId="77777777" w:rsidR="0055252E" w:rsidRDefault="0055252E" w:rsidP="0055252E">
      <w:pPr>
        <w:spacing w:after="0" w:line="240" w:lineRule="auto"/>
        <w:ind w:left="709" w:right="709"/>
        <w:jc w:val="both"/>
        <w:rPr>
          <w:rFonts w:ascii="Verdana" w:eastAsia="Century Gothic" w:hAnsi="Verdana" w:cs="Century Gothic"/>
          <w:i/>
          <w:iCs/>
          <w:sz w:val="20"/>
          <w:szCs w:val="20"/>
        </w:rPr>
      </w:pPr>
      <w:r>
        <w:rPr>
          <w:rFonts w:ascii="Verdana" w:eastAsia="Century Gothic" w:hAnsi="Verdana" w:cs="Century Gothic"/>
          <w:i/>
          <w:iCs/>
          <w:sz w:val="20"/>
          <w:szCs w:val="20"/>
        </w:rPr>
        <w:t>DÉCIMO SEGUNDO. Si el Municipio estructura un contrato o convenio cuyo objeto principal y finalidad contractual sea la prestación y fortalecimiento del servicio público esencial bomberil, y dentro de su presupuesto se contemplan dos componentes —uno de funcionamiento y otro de inversión—, siendo este último destinado exclusivamente a la adquisición de elementos, equipos, herramientas, uniformes, trajes, vehículos menores, equipos de protección y demás bienes directamente relacionados con la prestación del servicio, ¿la inclusión de dichos bienes desvirtúa la posibilidad de acudir a la causal de contratación directa por inexistencia de pluralidad de oferentes?</w:t>
      </w:r>
    </w:p>
    <w:p w14:paraId="776B98A3" w14:textId="77777777" w:rsidR="0055252E" w:rsidRDefault="0055252E" w:rsidP="0055252E">
      <w:pPr>
        <w:spacing w:after="0" w:line="240" w:lineRule="auto"/>
        <w:ind w:left="709" w:right="709"/>
        <w:jc w:val="both"/>
        <w:rPr>
          <w:rFonts w:ascii="Verdana" w:eastAsia="Century Gothic" w:hAnsi="Verdana" w:cs="Century Gothic"/>
          <w:i/>
          <w:iCs/>
          <w:sz w:val="20"/>
          <w:szCs w:val="20"/>
        </w:rPr>
      </w:pPr>
    </w:p>
    <w:p w14:paraId="75CB978D" w14:textId="77777777" w:rsidR="0055252E" w:rsidRDefault="0055252E" w:rsidP="0055252E">
      <w:pPr>
        <w:spacing w:after="0" w:line="240" w:lineRule="auto"/>
        <w:ind w:left="709" w:right="709"/>
        <w:jc w:val="both"/>
        <w:rPr>
          <w:rFonts w:ascii="Verdana" w:eastAsia="Century Gothic" w:hAnsi="Verdana" w:cs="Century Gothic"/>
          <w:i/>
          <w:iCs/>
          <w:sz w:val="20"/>
          <w:szCs w:val="20"/>
        </w:rPr>
      </w:pPr>
      <w:r>
        <w:rPr>
          <w:rFonts w:ascii="Verdana" w:eastAsia="Century Gothic" w:hAnsi="Verdana" w:cs="Century Gothic"/>
          <w:i/>
          <w:iCs/>
          <w:sz w:val="20"/>
          <w:szCs w:val="20"/>
        </w:rPr>
        <w:t xml:space="preserve">DÉCIMO TERCERO. – Sobre la posibilidad de financiar el fortalecimiento operativo cuando el Cuerpo de Bomberos no cuenta previamente con todos los elementos necesarios. Cuando el único Cuerpo de Bomberos legalmente habilitado en el Municipio no cuenta previamente con todos los equipos, herramientas, infraestructura y demás elementos necesarios </w:t>
      </w:r>
    </w:p>
    <w:p w14:paraId="1E82039F" w14:textId="77777777" w:rsidR="0055252E" w:rsidRDefault="0055252E" w:rsidP="0055252E">
      <w:pPr>
        <w:spacing w:after="0" w:line="240" w:lineRule="auto"/>
        <w:ind w:left="709" w:right="709"/>
        <w:jc w:val="both"/>
        <w:rPr>
          <w:rFonts w:ascii="Verdana" w:eastAsia="Century Gothic" w:hAnsi="Verdana" w:cs="Century Gothic"/>
          <w:i/>
          <w:iCs/>
          <w:sz w:val="20"/>
          <w:szCs w:val="20"/>
        </w:rPr>
      </w:pPr>
      <w:r>
        <w:rPr>
          <w:rFonts w:ascii="Verdana" w:eastAsia="Century Gothic" w:hAnsi="Verdana" w:cs="Century Gothic"/>
          <w:i/>
          <w:iCs/>
          <w:sz w:val="20"/>
          <w:szCs w:val="20"/>
        </w:rPr>
        <w:t>para prestar adecuadamente el servicio, ¿puede la Entidad Estatal financiar, dentro del instrumento contractual destinado a garantizar la prestación y fortalecimiento del servicio, la adquisición de dichos elementos?</w:t>
      </w:r>
    </w:p>
    <w:p w14:paraId="7CD1A6ED" w14:textId="77777777" w:rsidR="0055252E" w:rsidRDefault="0055252E" w:rsidP="0055252E">
      <w:pPr>
        <w:spacing w:after="0" w:line="240" w:lineRule="auto"/>
        <w:ind w:left="709" w:right="709"/>
        <w:jc w:val="both"/>
        <w:rPr>
          <w:rFonts w:ascii="Verdana" w:eastAsia="Century Gothic" w:hAnsi="Verdana" w:cs="Century Gothic"/>
          <w:i/>
          <w:iCs/>
          <w:sz w:val="20"/>
          <w:szCs w:val="20"/>
        </w:rPr>
      </w:pPr>
    </w:p>
    <w:p w14:paraId="11FDCCD5" w14:textId="77777777" w:rsidR="0055252E" w:rsidRDefault="0055252E" w:rsidP="0055252E">
      <w:pPr>
        <w:spacing w:after="0" w:line="240" w:lineRule="auto"/>
        <w:ind w:left="709" w:right="709"/>
        <w:jc w:val="both"/>
        <w:rPr>
          <w:rFonts w:ascii="Verdana" w:eastAsia="Century Gothic" w:hAnsi="Verdana" w:cs="Century Gothic"/>
          <w:i/>
          <w:iCs/>
          <w:sz w:val="20"/>
          <w:szCs w:val="20"/>
        </w:rPr>
      </w:pPr>
      <w:r>
        <w:rPr>
          <w:rFonts w:ascii="Verdana" w:eastAsia="Century Gothic" w:hAnsi="Verdana" w:cs="Century Gothic"/>
          <w:i/>
          <w:iCs/>
          <w:sz w:val="20"/>
          <w:szCs w:val="20"/>
        </w:rPr>
        <w:t xml:space="preserve">¿O debe entenderse que, para poder acudir a la contratación directa por inexistencia de pluralidad de oferentes, el Cuerpo de Bomberos debe acreditar previamente que ya cuenta con la totalidad de los medios </w:t>
      </w:r>
      <w:r>
        <w:rPr>
          <w:rFonts w:ascii="Verdana" w:eastAsia="Century Gothic" w:hAnsi="Verdana" w:cs="Century Gothic"/>
          <w:i/>
          <w:iCs/>
          <w:sz w:val="20"/>
          <w:szCs w:val="20"/>
        </w:rPr>
        <w:lastRenderedPageBreak/>
        <w:t>materiales y capacidades operativas requeridas para prestar el servicio? […]”</w:t>
      </w:r>
    </w:p>
    <w:p w14:paraId="50A7CF3C" w14:textId="77777777" w:rsidR="0055252E" w:rsidRDefault="0055252E" w:rsidP="0055252E">
      <w:pPr>
        <w:spacing w:after="0" w:line="240" w:lineRule="auto"/>
        <w:ind w:left="709" w:right="709"/>
        <w:contextualSpacing/>
        <w:jc w:val="both"/>
        <w:rPr>
          <w:rFonts w:ascii="Verdana" w:eastAsia="Century Gothic" w:hAnsi="Verdana" w:cs="Century Gothic"/>
          <w:i/>
          <w:iCs/>
          <w:color w:val="2F5496" w:themeColor="accent1" w:themeShade="BF"/>
          <w:sz w:val="20"/>
          <w:szCs w:val="20"/>
          <w:lang w:val="es-ES"/>
        </w:rPr>
      </w:pPr>
    </w:p>
    <w:p w14:paraId="50C6120E" w14:textId="77777777" w:rsidR="0055252E" w:rsidRDefault="0055252E" w:rsidP="0055252E">
      <w:pPr>
        <w:spacing w:after="120" w:line="276" w:lineRule="auto"/>
        <w:ind w:firstLine="708"/>
        <w:jc w:val="both"/>
        <w:rPr>
          <w:rFonts w:ascii="Verdana" w:eastAsia="Calibri" w:hAnsi="Verdana" w:cs="Arial"/>
          <w:lang w:val="es-ES" w:eastAsia="es-ES"/>
        </w:rPr>
      </w:pPr>
      <w:r>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Pr>
          <w:rFonts w:ascii="Verdana" w:hAnsi="Verdana"/>
          <w:lang w:val="es-ES"/>
        </w:rPr>
        <w:tab/>
      </w:r>
    </w:p>
    <w:p w14:paraId="59AF7415" w14:textId="77777777" w:rsidR="0055252E" w:rsidRDefault="0055252E" w:rsidP="0055252E">
      <w:pPr>
        <w:spacing w:after="0" w:line="276" w:lineRule="auto"/>
        <w:ind w:firstLine="709"/>
        <w:jc w:val="both"/>
        <w:rPr>
          <w:rFonts w:ascii="Verdana" w:eastAsia="Calibri" w:hAnsi="Verdana" w:cs="Arial"/>
          <w:lang w:val="es-ES" w:eastAsia="es-ES"/>
        </w:rPr>
      </w:pPr>
      <w:r>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señalando algunas consideraciones sobre las normas generales relacionadas con los problemas jurídicos de su consulta. </w:t>
      </w:r>
    </w:p>
    <w:p w14:paraId="3B053108" w14:textId="77777777" w:rsidR="0055252E" w:rsidRDefault="0055252E" w:rsidP="0055252E">
      <w:pPr>
        <w:spacing w:after="0" w:line="276" w:lineRule="auto"/>
        <w:ind w:firstLine="709"/>
        <w:jc w:val="both"/>
        <w:rPr>
          <w:rFonts w:ascii="Verdana" w:eastAsia="Calibri" w:hAnsi="Verdana" w:cs="Arial"/>
          <w:color w:val="2F5496" w:themeColor="accent1" w:themeShade="BF"/>
          <w:lang w:val="es-ES" w:eastAsia="es-ES"/>
        </w:rPr>
      </w:pPr>
    </w:p>
    <w:p w14:paraId="5136CCDB" w14:textId="77777777" w:rsidR="0055252E" w:rsidRDefault="0055252E" w:rsidP="0055252E">
      <w:pPr>
        <w:tabs>
          <w:tab w:val="left" w:pos="142"/>
          <w:tab w:val="left" w:pos="284"/>
        </w:tabs>
        <w:spacing w:after="0" w:line="276" w:lineRule="auto"/>
        <w:jc w:val="both"/>
        <w:rPr>
          <w:rFonts w:ascii="Verdana" w:eastAsia="Century Gothic" w:hAnsi="Verdana" w:cs="Century Gothic"/>
          <w:b/>
          <w:lang w:val="es-ES"/>
        </w:rPr>
      </w:pPr>
      <w:r>
        <w:rPr>
          <w:rFonts w:ascii="Verdana" w:eastAsia="Century Gothic" w:hAnsi="Verdana" w:cs="Century Gothic"/>
          <w:b/>
          <w:lang w:val="es-ES"/>
        </w:rPr>
        <w:t>1. Problema planteado:</w:t>
      </w:r>
    </w:p>
    <w:p w14:paraId="3E5DDC4E" w14:textId="77777777" w:rsidR="0055252E" w:rsidRDefault="0055252E" w:rsidP="0055252E">
      <w:pPr>
        <w:tabs>
          <w:tab w:val="left" w:pos="426"/>
        </w:tabs>
        <w:spacing w:after="0" w:line="276" w:lineRule="auto"/>
        <w:jc w:val="both"/>
        <w:rPr>
          <w:rFonts w:ascii="Verdana" w:eastAsia="Century Gothic" w:hAnsi="Verdana" w:cs="Century Gothic"/>
          <w:lang w:val="es-ES"/>
        </w:rPr>
      </w:pPr>
    </w:p>
    <w:p w14:paraId="31D961A5" w14:textId="77777777" w:rsidR="0055252E" w:rsidRDefault="0055252E" w:rsidP="0055252E">
      <w:pPr>
        <w:spacing w:after="0" w:line="276" w:lineRule="auto"/>
        <w:jc w:val="both"/>
        <w:rPr>
          <w:rFonts w:ascii="Verdana" w:eastAsia="Calibri" w:hAnsi="Verdana" w:cs="Times New Roman"/>
          <w:color w:val="2F5496" w:themeColor="accent1" w:themeShade="BF"/>
        </w:rPr>
      </w:pPr>
      <w:r>
        <w:rPr>
          <w:rFonts w:ascii="Verdana" w:eastAsia="Century Gothic" w:hAnsi="Verdana" w:cs="Century Gothic"/>
          <w:lang w:val="es-ES"/>
        </w:rPr>
        <w:t xml:space="preserve">De acuerdo con el contenido de su solicitud, esta Agencia resolverá los siguientes problemas jurídicos: </w:t>
      </w:r>
      <w:r>
        <w:rPr>
          <w:rFonts w:ascii="Verdana" w:eastAsia="Calibri" w:hAnsi="Verdana" w:cs="Times New Roman"/>
        </w:rPr>
        <w:t>i. ¿La administración municipal puede celebrar contratos con el Cuerpo de Bomberos Voluntarios para la prestación del servicio público esencial de gestión integral del riesgo contra incendios, preparativos y atención de rescates? ii. ¿La existencia de un único Cuerpo de Bomberos Voluntarios habilitado en el municipio configura la causal de contratación directa por inexistencia de pluralidad de oferentes y, en tal caso, qué requisitos debe acreditar la entidad estatal para justificar su procedencia? iii.</w:t>
      </w:r>
      <w:r>
        <w:t xml:space="preserve"> </w:t>
      </w:r>
      <w:r>
        <w:rPr>
          <w:rFonts w:ascii="Verdana" w:eastAsia="Calibri" w:hAnsi="Verdana" w:cs="Times New Roman"/>
        </w:rPr>
        <w:t>¿La causal de inexistencia de pluralidad de oferentes puede emplearse para adquirir vehículos, equipos, herramientas o infraestructura bombera? iv. ¿Es posible incluir dentro de un mismo contrato actividades operativas y componentes de fortalecimiento institucional? v.</w:t>
      </w:r>
      <w:r>
        <w:t xml:space="preserve"> </w:t>
      </w:r>
      <w:r>
        <w:rPr>
          <w:rFonts w:ascii="Verdana" w:eastAsia="Calibri" w:hAnsi="Verdana" w:cs="Times New Roman"/>
        </w:rPr>
        <w:t xml:space="preserve">¿Puede el municipio celebrar un convenio de asociación con el </w:t>
      </w:r>
      <w:r>
        <w:rPr>
          <w:rFonts w:ascii="Verdana" w:eastAsia="Calibri" w:hAnsi="Verdana" w:cs="Times New Roman"/>
        </w:rPr>
        <w:lastRenderedPageBreak/>
        <w:t>Cuerpo de Bomberos Voluntarios? vi. ¿Puede utilizarse el Decreto 092 de 2017 para transferir recursos destinados al fortalecimiento institucional de un Cuerpo de Bomberos Voluntarios? vii. ¿La entidad estatal puede transferir una suma global al Cuerpo de Bomberos Voluntarios sin identificar los bienes o actividades que serán financiados, o debe determinar las cantidades, especificaciones técnicas y valores estimados correspondientes y, en consecuencia, cuáles son los límites de la autonomía del Cuerpo de Bomberos Voluntarios para decidir el destino de los recursos públicos aportados por el municipio?</w:t>
      </w:r>
    </w:p>
    <w:p w14:paraId="7B83D174" w14:textId="77777777" w:rsidR="0055252E" w:rsidRDefault="0055252E" w:rsidP="0055252E">
      <w:pPr>
        <w:spacing w:after="0" w:line="276" w:lineRule="auto"/>
        <w:jc w:val="both"/>
        <w:rPr>
          <w:rFonts w:ascii="Verdana" w:eastAsia="Century Gothic" w:hAnsi="Verdana" w:cs="Century Gothic"/>
          <w:color w:val="2F5496" w:themeColor="accent1" w:themeShade="BF"/>
        </w:rPr>
      </w:pPr>
    </w:p>
    <w:p w14:paraId="0B07392B" w14:textId="77777777" w:rsidR="0055252E" w:rsidRDefault="0055252E" w:rsidP="0055252E">
      <w:pPr>
        <w:tabs>
          <w:tab w:val="left" w:pos="142"/>
          <w:tab w:val="left" w:pos="284"/>
        </w:tabs>
        <w:spacing w:after="0" w:line="276" w:lineRule="auto"/>
        <w:jc w:val="both"/>
        <w:rPr>
          <w:rFonts w:ascii="Verdana" w:eastAsia="Century Gothic" w:hAnsi="Verdana" w:cs="Century Gothic"/>
          <w:b/>
          <w:lang w:val="es-ES"/>
        </w:rPr>
      </w:pPr>
      <w:r>
        <w:rPr>
          <w:rFonts w:ascii="Verdana" w:eastAsia="Century Gothic" w:hAnsi="Verdana" w:cs="Century Gothic"/>
          <w:b/>
          <w:lang w:val="es-ES"/>
        </w:rPr>
        <w:t>2. Respuesta:</w:t>
      </w:r>
    </w:p>
    <w:p w14:paraId="2F28DAFF" w14:textId="77777777" w:rsidR="0055252E" w:rsidRDefault="0055252E" w:rsidP="0055252E">
      <w:pPr>
        <w:tabs>
          <w:tab w:val="left" w:pos="142"/>
          <w:tab w:val="left" w:pos="284"/>
        </w:tabs>
        <w:spacing w:after="0" w:line="276" w:lineRule="auto"/>
        <w:jc w:val="both"/>
        <w:rPr>
          <w:rFonts w:ascii="Verdana" w:eastAsia="Century Gothic" w:hAnsi="Verdana" w:cs="Century Gothic"/>
          <w:b/>
          <w:color w:val="2F5496" w:themeColor="accent1" w:themeShade="BF"/>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55252E" w14:paraId="32982F79" w14:textId="77777777">
        <w:tc>
          <w:tcPr>
            <w:tcW w:w="8828" w:type="dxa"/>
            <w:tcBorders>
              <w:top w:val="dotted" w:sz="4" w:space="0" w:color="auto"/>
              <w:left w:val="dotted" w:sz="4" w:space="0" w:color="auto"/>
              <w:bottom w:val="dotted" w:sz="4" w:space="0" w:color="auto"/>
              <w:right w:val="dotted" w:sz="4" w:space="0" w:color="auto"/>
            </w:tcBorders>
            <w:hideMark/>
          </w:tcPr>
          <w:p w14:paraId="4D664134" w14:textId="1F824418" w:rsidR="0055252E" w:rsidRDefault="0055252E" w:rsidP="00BF0A72">
            <w:pPr>
              <w:spacing w:after="120" w:line="276" w:lineRule="auto"/>
              <w:jc w:val="both"/>
              <w:rPr>
                <w:rFonts w:ascii="Verdana" w:eastAsia="Arial" w:hAnsi="Verdana" w:cs="Arial"/>
                <w:bCs/>
              </w:rPr>
            </w:pPr>
            <w:r>
              <w:rPr>
                <w:rFonts w:ascii="Verdana" w:eastAsia="Arial" w:hAnsi="Verdana" w:cs="Arial"/>
                <w:bCs/>
              </w:rPr>
              <w:t>i.</w:t>
            </w:r>
            <w:r>
              <w:rPr>
                <w:rFonts w:ascii="Verdana" w:eastAsia="Arial" w:hAnsi="Verdana" w:cs="Arial"/>
                <w:bCs/>
                <w:color w:val="ED7D31" w:themeColor="accent2"/>
              </w:rPr>
              <w:t xml:space="preserve"> </w:t>
            </w:r>
            <w:r>
              <w:rPr>
                <w:rFonts w:ascii="Verdana" w:eastAsia="Arial" w:hAnsi="Verdana" w:cs="Arial"/>
                <w:bCs/>
              </w:rPr>
              <w:t xml:space="preserve">Para dar respuesta al primer problema jurídico, es importante señalar que los municipios, en cumplimiento de las competencias y obligaciones previstas en la Ley 1575 de 2012, </w:t>
            </w:r>
            <w:r w:rsidR="00CF36FB">
              <w:rPr>
                <w:rFonts w:ascii="Verdana" w:eastAsia="Arial" w:hAnsi="Verdana" w:cs="Arial"/>
                <w:bCs/>
              </w:rPr>
              <w:t>“</w:t>
            </w:r>
            <w:r>
              <w:rPr>
                <w:rFonts w:ascii="Verdana" w:eastAsia="Arial" w:hAnsi="Verdana" w:cs="Arial"/>
                <w:bCs/>
              </w:rPr>
              <w:t>Por medio de la cual se establece la Ley General de Bomberos de Colombia</w:t>
            </w:r>
            <w:r w:rsidR="00CF36FB">
              <w:rPr>
                <w:rFonts w:ascii="Verdana" w:eastAsia="Arial" w:hAnsi="Verdana" w:cs="Arial"/>
                <w:bCs/>
              </w:rPr>
              <w:t>”</w:t>
            </w:r>
            <w:r>
              <w:rPr>
                <w:rFonts w:ascii="Verdana" w:eastAsia="Arial" w:hAnsi="Verdana" w:cs="Arial"/>
                <w:bCs/>
              </w:rPr>
              <w:t xml:space="preserve">, deben garantizar la prestación del servicio público esencial de gestión integral del riesgo contra incendios, preparativos y atención de rescates. </w:t>
            </w:r>
          </w:p>
          <w:p w14:paraId="66E03630" w14:textId="77777777" w:rsidR="0055252E" w:rsidRDefault="0055252E" w:rsidP="00BF0A72">
            <w:pPr>
              <w:spacing w:after="120" w:line="276" w:lineRule="auto"/>
              <w:ind w:firstLine="709"/>
              <w:jc w:val="both"/>
              <w:rPr>
                <w:rFonts w:ascii="Verdana" w:eastAsia="Arial" w:hAnsi="Verdana" w:cs="Arial"/>
                <w:bCs/>
              </w:rPr>
            </w:pPr>
            <w:r>
              <w:rPr>
                <w:rFonts w:ascii="Verdana" w:eastAsia="Arial" w:hAnsi="Verdana" w:cs="Arial"/>
                <w:bCs/>
              </w:rPr>
              <w:t>Para tal efecto, pueden celebrar contratos con los Cuerpos de Bomberos Voluntarios, con el propósito de asegurar la prestación de dicho servicio en sus respectivas jurisdicciones, de conformidad con las disposiciones del Estatuto General de Contratación de la Administración Pública y mediante la modalidad de selección que corresponda en cada caso. En ese sentido, los Cuerpos de Bomberos Voluntarios son sujetos capaces de celebrar contratos con entidades estatales y pueden participar en las distintas modalidades de selección previstas en el ordenamiento jurídico.</w:t>
            </w:r>
          </w:p>
          <w:p w14:paraId="428BC886" w14:textId="77777777" w:rsidR="0055252E" w:rsidRDefault="0055252E" w:rsidP="00BF0A72">
            <w:pPr>
              <w:spacing w:after="120" w:line="276" w:lineRule="auto"/>
              <w:jc w:val="both"/>
              <w:rPr>
                <w:rFonts w:ascii="Verdana" w:eastAsia="Arial" w:hAnsi="Verdana" w:cs="Arial"/>
                <w:bCs/>
              </w:rPr>
            </w:pPr>
            <w:r>
              <w:rPr>
                <w:rFonts w:ascii="Verdana" w:eastAsia="Arial" w:hAnsi="Verdana" w:cs="Arial"/>
                <w:bCs/>
              </w:rPr>
              <w:t>ii Ahora bien, frente al segundo problema, es importante indicar que configuración de una causal de contratación directa no opera de manera automática. Por el contrario, corresponde a la entidad estatal verificar las circunstancias fácticas y jurídicas que permitan acreditar su procedencia, justificarla en los estudios previos y motivar adecuadamente la decisión administrativa. Lo anterior, teniendo en cuenta que la contratación directa constituye una excepción a los mecanismos de selección competitiva y, por tanto, las causales que la habilitan son de interpretación restrictiva.</w:t>
            </w:r>
          </w:p>
          <w:p w14:paraId="0798848A" w14:textId="77777777" w:rsidR="0055252E" w:rsidRDefault="0055252E" w:rsidP="00BF0A72">
            <w:pPr>
              <w:spacing w:after="120" w:line="276" w:lineRule="auto"/>
              <w:ind w:firstLine="709"/>
              <w:jc w:val="both"/>
              <w:rPr>
                <w:rFonts w:ascii="Verdana" w:eastAsia="Arial" w:hAnsi="Verdana" w:cs="Arial"/>
                <w:bCs/>
              </w:rPr>
            </w:pPr>
            <w:r>
              <w:rPr>
                <w:rFonts w:ascii="Verdana" w:eastAsia="Arial" w:hAnsi="Verdana" w:cs="Arial"/>
                <w:bCs/>
              </w:rPr>
              <w:t xml:space="preserve">En el caso de la prestación del servicio bomberil, podría configurarse la causal de contratación directa por inexistencia de pluralidad de oferentes </w:t>
            </w:r>
            <w:r>
              <w:rPr>
                <w:rFonts w:ascii="Verdana" w:eastAsia="Arial" w:hAnsi="Verdana" w:cs="Arial"/>
                <w:bCs/>
              </w:rPr>
              <w:lastRenderedPageBreak/>
              <w:t>cuando, como consecuencia de la regulación sectorial, exista un único Cuerpo de Bomberos Voluntarios legalmente habilitado para prestar el servicio en la respectiva jurisdicción. Esta circunstancia deberá acreditarse de manera expresa y suficiente en los estudios y documentos previos. Adicionalmente, la entidad deberá verificar que el Cuerpo de Bomberos Voluntarios cuente con la idoneidad y capacidad necesarias para ejecutar el contrato, lo que comprende disponer de la infraestructura, los equipos y las herramientas requeridos para la prestación del servicio.</w:t>
            </w:r>
          </w:p>
          <w:p w14:paraId="01215D08" w14:textId="77777777" w:rsidR="0055252E" w:rsidRDefault="0055252E" w:rsidP="00BF0A72">
            <w:pPr>
              <w:spacing w:after="120" w:line="276" w:lineRule="auto"/>
              <w:ind w:firstLine="22"/>
              <w:jc w:val="both"/>
              <w:rPr>
                <w:rFonts w:ascii="Verdana" w:hAnsi="Verdana" w:cs="Arial"/>
                <w:color w:val="000000" w:themeColor="text1"/>
              </w:rPr>
            </w:pPr>
            <w:r>
              <w:rPr>
                <w:rFonts w:ascii="Verdana" w:eastAsia="Arial" w:hAnsi="Verdana" w:cs="Arial"/>
                <w:bCs/>
              </w:rPr>
              <w:t xml:space="preserve">iii. </w:t>
            </w:r>
            <w:r>
              <w:rPr>
                <w:rFonts w:ascii="Verdana" w:hAnsi="Verdana" w:cs="Arial"/>
                <w:color w:val="000000" w:themeColor="text1"/>
              </w:rPr>
              <w:t>En relación con el tercer problema jurídico, como se ha señalado en los pronunciamientos de esta Agencia, cuando el análisis del sector evidencie que, por efecto de la regulación sectorial, únicamente un cuerpo de bomberos puede prestar lícitamente el servicio bomberil requerido sin incurrir en la causal de suspensión de su personería jurídica, la entidad podrá sustentar la configuración de la causal de contratación directa prevista en el artículo 2.2.1.2.1.4.8 del Decreto 1082 de 2015, bajo el supuesto de que existe un único proveedor en el territorio nacional que puede satisfacer la necesidad identificada.</w:t>
            </w:r>
          </w:p>
          <w:p w14:paraId="77FAA68A" w14:textId="77777777" w:rsidR="0055252E" w:rsidRDefault="0055252E" w:rsidP="00BF0A72">
            <w:pPr>
              <w:spacing w:after="120" w:line="276" w:lineRule="auto"/>
              <w:ind w:firstLine="741"/>
              <w:jc w:val="both"/>
              <w:rPr>
                <w:rFonts w:ascii="Verdana" w:hAnsi="Verdana" w:cs="Arial"/>
              </w:rPr>
            </w:pPr>
            <w:r>
              <w:rPr>
                <w:rFonts w:ascii="Verdana" w:hAnsi="Verdana" w:cs="Arial"/>
                <w:color w:val="000000" w:themeColor="text1"/>
              </w:rPr>
              <w:t xml:space="preserve">Lo anterior, en razón a que la Ley 1575 de 2012 dispone que solo </w:t>
            </w:r>
            <w:r>
              <w:rPr>
                <w:rFonts w:ascii="Verdana" w:hAnsi="Verdana" w:cs="Arial"/>
                <w:color w:val="000000" w:themeColor="text1"/>
                <w:lang w:val="es-ES"/>
              </w:rPr>
              <w:t xml:space="preserve">puede existir un cuerpo de bomberos voluntario por municipio, y a que el Reglamento Administrativo, Operativo, Técnico y Académico de los Bomberos de Colombia, adoptado mediante la Resolución 0661 de 2014 y modificado mediante la </w:t>
            </w:r>
            <w:r>
              <w:rPr>
                <w:rFonts w:ascii="Verdana" w:hAnsi="Verdana" w:cs="Arial"/>
                <w:lang w:val="es-ES"/>
              </w:rPr>
              <w:t xml:space="preserve">Resolución 1127 de 2018, contempla como causal de suspensión de la personería jurídica el hecho de contratar con municipios o distritos en los que ya exista un cuerpo legalmente reconocido y con certificado de cumplimiento, de modo que los cuerpos de otras jurisdicciones no pueden concurrir sin exponerse a esa consecuencia. </w:t>
            </w:r>
          </w:p>
          <w:p w14:paraId="65D3E388" w14:textId="77777777" w:rsidR="0055252E" w:rsidRDefault="0055252E" w:rsidP="00BF0A72">
            <w:pPr>
              <w:spacing w:after="120" w:line="276" w:lineRule="auto"/>
              <w:ind w:firstLine="741"/>
              <w:jc w:val="both"/>
              <w:rPr>
                <w:rFonts w:ascii="Verdana" w:hAnsi="Verdana" w:cs="Arial"/>
                <w:lang w:val="es-ES"/>
              </w:rPr>
            </w:pPr>
            <w:r>
              <w:rPr>
                <w:rFonts w:ascii="Verdana" w:hAnsi="Verdana" w:cs="Arial"/>
              </w:rPr>
              <w:t xml:space="preserve">Esta interpretación resulta acorde con el deber permanente de garantizar la continuidad del servicio y con el hecho de que, en este sector, la exclusividad no obedece a una posición comercial del prestador, sino a una restricción derivada de su propio régimen jurídico. No obstante, la causal de contratación directa debe aplicarse de manera restrictiva. Por tanto, la entidad deberá justificar su configuración en los estudios y documentos previos, acreditando la regulación aplicable, la existencia y certificación del cuerpo de bomberos local y la imposibilidad jurídica de que otros cuerpos concurran a la prestación del servicio. Asimismo, esta causal no podrá extenderse a objetos </w:t>
            </w:r>
            <w:r>
              <w:rPr>
                <w:rFonts w:ascii="Verdana" w:hAnsi="Verdana" w:cs="Arial"/>
              </w:rPr>
              <w:lastRenderedPageBreak/>
              <w:t>contractuales distintos de la prestación del servicio esencial, como la adquisición de bienes, dotaciones o vehículos, ni a la ejecución de obras, respecto de los cuales puede existir libre concurrencia, incluso cuando participen cuerpos de bomberos voluntarios.</w:t>
            </w:r>
          </w:p>
          <w:p w14:paraId="0CCCD743" w14:textId="77777777" w:rsidR="0055252E" w:rsidRDefault="0055252E" w:rsidP="00BF0A72">
            <w:pPr>
              <w:spacing w:after="120" w:line="276" w:lineRule="auto"/>
              <w:ind w:firstLine="22"/>
              <w:jc w:val="both"/>
              <w:rPr>
                <w:rFonts w:ascii="Verdana" w:hAnsi="Verdana" w:cs="Arial"/>
              </w:rPr>
            </w:pPr>
            <w:r>
              <w:rPr>
                <w:rFonts w:ascii="Verdana" w:hAnsi="Verdana" w:cs="Arial"/>
                <w:lang w:val="es-ES"/>
              </w:rPr>
              <w:t>iv. Respecto del cuarto problema jurídico, hay que tener en cuenta que, l</w:t>
            </w:r>
            <w:r>
              <w:rPr>
                <w:rFonts w:ascii="Verdana" w:hAnsi="Verdana" w:cs="Arial"/>
              </w:rPr>
              <w:t>a procedencia de esta posibilidad depende de la naturaleza y el alcance del objeto contractual. Al respecto, el artículo 3 de la Ley 1575 de 2012 establece que corresponde a los municipios y distritos garantizar la prestación del servicio público esencial de gestión integral del riesgo contra incendios, rescates y atención de incidentes con materiales peligrosos, directamente a través de cuerpos de bomberos oficiales o mediante la celebración de contratos o convenios con cuerpos de bomberos voluntarios. Asimismo, dispone que los entes territoriales deben incorporar en sus instrumentos de planificación territorial e inversión pública las políticas, estrategias, programas, proyectos y la cofinanciación relacionados con la prestación de este servicio.</w:t>
            </w:r>
          </w:p>
          <w:p w14:paraId="296AECAC" w14:textId="77777777" w:rsidR="0055252E" w:rsidRDefault="0055252E" w:rsidP="00BF0A72">
            <w:pPr>
              <w:spacing w:after="120" w:line="276" w:lineRule="auto"/>
              <w:ind w:firstLine="741"/>
              <w:jc w:val="both"/>
              <w:rPr>
                <w:rFonts w:ascii="Verdana" w:hAnsi="Verdana" w:cs="Arial"/>
              </w:rPr>
            </w:pPr>
            <w:r>
              <w:rPr>
                <w:rFonts w:ascii="Verdana" w:hAnsi="Verdana" w:cs="Arial"/>
              </w:rPr>
              <w:t>En este contexto, la inclusión de componentes dirigidos al fortalecimiento de la capacidad operativa de los cuerpos de bomberos deberá analizarse en función de su relación directa con la finalidad del contrato y de la existencia de una unidad de objeto que justifique su integración. En todo caso, la obligación de garantizar la prestación del servicio y de promover las inversiones necesarias para ello no implica que la adquisición de bienes, dotaciones, vehículos o la ejecución de obras deba contratarse necesariamente con el cuerpo de bomberos encargado de prestar el servicio, ni que tales componentes queden excluidos de las reglas de selección objetiva. Por consiguiente, la entidad deberá determinar la modalidad de selección aplicable atendiendo a la naturaleza y el alcance de las prestaciones que integran el objeto contractual.</w:t>
            </w:r>
          </w:p>
          <w:p w14:paraId="06065955" w14:textId="77777777" w:rsidR="0055252E" w:rsidRDefault="0055252E" w:rsidP="00BF0A72">
            <w:pPr>
              <w:spacing w:after="120" w:line="276" w:lineRule="auto"/>
              <w:ind w:firstLine="22"/>
              <w:jc w:val="both"/>
              <w:rPr>
                <w:rFonts w:ascii="Verdana" w:eastAsia="Arial" w:hAnsi="Verdana" w:cs="Arial"/>
                <w:bCs/>
              </w:rPr>
            </w:pPr>
            <w:r>
              <w:rPr>
                <w:rFonts w:ascii="Verdana" w:hAnsi="Verdana" w:cs="Arial"/>
              </w:rPr>
              <w:t>v. En cuanto al quinto problema jurídico sobre la</w:t>
            </w:r>
            <w:r>
              <w:rPr>
                <w:rFonts w:ascii="Verdana" w:eastAsia="Arial" w:hAnsi="Verdana" w:cs="Arial"/>
                <w:bCs/>
              </w:rPr>
              <w:t xml:space="preserve"> posibilidad de celebrar convenios de asociación con cuerpos de bomberos voluntarios, es necesario precisar que la procedencia de este instrumento depende de la finalidad perseguida y de la naturaleza de la relación que se pretende establecer entre las partes. En este sentido, el artículo 96 de la Ley 489 de 1998, reglamentado por el Decreto 092 de 2017, permite a las entidades estatales asociarse con personas jurídicas particulares para el desarrollo conjunto de actividades </w:t>
            </w:r>
            <w:r>
              <w:rPr>
                <w:rFonts w:ascii="Verdana" w:eastAsia="Arial" w:hAnsi="Verdana" w:cs="Arial"/>
                <w:bCs/>
              </w:rPr>
              <w:lastRenderedPageBreak/>
              <w:t>relacionadas con los cometidos y las funciones que la ley les asigna, siempre que se cumplan los requisitos previstos en dichas disposiciones.</w:t>
            </w:r>
          </w:p>
          <w:p w14:paraId="3C9DB2FF" w14:textId="77777777" w:rsidR="0055252E" w:rsidRDefault="0055252E" w:rsidP="00BF0A72">
            <w:pPr>
              <w:spacing w:after="120" w:line="276" w:lineRule="auto"/>
              <w:ind w:firstLine="709"/>
              <w:jc w:val="both"/>
              <w:rPr>
                <w:rFonts w:ascii="Verdana" w:eastAsia="Arial" w:hAnsi="Verdana" w:cs="Arial"/>
                <w:bCs/>
              </w:rPr>
            </w:pPr>
            <w:r>
              <w:rPr>
                <w:rFonts w:ascii="Verdana" w:eastAsia="Arial" w:hAnsi="Verdana" w:cs="Arial"/>
                <w:bCs/>
              </w:rPr>
              <w:t>Por consiguiente, el municipio podrá celebrar un convenio de asociación con un cuerpo de bomberos voluntarios cuando el objeto corresponda al desarrollo conjunto de actividades de interés público y se satisfagan los presupuestos legales aplicables. Sin embargo, este instrumento no puede utilizarse para eludir las reglas de selección previstas en el Estatuto General de Contratación de la Administración Pública, particularmente cuando la relación tenga carácter conmutativo y su finalidad consista en adquirir bienes o servicios a cambio de una contraprestación. En consecuencia, la sola naturaleza jurídica del cuerpo de bomberos voluntarios ni su participación en la prestación de un servicio público esencial determinan, por sí mismas, la procedencia del convenio de asociación, pues esta deberá establecerse a partir del objeto y de las condiciones concretas de la relación jurídica que se pretende celebrar.</w:t>
            </w:r>
          </w:p>
          <w:p w14:paraId="08E8C56B" w14:textId="77777777" w:rsidR="0055252E" w:rsidRDefault="0055252E" w:rsidP="00BF0A72">
            <w:pPr>
              <w:spacing w:after="120" w:line="276" w:lineRule="auto"/>
              <w:ind w:firstLine="22"/>
              <w:jc w:val="both"/>
              <w:rPr>
                <w:rFonts w:ascii="Verdana" w:eastAsia="Arial" w:hAnsi="Verdana" w:cs="Arial"/>
                <w:bCs/>
              </w:rPr>
            </w:pPr>
            <w:r>
              <w:rPr>
                <w:rFonts w:ascii="Verdana" w:eastAsia="Arial" w:hAnsi="Verdana" w:cs="Arial"/>
                <w:bCs/>
              </w:rPr>
              <w:t>vi. En el sexto problema jurídico sobre la posibilidad de utilizar el Decreto 092 de 2017 para transferir recursos destinados al fortalecimiento institucional de un cuerpo de bomberos voluntarios, es pertinente indicar que, dependerá de la naturaleza, la finalidad y las condiciones de ejecución del negocio jurídico. Es decir, cuando se pretenda desarrollar conjuntamente actividades de interés público mediante la articulación de esfuerzos y se cumplan los requisitos establecidos en el artículo 96 de la Ley 489 de 1998 y el Decreto 092 de 2017, podrá acudirse a la celebración de un convenio de asociación con una entidad sin ánimo de lucro. Por el contrario, cuando la finalidad principal consista en adquirir bienes o servicios específicos para satisfacer una necesidad de la entidad estatal, deberán aplicarse las reglas de selección correspondientes al régimen general de contratación pública.</w:t>
            </w:r>
          </w:p>
          <w:p w14:paraId="64EA591C" w14:textId="77777777" w:rsidR="0055252E" w:rsidRDefault="0055252E" w:rsidP="00BF0A72">
            <w:pPr>
              <w:spacing w:after="120" w:line="276" w:lineRule="auto"/>
              <w:ind w:firstLine="709"/>
              <w:jc w:val="both"/>
              <w:rPr>
                <w:rFonts w:ascii="Verdana" w:eastAsia="Arial" w:hAnsi="Verdana" w:cs="Arial"/>
                <w:bCs/>
              </w:rPr>
            </w:pPr>
            <w:r>
              <w:rPr>
                <w:rFonts w:ascii="Verdana" w:eastAsia="Arial" w:hAnsi="Verdana" w:cs="Arial"/>
                <w:bCs/>
              </w:rPr>
              <w:t>Sin embargo, la celebración de estos convenios debe respetar las restricciones constitucionales y legales aplicables al manejo de los recursos públicos. En particular, el artículo 355 de la Constitución Política impide utilizar este instrumento como mecanismo para efectuar donaciones o auxilios a favor de particulares. Por tanto, la destinación de recursos al fortalecimiento institucional de un cuerpo de bomberos voluntarios no puede traducirse en una transferencia gratuita de bienes o recursos públicos al margen de las condiciones que habilitan la actuación de la Administración.</w:t>
            </w:r>
          </w:p>
          <w:p w14:paraId="0D696CB4" w14:textId="77777777" w:rsidR="0055252E" w:rsidRDefault="0055252E" w:rsidP="00BF0A72">
            <w:pPr>
              <w:spacing w:after="120" w:line="276" w:lineRule="auto"/>
              <w:ind w:firstLine="709"/>
              <w:jc w:val="both"/>
              <w:rPr>
                <w:rFonts w:ascii="Verdana" w:eastAsia="Arial" w:hAnsi="Verdana" w:cs="Arial"/>
                <w:bCs/>
              </w:rPr>
            </w:pPr>
            <w:r>
              <w:rPr>
                <w:rFonts w:ascii="Verdana" w:eastAsia="Arial" w:hAnsi="Verdana" w:cs="Arial"/>
                <w:bCs/>
              </w:rPr>
              <w:lastRenderedPageBreak/>
              <w:t>En todo caso, cuando la ejecución conjunta del convenio requiera equipos, maquinaria, herramientas u otros elementos, la entidad estatal podrá evaluar su adquisición e incorporación como aportes destinados al desarrollo del objeto convenido, siempre que exista una justificación suficiente de su necesidad y se encuentren directamente vinculados con las actividades acordadas. Esta posibilidad no implica, por sí misma, que pueda transferirse la propiedad de dichos bienes al cuerpo de bomberos voluntarios, pues deberá observarse el régimen jurídico aplicable y evitar que el convenio se convierta en un mecanismo de donación. Asimismo, deberá garantizarse que la entidad sin ánimo de lucro realice los aportes que correspondan, de conformidad con las condiciones previstas en la normativa aplicable.</w:t>
            </w:r>
          </w:p>
          <w:p w14:paraId="207BED97" w14:textId="77777777" w:rsidR="0055252E" w:rsidRDefault="0055252E" w:rsidP="00BF0A72">
            <w:pPr>
              <w:spacing w:after="120" w:line="276" w:lineRule="auto"/>
              <w:ind w:firstLine="709"/>
              <w:jc w:val="both"/>
              <w:rPr>
                <w:rFonts w:ascii="Verdana" w:eastAsia="Arial" w:hAnsi="Verdana" w:cs="Arial"/>
                <w:bCs/>
              </w:rPr>
            </w:pPr>
            <w:r>
              <w:rPr>
                <w:rFonts w:ascii="Verdana" w:eastAsia="Arial" w:hAnsi="Verdana" w:cs="Arial"/>
                <w:bCs/>
              </w:rPr>
              <w:t>En consecuencia, la procedencia del convenio no depende exclusivamente de que los recursos se destinen al fortalecimiento de un cuerpo de bomberos voluntarios, sino de que exista una verdadera relación de colaboración para alcanzar una finalidad común de interés público, sin que el instrumento se utilice para encubrir una adquisición de bienes o servicios o para realizar una transferencia gratuita de recursos públicos.</w:t>
            </w:r>
          </w:p>
          <w:p w14:paraId="4D56762C" w14:textId="77777777" w:rsidR="0055252E" w:rsidRDefault="0055252E" w:rsidP="00BF0A72">
            <w:pPr>
              <w:spacing w:after="120" w:line="276" w:lineRule="auto"/>
              <w:jc w:val="both"/>
              <w:rPr>
                <w:rFonts w:ascii="Verdana" w:eastAsia="Arial" w:hAnsi="Verdana" w:cs="Arial"/>
                <w:bCs/>
              </w:rPr>
            </w:pPr>
            <w:r>
              <w:rPr>
                <w:rFonts w:ascii="Verdana" w:eastAsia="Arial" w:hAnsi="Verdana" w:cs="Arial"/>
                <w:bCs/>
              </w:rPr>
              <w:t>vii. Finalmente, en relación con el último interrogante frente a la posibilidad de transferir una suma global al cuerpo de bomberos voluntarios sin identificar previamente los bienes o actividades que serán financiados, es necesario señalar que esta práctica no resulta compatible con los deberes de planeación y responsabilidad que rigen la contratación estatal. La entidad estatal debe identificar el objeto contractual, determinar las actividades que se ejecutarán, establecer la necesidad que pretende satisfacer y justificar la destinación de los recursos públicos comprometidos. La adecuada planeación constituye un presupuesto para la correcta estructuración y ejecución del negocio jurídico, así como para la eficiencia en la gestión de los recursos públicos.</w:t>
            </w:r>
          </w:p>
          <w:p w14:paraId="0900584B" w14:textId="77777777" w:rsidR="0055252E" w:rsidRDefault="0055252E" w:rsidP="00BF0A72">
            <w:pPr>
              <w:spacing w:after="120" w:line="276" w:lineRule="auto"/>
              <w:ind w:firstLine="709"/>
              <w:jc w:val="both"/>
              <w:rPr>
                <w:rFonts w:ascii="Verdana" w:eastAsia="Arial" w:hAnsi="Verdana" w:cs="Arial"/>
                <w:bCs/>
              </w:rPr>
            </w:pPr>
            <w:r>
              <w:rPr>
                <w:rFonts w:ascii="Verdana" w:eastAsia="Arial" w:hAnsi="Verdana" w:cs="Arial"/>
                <w:bCs/>
              </w:rPr>
              <w:t xml:space="preserve">En consecuencia, corresponde a la entidad estructurar adecuadamente el negocio jurídico y definir los elementos necesarios para justificar la inversión de los recursos públicos. Para ello, deberá identificar las actividades por desarrollar y, cuando corresponda, los bienes requeridos, sus cantidades, especificaciones técnicas y valores estimados, de manera que el objeto y el alcance de las obligaciones se encuentren debidamente determinados. Esta exigencia constituye una manifestación del principio de planeación y permite </w:t>
            </w:r>
            <w:r>
              <w:rPr>
                <w:rFonts w:ascii="Verdana" w:eastAsia="Arial" w:hAnsi="Verdana" w:cs="Arial"/>
                <w:bCs/>
              </w:rPr>
              <w:lastRenderedPageBreak/>
              <w:t>ejercer los controles administrativos, fiscales y contractuales correspondientes.</w:t>
            </w:r>
          </w:p>
          <w:p w14:paraId="6D47F4B5" w14:textId="77777777" w:rsidR="0055252E" w:rsidRDefault="0055252E" w:rsidP="00BF0A72">
            <w:pPr>
              <w:spacing w:after="120" w:line="276" w:lineRule="auto"/>
              <w:ind w:firstLine="709"/>
              <w:jc w:val="both"/>
              <w:rPr>
                <w:rFonts w:ascii="Verdana" w:eastAsia="Arial" w:hAnsi="Verdana" w:cs="Arial"/>
                <w:bCs/>
              </w:rPr>
            </w:pPr>
            <w:r>
              <w:rPr>
                <w:rFonts w:ascii="Verdana" w:eastAsia="Arial" w:hAnsi="Verdana" w:cs="Arial"/>
                <w:bCs/>
              </w:rPr>
              <w:t>Por tanto, la ejecución de los recursos públicos debe sujetarse al objeto, alcance, actividades y obligaciones previamente definidos en el respectivo contrato o convenio. Si bien el cuerpo de bomberos voluntarios puede contar con autonomía para organizar y desarrollar las actividades a su cargo, esta no implica una facultad para decidir libremente el destino de los recursos públicos aportados por el municipio. En ese sentido, dicha autonomía debe ejercerse dentro de los límites establecidos en el negocio jurídico y con sujeción a las condiciones de ejecución, seguimiento y control previstas por la entidad estatal, sin que sea admisible una transferencia global de recursos que carezca de una destinación previamente justificada y delimitada.</w:t>
            </w:r>
          </w:p>
          <w:p w14:paraId="7C83BE2F" w14:textId="77777777" w:rsidR="0055252E" w:rsidRDefault="0055252E" w:rsidP="00BF0A72">
            <w:pPr>
              <w:spacing w:after="120" w:line="276" w:lineRule="auto"/>
              <w:ind w:firstLine="22"/>
              <w:jc w:val="both"/>
              <w:rPr>
                <w:rStyle w:val="s15"/>
              </w:rPr>
            </w:pPr>
            <w:r>
              <w:rPr>
                <w:rFonts w:ascii="Verdana" w:eastAsia="Calibri" w:hAnsi="Verdana"/>
                <w:bCs/>
              </w:rPr>
              <w:t xml:space="preserve">viii. Al margen de la explicación precedente debe advertirse que </w:t>
            </w:r>
            <w:r>
              <w:rPr>
                <w:rStyle w:val="s15"/>
                <w:rFonts w:ascii="Verdana" w:hAnsi="Verdana"/>
              </w:rPr>
              <w:t>el análisis requerido para resolver problemas específicos en torno a la gestión contractual debe ser realizado por quienes tengan interés en ello, de acuerdo con lo explicado la aclaración preliminar del presente oficio.</w:t>
            </w:r>
            <w:r>
              <w:rPr>
                <w:rStyle w:val="apple-converted-space"/>
                <w:rFonts w:ascii="Verdana" w:hAnsi="Verdana"/>
              </w:rPr>
              <w:t> </w:t>
            </w:r>
            <w:r>
              <w:rPr>
                <w:rStyle w:val="s15"/>
                <w:rFonts w:ascii="Verdana" w:hAnsi="Verdana"/>
              </w:rPr>
              <w:t>Por lo anterior, previo</w:t>
            </w:r>
            <w:r>
              <w:rPr>
                <w:rStyle w:val="apple-converted-space"/>
                <w:rFonts w:ascii="Verdana" w:hAnsi="Verdana"/>
              </w:rPr>
              <w:t> </w:t>
            </w:r>
            <w:r>
              <w:rPr>
                <w:rStyle w:val="s15"/>
                <w:rFonts w:ascii="Verdana" w:hAnsi="Verdana"/>
              </w:rPr>
              <w:t xml:space="preserve">concepto de sus asesores, la solución de situaciones particulares corresponde a los interesados adoptar la decisión correspondiente y, en caso de conflicto, a las autoridades judiciales, fiscales y disciplinarias. </w:t>
            </w:r>
          </w:p>
          <w:p w14:paraId="652409C8" w14:textId="77777777" w:rsidR="0055252E" w:rsidRDefault="0055252E">
            <w:pPr>
              <w:spacing w:after="120" w:line="276" w:lineRule="auto"/>
              <w:ind w:right="79" w:firstLine="709"/>
              <w:jc w:val="both"/>
              <w:rPr>
                <w:color w:val="2F5496" w:themeColor="accent1" w:themeShade="BF"/>
              </w:rPr>
            </w:pPr>
            <w:r>
              <w:rPr>
                <w:rFonts w:ascii="Verdana" w:hAnsi="Verdana"/>
              </w:rPr>
              <w:t>Sin perjuicio de lo anterior, se precisa que los conceptos emitidos por esta Subdirección en el marco de la función consultiva representan una posición hermenéutica respecto de las disposiciones normativas del Sistema de Compras Públicas, que no tiene efectos vinculantes frente a una situación jurídica particular y concreta y que, aunque jurídicamente fundamentada, no constituye la única interpretación válida del ordenamiento. Por tanto, cada entidad definirá la forma de adelantar su gestión contractual, sin que sea atribución de Colombia Compra Eficiente validar sus actuaciones.</w:t>
            </w:r>
          </w:p>
        </w:tc>
      </w:tr>
    </w:tbl>
    <w:p w14:paraId="13620B6D" w14:textId="77777777" w:rsidR="0055252E" w:rsidRDefault="0055252E" w:rsidP="0055252E">
      <w:pPr>
        <w:tabs>
          <w:tab w:val="left" w:pos="142"/>
          <w:tab w:val="left" w:pos="284"/>
        </w:tabs>
        <w:spacing w:after="0" w:line="276" w:lineRule="auto"/>
        <w:jc w:val="both"/>
        <w:rPr>
          <w:rFonts w:ascii="Verdana" w:eastAsia="Century Gothic" w:hAnsi="Verdana" w:cs="Century Gothic"/>
          <w:b/>
          <w:bCs/>
          <w:color w:val="2F5496" w:themeColor="accent1" w:themeShade="BF"/>
          <w:lang w:val="es-ES"/>
        </w:rPr>
      </w:pPr>
    </w:p>
    <w:p w14:paraId="335D1F9A" w14:textId="77777777" w:rsidR="0055252E" w:rsidRDefault="0055252E" w:rsidP="0055252E">
      <w:pPr>
        <w:tabs>
          <w:tab w:val="left" w:pos="142"/>
          <w:tab w:val="left" w:pos="284"/>
        </w:tabs>
        <w:spacing w:after="0" w:line="276" w:lineRule="auto"/>
        <w:jc w:val="both"/>
        <w:rPr>
          <w:rFonts w:ascii="Verdana" w:eastAsia="Century Gothic" w:hAnsi="Verdana" w:cs="Century Gothic"/>
          <w:b/>
          <w:lang w:val="es-ES"/>
        </w:rPr>
      </w:pPr>
      <w:r>
        <w:rPr>
          <w:rFonts w:ascii="Verdana" w:eastAsia="Century Gothic" w:hAnsi="Verdana" w:cs="Century Gothic"/>
          <w:b/>
          <w:lang w:val="es-ES"/>
        </w:rPr>
        <w:t>3. Razones de la respuesta:</w:t>
      </w:r>
    </w:p>
    <w:p w14:paraId="169229F8" w14:textId="77777777" w:rsidR="0055252E" w:rsidRDefault="0055252E" w:rsidP="0055252E">
      <w:pPr>
        <w:spacing w:after="0" w:line="276" w:lineRule="auto"/>
        <w:jc w:val="both"/>
        <w:rPr>
          <w:rFonts w:ascii="Verdana" w:eastAsia="Calibri" w:hAnsi="Verdana" w:cs="Arial"/>
          <w:lang w:val="es-ES"/>
        </w:rPr>
      </w:pPr>
    </w:p>
    <w:p w14:paraId="0060CC77" w14:textId="77777777" w:rsidR="0055252E" w:rsidRDefault="0055252E" w:rsidP="0055252E">
      <w:pPr>
        <w:spacing w:after="0" w:line="276" w:lineRule="auto"/>
        <w:jc w:val="both"/>
        <w:rPr>
          <w:rFonts w:ascii="Verdana" w:eastAsia="Calibri" w:hAnsi="Verdana" w:cs="Arial"/>
          <w:lang w:val="es-ES"/>
        </w:rPr>
      </w:pPr>
      <w:r>
        <w:rPr>
          <w:rFonts w:ascii="Verdana" w:eastAsia="Calibri" w:hAnsi="Verdana" w:cs="Arial"/>
          <w:lang w:val="es-ES"/>
        </w:rPr>
        <w:t xml:space="preserve">Las respuestas anteriores se sustentan en las siguientes consideraciones: </w:t>
      </w:r>
    </w:p>
    <w:p w14:paraId="1C909BA4" w14:textId="77777777" w:rsidR="0055252E" w:rsidRDefault="0055252E" w:rsidP="0055252E">
      <w:pPr>
        <w:tabs>
          <w:tab w:val="left" w:pos="142"/>
          <w:tab w:val="left" w:pos="284"/>
        </w:tabs>
        <w:spacing w:after="0" w:line="276" w:lineRule="auto"/>
        <w:jc w:val="both"/>
        <w:rPr>
          <w:rFonts w:ascii="Verdana" w:eastAsia="Century Gothic" w:hAnsi="Verdana" w:cs="Century Gothic"/>
          <w:b/>
          <w:color w:val="2F5496" w:themeColor="accent1" w:themeShade="BF"/>
          <w:lang w:val="es-ES"/>
        </w:rPr>
      </w:pPr>
    </w:p>
    <w:p w14:paraId="72AFB513" w14:textId="77777777" w:rsidR="0055252E" w:rsidRDefault="0055252E" w:rsidP="0055252E">
      <w:pPr>
        <w:spacing w:after="120" w:line="276" w:lineRule="auto"/>
        <w:jc w:val="both"/>
        <w:rPr>
          <w:rFonts w:ascii="Verdana" w:eastAsia="Times New Roman" w:hAnsi="Verdana" w:cs="Arial"/>
          <w:bCs/>
          <w:lang w:val="es-ES" w:eastAsia="es-CO"/>
        </w:rPr>
      </w:pPr>
      <w:r>
        <w:rPr>
          <w:rFonts w:ascii="Verdana" w:eastAsia="Verdana" w:hAnsi="Verdana" w:cs="Verdana"/>
          <w:lang w:val="es-ES"/>
        </w:rPr>
        <w:t xml:space="preserve">i. </w:t>
      </w:r>
      <w:r>
        <w:rPr>
          <w:rFonts w:ascii="Verdana" w:eastAsia="Times New Roman" w:hAnsi="Verdana" w:cs="Arial"/>
          <w:bCs/>
          <w:lang w:val="es-ES" w:eastAsia="es-CO"/>
        </w:rPr>
        <w:t xml:space="preserve">El artículo 1 de </w:t>
      </w:r>
      <w:r>
        <w:rPr>
          <w:rFonts w:ascii="Verdana" w:eastAsia="Times New Roman" w:hAnsi="Verdana" w:cs="Arial"/>
          <w:lang w:val="es-ES" w:eastAsia="es-CO"/>
        </w:rPr>
        <w:t xml:space="preserve">la </w:t>
      </w:r>
      <w:r>
        <w:rPr>
          <w:rFonts w:ascii="Verdana" w:eastAsia="Times New Roman" w:hAnsi="Verdana" w:cs="Arial"/>
          <w:bCs/>
          <w:lang w:val="es-ES" w:eastAsia="es-CO"/>
        </w:rPr>
        <w:t xml:space="preserve">Ley 1575 de 2012, denominada </w:t>
      </w:r>
      <w:r>
        <w:rPr>
          <w:rFonts w:ascii="Verdana" w:eastAsia="Times New Roman" w:hAnsi="Verdana" w:cs="Arial"/>
          <w:bCs/>
          <w:i/>
          <w:iCs/>
          <w:lang w:val="es-ES" w:eastAsia="es-CO"/>
        </w:rPr>
        <w:t>“Ley General de Bomberos de Colombia”</w:t>
      </w:r>
      <w:r>
        <w:rPr>
          <w:rFonts w:ascii="Verdana" w:eastAsia="Times New Roman" w:hAnsi="Verdana" w:cs="Arial"/>
          <w:bCs/>
          <w:lang w:val="es-ES" w:eastAsia="es-CO"/>
        </w:rPr>
        <w:t xml:space="preserve">, dispone que la gestión integral del riesgo contra incendio, la preparación y atención de rescates en todas sus modalidades y la respuesta a </w:t>
      </w:r>
      <w:r>
        <w:rPr>
          <w:rFonts w:ascii="Verdana" w:eastAsia="Times New Roman" w:hAnsi="Verdana" w:cs="Arial"/>
          <w:bCs/>
          <w:lang w:val="es-ES" w:eastAsia="es-CO"/>
        </w:rPr>
        <w:lastRenderedPageBreak/>
        <w:t>incidentes con materiales peligrosos constituyen una responsabilidad concurrente de las autoridades y de los habitantes del territorio nacional, con especial énfasis en los municipios, los departamentos y la Nación</w:t>
      </w:r>
      <w:r>
        <w:rPr>
          <w:rFonts w:ascii="Verdana" w:hAnsi="Verdana" w:cs="Arial"/>
          <w:bCs/>
          <w:lang w:val="es-ES"/>
        </w:rPr>
        <w:t>, sin perjuicio de las competencias asignadas a las demás entidades que integran el Sistema Nacional para la Prevención y Atención de Desastres</w:t>
      </w:r>
      <w:r>
        <w:rPr>
          <w:rFonts w:ascii="Verdana" w:eastAsia="Times New Roman" w:hAnsi="Verdana" w:cs="Arial"/>
          <w:bCs/>
          <w:vertAlign w:val="superscript"/>
          <w:lang w:val="es-ES" w:eastAsia="es-CO"/>
        </w:rPr>
        <w:footnoteReference w:id="1"/>
      </w:r>
      <w:r>
        <w:rPr>
          <w:rFonts w:ascii="Verdana" w:hAnsi="Verdana" w:cs="Arial"/>
          <w:bCs/>
          <w:lang w:val="es-ES"/>
        </w:rPr>
        <w:t>.</w:t>
      </w:r>
      <w:r>
        <w:rPr>
          <w:rFonts w:ascii="Verdana" w:hAnsi="Verdana" w:cs="Arial"/>
          <w:lang w:val="es-ES"/>
        </w:rPr>
        <w:t xml:space="preserve"> </w:t>
      </w:r>
      <w:r>
        <w:rPr>
          <w:rFonts w:ascii="Verdana" w:eastAsia="Times New Roman" w:hAnsi="Verdana" w:cs="Arial"/>
          <w:bCs/>
          <w:lang w:val="es-ES" w:eastAsia="es-CO"/>
        </w:rPr>
        <w:t xml:space="preserve">De acuerdo con esto, la norma dispone un esquema de </w:t>
      </w:r>
      <w:r>
        <w:rPr>
          <w:rFonts w:ascii="Verdana" w:eastAsia="Times New Roman" w:hAnsi="Verdana" w:cs="Arial"/>
          <w:bCs/>
          <w:i/>
          <w:iCs/>
          <w:lang w:val="es-ES" w:eastAsia="es-CO"/>
        </w:rPr>
        <w:t>responsabilidad compartida</w:t>
      </w:r>
      <w:r>
        <w:rPr>
          <w:rFonts w:ascii="Verdana" w:eastAsia="Times New Roman" w:hAnsi="Verdana" w:cs="Arial"/>
          <w:bCs/>
          <w:lang w:val="es-ES" w:eastAsia="es-CO"/>
        </w:rPr>
        <w:t xml:space="preserve">, en el marco del cual las entidades públicas y privadas deben incorporar la contingencia asociada a estos riesgos en la administración de sus bienes muebles e inmuebles —incluidos parques naturales, edificaciones, desarrollos urbanísticos e instalaciones— y adelantar planes, programas y proyectos orientados a reducir su vulnerabilidad y fortalecer la prevención y atención de tales eventos. </w:t>
      </w:r>
    </w:p>
    <w:p w14:paraId="59C2819A" w14:textId="77777777" w:rsidR="0055252E" w:rsidRDefault="0055252E" w:rsidP="0055252E">
      <w:pPr>
        <w:spacing w:after="120" w:line="276" w:lineRule="auto"/>
        <w:jc w:val="both"/>
        <w:rPr>
          <w:rFonts w:ascii="Verdana" w:eastAsia="Times New Roman" w:hAnsi="Verdana" w:cs="Arial"/>
          <w:bCs/>
          <w:lang w:val="es-ES" w:eastAsia="es-CO"/>
        </w:rPr>
      </w:pPr>
      <w:r>
        <w:rPr>
          <w:rFonts w:ascii="Verdana" w:eastAsia="Times New Roman" w:hAnsi="Verdana" w:cs="Arial"/>
          <w:bCs/>
          <w:lang w:val="es-ES" w:eastAsia="es-CO"/>
        </w:rPr>
        <w:tab/>
        <w:t xml:space="preserve">En consonancia con lo anterior, el artículo 2 </w:t>
      </w:r>
      <w:r>
        <w:rPr>
          <w:rFonts w:ascii="Verdana" w:hAnsi="Verdana" w:cs="Arial"/>
          <w:bCs/>
          <w:lang w:val="es-ES"/>
        </w:rPr>
        <w:t xml:space="preserve">dispone que la gestión integral del riesgo contra incendio, la preparación y atención de rescates en todas sus modalidades y la respuesta a incidentes con materiales peligrosos se encuentran a cargo de las instituciones bomberiles y, para todos los efectos, constituyen un servicio público esencial bajo responsabilidad del Estado. </w:t>
      </w:r>
      <w:r>
        <w:rPr>
          <w:rFonts w:ascii="Verdana" w:eastAsia="Times New Roman" w:hAnsi="Verdana" w:cs="Arial"/>
          <w:bCs/>
          <w:lang w:val="es-ES" w:eastAsia="es-CO"/>
        </w:rPr>
        <w:t>En ese sentido, corresponde al Estado garantizar su prestación eficiente a todos los habitantes del territorio nacional, de manera directa a través de los Cuerpos de Bomberos Oficiales, Voluntarios y aeronáuticos, asegurando la continuidad y cobertura de este servicio.</w:t>
      </w:r>
    </w:p>
    <w:p w14:paraId="15F2D9C6" w14:textId="77777777" w:rsidR="0055252E" w:rsidRDefault="0055252E" w:rsidP="0055252E">
      <w:pPr>
        <w:spacing w:line="276" w:lineRule="auto"/>
        <w:jc w:val="both"/>
        <w:rPr>
          <w:rFonts w:ascii="Verdana" w:hAnsi="Verdana"/>
          <w:lang w:val="es-ES"/>
        </w:rPr>
      </w:pPr>
      <w:r>
        <w:rPr>
          <w:rFonts w:ascii="Verdana" w:eastAsia="Times New Roman" w:hAnsi="Verdana" w:cs="Arial"/>
          <w:bCs/>
          <w:lang w:val="es-ES" w:eastAsia="es-CO"/>
        </w:rPr>
        <w:tab/>
        <w:t xml:space="preserve">Por su parte, el artículo 3 de la Ley 1575 de 2012 establece el marco conceptual y los principios que orientan la organización, dirección y prestación del servicio público esencial de gestión integral del riesgo contra incendio, así como las actividades de rescate y atención de incidentes con materiales peligrosos. Para el efecto, el inciso cuarto de la norma establece que: “Es obligación de los distritos, con asiento en su respectiva jurisdicción y de los municipios la prestación del servicio público esencial a través de los cuerpos de bomberos oficiales o </w:t>
      </w:r>
      <w:r>
        <w:rPr>
          <w:rFonts w:ascii="Verdana" w:eastAsia="Times New Roman" w:hAnsi="Verdana" w:cs="Arial"/>
          <w:bCs/>
          <w:i/>
          <w:iCs/>
          <w:lang w:val="es-ES" w:eastAsia="es-CO"/>
        </w:rPr>
        <w:t>mediante la celebración de contratos y/o convenios con los cuerpos de bomberos voluntarios</w:t>
      </w:r>
      <w:r>
        <w:rPr>
          <w:rFonts w:ascii="Verdana" w:eastAsia="Times New Roman" w:hAnsi="Verdana" w:cs="Arial"/>
          <w:bCs/>
          <w:lang w:val="es-ES" w:eastAsia="es-CO"/>
        </w:rPr>
        <w:t xml:space="preserve">” [Énfasis fuera de texto]. En este sentido, </w:t>
      </w:r>
      <w:r>
        <w:rPr>
          <w:rFonts w:ascii="Verdana" w:eastAsia="Arial" w:hAnsi="Verdana" w:cs="Arial"/>
          <w:lang w:val="es-ES"/>
        </w:rPr>
        <w:t xml:space="preserve">la </w:t>
      </w:r>
      <w:r>
        <w:rPr>
          <w:rFonts w:ascii="Verdana" w:eastAsia="Arial" w:hAnsi="Verdana" w:cs="Arial"/>
          <w:lang w:val="es-ES"/>
        </w:rPr>
        <w:lastRenderedPageBreak/>
        <w:t>expresión empleada por el legislador tiene carácter imperativo, de modo que impone un deber permanente de organización, financiación y garantía del servicio. Por esta razón, cuando la entidad territorial carece de cuerpo oficial, el instrumento contractual constituye el mecanismo a través del cual la entidad cumple con una competencia legal propia.</w:t>
      </w:r>
    </w:p>
    <w:p w14:paraId="209938D4" w14:textId="77777777" w:rsidR="0055252E" w:rsidRDefault="0055252E" w:rsidP="0055252E">
      <w:pPr>
        <w:spacing w:line="276" w:lineRule="auto"/>
        <w:ind w:firstLine="709"/>
        <w:jc w:val="both"/>
        <w:rPr>
          <w:rFonts w:ascii="Verdana" w:eastAsia="Times New Roman" w:hAnsi="Verdana" w:cs="Arial"/>
          <w:bCs/>
          <w:lang w:val="es-ES" w:eastAsia="es-CO"/>
        </w:rPr>
      </w:pPr>
      <w:r>
        <w:rPr>
          <w:rFonts w:ascii="Verdana" w:eastAsia="Arial" w:hAnsi="Verdana" w:cs="Arial"/>
          <w:lang w:val="es-ES"/>
        </w:rPr>
        <w:t>Los cuerpos de bomberos voluntarios son asociaciones cívicas, privadas, sin ánimo de lucro, de utilidad común y con personería jurídica, reconocidas y certificadas por la Dirección Nacional de Bomberos, sometidas a un régimen especial de creación, funcionamiento, vigilancia y control</w:t>
      </w:r>
      <w:r>
        <w:rPr>
          <w:rStyle w:val="Refdenotaalpie"/>
          <w:rFonts w:ascii="Verdana" w:hAnsi="Verdana"/>
          <w:lang w:val="es-ES"/>
        </w:rPr>
        <w:footnoteReference w:id="2"/>
      </w:r>
      <w:r>
        <w:rPr>
          <w:rFonts w:ascii="Verdana" w:eastAsia="Arial" w:hAnsi="Verdana" w:cs="Arial"/>
          <w:lang w:val="es-ES"/>
        </w:rPr>
        <w:t xml:space="preserve">. </w:t>
      </w:r>
      <w:r>
        <w:rPr>
          <w:rFonts w:ascii="Verdana" w:eastAsia="Times New Roman" w:hAnsi="Verdana" w:cs="Arial"/>
          <w:bCs/>
          <w:lang w:val="es-ES" w:eastAsia="es-CO"/>
        </w:rPr>
        <w:t xml:space="preserve">Adicionalmente, con arreglo a lo dispuesto en el artículo 4 de la referida ley, los </w:t>
      </w:r>
      <w:r>
        <w:rPr>
          <w:rFonts w:ascii="Verdana" w:eastAsia="Times New Roman" w:hAnsi="Verdana" w:cs="Arial"/>
          <w:bCs/>
          <w:i/>
          <w:iCs/>
          <w:lang w:val="es-ES" w:eastAsia="es-CO"/>
        </w:rPr>
        <w:t xml:space="preserve">Cuerpos de Bomberos Voluntarios Reconocidos </w:t>
      </w:r>
      <w:r>
        <w:rPr>
          <w:rFonts w:ascii="Verdana" w:eastAsia="Times New Roman" w:hAnsi="Verdana" w:cs="Arial"/>
          <w:bCs/>
          <w:lang w:val="es-ES" w:eastAsia="es-CO"/>
        </w:rPr>
        <w:t xml:space="preserve">integran los Bomberos de Colombia y hacen parte integral del Sistema Nacional para la Prevención y Atención de Desastres. </w:t>
      </w:r>
    </w:p>
    <w:p w14:paraId="3125E3D3" w14:textId="77777777" w:rsidR="0055252E" w:rsidRDefault="0055252E" w:rsidP="0055252E">
      <w:pPr>
        <w:tabs>
          <w:tab w:val="left" w:pos="426"/>
        </w:tabs>
        <w:spacing w:after="0" w:line="276" w:lineRule="auto"/>
        <w:ind w:firstLine="709"/>
        <w:jc w:val="both"/>
        <w:rPr>
          <w:rFonts w:ascii="Verdana" w:eastAsia="Times New Roman" w:hAnsi="Verdana" w:cs="Arial"/>
          <w:bCs/>
          <w:lang w:val="es-ES" w:eastAsia="es-CO"/>
        </w:rPr>
      </w:pPr>
      <w:r>
        <w:rPr>
          <w:rFonts w:ascii="Verdana" w:eastAsia="Times New Roman" w:hAnsi="Verdana" w:cs="Arial"/>
          <w:bCs/>
          <w:lang w:val="es-ES" w:eastAsia="es-CO"/>
        </w:rPr>
        <w:t xml:space="preserve">De conformidad con las normas citadas, la gestión integral del riesgo contra incendio, los preparativos y atención de rescates y la atención de incidentes con materiales peligrosos se constituyen como un servicio público esencial a cargo del Estado, cuya prestación le fue asignada a los municipios y distritos, por lo tanto, es su deber asegurar la prestación eficiente a todos los habitantes del territorio nacional. Con el fin de prestar de forma eficiente el servicio público bomberil, los municipios y distritos pueden constituir su propio cuerpo de bomberos oficiales o pueden optar por celebrar contratos o convenios con cuerpos de bomberos voluntarios, cuando no cuente con la primera opción. Sobre la prestación del servicio objeto de la consulta, esta Agencia se pronunció mediante el concepto con radicado número 2201913000008606, del 19 de noviembre de 2019, indicando lo siguiente: </w:t>
      </w:r>
    </w:p>
    <w:p w14:paraId="15A1E215" w14:textId="77777777" w:rsidR="0055252E" w:rsidRDefault="0055252E" w:rsidP="0055252E">
      <w:pPr>
        <w:tabs>
          <w:tab w:val="left" w:pos="426"/>
        </w:tabs>
        <w:spacing w:after="0" w:line="276" w:lineRule="auto"/>
        <w:ind w:firstLine="709"/>
        <w:jc w:val="both"/>
        <w:rPr>
          <w:rFonts w:ascii="Verdana" w:eastAsia="Times New Roman" w:hAnsi="Verdana" w:cs="Arial"/>
          <w:bCs/>
          <w:lang w:val="es-ES" w:eastAsia="es-CO"/>
        </w:rPr>
      </w:pPr>
    </w:p>
    <w:p w14:paraId="7E6AFD97" w14:textId="77777777" w:rsidR="0055252E" w:rsidRDefault="0055252E" w:rsidP="0055252E">
      <w:pPr>
        <w:spacing w:after="0" w:line="240" w:lineRule="auto"/>
        <w:ind w:left="709" w:right="709"/>
        <w:jc w:val="both"/>
        <w:rPr>
          <w:rFonts w:ascii="Verdana" w:eastAsia="Calibri" w:hAnsi="Verdana" w:cs="Arial"/>
          <w:sz w:val="20"/>
          <w:szCs w:val="20"/>
          <w:lang w:val="es-ES"/>
        </w:rPr>
      </w:pPr>
      <w:r>
        <w:rPr>
          <w:rFonts w:ascii="Verdana" w:eastAsia="Calibri" w:hAnsi="Verdana" w:cs="Arial"/>
          <w:sz w:val="20"/>
          <w:szCs w:val="20"/>
          <w:lang w:val="es-ES"/>
        </w:rPr>
        <w:t xml:space="preserve">“Ahora bien, recopilando los fundamentos normativos del concepto, la Ley 1575 de 2012, artículo 3, inciso 4, establece que los municipios pueden cumplir la obligación de prestar el servicio esencial de gestión del riesgo contra incendios mediante: i) la constitución de cuerpos de bomberos oficiales o ii) la celebración de contratos y/o convenios con los cuerpos de bomberos voluntarios. </w:t>
      </w:r>
    </w:p>
    <w:p w14:paraId="698F925F" w14:textId="77777777" w:rsidR="0055252E" w:rsidRDefault="0055252E" w:rsidP="0055252E">
      <w:pPr>
        <w:spacing w:after="0" w:line="240" w:lineRule="auto"/>
        <w:ind w:left="709" w:right="709"/>
        <w:jc w:val="both"/>
        <w:rPr>
          <w:rFonts w:ascii="Verdana" w:eastAsia="Calibri" w:hAnsi="Verdana" w:cs="Arial"/>
          <w:sz w:val="20"/>
          <w:szCs w:val="20"/>
          <w:lang w:val="es-ES"/>
        </w:rPr>
      </w:pPr>
      <w:r>
        <w:rPr>
          <w:rFonts w:ascii="Verdana" w:eastAsia="Calibri" w:hAnsi="Verdana" w:cs="Arial"/>
          <w:sz w:val="20"/>
          <w:szCs w:val="20"/>
          <w:lang w:val="es-ES"/>
        </w:rPr>
        <w:t>[…]</w:t>
      </w:r>
    </w:p>
    <w:p w14:paraId="43EF44EA" w14:textId="77777777" w:rsidR="0055252E" w:rsidRDefault="0055252E" w:rsidP="0055252E">
      <w:pPr>
        <w:spacing w:after="0" w:line="240" w:lineRule="auto"/>
        <w:ind w:left="709" w:right="709"/>
        <w:jc w:val="both"/>
        <w:rPr>
          <w:rFonts w:ascii="Verdana" w:hAnsi="Verdana" w:cs="Arial"/>
          <w:i/>
          <w:iCs/>
          <w:sz w:val="20"/>
          <w:szCs w:val="20"/>
          <w:lang w:val="es-ES"/>
        </w:rPr>
      </w:pPr>
      <w:r>
        <w:rPr>
          <w:rFonts w:ascii="Verdana" w:eastAsia="Calibri" w:hAnsi="Verdana" w:cs="Arial"/>
          <w:sz w:val="20"/>
          <w:szCs w:val="20"/>
          <w:lang w:val="es-ES"/>
        </w:rPr>
        <w:t xml:space="preserve">El texto de la norma no obliga a contratar con los bomberos voluntarios, sino que faculta al municipio a hacerlo cuando no cuente con un cuerpo </w:t>
      </w:r>
      <w:r>
        <w:rPr>
          <w:rFonts w:ascii="Verdana" w:eastAsia="Calibri" w:hAnsi="Verdana" w:cs="Arial"/>
          <w:sz w:val="20"/>
          <w:szCs w:val="20"/>
          <w:lang w:val="es-ES"/>
        </w:rPr>
        <w:lastRenderedPageBreak/>
        <w:t>de bomberos oficiales, es más, la norma dispone que los municipios de menos de veinte mil habitantes cuentan con apoyo técnico del departamento, quien podrá asesorarlos con el fin de escoger la opción que mejor convenga entre constituir un cuerpo de bomberos oficial o contratar con uno voluntario</w:t>
      </w:r>
      <w:r>
        <w:rPr>
          <w:rFonts w:ascii="Verdana" w:hAnsi="Verdana" w:cs="Arial"/>
          <w:i/>
          <w:iCs/>
          <w:sz w:val="20"/>
          <w:szCs w:val="20"/>
          <w:lang w:val="es-ES"/>
        </w:rPr>
        <w:t>.</w:t>
      </w:r>
    </w:p>
    <w:p w14:paraId="4D33AF41" w14:textId="77777777" w:rsidR="0055252E" w:rsidRDefault="0055252E" w:rsidP="0055252E">
      <w:pPr>
        <w:spacing w:after="0" w:line="240" w:lineRule="auto"/>
        <w:ind w:left="709" w:right="709"/>
        <w:jc w:val="both"/>
        <w:rPr>
          <w:rFonts w:ascii="Verdana" w:hAnsi="Verdana" w:cs="Arial"/>
          <w:i/>
          <w:iCs/>
          <w:sz w:val="18"/>
          <w:szCs w:val="18"/>
          <w:lang w:val="es-ES"/>
        </w:rPr>
      </w:pPr>
    </w:p>
    <w:p w14:paraId="52D7402E" w14:textId="77777777" w:rsidR="0055252E" w:rsidRDefault="0055252E" w:rsidP="0055252E">
      <w:pPr>
        <w:spacing w:after="0" w:line="240" w:lineRule="auto"/>
        <w:ind w:left="709" w:right="709"/>
        <w:jc w:val="both"/>
        <w:rPr>
          <w:rFonts w:ascii="Verdana" w:eastAsia="Times New Roman" w:hAnsi="Verdana" w:cs="Arial"/>
          <w:bCs/>
          <w:sz w:val="20"/>
          <w:szCs w:val="20"/>
          <w:lang w:val="es-ES" w:eastAsia="es-CO"/>
        </w:rPr>
      </w:pPr>
      <w:r>
        <w:rPr>
          <w:rFonts w:ascii="Verdana" w:eastAsia="Times New Roman" w:hAnsi="Verdana" w:cs="Arial"/>
          <w:bCs/>
          <w:sz w:val="20"/>
          <w:szCs w:val="20"/>
          <w:lang w:val="es-ES" w:eastAsia="es-CO"/>
        </w:rPr>
        <w:t>Los elementos del contrato o convenio dados por la ley 1575 de 2012 son: i) el objeto contractual: la gestión integral del riesgo contra incendio, los preparativos y atención de rescates en todas sus modalidades y la atención de incidentes con materiales peligrosos, actividades que están a cargo de instituciones bomberiles; y ii) las partes: un municipio, a cuyo cargo esta la prestación del servicio público esencial de atención integral del riesgo de incendio, y un cuerpo de bomberos voluntarios reconocido, que sea capaz de prestar el servicio y cumpla con la regulación propia de su actividad”</w:t>
      </w:r>
      <w:r>
        <w:rPr>
          <w:vertAlign w:val="superscript"/>
        </w:rPr>
        <w:footnoteReference w:id="3"/>
      </w:r>
      <w:r>
        <w:rPr>
          <w:rFonts w:ascii="Verdana" w:eastAsia="Times New Roman" w:hAnsi="Verdana" w:cs="Arial"/>
          <w:bCs/>
          <w:sz w:val="20"/>
          <w:szCs w:val="20"/>
          <w:lang w:val="es-ES" w:eastAsia="es-CO"/>
        </w:rPr>
        <w:t xml:space="preserve">. </w:t>
      </w:r>
    </w:p>
    <w:p w14:paraId="26C6104F" w14:textId="77777777" w:rsidR="0055252E" w:rsidRDefault="0055252E" w:rsidP="0055252E">
      <w:pPr>
        <w:spacing w:after="0" w:line="240" w:lineRule="auto"/>
        <w:ind w:left="709" w:right="709"/>
        <w:jc w:val="both"/>
        <w:rPr>
          <w:rFonts w:ascii="Verdana" w:eastAsia="Times New Roman" w:hAnsi="Verdana" w:cs="Arial"/>
          <w:bCs/>
          <w:lang w:val="es-ES" w:eastAsia="es-CO"/>
        </w:rPr>
      </w:pPr>
    </w:p>
    <w:p w14:paraId="176C7A3F" w14:textId="77777777" w:rsidR="0055252E" w:rsidRDefault="0055252E" w:rsidP="0055252E">
      <w:pPr>
        <w:spacing w:after="120" w:line="276" w:lineRule="auto"/>
        <w:ind w:firstLine="708"/>
        <w:jc w:val="both"/>
        <w:rPr>
          <w:rFonts w:ascii="Verdana" w:eastAsia="Arial" w:hAnsi="Verdana" w:cs="Arial"/>
          <w:lang w:val="es-ES"/>
        </w:rPr>
      </w:pPr>
      <w:r>
        <w:rPr>
          <w:rFonts w:ascii="Verdana" w:eastAsia="Times New Roman" w:hAnsi="Verdana" w:cs="Arial"/>
          <w:bCs/>
          <w:lang w:val="es-ES" w:eastAsia="es-CO"/>
        </w:rPr>
        <w:t>Respecto al proceso de selección para la celebración de un contrato con el cuerpo de bomberos voluntarios,</w:t>
      </w:r>
      <w:r>
        <w:rPr>
          <w:rFonts w:ascii="Verdana" w:eastAsia="Arial" w:hAnsi="Verdana" w:cs="Arial"/>
          <w:lang w:val="es-ES"/>
        </w:rPr>
        <w:t xml:space="preserve"> es importante aclarar que el régimen especial de las Leyes 1523 y 1575 de 2012 determina el </w:t>
      </w:r>
      <w:r>
        <w:rPr>
          <w:rFonts w:ascii="Verdana" w:eastAsia="Arial" w:hAnsi="Verdana" w:cs="Arial"/>
          <w:i/>
          <w:iCs/>
          <w:lang w:val="es-ES"/>
        </w:rPr>
        <w:t>objeto</w:t>
      </w:r>
      <w:r>
        <w:rPr>
          <w:rFonts w:ascii="Verdana" w:eastAsia="Arial" w:hAnsi="Verdana" w:cs="Arial"/>
          <w:lang w:val="es-ES"/>
        </w:rPr>
        <w:t xml:space="preserve"> del servicio, la </w:t>
      </w:r>
      <w:r>
        <w:rPr>
          <w:rFonts w:ascii="Verdana" w:eastAsia="Arial" w:hAnsi="Verdana" w:cs="Arial"/>
          <w:i/>
          <w:iCs/>
          <w:lang w:val="es-ES"/>
        </w:rPr>
        <w:t>obligación</w:t>
      </w:r>
      <w:r>
        <w:rPr>
          <w:rFonts w:ascii="Verdana" w:eastAsia="Arial" w:hAnsi="Verdana" w:cs="Arial"/>
          <w:lang w:val="es-ES"/>
        </w:rPr>
        <w:t xml:space="preserve"> territorial de prestarlo y los </w:t>
      </w:r>
      <w:r>
        <w:rPr>
          <w:rFonts w:ascii="Verdana" w:eastAsia="Arial" w:hAnsi="Verdana" w:cs="Arial"/>
          <w:i/>
          <w:iCs/>
          <w:lang w:val="es-ES"/>
        </w:rPr>
        <w:t>requisitos habilitantes</w:t>
      </w:r>
      <w:r>
        <w:rPr>
          <w:rFonts w:ascii="Verdana" w:eastAsia="Arial" w:hAnsi="Verdana" w:cs="Arial"/>
          <w:lang w:val="es-ES"/>
        </w:rPr>
        <w:t xml:space="preserve"> propios del sector (reconocimiento institucional, certificado de cumplimiento, capacidad técnica y operativa), pero no crea un régimen de contratación autónomo que desplace el EGCAP. Los municipios y distritos son Entidades Estatales sometidas a las Leyes 80 de 1993 y 1150 de 2007, por lo que la escogencia del contratista debe efectuarse mediante la modalidad de selección que corresponda al objeto y a la cuantía. </w:t>
      </w:r>
    </w:p>
    <w:p w14:paraId="379A8AAB" w14:textId="77777777" w:rsidR="0055252E" w:rsidRDefault="0055252E" w:rsidP="0055252E">
      <w:pPr>
        <w:tabs>
          <w:tab w:val="left" w:pos="426"/>
        </w:tabs>
        <w:spacing w:after="120" w:line="276" w:lineRule="auto"/>
        <w:ind w:firstLine="709"/>
        <w:jc w:val="both"/>
        <w:rPr>
          <w:rFonts w:ascii="Verdana" w:eastAsia="Times New Roman" w:hAnsi="Verdana" w:cs="Arial"/>
          <w:bCs/>
          <w:lang w:val="es-ES" w:eastAsia="es-CO"/>
        </w:rPr>
      </w:pPr>
      <w:r>
        <w:rPr>
          <w:rFonts w:ascii="Verdana" w:eastAsia="Times New Roman" w:hAnsi="Verdana" w:cs="Arial"/>
          <w:bCs/>
          <w:lang w:val="es-ES" w:eastAsia="es-CO"/>
        </w:rPr>
        <w:t>Como se señaló en el concepto 4201913000006918 –radicado de salida 2201913000008606– del 19 de noviembre de 2019, y lo reiteró en el concepto C-021 de 2026 por usted citado, el artículo 9 de la Ley 322 de 1996 disponía que los distritos, municipios y territorios indígenas debían contratar directamente con los Cuerpos de Bomberos Voluntarios, cuando no contaran con un cuerpo oficial</w:t>
      </w:r>
      <w:r>
        <w:rPr>
          <w:rStyle w:val="Refdenotaalpie"/>
          <w:rFonts w:ascii="Verdana" w:eastAsia="Times New Roman" w:hAnsi="Verdana" w:cs="Arial"/>
          <w:bCs/>
          <w:lang w:val="es-ES" w:eastAsia="es-CO"/>
        </w:rPr>
        <w:footnoteReference w:id="4"/>
      </w:r>
      <w:r>
        <w:rPr>
          <w:rFonts w:ascii="Verdana" w:eastAsia="Times New Roman" w:hAnsi="Verdana" w:cs="Arial"/>
          <w:bCs/>
          <w:lang w:val="es-ES" w:eastAsia="es-CO"/>
        </w:rPr>
        <w:t xml:space="preserve">. No obstante, dicha norma fue derogada con la expedición de la Ley 1575 de 2012, la cual no establece una modalidad de selección específica para la elección del contratista. De esto se concluye que la posibilidad de </w:t>
      </w:r>
      <w:r>
        <w:rPr>
          <w:rFonts w:ascii="Verdana" w:eastAsia="Times New Roman" w:hAnsi="Verdana" w:cs="Arial"/>
          <w:bCs/>
          <w:lang w:val="es-ES" w:eastAsia="es-CO"/>
        </w:rPr>
        <w:lastRenderedPageBreak/>
        <w:t>contratar directamente el servicio bomberil con cuerpos voluntarios con fundamento en aquella disposición fue derogada; sin embargo, se aclara que esto no implica que la entidad no pueda recurrir a la contratación directa cuando se configure alguna de las causales previstas para ello en el artículo 2 de la Ley 1150 de 2007.</w:t>
      </w:r>
    </w:p>
    <w:p w14:paraId="3EC69C69" w14:textId="77777777" w:rsidR="0055252E" w:rsidRDefault="0055252E" w:rsidP="0055252E">
      <w:pPr>
        <w:tabs>
          <w:tab w:val="left" w:pos="426"/>
        </w:tabs>
        <w:spacing w:after="120" w:line="276" w:lineRule="auto"/>
        <w:ind w:firstLine="709"/>
        <w:jc w:val="both"/>
        <w:rPr>
          <w:rFonts w:ascii="Verdana" w:eastAsia="Times New Roman" w:hAnsi="Verdana" w:cs="Arial"/>
          <w:bCs/>
          <w:lang w:val="es-ES" w:eastAsia="es-CO"/>
        </w:rPr>
      </w:pPr>
      <w:r>
        <w:rPr>
          <w:rFonts w:ascii="Verdana" w:eastAsia="Times New Roman" w:hAnsi="Verdana" w:cs="Arial"/>
          <w:bCs/>
          <w:lang w:val="es-ES" w:eastAsia="es-CO"/>
        </w:rPr>
        <w:t xml:space="preserve">En el concepto C-021 de 2026 esta Agencia sostuvo que la exposición de motivos de la Ley 1575 de 2012 no justificó dicha modificación, ni son claros los motivos que condujeron a que el legislador no determinara cuál es la modalidad de selección para la contratación con cuerpos de bomberos voluntarios. En ese orden, la Agencia señaló que dado que no existe una modalidad o causal especifica establecida en el marco jurídico que rige la prestación del servicio bomberil para la celebración de </w:t>
      </w:r>
      <w:r>
        <w:rPr>
          <w:rFonts w:ascii="Verdana" w:eastAsia="Times New Roman" w:hAnsi="Verdana" w:cs="Arial"/>
          <w:bCs/>
          <w:i/>
          <w:iCs/>
          <w:lang w:val="es-ES" w:eastAsia="es-CO"/>
        </w:rPr>
        <w:t>contratos</w:t>
      </w:r>
      <w:r>
        <w:rPr>
          <w:rFonts w:ascii="Verdana" w:eastAsia="Times New Roman" w:hAnsi="Verdana" w:cs="Arial"/>
          <w:bCs/>
          <w:lang w:val="es-ES" w:eastAsia="es-CO"/>
        </w:rPr>
        <w:t xml:space="preserve"> que tengan por objeto el desarrollo de estas actividades, las Entidades Estatales sujetas al EGCAP deben acudir a las modalidades de selección previstas en el artículo 2 de la Ley 1150 de 2007, –licitación pública, selección abreviada, concurso de méritos, mínima cuantía o contratación directa–, siguiendo las reglas y causales que dicha disposición establece. </w:t>
      </w:r>
    </w:p>
    <w:p w14:paraId="646B3D43" w14:textId="77777777" w:rsidR="0055252E" w:rsidRDefault="0055252E" w:rsidP="0055252E">
      <w:pPr>
        <w:tabs>
          <w:tab w:val="left" w:pos="426"/>
        </w:tabs>
        <w:spacing w:after="120" w:line="276" w:lineRule="auto"/>
        <w:ind w:firstLine="709"/>
        <w:jc w:val="both"/>
        <w:rPr>
          <w:rFonts w:ascii="Verdana" w:eastAsia="Arial" w:hAnsi="Verdana" w:cs="Arial"/>
          <w:lang w:val="es-ES"/>
        </w:rPr>
      </w:pPr>
      <w:r>
        <w:rPr>
          <w:rFonts w:ascii="Verdana" w:eastAsia="Times New Roman" w:hAnsi="Verdana" w:cs="Arial"/>
          <w:bCs/>
          <w:lang w:val="es-ES" w:eastAsia="es-CO"/>
        </w:rPr>
        <w:t>Sobre este fundamento, es posible que la entidad municipal o distrital contrate al cuerpo de bomberos voluntario de manera directa cuando se configure la causal del literal g) del numeral 4 del artículo 2 de la Ley 1150 de 2007, la cual autoriza la contratación directa cuando no exista pluralidad de oferentes en el mercado. El artículo 2.2.1.2.1.4.8 del Decreto 1082 de 2015 desarrolla esta causal especificando los supuestos en los cuales debe entenderse que no existe pluralidad de oferentes, a saber: i) cuando una sola persona puede proveer el bien o servicio, ya sea por ser titular de los derechos de propiedad industrial o de autor, o ii) por ser “proveedor exclusivo en el territorio nacional”</w:t>
      </w:r>
      <w:r>
        <w:rPr>
          <w:vertAlign w:val="superscript"/>
        </w:rPr>
        <w:footnoteReference w:id="5"/>
      </w:r>
      <w:r>
        <w:rPr>
          <w:rFonts w:ascii="Verdana" w:eastAsia="Times New Roman" w:hAnsi="Verdana" w:cs="Arial"/>
          <w:bCs/>
          <w:lang w:val="es-ES" w:eastAsia="es-CO"/>
        </w:rPr>
        <w:t>.</w:t>
      </w:r>
      <w:r>
        <w:rPr>
          <w:rFonts w:ascii="Verdana" w:eastAsia="Arial" w:hAnsi="Verdana" w:cs="Arial"/>
          <w:lang w:val="es-ES"/>
        </w:rPr>
        <w:t xml:space="preserve"> </w:t>
      </w:r>
    </w:p>
    <w:p w14:paraId="011A1A5F" w14:textId="77777777" w:rsidR="0055252E" w:rsidRDefault="0055252E" w:rsidP="0055252E">
      <w:pPr>
        <w:tabs>
          <w:tab w:val="left" w:pos="426"/>
        </w:tabs>
        <w:spacing w:after="120" w:line="276" w:lineRule="auto"/>
        <w:ind w:firstLine="709"/>
        <w:jc w:val="both"/>
        <w:rPr>
          <w:rFonts w:ascii="Verdana" w:eastAsia="Times New Roman" w:hAnsi="Verdana" w:cs="Arial"/>
          <w:bCs/>
          <w:lang w:val="es-ES" w:eastAsia="es-CO"/>
        </w:rPr>
      </w:pPr>
      <w:r>
        <w:rPr>
          <w:rFonts w:ascii="Verdana" w:eastAsia="Arial" w:hAnsi="Verdana" w:cs="Arial"/>
          <w:lang w:val="es-ES"/>
        </w:rPr>
        <w:t xml:space="preserve">Con respecto a la aplicación de esta causal al supuesto de objeto de consulta, esta Agencia considera que, bajo el cumplimiento de determinados supuestos, la contratación por parte de los distritos o municipios de los cuerpos de bomberos voluntarios puede cumplir los presupuestos exigidos para entender que un solo proveedor “en el territorio nacional” tiene la capacidad de prestar el servicio requerido, caso en el cual será posible aplicar la causal de contratación directa del referido </w:t>
      </w:r>
      <w:r>
        <w:rPr>
          <w:rFonts w:ascii="Verdana" w:eastAsia="Times New Roman" w:hAnsi="Verdana" w:cs="Arial"/>
          <w:bCs/>
          <w:lang w:val="es-ES" w:eastAsia="es-CO"/>
        </w:rPr>
        <w:t xml:space="preserve">literal g) del numeral 4 del artículo 2 de la Ley 1150 de 2007. </w:t>
      </w:r>
    </w:p>
    <w:p w14:paraId="6172589F" w14:textId="77777777" w:rsidR="0055252E" w:rsidRDefault="0055252E" w:rsidP="0055252E">
      <w:pPr>
        <w:tabs>
          <w:tab w:val="left" w:pos="426"/>
        </w:tabs>
        <w:spacing w:after="120" w:line="276" w:lineRule="auto"/>
        <w:ind w:firstLine="709"/>
        <w:jc w:val="both"/>
        <w:rPr>
          <w:rFonts w:ascii="Verdana" w:eastAsia="Arial" w:hAnsi="Verdana" w:cs="Arial"/>
          <w:lang w:val="es-ES"/>
        </w:rPr>
      </w:pPr>
      <w:r>
        <w:rPr>
          <w:rFonts w:ascii="Verdana" w:eastAsia="Arial" w:hAnsi="Verdana" w:cs="Arial"/>
          <w:lang w:val="es-ES"/>
        </w:rPr>
        <w:lastRenderedPageBreak/>
        <w:t>La prestación del servicio público esencial bomberil constituye una actividad reglada, en la que el propio ordenamiento sectorial impone limitaciones y determina quién puede prestarla lícitamente en cada jurisdicción. En efecto, tal como se mencionó antes, la Ley 1575 de 2012 señala que los distritos y municipios deben prestar el servicio público esencial a través de los cuerpos de bomberos oficiales, cuando cuenten con estos, o mediante la celebración de contratos y/o convenios con los cuerpos de bomberos voluntarios. Aunado a lo anterior, el parágrafo del artículo 17 de la ley señala que ningún municipio podrá tener más de un cuerpo de bomberos voluntario. Este marco jurídico supone que si un municipio no cuenta con un cuerpo oficial de bomberos tiene la obligación de contratar con un cuerpo voluntario y que solo podrá existir uno en su jurisdicción.</w:t>
      </w:r>
    </w:p>
    <w:p w14:paraId="7ABEA8BF" w14:textId="77777777" w:rsidR="0055252E" w:rsidRDefault="0055252E" w:rsidP="0055252E">
      <w:pPr>
        <w:tabs>
          <w:tab w:val="left" w:pos="426"/>
        </w:tabs>
        <w:spacing w:after="120" w:line="276" w:lineRule="auto"/>
        <w:ind w:firstLine="709"/>
        <w:jc w:val="both"/>
        <w:rPr>
          <w:rFonts w:ascii="Verdana" w:eastAsia="Arial" w:hAnsi="Verdana" w:cs="Arial"/>
          <w:lang w:val="es-ES"/>
        </w:rPr>
      </w:pPr>
      <w:r>
        <w:rPr>
          <w:rFonts w:ascii="Verdana" w:eastAsia="Arial" w:hAnsi="Verdana" w:cs="Arial"/>
          <w:lang w:val="es-ES"/>
        </w:rPr>
        <w:t>En principio, esta disposición no limita la posibilidad de que el municipio celebre el contrato o convenio que demanda la prestación del servicio con un cuerpo voluntario perteneciente a otra jurisdicción. Sin embargo, el Reglamento Administrativo, Operativo, Técnico y Académico de los Bomberos de Colombia contempla como causal de suspensión de la personería jurídica de un cuerpo voluntario el hecho de contratar con municipios o distritos en los cuales exista un cuerpo de bomberos legalmente reconocido y con certificado de cumplimiento</w:t>
      </w:r>
      <w:r>
        <w:rPr>
          <w:rStyle w:val="Refdenotaalpie"/>
          <w:rFonts w:ascii="Verdana" w:hAnsi="Verdana"/>
          <w:lang w:val="es-ES"/>
        </w:rPr>
        <w:footnoteReference w:id="6"/>
      </w:r>
      <w:r>
        <w:rPr>
          <w:rFonts w:ascii="Verdana" w:eastAsia="Arial" w:hAnsi="Verdana" w:cs="Arial"/>
          <w:lang w:val="es-ES"/>
        </w:rPr>
        <w:t>. De esta previsión se sigue que, cuando en una jurisdicción opera un cuerpo reconocido y certificado, los cuerpos de otras jurisdicciones no pueden concurrir a prestar el servicio sin exponerse a una consecuencia administrativa que compromete su existencia jurídica. En tales condiciones, para el objeto específico de la prestación del servicio bomberil en ese territorio, no existe un escenario real de competencia, pues existe un único prestador jurídicamente habilitado en todo el territorio para proveer el servicio esencial.</w:t>
      </w:r>
    </w:p>
    <w:p w14:paraId="7F5C9CA5" w14:textId="77777777" w:rsidR="0055252E" w:rsidRDefault="0055252E" w:rsidP="0055252E">
      <w:pPr>
        <w:tabs>
          <w:tab w:val="left" w:pos="426"/>
        </w:tabs>
        <w:spacing w:after="120" w:line="276" w:lineRule="auto"/>
        <w:ind w:firstLine="709"/>
        <w:jc w:val="both"/>
        <w:rPr>
          <w:rFonts w:ascii="Verdana" w:eastAsia="Arial" w:hAnsi="Verdana" w:cs="Arial"/>
          <w:lang w:val="es-ES"/>
        </w:rPr>
      </w:pPr>
      <w:r>
        <w:rPr>
          <w:rFonts w:ascii="Verdana" w:eastAsia="Arial" w:hAnsi="Verdana" w:cs="Arial"/>
          <w:lang w:val="es-ES"/>
        </w:rPr>
        <w:t xml:space="preserve">A partir de lo anterior, esta Agencia considera que la expresión “territorio nacional” del artículo 2.2.1.2.1.4.8 puede aplicarse en consideración al </w:t>
      </w:r>
      <w:r>
        <w:rPr>
          <w:rFonts w:ascii="Verdana" w:eastAsia="Arial" w:hAnsi="Verdana" w:cs="Arial"/>
          <w:i/>
          <w:iCs/>
          <w:lang w:val="es-ES"/>
        </w:rPr>
        <w:t>ámbito respecto del cual el ordenamiento autoriza la prestación del servicio</w:t>
      </w:r>
      <w:r>
        <w:rPr>
          <w:rFonts w:ascii="Verdana" w:eastAsia="Arial" w:hAnsi="Verdana" w:cs="Arial"/>
          <w:lang w:val="es-ES"/>
        </w:rPr>
        <w:t xml:space="preserve">. Tratándose del objeto propio de la prestación del servicio bomberil, cuando el análisis del sector demuestre que —por efecto de la regulación sectorial— un único cuerpo puede prestarlo lícitamente en la jurisdicción sin incurrir en la causal de </w:t>
      </w:r>
      <w:r>
        <w:rPr>
          <w:rFonts w:ascii="Verdana" w:eastAsia="Arial" w:hAnsi="Verdana" w:cs="Arial"/>
          <w:lang w:val="es-ES"/>
        </w:rPr>
        <w:lastRenderedPageBreak/>
        <w:t>suspensión de su personería, la entidad territorial puede sustentar la configuración de la causal de inexistencia de pluralidad de oferentes y, por consiguiente, acudir a la contratación directa con dicho cuerpo, pues se satisface el supuesto de la norma que exige que exista un proveedor exclusivo en el territorio nacional que pueda prestar el servicio requerido. Esta lectura resulta congruente con el deber permanente de garantizar la continuidad de un servicio esencial y con el reconocimiento de que la exclusividad, en este sector, no obedece a una posición comercial del prestador, sino a una restricción impuesta por su propio régimen jurídico.</w:t>
      </w:r>
    </w:p>
    <w:p w14:paraId="1EF2707C" w14:textId="77777777" w:rsidR="0055252E" w:rsidRDefault="0055252E" w:rsidP="0055252E">
      <w:pPr>
        <w:tabs>
          <w:tab w:val="left" w:pos="426"/>
        </w:tabs>
        <w:spacing w:after="120" w:line="276" w:lineRule="auto"/>
        <w:ind w:firstLine="709"/>
        <w:jc w:val="both"/>
        <w:rPr>
          <w:rFonts w:ascii="Verdana" w:eastAsia="Arial" w:hAnsi="Verdana" w:cs="Arial"/>
          <w:lang w:val="es-ES"/>
        </w:rPr>
      </w:pPr>
      <w:r>
        <w:rPr>
          <w:rFonts w:ascii="Verdana" w:eastAsia="Arial" w:hAnsi="Verdana" w:cs="Arial"/>
          <w:lang w:val="es-ES"/>
        </w:rPr>
        <w:t>Ahora bien, la aplicación de la causal objeto de análisis sigue siendo restrictiva y no admite una interpretación flexible o extensión a supuestos distintos a los contemplados en la ley y su reglamento. En este sentido, corresponde a la entidad justificar la configuración de la causal que fundamenta la contratación directa en los estudios y documentos previos</w:t>
      </w:r>
      <w:r>
        <w:rPr>
          <w:rStyle w:val="Refdenotaalpie"/>
          <w:rFonts w:ascii="Verdana" w:hAnsi="Verdana"/>
          <w:lang w:val="es-ES"/>
        </w:rPr>
        <w:footnoteReference w:id="7"/>
      </w:r>
      <w:r>
        <w:rPr>
          <w:rFonts w:ascii="Verdana" w:eastAsia="Arial" w:hAnsi="Verdana" w:cs="Arial"/>
          <w:lang w:val="es-ES"/>
        </w:rPr>
        <w:t xml:space="preserve">, acreditando la regulación aplicable, la existencia y certificación del cuerpo local, la realidad del mercado y la imposibilidad jurídica de que otros cuerpos del territorio nacional puedan prestar el servicio sin incurrir en la causal de suspensión. Adicionalmente, la causal no puede extenderse a objetos o finalidades distintos a satisfacer el deber legal de prestación del servicio esencial bomberil —tales como la adquisición de bienes, dotaciones, vehículos, obras u otros servicios—, respecto de los cuales puede existir libre concurrencia, aun cuando en ellos participen cuerpos voluntarios. </w:t>
      </w:r>
    </w:p>
    <w:p w14:paraId="55D21957" w14:textId="77777777" w:rsidR="0055252E" w:rsidRDefault="0055252E" w:rsidP="0055252E">
      <w:pPr>
        <w:tabs>
          <w:tab w:val="left" w:pos="426"/>
        </w:tabs>
        <w:spacing w:after="120" w:line="276" w:lineRule="auto"/>
        <w:ind w:firstLine="709"/>
        <w:jc w:val="both"/>
        <w:rPr>
          <w:rFonts w:ascii="Verdana" w:eastAsia="Arial" w:hAnsi="Verdana" w:cs="Arial"/>
          <w:lang w:val="es-ES"/>
        </w:rPr>
      </w:pPr>
      <w:r>
        <w:rPr>
          <w:rFonts w:ascii="Verdana" w:eastAsia="Arial" w:hAnsi="Verdana" w:cs="Arial"/>
          <w:lang w:val="es-ES"/>
        </w:rPr>
        <w:t xml:space="preserve">En conclusión, los distritos o municipios podrán contratar directamente a los cuerpos voluntarios de bomberos para la prestación del servicio esencial cuando se configuren las causales de contratación directa establecidas en el artículo 2 de la Ley 1150 de 2007, lo cual incluye el análisis de si se configuran los supuestos para que sea procedente la causal del literal g) sobre proveeduría exclusiva. Tratándose del objeto propio de la prestación del servicio bomberil, cuando el análisis del sector demuestre que un único cuerpo puede prestarlo lícitamente en la jurisdicción sin incurrir en la causal de suspensión de su personería, la entidad puede sustentar la causal de inexistencia de pluralidad de oferentes (proveedor exclusivo), entendiendo la expresión “territorio nacional” en función del ámbito respecto del cual el ordenamiento autoriza la prestación. </w:t>
      </w:r>
      <w:r>
        <w:rPr>
          <w:rFonts w:ascii="Verdana" w:eastAsia="Arial" w:hAnsi="Verdana" w:cs="Arial"/>
          <w:lang w:val="es-ES"/>
        </w:rPr>
        <w:lastRenderedPageBreak/>
        <w:t xml:space="preserve">Ello exige justificación rigurosa en los estudios y documentos previos y no puede extenderse a objetos o finalidades distintos de la prestación del servicio que sí admitan libre concurrencia, aun cuando involucren a cuerpos voluntarios. </w:t>
      </w:r>
    </w:p>
    <w:p w14:paraId="782305B4" w14:textId="77777777" w:rsidR="0055252E" w:rsidRDefault="0055252E" w:rsidP="0055252E">
      <w:pPr>
        <w:tabs>
          <w:tab w:val="left" w:pos="426"/>
        </w:tabs>
        <w:spacing w:after="0" w:line="276" w:lineRule="auto"/>
        <w:ind w:firstLine="709"/>
        <w:jc w:val="both"/>
        <w:rPr>
          <w:rFonts w:ascii="Verdana" w:eastAsia="Arial" w:hAnsi="Verdana" w:cs="Arial"/>
          <w:lang w:val="es-ES"/>
        </w:rPr>
      </w:pPr>
      <w:r>
        <w:rPr>
          <w:rFonts w:ascii="Verdana" w:eastAsia="Arial" w:hAnsi="Verdana" w:cs="Arial"/>
          <w:lang w:val="es-ES"/>
        </w:rPr>
        <w:t>Es importante resaltar que el análisis del sector debe reflejar el mercado real y jurídicamente viable, y no puede presumir una concurrencia meramente formal que desconozca las limitaciones propias del sector. La restricción territorial de la reglamentación bomberil constituye un insumo esencial de ese análisis, aunque no crea, por sí misma, una modalidad de contratación directa.</w:t>
      </w:r>
    </w:p>
    <w:p w14:paraId="729EC831" w14:textId="77777777" w:rsidR="0055252E" w:rsidRDefault="0055252E" w:rsidP="0055252E">
      <w:pPr>
        <w:tabs>
          <w:tab w:val="left" w:pos="426"/>
        </w:tabs>
        <w:spacing w:after="0" w:line="276" w:lineRule="auto"/>
        <w:ind w:firstLine="709"/>
        <w:jc w:val="both"/>
        <w:rPr>
          <w:rFonts w:ascii="Verdana" w:eastAsia="Arial" w:hAnsi="Verdana" w:cs="Arial"/>
          <w:lang w:val="es-ES"/>
        </w:rPr>
      </w:pPr>
      <w:r>
        <w:rPr>
          <w:rFonts w:ascii="Verdana" w:eastAsia="Arial" w:hAnsi="Verdana" w:cs="Arial"/>
          <w:lang w:val="es-ES"/>
        </w:rPr>
        <w:t xml:space="preserve"> </w:t>
      </w:r>
    </w:p>
    <w:p w14:paraId="5072FF1A" w14:textId="77777777" w:rsidR="0055252E" w:rsidRDefault="0055252E" w:rsidP="0055252E">
      <w:pPr>
        <w:tabs>
          <w:tab w:val="left" w:pos="426"/>
        </w:tabs>
        <w:spacing w:after="120" w:line="276" w:lineRule="auto"/>
        <w:jc w:val="both"/>
        <w:rPr>
          <w:rFonts w:ascii="Verdana" w:eastAsia="Times New Roman" w:hAnsi="Verdana" w:cs="Arial"/>
          <w:lang w:val="es-ES" w:eastAsia="es-CO"/>
        </w:rPr>
      </w:pPr>
      <w:r>
        <w:rPr>
          <w:rFonts w:ascii="Verdana" w:eastAsia="Arial" w:hAnsi="Verdana" w:cs="Arial"/>
          <w:lang w:val="es-ES"/>
        </w:rPr>
        <w:t xml:space="preserve">ii. Por otra parte, </w:t>
      </w:r>
      <w:r>
        <w:rPr>
          <w:rFonts w:ascii="Verdana" w:eastAsia="Times New Roman" w:hAnsi="Verdana" w:cs="Arial"/>
          <w:lang w:val="es-ES" w:eastAsia="es-CO"/>
        </w:rPr>
        <w:t xml:space="preserve">en atención a la naturaleza jurídica de los </w:t>
      </w:r>
      <w:r>
        <w:rPr>
          <w:rFonts w:ascii="Verdana" w:eastAsia="Times New Roman" w:hAnsi="Verdana" w:cs="Arial"/>
          <w:i/>
          <w:iCs/>
          <w:lang w:val="es-ES" w:eastAsia="es-CO"/>
        </w:rPr>
        <w:t>Cuerpos de Bomberos Voluntarios</w:t>
      </w:r>
      <w:r>
        <w:rPr>
          <w:rFonts w:ascii="Verdana" w:eastAsia="Times New Roman" w:hAnsi="Verdana" w:cs="Arial"/>
          <w:lang w:val="es-ES" w:eastAsia="es-CO"/>
        </w:rPr>
        <w:t>, al interés general asociado a la prestación del servicio de gestión integral del riesgo contra incendio y a la gratuidad que la ley impone respecto de algunas de las actividades desarrolladas por los bomberos</w:t>
      </w:r>
      <w:r>
        <w:rPr>
          <w:rStyle w:val="Refdenotaalpie"/>
          <w:rFonts w:ascii="Verdana" w:eastAsia="Times New Roman" w:hAnsi="Verdana" w:cs="Arial"/>
          <w:lang w:val="es-ES" w:eastAsia="es-CO"/>
        </w:rPr>
        <w:footnoteReference w:id="8"/>
      </w:r>
      <w:r>
        <w:rPr>
          <w:rFonts w:ascii="Verdana" w:eastAsia="Times New Roman" w:hAnsi="Verdana" w:cs="Arial"/>
          <w:lang w:val="es-ES" w:eastAsia="es-CO"/>
        </w:rPr>
        <w:t>, también es posible que, para efectos de cumplir con la obligación dispuesta en el inciso cuarto del artículo 3 de la Ley 1575 de 2012 se celebren convenios de asociación de acuerdo con lo establecido en el artículo 96 de Ley 489 de 1998, cuya selección reglamenta el artículo 5 del Decreto 092 de 2017.</w:t>
      </w:r>
    </w:p>
    <w:p w14:paraId="66B179A9" w14:textId="77777777" w:rsidR="0055252E" w:rsidRDefault="0055252E" w:rsidP="0055252E">
      <w:pPr>
        <w:tabs>
          <w:tab w:val="left" w:pos="426"/>
        </w:tabs>
        <w:spacing w:after="120" w:line="276" w:lineRule="auto"/>
        <w:ind w:firstLine="709"/>
        <w:jc w:val="both"/>
        <w:rPr>
          <w:rFonts w:ascii="Verdana" w:eastAsia="Times New Roman" w:hAnsi="Verdana" w:cs="Arial"/>
          <w:lang w:val="es-ES" w:eastAsia="es-CO"/>
        </w:rPr>
      </w:pPr>
      <w:r>
        <w:rPr>
          <w:rFonts w:ascii="Verdana" w:eastAsia="Calibri" w:hAnsi="Verdana" w:cs="Arial"/>
          <w:bCs/>
          <w:lang w:val="es-ES"/>
        </w:rPr>
        <w:t>El artículo 355 de la Constitución Política prohíbe a las ramas y órganos del poder público decretar auxilios o donaciones en favor de personas naturales o jurídicas. Igualmente, establece que las entidades del orden nacional, departamental, distrital y municipal podrán, con sus propios recursos, contratar con ESAL con el fin de impulsar programas y actividades de interés público acordes con el plan nacional y los planes seccionales de desarrollo</w:t>
      </w:r>
      <w:r>
        <w:rPr>
          <w:rStyle w:val="Refdenotaalpie"/>
          <w:rFonts w:ascii="Verdana" w:hAnsi="Verdana" w:cs="Arial"/>
          <w:lang w:val="es-ES"/>
        </w:rPr>
        <w:footnoteReference w:id="9"/>
      </w:r>
      <w:r>
        <w:rPr>
          <w:rFonts w:ascii="Verdana" w:eastAsia="Calibri" w:hAnsi="Verdana" w:cs="Arial"/>
          <w:bCs/>
          <w:lang w:val="es-ES"/>
        </w:rPr>
        <w:t>. Por otra parte, el artículo 96 de la Ley 489 de 1998 permite a las entidades públicas en general, es decir, cualquiera sea su naturaleza y orden administrativo, asociarse con personas jurídicas particulares, mediante la celebración de convenios de asociación o la creación de personas jurídicas. Ambas figuras tienen como fin desarrollar conjuntamente actividades relacionadas con los cometidos y funciones legales asignadas a la entidad</w:t>
      </w:r>
      <w:r>
        <w:rPr>
          <w:rStyle w:val="Refdenotaalpie"/>
          <w:rFonts w:ascii="Verdana" w:eastAsia="Calibri" w:hAnsi="Verdana" w:cs="Arial"/>
          <w:bCs/>
          <w:lang w:val="es-ES"/>
        </w:rPr>
        <w:footnoteReference w:id="10"/>
      </w:r>
      <w:r>
        <w:rPr>
          <w:rFonts w:ascii="Verdana" w:eastAsia="Calibri" w:hAnsi="Verdana" w:cs="Arial"/>
          <w:bCs/>
          <w:lang w:val="es-ES"/>
        </w:rPr>
        <w:t>.</w:t>
      </w:r>
    </w:p>
    <w:p w14:paraId="419533D8" w14:textId="77777777" w:rsidR="0055252E" w:rsidRDefault="0055252E" w:rsidP="0055252E">
      <w:pPr>
        <w:spacing w:before="120" w:after="120" w:line="276" w:lineRule="auto"/>
        <w:ind w:firstLine="709"/>
        <w:jc w:val="both"/>
        <w:rPr>
          <w:rFonts w:ascii="Verdana" w:eastAsia="Calibri" w:hAnsi="Verdana" w:cs="Arial"/>
          <w:lang w:val="es-ES"/>
        </w:rPr>
      </w:pPr>
      <w:bookmarkStart w:id="2" w:name="_Hlk38819155"/>
      <w:r>
        <w:rPr>
          <w:rFonts w:ascii="Verdana" w:eastAsia="Calibri" w:hAnsi="Verdana" w:cs="Arial"/>
          <w:lang w:val="es-ES"/>
        </w:rPr>
        <w:lastRenderedPageBreak/>
        <w:t xml:space="preserve">El Decreto 092 de 2017 dispone reglas para las contrataciones que realicen las entidades estatales con las ESAL. El Decreto regula dos (2) eventos: i) los contratos del artículo 355 de la Constitución Política con el fin impulsar programas y actividades de interés público de acuerdo con el Plan Nacional o los planes seccionales de desarrollo; y ii) los convenios de asociación, para el desarrollo conjunto de actividades relacionadas con las funciones de las entidades estatales, en desarrollo del artículo 96 de la Ley 489 de 1998. </w:t>
      </w:r>
      <w:bookmarkEnd w:id="2"/>
    </w:p>
    <w:p w14:paraId="13F2AB15" w14:textId="77777777" w:rsidR="0055252E" w:rsidRDefault="0055252E" w:rsidP="0055252E">
      <w:pPr>
        <w:spacing w:before="120" w:after="120" w:line="276" w:lineRule="auto"/>
        <w:ind w:firstLine="709"/>
        <w:jc w:val="both"/>
        <w:rPr>
          <w:rFonts w:ascii="Verdana" w:eastAsia="Calibri" w:hAnsi="Verdana" w:cs="Arial"/>
          <w:lang w:val="es-ES"/>
        </w:rPr>
      </w:pPr>
      <w:bookmarkStart w:id="3" w:name="_Hlk95756032"/>
      <w:r>
        <w:rPr>
          <w:rFonts w:ascii="Verdana" w:eastAsia="Calibri" w:hAnsi="Verdana" w:cs="Arial"/>
          <w:lang w:val="es-ES"/>
        </w:rPr>
        <w:t xml:space="preserve">Los </w:t>
      </w:r>
      <w:r>
        <w:rPr>
          <w:rFonts w:ascii="Verdana" w:eastAsia="Calibri" w:hAnsi="Verdana" w:cs="Arial"/>
          <w:i/>
          <w:iCs/>
          <w:lang w:val="es-ES"/>
        </w:rPr>
        <w:t>contratos del artículo 355 de la Constitución Política</w:t>
      </w:r>
      <w:r>
        <w:rPr>
          <w:rFonts w:ascii="Verdana" w:eastAsia="Calibri" w:hAnsi="Verdana" w:cs="Arial"/>
          <w:lang w:val="es-ES"/>
        </w:rPr>
        <w:t xml:space="preserve"> tienen como objeto promover acciones de fomento social en beneficio de los sectores más desprotegidos de la población, siempre que estén previstas en los planes de desarrollo, motivo por el cual no dan lugar a una contraprestación directa a favor de la entidad y tampoco a una relación conmutativa entre ésta y la ESAL, toda vez que el beneficio directo lo recibirán, en últimas, los sectores de este tipo de acciones de fomento. Para celebrar estos contratos, según lo establece el artículo 3 del Decreto 092 de 2017, por regla general, la entidad debe adelantar un proceso competitivo para seleccionar la entidad sin ánimo de lucro contratista. </w:t>
      </w:r>
    </w:p>
    <w:p w14:paraId="5F99EE4A" w14:textId="77777777" w:rsidR="0055252E" w:rsidRDefault="0055252E" w:rsidP="0055252E">
      <w:pPr>
        <w:spacing w:before="120" w:after="120" w:line="276" w:lineRule="auto"/>
        <w:ind w:firstLine="709"/>
        <w:jc w:val="both"/>
        <w:rPr>
          <w:rFonts w:ascii="Verdana" w:eastAsia="Calibri" w:hAnsi="Verdana" w:cs="Arial"/>
          <w:lang w:val="es-ES"/>
        </w:rPr>
      </w:pPr>
      <w:r>
        <w:rPr>
          <w:rFonts w:ascii="Verdana" w:eastAsia="Calibri" w:hAnsi="Verdana" w:cs="Arial"/>
          <w:lang w:val="es-ES"/>
        </w:rPr>
        <w:t>En particular, debe verificar el cumplimiento de los siguientes requisitos: i) que el objeto del contrato corresponda a programas y actividades de interés público acordes con el Plan Nacional o Seccional de Desarrollo; y ii) que no haya una contraprestación directa a favor de la entidad estatal, es decir, que el programa o actividad a desarrollar este dirigida al beneficio de la población en general, ya que cuando se adquieren bienes o servicios o se ejecutan obras en una relación conmutativa, las normas aplicables son las del Estatuto General de Contratación. Solo cuando se reúnan estas condiciones es procedente celebrar contratos del artículo 355 de la Constitución Política; de lo contrario, se aplicarán las normas del Estatuto General de Contratación de la Administración Pública.</w:t>
      </w:r>
    </w:p>
    <w:bookmarkEnd w:id="3"/>
    <w:p w14:paraId="2F57666C" w14:textId="77777777" w:rsidR="0055252E" w:rsidRDefault="0055252E" w:rsidP="0055252E">
      <w:pPr>
        <w:spacing w:before="120" w:after="120" w:line="276" w:lineRule="auto"/>
        <w:ind w:firstLine="709"/>
        <w:jc w:val="both"/>
        <w:rPr>
          <w:rFonts w:ascii="Verdana" w:eastAsia="Calibri" w:hAnsi="Verdana" w:cs="Arial"/>
          <w:bCs/>
          <w:lang w:val="es-ES"/>
        </w:rPr>
      </w:pPr>
      <w:r>
        <w:rPr>
          <w:rFonts w:ascii="Verdana" w:eastAsia="Calibri" w:hAnsi="Verdana" w:cs="Arial"/>
          <w:bCs/>
          <w:lang w:val="es-ES"/>
        </w:rPr>
        <w:t xml:space="preserve">De otro lado, los </w:t>
      </w:r>
      <w:r>
        <w:rPr>
          <w:rFonts w:ascii="Verdana" w:eastAsia="Calibri" w:hAnsi="Verdana" w:cs="Arial"/>
          <w:bCs/>
          <w:i/>
          <w:lang w:val="es-ES"/>
        </w:rPr>
        <w:t>convenios de asociación</w:t>
      </w:r>
      <w:r>
        <w:rPr>
          <w:rFonts w:ascii="Verdana" w:eastAsia="Calibri" w:hAnsi="Verdana" w:cs="Arial"/>
          <w:bCs/>
          <w:lang w:val="es-ES"/>
        </w:rPr>
        <w:t xml:space="preserve"> “[t]ienen como finalidad que la entidad estatal, cualquiera que sea su naturaleza y orden administrativo, se asocien con personas jurídicas particulares para el desarrollo conjunto de actividades relacionadas con los cometidos y funciones asignadas a aquellas </w:t>
      </w:r>
      <w:r>
        <w:rPr>
          <w:rFonts w:ascii="Verdana" w:eastAsia="Calibri" w:hAnsi="Verdana" w:cs="Arial"/>
          <w:bCs/>
          <w:lang w:val="es-ES"/>
        </w:rPr>
        <w:lastRenderedPageBreak/>
        <w:t>conforme a la Constitución y a la Ley”</w:t>
      </w:r>
      <w:r>
        <w:rPr>
          <w:rStyle w:val="Refdenotaalpie"/>
          <w:rFonts w:ascii="Verdana" w:hAnsi="Verdana" w:cs="Arial"/>
          <w:lang w:val="es-ES"/>
        </w:rPr>
        <w:footnoteReference w:id="11"/>
      </w:r>
      <w:r>
        <w:rPr>
          <w:rFonts w:ascii="Verdana" w:eastAsia="Calibri" w:hAnsi="Verdana" w:cs="Arial"/>
          <w:bCs/>
          <w:lang w:val="es-ES"/>
        </w:rPr>
        <w:t>. En estos convenios existen aportes dirigidos, especialmente, a lograr la ejecución del convenio. De todos modos, la entidad deberá adelantar un proceso competitivo, salvo cuando la ESAL comprometa recursos en dinero para la ejecución de estas actividades, en una proporción no inferior al 30% del valor total del convenio. El convenio de asociación no es conmutativo, y por tanto, la entidad no instruye al contratista para desarrollar los programas o actividades previstas, sino que se asocia con él para el cumplimiento de objetivos comunes</w:t>
      </w:r>
      <w:r>
        <w:rPr>
          <w:rStyle w:val="Refdenotaalpie"/>
          <w:rFonts w:ascii="Verdana" w:hAnsi="Verdana" w:cs="Arial"/>
          <w:lang w:val="es-ES"/>
        </w:rPr>
        <w:footnoteReference w:id="12"/>
      </w:r>
      <w:r>
        <w:rPr>
          <w:rFonts w:ascii="Verdana" w:eastAsia="Calibri" w:hAnsi="Verdana" w:cs="Arial"/>
          <w:bCs/>
          <w:lang w:val="es-ES"/>
        </w:rPr>
        <w:t>.</w:t>
      </w:r>
    </w:p>
    <w:p w14:paraId="47011965" w14:textId="77777777" w:rsidR="0055252E" w:rsidRDefault="0055252E" w:rsidP="0055252E">
      <w:pPr>
        <w:spacing w:before="120" w:after="120" w:line="276" w:lineRule="auto"/>
        <w:ind w:firstLine="709"/>
        <w:jc w:val="both"/>
        <w:rPr>
          <w:rFonts w:ascii="Verdana" w:eastAsia="Calibri" w:hAnsi="Verdana" w:cs="Arial"/>
          <w:bCs/>
          <w:lang w:val="es-ES"/>
        </w:rPr>
      </w:pPr>
      <w:r>
        <w:rPr>
          <w:rFonts w:ascii="Verdana" w:eastAsia="Calibri" w:hAnsi="Verdana" w:cs="Arial"/>
          <w:bCs/>
          <w:lang w:val="es-ES"/>
        </w:rPr>
        <w:t>Como el artículo 96 de la Ley 489 de 1998 determina que el convenio busca el desarrollo conjunto de actividades en relación con los cometidos y funciones que la ley les asigna a las entidades estatales, lo cierto es que las funciones legales de las entidades estatales que suscriben conjuntamente el convenio deben coincidir. Igualmente, atendiendo a que los convenios de asociación “no estarán sujetos a competencia cuando la entidad sin ánimo de lucro comprometa recursos en dinero para la ejecución de esas actividades en una proporción no inferior al 30% del valor total del convenio”, las entidades deben asegurarse de que su contratista, es decir, las ESAL, aporte al menos el treinta por ciento del valor del convenio para celebrarlo directamente. Además, en atención al inciso 2 del artículo 5 del Decreto 092 de 2017, deben asegurarse de que no haya otras ESAL que ofrezcan su compromiso de recursos en dinero en una proporción no inferior al 30% del valor total del convenio. En caso de que la entidad encuentre que más de una ESAL le ofrece al menos el 30% de recursos en dinero para el convenio de asociación, debe seleccionar objetivamente con cual asociarse.</w:t>
      </w:r>
    </w:p>
    <w:p w14:paraId="10382191" w14:textId="77777777" w:rsidR="0055252E" w:rsidRDefault="0055252E" w:rsidP="0055252E">
      <w:pPr>
        <w:spacing w:before="120" w:after="120" w:line="276" w:lineRule="auto"/>
        <w:ind w:firstLine="709"/>
        <w:jc w:val="both"/>
        <w:rPr>
          <w:rFonts w:ascii="Verdana" w:hAnsi="Verdana"/>
          <w:lang w:val="es-ES"/>
        </w:rPr>
      </w:pPr>
      <w:r>
        <w:rPr>
          <w:rFonts w:ascii="Verdana" w:hAnsi="Verdana" w:cs="Arial"/>
          <w:color w:val="000000" w:themeColor="text1"/>
          <w:lang w:val="es-ES"/>
        </w:rPr>
        <w:t xml:space="preserve">La noción “seleccionar de forma objetiva”, contenida en la disposición </w:t>
      </w:r>
      <w:r>
        <w:rPr>
          <w:rFonts w:ascii="Verdana" w:hAnsi="Verdana" w:cs="Arial"/>
          <w:i/>
          <w:iCs/>
          <w:color w:val="000000" w:themeColor="text1"/>
          <w:lang w:val="es-ES"/>
        </w:rPr>
        <w:t xml:space="preserve">sub examine </w:t>
      </w:r>
      <w:r>
        <w:rPr>
          <w:rFonts w:ascii="Verdana" w:hAnsi="Verdana" w:cs="Arial"/>
          <w:color w:val="000000" w:themeColor="text1"/>
          <w:lang w:val="es-ES"/>
        </w:rPr>
        <w:t xml:space="preserve">no puede ser entendida como una remisión total a las Leyes 80 de 1993 y 1150 de 2007. A lo que se refiere la norma es a que la entidad estatal debe diseñar herramientas que permitan una comparación objetiva de las entidades sin ánimo de lucro para seleccionar objetivamente a aquella que tenga las mejores condiciones para alcanzar el resultado esperado con el proyecto de cooperación. Por ello, la entidad puede tomar la decisión de acudir a los procesos de selección de contratistas que establece el Estatuto General de Contratación </w:t>
      </w:r>
      <w:r>
        <w:rPr>
          <w:rFonts w:ascii="Verdana" w:hAnsi="Verdana" w:cs="Arial"/>
          <w:color w:val="000000" w:themeColor="text1"/>
          <w:lang w:val="es-ES"/>
        </w:rPr>
        <w:lastRenderedPageBreak/>
        <w:t>de la Administración Pública o, incluso, al trámite que regula el inciso 2 del artículo 2 del Decreto 092 de 2017.</w:t>
      </w:r>
    </w:p>
    <w:p w14:paraId="546C8467" w14:textId="77777777" w:rsidR="0055252E" w:rsidRDefault="0055252E" w:rsidP="0055252E">
      <w:pPr>
        <w:pStyle w:val="Sinespaciado"/>
        <w:spacing w:line="276" w:lineRule="auto"/>
        <w:ind w:firstLine="708"/>
        <w:jc w:val="both"/>
        <w:rPr>
          <w:rFonts w:ascii="Verdana" w:hAnsi="Verdana" w:cs="Arial"/>
          <w:color w:val="000000" w:themeColor="text1"/>
          <w:sz w:val="22"/>
          <w:lang w:val="es-ES"/>
        </w:rPr>
      </w:pPr>
      <w:r>
        <w:rPr>
          <w:rFonts w:ascii="Verdana" w:hAnsi="Verdana" w:cs="Arial"/>
          <w:color w:val="000000" w:themeColor="text1"/>
          <w:sz w:val="22"/>
          <w:lang w:val="es-ES"/>
        </w:rPr>
        <w:t>Es importante aclarar que los negocios jurídicos que regula el Decreto 092 de 2017 “[…] son esencialmente distintos a los contratos para la adquisición y aprovisionamiento de bienes, obras o servicios regulados por el estatuto de contratación y [, como tal,] no hacen parte del sistema de compra pública. […] De acuerdo con lo anterior, si la entidad estatal adquiere o se abastece de un bien, obra o servicio en un contrato conmutativo en el cual el proveedor es una [ESAL], debe aplicar el régimen contenido en las Leyes 80 de 1993 y 1150 de 2007, y no el Decreto 092 de 2017”</w:t>
      </w:r>
      <w:r>
        <w:rPr>
          <w:rStyle w:val="Refdenotaalpie"/>
          <w:rFonts w:ascii="Verdana" w:hAnsi="Verdana" w:cs="Arial"/>
          <w:color w:val="000000" w:themeColor="text1"/>
          <w:sz w:val="22"/>
          <w:lang w:val="es-ES"/>
        </w:rPr>
        <w:footnoteReference w:id="13"/>
      </w:r>
      <w:r>
        <w:rPr>
          <w:rFonts w:ascii="Verdana" w:hAnsi="Verdana" w:cs="Arial"/>
          <w:color w:val="000000" w:themeColor="text1"/>
          <w:sz w:val="22"/>
          <w:lang w:val="es-ES"/>
        </w:rPr>
        <w:t>. Así lo consideró la Sala de Consulta y Servicio Civil del Consejo de Estado:</w:t>
      </w:r>
    </w:p>
    <w:p w14:paraId="62203D41" w14:textId="77777777" w:rsidR="0055252E" w:rsidRDefault="0055252E" w:rsidP="0055252E">
      <w:pPr>
        <w:pStyle w:val="Sinespaciado"/>
        <w:spacing w:line="276" w:lineRule="auto"/>
        <w:jc w:val="both"/>
        <w:rPr>
          <w:rFonts w:ascii="Verdana" w:hAnsi="Verdana" w:cs="Arial"/>
          <w:color w:val="000000" w:themeColor="text1"/>
          <w:sz w:val="22"/>
          <w:lang w:val="es-ES"/>
        </w:rPr>
      </w:pPr>
    </w:p>
    <w:p w14:paraId="09DADEA7" w14:textId="77777777" w:rsidR="0055252E" w:rsidRDefault="0055252E" w:rsidP="0055252E">
      <w:pPr>
        <w:spacing w:line="240" w:lineRule="auto"/>
        <w:ind w:left="709" w:right="709"/>
        <w:jc w:val="both"/>
        <w:rPr>
          <w:rFonts w:ascii="Verdana" w:eastAsia="Calibri" w:hAnsi="Verdana" w:cs="Arial"/>
          <w:color w:val="000000" w:themeColor="text1"/>
          <w:sz w:val="20"/>
          <w:szCs w:val="20"/>
          <w:lang w:val="es-ES"/>
        </w:rPr>
      </w:pPr>
      <w:r>
        <w:rPr>
          <w:rFonts w:ascii="Verdana" w:eastAsia="Calibri" w:hAnsi="Verdana" w:cs="Arial"/>
          <w:color w:val="000000" w:themeColor="text1"/>
          <w:sz w:val="20"/>
          <w:szCs w:val="20"/>
          <w:lang w:val="es-ES"/>
        </w:rPr>
        <w:t>“Como ya se indicó, el objeto de los contratos que autoriza el inciso segundo del artículo 355 Superior, se limita a la realización de actividades o programas de interés público que, conforme a los planes de desarrollo, adelanten instituciones privadas sin ánimo de lucro. Aquellos que generan una contraprestación directa a favor de la entidad contratante y los que tienen por objeto desarrollar proyectos específicos, corresponden al giro normal de las funciones propias de la entidad estatal, y por lo tanto, se tipifican dentro de cualquiera de las modalidades de contratación de la ley 80 de 1993, debiendo sujetarse a los procedimientos allí previstos, en especial los de escogencia del contratista.</w:t>
      </w:r>
    </w:p>
    <w:p w14:paraId="2C9C5FB2" w14:textId="77777777" w:rsidR="0055252E" w:rsidRDefault="0055252E" w:rsidP="0055252E">
      <w:pPr>
        <w:spacing w:after="0" w:line="240" w:lineRule="auto"/>
        <w:ind w:left="708" w:right="709"/>
        <w:jc w:val="both"/>
        <w:rPr>
          <w:rFonts w:ascii="Verdana" w:eastAsia="Calibri" w:hAnsi="Verdana" w:cs="Arial"/>
          <w:color w:val="000000" w:themeColor="text1"/>
          <w:sz w:val="20"/>
          <w:szCs w:val="20"/>
          <w:lang w:val="es-ES"/>
        </w:rPr>
      </w:pPr>
      <w:r>
        <w:rPr>
          <w:rFonts w:ascii="Verdana" w:eastAsia="Calibri" w:hAnsi="Verdana" w:cs="Arial"/>
          <w:color w:val="000000" w:themeColor="text1"/>
          <w:sz w:val="20"/>
          <w:szCs w:val="20"/>
          <w:lang w:val="es-ES"/>
        </w:rPr>
        <w:t>Cuando el artículo 355 autoriza a las entidades estatales a celebrar contratos para “impulsar” programas y actividades de interés público, se refiere a los del ente privado y no a los del Estado, pues respecto de éste el deber constitucional es no sólo impulsarlos sino cumplirlos, conforme las disposiciones contractuales vigentes, como sería por ejemplo, contratos de prestación de servicios o de obra pública”</w:t>
      </w:r>
      <w:r>
        <w:rPr>
          <w:rStyle w:val="Refdenotaalpie"/>
          <w:rFonts w:ascii="Verdana" w:hAnsi="Verdana" w:cs="Arial"/>
          <w:color w:val="000000" w:themeColor="text1"/>
          <w:sz w:val="20"/>
          <w:szCs w:val="20"/>
          <w:lang w:val="es-ES"/>
        </w:rPr>
        <w:t xml:space="preserve"> </w:t>
      </w:r>
      <w:r>
        <w:footnoteReference w:id="14"/>
      </w:r>
      <w:r>
        <w:rPr>
          <w:rFonts w:ascii="Verdana" w:eastAsia="Calibri" w:hAnsi="Verdana" w:cs="Arial"/>
          <w:color w:val="000000" w:themeColor="text1"/>
          <w:sz w:val="20"/>
          <w:szCs w:val="20"/>
          <w:lang w:val="es-ES"/>
        </w:rPr>
        <w:t>.</w:t>
      </w:r>
    </w:p>
    <w:p w14:paraId="060FFDE5" w14:textId="77777777" w:rsidR="0055252E" w:rsidRDefault="0055252E" w:rsidP="0055252E">
      <w:pPr>
        <w:spacing w:after="0" w:line="276" w:lineRule="auto"/>
        <w:ind w:firstLine="708"/>
        <w:jc w:val="both"/>
        <w:rPr>
          <w:rFonts w:ascii="Verdana" w:eastAsia="Calibri" w:hAnsi="Verdana" w:cs="Arial"/>
          <w:color w:val="000000" w:themeColor="text1"/>
          <w:lang w:val="es-ES"/>
        </w:rPr>
      </w:pPr>
      <w:bookmarkStart w:id="4" w:name="_Hlk95756200"/>
    </w:p>
    <w:p w14:paraId="2E8BDF95" w14:textId="77777777" w:rsidR="0055252E" w:rsidRDefault="0055252E" w:rsidP="0055252E">
      <w:pPr>
        <w:spacing w:after="0" w:line="276" w:lineRule="auto"/>
        <w:ind w:firstLine="708"/>
        <w:jc w:val="both"/>
        <w:rPr>
          <w:rFonts w:ascii="Verdana" w:eastAsia="Calibri" w:hAnsi="Verdana" w:cs="Arial"/>
          <w:color w:val="000000" w:themeColor="text1"/>
          <w:lang w:val="es-ES"/>
        </w:rPr>
      </w:pPr>
      <w:r>
        <w:rPr>
          <w:rFonts w:ascii="Verdana" w:eastAsia="Calibri" w:hAnsi="Verdana" w:cs="Arial"/>
          <w:color w:val="000000" w:themeColor="text1"/>
          <w:lang w:val="es-ES"/>
        </w:rPr>
        <w:t xml:space="preserve">De acuerdo con lo anterior, no todas las actividades que las entidades estatales deben desarrollar para alcanzar sus objetivos misionales deben ejecutarse a través de la celebración de contratos del artículo 355 superior o convenios de asociación. Debe tenerse en cuenta que lo que determina la aplicación del Decreto 092 de 2017 no es únicamente el carácter de las ESAL sino el objeto del contrato o convenio que la entidad pretende adelantar. Por </w:t>
      </w:r>
      <w:r>
        <w:rPr>
          <w:rFonts w:ascii="Verdana" w:eastAsia="Calibri" w:hAnsi="Verdana" w:cs="Arial"/>
          <w:color w:val="000000" w:themeColor="text1"/>
          <w:lang w:val="es-ES"/>
        </w:rPr>
        <w:lastRenderedPageBreak/>
        <w:t xml:space="preserve">tanto, el hecho de que se trate de una entidad sin ánimo de lucro no implica que necesariamente deba celebrarse un contrato de colaboración o un convenio de asociación. </w:t>
      </w:r>
      <w:bookmarkEnd w:id="4"/>
      <w:r>
        <w:rPr>
          <w:rFonts w:ascii="Verdana" w:eastAsia="Calibri" w:hAnsi="Verdana" w:cs="Arial"/>
          <w:color w:val="000000" w:themeColor="text1"/>
          <w:lang w:val="es-ES"/>
        </w:rPr>
        <w:t>Así lo reconoció la Corte Constitucional en la sentencia C-287 del 18 de abril de 2012, en la que sostuvo lo siguiente:</w:t>
      </w:r>
    </w:p>
    <w:p w14:paraId="470D231B" w14:textId="77777777" w:rsidR="0055252E" w:rsidRDefault="0055252E" w:rsidP="0055252E">
      <w:pPr>
        <w:spacing w:after="0" w:line="276" w:lineRule="auto"/>
        <w:ind w:firstLine="708"/>
        <w:jc w:val="both"/>
        <w:rPr>
          <w:rFonts w:ascii="Verdana" w:eastAsia="Calibri" w:hAnsi="Verdana" w:cs="Arial"/>
          <w:color w:val="000000" w:themeColor="text1"/>
          <w:lang w:val="es-ES"/>
        </w:rPr>
      </w:pPr>
    </w:p>
    <w:p w14:paraId="5E08A3B0" w14:textId="77777777" w:rsidR="0055252E" w:rsidRDefault="0055252E" w:rsidP="0055252E">
      <w:pPr>
        <w:spacing w:line="240" w:lineRule="auto"/>
        <w:ind w:left="709" w:right="709"/>
        <w:jc w:val="both"/>
        <w:rPr>
          <w:rFonts w:ascii="Verdana" w:eastAsia="Calibri" w:hAnsi="Verdana" w:cs="Arial"/>
          <w:color w:val="000000" w:themeColor="text1"/>
          <w:sz w:val="20"/>
          <w:szCs w:val="20"/>
          <w:lang w:val="es-ES"/>
        </w:rPr>
      </w:pPr>
      <w:r>
        <w:rPr>
          <w:rFonts w:ascii="Verdana" w:eastAsia="Calibri" w:hAnsi="Verdana" w:cs="Arial"/>
          <w:color w:val="000000" w:themeColor="text1"/>
          <w:sz w:val="20"/>
          <w:szCs w:val="20"/>
          <w:lang w:val="es-ES"/>
        </w:rPr>
        <w:t>“Las corporaciones o asociaciones sin ánimo de lucro han sido definidas por la doctrina como personas jurídicas que surgen de la voluntad de un grupo de individuos que vinculan un capital a la obtención de un fin de interés general o de bienestar común no lucrativo, de manera que tienen como finalidad propia la satisfacción de intereses públicos y sociales.</w:t>
      </w:r>
    </w:p>
    <w:p w14:paraId="0C7C91D3" w14:textId="77777777" w:rsidR="0055252E" w:rsidRDefault="0055252E" w:rsidP="0055252E">
      <w:pPr>
        <w:spacing w:after="0" w:line="240" w:lineRule="auto"/>
        <w:ind w:left="709" w:right="709"/>
        <w:jc w:val="both"/>
        <w:rPr>
          <w:rFonts w:ascii="Verdana" w:eastAsia="Calibri" w:hAnsi="Verdana" w:cs="Arial"/>
          <w:color w:val="000000" w:themeColor="text1"/>
          <w:sz w:val="20"/>
          <w:szCs w:val="20"/>
          <w:lang w:val="es-ES"/>
        </w:rPr>
      </w:pPr>
      <w:r>
        <w:rPr>
          <w:rFonts w:ascii="Verdana" w:eastAsia="Calibri" w:hAnsi="Verdana" w:cs="Arial"/>
          <w:i/>
          <w:iCs/>
          <w:color w:val="000000" w:themeColor="text1"/>
          <w:sz w:val="20"/>
          <w:szCs w:val="20"/>
          <w:lang w:val="es-ES"/>
        </w:rPr>
        <w:t>Sin embargo, el hecho que no persigan una finalidad lucrativa no significa que no desarrollen actividades que generen utilidades, lo que pasa es que a diferencia de las sociedades, el lucro o ganancia obtenida no se reparte entre sus miembros sino que se integra al patrimonio de la asociación para la obtención del fin deseado</w:t>
      </w:r>
      <w:r>
        <w:rPr>
          <w:rFonts w:ascii="Verdana" w:eastAsia="Calibri" w:hAnsi="Verdana" w:cs="Arial"/>
          <w:color w:val="000000" w:themeColor="text1"/>
          <w:sz w:val="20"/>
          <w:szCs w:val="20"/>
          <w:lang w:val="es-ES"/>
        </w:rPr>
        <w:t>. Así, el elemento característico de las corporaciones o asociaciones sin ánimo de lucro radica, precisamente, en la determinación de sus miembros de desarrollar una actividad de interés general sin esperar a cambio repartición de utilidades en proporción a su aporte, ni la recuperación del mismo en el momento de su disolución o liquidación”. [Cursivas propias]</w:t>
      </w:r>
    </w:p>
    <w:p w14:paraId="21F2FAEF" w14:textId="77777777" w:rsidR="0055252E" w:rsidRDefault="0055252E" w:rsidP="0055252E">
      <w:pPr>
        <w:spacing w:after="0" w:line="276" w:lineRule="auto"/>
        <w:ind w:firstLine="709"/>
        <w:jc w:val="both"/>
        <w:rPr>
          <w:rFonts w:ascii="Verdana" w:eastAsia="Calibri" w:hAnsi="Verdana" w:cs="Arial"/>
          <w:color w:val="000000" w:themeColor="text1"/>
          <w:lang w:val="es-ES"/>
        </w:rPr>
      </w:pPr>
    </w:p>
    <w:p w14:paraId="01916DE8" w14:textId="77777777" w:rsidR="0055252E" w:rsidRDefault="0055252E" w:rsidP="0055252E">
      <w:pPr>
        <w:spacing w:after="120" w:line="276" w:lineRule="auto"/>
        <w:ind w:firstLine="709"/>
        <w:jc w:val="both"/>
        <w:rPr>
          <w:rFonts w:ascii="Verdana" w:eastAsia="Calibri" w:hAnsi="Verdana" w:cs="Arial"/>
          <w:color w:val="000000" w:themeColor="text1"/>
          <w:lang w:val="es-ES"/>
        </w:rPr>
      </w:pPr>
      <w:r>
        <w:rPr>
          <w:rFonts w:ascii="Verdana" w:eastAsia="Calibri" w:hAnsi="Verdana" w:cs="Arial"/>
          <w:color w:val="000000" w:themeColor="text1"/>
          <w:lang w:val="es-ES"/>
        </w:rPr>
        <w:t>Lo anterior se justifica en que la principal característica de las ESAL es la ausencia de lucro, es decir, las ganancias o beneficios económicos no están destinados a repartirse en favor de los miembros ni de terceros, sino que permanecen dentro de la entidad incrementando su patrimonio. Con todo, las ESAL pueden participar en igualdad de condiciones en procesos de contratación regidos por la Ley 80 de 1993, la Ley 1150 de 2007 y el Decreto 1082 de 2015, siempre y cuando cumplan con los requisitos exigidos en los documentos del proceso. De esta manera, ni los contratos del artículo 355 de la Constitución Política ni los convenios de asociación del artículo 96 de la Ley 489 de 1998 generan utilidades para la ESAL, pues en dicho caso se trataría de un contrato en el que se debe remunerar al contratista por los servicios prestados, el cual, por eso mismo, tiene un régimen legal distinto.</w:t>
      </w:r>
    </w:p>
    <w:p w14:paraId="433210E8" w14:textId="77777777" w:rsidR="0055252E" w:rsidRDefault="0055252E" w:rsidP="0055252E">
      <w:pPr>
        <w:spacing w:line="276" w:lineRule="auto"/>
        <w:ind w:firstLine="709"/>
        <w:jc w:val="both"/>
        <w:rPr>
          <w:rFonts w:ascii="Verdana" w:eastAsia="Calibri" w:hAnsi="Verdana" w:cs="Arial"/>
          <w:color w:val="000000" w:themeColor="text1"/>
          <w:lang w:val="es-ES"/>
        </w:rPr>
      </w:pPr>
      <w:r>
        <w:rPr>
          <w:rFonts w:ascii="Verdana" w:hAnsi="Verdana" w:cs="Arial"/>
          <w:color w:val="000000" w:themeColor="text1"/>
          <w:lang w:val="es-ES"/>
        </w:rPr>
        <w:t xml:space="preserve">Es importante tener en cuenta que la contratación con entidades sin ánimo de lucro se rige por el Decreto 092 de 2017, salvo lo que ha sido objeto de suspensión provisional por parte del Consejo de Estado. Por lo tanto, las entidades públicas que desean celebrar </w:t>
      </w:r>
      <w:r>
        <w:rPr>
          <w:rFonts w:ascii="Verdana" w:hAnsi="Verdana" w:cs="Arial"/>
          <w:i/>
          <w:iCs/>
          <w:color w:val="000000" w:themeColor="text1"/>
          <w:lang w:val="es-ES"/>
        </w:rPr>
        <w:t>contratos del artículo 355 de la Constitución Política</w:t>
      </w:r>
      <w:r>
        <w:rPr>
          <w:rFonts w:ascii="Verdana" w:hAnsi="Verdana" w:cs="Arial"/>
          <w:color w:val="000000" w:themeColor="text1"/>
          <w:lang w:val="es-ES"/>
        </w:rPr>
        <w:t xml:space="preserve"> deberán contratar con ESAL de reconocida idoneidad realizando un proceso competitivo, y teniendo en cuenta lo siguiente: i) no debe </w:t>
      </w:r>
      <w:r>
        <w:rPr>
          <w:rFonts w:ascii="Verdana" w:hAnsi="Verdana" w:cs="Arial"/>
          <w:color w:val="000000" w:themeColor="text1"/>
          <w:lang w:val="es-ES"/>
        </w:rPr>
        <w:lastRenderedPageBreak/>
        <w:t>condicionarse el proceso de contratación a la inexistencia de oferta en el mercado de bienes y servicios; ii) tampoco debe condicionarse a que la contratación con las ESAL garantice la optimización de los recursos públicos en términos de eficiencia, eficacia, economía y manejo del riesgo; iii) el objeto del contrato debe estar acorde con el plan nacional o seccional de desarrollo; iv) no puede condicionarse únicamente a que las actividades o programas correspondan exclusivamente a promover los derechos de personas en situación de debilidad manifiesta o indefensión, los derechos de las minorías, el derecho a la educación, el derecho a la paz, las manifestaciones artísticas, culturales, deportivas y de promoción de la diversidad étnica colombiana, por lo que basta con cumplir el anterior numeral iii); y v) el contrato no debe establecer una relación conmutativa en el cual haya una contraprestación directa a favor de la entidad, ni instrucciones precisas dadas por esta al contratista para cumplir con el objeto del contrato.</w:t>
      </w:r>
    </w:p>
    <w:p w14:paraId="72BF73E3" w14:textId="77777777" w:rsidR="0055252E" w:rsidRDefault="0055252E" w:rsidP="0055252E">
      <w:pPr>
        <w:spacing w:after="0" w:line="276" w:lineRule="auto"/>
        <w:ind w:firstLine="709"/>
        <w:jc w:val="both"/>
        <w:rPr>
          <w:rFonts w:ascii="Verdana" w:eastAsia="Calibri" w:hAnsi="Verdana" w:cs="Arial"/>
          <w:color w:val="000000" w:themeColor="text1"/>
          <w:lang w:val="es-ES"/>
        </w:rPr>
      </w:pPr>
      <w:r>
        <w:rPr>
          <w:rFonts w:ascii="Verdana" w:eastAsia="Calibri" w:hAnsi="Verdana" w:cs="Arial"/>
          <w:color w:val="000000" w:themeColor="text1"/>
          <w:lang w:val="es-ES"/>
        </w:rPr>
        <w:t xml:space="preserve">Ahora, si se pretende realizar un </w:t>
      </w:r>
      <w:r>
        <w:rPr>
          <w:rFonts w:ascii="Verdana" w:eastAsia="Calibri" w:hAnsi="Verdana" w:cs="Arial"/>
          <w:i/>
          <w:iCs/>
          <w:color w:val="000000" w:themeColor="text1"/>
          <w:lang w:val="es-ES"/>
        </w:rPr>
        <w:t>convenio de asociación</w:t>
      </w:r>
      <w:r>
        <w:rPr>
          <w:rFonts w:ascii="Verdana" w:eastAsia="Calibri" w:hAnsi="Verdana" w:cs="Arial"/>
          <w:color w:val="000000" w:themeColor="text1"/>
          <w:lang w:val="es-ES"/>
        </w:rPr>
        <w:t xml:space="preserve"> con ESAL de reconocida idoneidad para el cumplimiento de las funciones que la ley les asigna a las entidades públicas, deberá aplicarse lo dispuesto en el artículo 5 del Decreto 092 de 2017. De esta manera, deben estar sujetos a competencia, salvo en aquellos casos en que una entidad sin ánimo de lucro comprometa recursos en dinero por un valor igual o superior al 30% del valor total del convenio</w:t>
      </w:r>
      <w:r>
        <w:rPr>
          <w:rStyle w:val="Refdenotaalpie"/>
          <w:rFonts w:ascii="Verdana" w:hAnsi="Verdana" w:cs="Arial"/>
          <w:color w:val="000000" w:themeColor="text1"/>
          <w:lang w:val="es-ES"/>
        </w:rPr>
        <w:footnoteReference w:id="15"/>
      </w:r>
      <w:r>
        <w:rPr>
          <w:rFonts w:ascii="Verdana" w:eastAsia="Calibri" w:hAnsi="Verdana" w:cs="Arial"/>
          <w:color w:val="000000" w:themeColor="text1"/>
          <w:lang w:val="es-ES"/>
        </w:rPr>
        <w:t xml:space="preserve">, y siempre que la entidad estatal verifique previamente que no existe ninguna otra entidad sin ánimo de lucro que ofrezca aportes iguales o superiores al 30%. </w:t>
      </w:r>
      <w:r>
        <w:rPr>
          <w:rFonts w:ascii="Verdana" w:eastAsia="Calibri" w:hAnsi="Verdana" w:cs="Arial"/>
          <w:color w:val="000000"/>
          <w:lang w:val="es-ES"/>
        </w:rPr>
        <w:t>Lo anterior sin perjuicio de las restricciones previstas en el artículo 33 de la Ley de Garantías durante el periodo de las elecciones presidenciales para los procesos no competitivos</w:t>
      </w:r>
      <w:r>
        <w:rPr>
          <w:rFonts w:ascii="Verdana" w:eastAsia="Calibri" w:hAnsi="Verdana" w:cs="Arial"/>
          <w:color w:val="000000" w:themeColor="text1"/>
          <w:lang w:val="es-ES"/>
        </w:rPr>
        <w:t>.</w:t>
      </w:r>
    </w:p>
    <w:p w14:paraId="35CDCE71" w14:textId="77777777" w:rsidR="0055252E" w:rsidRDefault="0055252E" w:rsidP="0055252E">
      <w:pPr>
        <w:spacing w:after="0" w:line="276" w:lineRule="auto"/>
        <w:ind w:firstLine="709"/>
        <w:jc w:val="both"/>
        <w:rPr>
          <w:rFonts w:ascii="Verdana" w:eastAsia="Calibri" w:hAnsi="Verdana" w:cs="Arial"/>
          <w:color w:val="000000" w:themeColor="text1"/>
          <w:lang w:val="es-ES"/>
        </w:rPr>
      </w:pPr>
    </w:p>
    <w:p w14:paraId="33758C02" w14:textId="77777777" w:rsidR="0055252E" w:rsidRDefault="0055252E" w:rsidP="0055252E">
      <w:pPr>
        <w:spacing w:after="0" w:line="276" w:lineRule="auto"/>
        <w:jc w:val="both"/>
        <w:rPr>
          <w:rFonts w:ascii="Verdana" w:eastAsia="Arial" w:hAnsi="Verdana" w:cs="Arial"/>
          <w:bCs/>
          <w:lang w:val="es-ES_tradnl"/>
        </w:rPr>
      </w:pPr>
      <w:r>
        <w:rPr>
          <w:rFonts w:ascii="Verdana" w:eastAsia="Calibri" w:hAnsi="Verdana" w:cs="Arial"/>
          <w:color w:val="000000" w:themeColor="text1"/>
          <w:lang w:val="es-ES"/>
        </w:rPr>
        <w:t>iii. En este contexto, con respecto a los interrogantes fr</w:t>
      </w:r>
      <w:r>
        <w:rPr>
          <w:rFonts w:ascii="Verdana" w:eastAsia="Arial" w:hAnsi="Verdana" w:cs="Arial"/>
          <w:bCs/>
        </w:rPr>
        <w:t xml:space="preserve">ente a la posibilidad de transferir una suma global al cuerpo de bomberos voluntarios sin identificar previamente los bienes o actividades que serán financiados, es necesario señalar que esta práctica no resulta compatible con los deberes de planeación y responsabilidad que rigen la contratación estatal. Toda vez que, </w:t>
      </w:r>
      <w:r>
        <w:rPr>
          <w:rFonts w:ascii="Verdana" w:eastAsia="Arial" w:hAnsi="Verdana" w:cs="Arial"/>
          <w:bCs/>
          <w:lang w:val="es-ES_tradnl"/>
        </w:rPr>
        <w:t xml:space="preserve">La planeación contractual es una herramienta de gerencia pública, que exige estructurar el </w:t>
      </w:r>
      <w:r>
        <w:rPr>
          <w:rFonts w:ascii="Verdana" w:eastAsia="Arial" w:hAnsi="Verdana" w:cs="Arial"/>
          <w:bCs/>
          <w:lang w:val="es-ES_tradnl"/>
        </w:rPr>
        <w:lastRenderedPageBreak/>
        <w:t>proceso contractual dedicando tiempo y esfuerzos para elaborar estudios previos, con el fin de determinar la necesidad que pretende satisfacer la entidad estatal y cuál es la mejor manera de hacerlo, consultando el tipo de bienes y servicios que ofrece el mercado y sus características, especificaciones, precios, costos, riesgos, garantías, disponibilidad, oferentes, etc. Lo anterior con la finalidad de realizar la escogencia diligente de la mejor oferta, para beneficiar los intereses y fines públicos inmersos en la contratación de las entidades estatales.</w:t>
      </w:r>
    </w:p>
    <w:p w14:paraId="3F890317" w14:textId="77777777" w:rsidR="0055252E" w:rsidRDefault="0055252E" w:rsidP="0055252E">
      <w:pPr>
        <w:spacing w:after="0" w:line="276" w:lineRule="auto"/>
        <w:jc w:val="both"/>
        <w:rPr>
          <w:rFonts w:ascii="Verdana" w:eastAsia="Arial" w:hAnsi="Verdana" w:cs="Arial"/>
          <w:bCs/>
          <w:lang w:val="es-ES_tradnl"/>
        </w:rPr>
      </w:pPr>
    </w:p>
    <w:p w14:paraId="06486572" w14:textId="77777777" w:rsidR="0055252E" w:rsidRDefault="0055252E" w:rsidP="0055252E">
      <w:pPr>
        <w:spacing w:after="240" w:line="276" w:lineRule="auto"/>
        <w:jc w:val="both"/>
        <w:rPr>
          <w:rFonts w:ascii="Verdana" w:eastAsia="Arial" w:hAnsi="Verdana" w:cs="Arial"/>
          <w:bCs/>
          <w:lang w:val="es-ES_tradnl"/>
        </w:rPr>
      </w:pPr>
      <w:r>
        <w:rPr>
          <w:rFonts w:ascii="Verdana" w:eastAsia="Arial" w:hAnsi="Verdana" w:cs="Arial"/>
          <w:bCs/>
          <w:lang w:val="es-ES_tradnl"/>
        </w:rPr>
        <w:tab/>
      </w:r>
      <w:r>
        <w:rPr>
          <w:rFonts w:ascii="Verdana" w:eastAsia="Calibri" w:hAnsi="Verdana" w:cs="Arial"/>
          <w:bCs/>
          <w:lang w:val="es-MX"/>
        </w:rPr>
        <w:t xml:space="preserve">El Estatuto General de Contratación de la Administración Pública contiene disposiciones que exigen a las Entidades Estatales el deber de realizar actividades de planeación en la etapa precontractual, para que los procesos de contratación satisfagan las necesidades de la Administración, cumplan sus fines, logren la continua y eficiente prestación de los servicios públicos y permitan la efectividad de los derechos e intereses de los administrados que colaboran en la consecución. En relación con el valor del futuro contrato y su correlativo respaldo presupuestal, se tienen, por ejemplo, las siguientes reglas derivadas de la aplicación del principio de economía previsto en el artículo 25 de la Ley 80 de 1993: </w:t>
      </w:r>
    </w:p>
    <w:p w14:paraId="226882F5" w14:textId="77777777" w:rsidR="0055252E" w:rsidRDefault="0055252E" w:rsidP="0055252E">
      <w:pPr>
        <w:spacing w:after="0" w:line="240" w:lineRule="auto"/>
        <w:ind w:left="709" w:right="709"/>
        <w:jc w:val="both"/>
        <w:rPr>
          <w:rFonts w:ascii="Verdana" w:eastAsia="Calibri" w:hAnsi="Verdana" w:cs="Arial"/>
          <w:sz w:val="20"/>
          <w:szCs w:val="20"/>
          <w:lang w:val="es-MX"/>
        </w:rPr>
      </w:pPr>
      <w:r>
        <w:rPr>
          <w:rFonts w:ascii="Verdana" w:eastAsia="Calibri" w:hAnsi="Verdana" w:cs="Arial"/>
          <w:sz w:val="20"/>
          <w:szCs w:val="20"/>
          <w:lang w:val="es-MX"/>
        </w:rPr>
        <w:t>7o. La conveniencia o inconveniencia del objeto a contratar y las autorizaciones y aprobaciones para ello, se analizarán o impartirán con antelación al inicio del proceso de selección del contratista o al de la firma del contrato, según el caso.</w:t>
      </w:r>
    </w:p>
    <w:p w14:paraId="1E74C1DB" w14:textId="77777777" w:rsidR="0055252E" w:rsidRDefault="0055252E" w:rsidP="0055252E">
      <w:pPr>
        <w:spacing w:after="0" w:line="240" w:lineRule="auto"/>
        <w:ind w:left="709" w:right="709"/>
        <w:jc w:val="both"/>
        <w:rPr>
          <w:rFonts w:ascii="Verdana" w:eastAsia="Calibri" w:hAnsi="Verdana" w:cs="Arial"/>
          <w:sz w:val="20"/>
          <w:szCs w:val="20"/>
          <w:lang w:val="es-MX"/>
        </w:rPr>
      </w:pPr>
      <w:r>
        <w:rPr>
          <w:rFonts w:ascii="Verdana" w:eastAsia="Calibri" w:hAnsi="Verdana" w:cs="Arial"/>
          <w:sz w:val="20"/>
          <w:szCs w:val="20"/>
          <w:lang w:val="es-MX"/>
        </w:rPr>
        <w:t>[…]</w:t>
      </w:r>
    </w:p>
    <w:p w14:paraId="003DA1AA" w14:textId="77777777" w:rsidR="0055252E" w:rsidRDefault="0055252E" w:rsidP="0055252E">
      <w:pPr>
        <w:spacing w:after="0" w:line="240" w:lineRule="auto"/>
        <w:ind w:left="709" w:right="709"/>
        <w:jc w:val="both"/>
        <w:rPr>
          <w:rFonts w:ascii="Verdana" w:eastAsia="Calibri" w:hAnsi="Verdana" w:cs="Arial"/>
          <w:sz w:val="20"/>
          <w:szCs w:val="20"/>
          <w:lang w:val="es-MX"/>
        </w:rPr>
      </w:pPr>
    </w:p>
    <w:p w14:paraId="576FA596" w14:textId="77777777" w:rsidR="0055252E" w:rsidRDefault="0055252E" w:rsidP="0055252E">
      <w:pPr>
        <w:spacing w:after="0" w:line="240" w:lineRule="auto"/>
        <w:ind w:left="709" w:right="709"/>
        <w:jc w:val="both"/>
        <w:rPr>
          <w:rFonts w:ascii="Verdana" w:eastAsia="Calibri" w:hAnsi="Verdana" w:cs="Arial"/>
          <w:sz w:val="20"/>
          <w:szCs w:val="20"/>
          <w:lang w:val="es-MX"/>
        </w:rPr>
      </w:pPr>
      <w:r>
        <w:rPr>
          <w:rFonts w:ascii="Verdana" w:eastAsia="Calibri" w:hAnsi="Verdana" w:cs="Arial"/>
          <w:sz w:val="20"/>
          <w:szCs w:val="20"/>
          <w:lang w:val="es-MX"/>
        </w:rPr>
        <w:t>12. Previo a la apertura de un proceso de selección, o a la firma del contrato en el caso en que la modalidad de selección sea contratación directa, deberán elaborarse los estudios, diseños y proyectos requeridos, y los pliegos de condiciones, según corresponda.</w:t>
      </w:r>
    </w:p>
    <w:p w14:paraId="7130597C" w14:textId="77777777" w:rsidR="0055252E" w:rsidRDefault="0055252E" w:rsidP="0055252E">
      <w:pPr>
        <w:spacing w:after="0" w:line="240" w:lineRule="auto"/>
        <w:ind w:left="709" w:right="709"/>
        <w:jc w:val="both"/>
        <w:rPr>
          <w:rFonts w:ascii="Verdana" w:eastAsia="Calibri" w:hAnsi="Verdana" w:cs="Arial"/>
          <w:sz w:val="20"/>
          <w:szCs w:val="20"/>
          <w:lang w:val="es-MX"/>
        </w:rPr>
      </w:pPr>
      <w:r>
        <w:rPr>
          <w:rFonts w:ascii="Verdana" w:eastAsia="Calibri" w:hAnsi="Verdana" w:cs="Arial"/>
          <w:sz w:val="20"/>
          <w:szCs w:val="20"/>
          <w:lang w:val="es-MX"/>
        </w:rPr>
        <w:t>Cuando el objeto de la contratación incluya la realización de una obra, en la misma oportunidad señalada en el inciso primero, la entidad contratante deberá contar con los estudios y diseños que permitan establecer la viabilidad del proyecto y su impacto social, económico y ambiental. Esta condición será aplicable incluso para los contratos que incluyan dentro del objeto el diseño.</w:t>
      </w:r>
    </w:p>
    <w:p w14:paraId="66E5EB25" w14:textId="77777777" w:rsidR="0055252E" w:rsidRDefault="0055252E" w:rsidP="0055252E">
      <w:pPr>
        <w:spacing w:after="0" w:line="240" w:lineRule="auto"/>
        <w:ind w:left="709" w:right="709"/>
        <w:jc w:val="both"/>
        <w:rPr>
          <w:rFonts w:ascii="Verdana" w:eastAsia="Calibri" w:hAnsi="Verdana" w:cs="Arial"/>
          <w:sz w:val="20"/>
          <w:szCs w:val="20"/>
          <w:lang w:val="es-MX"/>
        </w:rPr>
      </w:pPr>
    </w:p>
    <w:p w14:paraId="1D7AE973" w14:textId="77777777" w:rsidR="0055252E" w:rsidRDefault="0055252E" w:rsidP="0055252E">
      <w:pPr>
        <w:spacing w:after="0" w:line="240" w:lineRule="auto"/>
        <w:ind w:left="709" w:right="709"/>
        <w:jc w:val="both"/>
        <w:rPr>
          <w:rFonts w:ascii="Verdana" w:hAnsi="Verdana" w:cs="Arial"/>
          <w:sz w:val="20"/>
          <w:szCs w:val="20"/>
        </w:rPr>
      </w:pPr>
      <w:r>
        <w:rPr>
          <w:rFonts w:ascii="Verdana" w:hAnsi="Verdana" w:cs="Arial"/>
          <w:sz w:val="20"/>
          <w:szCs w:val="20"/>
        </w:rPr>
        <w:t xml:space="preserve">13. Las autoridades constituirán las reservas y compromisos presupuestales necesarios, tomando como base el valor de las prestaciones al momento de celebrar el contrato y el estimativo de los </w:t>
      </w:r>
      <w:r>
        <w:rPr>
          <w:rFonts w:ascii="Verdana" w:hAnsi="Verdana" w:cs="Arial"/>
          <w:sz w:val="20"/>
          <w:szCs w:val="20"/>
        </w:rPr>
        <w:lastRenderedPageBreak/>
        <w:t>ajustes resultantes de la aplicación de la cláusula de actualización de precios.</w:t>
      </w:r>
    </w:p>
    <w:p w14:paraId="0F5A8FB0" w14:textId="77777777" w:rsidR="0055252E" w:rsidRDefault="0055252E" w:rsidP="0055252E">
      <w:pPr>
        <w:spacing w:after="0" w:line="240" w:lineRule="auto"/>
        <w:ind w:left="709" w:right="709"/>
        <w:jc w:val="both"/>
        <w:rPr>
          <w:rFonts w:ascii="Verdana" w:hAnsi="Verdana" w:cs="Arial"/>
          <w:sz w:val="20"/>
          <w:szCs w:val="20"/>
        </w:rPr>
      </w:pPr>
    </w:p>
    <w:p w14:paraId="2046FB2D" w14:textId="77777777" w:rsidR="0055252E" w:rsidRDefault="0055252E" w:rsidP="0055252E">
      <w:pPr>
        <w:spacing w:after="0" w:line="240" w:lineRule="auto"/>
        <w:ind w:left="709" w:right="709"/>
        <w:jc w:val="both"/>
        <w:rPr>
          <w:rFonts w:ascii="Verdana" w:hAnsi="Verdana" w:cs="Arial"/>
          <w:sz w:val="20"/>
          <w:szCs w:val="20"/>
        </w:rPr>
      </w:pPr>
      <w:r>
        <w:rPr>
          <w:rFonts w:ascii="Verdana" w:hAnsi="Verdana" w:cs="Arial"/>
          <w:sz w:val="20"/>
          <w:szCs w:val="20"/>
        </w:rPr>
        <w:t>14. Las entidades incluirán en sus presupuestos anuales una apropiación global destinada a cubrir los costos imprevistos ocasionados por los retardos en los pagos, así como los que se originen en la revisión de los precios pactados por razón de los cambios o alteraciones en las condiciones iniciales de los contratos por ellas celebrados […].</w:t>
      </w:r>
    </w:p>
    <w:p w14:paraId="5E1EB594" w14:textId="77777777" w:rsidR="0055252E" w:rsidRDefault="0055252E" w:rsidP="0055252E">
      <w:pPr>
        <w:spacing w:after="0" w:line="276" w:lineRule="auto"/>
        <w:ind w:left="709" w:right="709"/>
        <w:jc w:val="both"/>
        <w:rPr>
          <w:rFonts w:ascii="Verdana" w:hAnsi="Verdana" w:cs="Arial"/>
          <w:sz w:val="20"/>
          <w:szCs w:val="20"/>
        </w:rPr>
      </w:pPr>
    </w:p>
    <w:p w14:paraId="5B28CC80" w14:textId="77777777" w:rsidR="0055252E" w:rsidRDefault="0055252E" w:rsidP="0055252E">
      <w:pPr>
        <w:spacing w:after="120" w:line="276" w:lineRule="auto"/>
        <w:ind w:firstLine="709"/>
        <w:jc w:val="both"/>
        <w:rPr>
          <w:rFonts w:ascii="Verdana" w:hAnsi="Verdana" w:cs="Arial"/>
        </w:rPr>
      </w:pPr>
      <w:r>
        <w:rPr>
          <w:rFonts w:ascii="Verdana" w:hAnsi="Verdana" w:cs="Arial"/>
        </w:rPr>
        <w:t>Lo anterior le permitirá a la entidad estatal identificar desde el punto de vista técnico y financiero el objeto del contrato, las particularidades de su ejecución, los potenciales proponentes, requisitos mínimos para evaluar la idoneidad del contratista, así como analizar todas las variables que puedan afectar el procedimiento de selección, celebración y ejecución del contrato. Tal es la importancia de los estudios y documentos previos que su deficiencia o ausencia, “genera prácticas indebidas, revocatoria de actos administrativos de apertura, declaratorias de desierta de procesos de selección, comisión de faltas disciplinarias, mayores costos o mayor permanencia de la obra y, en general, el fracaso en la ejecución de contratos estatales”</w:t>
      </w:r>
      <w:r>
        <w:rPr>
          <w:vertAlign w:val="superscript"/>
        </w:rPr>
        <w:footnoteReference w:id="16"/>
      </w:r>
      <w:r>
        <w:rPr>
          <w:rFonts w:ascii="Verdana" w:hAnsi="Verdana" w:cs="Arial"/>
        </w:rPr>
        <w:t xml:space="preserve">. </w:t>
      </w:r>
    </w:p>
    <w:p w14:paraId="473A2D41" w14:textId="77777777" w:rsidR="0055252E" w:rsidRDefault="0055252E" w:rsidP="0055252E">
      <w:pPr>
        <w:spacing w:after="120" w:line="276" w:lineRule="auto"/>
        <w:ind w:firstLine="709"/>
        <w:jc w:val="both"/>
        <w:rPr>
          <w:rFonts w:ascii="Verdana" w:hAnsi="Verdana" w:cs="Arial"/>
        </w:rPr>
      </w:pPr>
      <w:r>
        <w:rPr>
          <w:rFonts w:ascii="Verdana" w:hAnsi="Verdana" w:cs="Arial"/>
        </w:rPr>
        <w:t>En congruencia con el artículo 25 de la Ley 80 de 1993, el Decreto Único Reglamentario del Sector Administrativo de Planeación Nacional –Decreto 1082 de 2015–, dispone en el artículo 2.2.1.1.2.1.1 el contenido mínimo de los estudios y documentos previos:</w:t>
      </w:r>
    </w:p>
    <w:p w14:paraId="1DE6FFE4" w14:textId="77777777" w:rsidR="0055252E" w:rsidRDefault="0055252E" w:rsidP="0055252E">
      <w:pPr>
        <w:spacing w:after="0" w:line="240" w:lineRule="auto"/>
        <w:ind w:left="709" w:right="709"/>
        <w:jc w:val="both"/>
        <w:rPr>
          <w:rFonts w:ascii="Verdana" w:hAnsi="Verdana" w:cs="Arial"/>
          <w:sz w:val="20"/>
          <w:szCs w:val="20"/>
        </w:rPr>
      </w:pPr>
      <w:r>
        <w:rPr>
          <w:rFonts w:ascii="Verdana" w:hAnsi="Verdana" w:cs="Arial"/>
          <w:sz w:val="20"/>
          <w:szCs w:val="20"/>
        </w:rPr>
        <w:t xml:space="preserve">Artículo 2.2.1.1.2.1.1. Los estudios y documentos previos son el soporte para elaborar el proyecto de pliegos, los pliegos de condiciones y el contrato. Estos deben permanecer a disposición del público durante el desarrollo del Proceso de Contratación y contener los siguientes elementos, además de los indicados para cada modalidad de selección: </w:t>
      </w:r>
    </w:p>
    <w:p w14:paraId="41F3892C" w14:textId="77777777" w:rsidR="0055252E" w:rsidRDefault="0055252E" w:rsidP="0055252E">
      <w:pPr>
        <w:spacing w:after="0" w:line="240" w:lineRule="auto"/>
        <w:ind w:left="709" w:right="709"/>
        <w:jc w:val="both"/>
        <w:rPr>
          <w:rFonts w:ascii="Verdana" w:hAnsi="Verdana" w:cs="Arial"/>
          <w:sz w:val="20"/>
          <w:szCs w:val="20"/>
        </w:rPr>
      </w:pPr>
      <w:r>
        <w:rPr>
          <w:rFonts w:ascii="Verdana" w:hAnsi="Verdana" w:cs="Arial"/>
          <w:sz w:val="20"/>
          <w:szCs w:val="20"/>
        </w:rPr>
        <w:t xml:space="preserve">1. La descripción de la necesidad que la Entidad Estatal pretende satisfacer con el Proceso de Contratación. </w:t>
      </w:r>
      <w:r>
        <w:rPr>
          <w:rFonts w:ascii="Arial" w:hAnsi="Arial" w:cs="Arial"/>
          <w:sz w:val="20"/>
          <w:szCs w:val="20"/>
        </w:rPr>
        <w:t>​</w:t>
      </w:r>
    </w:p>
    <w:p w14:paraId="36E2316E" w14:textId="77777777" w:rsidR="0055252E" w:rsidRDefault="0055252E" w:rsidP="0055252E">
      <w:pPr>
        <w:spacing w:after="0" w:line="240" w:lineRule="auto"/>
        <w:ind w:left="709" w:right="709"/>
        <w:jc w:val="both"/>
        <w:rPr>
          <w:rFonts w:ascii="Verdana" w:hAnsi="Verdana" w:cs="Arial"/>
          <w:sz w:val="20"/>
          <w:szCs w:val="20"/>
        </w:rPr>
      </w:pPr>
      <w:r>
        <w:rPr>
          <w:rFonts w:ascii="Verdana" w:hAnsi="Verdana" w:cs="Arial"/>
          <w:sz w:val="20"/>
          <w:szCs w:val="20"/>
        </w:rPr>
        <w:t xml:space="preserve">2. El objeto a contratar, con sus especificaciones, las autorizaciones, permisos y licencias requeridos para su ejecución, y cuando el contrato incluye diseño y construcción, los documentos técnicos para el desarrollo del proyecto. </w:t>
      </w:r>
    </w:p>
    <w:p w14:paraId="1E8F17A3" w14:textId="77777777" w:rsidR="0055252E" w:rsidRDefault="0055252E" w:rsidP="0055252E">
      <w:pPr>
        <w:spacing w:after="0" w:line="240" w:lineRule="auto"/>
        <w:ind w:left="709" w:right="709"/>
        <w:jc w:val="both"/>
        <w:rPr>
          <w:rFonts w:ascii="Verdana" w:hAnsi="Verdana" w:cs="Arial"/>
          <w:sz w:val="20"/>
          <w:szCs w:val="20"/>
        </w:rPr>
      </w:pPr>
      <w:r>
        <w:rPr>
          <w:rFonts w:ascii="Verdana" w:hAnsi="Verdana" w:cs="Arial"/>
          <w:sz w:val="20"/>
          <w:szCs w:val="20"/>
        </w:rPr>
        <w:t xml:space="preserve">3. La modalidad de selección del contratista y su justificación, incluyendo los fundamentos jurídicos. </w:t>
      </w:r>
    </w:p>
    <w:p w14:paraId="728A9769" w14:textId="77777777" w:rsidR="0055252E" w:rsidRDefault="0055252E" w:rsidP="0055252E">
      <w:pPr>
        <w:spacing w:after="0" w:line="240" w:lineRule="auto"/>
        <w:ind w:left="709" w:right="709"/>
        <w:jc w:val="both"/>
        <w:rPr>
          <w:rFonts w:ascii="Verdana" w:hAnsi="Verdana" w:cs="Arial"/>
          <w:sz w:val="20"/>
          <w:szCs w:val="20"/>
        </w:rPr>
      </w:pPr>
      <w:r>
        <w:rPr>
          <w:rFonts w:ascii="Verdana" w:hAnsi="Verdana" w:cs="Arial"/>
          <w:sz w:val="20"/>
          <w:szCs w:val="20"/>
        </w:rPr>
        <w:t xml:space="preserve">4. El valor estimado del contrato y la justificación del mismo. Cuando el valor del contrato esté determinado por precios unitarios, la Entidad </w:t>
      </w:r>
      <w:r>
        <w:rPr>
          <w:rFonts w:ascii="Verdana" w:hAnsi="Verdana" w:cs="Arial"/>
          <w:sz w:val="20"/>
          <w:szCs w:val="20"/>
        </w:rPr>
        <w:lastRenderedPageBreak/>
        <w:t xml:space="preserve">Estatal debe incluir la forma como los calculó y soportar sus cálculos presupuestales en la estimación de aquellos. Si el contrato es de concesión, la Entidad Estatal no debe publicar el modelo financiero utilizado en su estructuración. </w:t>
      </w:r>
    </w:p>
    <w:p w14:paraId="49DF971F" w14:textId="77777777" w:rsidR="0055252E" w:rsidRDefault="0055252E" w:rsidP="0055252E">
      <w:pPr>
        <w:spacing w:after="0" w:line="240" w:lineRule="auto"/>
        <w:ind w:left="709" w:right="709"/>
        <w:jc w:val="both"/>
        <w:rPr>
          <w:rFonts w:ascii="Verdana" w:hAnsi="Verdana" w:cs="Arial"/>
          <w:sz w:val="20"/>
          <w:szCs w:val="20"/>
        </w:rPr>
      </w:pPr>
      <w:r>
        <w:rPr>
          <w:rFonts w:ascii="Verdana" w:hAnsi="Verdana" w:cs="Arial"/>
          <w:sz w:val="20"/>
          <w:szCs w:val="20"/>
        </w:rPr>
        <w:t xml:space="preserve">5. Los criterios para seleccionar la oferta más favorable. </w:t>
      </w:r>
    </w:p>
    <w:p w14:paraId="21B56365" w14:textId="77777777" w:rsidR="0055252E" w:rsidRDefault="0055252E" w:rsidP="0055252E">
      <w:pPr>
        <w:spacing w:after="0" w:line="240" w:lineRule="auto"/>
        <w:ind w:left="709" w:right="709"/>
        <w:jc w:val="both"/>
        <w:rPr>
          <w:rFonts w:ascii="Verdana" w:hAnsi="Verdana" w:cs="Arial"/>
          <w:sz w:val="20"/>
          <w:szCs w:val="20"/>
        </w:rPr>
      </w:pPr>
      <w:r>
        <w:rPr>
          <w:rFonts w:ascii="Verdana" w:hAnsi="Verdana" w:cs="Arial"/>
          <w:sz w:val="20"/>
          <w:szCs w:val="20"/>
        </w:rPr>
        <w:t xml:space="preserve">6. El análisis de Riesgo y la forma de mitigarlo. </w:t>
      </w:r>
    </w:p>
    <w:p w14:paraId="46B2D915" w14:textId="77777777" w:rsidR="0055252E" w:rsidRDefault="0055252E" w:rsidP="0055252E">
      <w:pPr>
        <w:spacing w:after="0" w:line="240" w:lineRule="auto"/>
        <w:ind w:left="709" w:right="709"/>
        <w:jc w:val="both"/>
        <w:rPr>
          <w:rFonts w:ascii="Verdana" w:hAnsi="Verdana" w:cs="Arial"/>
          <w:sz w:val="20"/>
          <w:szCs w:val="20"/>
        </w:rPr>
      </w:pPr>
      <w:r>
        <w:rPr>
          <w:rFonts w:ascii="Verdana" w:hAnsi="Verdana" w:cs="Arial"/>
          <w:sz w:val="20"/>
          <w:szCs w:val="20"/>
        </w:rPr>
        <w:t xml:space="preserve">7. Las garantías que la Entidad Estatal contempla exigir en el proceso de contratación. </w:t>
      </w:r>
    </w:p>
    <w:p w14:paraId="563EC7BB" w14:textId="77777777" w:rsidR="0055252E" w:rsidRDefault="0055252E" w:rsidP="0055252E">
      <w:pPr>
        <w:spacing w:after="0" w:line="240" w:lineRule="auto"/>
        <w:ind w:left="709" w:right="709"/>
        <w:jc w:val="both"/>
        <w:rPr>
          <w:rFonts w:ascii="Verdana" w:hAnsi="Verdana" w:cs="Arial"/>
          <w:sz w:val="20"/>
          <w:szCs w:val="20"/>
        </w:rPr>
      </w:pPr>
      <w:r>
        <w:rPr>
          <w:rFonts w:ascii="Verdana" w:hAnsi="Verdana" w:cs="Arial"/>
          <w:sz w:val="20"/>
          <w:szCs w:val="20"/>
        </w:rPr>
        <w:t xml:space="preserve">8. La indicación de si el proceso de contratación está cobijado por un acuerdo comercial. </w:t>
      </w:r>
    </w:p>
    <w:p w14:paraId="41812740" w14:textId="77777777" w:rsidR="0055252E" w:rsidRDefault="0055252E" w:rsidP="0055252E">
      <w:pPr>
        <w:spacing w:after="0" w:line="240" w:lineRule="auto"/>
        <w:ind w:left="709" w:right="709"/>
        <w:jc w:val="both"/>
        <w:rPr>
          <w:rFonts w:ascii="Verdana" w:hAnsi="Verdana" w:cs="Arial"/>
          <w:sz w:val="20"/>
          <w:szCs w:val="20"/>
        </w:rPr>
      </w:pPr>
      <w:r>
        <w:rPr>
          <w:rFonts w:ascii="Verdana" w:hAnsi="Verdana" w:cs="Arial"/>
          <w:sz w:val="20"/>
          <w:szCs w:val="20"/>
        </w:rPr>
        <w:t>El presente artículo no es aplicable a la contratación por mínima cuantía.</w:t>
      </w:r>
    </w:p>
    <w:p w14:paraId="12CBA5AF" w14:textId="77777777" w:rsidR="0055252E" w:rsidRDefault="0055252E" w:rsidP="0055252E">
      <w:pPr>
        <w:widowControl w:val="0"/>
        <w:tabs>
          <w:tab w:val="left" w:pos="1305"/>
        </w:tabs>
        <w:autoSpaceDE w:val="0"/>
        <w:autoSpaceDN w:val="0"/>
        <w:spacing w:after="0" w:line="276" w:lineRule="auto"/>
        <w:ind w:left="828" w:right="822"/>
        <w:rPr>
          <w:rFonts w:ascii="Verdana" w:eastAsia="Calibri" w:hAnsi="Verdana" w:cs="Arial"/>
          <w:sz w:val="20"/>
          <w:szCs w:val="20"/>
          <w:lang w:val="es-MX"/>
        </w:rPr>
      </w:pPr>
    </w:p>
    <w:p w14:paraId="299FDF7A" w14:textId="77777777" w:rsidR="0055252E" w:rsidRDefault="0055252E" w:rsidP="0055252E">
      <w:pPr>
        <w:spacing w:after="120" w:line="276" w:lineRule="auto"/>
        <w:ind w:firstLine="709"/>
        <w:jc w:val="both"/>
        <w:rPr>
          <w:rFonts w:ascii="Verdana" w:hAnsi="Verdana" w:cs="Arial"/>
        </w:rPr>
      </w:pPr>
      <w:bookmarkStart w:id="5" w:name="_Hlk54011351"/>
      <w:r>
        <w:rPr>
          <w:rFonts w:ascii="Verdana" w:hAnsi="Verdana" w:cs="Arial"/>
        </w:rPr>
        <w:t>De esta manera, antes de iniciar un procedimiento de selección, la entidad estatal podrá determinar con los estudios previos: i) la verdadera necesidad de la celebración del contrato; ii) las modalidades existentes para satisfacer esa necesidad y las razones que justifiquen la modalidad o tipo contractual que se escoja; iii) las calidades, especificaciones, cantidades y demás características que puedan o deban reunir los bienes, las obras o los servicios cuya contratación se haya determinado necesaria, iv) los costos, valores y alternativas que, a precios de mercado reales, podría demandar la celebración y ejecución del contrato, v) la disponibilidad de recursos o la capacidad financiera de la entidad contratante para asumir las obligaciones de pago producto de la celebración de ese pretendido contrato; vi) la existencia y disponibilidad, en el mercado nacional o internacional, de proveedores, constructores, profesionales, etc., en condiciones de atender los requerimientos y satisfacer las necesidades y vii) los procedimientos, trámites y requisitos que deban satisfacerse, reunirse u obtenerse para llevar a cabo la selección del respectivo contratista y la celebración del contrato que se pretenda celebrar.</w:t>
      </w:r>
    </w:p>
    <w:bookmarkEnd w:id="5"/>
    <w:p w14:paraId="754D07EF" w14:textId="77777777" w:rsidR="0055252E" w:rsidRDefault="0055252E" w:rsidP="0055252E">
      <w:pPr>
        <w:spacing w:after="120" w:line="276" w:lineRule="auto"/>
        <w:ind w:firstLine="709"/>
        <w:jc w:val="both"/>
        <w:rPr>
          <w:rFonts w:ascii="Verdana" w:hAnsi="Verdana" w:cs="Arial"/>
        </w:rPr>
      </w:pPr>
      <w:r>
        <w:rPr>
          <w:rFonts w:ascii="Verdana" w:hAnsi="Verdana" w:cs="Arial"/>
        </w:rPr>
        <w:t xml:space="preserve">Por ello, el hecho que las entidades cumplan con los elementos mínimos establecidos en la norma y aquellos adicionales que identifiquen en la etapa de planeación de los </w:t>
      </w:r>
      <w:r>
        <w:rPr>
          <w:rFonts w:ascii="Verdana" w:eastAsia="Calibri" w:hAnsi="Verdana" w:cs="Arial"/>
          <w:bCs/>
          <w:lang w:val="es-ES_tradnl"/>
        </w:rPr>
        <w:t xml:space="preserve">procedimientos de contratación, permite que los contratos resultantes cuenten con el sustento técnico, económico y jurídico que incidirá </w:t>
      </w:r>
      <w:r>
        <w:rPr>
          <w:rFonts w:ascii="Verdana" w:hAnsi="Verdana" w:cs="Arial"/>
        </w:rPr>
        <w:t>en una adecuada ejecución.</w:t>
      </w:r>
    </w:p>
    <w:p w14:paraId="27365A01" w14:textId="77777777" w:rsidR="0055252E" w:rsidRDefault="0055252E" w:rsidP="0055252E">
      <w:pPr>
        <w:spacing w:after="120" w:line="276" w:lineRule="auto"/>
        <w:ind w:right="103" w:firstLine="708"/>
        <w:jc w:val="both"/>
        <w:rPr>
          <w:rFonts w:ascii="Verdana" w:hAnsi="Verdana" w:cs="Arial"/>
        </w:rPr>
      </w:pPr>
      <w:r>
        <w:rPr>
          <w:rFonts w:ascii="Verdana" w:hAnsi="Verdana" w:cs="Arial"/>
        </w:rPr>
        <w:t>Mas allá del cumplimiento de la normativa, “los estudios y documentos previos son el soporte para elaborar el proyecto de pliegos, los pliegos de condiciones, y el contrato”</w:t>
      </w:r>
      <w:r>
        <w:rPr>
          <w:vertAlign w:val="superscript"/>
        </w:rPr>
        <w:footnoteReference w:id="17"/>
      </w:r>
      <w:r>
        <w:rPr>
          <w:rFonts w:ascii="Verdana" w:hAnsi="Verdana" w:cs="Arial"/>
        </w:rPr>
        <w:t xml:space="preserve">, por lo que deben publicarse en la etapa </w:t>
      </w:r>
      <w:r>
        <w:rPr>
          <w:rFonts w:ascii="Verdana" w:hAnsi="Verdana" w:cs="Arial"/>
        </w:rPr>
        <w:lastRenderedPageBreak/>
        <w:t>precontractual y sirven de motivación para los documentos expedidos unilateralmente por la entidad estatal tales como el acto administrativo de apertura, los pliegos de condiciones y el acto de adjudicación, entre otros.</w:t>
      </w:r>
    </w:p>
    <w:p w14:paraId="6B27ADB4" w14:textId="77777777" w:rsidR="0055252E" w:rsidRDefault="0055252E" w:rsidP="0055252E">
      <w:pPr>
        <w:spacing w:after="120" w:line="276" w:lineRule="auto"/>
        <w:ind w:right="105" w:firstLine="709"/>
        <w:jc w:val="both"/>
        <w:rPr>
          <w:rFonts w:ascii="Verdana" w:hAnsi="Verdana" w:cs="Arial"/>
        </w:rPr>
      </w:pPr>
      <w:bookmarkStart w:id="7" w:name="_Hlk54011438"/>
      <w:r>
        <w:rPr>
          <w:rFonts w:ascii="Verdana" w:hAnsi="Verdana" w:cs="Arial"/>
        </w:rPr>
        <w:t>De lo explicado se desprende que los estudios y documentos previos son necesarios antes de la celebración del contrato, pues fundamentan las condiciones que la entidad estatal exige en su proceso de contratación. Sin embargo, luego de la suscripción del contrato la entidad no debe actuar unilateralmente, sino que debe respetar la buena fe contractual y proceder de acuerdo con lo pactado</w:t>
      </w:r>
      <w:bookmarkEnd w:id="7"/>
      <w:r>
        <w:rPr>
          <w:rFonts w:ascii="Verdana" w:hAnsi="Verdana" w:cs="Arial"/>
          <w:vertAlign w:val="superscript"/>
        </w:rPr>
        <w:footnoteReference w:id="18"/>
      </w:r>
      <w:r>
        <w:rPr>
          <w:rFonts w:ascii="Verdana" w:hAnsi="Verdana" w:cs="Arial"/>
        </w:rPr>
        <w:t xml:space="preserve">. </w:t>
      </w:r>
    </w:p>
    <w:p w14:paraId="6C3FCE52" w14:textId="77777777" w:rsidR="0055252E" w:rsidRDefault="0055252E" w:rsidP="0055252E">
      <w:pPr>
        <w:spacing w:after="120" w:line="276" w:lineRule="auto"/>
        <w:ind w:right="105" w:firstLine="709"/>
        <w:jc w:val="both"/>
        <w:rPr>
          <w:rFonts w:ascii="Verdana" w:hAnsi="Verdana" w:cs="Arial"/>
        </w:rPr>
      </w:pPr>
      <w:r>
        <w:rPr>
          <w:rFonts w:ascii="Verdana" w:hAnsi="Verdana" w:cs="Arial"/>
        </w:rPr>
        <w:t xml:space="preserve">Además de la normativa mencionada en el acápite anterior, las entidades estatales deben sujetarse a las normas presupuestales, ya que los contratos estatales son una de las principales fuentes de ejecución de recursos públicos. Respecto al principio de economía, los numerales 6, 13 y 14 del artículo 25 del Estatuto General de Contratación de la Administración Pública disponen que las entidades estatales sólo iniciarán procesos contractuales si cuentan con respaldo presupuestal suficiente, incluyendo reservas para las cláusulas de actualización de precios y los imprevistos derivados de retrasos en pagos o la revisión de precios por alteración de las condiciones iniciales del negocio jurídico. Asimismo, el inciso segundo del artículo 41 </w:t>
      </w:r>
      <w:r>
        <w:rPr>
          <w:rFonts w:ascii="Verdana" w:hAnsi="Verdana" w:cs="Arial"/>
          <w:i/>
          <w:iCs/>
        </w:rPr>
        <w:t>ibidem</w:t>
      </w:r>
      <w:r>
        <w:rPr>
          <w:rFonts w:ascii="Verdana" w:hAnsi="Verdana" w:cs="Arial"/>
        </w:rPr>
        <w:t xml:space="preserve"> –modificado por el artículo 23 de la Ley 1150 de 2007– eleva el registro presupuestal a requisito de ejecución de los contratos. </w:t>
      </w:r>
    </w:p>
    <w:p w14:paraId="66DB0A69" w14:textId="77777777" w:rsidR="0055252E" w:rsidRDefault="0055252E" w:rsidP="0055252E">
      <w:pPr>
        <w:spacing w:after="120" w:line="276" w:lineRule="auto"/>
        <w:ind w:firstLine="708"/>
        <w:jc w:val="both"/>
        <w:rPr>
          <w:rFonts w:ascii="Verdana" w:eastAsia="Calibri" w:hAnsi="Verdana" w:cs="Arial"/>
        </w:rPr>
      </w:pPr>
      <w:r>
        <w:rPr>
          <w:rFonts w:ascii="Verdana" w:hAnsi="Verdana" w:cs="Arial"/>
        </w:rPr>
        <w:t xml:space="preserve">iv. </w:t>
      </w:r>
      <w:r>
        <w:rPr>
          <w:rFonts w:ascii="Verdana" w:eastAsia="Calibri" w:hAnsi="Verdana" w:cs="Arial"/>
        </w:rPr>
        <w:t xml:space="preserve">Finalmente, es pertinente indicar que la Agencia Nacional de Contratación Púbica - Colombia Compra Eficiente,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 Por ello, serán las entidades públicas que adelantan el proceso de contratación, las facultadas para determinar en cada caso </w:t>
      </w:r>
      <w:r>
        <w:rPr>
          <w:rFonts w:ascii="Verdana" w:eastAsia="Calibri" w:hAnsi="Verdana" w:cs="Arial"/>
        </w:rPr>
        <w:lastRenderedPageBreak/>
        <w:t xml:space="preserve">particular y concreto, con los principios básicos y las normas que rigen el Estatuto General de Contratación de la Administración Pública.  </w:t>
      </w:r>
    </w:p>
    <w:p w14:paraId="7C2B4A43" w14:textId="77777777" w:rsidR="0055252E" w:rsidRDefault="0055252E" w:rsidP="0055252E">
      <w:pPr>
        <w:spacing w:after="120" w:line="276" w:lineRule="auto"/>
        <w:jc w:val="both"/>
        <w:rPr>
          <w:rFonts w:ascii="Verdana" w:hAnsi="Verdana" w:cs="Arial"/>
        </w:rPr>
      </w:pPr>
      <w:r>
        <w:rPr>
          <w:rFonts w:ascii="Verdana" w:eastAsia="Calibri" w:hAnsi="Verdana" w:cs="Arial"/>
        </w:rPr>
        <w:tab/>
      </w:r>
      <w:r>
        <w:rPr>
          <w:rFonts w:ascii="Verdana" w:eastAsia="Times New Roman" w:hAnsi="Verdana" w:cs="Times New Roman"/>
          <w:lang w:eastAsia="es-ES"/>
        </w:rPr>
        <w:t>En otras palabras, los conceptos de esta Agencia tienen como objeto la interpretación de normas de carácter general, esto es, del ordenamiento jurídico en abstracto, no la resolución de controversias o la asesoría para casos concretos; además, no son vinculantes o de obligatorio cumplimiento para el destinatario, sino que expresan la posición interpretativa del organismo que elabora el concepto.</w:t>
      </w:r>
    </w:p>
    <w:p w14:paraId="23CCF0AA" w14:textId="77777777" w:rsidR="0055252E" w:rsidRDefault="0055252E" w:rsidP="0055252E">
      <w:pPr>
        <w:spacing w:after="0" w:line="276" w:lineRule="auto"/>
        <w:jc w:val="both"/>
        <w:rPr>
          <w:rFonts w:ascii="Verdana" w:eastAsia="Century Gothic" w:hAnsi="Verdana" w:cs="Century Gothic"/>
          <w:b/>
          <w:lang w:val="es-ES"/>
        </w:rPr>
      </w:pPr>
      <w:r>
        <w:rPr>
          <w:rFonts w:ascii="Verdana" w:eastAsia="Century Gothic" w:hAnsi="Verdana" w:cs="Century Gothic"/>
          <w:b/>
          <w:lang w:val="es-ES"/>
        </w:rPr>
        <w:t>4. Referencias normativas, jurisprudenciales y otras fuentes:</w:t>
      </w:r>
    </w:p>
    <w:p w14:paraId="08397B35" w14:textId="77777777" w:rsidR="0055252E" w:rsidRDefault="0055252E" w:rsidP="0055252E">
      <w:pPr>
        <w:spacing w:after="0" w:line="276" w:lineRule="auto"/>
        <w:jc w:val="both"/>
        <w:rPr>
          <w:rFonts w:ascii="Verdana" w:eastAsia="Century Gothic" w:hAnsi="Verdana" w:cs="Century Gothic"/>
          <w:b/>
          <w:color w:val="2F5496" w:themeColor="accent1" w:themeShade="BF"/>
          <w:lang w:val="es-ES"/>
        </w:rPr>
      </w:pPr>
    </w:p>
    <w:tbl>
      <w:tblPr>
        <w:tblStyle w:val="Tablaconcuadrcula"/>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55252E" w14:paraId="31C80FEE" w14:textId="77777777">
        <w:trPr>
          <w:trHeight w:val="311"/>
        </w:trPr>
        <w:tc>
          <w:tcPr>
            <w:tcW w:w="8647" w:type="dxa"/>
            <w:tcBorders>
              <w:top w:val="dotted" w:sz="4" w:space="0" w:color="auto"/>
              <w:left w:val="dotted" w:sz="4" w:space="0" w:color="auto"/>
              <w:bottom w:val="dotted" w:sz="4" w:space="0" w:color="auto"/>
              <w:right w:val="dotted" w:sz="4" w:space="0" w:color="auto"/>
            </w:tcBorders>
            <w:hideMark/>
          </w:tcPr>
          <w:p w14:paraId="203864BE" w14:textId="77777777" w:rsidR="0055252E" w:rsidRDefault="0055252E" w:rsidP="0055252E">
            <w:pPr>
              <w:pStyle w:val="Prrafodelista"/>
              <w:numPr>
                <w:ilvl w:val="0"/>
                <w:numId w:val="16"/>
              </w:numPr>
              <w:spacing w:after="40" w:line="276" w:lineRule="auto"/>
              <w:ind w:left="738" w:hanging="284"/>
              <w:jc w:val="both"/>
              <w:rPr>
                <w:rFonts w:ascii="Verdana" w:eastAsia="Calibri" w:hAnsi="Verdana" w:cs="Arial"/>
              </w:rPr>
            </w:pPr>
            <w:r>
              <w:rPr>
                <w:rFonts w:ascii="Verdana" w:eastAsia="Calibri" w:hAnsi="Verdana" w:cs="Arial"/>
              </w:rPr>
              <w:t>Constitución Política de Colombia. Artículo 355.</w:t>
            </w:r>
          </w:p>
          <w:p w14:paraId="2E7D8140" w14:textId="77777777" w:rsidR="0055252E" w:rsidRDefault="0055252E" w:rsidP="0055252E">
            <w:pPr>
              <w:pStyle w:val="Prrafodelista"/>
              <w:numPr>
                <w:ilvl w:val="0"/>
                <w:numId w:val="16"/>
              </w:numPr>
              <w:spacing w:after="40" w:line="276" w:lineRule="auto"/>
              <w:ind w:left="738" w:hanging="284"/>
              <w:jc w:val="both"/>
              <w:rPr>
                <w:rFonts w:ascii="Verdana" w:eastAsia="Calibri" w:hAnsi="Verdana" w:cs="Arial"/>
              </w:rPr>
            </w:pPr>
            <w:r>
              <w:rPr>
                <w:rFonts w:ascii="Verdana" w:eastAsia="Calibri" w:hAnsi="Verdana" w:cs="Arial"/>
              </w:rPr>
              <w:t>Ley 80 de 1993. Artículos 6, 13, 14 y 25.</w:t>
            </w:r>
          </w:p>
          <w:p w14:paraId="1FD43EE2" w14:textId="77777777" w:rsidR="0055252E" w:rsidRDefault="0055252E" w:rsidP="0055252E">
            <w:pPr>
              <w:pStyle w:val="Prrafodelista"/>
              <w:numPr>
                <w:ilvl w:val="0"/>
                <w:numId w:val="16"/>
              </w:numPr>
              <w:spacing w:after="40" w:line="276" w:lineRule="auto"/>
              <w:ind w:left="738" w:hanging="284"/>
              <w:jc w:val="both"/>
              <w:rPr>
                <w:rFonts w:ascii="Verdana" w:eastAsia="Calibri" w:hAnsi="Verdana" w:cs="Arial"/>
              </w:rPr>
            </w:pPr>
            <w:r>
              <w:rPr>
                <w:rFonts w:ascii="Verdana" w:eastAsia="Calibri" w:hAnsi="Verdana" w:cs="Arial"/>
              </w:rPr>
              <w:t>Ley 489 de1998. Artículo 96.</w:t>
            </w:r>
          </w:p>
          <w:p w14:paraId="2C7D1448" w14:textId="77777777" w:rsidR="0055252E" w:rsidRDefault="0055252E" w:rsidP="0055252E">
            <w:pPr>
              <w:pStyle w:val="Prrafodelista"/>
              <w:numPr>
                <w:ilvl w:val="0"/>
                <w:numId w:val="16"/>
              </w:numPr>
              <w:spacing w:after="40" w:line="276" w:lineRule="auto"/>
              <w:ind w:left="738" w:hanging="284"/>
              <w:jc w:val="both"/>
              <w:rPr>
                <w:rFonts w:ascii="Verdana" w:eastAsia="Calibri" w:hAnsi="Verdana" w:cs="Arial"/>
              </w:rPr>
            </w:pPr>
            <w:r>
              <w:rPr>
                <w:rFonts w:ascii="Verdana" w:eastAsia="Calibri" w:hAnsi="Verdana" w:cs="Arial"/>
              </w:rPr>
              <w:t>Ley 1150 de 2007. Artículos 2 y 23.</w:t>
            </w:r>
          </w:p>
          <w:p w14:paraId="557FE020" w14:textId="77777777" w:rsidR="0055252E" w:rsidRDefault="0055252E" w:rsidP="0055252E">
            <w:pPr>
              <w:pStyle w:val="Prrafodelista"/>
              <w:numPr>
                <w:ilvl w:val="0"/>
                <w:numId w:val="16"/>
              </w:numPr>
              <w:spacing w:after="40" w:line="276" w:lineRule="auto"/>
              <w:ind w:left="738" w:hanging="284"/>
              <w:jc w:val="both"/>
              <w:rPr>
                <w:rFonts w:ascii="Verdana" w:eastAsia="Calibri" w:hAnsi="Verdana" w:cs="Arial"/>
              </w:rPr>
            </w:pPr>
            <w:r>
              <w:rPr>
                <w:rFonts w:ascii="Verdana" w:eastAsia="Calibri" w:hAnsi="Verdana" w:cs="Arial"/>
              </w:rPr>
              <w:t>Ley 1575 de 2012. Artículos 1, 2, 3, 4, 9, 17.</w:t>
            </w:r>
          </w:p>
          <w:p w14:paraId="25C620E4" w14:textId="77777777" w:rsidR="0055252E" w:rsidRDefault="0055252E" w:rsidP="0055252E">
            <w:pPr>
              <w:pStyle w:val="Prrafodelista"/>
              <w:numPr>
                <w:ilvl w:val="0"/>
                <w:numId w:val="16"/>
              </w:numPr>
              <w:spacing w:after="40" w:line="276" w:lineRule="auto"/>
              <w:ind w:left="738" w:hanging="284"/>
              <w:jc w:val="both"/>
              <w:rPr>
                <w:rFonts w:ascii="Verdana" w:eastAsia="Calibri" w:hAnsi="Verdana" w:cs="Arial"/>
              </w:rPr>
            </w:pPr>
            <w:r>
              <w:rPr>
                <w:rFonts w:ascii="Verdana" w:eastAsia="Calibri" w:hAnsi="Verdana" w:cs="Arial"/>
              </w:rPr>
              <w:t>Decreto 1082 de 2015. Artículo 2.2.1.1.2.1.1, 2.2.1.1.1.6.1, 2.2.1.2.1.4.8.</w:t>
            </w:r>
          </w:p>
          <w:p w14:paraId="3CE88892" w14:textId="77777777" w:rsidR="0055252E" w:rsidRDefault="0055252E" w:rsidP="0055252E">
            <w:pPr>
              <w:pStyle w:val="Prrafodelista"/>
              <w:numPr>
                <w:ilvl w:val="0"/>
                <w:numId w:val="16"/>
              </w:numPr>
              <w:spacing w:after="40" w:line="276" w:lineRule="auto"/>
              <w:ind w:left="738" w:hanging="284"/>
              <w:jc w:val="both"/>
              <w:rPr>
                <w:rFonts w:ascii="Verdana" w:eastAsia="Calibri" w:hAnsi="Verdana" w:cs="Arial"/>
              </w:rPr>
            </w:pPr>
            <w:r>
              <w:rPr>
                <w:rFonts w:ascii="Verdana" w:eastAsia="Calibri" w:hAnsi="Verdana" w:cs="Arial"/>
              </w:rPr>
              <w:t>Decreto 092 de 2017. Artículos 2 y 5.</w:t>
            </w:r>
          </w:p>
          <w:p w14:paraId="3FCC164A" w14:textId="77777777" w:rsidR="0055252E" w:rsidRDefault="0055252E" w:rsidP="0055252E">
            <w:pPr>
              <w:pStyle w:val="Prrafodelista"/>
              <w:numPr>
                <w:ilvl w:val="0"/>
                <w:numId w:val="16"/>
              </w:numPr>
              <w:spacing w:after="40" w:line="276" w:lineRule="auto"/>
              <w:ind w:left="738" w:hanging="284"/>
              <w:jc w:val="both"/>
              <w:rPr>
                <w:rFonts w:ascii="Verdana" w:eastAsia="Calibri" w:hAnsi="Verdana" w:cs="Arial"/>
                <w:color w:val="2F5496" w:themeColor="accent1" w:themeShade="BF"/>
              </w:rPr>
            </w:pPr>
            <w:r>
              <w:rPr>
                <w:rFonts w:ascii="Verdana" w:eastAsia="Calibri" w:hAnsi="Verdana" w:cs="Arial"/>
                <w:lang w:val="es-CO"/>
              </w:rPr>
              <w:t>Consejo de Estado, Sala de Consulta y Servicio Civil, Concepto del 24 de febrero de 2005, radicación No. 11001-03-06-000-2005-00021-00 (1626), C.P. Gloria Duque Hernández.</w:t>
            </w:r>
            <w:r>
              <w:rPr>
                <w:rFonts w:ascii="Verdana" w:eastAsia="Calibri" w:hAnsi="Verdana" w:cs="Arial"/>
              </w:rPr>
              <w:t xml:space="preserve"> </w:t>
            </w:r>
          </w:p>
          <w:p w14:paraId="137FF924" w14:textId="77777777" w:rsidR="0055252E" w:rsidRDefault="0055252E" w:rsidP="0055252E">
            <w:pPr>
              <w:pStyle w:val="Prrafodelista"/>
              <w:numPr>
                <w:ilvl w:val="0"/>
                <w:numId w:val="16"/>
              </w:numPr>
              <w:spacing w:after="40" w:line="276" w:lineRule="auto"/>
              <w:ind w:left="738" w:hanging="284"/>
              <w:jc w:val="both"/>
              <w:rPr>
                <w:rFonts w:ascii="Verdana" w:eastAsia="Calibri" w:hAnsi="Verdana" w:cs="Arial"/>
              </w:rPr>
            </w:pPr>
            <w:r>
              <w:rPr>
                <w:rFonts w:ascii="Verdana" w:eastAsia="Calibri" w:hAnsi="Verdana" w:cs="Arial"/>
              </w:rPr>
              <w:t>Consejo de Estado. Sección Tercera. Subsección B. Sentencia del 31 de agosto de 2011. Exp. 18.080. C.P. Ruth Stella Correa Palacio</w:t>
            </w:r>
          </w:p>
          <w:p w14:paraId="2F858EE7" w14:textId="77777777" w:rsidR="0055252E" w:rsidRDefault="0055252E" w:rsidP="0055252E">
            <w:pPr>
              <w:pStyle w:val="Prrafodelista"/>
              <w:numPr>
                <w:ilvl w:val="0"/>
                <w:numId w:val="16"/>
              </w:numPr>
              <w:spacing w:after="40" w:line="276" w:lineRule="auto"/>
              <w:ind w:left="738" w:hanging="284"/>
              <w:jc w:val="both"/>
              <w:rPr>
                <w:rFonts w:ascii="Verdana" w:eastAsia="Calibri" w:hAnsi="Verdana" w:cs="Arial"/>
                <w:color w:val="2F5496" w:themeColor="accent1" w:themeShade="BF"/>
              </w:rPr>
            </w:pPr>
            <w:r>
              <w:rPr>
                <w:rFonts w:ascii="Verdana" w:eastAsia="Calibri" w:hAnsi="Verdana" w:cs="Arial"/>
                <w:lang w:val="es-CO"/>
              </w:rPr>
              <w:t xml:space="preserve">Ministerio del Interior. Resolución 0661 del 26 de junio de 2014. Por la cual se adopta el Reglamento Administrativo, Operativo, Técnico y Académico de los Bomberos de Colombia modificada por la Resolución 1127 del 16 de julio de 2018. Disponible aquí: </w:t>
            </w:r>
            <w:hyperlink r:id="rId12" w:history="1">
              <w:r>
                <w:rPr>
                  <w:rStyle w:val="Hipervnculo"/>
                  <w:rFonts w:ascii="Verdana" w:eastAsia="Calibri" w:hAnsi="Verdana" w:cs="Arial"/>
                  <w:lang w:val="es-CO"/>
                </w:rPr>
                <w:t>https://www.cancilleria.gov.co/sites/default/files/Normograma/docs/resolucion_mininterior_0661_2014.htm</w:t>
              </w:r>
            </w:hyperlink>
            <w:r>
              <w:rPr>
                <w:rFonts w:ascii="Verdana" w:eastAsia="Calibri" w:hAnsi="Verdana" w:cs="Arial"/>
                <w:color w:val="2F5496" w:themeColor="accent1" w:themeShade="BF"/>
                <w:lang w:val="es-CO"/>
              </w:rPr>
              <w:t xml:space="preserve"> </w:t>
            </w:r>
          </w:p>
        </w:tc>
      </w:tr>
    </w:tbl>
    <w:p w14:paraId="6317F965" w14:textId="77777777" w:rsidR="0055252E" w:rsidRDefault="0055252E" w:rsidP="0055252E">
      <w:pPr>
        <w:tabs>
          <w:tab w:val="left" w:pos="142"/>
          <w:tab w:val="left" w:pos="284"/>
        </w:tabs>
        <w:spacing w:after="0" w:line="276" w:lineRule="auto"/>
        <w:jc w:val="both"/>
        <w:rPr>
          <w:rFonts w:ascii="Verdana" w:eastAsia="Century Gothic" w:hAnsi="Verdana" w:cs="Century Gothic"/>
          <w:b/>
          <w:lang w:val="es-ES"/>
        </w:rPr>
      </w:pPr>
    </w:p>
    <w:p w14:paraId="29C79306" w14:textId="77777777" w:rsidR="0055252E" w:rsidRDefault="0055252E" w:rsidP="0055252E">
      <w:pPr>
        <w:tabs>
          <w:tab w:val="left" w:pos="142"/>
          <w:tab w:val="left" w:pos="284"/>
        </w:tabs>
        <w:spacing w:after="0" w:line="276" w:lineRule="auto"/>
        <w:jc w:val="both"/>
        <w:rPr>
          <w:rFonts w:ascii="Verdana" w:eastAsia="Century Gothic" w:hAnsi="Verdana" w:cs="Century Gothic"/>
          <w:b/>
          <w:lang w:val="es-ES"/>
        </w:rPr>
      </w:pPr>
      <w:r>
        <w:rPr>
          <w:rFonts w:ascii="Verdana" w:eastAsia="Century Gothic" w:hAnsi="Verdana" w:cs="Century Gothic"/>
          <w:b/>
          <w:lang w:val="es-ES"/>
        </w:rPr>
        <w:t>5. Doctrina de la Agencia Nacional de Contratación Pública:</w:t>
      </w:r>
    </w:p>
    <w:p w14:paraId="68602644" w14:textId="77777777" w:rsidR="0055252E" w:rsidRDefault="0055252E" w:rsidP="0055252E">
      <w:pPr>
        <w:tabs>
          <w:tab w:val="left" w:pos="142"/>
          <w:tab w:val="left" w:pos="284"/>
        </w:tabs>
        <w:spacing w:after="0" w:line="276" w:lineRule="auto"/>
        <w:jc w:val="both"/>
        <w:rPr>
          <w:rFonts w:ascii="Verdana" w:eastAsia="Century Gothic" w:hAnsi="Verdana" w:cs="Century Gothic"/>
          <w:b/>
          <w:lang w:val="es-ES"/>
        </w:rPr>
      </w:pPr>
    </w:p>
    <w:p w14:paraId="4BA8FDC8" w14:textId="77777777" w:rsidR="0055252E" w:rsidRDefault="0055252E" w:rsidP="0055252E">
      <w:pPr>
        <w:spacing w:line="276" w:lineRule="auto"/>
        <w:jc w:val="both"/>
        <w:rPr>
          <w:rFonts w:ascii="Verdana" w:hAnsi="Verdana" w:cs="Arial"/>
          <w:shd w:val="clear" w:color="auto" w:fill="FFFFFF"/>
          <w:lang w:val="es-ES"/>
        </w:rPr>
      </w:pPr>
      <w:r>
        <w:rPr>
          <w:rFonts w:ascii="Verdana" w:eastAsia="Calibri" w:hAnsi="Verdana" w:cs="Arial"/>
          <w:lang w:val="es-ES"/>
        </w:rPr>
        <w:t>La Agencia Nacional de Contratación Pública – Colombia Compra Eficiente se ha referido sobre las modalidades de contratación de los Cuerpos de Bomberos Voluntarios en los conceptos</w:t>
      </w:r>
      <w:r>
        <w:rPr>
          <w:rFonts w:ascii="Verdana" w:eastAsia="Calibri" w:hAnsi="Verdana" w:cs="Arial"/>
          <w:b/>
          <w:bCs/>
          <w:lang w:val="es-ES" w:eastAsia="es-ES"/>
        </w:rPr>
        <w:t xml:space="preserve"> </w:t>
      </w:r>
      <w:r>
        <w:rPr>
          <w:rFonts w:ascii="Verdana" w:eastAsia="Calibri" w:hAnsi="Verdana" w:cs="Arial"/>
          <w:lang w:val="es-ES" w:eastAsia="es-ES"/>
        </w:rPr>
        <w:t xml:space="preserve">C-873 del 26 de diciembre de 2024, C-021 del 18 </w:t>
      </w:r>
      <w:r>
        <w:rPr>
          <w:rFonts w:ascii="Verdana" w:eastAsia="Calibri" w:hAnsi="Verdana" w:cs="Arial"/>
          <w:lang w:val="es-ES" w:eastAsia="es-ES"/>
        </w:rPr>
        <w:lastRenderedPageBreak/>
        <w:t xml:space="preserve">de febrero de 2026, </w:t>
      </w:r>
      <w:r>
        <w:rPr>
          <w:rFonts w:ascii="Verdana" w:eastAsia="Calibri" w:hAnsi="Verdana" w:cs="Times New Roman"/>
          <w:lang w:val="es-ES"/>
        </w:rPr>
        <w:t xml:space="preserve">C-044 del 18 de febrero de 2026, </w:t>
      </w:r>
      <w:r>
        <w:rPr>
          <w:rFonts w:ascii="Verdana" w:eastAsia="Calibri" w:hAnsi="Verdana" w:cs="Arial"/>
          <w:lang w:val="es-ES" w:eastAsia="es-ES"/>
        </w:rPr>
        <w:t>C-255 del 29 de marzo de 2026, C-250 del 30 de marzo de 2026, C-592 del 22 de mayo de 2026, C-644 del 01 de junio de 2026, C-898 del 09 de julio de 2026</w:t>
      </w:r>
      <w:r>
        <w:rPr>
          <w:rFonts w:ascii="Verdana" w:eastAsia="Aptos" w:hAnsi="Verdana" w:cs="Arial"/>
          <w:shd w:val="clear" w:color="auto" w:fill="FFFFFF"/>
          <w:lang w:val="es-ES"/>
        </w:rPr>
        <w:t xml:space="preserve"> y C-1189 del 27 de agosto de 2026, entre otros.</w:t>
      </w:r>
    </w:p>
    <w:p w14:paraId="2D1CBDE5" w14:textId="77777777" w:rsidR="0055252E" w:rsidRDefault="0055252E" w:rsidP="0055252E">
      <w:pPr>
        <w:widowControl w:val="0"/>
        <w:autoSpaceDE w:val="0"/>
        <w:autoSpaceDN w:val="0"/>
        <w:spacing w:line="276" w:lineRule="auto"/>
        <w:jc w:val="both"/>
        <w:rPr>
          <w:rFonts w:ascii="Verdana" w:hAnsi="Verdana" w:cs="Arial"/>
          <w:color w:val="EE0000"/>
          <w:u w:val="single"/>
          <w:shd w:val="clear" w:color="auto" w:fill="FFFFFF"/>
          <w:lang w:val="es-ES"/>
        </w:rPr>
      </w:pPr>
      <w:r>
        <w:rPr>
          <w:rFonts w:ascii="Verdana" w:hAnsi="Verdana" w:cs="Arial"/>
          <w:shd w:val="clear" w:color="auto" w:fill="FFFFFF"/>
          <w:lang w:val="es-ES"/>
        </w:rPr>
        <w:t>Estos</w:t>
      </w:r>
      <w:r>
        <w:rPr>
          <w:rFonts w:ascii="Verdana" w:hAnsi="Verdana"/>
          <w:lang w:val="es-ES"/>
        </w:rPr>
        <w:t xml:space="preserve"> y otros se encuentran disponibles para consulta en el Sistema de relatoría de la Agencia, al cual se puede acceder a través del siguiente enlace:</w:t>
      </w:r>
      <w:r>
        <w:rPr>
          <w:rFonts w:ascii="Verdana" w:hAnsi="Verdana" w:cs="Arial"/>
          <w:shd w:val="clear" w:color="auto" w:fill="FFFFFF"/>
          <w:lang w:val="es-ES"/>
        </w:rPr>
        <w:t xml:space="preserve"> </w:t>
      </w:r>
      <w:hyperlink r:id="rId13" w:history="1">
        <w:r>
          <w:rPr>
            <w:rStyle w:val="Hipervnculo"/>
            <w:rFonts w:ascii="Verdana" w:hAnsi="Verdana" w:cs="Arial"/>
            <w:shd w:val="clear" w:color="auto" w:fill="FFFFFF"/>
            <w:lang w:val="es-ES"/>
          </w:rPr>
          <w:t>https://relatoria.colombiacompra.gov.co/busqueda/conceptos</w:t>
        </w:r>
      </w:hyperlink>
      <w:r>
        <w:rPr>
          <w:rFonts w:ascii="Verdana" w:hAnsi="Verdana" w:cs="Arial"/>
          <w:color w:val="EE0000"/>
          <w:u w:val="single"/>
          <w:shd w:val="clear" w:color="auto" w:fill="FFFFFF"/>
          <w:lang w:val="es-ES"/>
        </w:rPr>
        <w:t xml:space="preserve"> </w:t>
      </w:r>
    </w:p>
    <w:p w14:paraId="42ADC4AC" w14:textId="77777777" w:rsidR="0055252E" w:rsidRDefault="0055252E" w:rsidP="0055252E">
      <w:pPr>
        <w:widowControl w:val="0"/>
        <w:autoSpaceDE w:val="0"/>
        <w:autoSpaceDN w:val="0"/>
        <w:spacing w:line="276" w:lineRule="auto"/>
        <w:jc w:val="both"/>
        <w:rPr>
          <w:rFonts w:ascii="Verdana" w:hAnsi="Verdana"/>
          <w:color w:val="EE0000"/>
        </w:rPr>
      </w:pPr>
      <w:r>
        <w:rPr>
          <w:rFonts w:ascii="Verdana" w:hAnsi="Verdana"/>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Pr>
          <w:rFonts w:ascii="Verdana" w:hAnsi="Verdana"/>
          <w:b/>
          <w:bCs/>
        </w:rPr>
        <w:t>Guía para la Exigencia y Constitución de Garantías en los Procesos de Contratación</w:t>
      </w:r>
      <w:r>
        <w:rPr>
          <w:rFonts w:ascii="Verdana" w:hAnsi="Verdana"/>
        </w:rPr>
        <w:t>,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w:t>
      </w:r>
      <w:r>
        <w:rPr>
          <w:rFonts w:ascii="Verdana" w:hAnsi="Verdana"/>
          <w:color w:val="EE0000"/>
        </w:rPr>
        <w:t> </w:t>
      </w:r>
      <w:hyperlink r:id="rId14" w:tgtFrame="_blank" w:tooltip="Dirección URL original: https://www.colombiacompra.gov.co/archivos/manual/guia-de-garantias-en-procesos-de-contratacion. Haga clic o pulse si confía en este vínculo." w:history="1">
        <w:r>
          <w:rPr>
            <w:rStyle w:val="Hipervnculo"/>
            <w:rFonts w:ascii="Verdana" w:hAnsi="Verdana"/>
          </w:rPr>
          <w:t>https://www.colombiacompra.gov.co/archivos/manual/guia-de-garantias-en-procesos-de-contratacion</w:t>
        </w:r>
      </w:hyperlink>
    </w:p>
    <w:p w14:paraId="1F5EC318" w14:textId="77777777" w:rsidR="0055252E" w:rsidRDefault="0055252E" w:rsidP="0055252E">
      <w:pPr>
        <w:spacing w:after="0" w:line="276" w:lineRule="auto"/>
        <w:jc w:val="both"/>
        <w:rPr>
          <w:rFonts w:ascii="Verdana" w:hAnsi="Verdana"/>
          <w:color w:val="EE0000"/>
        </w:rPr>
      </w:pPr>
      <w:r>
        <w:rPr>
          <w:rFonts w:ascii="Verdana" w:hAnsi="Verdana"/>
        </w:rPr>
        <w:t>De otro lado, te contamos que el Decreto 287 del 19 de marzo de 2026 sustituyó los artículos 2.2.1.2.4.2.6., 2.2.1.2.4.2.7. y 2.2.1.2.4.2.8. del Decreto 1082 de 2015 y estructuró el </w:t>
      </w:r>
      <w:r>
        <w:rPr>
          <w:rFonts w:ascii="Verdana" w:hAnsi="Verdana"/>
          <w:b/>
          <w:bCs/>
        </w:rPr>
        <w:t>Sistema Integral de Preferencias en favor de las personas con discapacidad</w:t>
      </w:r>
      <w:r>
        <w:rPr>
          <w:rFonts w:ascii="Verdana" w:hAnsi="Verdana"/>
        </w:rPr>
        <w:t>, en cumplimiento del artículo 13 de la Ley Estatutaria 1618 de 2013. Para orientar su aplicación, esta Agencia expidió la </w:t>
      </w:r>
      <w:r>
        <w:rPr>
          <w:rFonts w:ascii="Verdana" w:hAnsi="Verdana"/>
          <w:b/>
          <w:bCs/>
        </w:rPr>
        <w:t>Circular Externa 003 del 12 de mayo de 2026, </w:t>
      </w:r>
      <w:r>
        <w:rPr>
          <w:rFonts w:ascii="Verdana" w:hAnsi="Verdana"/>
        </w:rPr>
        <w:t>en la que precisa quiénes son los beneficiarios, las cinco medidas que integran el sistema y su obligatoriedad según la modalidad de selección, y el régimen de transición aplicable a los procesos en curso. Consúltala aquí:</w:t>
      </w:r>
      <w:r>
        <w:rPr>
          <w:rFonts w:ascii="Verdana" w:hAnsi="Verdana"/>
          <w:color w:val="EE0000"/>
        </w:rPr>
        <w:t> </w:t>
      </w:r>
      <w:hyperlink r:id="rId15" w:tgtFrame="_blank" w:tooltip="Dirección URL original: https://www.colombiacompra.gov.co/archivos/circular/circular-externa-003-de-2026. Haga clic o pulse si confía en este vínculo." w:history="1">
        <w:r>
          <w:rPr>
            <w:rStyle w:val="Hipervnculo"/>
            <w:rFonts w:ascii="Verdana" w:hAnsi="Verdana"/>
          </w:rPr>
          <w:t>https://www.colombiacompra.gov.co/archivos/circular/circular-externa-003-de-2026</w:t>
        </w:r>
      </w:hyperlink>
    </w:p>
    <w:p w14:paraId="116F2393" w14:textId="77777777" w:rsidR="0055252E" w:rsidRDefault="0055252E" w:rsidP="0055252E">
      <w:pPr>
        <w:spacing w:after="0" w:line="276" w:lineRule="auto"/>
        <w:jc w:val="both"/>
        <w:rPr>
          <w:rFonts w:ascii="Verdana" w:hAnsi="Verdana"/>
          <w:color w:val="EE0000"/>
        </w:rPr>
      </w:pPr>
    </w:p>
    <w:p w14:paraId="6FB46630" w14:textId="77777777" w:rsidR="0055252E" w:rsidRDefault="0055252E" w:rsidP="0055252E">
      <w:pPr>
        <w:spacing w:after="0" w:line="276" w:lineRule="auto"/>
        <w:jc w:val="both"/>
        <w:rPr>
          <w:rFonts w:ascii="Verdana" w:hAnsi="Verdana"/>
          <w:color w:val="EE0000"/>
        </w:rPr>
      </w:pPr>
      <w:r>
        <w:rPr>
          <w:rFonts w:ascii="Verdana" w:hAnsi="Verdana"/>
        </w:rPr>
        <w:t>Recuerda también que la</w:t>
      </w:r>
      <w:r>
        <w:rPr>
          <w:rFonts w:ascii="Verdana" w:hAnsi="Verdana"/>
          <w:b/>
          <w:bCs/>
        </w:rPr>
        <w:t> información sobre sanciones e inhabilidades </w:t>
      </w:r>
      <w:r>
        <w:rPr>
          <w:rFonts w:ascii="Verdana" w:hAnsi="Verdana"/>
        </w:rPr>
        <w:t>solo cumple su función preventiva si llega oportunamente a los registros públicos. Sobre este deber, esta Agencia expidió la </w:t>
      </w:r>
      <w:r>
        <w:rPr>
          <w:rFonts w:ascii="Verdana" w:hAnsi="Verdana"/>
          <w:b/>
          <w:bCs/>
        </w:rPr>
        <w:t>Circular Externa 002 del 5 de mayo de 2026,</w:t>
      </w:r>
      <w:r>
        <w:rPr>
          <w:rFonts w:ascii="Verdana" w:hAnsi="Verdana"/>
        </w:rPr>
        <w:t xml:space="preserve"> dirigida a todas las entidades del Estado sin distinción de su régimen contractual, en la que reitera la obligatoriedad de reportar caducidades, multas, </w:t>
      </w:r>
      <w:r>
        <w:rPr>
          <w:rFonts w:ascii="Verdana" w:hAnsi="Verdana"/>
        </w:rPr>
        <w:lastRenderedPageBreak/>
        <w:t>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6" w:tgtFrame="_blank" w:tooltip="Dirección URL original: https://www.colombiacompra.gov.co/archivos/circular/circular-externa-002-de-2026. Haga clic o pulse si confía en este vínculo." w:history="1">
        <w:r>
          <w:rPr>
            <w:rStyle w:val="Hipervnculo"/>
            <w:rFonts w:ascii="Verdana" w:hAnsi="Verdana"/>
          </w:rPr>
          <w:t>https://www.colombiacompra.gov.co/archivos/circular/circular-externa-002-de-2026</w:t>
        </w:r>
      </w:hyperlink>
    </w:p>
    <w:p w14:paraId="76C12A95" w14:textId="77777777" w:rsidR="0055252E" w:rsidRDefault="0055252E" w:rsidP="0055252E">
      <w:pPr>
        <w:spacing w:after="0" w:line="276" w:lineRule="auto"/>
        <w:jc w:val="both"/>
        <w:rPr>
          <w:rFonts w:ascii="Verdana" w:hAnsi="Verdana"/>
          <w:color w:val="EE0000"/>
        </w:rPr>
      </w:pPr>
    </w:p>
    <w:p w14:paraId="6B8B8CBD" w14:textId="77777777" w:rsidR="0055252E" w:rsidRDefault="0055252E" w:rsidP="0055252E">
      <w:pPr>
        <w:spacing w:after="0" w:line="276" w:lineRule="auto"/>
        <w:jc w:val="both"/>
        <w:rPr>
          <w:rFonts w:ascii="Verdana" w:hAnsi="Verdana"/>
          <w:color w:val="EE0000"/>
        </w:rPr>
      </w:pPr>
      <w:r>
        <w:rPr>
          <w:rFonts w:ascii="Verdana" w:hAnsi="Verdana"/>
        </w:rPr>
        <w:t>Finalmente, si quieres seguir de cerca la actividad de la Agencia, la tercera edición de 2026 del</w:t>
      </w:r>
      <w:r>
        <w:rPr>
          <w:rFonts w:ascii="Verdana" w:hAnsi="Verdana"/>
          <w:b/>
          <w:bCs/>
        </w:rPr>
        <w:t> Radar de la Compra Pública</w:t>
      </w:r>
      <w:r>
        <w:rPr>
          <w:rFonts w:ascii="Verdana" w:hAnsi="Verdana"/>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w:t>
      </w:r>
      <w:r>
        <w:rPr>
          <w:rFonts w:ascii="Verdana" w:hAnsi="Verdana"/>
          <w:color w:val="EE0000"/>
        </w:rPr>
        <w:t> </w:t>
      </w:r>
      <w:hyperlink r:id="rId17" w:tgtFrame="_blank" w:tooltip="Dirección URL original: https://www.colombiacompra.gov.co/archivos/boletin/boletin-edicion-n-3-de-2026-radar-de-la-compra-publica. Haga clic o pulse si confía en este vínculo." w:history="1">
        <w:r>
          <w:rPr>
            <w:rStyle w:val="Hipervnculo"/>
            <w:rFonts w:ascii="Verdana" w:hAnsi="Verdana"/>
          </w:rPr>
          <w:t>https://www.colombiacompra.gov.co/archivos/boletin/boletin-edicion-n-3-de-2026-radar-de-la-compra-publica</w:t>
        </w:r>
      </w:hyperlink>
    </w:p>
    <w:p w14:paraId="63A31D2D" w14:textId="77777777" w:rsidR="0055252E" w:rsidRDefault="0055252E" w:rsidP="0055252E">
      <w:pPr>
        <w:spacing w:after="0" w:line="276" w:lineRule="auto"/>
        <w:jc w:val="both"/>
        <w:rPr>
          <w:rFonts w:ascii="Verdana" w:hAnsi="Verdana" w:cs="Arial"/>
          <w:shd w:val="clear" w:color="auto" w:fill="FFFFFF"/>
        </w:rPr>
      </w:pPr>
    </w:p>
    <w:p w14:paraId="03A3448F" w14:textId="77777777" w:rsidR="0055252E" w:rsidRDefault="0055252E" w:rsidP="0055252E">
      <w:pPr>
        <w:spacing w:after="0" w:line="276" w:lineRule="auto"/>
        <w:jc w:val="both"/>
        <w:rPr>
          <w:rFonts w:ascii="Verdana" w:hAnsi="Verdana" w:cs="Arial"/>
          <w:shd w:val="clear" w:color="auto" w:fill="FFFFFF"/>
        </w:rPr>
      </w:pPr>
      <w:r>
        <w:rPr>
          <w:rFonts w:ascii="Verdana" w:hAnsi="Verdana" w:cs="Arial"/>
          <w:shd w:val="clear" w:color="auto" w:fill="FFFFFF"/>
        </w:rPr>
        <w:t xml:space="preserve">Por último, lo invitamos a seguirnos en las redes sociales en las cuales se difunde información institucional: </w:t>
      </w:r>
    </w:p>
    <w:p w14:paraId="2989C312" w14:textId="77777777" w:rsidR="0055252E" w:rsidRDefault="0055252E" w:rsidP="0055252E">
      <w:pPr>
        <w:spacing w:after="0" w:line="276" w:lineRule="auto"/>
        <w:jc w:val="both"/>
        <w:rPr>
          <w:rFonts w:ascii="Verdana" w:hAnsi="Verdana" w:cs="Arial"/>
          <w:shd w:val="clear" w:color="auto" w:fill="FFFFFF"/>
        </w:rPr>
      </w:pPr>
    </w:p>
    <w:p w14:paraId="250D47F5" w14:textId="77777777" w:rsidR="0055252E" w:rsidRDefault="0055252E" w:rsidP="0055252E">
      <w:pPr>
        <w:spacing w:after="0" w:line="276" w:lineRule="auto"/>
        <w:jc w:val="both"/>
        <w:rPr>
          <w:rFonts w:ascii="Verdana" w:hAnsi="Verdana" w:cs="Arial"/>
          <w:shd w:val="clear" w:color="auto" w:fill="FFFFFF"/>
        </w:rPr>
      </w:pPr>
      <w:r>
        <w:rPr>
          <w:rFonts w:ascii="Verdana" w:hAnsi="Verdana" w:cs="Arial"/>
          <w:shd w:val="clear" w:color="auto" w:fill="FFFFFF"/>
        </w:rPr>
        <w:t xml:space="preserve">Twitter: </w:t>
      </w:r>
      <w:r>
        <w:rPr>
          <w:rStyle w:val="Hipervnculo"/>
          <w:rFonts w:ascii="Verdana" w:hAnsi="Verdana"/>
        </w:rPr>
        <w:t>@colombiacompra</w:t>
      </w:r>
      <w:r>
        <w:rPr>
          <w:rFonts w:ascii="Verdana" w:hAnsi="Verdana" w:cs="Arial"/>
          <w:shd w:val="clear" w:color="auto" w:fill="FFFFFF"/>
        </w:rPr>
        <w:t xml:space="preserve"> </w:t>
      </w:r>
    </w:p>
    <w:p w14:paraId="098E413F" w14:textId="77777777" w:rsidR="0055252E" w:rsidRDefault="0055252E" w:rsidP="0055252E">
      <w:pPr>
        <w:spacing w:after="0" w:line="276" w:lineRule="auto"/>
        <w:jc w:val="both"/>
        <w:rPr>
          <w:rFonts w:ascii="Verdana" w:hAnsi="Verdana" w:cs="Arial"/>
          <w:shd w:val="clear" w:color="auto" w:fill="FFFFFF"/>
        </w:rPr>
      </w:pPr>
      <w:r>
        <w:rPr>
          <w:rFonts w:ascii="Verdana" w:hAnsi="Verdana" w:cs="Arial"/>
          <w:shd w:val="clear" w:color="auto" w:fill="FFFFFF"/>
        </w:rPr>
        <w:t>Facebook:</w:t>
      </w:r>
      <w:r>
        <w:rPr>
          <w:rStyle w:val="Hipervnculo"/>
          <w:rFonts w:ascii="Verdana" w:hAnsi="Verdana"/>
          <w:color w:val="auto"/>
          <w:lang w:val="es-ES"/>
        </w:rPr>
        <w:t xml:space="preserve"> </w:t>
      </w:r>
      <w:r>
        <w:rPr>
          <w:rStyle w:val="Hipervnculo"/>
          <w:rFonts w:ascii="Verdana" w:hAnsi="Verdana"/>
        </w:rPr>
        <w:t>ColombiaCompraEficiente</w:t>
      </w:r>
    </w:p>
    <w:p w14:paraId="3169CD0D" w14:textId="77777777" w:rsidR="0055252E" w:rsidRDefault="0055252E" w:rsidP="0055252E">
      <w:pPr>
        <w:spacing w:after="0" w:line="276" w:lineRule="auto"/>
        <w:jc w:val="both"/>
        <w:rPr>
          <w:rFonts w:ascii="Verdana" w:hAnsi="Verdana" w:cs="Arial"/>
          <w:shd w:val="clear" w:color="auto" w:fill="FFFFFF"/>
        </w:rPr>
      </w:pPr>
      <w:r>
        <w:rPr>
          <w:rFonts w:ascii="Verdana" w:hAnsi="Verdana" w:cs="Arial"/>
          <w:shd w:val="clear" w:color="auto" w:fill="FFFFFF"/>
        </w:rPr>
        <w:t xml:space="preserve">LinkedIn: </w:t>
      </w:r>
      <w:r>
        <w:rPr>
          <w:rStyle w:val="Hipervnculo"/>
          <w:rFonts w:ascii="Verdana" w:hAnsi="Verdana"/>
        </w:rPr>
        <w:t>Agencia Nacional de Contratación Pública - Colombia Compra Eficiente</w:t>
      </w:r>
      <w:r>
        <w:rPr>
          <w:rFonts w:ascii="Verdana" w:hAnsi="Verdana" w:cs="Arial"/>
          <w:shd w:val="clear" w:color="auto" w:fill="FFFFFF"/>
        </w:rPr>
        <w:t xml:space="preserve"> </w:t>
      </w:r>
    </w:p>
    <w:p w14:paraId="42EC4A48" w14:textId="77777777" w:rsidR="0055252E" w:rsidRDefault="0055252E" w:rsidP="0055252E">
      <w:pPr>
        <w:spacing w:after="0" w:line="276" w:lineRule="auto"/>
        <w:jc w:val="both"/>
        <w:rPr>
          <w:rFonts w:ascii="Verdana" w:hAnsi="Verdana" w:cs="Arial"/>
          <w:shd w:val="clear" w:color="auto" w:fill="FFFFFF"/>
        </w:rPr>
      </w:pPr>
      <w:r>
        <w:rPr>
          <w:rFonts w:ascii="Verdana" w:hAnsi="Verdana" w:cs="Arial"/>
          <w:shd w:val="clear" w:color="auto" w:fill="FFFFFF"/>
        </w:rPr>
        <w:t xml:space="preserve">Instagram: </w:t>
      </w:r>
      <w:r>
        <w:rPr>
          <w:rStyle w:val="Hipervnculo"/>
          <w:rFonts w:ascii="Verdana" w:hAnsi="Verdana"/>
        </w:rPr>
        <w:t>@colombiacompraeficiente_cce</w:t>
      </w:r>
    </w:p>
    <w:p w14:paraId="7DEA8ED5" w14:textId="77777777" w:rsidR="0055252E" w:rsidRDefault="0055252E" w:rsidP="0055252E">
      <w:pPr>
        <w:widowControl w:val="0"/>
        <w:autoSpaceDE w:val="0"/>
        <w:autoSpaceDN w:val="0"/>
        <w:spacing w:after="0" w:line="276" w:lineRule="auto"/>
        <w:jc w:val="both"/>
        <w:rPr>
          <w:rFonts w:ascii="Verdana" w:hAnsi="Verdana" w:cs="Arial"/>
          <w:lang w:val="es-ES"/>
        </w:rPr>
      </w:pPr>
    </w:p>
    <w:p w14:paraId="2A768A0D" w14:textId="77777777" w:rsidR="0055252E" w:rsidRDefault="0055252E" w:rsidP="0055252E">
      <w:pPr>
        <w:widowControl w:val="0"/>
        <w:autoSpaceDE w:val="0"/>
        <w:autoSpaceDN w:val="0"/>
        <w:spacing w:after="0" w:line="276" w:lineRule="auto"/>
        <w:jc w:val="both"/>
        <w:rPr>
          <w:rFonts w:ascii="Verdana" w:hAnsi="Verdana" w:cs="Arial"/>
          <w:lang w:val="es-ES"/>
        </w:rPr>
      </w:pPr>
      <w:r>
        <w:rPr>
          <w:rFonts w:ascii="Verdana" w:hAnsi="Verdana" w:cs="Arial"/>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209AD430" w14:textId="77777777" w:rsidR="0055252E" w:rsidRDefault="0055252E" w:rsidP="0055252E">
      <w:pPr>
        <w:widowControl w:val="0"/>
        <w:autoSpaceDE w:val="0"/>
        <w:autoSpaceDN w:val="0"/>
        <w:spacing w:after="0" w:line="276" w:lineRule="auto"/>
        <w:jc w:val="both"/>
        <w:rPr>
          <w:rFonts w:ascii="Verdana" w:hAnsi="Verdana" w:cs="Arial"/>
          <w:lang w:val="es-ES"/>
        </w:rPr>
      </w:pPr>
    </w:p>
    <w:p w14:paraId="11A7C053" w14:textId="04B256DF" w:rsidR="0055252E" w:rsidRPr="00633020" w:rsidRDefault="0055252E" w:rsidP="00633020">
      <w:pPr>
        <w:spacing w:after="0" w:line="276" w:lineRule="auto"/>
        <w:rPr>
          <w:rFonts w:ascii="Verdana" w:hAnsi="Verdana" w:cs="Arial"/>
          <w:lang w:val="es-ES" w:eastAsia="es-CO"/>
        </w:rPr>
      </w:pPr>
      <w:r>
        <w:rPr>
          <w:rFonts w:ascii="Verdana" w:eastAsia="Times New Roman" w:hAnsi="Verdana" w:cs="Arial"/>
          <w:lang w:val="es-ES" w:eastAsia="es-CO"/>
        </w:rPr>
        <w:t>Atentamente,</w:t>
      </w:r>
      <w:r>
        <w:rPr>
          <w:rFonts w:ascii="Verdana" w:hAnsi="Verdana" w:cs="Arial"/>
          <w:lang w:val="es-ES" w:eastAsia="es-CO"/>
        </w:rPr>
        <w:t xml:space="preserve"> </w:t>
      </w:r>
    </w:p>
    <w:p w14:paraId="58224E4C" w14:textId="01E3FD8D" w:rsidR="0055252E" w:rsidRPr="00633020" w:rsidRDefault="00633020" w:rsidP="0055252E">
      <w:pPr>
        <w:spacing w:after="0" w:line="276" w:lineRule="auto"/>
        <w:jc w:val="center"/>
        <w:rPr>
          <w:rFonts w:ascii="Verdana" w:hAnsi="Verdana"/>
          <w:noProof/>
          <w:color w:val="ED7D31" w:themeColor="accent2"/>
        </w:rPr>
      </w:pPr>
      <w:r w:rsidRPr="00633020">
        <w:rPr>
          <w:rFonts w:ascii="Verdana" w:hAnsi="Verdana"/>
          <w:noProof/>
          <w:color w:val="ED7D31" w:themeColor="accent2"/>
        </w:rPr>
        <w:drawing>
          <wp:inline distT="0" distB="0" distL="0" distR="0" wp14:anchorId="442C3E46" wp14:editId="705DE38F">
            <wp:extent cx="3238952" cy="1162212"/>
            <wp:effectExtent l="0" t="0" r="0" b="0"/>
            <wp:docPr id="183672689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726897" name=""/>
                    <pic:cNvPicPr/>
                  </pic:nvPicPr>
                  <pic:blipFill>
                    <a:blip r:embed="rId18"/>
                    <a:stretch>
                      <a:fillRect/>
                    </a:stretch>
                  </pic:blipFill>
                  <pic:spPr>
                    <a:xfrm>
                      <a:off x="0" y="0"/>
                      <a:ext cx="3238952" cy="1162212"/>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55252E" w14:paraId="21CB19CC" w14:textId="77777777">
        <w:trPr>
          <w:trHeight w:val="315"/>
        </w:trPr>
        <w:tc>
          <w:tcPr>
            <w:tcW w:w="893" w:type="dxa"/>
            <w:vAlign w:val="center"/>
            <w:hideMark/>
          </w:tcPr>
          <w:p w14:paraId="37229699" w14:textId="77777777" w:rsidR="0055252E" w:rsidRDefault="0055252E">
            <w:pPr>
              <w:spacing w:after="255"/>
              <w:contextualSpacing/>
              <w:rPr>
                <w:rFonts w:ascii="Verdana" w:hAnsi="Verdana" w:cs="Arial"/>
                <w:sz w:val="16"/>
                <w:szCs w:val="16"/>
                <w:lang w:val="es-ES" w:eastAsia="es-ES"/>
              </w:rPr>
            </w:pPr>
            <w:r>
              <w:rPr>
                <w:rFonts w:ascii="Verdana" w:hAnsi="Verdana" w:cs="Arial"/>
                <w:sz w:val="16"/>
                <w:szCs w:val="16"/>
                <w:lang w:val="es-ES" w:eastAsia="es-ES"/>
              </w:rPr>
              <w:lastRenderedPageBreak/>
              <w:t>Elaboró:</w:t>
            </w:r>
          </w:p>
        </w:tc>
        <w:tc>
          <w:tcPr>
            <w:tcW w:w="5628" w:type="dxa"/>
            <w:tcBorders>
              <w:top w:val="nil"/>
              <w:left w:val="nil"/>
              <w:bottom w:val="dotted" w:sz="4" w:space="0" w:color="7F7F7F" w:themeColor="text1" w:themeTint="80"/>
              <w:right w:val="nil"/>
            </w:tcBorders>
            <w:vAlign w:val="center"/>
            <w:hideMark/>
          </w:tcPr>
          <w:p w14:paraId="44F84605" w14:textId="77777777" w:rsidR="0055252E" w:rsidRDefault="0055252E">
            <w:pPr>
              <w:rPr>
                <w:rFonts w:ascii="Verdana" w:eastAsia="Times New Roman" w:hAnsi="Verdana" w:cs="Arial"/>
                <w:sz w:val="16"/>
                <w:szCs w:val="16"/>
                <w:lang w:eastAsia="es-ES"/>
              </w:rPr>
            </w:pPr>
            <w:r>
              <w:rPr>
                <w:rFonts w:ascii="Verdana" w:eastAsia="Times New Roman" w:hAnsi="Verdana" w:cs="Arial"/>
                <w:sz w:val="16"/>
                <w:szCs w:val="16"/>
                <w:lang w:eastAsia="es-ES"/>
              </w:rPr>
              <w:t>Camila Alejandra Naranjo Gómez</w:t>
            </w:r>
          </w:p>
          <w:p w14:paraId="03A310E0" w14:textId="77777777" w:rsidR="0055252E" w:rsidRDefault="0055252E">
            <w:pPr>
              <w:spacing w:after="255"/>
              <w:contextualSpacing/>
              <w:rPr>
                <w:rFonts w:ascii="Verdana" w:eastAsia="Arial" w:hAnsi="Verdana" w:cs="Arial"/>
                <w:sz w:val="16"/>
                <w:szCs w:val="16"/>
                <w:lang w:val="es-ES"/>
              </w:rPr>
            </w:pPr>
            <w:r>
              <w:rPr>
                <w:rFonts w:ascii="Verdana" w:eastAsia="Times New Roman" w:hAnsi="Verdana" w:cs="Arial"/>
                <w:sz w:val="16"/>
                <w:szCs w:val="16"/>
                <w:lang w:eastAsia="es-ES"/>
              </w:rPr>
              <w:t>Analista T2-02 de la Subdirección de Gestión Contractual</w:t>
            </w:r>
          </w:p>
        </w:tc>
      </w:tr>
      <w:tr w:rsidR="0055252E" w14:paraId="1A3B9108" w14:textId="77777777">
        <w:trPr>
          <w:trHeight w:val="330"/>
        </w:trPr>
        <w:tc>
          <w:tcPr>
            <w:tcW w:w="893" w:type="dxa"/>
            <w:vAlign w:val="center"/>
            <w:hideMark/>
          </w:tcPr>
          <w:p w14:paraId="07A97856" w14:textId="77777777" w:rsidR="0055252E" w:rsidRDefault="0055252E">
            <w:pPr>
              <w:spacing w:after="255"/>
              <w:contextualSpacing/>
              <w:rPr>
                <w:rFonts w:ascii="Verdana" w:hAnsi="Verdana" w:cs="Arial"/>
                <w:sz w:val="16"/>
                <w:szCs w:val="16"/>
                <w:lang w:val="es-ES" w:eastAsia="es-ES"/>
              </w:rPr>
            </w:pPr>
            <w:r>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0B7A2AD3" w14:textId="77777777" w:rsidR="0055252E" w:rsidRDefault="0055252E">
            <w:pPr>
              <w:rPr>
                <w:rFonts w:ascii="Verdana" w:eastAsia="Times New Roman" w:hAnsi="Verdana" w:cs="Arial"/>
                <w:sz w:val="16"/>
                <w:szCs w:val="16"/>
                <w:lang w:eastAsia="es-ES"/>
              </w:rPr>
            </w:pPr>
            <w:r>
              <w:rPr>
                <w:rFonts w:ascii="Verdana" w:eastAsia="Times New Roman" w:hAnsi="Verdana" w:cs="Arial"/>
                <w:sz w:val="16"/>
                <w:szCs w:val="16"/>
                <w:lang w:eastAsia="es-ES"/>
              </w:rPr>
              <w:t>Diana Lucía Saavedra Castañeda</w:t>
            </w:r>
          </w:p>
          <w:p w14:paraId="68C9A13D" w14:textId="77777777" w:rsidR="0055252E" w:rsidRDefault="0055252E">
            <w:pPr>
              <w:pStyle w:val="paragraph"/>
              <w:spacing w:before="0" w:beforeAutospacing="0" w:after="0" w:afterAutospacing="0"/>
              <w:contextualSpacing/>
              <w:textAlignment w:val="baseline"/>
              <w:rPr>
                <w:rFonts w:ascii="Verdana" w:hAnsi="Verdana" w:cs="Segoe UI"/>
                <w:sz w:val="16"/>
                <w:szCs w:val="16"/>
                <w:lang w:val="es-ES" w:eastAsia="en-US"/>
              </w:rPr>
            </w:pPr>
            <w:r>
              <w:rPr>
                <w:rFonts w:ascii="Verdana" w:hAnsi="Verdana" w:cs="Arial"/>
                <w:sz w:val="16"/>
                <w:szCs w:val="16"/>
                <w:lang w:eastAsia="es-ES"/>
              </w:rPr>
              <w:t>Contratista de la Subdirección de Gestión Contractual</w:t>
            </w:r>
          </w:p>
        </w:tc>
      </w:tr>
      <w:tr w:rsidR="0055252E" w14:paraId="761AF00D" w14:textId="77777777">
        <w:trPr>
          <w:trHeight w:val="300"/>
        </w:trPr>
        <w:tc>
          <w:tcPr>
            <w:tcW w:w="893" w:type="dxa"/>
            <w:vAlign w:val="center"/>
            <w:hideMark/>
          </w:tcPr>
          <w:p w14:paraId="7A379AA6" w14:textId="77777777" w:rsidR="0055252E" w:rsidRDefault="0055252E">
            <w:pPr>
              <w:spacing w:after="255"/>
              <w:contextualSpacing/>
              <w:rPr>
                <w:rFonts w:ascii="Verdana" w:hAnsi="Verdana" w:cs="Arial"/>
                <w:sz w:val="16"/>
                <w:szCs w:val="16"/>
                <w:lang w:val="es-ES" w:eastAsia="es-ES"/>
              </w:rPr>
            </w:pPr>
            <w:r>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4234BBBB" w14:textId="77777777" w:rsidR="0055252E" w:rsidRDefault="0055252E">
            <w:pPr>
              <w:spacing w:after="255"/>
              <w:contextualSpacing/>
              <w:rPr>
                <w:rFonts w:ascii="Verdana" w:eastAsia="Calibri" w:hAnsi="Verdana" w:cs="Arial"/>
                <w:sz w:val="16"/>
                <w:szCs w:val="16"/>
                <w:lang w:val="es-ES" w:eastAsia="es-ES"/>
              </w:rPr>
            </w:pPr>
            <w:r>
              <w:rPr>
                <w:rFonts w:ascii="Verdana" w:eastAsia="Calibri" w:hAnsi="Verdana" w:cs="Arial"/>
                <w:sz w:val="16"/>
                <w:szCs w:val="16"/>
                <w:lang w:val="es-ES" w:eastAsia="es-ES"/>
              </w:rPr>
              <w:t>Carolina Quintero Gacharná</w:t>
            </w:r>
          </w:p>
          <w:p w14:paraId="7C12BE49" w14:textId="77777777" w:rsidR="0055252E" w:rsidRDefault="0055252E">
            <w:pPr>
              <w:spacing w:after="255"/>
              <w:contextualSpacing/>
              <w:rPr>
                <w:rFonts w:ascii="Verdana" w:eastAsia="Calibri" w:hAnsi="Verdana" w:cs="Arial"/>
                <w:sz w:val="16"/>
                <w:szCs w:val="16"/>
                <w:lang w:val="es-ES" w:eastAsia="es-ES"/>
              </w:rPr>
            </w:pPr>
            <w:r>
              <w:rPr>
                <w:rFonts w:ascii="Verdana" w:eastAsia="Calibri" w:hAnsi="Verdana" w:cs="Arial"/>
                <w:sz w:val="16"/>
                <w:szCs w:val="16"/>
                <w:lang w:val="es-ES" w:eastAsia="es-ES"/>
              </w:rPr>
              <w:t>Subdirectora de Gestión Contractual ANCP – CCE</w:t>
            </w:r>
          </w:p>
        </w:tc>
      </w:tr>
      <w:bookmarkEnd w:id="0"/>
    </w:tbl>
    <w:p w14:paraId="0278148B" w14:textId="77777777" w:rsidR="0055252E" w:rsidRDefault="0055252E" w:rsidP="0055252E">
      <w:pPr>
        <w:spacing w:after="120" w:line="276" w:lineRule="auto"/>
        <w:jc w:val="both"/>
        <w:rPr>
          <w:rFonts w:ascii="Verdana" w:eastAsia="Century Gothic" w:hAnsi="Verdana" w:cs="Century Gothic"/>
          <w:b/>
          <w:color w:val="ED7D31" w:themeColor="accent2"/>
          <w:lang w:val="es-ES"/>
        </w:rPr>
      </w:pPr>
    </w:p>
    <w:p w14:paraId="53B8C8AD" w14:textId="404B5502" w:rsidR="0055252E" w:rsidRDefault="0055252E" w:rsidP="0055252E">
      <w:pPr>
        <w:spacing w:after="120" w:line="276" w:lineRule="auto"/>
        <w:jc w:val="both"/>
        <w:rPr>
          <w:rFonts w:ascii="Verdana" w:eastAsia="Century Gothic" w:hAnsi="Verdana" w:cs="Century Gothic"/>
          <w:b/>
          <w:color w:val="ED7D31" w:themeColor="accent2"/>
          <w:lang w:val="es-ES"/>
        </w:rPr>
      </w:pPr>
    </w:p>
    <w:p w14:paraId="72F766D2" w14:textId="77777777" w:rsidR="0055252E" w:rsidRDefault="0055252E" w:rsidP="0055252E">
      <w:pPr>
        <w:rPr>
          <w:lang w:val="es-ES"/>
        </w:rPr>
      </w:pPr>
    </w:p>
    <w:p w14:paraId="18306C32" w14:textId="77777777" w:rsidR="0055252E" w:rsidRDefault="0055252E" w:rsidP="0055252E">
      <w:pPr>
        <w:rPr>
          <w:lang w:val="es-ES"/>
        </w:rPr>
      </w:pPr>
    </w:p>
    <w:p w14:paraId="14B36ED7" w14:textId="77777777" w:rsidR="0055252E" w:rsidRDefault="0055252E" w:rsidP="0055252E">
      <w:pPr>
        <w:rPr>
          <w:lang w:val="es-ES"/>
        </w:rPr>
      </w:pPr>
    </w:p>
    <w:p w14:paraId="0F293BF4" w14:textId="67EE1CF9" w:rsidR="00127233" w:rsidRPr="00CC6946" w:rsidRDefault="00127233" w:rsidP="00CC6946"/>
    <w:sectPr w:rsidR="00127233" w:rsidRPr="00CC6946" w:rsidSect="007C0C0F">
      <w:headerReference w:type="default" r:id="rId19"/>
      <w:footerReference w:type="default" r:id="rId20"/>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CFFB33" w14:textId="77777777" w:rsidR="005B73D5" w:rsidRDefault="005B73D5" w:rsidP="004A1847">
      <w:pPr>
        <w:spacing w:after="0" w:line="240" w:lineRule="auto"/>
      </w:pPr>
      <w:r>
        <w:separator/>
      </w:r>
    </w:p>
  </w:endnote>
  <w:endnote w:type="continuationSeparator" w:id="0">
    <w:p w14:paraId="5846730E" w14:textId="77777777" w:rsidR="005B73D5" w:rsidRDefault="005B73D5"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2000503000000020004"/>
    <w:charset w:val="00"/>
    <w:family w:val="modern"/>
    <w:notTrueType/>
    <w:pitch w:val="variable"/>
    <w:sig w:usb0="A000002F" w:usb1="1000004A" w:usb2="00000000" w:usb3="00000000" w:csb0="00000193" w:csb1="00000000"/>
  </w:font>
  <w:font w:name="Geomanist">
    <w:altName w:val="Calibri"/>
    <w:panose1 w:val="020005030000000200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2000503000000020004"/>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D09AC5" w14:textId="77777777" w:rsidR="005B73D5" w:rsidRDefault="005B73D5" w:rsidP="004A1847">
      <w:pPr>
        <w:spacing w:after="0" w:line="240" w:lineRule="auto"/>
      </w:pPr>
      <w:r>
        <w:separator/>
      </w:r>
    </w:p>
  </w:footnote>
  <w:footnote w:type="continuationSeparator" w:id="0">
    <w:p w14:paraId="7C1783D3" w14:textId="77777777" w:rsidR="005B73D5" w:rsidRDefault="005B73D5" w:rsidP="004A1847">
      <w:pPr>
        <w:spacing w:after="0" w:line="240" w:lineRule="auto"/>
      </w:pPr>
      <w:r>
        <w:continuationSeparator/>
      </w:r>
    </w:p>
  </w:footnote>
  <w:footnote w:id="1">
    <w:p w14:paraId="42AFFC2E" w14:textId="77777777" w:rsidR="0055252E" w:rsidRDefault="0055252E" w:rsidP="0055252E">
      <w:pPr>
        <w:pStyle w:val="Textonotapie"/>
        <w:spacing w:before="120" w:after="120"/>
        <w:ind w:firstLine="708"/>
        <w:jc w:val="both"/>
        <w:rPr>
          <w:rStyle w:val="Refdenotaalpie"/>
          <w:rFonts w:ascii="Verdana" w:hAnsi="Verdana" w:cs="Arial"/>
          <w:sz w:val="16"/>
          <w:szCs w:val="16"/>
          <w:vertAlign w:val="baseline"/>
        </w:rPr>
      </w:pPr>
      <w:r>
        <w:rPr>
          <w:rStyle w:val="Refdenotaalpie"/>
          <w:rFonts w:ascii="Verdana" w:hAnsi="Verdana" w:cs="Arial"/>
          <w:sz w:val="16"/>
          <w:szCs w:val="16"/>
        </w:rPr>
        <w:footnoteRef/>
      </w:r>
      <w:r>
        <w:rPr>
          <w:rStyle w:val="Refdenotaalpie"/>
          <w:rFonts w:ascii="Verdana" w:hAnsi="Verdana" w:cs="Arial"/>
          <w:sz w:val="16"/>
          <w:szCs w:val="16"/>
          <w:vertAlign w:val="baseline"/>
        </w:rPr>
        <w:t xml:space="preserve"> Ley 1575 de 2012. </w:t>
      </w:r>
      <w:r>
        <w:rPr>
          <w:rFonts w:ascii="Verdana" w:hAnsi="Verdana" w:cs="Arial"/>
          <w:sz w:val="16"/>
          <w:szCs w:val="16"/>
        </w:rPr>
        <w:t>“</w:t>
      </w:r>
      <w:r>
        <w:rPr>
          <w:rStyle w:val="Refdenotaalpie"/>
          <w:rFonts w:ascii="Verdana" w:hAnsi="Verdana" w:cs="Arial"/>
          <w:sz w:val="16"/>
          <w:szCs w:val="16"/>
          <w:vertAlign w:val="baseline"/>
        </w:rPr>
        <w:t>Artículo 3. Competencias Del Nivel Nacional Y Territorial. El servicio público esencial se prestará con fundamento en los principios de subsidiariedad, coordinación y concurrencia, en cumplimiento de lo dispuesto en el artículo 288 de la Constitución.   </w:t>
      </w:r>
    </w:p>
    <w:p w14:paraId="746A54E3" w14:textId="77777777" w:rsidR="0055252E" w:rsidRDefault="0055252E" w:rsidP="0055252E">
      <w:pPr>
        <w:pStyle w:val="Textonotapie"/>
        <w:spacing w:before="120" w:after="120"/>
        <w:ind w:firstLine="708"/>
        <w:jc w:val="both"/>
        <w:rPr>
          <w:rStyle w:val="Refdenotaalpie"/>
          <w:rFonts w:ascii="Verdana" w:hAnsi="Verdana" w:cs="Arial"/>
          <w:sz w:val="16"/>
          <w:szCs w:val="16"/>
          <w:vertAlign w:val="baseline"/>
        </w:rPr>
      </w:pPr>
      <w:r>
        <w:rPr>
          <w:rFonts w:ascii="Verdana" w:hAnsi="Verdana" w:cs="Arial"/>
          <w:sz w:val="16"/>
          <w:szCs w:val="16"/>
        </w:rPr>
        <w:t>[</w:t>
      </w:r>
      <w:r>
        <w:rPr>
          <w:rStyle w:val="Refdenotaalpie"/>
          <w:rFonts w:ascii="Verdana" w:hAnsi="Verdana" w:cs="Arial"/>
          <w:sz w:val="16"/>
          <w:szCs w:val="16"/>
          <w:vertAlign w:val="baseline"/>
        </w:rPr>
        <w:t>…</w:t>
      </w:r>
      <w:r>
        <w:rPr>
          <w:rFonts w:ascii="Verdana" w:hAnsi="Verdana" w:cs="Arial"/>
          <w:sz w:val="16"/>
          <w:szCs w:val="16"/>
        </w:rPr>
        <w:t>]</w:t>
      </w:r>
      <w:r>
        <w:rPr>
          <w:rStyle w:val="Refdenotaalpie"/>
          <w:rFonts w:ascii="Verdana" w:hAnsi="Verdana" w:cs="Arial"/>
          <w:sz w:val="16"/>
          <w:szCs w:val="16"/>
          <w:vertAlign w:val="baseline"/>
        </w:rPr>
        <w:t>   </w:t>
      </w:r>
    </w:p>
    <w:p w14:paraId="2E47830D" w14:textId="77777777" w:rsidR="0055252E" w:rsidRDefault="0055252E" w:rsidP="0055252E">
      <w:pPr>
        <w:pStyle w:val="Textonotapie"/>
        <w:spacing w:before="120" w:after="120"/>
        <w:ind w:firstLine="707"/>
        <w:jc w:val="both"/>
      </w:pPr>
      <w:r>
        <w:rPr>
          <w:rFonts w:ascii="Verdana" w:hAnsi="Verdana" w:cs="Arial"/>
          <w:sz w:val="16"/>
          <w:szCs w:val="16"/>
        </w:rPr>
        <w:t>“</w:t>
      </w:r>
      <w:r>
        <w:rPr>
          <w:rStyle w:val="Refdenotaalpie"/>
          <w:rFonts w:ascii="Verdana" w:hAnsi="Verdana" w:cs="Arial"/>
          <w:sz w:val="16"/>
          <w:szCs w:val="16"/>
          <w:vertAlign w:val="baseline"/>
        </w:rPr>
        <w:t>Es obligación de los distritos, con asiento en su respectiva jurisdicción y de los municipios la prestación del servicio público esencial a través de los cuerpos de bomberos oficiales o mediante la celebración de contratos y/o convenios con los cuerpos de bomberos voluntarios</w:t>
      </w:r>
      <w:r>
        <w:rPr>
          <w:rFonts w:ascii="Verdana" w:hAnsi="Verdana" w:cs="Arial"/>
          <w:sz w:val="16"/>
          <w:szCs w:val="16"/>
        </w:rPr>
        <w:t>”</w:t>
      </w:r>
      <w:r>
        <w:rPr>
          <w:rStyle w:val="Refdenotaalpie"/>
          <w:rFonts w:ascii="Verdana" w:hAnsi="Verdana" w:cs="Arial"/>
          <w:sz w:val="16"/>
          <w:szCs w:val="16"/>
          <w:vertAlign w:val="baseline"/>
        </w:rPr>
        <w:t>.</w:t>
      </w:r>
    </w:p>
  </w:footnote>
  <w:footnote w:id="2">
    <w:p w14:paraId="7BD91455" w14:textId="77777777" w:rsidR="0055252E" w:rsidRDefault="0055252E" w:rsidP="0055252E">
      <w:pPr>
        <w:spacing w:before="120" w:after="120" w:line="240" w:lineRule="auto"/>
        <w:jc w:val="both"/>
        <w:rPr>
          <w:rFonts w:ascii="Verdana" w:hAnsi="Verdana"/>
          <w:sz w:val="16"/>
          <w:szCs w:val="16"/>
        </w:rPr>
      </w:pPr>
      <w:r>
        <w:rPr>
          <w:rFonts w:ascii="Verdana" w:eastAsia="Arial" w:hAnsi="Verdana" w:cs="Arial"/>
          <w:sz w:val="16"/>
          <w:szCs w:val="16"/>
        </w:rPr>
        <w:tab/>
        <w:t xml:space="preserve"> </w:t>
      </w:r>
      <w:r>
        <w:rPr>
          <w:rStyle w:val="Refdenotaalpie"/>
          <w:rFonts w:ascii="Verdana" w:hAnsi="Verdana"/>
          <w:sz w:val="16"/>
          <w:szCs w:val="16"/>
        </w:rPr>
        <w:footnoteRef/>
      </w:r>
      <w:r>
        <w:rPr>
          <w:rFonts w:ascii="Verdana" w:eastAsia="Arial" w:hAnsi="Verdana" w:cs="Arial"/>
          <w:sz w:val="16"/>
          <w:szCs w:val="16"/>
        </w:rPr>
        <w:t xml:space="preserve">Ley 1575 de 2012, artículos 4 y 18. Sobre la naturaleza asociativa y sin ánimo de lucro de los cuerpos de bomberos voluntarios, véase también Función Pública, Concepto 264181 de 2023: </w:t>
      </w:r>
      <w:hyperlink r:id="rId1" w:history="1">
        <w:r>
          <w:rPr>
            <w:rStyle w:val="Hipervnculo"/>
            <w:rFonts w:ascii="Verdana" w:eastAsia="Arial" w:hAnsi="Verdana" w:cs="Arial"/>
            <w:sz w:val="16"/>
            <w:szCs w:val="16"/>
          </w:rPr>
          <w:t>https://www.funcionpublica.gov.co/eva/gestornormativo/norma.php?i=231550</w:t>
        </w:r>
      </w:hyperlink>
      <w:r>
        <w:rPr>
          <w:rFonts w:ascii="Verdana" w:eastAsia="Arial" w:hAnsi="Verdana" w:cs="Arial"/>
          <w:sz w:val="16"/>
          <w:szCs w:val="16"/>
        </w:rPr>
        <w:t xml:space="preserve"> </w:t>
      </w:r>
    </w:p>
  </w:footnote>
  <w:footnote w:id="3">
    <w:p w14:paraId="51EDFFBB" w14:textId="77777777" w:rsidR="0055252E" w:rsidRDefault="0055252E" w:rsidP="0055252E">
      <w:pPr>
        <w:spacing w:before="120" w:after="120" w:line="240" w:lineRule="auto"/>
        <w:ind w:firstLine="707"/>
        <w:jc w:val="both"/>
        <w:rPr>
          <w:rFonts w:ascii="Verdana" w:hAnsi="Verdana" w:cs="Arial"/>
          <w:sz w:val="16"/>
          <w:szCs w:val="16"/>
        </w:rPr>
      </w:pPr>
      <w:r>
        <w:rPr>
          <w:rStyle w:val="Refdenotaalpie"/>
          <w:rFonts w:ascii="Verdana" w:hAnsi="Verdana" w:cs="Arial"/>
          <w:sz w:val="16"/>
          <w:szCs w:val="16"/>
        </w:rPr>
        <w:footnoteRef/>
      </w:r>
      <w:r>
        <w:rPr>
          <w:rFonts w:ascii="Verdana" w:hAnsi="Verdana" w:cs="Arial"/>
          <w:sz w:val="16"/>
          <w:szCs w:val="16"/>
        </w:rPr>
        <w:t xml:space="preserve"> </w:t>
      </w:r>
      <w:r>
        <w:rPr>
          <w:rFonts w:ascii="Verdana" w:hAnsi="Verdana" w:cs="Arial"/>
          <w:position w:val="6"/>
          <w:sz w:val="16"/>
          <w:szCs w:val="16"/>
        </w:rPr>
        <w:t xml:space="preserve"> </w:t>
      </w:r>
      <w:r>
        <w:rPr>
          <w:rFonts w:ascii="Verdana" w:hAnsi="Verdana" w:cs="Arial"/>
          <w:sz w:val="16"/>
          <w:szCs w:val="16"/>
        </w:rPr>
        <w:t xml:space="preserve">Colombia Compra Eficiente. Concepto 2201913000008606 del 19 de noviembre de 2019. </w:t>
      </w:r>
    </w:p>
  </w:footnote>
  <w:footnote w:id="4">
    <w:p w14:paraId="327896B4" w14:textId="77777777" w:rsidR="0055252E" w:rsidRDefault="0055252E" w:rsidP="0055252E">
      <w:pPr>
        <w:pStyle w:val="Textonotapie"/>
        <w:spacing w:before="120" w:after="120"/>
        <w:ind w:firstLine="707"/>
        <w:jc w:val="both"/>
        <w:rPr>
          <w:rFonts w:ascii="Verdana" w:hAnsi="Verdana" w:cs="Arial"/>
          <w:sz w:val="16"/>
          <w:szCs w:val="16"/>
          <w:lang w:val="es-CO"/>
        </w:rPr>
      </w:pPr>
      <w:r>
        <w:rPr>
          <w:rStyle w:val="Refdenotaalpie"/>
          <w:rFonts w:ascii="Verdana" w:hAnsi="Verdana" w:cs="Arial"/>
          <w:sz w:val="16"/>
          <w:szCs w:val="16"/>
        </w:rPr>
        <w:footnoteRef/>
      </w:r>
      <w:r>
        <w:rPr>
          <w:rFonts w:ascii="Verdana" w:hAnsi="Verdana" w:cs="Arial"/>
          <w:sz w:val="16"/>
          <w:szCs w:val="16"/>
        </w:rPr>
        <w:t xml:space="preserve"> “Artículo 9. Los distritos, municipios y territorios indígenas que no cuenten con sus propios Cuerpos de Bomberos Oficiales, o cuando la cobertura de éstos no sea la adecuada, de acuerdo con los parámetros que fije la Junta Nacional de Bomberos de Colombia, deberán contratar directamente con los Cuerpos de Bomberos Voluntarios, que se organicen conforme a la presente Ley, la prestación total o parcial según sea el caso del servicio público a su cargo”.</w:t>
      </w:r>
    </w:p>
  </w:footnote>
  <w:footnote w:id="5">
    <w:p w14:paraId="573A5533" w14:textId="77777777" w:rsidR="0055252E" w:rsidRDefault="0055252E" w:rsidP="0055252E">
      <w:pPr>
        <w:spacing w:before="120" w:after="120" w:line="240" w:lineRule="auto"/>
        <w:ind w:firstLine="707"/>
        <w:jc w:val="both"/>
        <w:rPr>
          <w:rFonts w:ascii="Verdana" w:hAnsi="Verdana"/>
          <w:sz w:val="16"/>
          <w:szCs w:val="16"/>
        </w:rPr>
      </w:pPr>
      <w:r>
        <w:rPr>
          <w:rStyle w:val="Refdenotaalpie"/>
          <w:rFonts w:ascii="Verdana" w:hAnsi="Verdana"/>
          <w:sz w:val="16"/>
          <w:szCs w:val="16"/>
        </w:rPr>
        <w:footnoteRef/>
      </w:r>
      <w:r>
        <w:rPr>
          <w:rFonts w:ascii="Verdana" w:eastAsia="Arial" w:hAnsi="Verdana" w:cs="Arial"/>
          <w:sz w:val="16"/>
          <w:szCs w:val="16"/>
        </w:rPr>
        <w:t>Ley 1150 de 2007, artículo 2, numeral 4, literal g); y Decreto 1082 de 2015, artículo 2.2.1.2.1.4.8.</w:t>
      </w:r>
    </w:p>
  </w:footnote>
  <w:footnote w:id="6">
    <w:p w14:paraId="73E36F40" w14:textId="77777777" w:rsidR="0055252E" w:rsidRDefault="0055252E" w:rsidP="0055252E">
      <w:pPr>
        <w:spacing w:before="120" w:after="120" w:line="240" w:lineRule="auto"/>
        <w:ind w:firstLine="708"/>
        <w:jc w:val="both"/>
        <w:rPr>
          <w:rFonts w:ascii="Verdana" w:hAnsi="Verdana"/>
          <w:sz w:val="16"/>
          <w:szCs w:val="16"/>
        </w:rPr>
      </w:pPr>
      <w:r>
        <w:rPr>
          <w:rStyle w:val="Refdenotaalpie"/>
          <w:rFonts w:ascii="Verdana" w:hAnsi="Verdana"/>
          <w:sz w:val="16"/>
          <w:szCs w:val="16"/>
        </w:rPr>
        <w:footnoteRef/>
      </w:r>
      <w:r>
        <w:rPr>
          <w:rFonts w:ascii="Verdana" w:eastAsia="Arial" w:hAnsi="Verdana" w:cs="Arial"/>
          <w:sz w:val="16"/>
          <w:szCs w:val="16"/>
        </w:rPr>
        <w:t xml:space="preserve"> Resolución 0661 de 2014 del Ministerio del Interior — Reglamento Administrativo, Operativo, Técnico y Académico de los Bomberos de Colombia —, artículo 4, numeral 5, modificado por el artículo 3 de la Resolución 1127 de 2018: </w:t>
      </w:r>
      <w:hyperlink r:id="rId2" w:history="1">
        <w:r>
          <w:rPr>
            <w:rStyle w:val="Hipervnculo"/>
            <w:rFonts w:ascii="Verdana" w:eastAsia="Arial" w:hAnsi="Verdana" w:cs="Arial"/>
            <w:sz w:val="16"/>
            <w:szCs w:val="16"/>
          </w:rPr>
          <w:t>Ministerio de Relaciones Exteriores - Normograma [RESOLUCION 661 de 2014 Ministerio del Interior]</w:t>
        </w:r>
      </w:hyperlink>
    </w:p>
  </w:footnote>
  <w:footnote w:id="7">
    <w:p w14:paraId="772FCF66" w14:textId="77777777" w:rsidR="0055252E" w:rsidRDefault="0055252E" w:rsidP="0055252E">
      <w:pPr>
        <w:spacing w:before="120" w:after="120" w:line="240" w:lineRule="auto"/>
        <w:ind w:firstLine="708"/>
        <w:jc w:val="both"/>
        <w:rPr>
          <w:rFonts w:ascii="Verdana" w:hAnsi="Verdana"/>
          <w:sz w:val="16"/>
          <w:szCs w:val="16"/>
        </w:rPr>
      </w:pPr>
      <w:r>
        <w:rPr>
          <w:rStyle w:val="Refdenotaalpie"/>
          <w:rFonts w:ascii="Verdana" w:hAnsi="Verdana"/>
          <w:sz w:val="16"/>
          <w:szCs w:val="16"/>
        </w:rPr>
        <w:footnoteRef/>
      </w:r>
      <w:r>
        <w:rPr>
          <w:rFonts w:ascii="Verdana" w:eastAsia="Arial" w:hAnsi="Verdana" w:cs="Arial"/>
          <w:sz w:val="16"/>
          <w:szCs w:val="16"/>
        </w:rPr>
        <w:t>Decreto 1082 de 2015, artículo 2.2.1.1.1.6.1 (deber de análisis del sector).</w:t>
      </w:r>
    </w:p>
  </w:footnote>
  <w:footnote w:id="8">
    <w:p w14:paraId="003484A7" w14:textId="77777777" w:rsidR="0055252E" w:rsidRDefault="0055252E" w:rsidP="0055252E">
      <w:pPr>
        <w:pStyle w:val="Textonotapie"/>
        <w:spacing w:before="120" w:after="120"/>
        <w:ind w:firstLine="709"/>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Ley 1575 de 2012: “Los cuerpos de bomberos no podrán cobrar suma alguna a la ciudadanía o exigir compensación de cualquier naturaleza en contraprestación a los servicios de emergencia”.</w:t>
      </w:r>
    </w:p>
  </w:footnote>
  <w:footnote w:id="9">
    <w:p w14:paraId="79D1B33C" w14:textId="77777777" w:rsidR="0055252E" w:rsidRDefault="0055252E" w:rsidP="0055252E">
      <w:pPr>
        <w:pStyle w:val="Textonotapie"/>
        <w:spacing w:before="120" w:after="120"/>
        <w:ind w:firstLine="708"/>
        <w:jc w:val="both"/>
        <w:rPr>
          <w:rFonts w:ascii="Verdana" w:hAnsi="Verdana" w:cs="Arial"/>
          <w:sz w:val="16"/>
          <w:szCs w:val="16"/>
        </w:rPr>
      </w:pPr>
      <w:r>
        <w:rPr>
          <w:rStyle w:val="Refdenotaalpie"/>
          <w:rFonts w:ascii="Verdana" w:hAnsi="Verdana" w:cs="Arial"/>
          <w:sz w:val="16"/>
          <w:szCs w:val="16"/>
        </w:rPr>
        <w:footnoteRef/>
      </w:r>
      <w:r>
        <w:rPr>
          <w:rFonts w:ascii="Verdana" w:hAnsi="Verdana" w:cs="Arial"/>
          <w:sz w:val="16"/>
          <w:szCs w:val="16"/>
        </w:rPr>
        <w:t xml:space="preserve"> Sobre esta norma, consultar los conceptos del 8 de octubre de 2019, con radicado No. 2201913000007532, y del 20 de diciembre de 2019, con radicado No. 4201913000008240.</w:t>
      </w:r>
    </w:p>
  </w:footnote>
  <w:footnote w:id="10">
    <w:p w14:paraId="7CD60A51" w14:textId="77777777" w:rsidR="0055252E" w:rsidRDefault="0055252E" w:rsidP="0055252E">
      <w:pPr>
        <w:pStyle w:val="Textonotapie"/>
        <w:spacing w:before="120" w:after="120"/>
        <w:ind w:firstLine="708"/>
        <w:jc w:val="both"/>
        <w:rPr>
          <w:rFonts w:ascii="Verdana" w:hAnsi="Verdana" w:cs="Arial"/>
          <w:sz w:val="16"/>
          <w:szCs w:val="16"/>
        </w:rPr>
      </w:pPr>
      <w:r>
        <w:rPr>
          <w:rStyle w:val="Refdenotaalpie"/>
          <w:rFonts w:ascii="Verdana" w:hAnsi="Verdana"/>
          <w:sz w:val="16"/>
          <w:szCs w:val="16"/>
        </w:rPr>
        <w:footnoteRef/>
      </w:r>
      <w:r>
        <w:rPr>
          <w:rFonts w:ascii="Verdana" w:hAnsi="Verdana"/>
          <w:sz w:val="16"/>
          <w:szCs w:val="16"/>
        </w:rPr>
        <w:t xml:space="preserve"> </w:t>
      </w:r>
      <w:r>
        <w:rPr>
          <w:rFonts w:ascii="Verdana" w:hAnsi="Verdana" w:cs="Arial"/>
          <w:sz w:val="16"/>
          <w:szCs w:val="16"/>
        </w:rPr>
        <w:t>Al respecto, la Ley 489 de 1998 dispone que “Art. 96. Las entidades estatales, cualquiera sea su naturaleza y orden administrativo podrán, con la observancia de los principios señalados en el artículo 209 de la Constitución, asociarse con personas jurídicas particulares, mediante la celebración de convenios de asociación o la creación de personas jurídicas, para el desarrollo conjunto de actividades en relación con los cometidos y funciones que les asigna a aquéllas la ley.</w:t>
      </w:r>
    </w:p>
    <w:p w14:paraId="3A56C7E0" w14:textId="77777777" w:rsidR="0055252E" w:rsidRDefault="0055252E" w:rsidP="0055252E">
      <w:pPr>
        <w:pStyle w:val="Textonotapie"/>
        <w:spacing w:before="120" w:after="120"/>
        <w:ind w:firstLine="708"/>
        <w:jc w:val="both"/>
        <w:rPr>
          <w:rFonts w:ascii="Verdana" w:hAnsi="Verdana" w:cs="Arial"/>
          <w:sz w:val="16"/>
          <w:szCs w:val="16"/>
        </w:rPr>
      </w:pPr>
      <w:r>
        <w:rPr>
          <w:rFonts w:ascii="Verdana" w:hAnsi="Verdana" w:cs="Arial"/>
          <w:sz w:val="16"/>
          <w:szCs w:val="16"/>
        </w:rPr>
        <w:t xml:space="preserve">Los convenios de asociación a que se refiere el presente artículo </w:t>
      </w:r>
      <w:bookmarkStart w:id="1" w:name="_Hlk36023315"/>
      <w:r>
        <w:rPr>
          <w:rFonts w:ascii="Verdana" w:hAnsi="Verdana" w:cs="Arial"/>
          <w:sz w:val="16"/>
          <w:szCs w:val="16"/>
        </w:rPr>
        <w:t>se celebrarán de conformidad con lo dispuesto en el artículo 355 de la Constitución Política</w:t>
      </w:r>
      <w:bookmarkEnd w:id="1"/>
      <w:r>
        <w:rPr>
          <w:rFonts w:ascii="Verdana" w:hAnsi="Verdana" w:cs="Arial"/>
          <w:sz w:val="16"/>
          <w:szCs w:val="16"/>
        </w:rPr>
        <w:t>, en ellos se determinará con precisión su objeto, término, obligaciones de las partes, aportes, coordinación y todos aquellos aspectos que se consideren pertinentes”.</w:t>
      </w:r>
    </w:p>
  </w:footnote>
  <w:footnote w:id="11">
    <w:p w14:paraId="2E3EBF5B" w14:textId="77777777" w:rsidR="0055252E" w:rsidRDefault="0055252E" w:rsidP="0055252E">
      <w:pPr>
        <w:pStyle w:val="Textonotapie"/>
        <w:spacing w:before="120" w:after="120"/>
        <w:ind w:firstLine="708"/>
        <w:jc w:val="both"/>
        <w:rPr>
          <w:rFonts w:ascii="Verdana" w:hAnsi="Verdana" w:cs="Arial"/>
          <w:sz w:val="16"/>
          <w:szCs w:val="16"/>
        </w:rPr>
      </w:pPr>
      <w:r>
        <w:rPr>
          <w:rStyle w:val="Refdenotaalpie"/>
          <w:rFonts w:ascii="Verdana" w:hAnsi="Verdana" w:cs="Arial"/>
          <w:sz w:val="16"/>
          <w:szCs w:val="16"/>
        </w:rPr>
        <w:footnoteRef/>
      </w:r>
      <w:r>
        <w:rPr>
          <w:rFonts w:ascii="Verdana" w:hAnsi="Verdana" w:cs="Arial"/>
          <w:sz w:val="16"/>
          <w:szCs w:val="16"/>
        </w:rPr>
        <w:t xml:space="preserve"> Concepto del 3 de septiembre de 2019, radicado No. 2201913000006512.</w:t>
      </w:r>
    </w:p>
  </w:footnote>
  <w:footnote w:id="12">
    <w:p w14:paraId="383FDDE0" w14:textId="77777777" w:rsidR="0055252E" w:rsidRDefault="0055252E" w:rsidP="0055252E">
      <w:pPr>
        <w:pStyle w:val="Textonotapie"/>
        <w:spacing w:before="120" w:after="120"/>
        <w:ind w:firstLine="708"/>
        <w:jc w:val="both"/>
        <w:rPr>
          <w:rFonts w:ascii="Verdana" w:hAnsi="Verdana" w:cs="Arial"/>
          <w:sz w:val="16"/>
          <w:szCs w:val="16"/>
        </w:rPr>
      </w:pPr>
      <w:r>
        <w:rPr>
          <w:rStyle w:val="Refdenotaalpie"/>
          <w:rFonts w:ascii="Verdana" w:hAnsi="Verdana" w:cs="Arial"/>
          <w:sz w:val="16"/>
          <w:szCs w:val="16"/>
        </w:rPr>
        <w:footnoteRef/>
      </w:r>
      <w:r>
        <w:rPr>
          <w:rFonts w:ascii="Verdana" w:hAnsi="Verdana" w:cs="Arial"/>
          <w:sz w:val="16"/>
          <w:szCs w:val="16"/>
        </w:rPr>
        <w:t xml:space="preserve"> Sobre la naturaleza de los convenios de asociación, se reitera lo expuesto en el concepto del 19 de noviembre de 2019, con radicado No. 2201913000008611.</w:t>
      </w:r>
    </w:p>
  </w:footnote>
  <w:footnote w:id="13">
    <w:p w14:paraId="052FAFB9" w14:textId="77777777" w:rsidR="0055252E" w:rsidRDefault="0055252E" w:rsidP="0055252E">
      <w:pPr>
        <w:pStyle w:val="Textonotapie"/>
        <w:spacing w:before="120" w:after="120"/>
        <w:ind w:firstLine="708"/>
        <w:jc w:val="both"/>
        <w:rPr>
          <w:rFonts w:ascii="Verdana" w:hAnsi="Verdana" w:cs="Arial"/>
          <w:color w:val="000000" w:themeColor="text1"/>
          <w:sz w:val="16"/>
          <w:szCs w:val="16"/>
        </w:rPr>
      </w:pPr>
      <w:r>
        <w:rPr>
          <w:rStyle w:val="Refdenotaalpie"/>
          <w:rFonts w:ascii="Verdana" w:hAnsi="Verdana" w:cs="Arial"/>
          <w:color w:val="000000" w:themeColor="text1"/>
          <w:sz w:val="16"/>
          <w:szCs w:val="16"/>
        </w:rPr>
        <w:footnoteRef/>
      </w:r>
      <w:r>
        <w:rPr>
          <w:rFonts w:ascii="Verdana" w:hAnsi="Verdana" w:cs="Arial"/>
          <w:color w:val="000000" w:themeColor="text1"/>
          <w:sz w:val="16"/>
          <w:szCs w:val="16"/>
        </w:rPr>
        <w:t xml:space="preserve"> Cfr. Concepto del 21 de agosto de 2019, dictado dentro del radicado No. 2201913000006047.</w:t>
      </w:r>
    </w:p>
  </w:footnote>
  <w:footnote w:id="14">
    <w:p w14:paraId="1174FB6A" w14:textId="77777777" w:rsidR="0055252E" w:rsidRDefault="0055252E" w:rsidP="0055252E">
      <w:pPr>
        <w:pStyle w:val="Textonotapie"/>
        <w:spacing w:before="120" w:after="120"/>
        <w:ind w:firstLine="708"/>
        <w:jc w:val="both"/>
        <w:rPr>
          <w:rFonts w:ascii="Verdana" w:hAnsi="Verdana" w:cs="Arial"/>
          <w:color w:val="000000" w:themeColor="text1"/>
          <w:sz w:val="16"/>
          <w:szCs w:val="16"/>
          <w:lang w:val="es-ES"/>
        </w:rPr>
      </w:pPr>
      <w:r>
        <w:rPr>
          <w:rStyle w:val="Refdenotaalpie"/>
          <w:rFonts w:ascii="Verdana" w:hAnsi="Verdana" w:cs="Arial"/>
          <w:color w:val="000000" w:themeColor="text1"/>
          <w:sz w:val="16"/>
          <w:szCs w:val="16"/>
        </w:rPr>
        <w:footnoteRef/>
      </w:r>
      <w:r>
        <w:rPr>
          <w:rFonts w:ascii="Verdana" w:hAnsi="Verdana" w:cs="Arial"/>
          <w:color w:val="000000" w:themeColor="text1"/>
          <w:sz w:val="16"/>
          <w:szCs w:val="16"/>
        </w:rPr>
        <w:t xml:space="preserve"> Consejo de Estado, Sala de Consulta y Servicio Civil, Concepto del 24 de febrero de 2005, radicación No. 11001-03-06-000-2005-00021-00 (1626), C.P. Gloria Duque Hernández.</w:t>
      </w:r>
    </w:p>
  </w:footnote>
  <w:footnote w:id="15">
    <w:p w14:paraId="4FDDD59E" w14:textId="77777777" w:rsidR="0055252E" w:rsidRDefault="0055252E" w:rsidP="0055252E">
      <w:pPr>
        <w:pStyle w:val="Textonotapie"/>
        <w:spacing w:before="120" w:after="120"/>
        <w:ind w:firstLine="708"/>
        <w:jc w:val="both"/>
        <w:rPr>
          <w:rFonts w:ascii="Verdana" w:hAnsi="Verdana" w:cs="Arial"/>
          <w:color w:val="000000" w:themeColor="text1"/>
          <w:sz w:val="16"/>
          <w:szCs w:val="16"/>
        </w:rPr>
      </w:pPr>
      <w:r>
        <w:rPr>
          <w:rStyle w:val="Refdenotaalpie"/>
          <w:rFonts w:ascii="Verdana" w:hAnsi="Verdana" w:cs="Arial"/>
          <w:color w:val="000000" w:themeColor="text1"/>
          <w:sz w:val="16"/>
          <w:szCs w:val="16"/>
        </w:rPr>
        <w:footnoteRef/>
      </w:r>
      <w:r>
        <w:rPr>
          <w:rFonts w:ascii="Verdana" w:hAnsi="Verdana" w:cs="Arial"/>
          <w:color w:val="000000" w:themeColor="text1"/>
          <w:sz w:val="16"/>
          <w:szCs w:val="16"/>
        </w:rPr>
        <w:t xml:space="preserve"> Decreto 1082, artículo 5: “[…] no estarán sujetos a competencia cuando la entidad sin ánimo de lucro comprometa recursos en dinero para la ejecución de esas actividades en una proporción no inferior al 30% del valor total del convenio. Los recursos que compromete la entidad sin ánimo de lucro pueden ser propios o de cooperación internacional”.</w:t>
      </w:r>
    </w:p>
  </w:footnote>
  <w:footnote w:id="16">
    <w:p w14:paraId="0C58EC83" w14:textId="77777777" w:rsidR="0055252E" w:rsidRDefault="0055252E" w:rsidP="0055252E">
      <w:pPr>
        <w:spacing w:after="0" w:line="240" w:lineRule="auto"/>
        <w:ind w:firstLine="707"/>
        <w:jc w:val="both"/>
        <w:rPr>
          <w:rFonts w:ascii="Verdana" w:hAnsi="Verdana" w:cs="Arial"/>
          <w:sz w:val="18"/>
          <w:szCs w:val="18"/>
        </w:rPr>
      </w:pPr>
      <w:r>
        <w:rPr>
          <w:rStyle w:val="Refdenotaalpie"/>
          <w:rFonts w:ascii="Verdana" w:hAnsi="Verdana" w:cs="Arial"/>
          <w:sz w:val="16"/>
          <w:szCs w:val="16"/>
        </w:rPr>
        <w:footnoteRef/>
      </w:r>
      <w:r>
        <w:rPr>
          <w:rFonts w:ascii="Verdana" w:hAnsi="Verdana" w:cs="Arial"/>
          <w:position w:val="6"/>
          <w:sz w:val="16"/>
          <w:szCs w:val="16"/>
        </w:rPr>
        <w:t xml:space="preserve"> </w:t>
      </w:r>
      <w:r>
        <w:rPr>
          <w:rFonts w:ascii="Verdana" w:hAnsi="Verdana" w:cs="Arial"/>
          <w:sz w:val="16"/>
          <w:szCs w:val="16"/>
        </w:rPr>
        <w:t>DEIK ACOSTAMADIEDO, Carolina, Guía de Contratación Estatal: Deber de planeación y modalidades de selección, Buenos Aires, 2015, p. 59.</w:t>
      </w:r>
    </w:p>
  </w:footnote>
  <w:footnote w:id="17">
    <w:p w14:paraId="4A761676" w14:textId="77777777" w:rsidR="0055252E" w:rsidRDefault="0055252E" w:rsidP="0055252E">
      <w:pPr>
        <w:pStyle w:val="Textoindependiente"/>
        <w:ind w:firstLine="709"/>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w:t>
      </w:r>
      <w:r>
        <w:rPr>
          <w:rFonts w:ascii="Verdana" w:hAnsi="Verdana"/>
          <w:position w:val="6"/>
          <w:sz w:val="16"/>
          <w:szCs w:val="16"/>
        </w:rPr>
        <w:t xml:space="preserve"> </w:t>
      </w:r>
      <w:r>
        <w:rPr>
          <w:rFonts w:ascii="Verdana" w:hAnsi="Verdana"/>
          <w:sz w:val="16"/>
          <w:szCs w:val="16"/>
        </w:rPr>
        <w:t xml:space="preserve">“Artículo </w:t>
      </w:r>
      <w:bookmarkStart w:id="6" w:name="_Hlk54173885"/>
      <w:r>
        <w:rPr>
          <w:rFonts w:ascii="Verdana" w:hAnsi="Verdana"/>
          <w:sz w:val="16"/>
          <w:szCs w:val="16"/>
        </w:rPr>
        <w:t>2.2.1.1.2.1.1</w:t>
      </w:r>
      <w:bookmarkEnd w:id="6"/>
      <w:r>
        <w:rPr>
          <w:rFonts w:ascii="Verdana" w:hAnsi="Verdana"/>
          <w:sz w:val="16"/>
          <w:szCs w:val="16"/>
        </w:rPr>
        <w:t>. Estudios y documentos previos. Los estudios y documentos previos son el soporte para elaborar el proyecto de pliegos, los pliegos de condiciones, y el contrato. Deben permanecer a disposición del público durante el desarrollo del Proceso de Contratación y contener los siguientes elementos, además de los indicados para cada modalidad de selección: (…)”.</w:t>
      </w:r>
    </w:p>
    <w:p w14:paraId="2F48818A" w14:textId="77777777" w:rsidR="0055252E" w:rsidRDefault="0055252E" w:rsidP="0055252E">
      <w:pPr>
        <w:pStyle w:val="Textoindependiente"/>
        <w:ind w:firstLine="709"/>
        <w:jc w:val="both"/>
        <w:rPr>
          <w:rFonts w:ascii="Verdana" w:hAnsi="Verdana"/>
          <w:sz w:val="16"/>
          <w:szCs w:val="16"/>
        </w:rPr>
      </w:pPr>
    </w:p>
  </w:footnote>
  <w:footnote w:id="18">
    <w:p w14:paraId="0B9E485A" w14:textId="77777777" w:rsidR="0055252E" w:rsidRDefault="0055252E" w:rsidP="0055252E">
      <w:pPr>
        <w:pStyle w:val="Textoindependiente"/>
        <w:ind w:firstLine="709"/>
        <w:jc w:val="both"/>
        <w:rPr>
          <w:rFonts w:ascii="Verdana" w:hAnsi="Verdana"/>
          <w:sz w:val="18"/>
          <w:szCs w:val="18"/>
        </w:rPr>
      </w:pPr>
      <w:r>
        <w:rPr>
          <w:rStyle w:val="Refdenotaalpie"/>
          <w:rFonts w:ascii="Verdana" w:hAnsi="Verdana"/>
          <w:sz w:val="16"/>
          <w:szCs w:val="16"/>
        </w:rPr>
        <w:footnoteRef/>
      </w:r>
      <w:r>
        <w:rPr>
          <w:rFonts w:ascii="Verdana" w:hAnsi="Verdana"/>
          <w:sz w:val="16"/>
          <w:szCs w:val="16"/>
        </w:rPr>
        <w:t xml:space="preserve"> Consejo de Estado. Sección Tercera. Subsección B. Sentencia del 31 de agosto de 2011. Exp. 18.080. C.P. Ruth Stella Correa Palacio: “(…) recuérdese que la aplicación de la buena fe en materia negocial implica para las partes la observancia la observancia de una conducta enmarcada dentro del contexto de los deberes de corrección, claridad y recíproca lealtad que se deben los contratantes, para remitir la realización de los efectos finales buscados en el contrato”.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18679D0"/>
    <w:multiLevelType w:val="hybridMultilevel"/>
    <w:tmpl w:val="675A6FB0"/>
    <w:lvl w:ilvl="0" w:tplc="15EC6280">
      <w:start w:val="1"/>
      <w:numFmt w:val="bullet"/>
      <w:lvlText w:val=""/>
      <w:lvlJc w:val="left"/>
      <w:pPr>
        <w:ind w:left="7732" w:hanging="360"/>
      </w:pPr>
      <w:rPr>
        <w:rFonts w:ascii="Symbol" w:hAnsi="Symbol" w:hint="default"/>
        <w:color w:val="auto"/>
        <w:sz w:val="22"/>
        <w:szCs w:val="22"/>
      </w:rPr>
    </w:lvl>
    <w:lvl w:ilvl="1" w:tplc="240A0003">
      <w:start w:val="1"/>
      <w:numFmt w:val="bullet"/>
      <w:lvlText w:val="o"/>
      <w:lvlJc w:val="left"/>
      <w:pPr>
        <w:ind w:left="8452" w:hanging="360"/>
      </w:pPr>
      <w:rPr>
        <w:rFonts w:ascii="Courier New" w:hAnsi="Courier New" w:cs="Courier New" w:hint="default"/>
      </w:rPr>
    </w:lvl>
    <w:lvl w:ilvl="2" w:tplc="240A0005">
      <w:start w:val="1"/>
      <w:numFmt w:val="bullet"/>
      <w:lvlText w:val=""/>
      <w:lvlJc w:val="left"/>
      <w:pPr>
        <w:ind w:left="9172" w:hanging="360"/>
      </w:pPr>
      <w:rPr>
        <w:rFonts w:ascii="Wingdings" w:hAnsi="Wingdings" w:hint="default"/>
      </w:rPr>
    </w:lvl>
    <w:lvl w:ilvl="3" w:tplc="240A0001">
      <w:start w:val="1"/>
      <w:numFmt w:val="bullet"/>
      <w:lvlText w:val=""/>
      <w:lvlJc w:val="left"/>
      <w:pPr>
        <w:ind w:left="9892" w:hanging="360"/>
      </w:pPr>
      <w:rPr>
        <w:rFonts w:ascii="Symbol" w:hAnsi="Symbol" w:hint="default"/>
      </w:rPr>
    </w:lvl>
    <w:lvl w:ilvl="4" w:tplc="240A0003">
      <w:start w:val="1"/>
      <w:numFmt w:val="bullet"/>
      <w:lvlText w:val="o"/>
      <w:lvlJc w:val="left"/>
      <w:pPr>
        <w:ind w:left="10612" w:hanging="360"/>
      </w:pPr>
      <w:rPr>
        <w:rFonts w:ascii="Courier New" w:hAnsi="Courier New" w:cs="Courier New" w:hint="default"/>
      </w:rPr>
    </w:lvl>
    <w:lvl w:ilvl="5" w:tplc="240A0005">
      <w:start w:val="1"/>
      <w:numFmt w:val="bullet"/>
      <w:lvlText w:val=""/>
      <w:lvlJc w:val="left"/>
      <w:pPr>
        <w:ind w:left="11332" w:hanging="360"/>
      </w:pPr>
      <w:rPr>
        <w:rFonts w:ascii="Wingdings" w:hAnsi="Wingdings" w:hint="default"/>
      </w:rPr>
    </w:lvl>
    <w:lvl w:ilvl="6" w:tplc="240A0001">
      <w:start w:val="1"/>
      <w:numFmt w:val="bullet"/>
      <w:lvlText w:val=""/>
      <w:lvlJc w:val="left"/>
      <w:pPr>
        <w:ind w:left="12052" w:hanging="360"/>
      </w:pPr>
      <w:rPr>
        <w:rFonts w:ascii="Symbol" w:hAnsi="Symbol" w:hint="default"/>
      </w:rPr>
    </w:lvl>
    <w:lvl w:ilvl="7" w:tplc="240A0003">
      <w:start w:val="1"/>
      <w:numFmt w:val="bullet"/>
      <w:lvlText w:val="o"/>
      <w:lvlJc w:val="left"/>
      <w:pPr>
        <w:ind w:left="12772" w:hanging="360"/>
      </w:pPr>
      <w:rPr>
        <w:rFonts w:ascii="Courier New" w:hAnsi="Courier New" w:cs="Courier New" w:hint="default"/>
      </w:rPr>
    </w:lvl>
    <w:lvl w:ilvl="8" w:tplc="240A0005">
      <w:start w:val="1"/>
      <w:numFmt w:val="bullet"/>
      <w:lvlText w:val=""/>
      <w:lvlJc w:val="left"/>
      <w:pPr>
        <w:ind w:left="13492" w:hanging="360"/>
      </w:pPr>
      <w:rPr>
        <w:rFonts w:ascii="Wingdings" w:hAnsi="Wingdings" w:hint="default"/>
      </w:rPr>
    </w:lvl>
  </w:abstractNum>
  <w:abstractNum w:abstractNumId="9"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5"/>
  </w:num>
  <w:num w:numId="2" w16cid:durableId="19822139">
    <w:abstractNumId w:val="1"/>
  </w:num>
  <w:num w:numId="3" w16cid:durableId="876742304">
    <w:abstractNumId w:val="3"/>
  </w:num>
  <w:num w:numId="4" w16cid:durableId="2451864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2"/>
  </w:num>
  <w:num w:numId="7" w16cid:durableId="1946422806">
    <w:abstractNumId w:val="4"/>
  </w:num>
  <w:num w:numId="8" w16cid:durableId="152644682">
    <w:abstractNumId w:val="11"/>
  </w:num>
  <w:num w:numId="9" w16cid:durableId="1317221377">
    <w:abstractNumId w:val="6"/>
  </w:num>
  <w:num w:numId="10" w16cid:durableId="1471245386">
    <w:abstractNumId w:val="10"/>
  </w:num>
  <w:num w:numId="11" w16cid:durableId="289172385">
    <w:abstractNumId w:val="7"/>
  </w:num>
  <w:num w:numId="12" w16cid:durableId="1470781324">
    <w:abstractNumId w:val="0"/>
  </w:num>
  <w:num w:numId="13" w16cid:durableId="1512908409">
    <w:abstractNumId w:val="2"/>
  </w:num>
  <w:num w:numId="14" w16cid:durableId="895897244">
    <w:abstractNumId w:val="13"/>
  </w:num>
  <w:num w:numId="15" w16cid:durableId="390349800">
    <w:abstractNumId w:val="9"/>
  </w:num>
  <w:num w:numId="16" w16cid:durableId="96654542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5F97"/>
    <w:rsid w:val="00016F78"/>
    <w:rsid w:val="00046945"/>
    <w:rsid w:val="00061B2A"/>
    <w:rsid w:val="00082362"/>
    <w:rsid w:val="000A683E"/>
    <w:rsid w:val="000B19B9"/>
    <w:rsid w:val="000B3D4B"/>
    <w:rsid w:val="000D0334"/>
    <w:rsid w:val="000D5DA7"/>
    <w:rsid w:val="000F6486"/>
    <w:rsid w:val="00116940"/>
    <w:rsid w:val="00125105"/>
    <w:rsid w:val="00127233"/>
    <w:rsid w:val="0015699B"/>
    <w:rsid w:val="00187FDA"/>
    <w:rsid w:val="001A33BF"/>
    <w:rsid w:val="001E4177"/>
    <w:rsid w:val="001F0B24"/>
    <w:rsid w:val="001F7DC6"/>
    <w:rsid w:val="0022400B"/>
    <w:rsid w:val="002421BB"/>
    <w:rsid w:val="0025796E"/>
    <w:rsid w:val="002707A2"/>
    <w:rsid w:val="002813B8"/>
    <w:rsid w:val="002951A0"/>
    <w:rsid w:val="002962BC"/>
    <w:rsid w:val="002A093D"/>
    <w:rsid w:val="002A0DD0"/>
    <w:rsid w:val="002A49AC"/>
    <w:rsid w:val="002A64FD"/>
    <w:rsid w:val="002C1315"/>
    <w:rsid w:val="002C7A84"/>
    <w:rsid w:val="002E2BF8"/>
    <w:rsid w:val="002E4FD9"/>
    <w:rsid w:val="0030657A"/>
    <w:rsid w:val="00322A85"/>
    <w:rsid w:val="00324168"/>
    <w:rsid w:val="00330834"/>
    <w:rsid w:val="003448F4"/>
    <w:rsid w:val="00374F5E"/>
    <w:rsid w:val="00377E3E"/>
    <w:rsid w:val="003A779E"/>
    <w:rsid w:val="003D0F4D"/>
    <w:rsid w:val="003D5B0D"/>
    <w:rsid w:val="003E0499"/>
    <w:rsid w:val="003E4F80"/>
    <w:rsid w:val="003E6439"/>
    <w:rsid w:val="003F3941"/>
    <w:rsid w:val="00406575"/>
    <w:rsid w:val="00414C74"/>
    <w:rsid w:val="0042722E"/>
    <w:rsid w:val="0044528D"/>
    <w:rsid w:val="00466E39"/>
    <w:rsid w:val="004A1847"/>
    <w:rsid w:val="004A305D"/>
    <w:rsid w:val="004C42A7"/>
    <w:rsid w:val="004F21C4"/>
    <w:rsid w:val="004F685F"/>
    <w:rsid w:val="00530287"/>
    <w:rsid w:val="0055252E"/>
    <w:rsid w:val="005566E8"/>
    <w:rsid w:val="00574867"/>
    <w:rsid w:val="00591460"/>
    <w:rsid w:val="005A65E0"/>
    <w:rsid w:val="005B73D5"/>
    <w:rsid w:val="005C3777"/>
    <w:rsid w:val="005C5CDC"/>
    <w:rsid w:val="005D476C"/>
    <w:rsid w:val="006200BF"/>
    <w:rsid w:val="006219F8"/>
    <w:rsid w:val="006302F7"/>
    <w:rsid w:val="00633020"/>
    <w:rsid w:val="00646B9F"/>
    <w:rsid w:val="00665D70"/>
    <w:rsid w:val="006900D9"/>
    <w:rsid w:val="00706C16"/>
    <w:rsid w:val="0070735F"/>
    <w:rsid w:val="007326A1"/>
    <w:rsid w:val="007340C3"/>
    <w:rsid w:val="0075235A"/>
    <w:rsid w:val="00756841"/>
    <w:rsid w:val="007649AB"/>
    <w:rsid w:val="00771D0C"/>
    <w:rsid w:val="007833AC"/>
    <w:rsid w:val="007B268C"/>
    <w:rsid w:val="007B7171"/>
    <w:rsid w:val="007C0C0F"/>
    <w:rsid w:val="007C3DC2"/>
    <w:rsid w:val="007E5497"/>
    <w:rsid w:val="00806F5F"/>
    <w:rsid w:val="00820278"/>
    <w:rsid w:val="008258C9"/>
    <w:rsid w:val="00834811"/>
    <w:rsid w:val="00844AE9"/>
    <w:rsid w:val="00867F95"/>
    <w:rsid w:val="008843B6"/>
    <w:rsid w:val="00891928"/>
    <w:rsid w:val="008A446D"/>
    <w:rsid w:val="008B25F1"/>
    <w:rsid w:val="008D180B"/>
    <w:rsid w:val="008F0EA7"/>
    <w:rsid w:val="00923EEF"/>
    <w:rsid w:val="009419F9"/>
    <w:rsid w:val="0095685E"/>
    <w:rsid w:val="00961B09"/>
    <w:rsid w:val="00965334"/>
    <w:rsid w:val="0097093E"/>
    <w:rsid w:val="009A0DFA"/>
    <w:rsid w:val="009A1C6F"/>
    <w:rsid w:val="009B2D26"/>
    <w:rsid w:val="009C71FA"/>
    <w:rsid w:val="009C72E7"/>
    <w:rsid w:val="009C7B73"/>
    <w:rsid w:val="009C7F7E"/>
    <w:rsid w:val="009D3058"/>
    <w:rsid w:val="009F3A13"/>
    <w:rsid w:val="00A122D3"/>
    <w:rsid w:val="00A12862"/>
    <w:rsid w:val="00A14468"/>
    <w:rsid w:val="00A17F13"/>
    <w:rsid w:val="00A20739"/>
    <w:rsid w:val="00A23AF9"/>
    <w:rsid w:val="00A33C78"/>
    <w:rsid w:val="00AB0ADB"/>
    <w:rsid w:val="00B00C0E"/>
    <w:rsid w:val="00B01B1A"/>
    <w:rsid w:val="00B0381D"/>
    <w:rsid w:val="00B44A47"/>
    <w:rsid w:val="00B72CD3"/>
    <w:rsid w:val="00B72FFF"/>
    <w:rsid w:val="00BC3D36"/>
    <w:rsid w:val="00BD54A6"/>
    <w:rsid w:val="00BD7F72"/>
    <w:rsid w:val="00BF0A72"/>
    <w:rsid w:val="00BF7425"/>
    <w:rsid w:val="00C04FB3"/>
    <w:rsid w:val="00C11D8B"/>
    <w:rsid w:val="00C15139"/>
    <w:rsid w:val="00C330EB"/>
    <w:rsid w:val="00C50D69"/>
    <w:rsid w:val="00C5365C"/>
    <w:rsid w:val="00C754BE"/>
    <w:rsid w:val="00C76B1C"/>
    <w:rsid w:val="00C925AC"/>
    <w:rsid w:val="00C934D9"/>
    <w:rsid w:val="00CB58BC"/>
    <w:rsid w:val="00CB6357"/>
    <w:rsid w:val="00CC1B26"/>
    <w:rsid w:val="00CC6946"/>
    <w:rsid w:val="00CD029D"/>
    <w:rsid w:val="00CF36FB"/>
    <w:rsid w:val="00D11BEF"/>
    <w:rsid w:val="00D361FD"/>
    <w:rsid w:val="00D423A2"/>
    <w:rsid w:val="00D44E26"/>
    <w:rsid w:val="00D520D8"/>
    <w:rsid w:val="00D63AC2"/>
    <w:rsid w:val="00D7383B"/>
    <w:rsid w:val="00D7788A"/>
    <w:rsid w:val="00DA231B"/>
    <w:rsid w:val="00DC39FC"/>
    <w:rsid w:val="00DF5254"/>
    <w:rsid w:val="00E02524"/>
    <w:rsid w:val="00E0270F"/>
    <w:rsid w:val="00E16408"/>
    <w:rsid w:val="00E20894"/>
    <w:rsid w:val="00E245AB"/>
    <w:rsid w:val="00E2764C"/>
    <w:rsid w:val="00E27F2E"/>
    <w:rsid w:val="00E50AFE"/>
    <w:rsid w:val="00E75C92"/>
    <w:rsid w:val="00E771DC"/>
    <w:rsid w:val="00E8772A"/>
    <w:rsid w:val="00E90F6B"/>
    <w:rsid w:val="00E92C27"/>
    <w:rsid w:val="00EA0E3D"/>
    <w:rsid w:val="00EB7B58"/>
    <w:rsid w:val="00EC38A7"/>
    <w:rsid w:val="00EE1AA8"/>
    <w:rsid w:val="00F23FEA"/>
    <w:rsid w:val="00F31EDC"/>
    <w:rsid w:val="00F462B3"/>
    <w:rsid w:val="00F5664F"/>
    <w:rsid w:val="00F666C4"/>
    <w:rsid w:val="00F76AFC"/>
    <w:rsid w:val="00FA47C0"/>
    <w:rsid w:val="00FB5DD1"/>
    <w:rsid w:val="00FC2B5D"/>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styleId="Textoindependiente">
    <w:name w:val="Body Text"/>
    <w:basedOn w:val="Normal"/>
    <w:link w:val="TextoindependienteCar"/>
    <w:uiPriority w:val="1"/>
    <w:semiHidden/>
    <w:unhideWhenUsed/>
    <w:qFormat/>
    <w:rsid w:val="0055252E"/>
    <w:pPr>
      <w:widowControl w:val="0"/>
      <w:autoSpaceDE w:val="0"/>
      <w:autoSpaceDN w:val="0"/>
      <w:spacing w:after="0" w:line="240" w:lineRule="auto"/>
    </w:pPr>
    <w:rPr>
      <w:rFonts w:ascii="Arial" w:eastAsia="Arial" w:hAnsi="Arial" w:cs="Arial"/>
      <w:lang w:val="es-ES" w:eastAsia="es-ES" w:bidi="es-ES"/>
    </w:rPr>
  </w:style>
  <w:style w:type="character" w:customStyle="1" w:styleId="TextoindependienteCar">
    <w:name w:val="Texto independiente Car"/>
    <w:basedOn w:val="Fuentedeprrafopredeter"/>
    <w:link w:val="Textoindependiente"/>
    <w:uiPriority w:val="1"/>
    <w:semiHidden/>
    <w:rsid w:val="0055252E"/>
    <w:rPr>
      <w:rFonts w:ascii="Arial" w:eastAsia="Arial" w:hAnsi="Arial" w:cs="Arial"/>
      <w:lang w:val="es-ES" w:eastAsia="es-ES" w:bidi="es-ES"/>
    </w:rPr>
  </w:style>
  <w:style w:type="paragraph" w:styleId="Sinespaciado">
    <w:name w:val="No Spacing"/>
    <w:aliases w:val="No Indent"/>
    <w:uiPriority w:val="3"/>
    <w:qFormat/>
    <w:rsid w:val="0055252E"/>
    <w:pPr>
      <w:spacing w:after="0" w:line="240" w:lineRule="auto"/>
    </w:pPr>
    <w:rPr>
      <w:sz w:val="24"/>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55252E"/>
    <w:rPr>
      <w:rFonts w:ascii="Geomanist Light" w:hAnsi="Geomanist Light"/>
      <w:lang w:val="es-ES"/>
    </w:rPr>
  </w:style>
  <w:style w:type="paragraph" w:customStyle="1" w:styleId="Appelnotedebasde">
    <w:name w:val="Appel note de bas de..."/>
    <w:basedOn w:val="Normal"/>
    <w:link w:val="Refdenotaalpie"/>
    <w:uiPriority w:val="99"/>
    <w:rsid w:val="0055252E"/>
    <w:pPr>
      <w:spacing w:line="240" w:lineRule="exact"/>
    </w:pPr>
    <w:rPr>
      <w:vertAlign w:val="superscript"/>
    </w:rPr>
  </w:style>
  <w:style w:type="character" w:customStyle="1" w:styleId="s15">
    <w:name w:val="s15"/>
    <w:basedOn w:val="Fuentedeprrafopredeter"/>
    <w:rsid w:val="0055252E"/>
  </w:style>
  <w:style w:type="character" w:customStyle="1" w:styleId="apple-converted-space">
    <w:name w:val="apple-converted-space"/>
    <w:basedOn w:val="Fuentedeprrafopredeter"/>
    <w:rsid w:val="005525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www.cancilleria.gov.co/sites/default/files/Normograma/docs/resolucion_mininterior_0661_2014.htm" TargetMode="External"/><Relationship Id="rId17" Type="http://schemas.openxmlformats.org/officeDocument/2006/relationships/hyperlink" Target="https://nam02.safelinks.protection.outlook.com/?url=https%3A%2F%2Fwww.colombiacompra.gov.co%2Farchivos%2Fboletin%2Fboletin-edicion-n-3-de-2026-radar-de-la-compra-publica&amp;data=05%7C02%7Ccamila.naranjo%40colombiacompra.gov.co%7C7128555136e04fa6887d08dee99e1b50%7C7b09041e245149d08cb179d5e3d8c1be%7C0%7C0%7C639205062447538818%7CUnknown%7CTWFpbGZsb3d8eyJFbXB0eU1hcGkiOnRydWUsIlYiOiIwLjAuMDAwMCIsIlAiOiJXaW4zMiIsIkFOIjoiTWFpbCIsIldUIjoyfQ%3D%3D%7C0%7C%7C%7C&amp;sdata=htOO1E4Iq0U7bOaX%2FCUf50akUuT6OlzdNIisS0pUddU%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circular%2Fcircular-externa-002-de-2026&amp;data=05%7C02%7Ccamila.naranjo%40colombiacompra.gov.co%7C7128555136e04fa6887d08dee99e1b50%7C7b09041e245149d08cb179d5e3d8c1be%7C0%7C0%7C639205062447518524%7CUnknown%7CTWFpbGZsb3d8eyJFbXB0eU1hcGkiOnRydWUsIlYiOiIwLjAuMDAwMCIsIlAiOiJXaW4zMiIsIkFOIjoiTWFpbCIsIldUIjoyfQ%3D%3D%7C0%7C%7C%7C&amp;sdata=C9rzHVFfqyFYl0X%2BRTLH%2FMZujmz6a9lKSqxwbAcUN%2FY%3D&amp;reserved=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ecgobierno@puertoparra-santander.gov.co"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archivos%2Fcircular%2Fcircular-externa-003-de-2026&amp;data=05%7C02%7Ccamila.naranjo%40colombiacompra.gov.co%7C7128555136e04fa6887d08dee99e1b50%7C7b09041e245149d08cb179d5e3d8c1be%7C0%7C0%7C639205062447486303%7CUnknown%7CTWFpbGZsb3d8eyJFbXB0eU1hcGkiOnRydWUsIlYiOiIwLjAuMDAwMCIsIlAiOiJXaW4zMiIsIkFOIjoiTWFpbCIsIldUIjoyfQ%3D%3D%7C0%7C%7C%7C&amp;sdata=MshF4iCZI5oujYh78hGTEvsz%2BP8GLnrx4Ldozcj0SM8%3D&amp;reserved=0" TargetMode="External"/><Relationship Id="rId10" Type="http://schemas.openxmlformats.org/officeDocument/2006/relationships/image" Target="media/image2.pn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archivos%2Fmanual%2Fguia-de-garantias-en-procesos-de-contratacion&amp;data=05%7C02%7Ccamila.naranjo%40colombiacompra.gov.co%7C7128555136e04fa6887d08dee99e1b50%7C7b09041e245149d08cb179d5e3d8c1be%7C0%7C0%7C639205062447422308%7CUnknown%7CTWFpbGZsb3d8eyJFbXB0eU1hcGkiOnRydWUsIlYiOiIwLjAuMDAwMCIsIlAiOiJXaW4zMiIsIkFOIjoiTWFpbCIsIldUIjoyfQ%3D%3D%7C0%7C%7C%7C&amp;sdata=CmhnFTbuAL9DMRrtAjh3P4T2J5MzIdmW2COR7ofLoAA%3D&amp;reserved=0"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cancilleria.gov.co/sites/default/files/Normograma/docs/resolucion_mininterior_0661_2014.htm" TargetMode="External"/><Relationship Id="rId1" Type="http://schemas.openxmlformats.org/officeDocument/2006/relationships/hyperlink" Target="https://www.funcionpublica.gov.co/eva/gestornormativo/norma.php?i=23155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7D61928-DA30-443F-AB69-51AB729CA80F}"/>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2</TotalTime>
  <Pages>37</Pages>
  <Words>13362</Words>
  <Characters>73491</Characters>
  <Application>Microsoft Office Word</Application>
  <DocSecurity>0</DocSecurity>
  <Lines>612</Lines>
  <Paragraphs>173</Paragraphs>
  <ScaleCrop>false</ScaleCrop>
  <Company/>
  <LinksUpToDate>false</LinksUpToDate>
  <CharactersWithSpaces>86680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Camila Alejandra Naranjo Gómez</cp:lastModifiedBy>
  <cp:revision>5</cp:revision>
  <cp:lastPrinted>2023-01-10T21:18:00Z</cp:lastPrinted>
  <dcterms:created xsi:type="dcterms:W3CDTF">2026-10-15T23:05:00Z</dcterms:created>
  <dcterms:modified xsi:type="dcterms:W3CDTF">2026-10-15T23:20:00Z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