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1B13C" w14:textId="77777777" w:rsidR="00F2171E" w:rsidRPr="004A0841" w:rsidRDefault="00F2171E" w:rsidP="00F2171E">
      <w:pPr>
        <w:spacing w:after="0" w:line="240" w:lineRule="auto"/>
        <w:jc w:val="both"/>
        <w:rPr>
          <w:rFonts w:ascii="Verdana" w:hAnsi="Verdana" w:cs="Arial"/>
          <w:b/>
          <w:bCs/>
          <w:color w:val="000000"/>
          <w:lang w:val="es-ES"/>
        </w:rPr>
      </w:pPr>
      <w:r w:rsidRPr="004A0841">
        <w:rPr>
          <w:rFonts w:ascii="Verdana" w:hAnsi="Verdana" w:cs="Arial"/>
          <w:b/>
          <w:bCs/>
          <w:color w:val="000000"/>
          <w:lang w:val="es-ES"/>
        </w:rPr>
        <w:t>CESIÓN DEL CONTRATO ESTATAL – Noción – Sujetos – Exigencia de un tercero</w:t>
      </w:r>
    </w:p>
    <w:p w14:paraId="6FE91340" w14:textId="77777777" w:rsidR="00F2171E" w:rsidRDefault="00F2171E" w:rsidP="00F2171E">
      <w:pPr>
        <w:spacing w:after="0" w:line="240" w:lineRule="auto"/>
        <w:jc w:val="both"/>
        <w:rPr>
          <w:rFonts w:ascii="Verdana" w:hAnsi="Verdana" w:cs="Arial"/>
          <w:b/>
          <w:bCs/>
          <w:color w:val="000000"/>
          <w:lang w:val="es-ES"/>
        </w:rPr>
      </w:pPr>
    </w:p>
    <w:p w14:paraId="5B9470E4" w14:textId="77777777" w:rsidR="00F2171E" w:rsidRPr="004A0841" w:rsidRDefault="00F2171E" w:rsidP="00F2171E">
      <w:pPr>
        <w:spacing w:after="0" w:line="240" w:lineRule="auto"/>
        <w:jc w:val="both"/>
        <w:rPr>
          <w:rFonts w:ascii="Verdana" w:hAnsi="Verdana" w:cs="Arial"/>
          <w:bCs/>
          <w:color w:val="000000"/>
          <w:sz w:val="20"/>
          <w:lang w:val="es-ES"/>
        </w:rPr>
      </w:pPr>
      <w:r>
        <w:rPr>
          <w:rFonts w:ascii="Verdana" w:hAnsi="Verdana" w:cs="Arial"/>
          <w:bCs/>
          <w:color w:val="000000"/>
          <w:sz w:val="20"/>
          <w:lang w:val="es-ES"/>
        </w:rPr>
        <w:t>La cesión de la posición contractual es la transferencia negocial a un tercero del conjunto de derechos y obligaciones que integran la posición de parte. En ella concurren tres sujetos: el cedente, esto es, el contratista inicial; el cesionario, quien asume total o parcialmente los derechos y obligaciones de aquel; y el cedido, que en los contratos estatales es la entidad suscriptora. Por ello esta Subdirección ha señalado, siguiendo al Consejo de Estado, que la cesión “debe recaer en un tercero”, que el cesionario debe tener capacidad jurídica y no estar incurso en inhabilidades o incompatibilidades, y que debe contar con capacidad técnica, económica y financiera suficiente.</w:t>
      </w:r>
    </w:p>
    <w:p w14:paraId="68BBB138" w14:textId="77777777" w:rsidR="00F2171E" w:rsidRDefault="00F2171E" w:rsidP="00F2171E">
      <w:pPr>
        <w:spacing w:after="0" w:line="240" w:lineRule="auto"/>
        <w:jc w:val="both"/>
        <w:rPr>
          <w:rFonts w:ascii="Verdana" w:hAnsi="Verdana" w:cs="Arial"/>
          <w:b/>
          <w:bCs/>
          <w:color w:val="000000"/>
          <w:lang w:val="es-ES"/>
        </w:rPr>
      </w:pPr>
    </w:p>
    <w:p w14:paraId="038A9BBF" w14:textId="77777777" w:rsidR="00F2171E" w:rsidRPr="004A0841" w:rsidRDefault="00F2171E" w:rsidP="00F2171E">
      <w:pPr>
        <w:spacing w:after="0" w:line="240" w:lineRule="auto"/>
        <w:jc w:val="both"/>
        <w:rPr>
          <w:rFonts w:ascii="Verdana" w:hAnsi="Verdana" w:cs="Arial"/>
          <w:b/>
          <w:bCs/>
          <w:color w:val="000000"/>
          <w:lang w:val="es-ES"/>
        </w:rPr>
      </w:pPr>
      <w:r w:rsidRPr="004A0841">
        <w:rPr>
          <w:rFonts w:ascii="Verdana" w:hAnsi="Verdana" w:cs="Arial"/>
          <w:b/>
          <w:bCs/>
          <w:color w:val="000000"/>
          <w:lang w:val="es-ES"/>
        </w:rPr>
        <w:t>CESIÓN DEL CONTRATO ESTATAL – Artículo 41 de la Ley 80 de 1993 – Prohibición general y autorización excepcional</w:t>
      </w:r>
    </w:p>
    <w:p w14:paraId="77859F29" w14:textId="77777777" w:rsidR="00F2171E" w:rsidRDefault="00F2171E" w:rsidP="00F2171E">
      <w:pPr>
        <w:spacing w:after="0" w:line="240" w:lineRule="auto"/>
        <w:jc w:val="both"/>
        <w:rPr>
          <w:rFonts w:ascii="Verdana" w:hAnsi="Verdana" w:cs="Arial"/>
          <w:b/>
          <w:bCs/>
          <w:color w:val="000000"/>
          <w:lang w:val="es-ES"/>
        </w:rPr>
      </w:pPr>
    </w:p>
    <w:p w14:paraId="5C37F19D" w14:textId="77777777" w:rsidR="00F2171E" w:rsidRPr="004A0841" w:rsidRDefault="00F2171E" w:rsidP="00F2171E">
      <w:pPr>
        <w:spacing w:after="0" w:line="240" w:lineRule="auto"/>
        <w:jc w:val="both"/>
        <w:rPr>
          <w:rFonts w:ascii="Verdana" w:hAnsi="Verdana" w:cs="Arial"/>
          <w:bCs/>
          <w:color w:val="000000"/>
          <w:sz w:val="20"/>
          <w:lang w:val="es-ES"/>
        </w:rPr>
      </w:pPr>
      <w:r>
        <w:rPr>
          <w:rFonts w:ascii="Verdana" w:hAnsi="Verdana" w:cs="Arial"/>
          <w:bCs/>
          <w:color w:val="000000"/>
          <w:sz w:val="20"/>
          <w:lang w:val="es-ES"/>
        </w:rPr>
        <w:t>El inciso tercero del artículo 41 de la Ley 80 de 1993 prescribe que “los contratos estatales son intuito personae y, en consecuencia, una vez celebrados no podrán cederse sin previa autorización escrita de la entidad contratante”. Esta norma contiene una prohibición general —faceta negativa— y una autorización excepcional —faceta positiva—, y se aplica de manera preferente a las disposiciones del Código de Comercio sobre cesión de contratos. En el trámite de autorización la entidad debe respetar los principios de transparencia, selección objetiva e igualdad: so pretexto de una cesión no pueden vulnerarse las reglas y principios de la contratación estatal.</w:t>
      </w:r>
    </w:p>
    <w:p w14:paraId="693CE854" w14:textId="77777777" w:rsidR="00F2171E" w:rsidRDefault="00F2171E" w:rsidP="00F2171E">
      <w:pPr>
        <w:spacing w:after="0" w:line="240" w:lineRule="auto"/>
        <w:jc w:val="both"/>
        <w:rPr>
          <w:rFonts w:ascii="Verdana" w:hAnsi="Verdana" w:cs="Arial"/>
          <w:b/>
          <w:bCs/>
          <w:color w:val="000000"/>
          <w:lang w:val="es-ES"/>
        </w:rPr>
      </w:pPr>
    </w:p>
    <w:p w14:paraId="60A9C59E" w14:textId="77777777" w:rsidR="00F2171E" w:rsidRPr="004A0841" w:rsidRDefault="00F2171E" w:rsidP="00F2171E">
      <w:pPr>
        <w:spacing w:after="0" w:line="240" w:lineRule="auto"/>
        <w:jc w:val="both"/>
        <w:rPr>
          <w:rFonts w:ascii="Verdana" w:hAnsi="Verdana" w:cs="Arial"/>
          <w:b/>
          <w:bCs/>
          <w:color w:val="000000"/>
          <w:lang w:val="es-ES"/>
        </w:rPr>
      </w:pPr>
      <w:r w:rsidRPr="004A0841">
        <w:rPr>
          <w:rFonts w:ascii="Verdana" w:hAnsi="Verdana" w:cs="Arial"/>
          <w:b/>
          <w:bCs/>
          <w:color w:val="000000"/>
          <w:lang w:val="es-ES"/>
        </w:rPr>
        <w:t>CESIÓN – Integrantes de consorcio o unión temporal – Prohibición – Artículo 9 de la Ley 80 de 1993</w:t>
      </w:r>
    </w:p>
    <w:p w14:paraId="6C0F15D6" w14:textId="77777777" w:rsidR="00F2171E" w:rsidRDefault="00F2171E" w:rsidP="00F2171E">
      <w:pPr>
        <w:spacing w:after="0" w:line="240" w:lineRule="auto"/>
        <w:jc w:val="both"/>
        <w:rPr>
          <w:rFonts w:ascii="Verdana" w:hAnsi="Verdana" w:cs="Arial"/>
          <w:b/>
          <w:bCs/>
          <w:color w:val="000000"/>
          <w:lang w:val="es-ES"/>
        </w:rPr>
      </w:pPr>
    </w:p>
    <w:p w14:paraId="19C5B1F9" w14:textId="77777777" w:rsidR="00F2171E" w:rsidRPr="004A0841" w:rsidRDefault="00F2171E" w:rsidP="00F2171E">
      <w:pPr>
        <w:spacing w:after="0" w:line="240" w:lineRule="auto"/>
        <w:jc w:val="both"/>
        <w:rPr>
          <w:rFonts w:ascii="Verdana" w:hAnsi="Verdana" w:cs="Arial"/>
          <w:bCs/>
          <w:color w:val="000000"/>
          <w:sz w:val="20"/>
          <w:lang w:val="es-ES"/>
        </w:rPr>
      </w:pPr>
      <w:r>
        <w:rPr>
          <w:rFonts w:ascii="Verdana" w:hAnsi="Verdana" w:cs="Arial"/>
          <w:bCs/>
          <w:color w:val="000000"/>
          <w:sz w:val="20"/>
          <w:lang w:val="es-ES"/>
        </w:rPr>
        <w:t>El inciso tercero del artículo 9 de la Ley 80 de 1993 dispone que, si la inhabilidad o incompatibilidad sobreviene en uno de los miembros de un consorcio o unión temporal, “este cederá su participación a un tercero previa autorización escrita de la entidad contratante. En ningún caso podrá haber cesión del contrato entre quienes integran el consorcio o unión temporal”. Esta Subdirección ha precisado que tal expresión significa que “los miembros de estas figuras asociativas no pueden transferirse entre sí la participación contractual ni redistribuir internamente las obligaciones, porcentajes o derechos derivados del contrato estatal”.</w:t>
      </w:r>
    </w:p>
    <w:p w14:paraId="50496144" w14:textId="77777777" w:rsidR="00F2171E" w:rsidRDefault="00F2171E" w:rsidP="00F2171E">
      <w:pPr>
        <w:spacing w:after="0" w:line="240" w:lineRule="auto"/>
        <w:jc w:val="both"/>
        <w:rPr>
          <w:rFonts w:ascii="Verdana" w:hAnsi="Verdana" w:cs="Arial"/>
          <w:b/>
          <w:bCs/>
          <w:color w:val="000000"/>
          <w:lang w:val="es-ES"/>
        </w:rPr>
      </w:pPr>
    </w:p>
    <w:p w14:paraId="2A25564E" w14:textId="77777777" w:rsidR="00F2171E" w:rsidRPr="004A0841" w:rsidRDefault="00F2171E" w:rsidP="00F2171E">
      <w:pPr>
        <w:spacing w:after="0" w:line="240" w:lineRule="auto"/>
        <w:jc w:val="both"/>
        <w:rPr>
          <w:rFonts w:ascii="Verdana" w:hAnsi="Verdana" w:cs="Arial"/>
          <w:b/>
          <w:bCs/>
          <w:color w:val="000000"/>
          <w:lang w:val="es-ES"/>
        </w:rPr>
      </w:pPr>
      <w:r w:rsidRPr="004A0841">
        <w:rPr>
          <w:rFonts w:ascii="Verdana" w:hAnsi="Verdana" w:cs="Arial"/>
          <w:b/>
          <w:bCs/>
          <w:color w:val="000000"/>
          <w:lang w:val="es-ES"/>
        </w:rPr>
        <w:t>PROHIBICIÓN DE CESIÓN ENTRE INTEGRANTES – Alcance – Carácter general</w:t>
      </w:r>
    </w:p>
    <w:p w14:paraId="756CB7B0" w14:textId="77777777" w:rsidR="00F2171E" w:rsidRDefault="00F2171E" w:rsidP="00F2171E">
      <w:pPr>
        <w:spacing w:after="0" w:line="240" w:lineRule="auto"/>
        <w:jc w:val="both"/>
        <w:rPr>
          <w:rFonts w:ascii="Verdana" w:hAnsi="Verdana" w:cs="Arial"/>
          <w:b/>
          <w:bCs/>
          <w:color w:val="000000"/>
          <w:lang w:val="es-ES"/>
        </w:rPr>
      </w:pPr>
    </w:p>
    <w:p w14:paraId="66CFD478" w14:textId="77777777" w:rsidR="00F2171E" w:rsidRPr="004A0841" w:rsidRDefault="00F2171E" w:rsidP="00F2171E">
      <w:pPr>
        <w:spacing w:after="0" w:line="240" w:lineRule="auto"/>
        <w:jc w:val="both"/>
        <w:rPr>
          <w:rFonts w:ascii="Verdana" w:hAnsi="Verdana" w:cs="Arial"/>
          <w:bCs/>
          <w:color w:val="000000"/>
          <w:sz w:val="20"/>
          <w:lang w:val="es-ES"/>
        </w:rPr>
      </w:pPr>
      <w:r>
        <w:rPr>
          <w:rFonts w:ascii="Verdana" w:hAnsi="Verdana" w:cs="Arial"/>
          <w:bCs/>
          <w:color w:val="000000"/>
          <w:sz w:val="20"/>
          <w:lang w:val="es-ES"/>
        </w:rPr>
        <w:t xml:space="preserve">La prohibición no se circunscribe al supuesto de la inhabilidad sobreviniente. Tres razones lo explican. La primera es textual: el legislador empleó la expresión “en ningún caso”, que no admite distinciones que la norma no hace. La segunda es estructural: la cesión exige por definición que el cesionario sea un tercero, y quien ya es parte de la estructura plural que suscribió el contrato no tiene esa calidad. La tercera es finalística: </w:t>
      </w:r>
      <w:r>
        <w:rPr>
          <w:rFonts w:ascii="Verdana" w:hAnsi="Verdana" w:cs="Arial"/>
          <w:bCs/>
          <w:color w:val="000000"/>
          <w:sz w:val="20"/>
          <w:lang w:val="es-ES"/>
        </w:rPr>
        <w:lastRenderedPageBreak/>
        <w:t>la cesión no puede servir como instrumento para alterar las condiciones que determinaron la selección objetiva, y una redistribución interna de la participación modificaría la oferta adjudicada sin que medie un sujeto nuevo que acredite los requisitos habilitantes.</w:t>
      </w:r>
    </w:p>
    <w:p w14:paraId="4E16F142" w14:textId="77777777" w:rsidR="00F2171E" w:rsidRDefault="00F2171E" w:rsidP="00F2171E">
      <w:pPr>
        <w:spacing w:after="0" w:line="240" w:lineRule="auto"/>
        <w:jc w:val="both"/>
        <w:rPr>
          <w:rFonts w:ascii="Verdana" w:hAnsi="Verdana" w:cs="Arial"/>
          <w:b/>
          <w:bCs/>
          <w:color w:val="000000"/>
          <w:lang w:val="es-ES"/>
        </w:rPr>
      </w:pPr>
    </w:p>
    <w:p w14:paraId="61325FDE" w14:textId="77777777" w:rsidR="00F2171E" w:rsidRPr="004A0841" w:rsidRDefault="00F2171E" w:rsidP="00F2171E">
      <w:pPr>
        <w:spacing w:after="0" w:line="240" w:lineRule="auto"/>
        <w:jc w:val="both"/>
        <w:rPr>
          <w:rFonts w:ascii="Verdana" w:hAnsi="Verdana" w:cs="Arial"/>
          <w:b/>
          <w:bCs/>
          <w:color w:val="000000"/>
          <w:lang w:val="es-ES"/>
        </w:rPr>
      </w:pPr>
      <w:r w:rsidRPr="004A0841">
        <w:rPr>
          <w:rFonts w:ascii="Verdana" w:hAnsi="Verdana" w:cs="Arial"/>
          <w:b/>
          <w:bCs/>
          <w:color w:val="000000"/>
          <w:lang w:val="es-ES"/>
        </w:rPr>
        <w:t>CESIÓN DE LA PARTICIPACIÓN – Procedencia – Cesión externa – Autorización previa y escrita</w:t>
      </w:r>
    </w:p>
    <w:p w14:paraId="6494C141" w14:textId="77777777" w:rsidR="00F2171E" w:rsidRDefault="00F2171E" w:rsidP="00F2171E">
      <w:pPr>
        <w:spacing w:after="0" w:line="240" w:lineRule="auto"/>
        <w:jc w:val="both"/>
        <w:rPr>
          <w:rFonts w:ascii="Verdana" w:hAnsi="Verdana" w:cs="Arial"/>
          <w:b/>
          <w:bCs/>
          <w:color w:val="000000"/>
          <w:lang w:val="es-ES"/>
        </w:rPr>
      </w:pPr>
    </w:p>
    <w:p w14:paraId="39C6D340" w14:textId="77777777" w:rsidR="00F2171E" w:rsidRPr="004A0841" w:rsidRDefault="00F2171E" w:rsidP="00F2171E">
      <w:pPr>
        <w:spacing w:after="0" w:line="240" w:lineRule="auto"/>
        <w:jc w:val="both"/>
        <w:rPr>
          <w:rFonts w:ascii="Verdana" w:hAnsi="Verdana" w:cs="Arial"/>
          <w:bCs/>
          <w:color w:val="000000"/>
          <w:sz w:val="20"/>
          <w:lang w:val="es-ES"/>
        </w:rPr>
      </w:pPr>
      <w:r>
        <w:rPr>
          <w:rFonts w:ascii="Verdana" w:hAnsi="Verdana" w:cs="Arial"/>
          <w:bCs/>
          <w:color w:val="000000"/>
          <w:sz w:val="20"/>
          <w:lang w:val="es-ES"/>
        </w:rPr>
        <w:t>Lo que el ordenamiento admite es la cesión de la participación de un integrante a un tercero, previa autorización escrita de la entidad contratante. La entidad debe verificar que el tercero propuesto cumpla los requisitos establecidos en el pliego de condiciones, en el contrato y en las demás disposiciones aplicables, pues la capacidad jurídica, económica y técnica exigida al cedente se exige también al cesionario. Esa autorización no constituye una facultad discrecional absoluta: cuando se encuentran acreditados los requisitos, una eventual negativa debe sustentarse en razones objetivas, verificables y jurídicamente relevantes.</w:t>
      </w:r>
    </w:p>
    <w:p w14:paraId="1BA302A9" w14:textId="77777777" w:rsidR="00F2171E" w:rsidRDefault="00F2171E" w:rsidP="00F2171E">
      <w:pPr>
        <w:spacing w:after="0" w:line="240" w:lineRule="auto"/>
        <w:jc w:val="both"/>
        <w:rPr>
          <w:rFonts w:ascii="Verdana" w:hAnsi="Verdana" w:cs="Arial"/>
          <w:b/>
          <w:bCs/>
          <w:color w:val="000000"/>
          <w:lang w:val="es-ES"/>
        </w:rPr>
      </w:pPr>
    </w:p>
    <w:p w14:paraId="57A9E103" w14:textId="77777777" w:rsidR="00F2171E" w:rsidRPr="004A0841" w:rsidRDefault="00F2171E" w:rsidP="00F2171E">
      <w:pPr>
        <w:spacing w:after="0" w:line="240" w:lineRule="auto"/>
        <w:jc w:val="both"/>
        <w:rPr>
          <w:rFonts w:ascii="Verdana" w:hAnsi="Verdana" w:cs="Arial"/>
          <w:b/>
          <w:bCs/>
          <w:color w:val="000000"/>
          <w:lang w:val="es-ES"/>
        </w:rPr>
      </w:pPr>
      <w:r w:rsidRPr="004A0841">
        <w:rPr>
          <w:rFonts w:ascii="Verdana" w:hAnsi="Verdana" w:cs="Arial"/>
          <w:b/>
          <w:bCs/>
          <w:color w:val="000000"/>
          <w:lang w:val="es-ES"/>
        </w:rPr>
        <w:t>INHABILIDAD SOBREVINIENTE – Integrante de estructura plural – Cesión forzosa – Improcedencia de la renuncia</w:t>
      </w:r>
    </w:p>
    <w:p w14:paraId="2B2A2534" w14:textId="77777777" w:rsidR="00F2171E" w:rsidRDefault="00F2171E" w:rsidP="00F2171E">
      <w:pPr>
        <w:spacing w:after="0" w:line="240" w:lineRule="auto"/>
        <w:jc w:val="both"/>
        <w:rPr>
          <w:rFonts w:ascii="Verdana" w:hAnsi="Verdana" w:cs="Arial"/>
          <w:b/>
          <w:bCs/>
          <w:color w:val="000000"/>
          <w:lang w:val="es-ES"/>
        </w:rPr>
      </w:pPr>
    </w:p>
    <w:p w14:paraId="0AE21210" w14:textId="77777777" w:rsidR="00F2171E" w:rsidRPr="004A0841" w:rsidRDefault="00F2171E" w:rsidP="00F2171E">
      <w:pPr>
        <w:spacing w:after="0" w:line="240" w:lineRule="auto"/>
        <w:jc w:val="both"/>
        <w:rPr>
          <w:rFonts w:ascii="Verdana" w:hAnsi="Verdana" w:cs="Arial"/>
          <w:bCs/>
          <w:color w:val="000000"/>
          <w:sz w:val="20"/>
          <w:lang w:val="es-ES"/>
        </w:rPr>
      </w:pPr>
      <w:r>
        <w:rPr>
          <w:rFonts w:ascii="Verdana" w:hAnsi="Verdana" w:cs="Arial"/>
          <w:bCs/>
          <w:color w:val="000000"/>
          <w:sz w:val="20"/>
          <w:lang w:val="es-ES"/>
        </w:rPr>
        <w:t>Cuando la inhabilidad o incompatibilidad recae exclusivamente sobre uno de los miembros, la continuidad del contrato solo puede asegurarse mediante una cesión externa. La Corte Constitucional, en la Sentencia C-221 de 1996, declaró exequible el artículo 9 y precisó que en ese evento no es posible la renuncia, y que estas medidas no tienen naturaleza sancionatoria ni dependen de la culpabilidad o de la voluntad del contratista, sino que constituyen reglas objetivas dirigidas a impedir que quien está incurso en la causal continúe vinculado con el Estado. La configuración de la causal exige, en todo caso, una actuación administrativa previa que garantice el debido proceso.</w:t>
      </w:r>
    </w:p>
    <w:p w14:paraId="1DDB9EF2" w14:textId="77777777" w:rsidR="00F2171E" w:rsidRDefault="00F2171E" w:rsidP="00F2171E">
      <w:pPr>
        <w:spacing w:after="0" w:line="240" w:lineRule="auto"/>
        <w:jc w:val="both"/>
        <w:rPr>
          <w:rFonts w:ascii="Verdana" w:hAnsi="Verdana" w:cs="Arial"/>
          <w:b/>
          <w:bCs/>
          <w:color w:val="000000"/>
          <w:lang w:val="es-ES"/>
        </w:rPr>
      </w:pPr>
    </w:p>
    <w:p w14:paraId="0D6D670F" w14:textId="77777777" w:rsidR="00F2171E" w:rsidRPr="004A0841" w:rsidRDefault="00F2171E" w:rsidP="00F2171E">
      <w:pPr>
        <w:spacing w:after="0" w:line="240" w:lineRule="auto"/>
        <w:jc w:val="both"/>
        <w:rPr>
          <w:rFonts w:ascii="Verdana" w:hAnsi="Verdana" w:cs="Arial"/>
          <w:b/>
          <w:bCs/>
          <w:color w:val="000000"/>
          <w:lang w:val="es-ES"/>
        </w:rPr>
      </w:pPr>
      <w:r w:rsidRPr="004A0841">
        <w:rPr>
          <w:rFonts w:ascii="Verdana" w:hAnsi="Verdana" w:cs="Arial"/>
          <w:b/>
          <w:bCs/>
          <w:color w:val="000000"/>
          <w:lang w:val="es-ES"/>
        </w:rPr>
        <w:t>INHABILIDAD SOBREVINIENTE – Régimen especial – Parágrafo 1 del artículo 9 – Ley 2014 de 2019</w:t>
      </w:r>
    </w:p>
    <w:p w14:paraId="39176651" w14:textId="77777777" w:rsidR="00F2171E" w:rsidRDefault="00F2171E" w:rsidP="00F2171E">
      <w:pPr>
        <w:spacing w:after="0" w:line="240" w:lineRule="auto"/>
        <w:jc w:val="both"/>
        <w:rPr>
          <w:rFonts w:ascii="Verdana" w:hAnsi="Verdana" w:cs="Arial"/>
          <w:b/>
          <w:bCs/>
          <w:color w:val="000000"/>
          <w:lang w:val="es-ES"/>
        </w:rPr>
      </w:pPr>
    </w:p>
    <w:p w14:paraId="51BD1049" w14:textId="77777777" w:rsidR="00F2171E" w:rsidRPr="004A0841" w:rsidRDefault="00F2171E" w:rsidP="00F2171E">
      <w:pPr>
        <w:spacing w:after="0" w:line="240" w:lineRule="auto"/>
        <w:jc w:val="both"/>
        <w:rPr>
          <w:rFonts w:ascii="Verdana" w:hAnsi="Verdana" w:cs="Arial"/>
          <w:bCs/>
          <w:color w:val="000000"/>
          <w:sz w:val="20"/>
          <w:lang w:val="es-ES"/>
        </w:rPr>
      </w:pPr>
      <w:r>
        <w:rPr>
          <w:rFonts w:ascii="Verdana" w:hAnsi="Verdana" w:cs="Arial"/>
          <w:bCs/>
          <w:color w:val="000000"/>
          <w:sz w:val="20"/>
          <w:lang w:val="es-ES"/>
        </w:rPr>
        <w:t>El parágrafo 1 del artículo 9, adicionado por el artículo 6 de la Ley 2014 de 2019, establece un régimen especial cuando la inhabilidad sobreviniente sea la del literal j) del numeral 1 del artículo 8 de la Ley 80 de 1993, o cuando administrativamente se haya sancionado por actos de corrupción al contratista: en tales eventos no procede la renuncia, la entidad ordena mediante acto administrativo motivado la cesión unilateral sin lugar a indemnización, y es la entidad la encargada de determinar el cesionario. El parágrafo 2, que ordenaba reglamentar el procedimiento, fue declarado inexequible por la Sentencia C-037 de 2021.</w:t>
      </w:r>
    </w:p>
    <w:p w14:paraId="5D2698B5" w14:textId="77777777" w:rsidR="00F2171E" w:rsidRDefault="00F2171E" w:rsidP="00F2171E">
      <w:pPr>
        <w:spacing w:after="0" w:line="240" w:lineRule="auto"/>
        <w:jc w:val="both"/>
        <w:rPr>
          <w:rFonts w:ascii="Verdana" w:hAnsi="Verdana" w:cs="Arial"/>
          <w:b/>
          <w:bCs/>
          <w:color w:val="000000"/>
          <w:lang w:val="es-ES"/>
        </w:rPr>
      </w:pPr>
    </w:p>
    <w:p w14:paraId="2CBD4FF1" w14:textId="77777777" w:rsidR="00F2171E" w:rsidRPr="004A0841" w:rsidRDefault="00F2171E" w:rsidP="00F2171E">
      <w:pPr>
        <w:spacing w:after="0" w:line="240" w:lineRule="auto"/>
        <w:jc w:val="both"/>
        <w:rPr>
          <w:rFonts w:ascii="Verdana" w:hAnsi="Verdana" w:cs="Arial"/>
          <w:b/>
          <w:bCs/>
          <w:color w:val="000000"/>
          <w:lang w:val="es-ES"/>
        </w:rPr>
      </w:pPr>
      <w:r w:rsidRPr="004A0841">
        <w:rPr>
          <w:rFonts w:ascii="Verdana" w:hAnsi="Verdana" w:cs="Arial"/>
          <w:b/>
          <w:bCs/>
          <w:color w:val="000000"/>
          <w:lang w:val="es-ES"/>
        </w:rPr>
        <w:t>MODIFICACIÓN DEL ACUERDO DE LA ESTRUCTURA PLURAL – Distinción con la cesión – Consentimiento previo de la entidad</w:t>
      </w:r>
    </w:p>
    <w:p w14:paraId="75B09183" w14:textId="77777777" w:rsidR="00F2171E" w:rsidRDefault="00F2171E" w:rsidP="00F2171E">
      <w:pPr>
        <w:spacing w:after="0" w:line="240" w:lineRule="auto"/>
        <w:jc w:val="both"/>
        <w:rPr>
          <w:rFonts w:ascii="Verdana" w:hAnsi="Verdana" w:cs="Arial"/>
          <w:b/>
          <w:bCs/>
          <w:color w:val="000000"/>
          <w:lang w:val="es-ES"/>
        </w:rPr>
      </w:pPr>
    </w:p>
    <w:p w14:paraId="11CB3AF0" w14:textId="77777777" w:rsidR="00F2171E" w:rsidRPr="004A0841" w:rsidRDefault="00F2171E" w:rsidP="00F2171E">
      <w:pPr>
        <w:spacing w:after="0" w:line="240" w:lineRule="auto"/>
        <w:jc w:val="both"/>
        <w:rPr>
          <w:rFonts w:ascii="Verdana" w:hAnsi="Verdana" w:cs="Arial"/>
          <w:bCs/>
          <w:color w:val="000000"/>
          <w:sz w:val="20"/>
          <w:lang w:val="es-ES"/>
        </w:rPr>
      </w:pPr>
      <w:r>
        <w:rPr>
          <w:rFonts w:ascii="Verdana" w:hAnsi="Verdana" w:cs="Arial"/>
          <w:bCs/>
          <w:color w:val="000000"/>
          <w:sz w:val="20"/>
          <w:lang w:val="es-ES"/>
        </w:rPr>
        <w:t>Cuestión distinta de la cesión es la modificación del acuerdo que da origen a la estructura plural. Los integrantes conservan la facultad de ajustarlo en virtud del principio de autonomía de la voluntad y pueden acordar una redistribución de las actividades, informando de ello a la entidad; pero el parágrafo 1 del artículo 7 de la Ley 80 de 1993 dispone que los términos y la extensión de la participación en la propuesta y en su ejecución “no podrán ser modificados sin el consentimiento previo de la entidad estatal contratante”. Esa vía no puede emplearse para eludir la prohibición del artículo 9 ni para alterar las condiciones que determinaron la adjudicación.</w:t>
      </w:r>
    </w:p>
    <w:p w14:paraId="3CA0D5B1" w14:textId="77777777" w:rsidR="00F2171E" w:rsidRDefault="00F2171E" w:rsidP="00F2171E">
      <w:pPr>
        <w:spacing w:after="0" w:line="240" w:lineRule="auto"/>
        <w:jc w:val="both"/>
        <w:rPr>
          <w:rFonts w:ascii="Verdana" w:hAnsi="Verdana" w:cs="Arial"/>
          <w:b/>
          <w:bCs/>
          <w:color w:val="000000"/>
          <w:lang w:val="es-ES"/>
        </w:rPr>
      </w:pPr>
    </w:p>
    <w:p w14:paraId="0DA7C8ED" w14:textId="77777777" w:rsidR="00753FDA" w:rsidRDefault="00753FDA" w:rsidP="00F2171E">
      <w:pPr>
        <w:spacing w:after="0" w:line="240" w:lineRule="auto"/>
        <w:jc w:val="both"/>
        <w:rPr>
          <w:rFonts w:ascii="Verdana" w:hAnsi="Verdana" w:cs="Arial"/>
          <w:b/>
          <w:bCs/>
          <w:color w:val="000000"/>
          <w:lang w:val="es-ES"/>
        </w:rPr>
      </w:pPr>
    </w:p>
    <w:p w14:paraId="76AD141C" w14:textId="77777777" w:rsidR="00753FDA" w:rsidRDefault="00753FDA" w:rsidP="00F2171E">
      <w:pPr>
        <w:spacing w:after="0" w:line="240" w:lineRule="auto"/>
        <w:jc w:val="both"/>
        <w:rPr>
          <w:rFonts w:ascii="Verdana" w:hAnsi="Verdana" w:cs="Arial"/>
          <w:b/>
          <w:bCs/>
          <w:color w:val="000000"/>
          <w:lang w:val="es-ES"/>
        </w:rPr>
      </w:pPr>
    </w:p>
    <w:p w14:paraId="24D60810" w14:textId="77777777" w:rsidR="00ED5114" w:rsidRDefault="00ED5114" w:rsidP="00F2171E">
      <w:pPr>
        <w:spacing w:after="0" w:line="240" w:lineRule="auto"/>
        <w:jc w:val="both"/>
        <w:rPr>
          <w:rFonts w:ascii="Verdana" w:hAnsi="Verdana" w:cs="Arial"/>
          <w:b/>
          <w:bCs/>
          <w:color w:val="000000"/>
          <w:lang w:val="es-ES"/>
        </w:rPr>
      </w:pPr>
    </w:p>
    <w:p w14:paraId="1612FBFD" w14:textId="77777777" w:rsidR="00ED5114" w:rsidRDefault="00ED5114" w:rsidP="00F2171E">
      <w:pPr>
        <w:spacing w:after="0" w:line="240" w:lineRule="auto"/>
        <w:jc w:val="both"/>
        <w:rPr>
          <w:rFonts w:ascii="Verdana" w:hAnsi="Verdana" w:cs="Arial"/>
          <w:b/>
          <w:bCs/>
          <w:color w:val="000000"/>
          <w:lang w:val="es-ES"/>
        </w:rPr>
      </w:pPr>
    </w:p>
    <w:p w14:paraId="1D3C410D" w14:textId="77777777" w:rsidR="00ED5114" w:rsidRDefault="00ED5114" w:rsidP="00F2171E">
      <w:pPr>
        <w:spacing w:after="0" w:line="240" w:lineRule="auto"/>
        <w:jc w:val="both"/>
        <w:rPr>
          <w:rFonts w:ascii="Verdana" w:hAnsi="Verdana" w:cs="Arial"/>
          <w:b/>
          <w:bCs/>
          <w:color w:val="000000"/>
          <w:lang w:val="es-ES"/>
        </w:rPr>
      </w:pPr>
    </w:p>
    <w:p w14:paraId="102AD598" w14:textId="77777777" w:rsidR="00ED5114" w:rsidRDefault="00ED5114" w:rsidP="00F2171E">
      <w:pPr>
        <w:spacing w:after="0" w:line="240" w:lineRule="auto"/>
        <w:jc w:val="both"/>
        <w:rPr>
          <w:rFonts w:ascii="Verdana" w:hAnsi="Verdana" w:cs="Arial"/>
          <w:b/>
          <w:bCs/>
          <w:color w:val="000000"/>
          <w:lang w:val="es-ES"/>
        </w:rPr>
      </w:pPr>
    </w:p>
    <w:p w14:paraId="75DE1AC8" w14:textId="77777777" w:rsidR="00ED5114" w:rsidRDefault="00ED5114" w:rsidP="00F2171E">
      <w:pPr>
        <w:spacing w:after="0" w:line="240" w:lineRule="auto"/>
        <w:jc w:val="both"/>
        <w:rPr>
          <w:rFonts w:ascii="Verdana" w:hAnsi="Verdana" w:cs="Arial"/>
          <w:b/>
          <w:bCs/>
          <w:color w:val="000000"/>
          <w:lang w:val="es-ES"/>
        </w:rPr>
      </w:pPr>
    </w:p>
    <w:p w14:paraId="461A0110" w14:textId="77777777" w:rsidR="00ED5114" w:rsidRDefault="00ED5114" w:rsidP="00F2171E">
      <w:pPr>
        <w:spacing w:after="0" w:line="240" w:lineRule="auto"/>
        <w:jc w:val="both"/>
        <w:rPr>
          <w:rFonts w:ascii="Verdana" w:hAnsi="Verdana" w:cs="Arial"/>
          <w:b/>
          <w:bCs/>
          <w:color w:val="000000"/>
          <w:lang w:val="es-ES"/>
        </w:rPr>
      </w:pPr>
    </w:p>
    <w:p w14:paraId="31454C6A" w14:textId="77777777" w:rsidR="00ED5114" w:rsidRDefault="00ED5114" w:rsidP="00F2171E">
      <w:pPr>
        <w:spacing w:after="0" w:line="240" w:lineRule="auto"/>
        <w:jc w:val="both"/>
        <w:rPr>
          <w:rFonts w:ascii="Verdana" w:hAnsi="Verdana" w:cs="Arial"/>
          <w:b/>
          <w:bCs/>
          <w:color w:val="000000"/>
          <w:lang w:val="es-ES"/>
        </w:rPr>
      </w:pPr>
    </w:p>
    <w:p w14:paraId="45A3983F" w14:textId="77777777" w:rsidR="00ED5114" w:rsidRDefault="00ED5114" w:rsidP="00F2171E">
      <w:pPr>
        <w:spacing w:after="0" w:line="240" w:lineRule="auto"/>
        <w:jc w:val="both"/>
        <w:rPr>
          <w:rFonts w:ascii="Verdana" w:hAnsi="Verdana" w:cs="Arial"/>
          <w:b/>
          <w:bCs/>
          <w:color w:val="000000"/>
          <w:lang w:val="es-ES"/>
        </w:rPr>
      </w:pPr>
    </w:p>
    <w:p w14:paraId="1B474982" w14:textId="77777777" w:rsidR="00ED5114" w:rsidRDefault="00ED5114" w:rsidP="00F2171E">
      <w:pPr>
        <w:spacing w:after="0" w:line="240" w:lineRule="auto"/>
        <w:jc w:val="both"/>
        <w:rPr>
          <w:rFonts w:ascii="Verdana" w:hAnsi="Verdana" w:cs="Arial"/>
          <w:b/>
          <w:bCs/>
          <w:color w:val="000000"/>
          <w:lang w:val="es-ES"/>
        </w:rPr>
      </w:pPr>
    </w:p>
    <w:p w14:paraId="4041C9C9" w14:textId="77777777" w:rsidR="00ED5114" w:rsidRDefault="00ED5114" w:rsidP="00F2171E">
      <w:pPr>
        <w:spacing w:after="0" w:line="240" w:lineRule="auto"/>
        <w:jc w:val="both"/>
        <w:rPr>
          <w:rFonts w:ascii="Verdana" w:hAnsi="Verdana" w:cs="Arial"/>
          <w:b/>
          <w:bCs/>
          <w:color w:val="000000"/>
          <w:lang w:val="es-ES"/>
        </w:rPr>
      </w:pPr>
    </w:p>
    <w:p w14:paraId="574C6B17" w14:textId="77777777" w:rsidR="00ED5114" w:rsidRDefault="00ED5114" w:rsidP="00F2171E">
      <w:pPr>
        <w:spacing w:after="0" w:line="240" w:lineRule="auto"/>
        <w:jc w:val="both"/>
        <w:rPr>
          <w:rFonts w:ascii="Verdana" w:hAnsi="Verdana" w:cs="Arial"/>
          <w:b/>
          <w:bCs/>
          <w:color w:val="000000"/>
          <w:lang w:val="es-ES"/>
        </w:rPr>
      </w:pPr>
    </w:p>
    <w:p w14:paraId="2AA23CA9" w14:textId="77777777" w:rsidR="00ED5114" w:rsidRDefault="00ED5114" w:rsidP="00F2171E">
      <w:pPr>
        <w:spacing w:after="0" w:line="240" w:lineRule="auto"/>
        <w:jc w:val="both"/>
        <w:rPr>
          <w:rFonts w:ascii="Verdana" w:hAnsi="Verdana" w:cs="Arial"/>
          <w:b/>
          <w:bCs/>
          <w:color w:val="000000"/>
          <w:lang w:val="es-ES"/>
        </w:rPr>
      </w:pPr>
    </w:p>
    <w:p w14:paraId="2255B241" w14:textId="77777777" w:rsidR="00ED5114" w:rsidRDefault="00ED5114" w:rsidP="00F2171E">
      <w:pPr>
        <w:spacing w:after="0" w:line="240" w:lineRule="auto"/>
        <w:jc w:val="both"/>
        <w:rPr>
          <w:rFonts w:ascii="Verdana" w:hAnsi="Verdana" w:cs="Arial"/>
          <w:b/>
          <w:bCs/>
          <w:color w:val="000000"/>
          <w:lang w:val="es-ES"/>
        </w:rPr>
      </w:pPr>
    </w:p>
    <w:p w14:paraId="4EC711FE" w14:textId="77777777" w:rsidR="00ED5114" w:rsidRDefault="00ED5114" w:rsidP="00F2171E">
      <w:pPr>
        <w:spacing w:after="0" w:line="240" w:lineRule="auto"/>
        <w:jc w:val="both"/>
        <w:rPr>
          <w:rFonts w:ascii="Verdana" w:hAnsi="Verdana" w:cs="Arial"/>
          <w:b/>
          <w:bCs/>
          <w:color w:val="000000"/>
          <w:lang w:val="es-ES"/>
        </w:rPr>
      </w:pPr>
    </w:p>
    <w:p w14:paraId="0CE33CAD" w14:textId="77777777" w:rsidR="00ED5114" w:rsidRDefault="00ED5114" w:rsidP="00F2171E">
      <w:pPr>
        <w:spacing w:after="0" w:line="240" w:lineRule="auto"/>
        <w:jc w:val="both"/>
        <w:rPr>
          <w:rFonts w:ascii="Verdana" w:hAnsi="Verdana" w:cs="Arial"/>
          <w:b/>
          <w:bCs/>
          <w:color w:val="000000"/>
          <w:lang w:val="es-ES"/>
        </w:rPr>
      </w:pPr>
    </w:p>
    <w:p w14:paraId="5902048C" w14:textId="77777777" w:rsidR="00ED5114" w:rsidRDefault="00ED5114" w:rsidP="00F2171E">
      <w:pPr>
        <w:spacing w:after="0" w:line="240" w:lineRule="auto"/>
        <w:jc w:val="both"/>
        <w:rPr>
          <w:rFonts w:ascii="Verdana" w:hAnsi="Verdana" w:cs="Arial"/>
          <w:b/>
          <w:bCs/>
          <w:color w:val="000000"/>
          <w:lang w:val="es-ES"/>
        </w:rPr>
      </w:pPr>
    </w:p>
    <w:p w14:paraId="5ABFE6AD" w14:textId="77777777" w:rsidR="00ED5114" w:rsidRDefault="00ED5114" w:rsidP="00F2171E">
      <w:pPr>
        <w:spacing w:after="0" w:line="240" w:lineRule="auto"/>
        <w:jc w:val="both"/>
        <w:rPr>
          <w:rFonts w:ascii="Verdana" w:hAnsi="Verdana" w:cs="Arial"/>
          <w:b/>
          <w:bCs/>
          <w:color w:val="000000"/>
          <w:lang w:val="es-ES"/>
        </w:rPr>
      </w:pPr>
    </w:p>
    <w:p w14:paraId="43709AB6" w14:textId="77777777" w:rsidR="00ED5114" w:rsidRDefault="00ED5114" w:rsidP="00F2171E">
      <w:pPr>
        <w:spacing w:after="0" w:line="240" w:lineRule="auto"/>
        <w:jc w:val="both"/>
        <w:rPr>
          <w:rFonts w:ascii="Verdana" w:hAnsi="Verdana" w:cs="Arial"/>
          <w:b/>
          <w:bCs/>
          <w:color w:val="000000"/>
          <w:lang w:val="es-ES"/>
        </w:rPr>
      </w:pPr>
    </w:p>
    <w:p w14:paraId="666E8D36" w14:textId="77777777" w:rsidR="00ED5114" w:rsidRDefault="00ED5114" w:rsidP="00F2171E">
      <w:pPr>
        <w:spacing w:after="0" w:line="240" w:lineRule="auto"/>
        <w:jc w:val="both"/>
        <w:rPr>
          <w:rFonts w:ascii="Verdana" w:hAnsi="Verdana" w:cs="Arial"/>
          <w:b/>
          <w:bCs/>
          <w:color w:val="000000"/>
          <w:lang w:val="es-ES"/>
        </w:rPr>
      </w:pPr>
    </w:p>
    <w:p w14:paraId="4E7EF87B" w14:textId="77777777" w:rsidR="00ED5114" w:rsidRDefault="00ED5114" w:rsidP="00F2171E">
      <w:pPr>
        <w:spacing w:after="0" w:line="240" w:lineRule="auto"/>
        <w:jc w:val="both"/>
        <w:rPr>
          <w:rFonts w:ascii="Verdana" w:hAnsi="Verdana" w:cs="Arial"/>
          <w:b/>
          <w:bCs/>
          <w:color w:val="000000"/>
          <w:lang w:val="es-ES"/>
        </w:rPr>
      </w:pPr>
    </w:p>
    <w:p w14:paraId="02EAEFDA" w14:textId="77777777" w:rsidR="00ED5114" w:rsidRDefault="00ED5114" w:rsidP="00F2171E">
      <w:pPr>
        <w:spacing w:after="0" w:line="240" w:lineRule="auto"/>
        <w:jc w:val="both"/>
        <w:rPr>
          <w:rFonts w:ascii="Verdana" w:hAnsi="Verdana" w:cs="Arial"/>
          <w:b/>
          <w:bCs/>
          <w:color w:val="000000"/>
          <w:lang w:val="es-ES"/>
        </w:rPr>
      </w:pPr>
    </w:p>
    <w:p w14:paraId="46335180" w14:textId="77777777" w:rsidR="00ED5114" w:rsidRDefault="00ED5114" w:rsidP="00F2171E">
      <w:pPr>
        <w:spacing w:after="0" w:line="240" w:lineRule="auto"/>
        <w:jc w:val="both"/>
        <w:rPr>
          <w:rFonts w:ascii="Verdana" w:hAnsi="Verdana" w:cs="Arial"/>
          <w:b/>
          <w:bCs/>
          <w:color w:val="000000"/>
          <w:lang w:val="es-ES"/>
        </w:rPr>
      </w:pPr>
    </w:p>
    <w:p w14:paraId="28824F11" w14:textId="77777777" w:rsidR="00ED5114" w:rsidRDefault="00ED5114" w:rsidP="00F2171E">
      <w:pPr>
        <w:spacing w:after="0" w:line="240" w:lineRule="auto"/>
        <w:jc w:val="both"/>
        <w:rPr>
          <w:rFonts w:ascii="Verdana" w:hAnsi="Verdana" w:cs="Arial"/>
          <w:b/>
          <w:bCs/>
          <w:color w:val="000000"/>
          <w:lang w:val="es-ES"/>
        </w:rPr>
      </w:pPr>
    </w:p>
    <w:p w14:paraId="2A643789" w14:textId="77777777" w:rsidR="00ED5114" w:rsidRDefault="00ED5114" w:rsidP="00F2171E">
      <w:pPr>
        <w:spacing w:after="0" w:line="240" w:lineRule="auto"/>
        <w:jc w:val="both"/>
        <w:rPr>
          <w:rFonts w:ascii="Verdana" w:hAnsi="Verdana" w:cs="Arial"/>
          <w:b/>
          <w:bCs/>
          <w:color w:val="000000"/>
          <w:lang w:val="es-ES"/>
        </w:rPr>
      </w:pPr>
    </w:p>
    <w:p w14:paraId="35B023FA" w14:textId="77777777" w:rsidR="00ED5114" w:rsidRDefault="00ED5114" w:rsidP="00F2171E">
      <w:pPr>
        <w:spacing w:after="0" w:line="240" w:lineRule="auto"/>
        <w:jc w:val="both"/>
        <w:rPr>
          <w:rFonts w:ascii="Verdana" w:hAnsi="Verdana" w:cs="Arial"/>
          <w:b/>
          <w:bCs/>
          <w:color w:val="000000"/>
          <w:lang w:val="es-ES"/>
        </w:rPr>
      </w:pPr>
    </w:p>
    <w:p w14:paraId="43DCBFA4" w14:textId="77777777" w:rsidR="00ED5114" w:rsidRDefault="00ED5114" w:rsidP="00F2171E">
      <w:pPr>
        <w:spacing w:after="0" w:line="240" w:lineRule="auto"/>
        <w:jc w:val="both"/>
        <w:rPr>
          <w:rFonts w:ascii="Verdana" w:hAnsi="Verdana" w:cs="Arial"/>
          <w:b/>
          <w:bCs/>
          <w:color w:val="000000"/>
          <w:lang w:val="es-ES"/>
        </w:rPr>
      </w:pPr>
    </w:p>
    <w:p w14:paraId="4A3533A7" w14:textId="77777777" w:rsidR="00ED5114" w:rsidRDefault="00ED5114" w:rsidP="00F2171E">
      <w:pPr>
        <w:spacing w:after="0" w:line="240" w:lineRule="auto"/>
        <w:jc w:val="both"/>
        <w:rPr>
          <w:rFonts w:ascii="Verdana" w:hAnsi="Verdana" w:cs="Arial"/>
          <w:b/>
          <w:bCs/>
          <w:color w:val="000000"/>
          <w:lang w:val="es-ES"/>
        </w:rPr>
      </w:pPr>
    </w:p>
    <w:p w14:paraId="2E695995" w14:textId="77777777" w:rsidR="00ED5114" w:rsidRDefault="00ED5114" w:rsidP="00F2171E">
      <w:pPr>
        <w:spacing w:after="0" w:line="240" w:lineRule="auto"/>
        <w:jc w:val="both"/>
        <w:rPr>
          <w:rFonts w:ascii="Verdana" w:hAnsi="Verdana" w:cs="Arial"/>
          <w:b/>
          <w:bCs/>
          <w:color w:val="000000"/>
          <w:lang w:val="es-ES"/>
        </w:rPr>
      </w:pPr>
    </w:p>
    <w:p w14:paraId="4A8C9E60" w14:textId="77777777" w:rsidR="00ED5114" w:rsidRDefault="00ED5114" w:rsidP="00F2171E">
      <w:pPr>
        <w:spacing w:after="0" w:line="240" w:lineRule="auto"/>
        <w:jc w:val="both"/>
        <w:rPr>
          <w:rFonts w:ascii="Verdana" w:hAnsi="Verdana" w:cs="Arial"/>
          <w:b/>
          <w:bCs/>
          <w:color w:val="000000"/>
          <w:lang w:val="es-ES"/>
        </w:rPr>
      </w:pPr>
    </w:p>
    <w:p w14:paraId="48E9E006" w14:textId="77777777" w:rsidR="00753FDA" w:rsidRDefault="00753FDA" w:rsidP="00F2171E">
      <w:pPr>
        <w:spacing w:after="0" w:line="240" w:lineRule="auto"/>
        <w:jc w:val="both"/>
        <w:rPr>
          <w:rFonts w:ascii="Verdana" w:eastAsia="Geomanist Light" w:hAnsi="Verdana" w:cs="Arial"/>
          <w:color w:val="000000" w:themeColor="text1"/>
          <w:lang w:val="es-MX"/>
        </w:rPr>
      </w:pPr>
    </w:p>
    <w:p w14:paraId="0132AC3D" w14:textId="03C63B83" w:rsidR="00F2171E" w:rsidRDefault="00F2171E" w:rsidP="00F2171E">
      <w:pPr>
        <w:spacing w:after="0" w:line="240" w:lineRule="auto"/>
        <w:jc w:val="both"/>
        <w:rPr>
          <w:rFonts w:ascii="Verdana" w:eastAsia="Calibri" w:hAnsi="Verdana" w:cs="Arial"/>
          <w:color w:val="000000"/>
          <w:lang w:val="es-ES"/>
        </w:rPr>
      </w:pPr>
      <w:r w:rsidRPr="00BF7921">
        <w:rPr>
          <w:rFonts w:ascii="Verdana" w:eastAsia="Geomanist Light" w:hAnsi="Verdana" w:cs="Arial"/>
          <w:color w:val="000000" w:themeColor="text1"/>
          <w:lang w:val="es-MX"/>
        </w:rPr>
        <w:lastRenderedPageBreak/>
        <w:t xml:space="preserve">Bogotá D.C., </w:t>
      </w:r>
      <w:r w:rsidR="000B510D">
        <w:rPr>
          <w:rFonts w:ascii="Verdana" w:eastAsia="Geomanist Light" w:hAnsi="Verdana" w:cs="Arial"/>
          <w:color w:val="000000" w:themeColor="text1"/>
          <w:lang w:val="es-MX"/>
        </w:rPr>
        <w:t>19 de octubre de 2026</w:t>
      </w:r>
    </w:p>
    <w:p w14:paraId="100657D6" w14:textId="77777777" w:rsidR="00F2171E" w:rsidRDefault="00F2171E" w:rsidP="00F2171E">
      <w:pPr>
        <w:spacing w:after="0" w:line="240" w:lineRule="auto"/>
        <w:rPr>
          <w:rFonts w:ascii="Verdana" w:eastAsia="Verdana" w:hAnsi="Verdana" w:cs="Verdana"/>
        </w:rPr>
      </w:pPr>
    </w:p>
    <w:p w14:paraId="5E645EA5" w14:textId="21F199EC" w:rsidR="00F2171E" w:rsidRDefault="00F2171E" w:rsidP="000B510D">
      <w:pPr>
        <w:spacing w:after="0" w:line="240" w:lineRule="auto"/>
        <w:jc w:val="right"/>
        <w:rPr>
          <w:rFonts w:ascii="Verdana" w:hAnsi="Verdana"/>
        </w:rPr>
      </w:pPr>
    </w:p>
    <w:p w14:paraId="4B8FC43C" w14:textId="10252762" w:rsidR="00F2171E" w:rsidRPr="002B4BE9" w:rsidRDefault="00F2171E" w:rsidP="00F2171E">
      <w:pPr>
        <w:spacing w:after="0" w:line="240" w:lineRule="auto"/>
        <w:rPr>
          <w:rFonts w:ascii="Verdana" w:hAnsi="Verdana"/>
        </w:rPr>
      </w:pPr>
    </w:p>
    <w:p w14:paraId="6567FD53" w14:textId="4CAAA5AF" w:rsidR="00F2171E" w:rsidRPr="00524422" w:rsidRDefault="00EB3B9D" w:rsidP="00F2171E">
      <w:pPr>
        <w:spacing w:after="0" w:line="240" w:lineRule="auto"/>
        <w:rPr>
          <w:rFonts w:ascii="Verdana" w:eastAsia="Calibri" w:hAnsi="Verdana" w:cs="Times New Roman"/>
          <w:lang w:val="es-MX"/>
        </w:rPr>
      </w:pPr>
      <w:r w:rsidRPr="000B510D">
        <w:rPr>
          <w:rFonts w:ascii="Verdana" w:hAnsi="Verdana"/>
          <w:noProof/>
        </w:rPr>
        <w:drawing>
          <wp:anchor distT="0" distB="0" distL="114300" distR="114300" simplePos="0" relativeHeight="251658240" behindDoc="0" locked="0" layoutInCell="1" allowOverlap="1" wp14:anchorId="2BAE775A" wp14:editId="0E30CD44">
            <wp:simplePos x="0" y="0"/>
            <wp:positionH relativeFrom="margin">
              <wp:posOffset>2943225</wp:posOffset>
            </wp:positionH>
            <wp:positionV relativeFrom="paragraph">
              <wp:posOffset>6350</wp:posOffset>
            </wp:positionV>
            <wp:extent cx="2658110" cy="795020"/>
            <wp:effectExtent l="0" t="0" r="8890" b="5080"/>
            <wp:wrapSquare wrapText="bothSides"/>
            <wp:docPr id="21464062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406212" name=""/>
                    <pic:cNvPicPr/>
                  </pic:nvPicPr>
                  <pic:blipFill>
                    <a:blip r:embed="rId11">
                      <a:extLst>
                        <a:ext uri="{28A0092B-C50C-407E-A947-70E740481C1C}">
                          <a14:useLocalDpi xmlns:a14="http://schemas.microsoft.com/office/drawing/2010/main" val="0"/>
                        </a:ext>
                      </a:extLst>
                    </a:blip>
                    <a:stretch>
                      <a:fillRect/>
                    </a:stretch>
                  </pic:blipFill>
                  <pic:spPr>
                    <a:xfrm>
                      <a:off x="0" y="0"/>
                      <a:ext cx="2658110" cy="795020"/>
                    </a:xfrm>
                    <a:prstGeom prst="rect">
                      <a:avLst/>
                    </a:prstGeom>
                  </pic:spPr>
                </pic:pic>
              </a:graphicData>
            </a:graphic>
            <wp14:sizeRelH relativeFrom="margin">
              <wp14:pctWidth>0</wp14:pctWidth>
            </wp14:sizeRelH>
            <wp14:sizeRelV relativeFrom="margin">
              <wp14:pctHeight>0</wp14:pctHeight>
            </wp14:sizeRelV>
          </wp:anchor>
        </w:drawing>
      </w:r>
      <w:r w:rsidR="00F2171E" w:rsidRPr="00524422">
        <w:rPr>
          <w:rFonts w:ascii="Verdana" w:eastAsia="Calibri" w:hAnsi="Verdana" w:cs="Times New Roman"/>
          <w:lang w:val="es-MX"/>
        </w:rPr>
        <w:t>Señora</w:t>
      </w:r>
    </w:p>
    <w:p w14:paraId="616E3696" w14:textId="77777777" w:rsidR="00F2171E" w:rsidRPr="00ED5114" w:rsidRDefault="00F2171E" w:rsidP="00F2171E">
      <w:pPr>
        <w:spacing w:after="0" w:line="240" w:lineRule="auto"/>
        <w:rPr>
          <w:rFonts w:ascii="Verdana" w:eastAsia="Calibri" w:hAnsi="Verdana" w:cs="Times New Roman"/>
          <w:b/>
          <w:bCs/>
          <w:lang w:val="es-MX"/>
        </w:rPr>
      </w:pPr>
      <w:r w:rsidRPr="00ED5114">
        <w:rPr>
          <w:rFonts w:ascii="Verdana" w:eastAsia="Calibri" w:hAnsi="Verdana" w:cs="Times New Roman"/>
          <w:b/>
          <w:bCs/>
          <w:lang w:val="es-MX"/>
        </w:rPr>
        <w:t>BRENDA MELISA PINEDA LARIOS</w:t>
      </w:r>
    </w:p>
    <w:p w14:paraId="5C3105BC" w14:textId="77777777" w:rsidR="00F2171E" w:rsidRPr="00524422" w:rsidRDefault="00F2171E" w:rsidP="00F2171E">
      <w:pPr>
        <w:spacing w:after="0" w:line="240" w:lineRule="auto"/>
        <w:rPr>
          <w:rFonts w:ascii="Verdana" w:eastAsia="Calibri" w:hAnsi="Verdana" w:cs="Times New Roman"/>
          <w:lang w:val="es-MX"/>
        </w:rPr>
      </w:pPr>
      <w:r w:rsidRPr="00524422">
        <w:rPr>
          <w:rFonts w:ascii="Verdana" w:eastAsia="Calibri" w:hAnsi="Verdana" w:cs="Times New Roman"/>
          <w:lang w:val="es-MX"/>
        </w:rPr>
        <w:t>abogadapinedab@gmail.com</w:t>
      </w:r>
    </w:p>
    <w:p w14:paraId="5FB5F70E" w14:textId="77777777" w:rsidR="00F2171E" w:rsidRPr="00524422" w:rsidRDefault="00F2171E" w:rsidP="00F2171E">
      <w:pPr>
        <w:spacing w:after="0" w:line="240" w:lineRule="auto"/>
        <w:rPr>
          <w:rFonts w:ascii="Verdana" w:eastAsia="Calibri" w:hAnsi="Verdana" w:cs="Times New Roman"/>
          <w:lang w:val="es-MX"/>
        </w:rPr>
      </w:pPr>
      <w:r w:rsidRPr="00524422">
        <w:rPr>
          <w:rFonts w:ascii="Verdana" w:eastAsia="Calibri" w:hAnsi="Verdana" w:cs="Times New Roman"/>
          <w:lang w:val="es-MX"/>
        </w:rPr>
        <w:t>Guaranda, Sucre</w:t>
      </w:r>
    </w:p>
    <w:p w14:paraId="62D3B44B" w14:textId="77777777" w:rsidR="00F2171E" w:rsidRPr="002B4BE9" w:rsidRDefault="00F2171E" w:rsidP="00F2171E">
      <w:pPr>
        <w:spacing w:after="0" w:line="240" w:lineRule="auto"/>
        <w:rPr>
          <w:rFonts w:ascii="Verdana" w:eastAsia="Calibri" w:hAnsi="Verdana" w:cs="Times New Roman"/>
        </w:rPr>
      </w:pPr>
    </w:p>
    <w:p w14:paraId="6EB883C6" w14:textId="77777777" w:rsidR="00F2171E" w:rsidRPr="002B4BE9" w:rsidRDefault="00F2171E" w:rsidP="00F2171E">
      <w:pPr>
        <w:spacing w:after="0" w:line="240" w:lineRule="auto"/>
        <w:rPr>
          <w:rFonts w:ascii="Verdana" w:eastAsia="Calibri" w:hAnsi="Verdana" w:cs="Times New Roman"/>
        </w:rPr>
      </w:pPr>
    </w:p>
    <w:p w14:paraId="37A43DAA" w14:textId="79CC1E03" w:rsidR="00F2171E" w:rsidRPr="002B4BE9" w:rsidRDefault="00FD0145" w:rsidP="00ED5114">
      <w:pPr>
        <w:spacing w:after="0" w:line="240" w:lineRule="auto"/>
        <w:ind w:left="2124"/>
        <w:rPr>
          <w:rFonts w:ascii="Verdana" w:eastAsia="Calibri" w:hAnsi="Verdana" w:cs="Times New Roman"/>
          <w:b/>
          <w:bCs/>
          <w:lang w:val="es-ES"/>
        </w:rPr>
      </w:pPr>
      <w:r>
        <w:rPr>
          <w:rFonts w:ascii="Verdana" w:eastAsia="Calibri" w:hAnsi="Verdana" w:cs="Times New Roman"/>
          <w:b/>
          <w:bCs/>
          <w:lang w:val="es-ES"/>
        </w:rPr>
        <w:t xml:space="preserve">       </w:t>
      </w:r>
      <w:r w:rsidR="00F2171E" w:rsidRPr="002B4BE9">
        <w:rPr>
          <w:rFonts w:ascii="Verdana" w:eastAsia="Calibri" w:hAnsi="Verdana" w:cs="Times New Roman"/>
          <w:b/>
          <w:bCs/>
          <w:lang w:val="es-ES"/>
        </w:rPr>
        <w:t>Concepto C</w:t>
      </w:r>
      <w:r w:rsidR="00EB3B9D">
        <w:rPr>
          <w:rFonts w:ascii="Verdana" w:eastAsia="Calibri" w:hAnsi="Verdana" w:cs="Times New Roman"/>
          <w:b/>
          <w:bCs/>
          <w:lang w:val="es-ES"/>
        </w:rPr>
        <w:t>-</w:t>
      </w:r>
      <w:r w:rsidR="00ED5114" w:rsidRPr="00ED5114">
        <w:rPr>
          <w:rFonts w:ascii="Verdana" w:eastAsia="Calibri" w:hAnsi="Verdana" w:cs="Times New Roman"/>
          <w:b/>
          <w:bCs/>
          <w:lang w:val="es-ES"/>
        </w:rPr>
        <w:t>1417</w:t>
      </w:r>
      <w:r w:rsidR="00F2171E" w:rsidRPr="002B4BE9">
        <w:rPr>
          <w:rFonts w:ascii="Verdana" w:eastAsia="Calibri" w:hAnsi="Verdana" w:cs="Times New Roman"/>
          <w:b/>
          <w:bCs/>
          <w:lang w:val="es-ES"/>
        </w:rPr>
        <w:t xml:space="preserve"> de 2026</w:t>
      </w:r>
    </w:p>
    <w:p w14:paraId="32DE6A77" w14:textId="77777777" w:rsidR="00F2171E" w:rsidRPr="002B4BE9" w:rsidRDefault="00F2171E" w:rsidP="00F2171E">
      <w:pPr>
        <w:spacing w:after="0" w:line="240" w:lineRule="auto"/>
        <w:rPr>
          <w:rFonts w:ascii="Verdana" w:eastAsia="Calibri" w:hAnsi="Verdana" w:cs="Times New Roman"/>
          <w:lang w:val="es-ES_tradnl"/>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F2171E" w:rsidRPr="002B4BE9" w14:paraId="1FADFF50" w14:textId="77777777" w:rsidTr="002002AD">
        <w:trPr>
          <w:trHeight w:val="645"/>
        </w:trPr>
        <w:tc>
          <w:tcPr>
            <w:tcW w:w="2685" w:type="dxa"/>
            <w:hideMark/>
          </w:tcPr>
          <w:p w14:paraId="19A72A8E" w14:textId="77777777" w:rsidR="00F2171E" w:rsidRPr="00403388" w:rsidRDefault="00F2171E" w:rsidP="002002AD">
            <w:pPr>
              <w:rPr>
                <w:rFonts w:ascii="Verdana" w:hAnsi="Verdana"/>
                <w:b/>
                <w:bCs/>
                <w:lang w:val="es-ES_tradnl"/>
              </w:rPr>
            </w:pPr>
            <w:r w:rsidRPr="00403388">
              <w:rPr>
                <w:rFonts w:ascii="Verdana" w:hAnsi="Verdana"/>
                <w:b/>
                <w:bCs/>
                <w:lang w:val="es-ES_tradnl"/>
              </w:rPr>
              <w:t xml:space="preserve">Temas:                  </w:t>
            </w:r>
          </w:p>
        </w:tc>
        <w:tc>
          <w:tcPr>
            <w:tcW w:w="6241" w:type="dxa"/>
            <w:hideMark/>
          </w:tcPr>
          <w:p w14:paraId="3D183C76" w14:textId="77777777" w:rsidR="00F2171E" w:rsidRPr="00403388" w:rsidRDefault="00F2171E" w:rsidP="002002AD">
            <w:pPr>
              <w:spacing w:line="276" w:lineRule="auto"/>
              <w:jc w:val="both"/>
              <w:rPr>
                <w:rFonts w:ascii="Verdana" w:hAnsi="Verdana" w:cs="Arial"/>
                <w:lang w:val="es-ES" w:eastAsia="es-ES"/>
              </w:rPr>
            </w:pPr>
            <w:r w:rsidRPr="001B49B3">
              <w:rPr>
                <w:rFonts w:ascii="Verdana" w:hAnsi="Verdana" w:cs="Arial"/>
                <w:bCs/>
                <w:color w:val="000000"/>
                <w:lang w:val="es-ES"/>
              </w:rPr>
              <w:t>CESIÓN DEL CONTRATO ESTATAL – Noción – Sujetos – Exigencia de un tercero / CESIÓN DEL CONTRATO ESTATAL – Artículo 41 de la Ley 80 de 1993 – Prohibición general y autorización excepcional / CESIÓN – Integrantes de consorcio o unión temporal – Prohibición – Artículo 9 de la Ley 80 de 1993 / PROHIBICIÓN DE CESIÓN ENTRE INTEGRANTES – Alcance – Carácter general / CESIÓN DE LA PARTICIPACIÓN – Procedencia – Cesión externa – Autorización previa y escrita / INHABILIDAD SOBREVINIENTE – Integrante de estructura plural – Cesión forzosa – Improcedencia de la renuncia / INHABILIDAD SOBREVINIENTE – Régimen especial – Parágrafo 1 del artículo 9 – Ley 2014 de 2019 / MODIFICACIÓN DEL ACUERDO DE LA ESTRUCTURA PLURAL – Distinción con la cesión – Consentimiento previo de la entidad</w:t>
            </w:r>
          </w:p>
        </w:tc>
        <w:tc>
          <w:tcPr>
            <w:tcW w:w="6237" w:type="dxa"/>
          </w:tcPr>
          <w:p w14:paraId="65D46184" w14:textId="77777777" w:rsidR="00F2171E" w:rsidRPr="002B4BE9" w:rsidRDefault="00F2171E" w:rsidP="002002AD">
            <w:pPr>
              <w:rPr>
                <w:rFonts w:ascii="Verdana" w:hAnsi="Verdana"/>
                <w:lang w:val="es-ES"/>
              </w:rPr>
            </w:pPr>
          </w:p>
        </w:tc>
      </w:tr>
      <w:tr w:rsidR="00F2171E" w:rsidRPr="002B4BE9" w14:paraId="058E223A" w14:textId="77777777" w:rsidTr="002002AD">
        <w:tc>
          <w:tcPr>
            <w:tcW w:w="2685" w:type="dxa"/>
          </w:tcPr>
          <w:p w14:paraId="71286B4A" w14:textId="77777777" w:rsidR="00F2171E" w:rsidRPr="002B4BE9" w:rsidRDefault="00F2171E" w:rsidP="002002AD">
            <w:pPr>
              <w:rPr>
                <w:rFonts w:ascii="Verdana" w:hAnsi="Verdana"/>
                <w:b/>
                <w:bCs/>
                <w:lang w:val="es-ES_tradnl"/>
              </w:rPr>
            </w:pPr>
          </w:p>
          <w:p w14:paraId="36A8DDCF" w14:textId="5AD3AC5D" w:rsidR="00F2171E" w:rsidRPr="00995618" w:rsidRDefault="00F2171E" w:rsidP="002002AD">
            <w:pPr>
              <w:rPr>
                <w:rFonts w:ascii="Verdana" w:hAnsi="Verdana"/>
                <w:b/>
                <w:bCs/>
                <w:lang w:val="es-ES_tradnl"/>
              </w:rPr>
            </w:pPr>
            <w:r w:rsidRPr="002B4BE9">
              <w:rPr>
                <w:rFonts w:ascii="Verdana" w:hAnsi="Verdana"/>
                <w:b/>
                <w:bCs/>
                <w:lang w:val="es-ES_tradnl"/>
              </w:rPr>
              <w:t xml:space="preserve">Radicación:               </w:t>
            </w:r>
          </w:p>
        </w:tc>
        <w:tc>
          <w:tcPr>
            <w:tcW w:w="6241" w:type="dxa"/>
          </w:tcPr>
          <w:p w14:paraId="0343CB1C" w14:textId="77777777" w:rsidR="00753FDA" w:rsidRDefault="00753FDA" w:rsidP="002002AD">
            <w:pPr>
              <w:spacing w:line="276" w:lineRule="auto"/>
              <w:jc w:val="both"/>
              <w:rPr>
                <w:rFonts w:ascii="Verdana" w:hAnsi="Verdana"/>
              </w:rPr>
            </w:pPr>
          </w:p>
          <w:p w14:paraId="075225A5" w14:textId="61F661E5" w:rsidR="00F2171E" w:rsidRPr="00753FDA" w:rsidRDefault="00F2171E" w:rsidP="002002AD">
            <w:pPr>
              <w:spacing w:line="276" w:lineRule="auto"/>
              <w:jc w:val="both"/>
              <w:rPr>
                <w:rFonts w:ascii="Verdana" w:hAnsi="Verdana"/>
                <w:lang w:val="es-ES_tradnl"/>
              </w:rPr>
            </w:pPr>
            <w:r w:rsidRPr="00753FDA">
              <w:rPr>
                <w:rFonts w:ascii="Verdana" w:hAnsi="Verdana"/>
              </w:rPr>
              <w:t>Respuesta a consulta con radicado No. 1_2026_09_08_011987</w:t>
            </w:r>
            <w:r w:rsidR="00227F40">
              <w:rPr>
                <w:rFonts w:ascii="Verdana" w:hAnsi="Verdana"/>
              </w:rPr>
              <w:t xml:space="preserve"> acumulado con el radicado </w:t>
            </w:r>
            <w:r w:rsidR="00227F40" w:rsidRPr="00227F40">
              <w:rPr>
                <w:rFonts w:ascii="Verdana" w:hAnsi="Verdana"/>
              </w:rPr>
              <w:t>1_2026_09_08_011963</w:t>
            </w:r>
          </w:p>
        </w:tc>
        <w:tc>
          <w:tcPr>
            <w:tcW w:w="6237" w:type="dxa"/>
          </w:tcPr>
          <w:p w14:paraId="757ADD71" w14:textId="77777777" w:rsidR="00F2171E" w:rsidRPr="00753FDA" w:rsidRDefault="00F2171E" w:rsidP="002002AD">
            <w:pPr>
              <w:rPr>
                <w:rFonts w:ascii="Verdana" w:hAnsi="Verdana"/>
              </w:rPr>
            </w:pPr>
          </w:p>
        </w:tc>
      </w:tr>
    </w:tbl>
    <w:p w14:paraId="3EC83B6F" w14:textId="77777777" w:rsidR="00753FDA" w:rsidRDefault="00753FDA" w:rsidP="00F2171E">
      <w:pPr>
        <w:spacing w:after="0" w:line="276" w:lineRule="auto"/>
        <w:rPr>
          <w:rFonts w:ascii="Verdana" w:eastAsia="Calibri" w:hAnsi="Verdana" w:cs="Times New Roman"/>
          <w:lang w:val="es-ES"/>
        </w:rPr>
      </w:pPr>
    </w:p>
    <w:p w14:paraId="38C3CD62" w14:textId="7A80EB1A" w:rsidR="00F2171E" w:rsidRPr="009037F6" w:rsidRDefault="00F2171E" w:rsidP="00F2171E">
      <w:pPr>
        <w:spacing w:after="0" w:line="276" w:lineRule="auto"/>
        <w:rPr>
          <w:rFonts w:ascii="Verdana" w:eastAsia="Calibri" w:hAnsi="Verdana" w:cs="Times New Roman"/>
          <w:lang w:val="es-ES"/>
        </w:rPr>
      </w:pPr>
      <w:r>
        <w:rPr>
          <w:rFonts w:ascii="Verdana" w:eastAsia="Calibri" w:hAnsi="Verdana" w:cs="Times New Roman"/>
          <w:lang w:val="es-ES"/>
        </w:rPr>
        <w:t>Estimada señora Pineda:</w:t>
      </w:r>
    </w:p>
    <w:p w14:paraId="4AAAF8ED" w14:textId="77777777" w:rsidR="00F2171E" w:rsidRPr="009037F6" w:rsidRDefault="00F2171E" w:rsidP="00F2171E">
      <w:pPr>
        <w:spacing w:after="0" w:line="276" w:lineRule="auto"/>
        <w:rPr>
          <w:rFonts w:ascii="Verdana" w:eastAsia="Calibri" w:hAnsi="Verdana" w:cs="Times New Roman"/>
          <w:lang w:val="es-ES"/>
        </w:rPr>
      </w:pPr>
    </w:p>
    <w:p w14:paraId="1C1C6B26" w14:textId="77777777" w:rsidR="00F2171E" w:rsidRDefault="00F2171E" w:rsidP="00F2171E">
      <w:pPr>
        <w:spacing w:after="0" w:line="276" w:lineRule="auto"/>
        <w:jc w:val="both"/>
        <w:rPr>
          <w:rFonts w:ascii="Verdana" w:eastAsia="Calibri" w:hAnsi="Verdana" w:cs="Times New Roman"/>
          <w:bCs/>
          <w:lang w:bidi="es-ES"/>
        </w:rPr>
      </w:pPr>
      <w:r w:rsidRPr="009037F6">
        <w:rPr>
          <w:rFonts w:ascii="Verdana" w:eastAsia="Calibri" w:hAnsi="Verdana" w:cs="Times New Roman"/>
          <w:bCs/>
          <w:lang w:bidi="es-ES"/>
        </w:rPr>
        <w:t xml:space="preserve">La Agencia Nacional de Contratación Pública – Colombia Compra Eficiente –, en ejercicio de las competencias otorgadas por el numeral 5 del artículo 3 y el </w:t>
      </w:r>
      <w:r w:rsidRPr="009037F6">
        <w:rPr>
          <w:rFonts w:ascii="Verdana" w:eastAsia="Calibri" w:hAnsi="Verdana" w:cs="Times New Roman"/>
          <w:bCs/>
          <w:lang w:bidi="es-ES"/>
        </w:rPr>
        <w:lastRenderedPageBreak/>
        <w:t>numeral 8 del artículo 11 del Decreto Ley 4170 de 2011, así como lo establecido en la Resolución 469 de 2025 expedida por esta Entidad, responde su solicitud del 8 de septiembre de 2026, en la que formula los siguientes interrogantes sobre la cesión entre integrantes de un consorcio o unión temporal:</w:t>
      </w:r>
    </w:p>
    <w:p w14:paraId="7935D1EE" w14:textId="77777777" w:rsidR="00FD0145" w:rsidRDefault="00FD0145" w:rsidP="00F2171E">
      <w:pPr>
        <w:spacing w:after="0" w:line="276" w:lineRule="auto"/>
        <w:jc w:val="both"/>
        <w:rPr>
          <w:rFonts w:ascii="Verdana" w:eastAsia="Calibri" w:hAnsi="Verdana" w:cs="Times New Roman"/>
          <w:lang w:bidi="es-ES"/>
        </w:rPr>
      </w:pPr>
    </w:p>
    <w:p w14:paraId="09475C7C" w14:textId="77777777" w:rsidR="00F2171E" w:rsidRDefault="00F2171E" w:rsidP="00F2171E">
      <w:pPr>
        <w:tabs>
          <w:tab w:val="left" w:pos="709"/>
        </w:tabs>
        <w:spacing w:after="0" w:line="240" w:lineRule="auto"/>
        <w:ind w:left="709" w:right="709"/>
        <w:jc w:val="both"/>
        <w:rPr>
          <w:rFonts w:ascii="Verdana" w:hAnsi="Verdana" w:cs="Arial"/>
          <w:sz w:val="20"/>
          <w:szCs w:val="20"/>
          <w:lang w:val="es-ES" w:eastAsia="es-ES"/>
        </w:rPr>
      </w:pPr>
      <w:r w:rsidRPr="007972DD">
        <w:rPr>
          <w:rFonts w:ascii="Verdana" w:hAnsi="Verdana" w:cs="Arial"/>
          <w:sz w:val="20"/>
          <w:szCs w:val="20"/>
          <w:lang w:val="es-ES" w:eastAsia="es-ES"/>
        </w:rPr>
        <w:t>“PRIMERO. ¿Es posible que se realice una cesión entre integrantes de una Unión Temporal o por el contrario está prohibido por la Ley que se ceda la participación entre integrantes de una misma Unión Temporal y debe hacerse entre terceros diferentes a los integrantes, en materia de contratación estatal?</w:t>
      </w:r>
    </w:p>
    <w:p w14:paraId="11B3C60F" w14:textId="77777777" w:rsidR="00F2171E" w:rsidRPr="007972DD" w:rsidRDefault="00F2171E" w:rsidP="00F2171E">
      <w:pPr>
        <w:tabs>
          <w:tab w:val="left" w:pos="709"/>
        </w:tabs>
        <w:spacing w:after="0" w:line="240" w:lineRule="auto"/>
        <w:ind w:left="709" w:right="709"/>
        <w:jc w:val="both"/>
        <w:rPr>
          <w:rFonts w:ascii="Verdana" w:hAnsi="Verdana" w:cs="Arial"/>
          <w:sz w:val="20"/>
          <w:szCs w:val="20"/>
          <w:lang w:val="es-ES" w:eastAsia="es-ES"/>
        </w:rPr>
      </w:pPr>
    </w:p>
    <w:p w14:paraId="38C1EC17" w14:textId="77777777" w:rsidR="00F2171E" w:rsidRDefault="00F2171E" w:rsidP="00F2171E">
      <w:pPr>
        <w:tabs>
          <w:tab w:val="left" w:pos="709"/>
        </w:tabs>
        <w:spacing w:after="0" w:line="240" w:lineRule="auto"/>
        <w:ind w:left="709" w:right="709"/>
        <w:jc w:val="both"/>
        <w:rPr>
          <w:rFonts w:ascii="Verdana" w:hAnsi="Verdana" w:cs="Arial"/>
          <w:sz w:val="20"/>
          <w:szCs w:val="20"/>
          <w:lang w:val="es-ES" w:eastAsia="es-ES"/>
        </w:rPr>
      </w:pPr>
      <w:r w:rsidRPr="007972DD">
        <w:rPr>
          <w:rFonts w:ascii="Verdana" w:hAnsi="Verdana" w:cs="Arial"/>
          <w:sz w:val="20"/>
          <w:szCs w:val="20"/>
          <w:lang w:val="es-ES" w:eastAsia="es-ES"/>
        </w:rPr>
        <w:t>SEGUNDO. La prohibición prevista en el artículo 9 de la Ley 80 de 1993, esto es: “en ningún caso podrá haber cesión del contrato entre quienes integran el consorcio o unión temporal”, ¿opera única y exclusivamente cuando el objeto de la cesión se da por una inhabilidad e incompatibilidad sobreviniente sobre uno de los integrantes?</w:t>
      </w:r>
    </w:p>
    <w:p w14:paraId="028B0281" w14:textId="77777777" w:rsidR="00F2171E" w:rsidRPr="007972DD" w:rsidRDefault="00F2171E" w:rsidP="00F2171E">
      <w:pPr>
        <w:tabs>
          <w:tab w:val="left" w:pos="709"/>
        </w:tabs>
        <w:spacing w:after="0" w:line="240" w:lineRule="auto"/>
        <w:ind w:left="709" w:right="709"/>
        <w:jc w:val="both"/>
        <w:rPr>
          <w:rFonts w:ascii="Verdana" w:hAnsi="Verdana" w:cs="Arial"/>
          <w:sz w:val="20"/>
          <w:szCs w:val="20"/>
          <w:lang w:val="es-ES" w:eastAsia="es-ES"/>
        </w:rPr>
      </w:pPr>
    </w:p>
    <w:p w14:paraId="29EBC1AB" w14:textId="77777777" w:rsidR="00F2171E" w:rsidRDefault="00F2171E" w:rsidP="00F2171E">
      <w:pPr>
        <w:tabs>
          <w:tab w:val="left" w:pos="709"/>
        </w:tabs>
        <w:spacing w:after="0" w:line="240" w:lineRule="auto"/>
        <w:ind w:left="709" w:right="709"/>
        <w:jc w:val="both"/>
        <w:rPr>
          <w:rFonts w:ascii="Verdana" w:hAnsi="Verdana" w:cs="Arial"/>
          <w:sz w:val="20"/>
          <w:szCs w:val="20"/>
          <w:lang w:val="es-ES" w:eastAsia="es-ES"/>
        </w:rPr>
      </w:pPr>
      <w:r w:rsidRPr="007972DD">
        <w:rPr>
          <w:rFonts w:ascii="Verdana" w:hAnsi="Verdana" w:cs="Arial"/>
          <w:sz w:val="20"/>
          <w:szCs w:val="20"/>
          <w:lang w:val="es-ES" w:eastAsia="es-ES"/>
        </w:rPr>
        <w:t>TERCERO. ¿En qué casos es posibles realizar una cesión entre integrantes de una Unión Temporal?</w:t>
      </w:r>
    </w:p>
    <w:p w14:paraId="54717671" w14:textId="77777777" w:rsidR="00F2171E" w:rsidRPr="007972DD" w:rsidRDefault="00F2171E" w:rsidP="00F2171E">
      <w:pPr>
        <w:tabs>
          <w:tab w:val="left" w:pos="709"/>
        </w:tabs>
        <w:spacing w:after="0" w:line="240" w:lineRule="auto"/>
        <w:ind w:left="709" w:right="709"/>
        <w:jc w:val="both"/>
        <w:rPr>
          <w:rFonts w:ascii="Verdana" w:hAnsi="Verdana" w:cs="Arial"/>
          <w:sz w:val="20"/>
          <w:szCs w:val="20"/>
          <w:lang w:val="es-ES" w:eastAsia="es-ES"/>
        </w:rPr>
      </w:pPr>
    </w:p>
    <w:p w14:paraId="1FD9BC2C" w14:textId="77777777" w:rsidR="00F2171E" w:rsidRDefault="00F2171E" w:rsidP="00F2171E">
      <w:pPr>
        <w:tabs>
          <w:tab w:val="left" w:pos="709"/>
        </w:tabs>
        <w:spacing w:after="0" w:line="240" w:lineRule="auto"/>
        <w:ind w:left="709" w:right="709"/>
        <w:jc w:val="both"/>
        <w:rPr>
          <w:rFonts w:ascii="Verdana" w:hAnsi="Verdana" w:cs="Arial"/>
          <w:sz w:val="20"/>
          <w:szCs w:val="20"/>
          <w:lang w:val="es-ES" w:eastAsia="es-ES"/>
        </w:rPr>
      </w:pPr>
      <w:r w:rsidRPr="007972DD">
        <w:rPr>
          <w:rFonts w:ascii="Verdana" w:hAnsi="Verdana" w:cs="Arial"/>
          <w:sz w:val="20"/>
          <w:szCs w:val="20"/>
          <w:lang w:val="es-ES" w:eastAsia="es-ES"/>
        </w:rPr>
        <w:t>CUARTO. ¿Es posible jurídicamente efectuar una cesión de una parte del porcentaje de participación de uno de los miembros en una unión temporal o consorcio?</w:t>
      </w:r>
    </w:p>
    <w:p w14:paraId="7F14A5C5" w14:textId="77777777" w:rsidR="00F2171E" w:rsidRPr="007972DD" w:rsidRDefault="00F2171E" w:rsidP="00F2171E">
      <w:pPr>
        <w:tabs>
          <w:tab w:val="left" w:pos="709"/>
        </w:tabs>
        <w:spacing w:after="0" w:line="240" w:lineRule="auto"/>
        <w:ind w:left="709" w:right="709"/>
        <w:jc w:val="both"/>
        <w:rPr>
          <w:rFonts w:ascii="Verdana" w:hAnsi="Verdana" w:cs="Arial"/>
          <w:sz w:val="20"/>
          <w:szCs w:val="20"/>
          <w:lang w:val="es-ES" w:eastAsia="es-ES"/>
        </w:rPr>
      </w:pPr>
    </w:p>
    <w:p w14:paraId="562862D6" w14:textId="77777777" w:rsidR="00F2171E" w:rsidRDefault="00F2171E" w:rsidP="00F2171E">
      <w:pPr>
        <w:tabs>
          <w:tab w:val="left" w:pos="709"/>
        </w:tabs>
        <w:spacing w:after="0" w:line="240" w:lineRule="auto"/>
        <w:ind w:left="709" w:right="709"/>
        <w:jc w:val="both"/>
        <w:rPr>
          <w:rFonts w:ascii="Verdana" w:hAnsi="Verdana" w:cs="Arial"/>
          <w:sz w:val="20"/>
          <w:szCs w:val="20"/>
          <w:lang w:val="es-ES" w:eastAsia="es-ES"/>
        </w:rPr>
      </w:pPr>
      <w:r w:rsidRPr="007972DD">
        <w:rPr>
          <w:rFonts w:ascii="Verdana" w:hAnsi="Verdana" w:cs="Arial"/>
          <w:sz w:val="20"/>
          <w:szCs w:val="20"/>
          <w:lang w:val="es-ES" w:eastAsia="es-ES"/>
        </w:rPr>
        <w:t>QUINTO. ¿Está prohibida en todas sus formas o causas la cesión del contrato entre quienes integran el consorcio o Unión Temporal?”.</w:t>
      </w:r>
    </w:p>
    <w:p w14:paraId="0AE8E325" w14:textId="77777777" w:rsidR="00FD0145" w:rsidRDefault="00FD0145" w:rsidP="00F2171E">
      <w:pPr>
        <w:tabs>
          <w:tab w:val="left" w:pos="709"/>
        </w:tabs>
        <w:spacing w:after="0" w:line="240" w:lineRule="auto"/>
        <w:ind w:left="709" w:right="709"/>
        <w:jc w:val="both"/>
        <w:rPr>
          <w:rFonts w:ascii="Verdana" w:hAnsi="Verdana" w:cs="Arial"/>
          <w:sz w:val="20"/>
          <w:szCs w:val="20"/>
          <w:lang w:val="es-ES" w:eastAsia="es-ES"/>
        </w:rPr>
      </w:pPr>
    </w:p>
    <w:p w14:paraId="666497B6" w14:textId="77777777" w:rsidR="00F2171E" w:rsidRPr="009037F6" w:rsidRDefault="00F2171E" w:rsidP="00F2171E">
      <w:pPr>
        <w:spacing w:after="120" w:line="276" w:lineRule="auto"/>
        <w:ind w:firstLine="709"/>
        <w:jc w:val="both"/>
        <w:rPr>
          <w:rFonts w:ascii="Verdana" w:eastAsia="Calibri" w:hAnsi="Verdana" w:cs="Times New Roman"/>
          <w:lang w:val="es-ES"/>
        </w:rPr>
      </w:pPr>
      <w:r w:rsidRPr="009037F6">
        <w:rPr>
          <w:rFonts w:ascii="Verdana" w:eastAsia="Calibri" w:hAnsi="Verdana" w:cs="Times New Roman"/>
          <w:lang w:val="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w:t>
      </w:r>
      <w:r w:rsidRPr="009037F6">
        <w:rPr>
          <w:rFonts w:ascii="Verdana" w:eastAsia="Calibri" w:hAnsi="Verdana" w:cs="Times New Roman"/>
          <w:lang w:val="es-ES"/>
        </w:rPr>
        <w:lastRenderedPageBreak/>
        <w:t>determinar grados de responsabilidad por las actuaciones de los diferentes participes del sistema de compra pública.</w:t>
      </w:r>
    </w:p>
    <w:p w14:paraId="3C1D1781" w14:textId="77777777" w:rsidR="00F2171E" w:rsidRPr="009037F6" w:rsidRDefault="00F2171E" w:rsidP="00F2171E">
      <w:pPr>
        <w:spacing w:after="0" w:line="276" w:lineRule="auto"/>
        <w:ind w:firstLine="708"/>
        <w:jc w:val="both"/>
        <w:rPr>
          <w:rFonts w:ascii="Verdana" w:eastAsia="Calibri" w:hAnsi="Verdana" w:cs="Times New Roman"/>
          <w:lang w:val="es-ES"/>
        </w:rPr>
      </w:pPr>
      <w:r w:rsidRPr="009037F6">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w:t>
      </w:r>
    </w:p>
    <w:p w14:paraId="12731095" w14:textId="77777777" w:rsidR="00F2171E" w:rsidRPr="009037F6" w:rsidRDefault="00F2171E" w:rsidP="00F2171E">
      <w:pPr>
        <w:spacing w:after="0" w:line="276" w:lineRule="auto"/>
        <w:rPr>
          <w:rFonts w:ascii="Verdana" w:eastAsia="Calibri" w:hAnsi="Verdana" w:cs="Times New Roman"/>
          <w:lang w:val="es-ES"/>
        </w:rPr>
      </w:pPr>
    </w:p>
    <w:p w14:paraId="634FE7A3" w14:textId="77777777" w:rsidR="00F2171E" w:rsidRPr="009037F6" w:rsidRDefault="00F2171E" w:rsidP="00F2171E">
      <w:pPr>
        <w:numPr>
          <w:ilvl w:val="0"/>
          <w:numId w:val="16"/>
        </w:numPr>
        <w:spacing w:after="0" w:line="276" w:lineRule="auto"/>
        <w:rPr>
          <w:rFonts w:ascii="Verdana" w:eastAsia="Calibri" w:hAnsi="Verdana" w:cs="Times New Roman"/>
          <w:b/>
          <w:bCs/>
          <w:lang w:val="es-ES"/>
        </w:rPr>
      </w:pPr>
      <w:r w:rsidRPr="009037F6">
        <w:rPr>
          <w:rFonts w:ascii="Verdana" w:eastAsia="Calibri" w:hAnsi="Verdana" w:cs="Times New Roman"/>
          <w:b/>
          <w:bCs/>
          <w:lang w:val="es-ES"/>
        </w:rPr>
        <w:t>Problemas planteados:</w:t>
      </w:r>
    </w:p>
    <w:p w14:paraId="0B764B4F" w14:textId="77777777" w:rsidR="00F2171E" w:rsidRPr="009037F6" w:rsidRDefault="00F2171E" w:rsidP="00F2171E">
      <w:pPr>
        <w:spacing w:after="0" w:line="276" w:lineRule="auto"/>
        <w:rPr>
          <w:rFonts w:ascii="Verdana" w:eastAsia="Calibri" w:hAnsi="Verdana" w:cs="Times New Roman"/>
        </w:rPr>
      </w:pPr>
    </w:p>
    <w:p w14:paraId="5433C92D" w14:textId="77777777" w:rsidR="00F2171E" w:rsidRPr="00D1210B" w:rsidRDefault="00F2171E" w:rsidP="00F2171E">
      <w:pPr>
        <w:spacing w:after="0" w:line="276" w:lineRule="auto"/>
        <w:jc w:val="both"/>
        <w:rPr>
          <w:rFonts w:ascii="Verdana" w:eastAsia="Calibri" w:hAnsi="Verdana" w:cs="Times New Roman"/>
        </w:rPr>
      </w:pPr>
      <w:r w:rsidRPr="009037F6">
        <w:rPr>
          <w:rFonts w:ascii="Verdana" w:eastAsia="Calibri" w:hAnsi="Verdana" w:cs="Times New Roman"/>
        </w:rPr>
        <w:t>De acuerdo con el contenido de su solicitud, y sintetizando los interrogantes formulados en los problemas jurídicos que efectivamente los comprenden, la Agencia procede a resolver: i) ¿Puede un integrante de un consorcio o unión temporal ceder su participación a otro de los integrantes de la misma estructura plural, o ello está prohibido y la cesión debe recaer necesariamente en un tercero? ii) ¿La prohibición contenida en el inciso tercero del artículo 9 de la Ley 80 de 1993 opera únicamente cuando la cesión obedece a una inhabilidad o incompatibilidad sobreviniente, o rige en todos los casos? iii) ¿En qué eventos y bajo qué condiciones procede la cesión de la participación de un integrante, y es admisible que recaiga solo sobre una parte de su porcentaje?</w:t>
      </w:r>
    </w:p>
    <w:p w14:paraId="61B99505" w14:textId="77777777" w:rsidR="00F2171E" w:rsidRDefault="00F2171E" w:rsidP="00F2171E">
      <w:pPr>
        <w:spacing w:after="0" w:line="276" w:lineRule="auto"/>
        <w:jc w:val="both"/>
        <w:rPr>
          <w:rFonts w:ascii="Verdana" w:eastAsia="Calibri" w:hAnsi="Verdana" w:cs="Times New Roman"/>
          <w:i/>
          <w:iCs/>
        </w:rPr>
      </w:pPr>
    </w:p>
    <w:p w14:paraId="0D2AFEEB" w14:textId="77777777" w:rsidR="00ED5114" w:rsidRPr="00E27EDD" w:rsidRDefault="00ED5114" w:rsidP="00F2171E">
      <w:pPr>
        <w:spacing w:after="0" w:line="276" w:lineRule="auto"/>
        <w:jc w:val="both"/>
        <w:rPr>
          <w:rFonts w:ascii="Verdana" w:eastAsia="Calibri" w:hAnsi="Verdana" w:cs="Times New Roman"/>
          <w:i/>
          <w:iCs/>
        </w:rPr>
      </w:pPr>
    </w:p>
    <w:p w14:paraId="2796BA35" w14:textId="77777777" w:rsidR="00F2171E" w:rsidRDefault="00F2171E" w:rsidP="00F2171E">
      <w:pPr>
        <w:numPr>
          <w:ilvl w:val="0"/>
          <w:numId w:val="16"/>
        </w:numPr>
        <w:spacing w:after="0" w:line="276" w:lineRule="auto"/>
        <w:rPr>
          <w:rFonts w:ascii="Verdana" w:eastAsia="Calibri" w:hAnsi="Verdana" w:cs="Times New Roman"/>
          <w:b/>
          <w:bCs/>
          <w:lang w:val="es-ES"/>
        </w:rPr>
      </w:pPr>
      <w:r w:rsidRPr="009037F6">
        <w:rPr>
          <w:rFonts w:ascii="Verdana" w:eastAsia="Calibri" w:hAnsi="Verdana" w:cs="Times New Roman"/>
          <w:b/>
          <w:bCs/>
          <w:lang w:val="es-ES"/>
        </w:rPr>
        <w:t>Respuestas:</w:t>
      </w:r>
    </w:p>
    <w:p w14:paraId="4FEBF762" w14:textId="77777777" w:rsidR="00ED5114" w:rsidRPr="009037F6" w:rsidRDefault="00ED5114" w:rsidP="00ED5114">
      <w:pPr>
        <w:spacing w:after="0" w:line="276" w:lineRule="auto"/>
        <w:ind w:left="720"/>
        <w:rPr>
          <w:rFonts w:ascii="Verdana" w:eastAsia="Calibri" w:hAnsi="Verdana" w:cs="Times New Roman"/>
          <w:b/>
          <w:bCs/>
          <w:lang w:val="es-ES"/>
        </w:rPr>
      </w:pPr>
    </w:p>
    <w:p w14:paraId="5C72517A" w14:textId="77777777" w:rsidR="00F2171E" w:rsidRPr="009037F6" w:rsidRDefault="00F2171E" w:rsidP="00F2171E">
      <w:pPr>
        <w:spacing w:after="0" w:line="276" w:lineRule="auto"/>
        <w:rPr>
          <w:rFonts w:ascii="Verdana" w:eastAsia="Calibri" w:hAnsi="Verdana" w:cs="Times New Roman"/>
          <w:b/>
          <w:bCs/>
          <w:lang w:val="es-ES"/>
        </w:rPr>
      </w:pPr>
    </w:p>
    <w:tbl>
      <w:tblPr>
        <w:tblStyle w:val="Tablaconcuadrcula11"/>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F2171E" w:rsidRPr="009037F6" w14:paraId="1B398C60" w14:textId="77777777" w:rsidTr="002002AD">
        <w:trPr>
          <w:trHeight w:val="345"/>
          <w:jc w:val="center"/>
        </w:trPr>
        <w:tc>
          <w:tcPr>
            <w:tcW w:w="8784" w:type="dxa"/>
            <w:tcBorders>
              <w:bottom w:val="single" w:sz="4" w:space="0" w:color="auto"/>
            </w:tcBorders>
          </w:tcPr>
          <w:p w14:paraId="28ACA770" w14:textId="51858E6E" w:rsidR="00F2171E" w:rsidRDefault="00F2171E" w:rsidP="002002AD">
            <w:pPr>
              <w:spacing w:after="120" w:line="276" w:lineRule="auto"/>
              <w:jc w:val="both"/>
              <w:rPr>
                <w:rFonts w:ascii="Verdana" w:hAnsi="Verdana" w:cs="Arial"/>
                <w:lang w:val="es-ES" w:eastAsia="es-ES"/>
              </w:rPr>
            </w:pPr>
            <w:r w:rsidRPr="004F3256">
              <w:rPr>
                <w:rFonts w:ascii="Verdana" w:eastAsia="Times New Roman" w:hAnsi="Verdana" w:cs="Arial"/>
                <w:color w:val="000000" w:themeColor="text1"/>
                <w:lang w:val="es-ES" w:eastAsia="es-ES"/>
              </w:rPr>
              <w:t xml:space="preserve">i) </w:t>
            </w:r>
            <w:r w:rsidR="00113CF7">
              <w:rPr>
                <w:rFonts w:ascii="Verdana" w:eastAsia="Times New Roman" w:hAnsi="Verdana" w:cs="Arial"/>
                <w:color w:val="000000" w:themeColor="text1"/>
                <w:lang w:val="es-ES" w:eastAsia="es-ES"/>
              </w:rPr>
              <w:t>Para responder a la primera pregunta pro</w:t>
            </w:r>
            <w:r w:rsidR="00113CF7" w:rsidRPr="00113CF7">
              <w:rPr>
                <w:rFonts w:ascii="Verdana" w:eastAsia="Times New Roman" w:hAnsi="Verdana" w:cs="Arial"/>
                <w:color w:val="000000" w:themeColor="text1"/>
                <w:lang w:val="es-ES" w:eastAsia="es-ES"/>
              </w:rPr>
              <w:t>blema esta Agencia debe manifestar que n</w:t>
            </w:r>
            <w:r w:rsidRPr="00113CF7">
              <w:rPr>
                <w:rFonts w:ascii="Verdana" w:eastAsia="Times New Roman" w:hAnsi="Verdana" w:cs="Arial"/>
                <w:color w:val="000000" w:themeColor="text1"/>
                <w:lang w:val="es-ES" w:eastAsia="es-ES"/>
              </w:rPr>
              <w:t xml:space="preserve">o es posible: la cesión entre integrantes de un mismo consorcio o unión temporal está prohibida, y la cesión de la participación debe recaer en un tercero. </w:t>
            </w:r>
            <w:r w:rsidRPr="004F3256">
              <w:rPr>
                <w:rFonts w:ascii="Verdana" w:eastAsia="Times New Roman" w:hAnsi="Verdana" w:cs="Arial"/>
                <w:color w:val="000000" w:themeColor="text1"/>
                <w:lang w:val="es-ES" w:eastAsia="es-ES"/>
              </w:rPr>
              <w:t xml:space="preserve">El inciso tercero del artículo 9 de la Ley 80 de 1993 es explícito: el integrante afectado “cederá su participación </w:t>
            </w:r>
            <w:r w:rsidRPr="00113CF7">
              <w:rPr>
                <w:rFonts w:ascii="Verdana" w:eastAsia="Times New Roman" w:hAnsi="Verdana" w:cs="Arial"/>
                <w:bCs/>
                <w:color w:val="000000" w:themeColor="text1"/>
                <w:lang w:val="es-ES" w:eastAsia="es-ES"/>
              </w:rPr>
              <w:t xml:space="preserve">a un tercero previa </w:t>
            </w:r>
            <w:r w:rsidRPr="00113CF7">
              <w:rPr>
                <w:rFonts w:ascii="Verdana" w:eastAsia="Times New Roman" w:hAnsi="Verdana" w:cs="Arial"/>
                <w:bCs/>
                <w:color w:val="000000" w:themeColor="text1"/>
                <w:lang w:val="es-ES" w:eastAsia="es-ES"/>
              </w:rPr>
              <w:lastRenderedPageBreak/>
              <w:t>autorización escrita de la entidad contratante. En ningún caso</w:t>
            </w:r>
            <w:r w:rsidRPr="004F3256">
              <w:rPr>
                <w:rFonts w:ascii="Verdana" w:eastAsia="Times New Roman" w:hAnsi="Verdana" w:cs="Arial"/>
                <w:color w:val="000000" w:themeColor="text1"/>
                <w:lang w:val="es-ES" w:eastAsia="es-ES"/>
              </w:rPr>
              <w:t xml:space="preserve"> podrá haber cesión del contrato entre quienes integran el consorcio o unión temporal”</w:t>
            </w:r>
            <w:r w:rsidRPr="004F3256">
              <w:rPr>
                <w:rStyle w:val="Refdenotaalpie"/>
                <w:rFonts w:ascii="Verdana" w:hAnsi="Verdana"/>
                <w:sz w:val="20"/>
              </w:rPr>
              <w:footnoteReference w:id="1"/>
            </w:r>
            <w:r w:rsidRPr="004F3256">
              <w:rPr>
                <w:rFonts w:ascii="Verdana" w:eastAsia="Times New Roman" w:hAnsi="Verdana" w:cs="Arial"/>
                <w:color w:val="000000" w:themeColor="text1"/>
                <w:lang w:val="es-ES" w:eastAsia="es-ES"/>
              </w:rPr>
              <w:t>.</w:t>
            </w:r>
          </w:p>
          <w:p w14:paraId="02A03FAB" w14:textId="77777777" w:rsidR="00F2171E" w:rsidRDefault="00F2171E" w:rsidP="002002AD">
            <w:pPr>
              <w:spacing w:after="120" w:line="276" w:lineRule="auto"/>
              <w:jc w:val="both"/>
              <w:rPr>
                <w:rFonts w:ascii="Verdana" w:hAnsi="Verdana" w:cs="Arial"/>
                <w:lang w:val="es-ES" w:eastAsia="es-ES"/>
              </w:rPr>
            </w:pPr>
            <w:r w:rsidRPr="00113CF7">
              <w:rPr>
                <w:rFonts w:ascii="Verdana" w:eastAsia="Times New Roman" w:hAnsi="Verdana" w:cs="Arial"/>
                <w:bCs/>
                <w:color w:val="000000" w:themeColor="text1"/>
                <w:lang w:val="es-ES" w:eastAsia="es-ES"/>
              </w:rPr>
              <w:t>Esta Subdirección ha fijado el alcance de esa prohibición en términos que resuelven directamente su interrogante.</w:t>
            </w:r>
            <w:r w:rsidRPr="004F3256">
              <w:rPr>
                <w:rFonts w:ascii="Verdana" w:eastAsia="Times New Roman" w:hAnsi="Verdana" w:cs="Arial"/>
                <w:color w:val="000000" w:themeColor="text1"/>
                <w:lang w:val="es-ES" w:eastAsia="es-ES"/>
              </w:rPr>
              <w:t xml:space="preserve"> Al interpretar la expresión transcrita precisó que ella “significa que los miembros de estas figuras asociativas no pueden transferirse entre sí la participación contractual ni redistribuir internamente las obligaciones, porcentajes o derechos derivados del contrato estatal”, de modo que “la continuidad del contrato solo puede asegurarse mediante una cesión externa, autorizada de manera previa, expresa y formal por la entidad”</w:t>
            </w:r>
            <w:r w:rsidRPr="004F3256">
              <w:rPr>
                <w:rStyle w:val="Refdenotaalpie"/>
                <w:rFonts w:ascii="Verdana" w:hAnsi="Verdana"/>
                <w:sz w:val="20"/>
              </w:rPr>
              <w:footnoteReference w:id="2"/>
            </w:r>
            <w:r w:rsidRPr="004F3256">
              <w:rPr>
                <w:rFonts w:ascii="Verdana" w:eastAsia="Times New Roman" w:hAnsi="Verdana" w:cs="Arial"/>
                <w:color w:val="000000" w:themeColor="text1"/>
                <w:lang w:val="es-ES" w:eastAsia="es-ES"/>
              </w:rPr>
              <w:t>.</w:t>
            </w:r>
          </w:p>
          <w:p w14:paraId="58B73DA4" w14:textId="0A06E501" w:rsidR="00F2171E" w:rsidRDefault="00F2171E" w:rsidP="002002AD">
            <w:pPr>
              <w:spacing w:after="120" w:line="276" w:lineRule="auto"/>
              <w:jc w:val="both"/>
              <w:rPr>
                <w:rFonts w:ascii="Verdana" w:hAnsi="Verdana" w:cs="Arial"/>
                <w:lang w:val="es-ES" w:eastAsia="es-ES"/>
              </w:rPr>
            </w:pPr>
            <w:r w:rsidRPr="0079259E">
              <w:rPr>
                <w:rFonts w:ascii="Verdana" w:eastAsia="Times New Roman" w:hAnsi="Verdana" w:cs="Arial"/>
                <w:bCs/>
                <w:color w:val="000000" w:themeColor="text1"/>
                <w:lang w:val="es-ES" w:eastAsia="es-ES"/>
              </w:rPr>
              <w:t>La exigencia de que el cesionario sea un tercero es un elemento estructural de la cesión.</w:t>
            </w:r>
            <w:r w:rsidR="0079259E">
              <w:rPr>
                <w:rFonts w:ascii="Verdana" w:eastAsia="Times New Roman" w:hAnsi="Verdana" w:cs="Arial"/>
                <w:color w:val="000000" w:themeColor="text1"/>
                <w:lang w:val="es-ES" w:eastAsia="es-ES"/>
              </w:rPr>
              <w:t xml:space="preserve"> </w:t>
            </w:r>
            <w:r w:rsidRPr="004F3256">
              <w:rPr>
                <w:rFonts w:ascii="Verdana" w:eastAsia="Times New Roman" w:hAnsi="Verdana" w:cs="Arial"/>
                <w:color w:val="000000" w:themeColor="text1"/>
                <w:lang w:val="es-ES" w:eastAsia="es-ES"/>
              </w:rPr>
              <w:t>Esta Subdirección ha explicado que en la cesión concurren tres sujetos —cedente, cesionario y cedido— y que el cesionario es un tercero ajeno a los contratantes iniciales; y ha recogido los requisitos que el Consejo de Estado exige para la cesión del contrato estatal: que “debe recaer en un tercero”, que el cesionario tenga capacidad jurídica y no esté incurso en inhabilidades o incompatibilidades, y que cuente con capacidad técnica, económica y financiera suficiente. Quien ya es parte de la estructura plural que suscribió el contrato no reúne la condición de tercero</w:t>
            </w:r>
            <w:r w:rsidRPr="004F3256">
              <w:rPr>
                <w:rStyle w:val="Refdenotaalpie"/>
                <w:rFonts w:ascii="Verdana" w:hAnsi="Verdana"/>
                <w:sz w:val="20"/>
              </w:rPr>
              <w:footnoteReference w:id="3"/>
            </w:r>
            <w:r w:rsidRPr="004F3256">
              <w:rPr>
                <w:rFonts w:ascii="Verdana" w:eastAsia="Times New Roman" w:hAnsi="Verdana" w:cs="Arial"/>
                <w:color w:val="000000" w:themeColor="text1"/>
                <w:lang w:val="es-ES" w:eastAsia="es-ES"/>
              </w:rPr>
              <w:t>.</w:t>
            </w:r>
          </w:p>
          <w:p w14:paraId="08C4911A" w14:textId="413E84CE" w:rsidR="00F2171E" w:rsidRDefault="00F2171E" w:rsidP="002002AD">
            <w:pPr>
              <w:spacing w:after="120" w:line="276" w:lineRule="auto"/>
              <w:jc w:val="both"/>
              <w:rPr>
                <w:rFonts w:ascii="Verdana" w:hAnsi="Verdana" w:cs="Arial"/>
                <w:lang w:val="es-ES" w:eastAsia="es-ES"/>
              </w:rPr>
            </w:pPr>
            <w:proofErr w:type="spellStart"/>
            <w:r w:rsidRPr="004F3256">
              <w:rPr>
                <w:rFonts w:ascii="Verdana" w:eastAsia="Times New Roman" w:hAnsi="Verdana" w:cs="Arial"/>
                <w:color w:val="000000" w:themeColor="text1"/>
                <w:lang w:val="es-ES" w:eastAsia="es-ES"/>
              </w:rPr>
              <w:t>ii</w:t>
            </w:r>
            <w:proofErr w:type="spellEnd"/>
            <w:r w:rsidRPr="004F3256">
              <w:rPr>
                <w:rFonts w:ascii="Verdana" w:eastAsia="Times New Roman" w:hAnsi="Verdana" w:cs="Arial"/>
                <w:color w:val="000000" w:themeColor="text1"/>
                <w:lang w:val="es-ES" w:eastAsia="es-ES"/>
              </w:rPr>
              <w:t>)</w:t>
            </w:r>
            <w:r w:rsidR="0079259E">
              <w:rPr>
                <w:rFonts w:ascii="Verdana" w:eastAsia="Times New Roman" w:hAnsi="Verdana" w:cs="Arial"/>
                <w:color w:val="000000" w:themeColor="text1"/>
                <w:lang w:val="es-ES" w:eastAsia="es-ES"/>
              </w:rPr>
              <w:t xml:space="preserve"> </w:t>
            </w:r>
            <w:r w:rsidRPr="0079259E">
              <w:rPr>
                <w:rFonts w:ascii="Verdana" w:eastAsia="Times New Roman" w:hAnsi="Verdana" w:cs="Arial"/>
                <w:bCs/>
                <w:color w:val="000000" w:themeColor="text1"/>
                <w:lang w:val="es-ES" w:eastAsia="es-ES"/>
              </w:rPr>
              <w:t>La prohibición no opera únicamente frente a la inhabilidad o incompatibilidad sobreviniente: rige en todos los casos.</w:t>
            </w:r>
            <w:r w:rsidRPr="004F3256">
              <w:rPr>
                <w:rFonts w:ascii="Verdana" w:eastAsia="Times New Roman" w:hAnsi="Verdana" w:cs="Arial"/>
                <w:color w:val="000000" w:themeColor="text1"/>
                <w:lang w:val="es-ES" w:eastAsia="es-ES"/>
              </w:rPr>
              <w:t xml:space="preserve"> Tres razones concurren. La primera es textual</w:t>
            </w:r>
            <w:r w:rsidR="0079259E">
              <w:rPr>
                <w:rFonts w:ascii="Verdana" w:eastAsia="Times New Roman" w:hAnsi="Verdana" w:cs="Arial"/>
                <w:color w:val="000000" w:themeColor="text1"/>
                <w:lang w:val="es-ES" w:eastAsia="es-ES"/>
              </w:rPr>
              <w:t xml:space="preserve"> porque </w:t>
            </w:r>
            <w:r w:rsidRPr="004F3256">
              <w:rPr>
                <w:rFonts w:ascii="Verdana" w:eastAsia="Times New Roman" w:hAnsi="Verdana" w:cs="Arial"/>
                <w:color w:val="000000" w:themeColor="text1"/>
                <w:lang w:val="es-ES" w:eastAsia="es-ES"/>
              </w:rPr>
              <w:t xml:space="preserve">el legislador empleó la expresión “en </w:t>
            </w:r>
            <w:r w:rsidRPr="004F3256">
              <w:rPr>
                <w:rFonts w:ascii="Verdana" w:eastAsia="Times New Roman" w:hAnsi="Verdana" w:cs="Arial"/>
                <w:color w:val="000000" w:themeColor="text1"/>
                <w:lang w:val="es-ES" w:eastAsia="es-ES"/>
              </w:rPr>
              <w:lastRenderedPageBreak/>
              <w:t>ningún caso”, que no admite distinciones que la norma no hace, y la ubicó en una oración autónoma, separada de la hipótesis que la precede</w:t>
            </w:r>
            <w:r w:rsidRPr="004F3256">
              <w:rPr>
                <w:rStyle w:val="Refdenotaalpie"/>
                <w:rFonts w:ascii="Verdana" w:hAnsi="Verdana"/>
                <w:sz w:val="20"/>
              </w:rPr>
              <w:footnoteReference w:id="4"/>
            </w:r>
            <w:r w:rsidRPr="004F3256">
              <w:rPr>
                <w:rFonts w:ascii="Verdana" w:eastAsia="Times New Roman" w:hAnsi="Verdana" w:cs="Arial"/>
                <w:color w:val="000000" w:themeColor="text1"/>
                <w:lang w:val="es-ES" w:eastAsia="es-ES"/>
              </w:rPr>
              <w:t>.</w:t>
            </w:r>
          </w:p>
          <w:p w14:paraId="77FF58BA" w14:textId="273E889E" w:rsidR="00F2171E" w:rsidRDefault="00F2171E" w:rsidP="002002AD">
            <w:pPr>
              <w:spacing w:after="120" w:line="276" w:lineRule="auto"/>
              <w:jc w:val="both"/>
              <w:rPr>
                <w:rFonts w:ascii="Verdana" w:hAnsi="Verdana" w:cs="Arial"/>
                <w:lang w:val="es-ES" w:eastAsia="es-ES"/>
              </w:rPr>
            </w:pPr>
            <w:r w:rsidRPr="0079259E">
              <w:rPr>
                <w:rFonts w:ascii="Verdana" w:eastAsia="Times New Roman" w:hAnsi="Verdana" w:cs="Arial"/>
                <w:bCs/>
                <w:color w:val="000000" w:themeColor="text1"/>
                <w:lang w:val="es-ES" w:eastAsia="es-ES"/>
              </w:rPr>
              <w:t xml:space="preserve">La segunda razón </w:t>
            </w:r>
            <w:r w:rsidR="0079259E" w:rsidRPr="0079259E">
              <w:rPr>
                <w:rFonts w:ascii="Verdana" w:eastAsia="Times New Roman" w:hAnsi="Verdana" w:cs="Arial"/>
                <w:bCs/>
                <w:color w:val="000000" w:themeColor="text1"/>
                <w:lang w:val="es-ES" w:eastAsia="es-ES"/>
              </w:rPr>
              <w:t>nos indica que,</w:t>
            </w:r>
            <w:r w:rsidR="0079259E">
              <w:rPr>
                <w:rFonts w:ascii="Verdana" w:eastAsia="Times New Roman" w:hAnsi="Verdana" w:cs="Arial"/>
                <w:bCs/>
                <w:color w:val="000000" w:themeColor="text1"/>
                <w:lang w:val="es-ES" w:eastAsia="es-ES"/>
              </w:rPr>
              <w:t xml:space="preserve"> si</w:t>
            </w:r>
            <w:r w:rsidRPr="0079259E">
              <w:rPr>
                <w:rFonts w:ascii="Verdana" w:eastAsia="Times New Roman" w:hAnsi="Verdana" w:cs="Arial"/>
                <w:bCs/>
                <w:color w:val="000000" w:themeColor="text1"/>
                <w:lang w:val="es-ES" w:eastAsia="es-ES"/>
              </w:rPr>
              <w:t xml:space="preserve"> la cesión exige por definición que el cesionario sea un tercero, un integrante de la misma estructura plural nunca podría ser cesionario, cualquiera que sea la causa que se invoque.</w:t>
            </w:r>
            <w:r w:rsidRPr="004F3256">
              <w:rPr>
                <w:rFonts w:ascii="Verdana" w:eastAsia="Times New Roman" w:hAnsi="Verdana" w:cs="Arial"/>
                <w:color w:val="000000" w:themeColor="text1"/>
                <w:lang w:val="es-ES" w:eastAsia="es-ES"/>
              </w:rPr>
              <w:t xml:space="preserve"> La prohibición del artículo 9 no crea, en rigor, una restricción nueva para el caso de la inhabilidad: explicita, en ese contexto, una imposibilidad que deriva de la naturaleza misma de la figura. De ahí que su alcance no pueda contraerse al supuesto en el que aparece enunciada</w:t>
            </w:r>
            <w:r w:rsidRPr="004F3256">
              <w:rPr>
                <w:rStyle w:val="Refdenotaalpie"/>
                <w:rFonts w:ascii="Verdana" w:hAnsi="Verdana"/>
                <w:sz w:val="20"/>
              </w:rPr>
              <w:footnoteReference w:id="5"/>
            </w:r>
            <w:r w:rsidRPr="004F3256">
              <w:rPr>
                <w:rFonts w:ascii="Verdana" w:eastAsia="Times New Roman" w:hAnsi="Verdana" w:cs="Arial"/>
                <w:color w:val="000000" w:themeColor="text1"/>
                <w:lang w:val="es-ES" w:eastAsia="es-ES"/>
              </w:rPr>
              <w:t>.</w:t>
            </w:r>
          </w:p>
          <w:p w14:paraId="19FBBFF3" w14:textId="3B72AFC0" w:rsidR="00F2171E" w:rsidRDefault="00F2171E" w:rsidP="002002AD">
            <w:pPr>
              <w:spacing w:after="120" w:line="276" w:lineRule="auto"/>
              <w:jc w:val="both"/>
              <w:rPr>
                <w:rFonts w:ascii="Verdana" w:hAnsi="Verdana" w:cs="Arial"/>
                <w:lang w:val="es-ES" w:eastAsia="es-ES"/>
              </w:rPr>
            </w:pPr>
            <w:r w:rsidRPr="0079259E">
              <w:rPr>
                <w:rFonts w:ascii="Verdana" w:eastAsia="Times New Roman" w:hAnsi="Verdana" w:cs="Arial"/>
                <w:bCs/>
                <w:color w:val="000000" w:themeColor="text1"/>
                <w:lang w:val="es-ES" w:eastAsia="es-ES"/>
              </w:rPr>
              <w:t xml:space="preserve">La tercera razón es </w:t>
            </w:r>
            <w:proofErr w:type="spellStart"/>
            <w:r w:rsidRPr="0079259E">
              <w:rPr>
                <w:rFonts w:ascii="Verdana" w:eastAsia="Times New Roman" w:hAnsi="Verdana" w:cs="Arial"/>
                <w:bCs/>
                <w:color w:val="000000" w:themeColor="text1"/>
                <w:lang w:val="es-ES" w:eastAsia="es-ES"/>
              </w:rPr>
              <w:t>finalística</w:t>
            </w:r>
            <w:proofErr w:type="spellEnd"/>
            <w:r w:rsidR="0079259E" w:rsidRPr="0079259E">
              <w:rPr>
                <w:rFonts w:ascii="Verdana" w:eastAsia="Times New Roman" w:hAnsi="Verdana" w:cs="Arial"/>
                <w:bCs/>
                <w:color w:val="000000" w:themeColor="text1"/>
                <w:lang w:val="es-ES" w:eastAsia="es-ES"/>
              </w:rPr>
              <w:t>, y consiste en que</w:t>
            </w:r>
            <w:r w:rsidR="0079259E">
              <w:rPr>
                <w:rFonts w:ascii="Verdana" w:eastAsia="Times New Roman" w:hAnsi="Verdana" w:cs="Arial"/>
                <w:b/>
                <w:color w:val="000000" w:themeColor="text1"/>
                <w:lang w:val="es-ES" w:eastAsia="es-ES"/>
              </w:rPr>
              <w:t xml:space="preserve"> </w:t>
            </w:r>
            <w:r w:rsidR="0079259E">
              <w:rPr>
                <w:rFonts w:ascii="Verdana" w:eastAsia="Times New Roman" w:hAnsi="Verdana" w:cs="Arial"/>
                <w:color w:val="000000" w:themeColor="text1"/>
                <w:lang w:val="es-ES" w:eastAsia="es-ES"/>
              </w:rPr>
              <w:t>l</w:t>
            </w:r>
            <w:r w:rsidRPr="004F3256">
              <w:rPr>
                <w:rFonts w:ascii="Verdana" w:eastAsia="Times New Roman" w:hAnsi="Verdana" w:cs="Arial"/>
                <w:color w:val="000000" w:themeColor="text1"/>
                <w:lang w:val="es-ES" w:eastAsia="es-ES"/>
              </w:rPr>
              <w:t>a cesión no puede servir como instrumento para alterar las condiciones que determinaron la adjudicación. Como lo ha recordado esta Subdirección siguiendo al Consejo de Estado, “el proceso [de] cesión del contrato y las exigencias que se le impongan al tercero, no pueden alterar ni burlar los procedimientos de selección del contratista”, de manera que “so pretexto de una cesión contractual, no pueden vulnerarse las reglas y principios de la contratación estatal”. Una redistribución interna de la participación modificaría la oferta adjudicada sin que ingrese un sujeto nuevo que acredite los requisitos habilitantes</w:t>
            </w:r>
            <w:r w:rsidRPr="004F3256">
              <w:rPr>
                <w:rStyle w:val="Refdenotaalpie"/>
                <w:rFonts w:ascii="Verdana" w:hAnsi="Verdana"/>
                <w:sz w:val="20"/>
              </w:rPr>
              <w:footnoteReference w:id="6"/>
            </w:r>
            <w:r w:rsidRPr="004F3256">
              <w:rPr>
                <w:rFonts w:ascii="Verdana" w:eastAsia="Times New Roman" w:hAnsi="Verdana" w:cs="Arial"/>
                <w:color w:val="000000" w:themeColor="text1"/>
                <w:lang w:val="es-ES" w:eastAsia="es-ES"/>
              </w:rPr>
              <w:t>.</w:t>
            </w:r>
          </w:p>
          <w:p w14:paraId="69FF81CD" w14:textId="7FD1F43F" w:rsidR="00F2171E" w:rsidRDefault="00F2171E" w:rsidP="002002AD">
            <w:pPr>
              <w:spacing w:after="120" w:line="276" w:lineRule="auto"/>
              <w:jc w:val="both"/>
              <w:rPr>
                <w:rFonts w:ascii="Verdana" w:hAnsi="Verdana" w:cs="Arial"/>
                <w:lang w:val="es-ES" w:eastAsia="es-ES"/>
              </w:rPr>
            </w:pPr>
            <w:r w:rsidRPr="004F3256">
              <w:rPr>
                <w:rFonts w:ascii="Verdana" w:eastAsia="Times New Roman" w:hAnsi="Verdana" w:cs="Arial"/>
                <w:color w:val="000000" w:themeColor="text1"/>
                <w:lang w:val="es-ES" w:eastAsia="es-ES"/>
              </w:rPr>
              <w:t xml:space="preserve">iii) </w:t>
            </w:r>
            <w:r w:rsidRPr="0079259E">
              <w:rPr>
                <w:rFonts w:ascii="Verdana" w:eastAsia="Times New Roman" w:hAnsi="Verdana" w:cs="Arial"/>
                <w:bCs/>
                <w:color w:val="000000" w:themeColor="text1"/>
                <w:lang w:val="es-ES" w:eastAsia="es-ES"/>
              </w:rPr>
              <w:t>Procede la cesión de la participación de un integrante a un tercero, previa autorización escrita de la entidad contratante.</w:t>
            </w:r>
            <w:r w:rsidRPr="004F3256">
              <w:rPr>
                <w:rFonts w:ascii="Verdana" w:eastAsia="Times New Roman" w:hAnsi="Verdana" w:cs="Arial"/>
                <w:color w:val="000000" w:themeColor="text1"/>
                <w:lang w:val="es-ES" w:eastAsia="es-ES"/>
              </w:rPr>
              <w:t xml:space="preserve"> Ese es el único supuesto que el ordenamiento admite</w:t>
            </w:r>
            <w:r w:rsidR="0079259E">
              <w:rPr>
                <w:rFonts w:ascii="Verdana" w:eastAsia="Times New Roman" w:hAnsi="Verdana" w:cs="Arial"/>
                <w:color w:val="000000" w:themeColor="text1"/>
                <w:lang w:val="es-ES" w:eastAsia="es-ES"/>
              </w:rPr>
              <w:t xml:space="preserve">: </w:t>
            </w:r>
            <w:r w:rsidRPr="004F3256">
              <w:rPr>
                <w:rFonts w:ascii="Verdana" w:eastAsia="Times New Roman" w:hAnsi="Verdana" w:cs="Arial"/>
                <w:color w:val="000000" w:themeColor="text1"/>
                <w:lang w:val="es-ES" w:eastAsia="es-ES"/>
              </w:rPr>
              <w:t xml:space="preserve">no hay casos en que sea posible la cesión entre integrantes. La autorización se rige por el inciso tercero del artículo 41 de la Ley 80 de 1993, conforme al cual los contratos estatales son intuito personae y “una vez celebrados no podrán cederse sin previa autorización escrita de la </w:t>
            </w:r>
            <w:r w:rsidRPr="004F3256">
              <w:rPr>
                <w:rFonts w:ascii="Verdana" w:eastAsia="Times New Roman" w:hAnsi="Verdana" w:cs="Arial"/>
                <w:color w:val="000000" w:themeColor="text1"/>
                <w:lang w:val="es-ES" w:eastAsia="es-ES"/>
              </w:rPr>
              <w:lastRenderedPageBreak/>
              <w:t>entidad contratante”, norma que contiene una prohibición general y una autorización excepcional</w:t>
            </w:r>
            <w:r w:rsidRPr="004F3256">
              <w:rPr>
                <w:rStyle w:val="Refdenotaalpie"/>
                <w:rFonts w:ascii="Verdana" w:hAnsi="Verdana"/>
                <w:sz w:val="20"/>
              </w:rPr>
              <w:footnoteReference w:id="7"/>
            </w:r>
            <w:r w:rsidRPr="004F3256">
              <w:rPr>
                <w:rFonts w:ascii="Verdana" w:eastAsia="Times New Roman" w:hAnsi="Verdana" w:cs="Arial"/>
                <w:color w:val="000000" w:themeColor="text1"/>
                <w:lang w:val="es-ES" w:eastAsia="es-ES"/>
              </w:rPr>
              <w:t>.</w:t>
            </w:r>
          </w:p>
          <w:p w14:paraId="0A237BFA" w14:textId="77777777" w:rsidR="00F2171E" w:rsidRDefault="00F2171E" w:rsidP="002002AD">
            <w:pPr>
              <w:spacing w:after="120" w:line="276" w:lineRule="auto"/>
              <w:jc w:val="both"/>
              <w:rPr>
                <w:rFonts w:ascii="Verdana" w:hAnsi="Verdana" w:cs="Arial"/>
                <w:lang w:val="es-ES" w:eastAsia="es-ES"/>
              </w:rPr>
            </w:pPr>
            <w:r w:rsidRPr="001F4DD8">
              <w:rPr>
                <w:rFonts w:ascii="Verdana" w:eastAsia="Times New Roman" w:hAnsi="Verdana" w:cs="Arial"/>
                <w:bCs/>
                <w:color w:val="000000" w:themeColor="text1"/>
                <w:lang w:val="es-ES" w:eastAsia="es-ES"/>
              </w:rPr>
              <w:t>La entidad debe verificar que el cesionario reúna las condiciones exigidas, y su decisión no es discrecional. Esta</w:t>
            </w:r>
            <w:r w:rsidRPr="004F3256">
              <w:rPr>
                <w:rFonts w:ascii="Verdana" w:eastAsia="Times New Roman" w:hAnsi="Verdana" w:cs="Arial"/>
                <w:color w:val="000000" w:themeColor="text1"/>
                <w:lang w:val="es-ES" w:eastAsia="es-ES"/>
              </w:rPr>
              <w:t xml:space="preserve"> Subdirección ha precisado que la entidad “debe verificar que el tercero propuesto cumpla los requisitos establecidos en el pliego de condiciones, en el contrato y en las demás disposiciones aplicables”, porque la capacidad jurídica, económica y técnica exigida al cedente se exige también al cesionario; y que la autorización “no constituye una facultad discrecional absoluta”, de modo que, acreditados los requisitos, “una eventual negativa debe sustentarse en razones objetivas, verificables y jurídicamente relevantes”</w:t>
            </w:r>
            <w:r w:rsidRPr="004F3256">
              <w:rPr>
                <w:rStyle w:val="Refdenotaalpie"/>
                <w:rFonts w:ascii="Verdana" w:hAnsi="Verdana"/>
                <w:sz w:val="20"/>
              </w:rPr>
              <w:footnoteReference w:id="8"/>
            </w:r>
            <w:r w:rsidRPr="004F3256">
              <w:rPr>
                <w:rFonts w:ascii="Verdana" w:eastAsia="Times New Roman" w:hAnsi="Verdana" w:cs="Arial"/>
                <w:color w:val="000000" w:themeColor="text1"/>
                <w:lang w:val="es-ES" w:eastAsia="es-ES"/>
              </w:rPr>
              <w:t>.</w:t>
            </w:r>
          </w:p>
          <w:p w14:paraId="0E57EBE2" w14:textId="0D76495A" w:rsidR="00F2171E" w:rsidRDefault="001F4DD8" w:rsidP="002002AD">
            <w:pPr>
              <w:spacing w:after="120" w:line="276" w:lineRule="auto"/>
              <w:jc w:val="both"/>
              <w:rPr>
                <w:rFonts w:ascii="Verdana" w:hAnsi="Verdana" w:cs="Arial"/>
                <w:lang w:val="es-ES" w:eastAsia="es-ES"/>
              </w:rPr>
            </w:pPr>
            <w:r w:rsidRPr="001F4DD8">
              <w:rPr>
                <w:rFonts w:ascii="Verdana" w:eastAsia="Times New Roman" w:hAnsi="Verdana" w:cs="Arial"/>
                <w:bCs/>
                <w:color w:val="000000" w:themeColor="text1"/>
                <w:lang w:val="es-ES" w:eastAsia="es-ES"/>
              </w:rPr>
              <w:t xml:space="preserve">Por otro lado, </w:t>
            </w:r>
            <w:r w:rsidR="00F2171E" w:rsidRPr="001F4DD8">
              <w:rPr>
                <w:rFonts w:ascii="Verdana" w:eastAsia="Times New Roman" w:hAnsi="Verdana" w:cs="Arial"/>
                <w:bCs/>
                <w:color w:val="000000" w:themeColor="text1"/>
                <w:lang w:val="es-ES" w:eastAsia="es-ES"/>
              </w:rPr>
              <w:t>la cesión puede recaer sobre una parte del porcentaje, pero sigue exigiendo un tercero y la autorización de la entidad. La</w:t>
            </w:r>
            <w:r w:rsidR="00F2171E" w:rsidRPr="004F3256">
              <w:rPr>
                <w:rFonts w:ascii="Verdana" w:eastAsia="Times New Roman" w:hAnsi="Verdana" w:cs="Arial"/>
                <w:color w:val="000000" w:themeColor="text1"/>
                <w:lang w:val="es-ES" w:eastAsia="es-ES"/>
              </w:rPr>
              <w:t xml:space="preserve"> doctrina de esta Subdirección reconoce que el cesionario es quien asume “total o parcialmente los derechos y obligaciones” del cedente. Una cesión parcial supone, sin embargo, que a la estructura plural ingrese un tercero que acredite los requisitos habilitantes en la proporción cedida, y que se modifiquen los términos y la extensión de la participación, lo que no puede hacerse sin el consentimiento previo de la entidad. Lo que no cabe, en ningún caso, es que esa porción se transfiera a otro integrante</w:t>
            </w:r>
            <w:r w:rsidR="00F2171E" w:rsidRPr="004F3256">
              <w:rPr>
                <w:rStyle w:val="Refdenotaalpie"/>
                <w:rFonts w:ascii="Verdana" w:hAnsi="Verdana"/>
                <w:sz w:val="20"/>
              </w:rPr>
              <w:footnoteReference w:id="9"/>
            </w:r>
            <w:r w:rsidR="00F2171E" w:rsidRPr="004F3256">
              <w:rPr>
                <w:rFonts w:ascii="Verdana" w:eastAsia="Times New Roman" w:hAnsi="Verdana" w:cs="Arial"/>
                <w:color w:val="000000" w:themeColor="text1"/>
                <w:lang w:val="es-ES" w:eastAsia="es-ES"/>
              </w:rPr>
              <w:t>.</w:t>
            </w:r>
          </w:p>
          <w:p w14:paraId="6425DA6E" w14:textId="2A19BFCC" w:rsidR="00F2171E" w:rsidRDefault="001F4DD8" w:rsidP="002002AD">
            <w:pPr>
              <w:spacing w:after="120" w:line="276" w:lineRule="auto"/>
              <w:jc w:val="both"/>
              <w:rPr>
                <w:rFonts w:ascii="Verdana" w:hAnsi="Verdana" w:cs="Arial"/>
                <w:lang w:val="es-ES" w:eastAsia="es-ES"/>
              </w:rPr>
            </w:pPr>
            <w:r>
              <w:rPr>
                <w:rFonts w:ascii="Verdana" w:eastAsia="Times New Roman" w:hAnsi="Verdana" w:cs="Arial"/>
                <w:bCs/>
                <w:color w:val="000000" w:themeColor="text1"/>
                <w:lang w:val="es-ES" w:eastAsia="es-ES"/>
              </w:rPr>
              <w:t>Para concluir e</w:t>
            </w:r>
            <w:r w:rsidRPr="001F4DD8">
              <w:rPr>
                <w:rFonts w:ascii="Verdana" w:eastAsia="Times New Roman" w:hAnsi="Verdana" w:cs="Arial"/>
                <w:bCs/>
                <w:color w:val="000000" w:themeColor="text1"/>
                <w:lang w:val="es-ES" w:eastAsia="es-ES"/>
              </w:rPr>
              <w:t xml:space="preserve">n este punto es importante </w:t>
            </w:r>
            <w:r w:rsidR="00F2171E" w:rsidRPr="001F4DD8">
              <w:rPr>
                <w:rFonts w:ascii="Verdana" w:eastAsia="Times New Roman" w:hAnsi="Verdana" w:cs="Arial"/>
                <w:bCs/>
                <w:color w:val="000000" w:themeColor="text1"/>
                <w:lang w:val="es-ES" w:eastAsia="es-ES"/>
              </w:rPr>
              <w:t>distinguir la cesión de la simple modificación del acuerdo de la estructura plural.</w:t>
            </w:r>
            <w:r w:rsidR="00F2171E" w:rsidRPr="004F3256">
              <w:rPr>
                <w:rFonts w:ascii="Verdana" w:eastAsia="Times New Roman" w:hAnsi="Verdana" w:cs="Arial"/>
                <w:color w:val="000000" w:themeColor="text1"/>
                <w:lang w:val="es-ES" w:eastAsia="es-ES"/>
              </w:rPr>
              <w:t xml:space="preserve"> Los integrantes conservan la facultad de ajustar ese acuerdo en virtud del principio de autonomía de la voluntad y pueden “acordar una redistribución de las actividades”, informando </w:t>
            </w:r>
            <w:r w:rsidR="00F2171E" w:rsidRPr="004F3256">
              <w:rPr>
                <w:rFonts w:ascii="Verdana" w:eastAsia="Times New Roman" w:hAnsi="Verdana" w:cs="Arial"/>
                <w:color w:val="000000" w:themeColor="text1"/>
                <w:lang w:val="es-ES" w:eastAsia="es-ES"/>
              </w:rPr>
              <w:lastRenderedPageBreak/>
              <w:t>de ello a la entidad; pero el parágrafo 1 del artículo 7 de la Ley 80 de 1993 exige que los términos y la extensión de la participación no se modifiquen “sin el consentimiento previo de la entidad estatal contratante”. Esa vía no puede emplearse para eludir la prohibición del artículo 9 ni para alterar las condiciones que determinaron la adjudicación</w:t>
            </w:r>
            <w:r w:rsidR="00F2171E" w:rsidRPr="004F3256">
              <w:rPr>
                <w:rStyle w:val="Refdenotaalpie"/>
                <w:rFonts w:ascii="Verdana" w:hAnsi="Verdana"/>
                <w:sz w:val="20"/>
              </w:rPr>
              <w:footnoteReference w:id="10"/>
            </w:r>
            <w:r w:rsidR="00F2171E" w:rsidRPr="004F3256">
              <w:rPr>
                <w:rFonts w:ascii="Verdana" w:eastAsia="Times New Roman" w:hAnsi="Verdana" w:cs="Arial"/>
                <w:color w:val="000000" w:themeColor="text1"/>
                <w:lang w:val="es-ES" w:eastAsia="es-ES"/>
              </w:rPr>
              <w:t>.</w:t>
            </w:r>
          </w:p>
        </w:tc>
      </w:tr>
    </w:tbl>
    <w:p w14:paraId="09CAED42" w14:textId="77777777" w:rsidR="00F2171E" w:rsidRDefault="00F2171E" w:rsidP="00F2171E">
      <w:pPr>
        <w:spacing w:after="0" w:line="276" w:lineRule="auto"/>
        <w:jc w:val="both"/>
        <w:rPr>
          <w:rFonts w:ascii="Verdana" w:eastAsia="Calibri" w:hAnsi="Verdana" w:cs="Arial"/>
          <w:bCs/>
          <w:color w:val="000000" w:themeColor="text1"/>
        </w:rPr>
      </w:pPr>
      <w:bookmarkStart w:id="0" w:name="_Hlk37703813"/>
    </w:p>
    <w:p w14:paraId="760EAF04" w14:textId="77777777" w:rsidR="00ED5114" w:rsidRPr="00B57A1B" w:rsidRDefault="00ED5114" w:rsidP="00F2171E">
      <w:pPr>
        <w:spacing w:after="0" w:line="276" w:lineRule="auto"/>
        <w:jc w:val="both"/>
        <w:rPr>
          <w:rFonts w:ascii="Verdana" w:eastAsia="Calibri" w:hAnsi="Verdana" w:cs="Arial"/>
          <w:bCs/>
          <w:color w:val="000000" w:themeColor="text1"/>
        </w:rPr>
      </w:pPr>
    </w:p>
    <w:p w14:paraId="48FCC129" w14:textId="77777777" w:rsidR="00F2171E" w:rsidRPr="00B57A1B" w:rsidRDefault="00F2171E" w:rsidP="00F2171E">
      <w:pPr>
        <w:numPr>
          <w:ilvl w:val="0"/>
          <w:numId w:val="16"/>
        </w:numPr>
        <w:tabs>
          <w:tab w:val="left" w:pos="2268"/>
        </w:tabs>
        <w:spacing w:after="0" w:line="276" w:lineRule="auto"/>
        <w:rPr>
          <w:rFonts w:ascii="Verdana" w:eastAsia="Calibri" w:hAnsi="Verdana" w:cs="Times New Roman"/>
          <w:b/>
          <w:bCs/>
          <w:lang w:val="es-ES"/>
        </w:rPr>
      </w:pPr>
      <w:r w:rsidRPr="00B57A1B">
        <w:rPr>
          <w:rFonts w:ascii="Verdana" w:eastAsia="Calibri" w:hAnsi="Verdana" w:cs="Times New Roman"/>
          <w:b/>
          <w:bCs/>
          <w:lang w:val="es-ES"/>
        </w:rPr>
        <w:t>Razones de las respuestas:</w:t>
      </w:r>
    </w:p>
    <w:p w14:paraId="238B26FA" w14:textId="77777777" w:rsidR="00F2171E" w:rsidRPr="003C0ED7" w:rsidRDefault="00F2171E" w:rsidP="00F2171E">
      <w:pPr>
        <w:spacing w:after="0" w:line="276" w:lineRule="auto"/>
        <w:jc w:val="both"/>
        <w:rPr>
          <w:rFonts w:ascii="Verdana" w:eastAsia="Calibri" w:hAnsi="Verdana" w:cs="Arial"/>
          <w:lang w:val="es-ES"/>
        </w:rPr>
      </w:pPr>
    </w:p>
    <w:p w14:paraId="2C62F992" w14:textId="77777777" w:rsidR="00F2171E" w:rsidRDefault="00F2171E" w:rsidP="00F2171E">
      <w:pPr>
        <w:spacing w:after="0" w:line="276" w:lineRule="auto"/>
        <w:jc w:val="both"/>
        <w:rPr>
          <w:rFonts w:ascii="Verdana" w:eastAsia="Calibri" w:hAnsi="Verdana" w:cs="Arial"/>
          <w:lang w:val="es-ES"/>
        </w:rPr>
      </w:pPr>
      <w:r w:rsidRPr="00A0389A">
        <w:rPr>
          <w:rFonts w:ascii="Verdana" w:eastAsia="Calibri" w:hAnsi="Verdana" w:cs="Arial"/>
          <w:lang w:val="es-ES"/>
        </w:rPr>
        <w:t>Lo anterior se sustenta en las siguientes consideraciones:</w:t>
      </w:r>
    </w:p>
    <w:p w14:paraId="6C0D2B15" w14:textId="77777777" w:rsidR="00F2171E" w:rsidRPr="00C22134" w:rsidRDefault="00F2171E" w:rsidP="00F2171E">
      <w:pPr>
        <w:spacing w:after="0" w:line="276" w:lineRule="auto"/>
        <w:jc w:val="both"/>
        <w:rPr>
          <w:rFonts w:ascii="Verdana" w:eastAsia="Calibri" w:hAnsi="Verdana" w:cs="Arial"/>
          <w:lang w:val="es-ES"/>
        </w:rPr>
      </w:pPr>
    </w:p>
    <w:p w14:paraId="503AA4B0" w14:textId="44522630" w:rsidR="00F2171E" w:rsidRPr="00A0389A"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i) El punto de partida es la noción misma de cesión, porque de ella deriva la respuesta a los tres problemas planteados. Esta Subdirección ha descrito la cesión de la posición contractual como la transferencia negocial a un tercero del conjunto de derechos y obligaciones que integran la posición de parte, de tal forma que, mediante esa sustitución, el tercero entra en la relación en lugar del cedente</w:t>
      </w:r>
      <w:r>
        <w:rPr>
          <w:rStyle w:val="Refdenotaalpie"/>
          <w:rFonts w:ascii="Verdana" w:hAnsi="Verdana"/>
          <w:sz w:val="20"/>
        </w:rPr>
        <w:footnoteReference w:id="11"/>
      </w:r>
      <w:r>
        <w:rPr>
          <w:rFonts w:ascii="Verdana" w:hAnsi="Verdana" w:cs="Arial"/>
          <w:bCs/>
          <w:szCs w:val="24"/>
          <w:lang w:val="es-ES_tradnl" w:eastAsia="es-ES_tradnl"/>
        </w:rPr>
        <w:t>.</w:t>
      </w:r>
    </w:p>
    <w:p w14:paraId="74CCC887" w14:textId="77777777" w:rsidR="00F2171E" w:rsidRPr="00C22134" w:rsidRDefault="00F2171E" w:rsidP="00F2171E">
      <w:pPr>
        <w:spacing w:after="0" w:line="276" w:lineRule="auto"/>
        <w:jc w:val="both"/>
        <w:rPr>
          <w:rFonts w:ascii="Verdana" w:eastAsia="Calibri" w:hAnsi="Verdana" w:cs="Arial"/>
          <w:lang w:val="es-ES"/>
        </w:rPr>
      </w:pPr>
    </w:p>
    <w:p w14:paraId="6F35E604" w14:textId="77777777" w:rsidR="00F2171E" w:rsidRPr="00A0389A"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De esa descripción se sigue que en la cesión concurren necesariamente tres sujetos: “i) el cedente, esto es, el contratista inicial; ii) el cesionario, es decir, quien asume total o parcialmente los derechos y obligaciones de este último; y iii) el cedido que, en el caso de los contratos estatales, sería la entidad suscribiente”. Y la Subdirección ha añadido que la cesión “es una figura jurídica por la que </w:t>
      </w:r>
      <w:r>
        <w:rPr>
          <w:rFonts w:ascii="Verdana" w:hAnsi="Verdana" w:cs="Arial"/>
          <w:bCs/>
          <w:i/>
          <w:szCs w:val="24"/>
          <w:lang w:val="es-ES_tradnl" w:eastAsia="es-ES_tradnl"/>
        </w:rPr>
        <w:t>terceros ajenos a los contratantes iniciales</w:t>
      </w:r>
      <w:r>
        <w:rPr>
          <w:rFonts w:ascii="Verdana" w:hAnsi="Verdana" w:cs="Arial"/>
          <w:bCs/>
          <w:szCs w:val="24"/>
          <w:lang w:val="es-ES_tradnl" w:eastAsia="es-ES_tradnl"/>
        </w:rPr>
        <w:t xml:space="preserve"> participan en negocios que están ejecutando”</w:t>
      </w:r>
      <w:r>
        <w:rPr>
          <w:rStyle w:val="Refdenotaalpie"/>
          <w:rFonts w:ascii="Verdana" w:hAnsi="Verdana"/>
          <w:sz w:val="20"/>
        </w:rPr>
        <w:footnoteReference w:id="12"/>
      </w:r>
      <w:r>
        <w:rPr>
          <w:rFonts w:ascii="Verdana" w:hAnsi="Verdana" w:cs="Arial"/>
          <w:bCs/>
          <w:szCs w:val="24"/>
          <w:lang w:val="es-ES_tradnl" w:eastAsia="es-ES_tradnl"/>
        </w:rPr>
        <w:t>.</w:t>
      </w:r>
    </w:p>
    <w:p w14:paraId="01C614C7" w14:textId="77777777" w:rsidR="00F2171E" w:rsidRPr="00C22134" w:rsidRDefault="00F2171E" w:rsidP="00F2171E">
      <w:pPr>
        <w:spacing w:after="0" w:line="276" w:lineRule="auto"/>
        <w:jc w:val="both"/>
        <w:rPr>
          <w:rFonts w:ascii="Verdana" w:eastAsia="Calibri" w:hAnsi="Verdana" w:cs="Arial"/>
          <w:lang w:val="es-ES"/>
        </w:rPr>
      </w:pPr>
    </w:p>
    <w:p w14:paraId="2717CA5F" w14:textId="77777777" w:rsidR="00F2171E" w:rsidRPr="00A0389A"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Sobre esa base, esta Subdirección ha recogido los requisitos que la jurisprudencia del Consejo de Estado exige para la cesión del contrato estatal: </w:t>
      </w:r>
      <w:r>
        <w:rPr>
          <w:rFonts w:ascii="Verdana" w:hAnsi="Verdana" w:cs="Arial"/>
          <w:bCs/>
          <w:szCs w:val="24"/>
          <w:lang w:val="es-ES_tradnl" w:eastAsia="es-ES_tradnl"/>
        </w:rPr>
        <w:lastRenderedPageBreak/>
        <w:t>“i) debe recaer en un tercero; ii) el cesionario debe tener capacidad jurídica para continuar con la ejecución del objeto contractual y no estar incurso en causales de inhabilidad e incompatibilidad para contratar; y iii) el cesionario debe contar con capacidad técnica, económica y financiera suficientes para el cumplimiento de las obligaciones emanadas del contrato cedido”</w:t>
      </w:r>
      <w:r>
        <w:rPr>
          <w:rStyle w:val="Refdenotaalpie"/>
          <w:rFonts w:ascii="Verdana" w:hAnsi="Verdana"/>
          <w:sz w:val="20"/>
        </w:rPr>
        <w:footnoteReference w:id="13"/>
      </w:r>
      <w:r>
        <w:rPr>
          <w:rFonts w:ascii="Verdana" w:hAnsi="Verdana" w:cs="Arial"/>
          <w:bCs/>
          <w:szCs w:val="24"/>
          <w:lang w:val="es-ES_tradnl" w:eastAsia="es-ES_tradnl"/>
        </w:rPr>
        <w:t>.</w:t>
      </w:r>
    </w:p>
    <w:p w14:paraId="56BB5B34" w14:textId="77777777" w:rsidR="00F2171E" w:rsidRPr="00C22134" w:rsidRDefault="00F2171E" w:rsidP="00F2171E">
      <w:pPr>
        <w:spacing w:after="0" w:line="276" w:lineRule="auto"/>
        <w:jc w:val="both"/>
        <w:rPr>
          <w:rFonts w:ascii="Verdana" w:eastAsia="Calibri" w:hAnsi="Verdana" w:cs="Arial"/>
          <w:lang w:val="es-ES"/>
        </w:rPr>
      </w:pPr>
    </w:p>
    <w:p w14:paraId="6CA6CFAD" w14:textId="77777777" w:rsidR="00F2171E" w:rsidRPr="00A0389A"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El régimen aplicable combina derecho público y privado. Por la remisión del inciso primero del artículo 13 de la Ley 80 de 1993, rigen las disposiciones del Código de Comercio sobre cesión de contratos —artículos 887 y siguientes—, pero solo ante la ausencia de norma que regule el asunto de manera particular para el contrato estatal. Y el Estatuto sí contiene normas especiales: el inciso tercero del artículo 41 prescribe que “los contratos estatales son intuito personae y, en consecuencia, una vez celebrados no podrán cederse sin previa autorización escrita de la entidad contratante”, disposición que “contiene una prohibición general –faceta negativa– y una autorización excepcional –faceta positiva–”</w:t>
      </w:r>
      <w:r>
        <w:rPr>
          <w:rStyle w:val="Refdenotaalpie"/>
          <w:rFonts w:ascii="Verdana" w:hAnsi="Verdana"/>
          <w:sz w:val="20"/>
        </w:rPr>
        <w:footnoteReference w:id="14"/>
      </w:r>
      <w:r>
        <w:rPr>
          <w:rFonts w:ascii="Verdana" w:hAnsi="Verdana" w:cs="Arial"/>
          <w:bCs/>
          <w:szCs w:val="24"/>
          <w:lang w:val="es-ES_tradnl" w:eastAsia="es-ES_tradnl"/>
        </w:rPr>
        <w:t>.</w:t>
      </w:r>
    </w:p>
    <w:p w14:paraId="567A0E5E" w14:textId="77777777" w:rsidR="00F2171E" w:rsidRPr="00C22134" w:rsidRDefault="00F2171E" w:rsidP="00F2171E">
      <w:pPr>
        <w:spacing w:after="0" w:line="276" w:lineRule="auto"/>
        <w:jc w:val="both"/>
        <w:rPr>
          <w:rFonts w:ascii="Verdana" w:eastAsia="Calibri" w:hAnsi="Verdana" w:cs="Arial"/>
          <w:lang w:val="es-ES"/>
        </w:rPr>
      </w:pPr>
    </w:p>
    <w:p w14:paraId="238602FE" w14:textId="77777777" w:rsidR="00F2171E" w:rsidRPr="00A0389A"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A ello se suma la previsión específica del artículo 9, cuyo inciso tercero dispone: “Si la inhabilidad o incompatibilidad sobreviene en uno de los miembros de un consorcio o unión temporal, este cederá su participación a un tercero previa autorización escrita de la entidad contratante. En ningún caso podrá haber cesión del contrato entre quienes integran el consorcio o unión temporal”</w:t>
      </w:r>
      <w:r>
        <w:rPr>
          <w:rStyle w:val="Refdenotaalpie"/>
          <w:rFonts w:ascii="Verdana" w:hAnsi="Verdana"/>
          <w:sz w:val="20"/>
        </w:rPr>
        <w:footnoteReference w:id="15"/>
      </w:r>
      <w:r>
        <w:rPr>
          <w:rFonts w:ascii="Verdana" w:hAnsi="Verdana" w:cs="Arial"/>
          <w:bCs/>
          <w:szCs w:val="24"/>
          <w:lang w:val="es-ES_tradnl" w:eastAsia="es-ES_tradnl"/>
        </w:rPr>
        <w:t>.</w:t>
      </w:r>
    </w:p>
    <w:p w14:paraId="672D91C1" w14:textId="77777777" w:rsidR="00F2171E" w:rsidRPr="00C22134" w:rsidRDefault="00F2171E" w:rsidP="00F2171E">
      <w:pPr>
        <w:spacing w:after="0" w:line="276" w:lineRule="auto"/>
        <w:jc w:val="both"/>
        <w:rPr>
          <w:rFonts w:ascii="Verdana" w:eastAsia="Calibri" w:hAnsi="Verdana" w:cs="Arial"/>
          <w:lang w:val="es-ES"/>
        </w:rPr>
      </w:pPr>
    </w:p>
    <w:p w14:paraId="5A3D7DE4" w14:textId="77777777" w:rsidR="00F2171E" w:rsidRPr="00A0389A"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Esta Subdirección fijó el alcance de esa expresión en términos que no dejan margen de duda: ella “significa que los miembros de estas figuras asociativas no pueden transferirse entre sí la participación contractual ni redistribuir internamente las obligaciones, porcentajes o derechos derivados del contrato </w:t>
      </w:r>
      <w:r>
        <w:rPr>
          <w:rFonts w:ascii="Verdana" w:hAnsi="Verdana" w:cs="Arial"/>
          <w:bCs/>
          <w:szCs w:val="24"/>
          <w:lang w:val="es-ES_tradnl" w:eastAsia="es-ES_tradnl"/>
        </w:rPr>
        <w:lastRenderedPageBreak/>
        <w:t>estatal”. Y, correlativamente, precisó que “la continuidad del contrato solo puede asegurarse mediante una cesión externa, autorizada de manera previa, expresa y formal por la entidad, conforme a las exigencias del inciso tercero del artículo 41 de la Ley 80 de 1993”</w:t>
      </w:r>
      <w:r>
        <w:rPr>
          <w:rStyle w:val="Refdenotaalpie"/>
          <w:rFonts w:ascii="Verdana" w:hAnsi="Verdana"/>
          <w:sz w:val="20"/>
        </w:rPr>
        <w:footnoteReference w:id="16"/>
      </w:r>
      <w:r>
        <w:rPr>
          <w:rFonts w:ascii="Verdana" w:hAnsi="Verdana" w:cs="Arial"/>
          <w:bCs/>
          <w:szCs w:val="24"/>
          <w:lang w:val="es-ES_tradnl" w:eastAsia="es-ES_tradnl"/>
        </w:rPr>
        <w:t>.</w:t>
      </w:r>
    </w:p>
    <w:p w14:paraId="0413796F" w14:textId="77777777" w:rsidR="00F2171E" w:rsidRPr="00C22134" w:rsidRDefault="00F2171E" w:rsidP="00F2171E">
      <w:pPr>
        <w:spacing w:after="0" w:line="276" w:lineRule="auto"/>
        <w:jc w:val="both"/>
        <w:rPr>
          <w:rFonts w:ascii="Verdana" w:eastAsia="Calibri" w:hAnsi="Verdana" w:cs="Arial"/>
          <w:lang w:val="es-ES"/>
        </w:rPr>
      </w:pPr>
    </w:p>
    <w:p w14:paraId="7A26567C" w14:textId="03534105" w:rsidR="00F2171E" w:rsidRPr="00A0389A"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ii) El segundo problema indaga si esa prohibición opera solo cuando la cesión obedece a una inhabilidad sobreviniente. La respuesta es negativa, y se apoya en tres órdenes de razones que </w:t>
      </w:r>
      <w:r w:rsidR="00E051F1">
        <w:rPr>
          <w:rFonts w:ascii="Verdana" w:hAnsi="Verdana" w:cs="Arial"/>
          <w:bCs/>
          <w:szCs w:val="24"/>
          <w:lang w:val="es-ES_tradnl" w:eastAsia="es-ES_tradnl"/>
        </w:rPr>
        <w:t xml:space="preserve">deben </w:t>
      </w:r>
      <w:r>
        <w:rPr>
          <w:rFonts w:ascii="Verdana" w:hAnsi="Verdana" w:cs="Arial"/>
          <w:bCs/>
          <w:szCs w:val="24"/>
          <w:lang w:val="es-ES_tradnl" w:eastAsia="es-ES_tradnl"/>
        </w:rPr>
        <w:t>exponer</w:t>
      </w:r>
      <w:r w:rsidR="00E051F1">
        <w:rPr>
          <w:rFonts w:ascii="Verdana" w:hAnsi="Verdana" w:cs="Arial"/>
          <w:bCs/>
          <w:szCs w:val="24"/>
          <w:lang w:val="es-ES_tradnl" w:eastAsia="es-ES_tradnl"/>
        </w:rPr>
        <w:t>se</w:t>
      </w:r>
      <w:r>
        <w:rPr>
          <w:rFonts w:ascii="Verdana" w:hAnsi="Verdana" w:cs="Arial"/>
          <w:bCs/>
          <w:szCs w:val="24"/>
          <w:lang w:val="es-ES_tradnl" w:eastAsia="es-ES_tradnl"/>
        </w:rPr>
        <w:t xml:space="preserve"> separadamente.</w:t>
      </w:r>
    </w:p>
    <w:p w14:paraId="2BD0D7F9" w14:textId="77777777" w:rsidR="00F2171E" w:rsidRPr="00C22134" w:rsidRDefault="00F2171E" w:rsidP="00F2171E">
      <w:pPr>
        <w:spacing w:after="0" w:line="276" w:lineRule="auto"/>
        <w:jc w:val="both"/>
        <w:rPr>
          <w:rFonts w:ascii="Verdana" w:eastAsia="Calibri" w:hAnsi="Verdana" w:cs="Arial"/>
          <w:lang w:val="es-ES"/>
        </w:rPr>
      </w:pPr>
    </w:p>
    <w:p w14:paraId="05FA27C7" w14:textId="77777777" w:rsidR="00F2171E" w:rsidRPr="00A0389A"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La primera es textual. El legislador no dijo que la cesión entre integrantes fuera improcedente “en ese caso” o “para tales efectos”, sino “en ningún caso”. La expresión es universal y está contenida en una oración autónoma, gramaticalmente separada de la hipótesis que la precede. Donde el legislador no distingue no le es dado distinguir al intérprete, máxime cuando el sentido de la ley es claro</w:t>
      </w:r>
      <w:r>
        <w:rPr>
          <w:rStyle w:val="Refdenotaalpie"/>
          <w:rFonts w:ascii="Verdana" w:hAnsi="Verdana"/>
          <w:sz w:val="20"/>
        </w:rPr>
        <w:footnoteReference w:id="17"/>
      </w:r>
      <w:r>
        <w:rPr>
          <w:rFonts w:ascii="Verdana" w:hAnsi="Verdana" w:cs="Arial"/>
          <w:bCs/>
          <w:szCs w:val="24"/>
          <w:lang w:val="es-ES_tradnl" w:eastAsia="es-ES_tradnl"/>
        </w:rPr>
        <w:t>.</w:t>
      </w:r>
    </w:p>
    <w:p w14:paraId="68D4B93C" w14:textId="77777777" w:rsidR="00F2171E" w:rsidRPr="00C22134" w:rsidRDefault="00F2171E" w:rsidP="00F2171E">
      <w:pPr>
        <w:spacing w:after="0" w:line="276" w:lineRule="auto"/>
        <w:jc w:val="both"/>
        <w:rPr>
          <w:rFonts w:ascii="Verdana" w:eastAsia="Calibri" w:hAnsi="Verdana" w:cs="Arial"/>
          <w:lang w:val="es-ES"/>
        </w:rPr>
      </w:pPr>
    </w:p>
    <w:p w14:paraId="43D318A0" w14:textId="77777777" w:rsidR="00F2171E" w:rsidRPr="00A0389A"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La segunda es estructural, y es la que explica por qué el legislador pudo expresarse en términos tan amplios. Si la cesión supone por definición la entrada de un tercero ajeno a los contratantes iniciales, un integrante del mismo consorcio o unión temporal no puede ser cesionario, porque ya es parte de la estructura plural que suscribió el contrato y, por tanto, no es ajeno a él. Vista así, la prohibición del artículo 9 no introduce una restricción excepcional aplicable solo a la inhabilidad: hace explícita, en el contexto en que podía resultar tentador ensayarla, una imposibilidad que deriva de la naturaleza de la figura</w:t>
      </w:r>
      <w:r>
        <w:rPr>
          <w:rStyle w:val="Refdenotaalpie"/>
          <w:rFonts w:ascii="Verdana" w:hAnsi="Verdana"/>
          <w:sz w:val="20"/>
        </w:rPr>
        <w:footnoteReference w:id="18"/>
      </w:r>
      <w:r>
        <w:rPr>
          <w:rFonts w:ascii="Verdana" w:hAnsi="Verdana" w:cs="Arial"/>
          <w:bCs/>
          <w:szCs w:val="24"/>
          <w:lang w:val="es-ES_tradnl" w:eastAsia="es-ES_tradnl"/>
        </w:rPr>
        <w:t>.</w:t>
      </w:r>
    </w:p>
    <w:p w14:paraId="14648633" w14:textId="77777777" w:rsidR="00F2171E" w:rsidRPr="00C22134" w:rsidRDefault="00F2171E" w:rsidP="00F2171E">
      <w:pPr>
        <w:spacing w:after="0" w:line="276" w:lineRule="auto"/>
        <w:jc w:val="both"/>
        <w:rPr>
          <w:rFonts w:ascii="Verdana" w:eastAsia="Calibri" w:hAnsi="Verdana" w:cs="Arial"/>
          <w:lang w:val="es-ES"/>
        </w:rPr>
      </w:pPr>
    </w:p>
    <w:p w14:paraId="6F7CFE5C" w14:textId="2BF21B88" w:rsidR="00F2171E" w:rsidRPr="00A0389A"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Esta Subdirección ha recordado que los consorcios y las uniones temporales no son personas jurídicas y que su capacidad se limita al campo de la contratación estatal con las entidades sometidas al Estatuto, de modo que los numerales correspondientes del artículo 7 “no les otorgan capacidad respecto a las </w:t>
      </w:r>
      <w:r>
        <w:rPr>
          <w:rFonts w:ascii="Verdana" w:hAnsi="Verdana" w:cs="Arial"/>
          <w:bCs/>
          <w:szCs w:val="24"/>
          <w:lang w:val="es-ES_tradnl" w:eastAsia="es-ES_tradnl"/>
        </w:rPr>
        <w:lastRenderedPageBreak/>
        <w:t>relaciones entre particulares, como las que surgen entre el cedente y el cesionario del contrato. Como este último debe ser un tercero, es indispensable la personalidad jurídica”</w:t>
      </w:r>
      <w:r>
        <w:rPr>
          <w:rStyle w:val="Refdenotaalpie"/>
          <w:rFonts w:ascii="Verdana" w:hAnsi="Verdana"/>
          <w:sz w:val="20"/>
        </w:rPr>
        <w:footnoteReference w:id="19"/>
      </w:r>
      <w:r>
        <w:rPr>
          <w:rFonts w:ascii="Verdana" w:hAnsi="Verdana" w:cs="Arial"/>
          <w:bCs/>
          <w:szCs w:val="24"/>
          <w:lang w:val="es-ES_tradnl" w:eastAsia="es-ES_tradnl"/>
        </w:rPr>
        <w:t>.</w:t>
      </w:r>
    </w:p>
    <w:p w14:paraId="2936F33A" w14:textId="77777777" w:rsidR="00F2171E" w:rsidRPr="00C22134" w:rsidRDefault="00F2171E" w:rsidP="00F2171E">
      <w:pPr>
        <w:spacing w:after="0" w:line="276" w:lineRule="auto"/>
        <w:jc w:val="both"/>
        <w:rPr>
          <w:rFonts w:ascii="Verdana" w:eastAsia="Calibri" w:hAnsi="Verdana" w:cs="Arial"/>
          <w:lang w:val="es-ES"/>
        </w:rPr>
      </w:pPr>
    </w:p>
    <w:p w14:paraId="3C1DCFD0" w14:textId="77777777" w:rsidR="00F2171E" w:rsidRPr="00A0389A"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La tercera razón es finalística. La cesión está sujeta a los principios que gobiernan la selección del contratista. Siguiendo a la Sección Tercera del Consejo de Estado, esta Subdirección ha señalado que, como el cesionario asume la posición contractual del cedente, “la capacidad jurídica, económica y técnica del contratista cedente se exigirá también al cesionario”, ya que “el proceso [de] cesión del contrato y las exigencias que se le impongan al tercero, no pueden alterar ni burlar los procedimientos de selección del contratista”</w:t>
      </w:r>
      <w:r>
        <w:rPr>
          <w:rStyle w:val="Refdenotaalpie"/>
          <w:rFonts w:ascii="Verdana" w:hAnsi="Verdana"/>
          <w:sz w:val="20"/>
        </w:rPr>
        <w:footnoteReference w:id="20"/>
      </w:r>
      <w:r>
        <w:rPr>
          <w:rFonts w:ascii="Verdana" w:hAnsi="Verdana" w:cs="Arial"/>
          <w:bCs/>
          <w:szCs w:val="24"/>
          <w:lang w:val="es-ES_tradnl" w:eastAsia="es-ES_tradnl"/>
        </w:rPr>
        <w:t>.</w:t>
      </w:r>
    </w:p>
    <w:p w14:paraId="5EBA2CF0" w14:textId="77777777" w:rsidR="00F2171E" w:rsidRPr="00C22134" w:rsidRDefault="00F2171E" w:rsidP="00F2171E">
      <w:pPr>
        <w:spacing w:after="0" w:line="276" w:lineRule="auto"/>
        <w:jc w:val="both"/>
        <w:rPr>
          <w:rFonts w:ascii="Verdana" w:eastAsia="Calibri" w:hAnsi="Verdana" w:cs="Arial"/>
          <w:lang w:val="es-ES"/>
        </w:rPr>
      </w:pPr>
    </w:p>
    <w:p w14:paraId="275ACCE1" w14:textId="77777777" w:rsidR="00F2171E" w:rsidRPr="00A0389A"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De ahí la conclusión que la propia Subdirección extrae: “la entidad estatal en el trámite de autorización de una cesión de posición contractual está obligada a respetar los criterios normativos que resulten aplicables al proceso de contratación, entre otros, los principios de transparencia, selección objetiva e igualdad. En otros términos, so pretexto de una cesión contractual, no pueden vulnerarse las reglas y principios de la contratación estatal”. Una transferencia interna de la participación alteraría la composición y los porcentajes de la oferta adjudicada sin que ingrese sujeto alguno que acredite los requisitos habilitantes en la proporción asumida, lo que es precisamente el resultado que la norma quiere impedir</w:t>
      </w:r>
      <w:r>
        <w:rPr>
          <w:rStyle w:val="Refdenotaalpie"/>
          <w:rFonts w:ascii="Verdana" w:hAnsi="Verdana"/>
          <w:sz w:val="20"/>
        </w:rPr>
        <w:footnoteReference w:id="21"/>
      </w:r>
      <w:r>
        <w:rPr>
          <w:rFonts w:ascii="Verdana" w:hAnsi="Verdana" w:cs="Arial"/>
          <w:bCs/>
          <w:szCs w:val="24"/>
          <w:lang w:val="es-ES_tradnl" w:eastAsia="es-ES_tradnl"/>
        </w:rPr>
        <w:t>.</w:t>
      </w:r>
    </w:p>
    <w:p w14:paraId="61729779" w14:textId="77777777" w:rsidR="00F2171E" w:rsidRPr="00C22134" w:rsidRDefault="00F2171E" w:rsidP="00F2171E">
      <w:pPr>
        <w:spacing w:after="0" w:line="276" w:lineRule="auto"/>
        <w:jc w:val="both"/>
        <w:rPr>
          <w:rFonts w:ascii="Verdana" w:eastAsia="Calibri" w:hAnsi="Verdana" w:cs="Arial"/>
          <w:lang w:val="es-ES"/>
        </w:rPr>
      </w:pPr>
    </w:p>
    <w:p w14:paraId="0429DE98" w14:textId="77777777" w:rsidR="00F2171E" w:rsidRPr="00A0389A"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iii) El tercer problema reúne dos cuestiones: en qué eventos procede la cesión y si esta puede recaer sobre una parte del porcentaje de participación. Sobre lo primero, de lo expuesto se desprende que no existen casos en que sea posible la cesión entre integrantes: el único supuesto que el ordenamiento admite es la </w:t>
      </w:r>
      <w:r>
        <w:rPr>
          <w:rFonts w:ascii="Verdana" w:hAnsi="Verdana" w:cs="Arial"/>
          <w:bCs/>
          <w:szCs w:val="24"/>
          <w:lang w:val="es-ES_tradnl" w:eastAsia="es-ES_tradnl"/>
        </w:rPr>
        <w:lastRenderedPageBreak/>
        <w:t>cesión de la participación a un tercero, previa autorización escrita de la entidad contratante</w:t>
      </w:r>
      <w:r>
        <w:rPr>
          <w:rStyle w:val="Refdenotaalpie"/>
          <w:rFonts w:ascii="Verdana" w:hAnsi="Verdana"/>
          <w:sz w:val="20"/>
        </w:rPr>
        <w:footnoteReference w:id="22"/>
      </w:r>
      <w:r>
        <w:rPr>
          <w:rFonts w:ascii="Verdana" w:hAnsi="Verdana" w:cs="Arial"/>
          <w:bCs/>
          <w:szCs w:val="24"/>
          <w:lang w:val="es-ES_tradnl" w:eastAsia="es-ES_tradnl"/>
        </w:rPr>
        <w:t>.</w:t>
      </w:r>
    </w:p>
    <w:p w14:paraId="554D1455" w14:textId="77777777" w:rsidR="00F2171E" w:rsidRPr="00C22134" w:rsidRDefault="00F2171E" w:rsidP="00F2171E">
      <w:pPr>
        <w:spacing w:after="0" w:line="276" w:lineRule="auto"/>
        <w:jc w:val="both"/>
        <w:rPr>
          <w:rFonts w:ascii="Verdana" w:eastAsia="Calibri" w:hAnsi="Verdana" w:cs="Arial"/>
          <w:lang w:val="es-ES"/>
        </w:rPr>
      </w:pPr>
    </w:p>
    <w:p w14:paraId="0911D3AE" w14:textId="77777777" w:rsidR="00F2171E" w:rsidRPr="00A0389A"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Esa autorización está sujeta a reglas precisas. Esta Subdirección ha indicado que, para otorgarla, “la entidad debe verificar que el tercero propuesto cumpla los requisitos establecidos en el pliego de condiciones, en el contrato y en las demás disposiciones aplicables”, y que, acreditadas integralmente esas condiciones, “la entidad debe resolver la solicitud con fundamento en dichas reglas y en las condiciones que determinaron la posibilidad de efectuar la modificación de la estructura plural”</w:t>
      </w:r>
      <w:r>
        <w:rPr>
          <w:rStyle w:val="Refdenotaalpie"/>
          <w:rFonts w:ascii="Verdana" w:hAnsi="Verdana"/>
          <w:sz w:val="20"/>
        </w:rPr>
        <w:footnoteReference w:id="23"/>
      </w:r>
      <w:r>
        <w:rPr>
          <w:rFonts w:ascii="Verdana" w:hAnsi="Verdana" w:cs="Arial"/>
          <w:bCs/>
          <w:szCs w:val="24"/>
          <w:lang w:val="es-ES_tradnl" w:eastAsia="es-ES_tradnl"/>
        </w:rPr>
        <w:t>.</w:t>
      </w:r>
    </w:p>
    <w:p w14:paraId="0BF262AD" w14:textId="77777777" w:rsidR="00F2171E" w:rsidRPr="00C22134" w:rsidRDefault="00F2171E" w:rsidP="00F2171E">
      <w:pPr>
        <w:spacing w:after="0" w:line="276" w:lineRule="auto"/>
        <w:jc w:val="both"/>
        <w:rPr>
          <w:rFonts w:ascii="Verdana" w:eastAsia="Calibri" w:hAnsi="Verdana" w:cs="Arial"/>
          <w:lang w:val="es-ES"/>
        </w:rPr>
      </w:pPr>
    </w:p>
    <w:p w14:paraId="6CC03D9E" w14:textId="77777777" w:rsidR="00F2171E" w:rsidRPr="00A0389A"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La decisión tampoco es libre. El mismo concepto precisó que la autorización “no constituye una facultad discrecional absoluta de la entidad contratante”, que su ejercicio “debe sujetarse a las reglas previamente establecidas en el pliego de condiciones, al contrato y al ordenamiento jurídico, así como a los principios de transparencia, buena fe, responsabilidad y selección objetiva”, y que, cuando los requisitos están acreditados, “una eventual negativa debe sustentarse en razones objetivas, verificables y jurídicamente relevantes […] y no en criterios subjetivos o exigencias no previstas previamente”</w:t>
      </w:r>
      <w:r>
        <w:rPr>
          <w:rStyle w:val="Refdenotaalpie"/>
          <w:rFonts w:ascii="Verdana" w:hAnsi="Verdana"/>
          <w:sz w:val="20"/>
        </w:rPr>
        <w:footnoteReference w:id="24"/>
      </w:r>
      <w:r>
        <w:rPr>
          <w:rFonts w:ascii="Verdana" w:hAnsi="Verdana" w:cs="Arial"/>
          <w:bCs/>
          <w:szCs w:val="24"/>
          <w:lang w:val="es-ES_tradnl" w:eastAsia="es-ES_tradnl"/>
        </w:rPr>
        <w:t>.</w:t>
      </w:r>
    </w:p>
    <w:p w14:paraId="2608CE23" w14:textId="77777777" w:rsidR="00F2171E" w:rsidRPr="00C22134" w:rsidRDefault="00F2171E" w:rsidP="00F2171E">
      <w:pPr>
        <w:spacing w:after="0" w:line="276" w:lineRule="auto"/>
        <w:jc w:val="both"/>
        <w:rPr>
          <w:rFonts w:ascii="Verdana" w:eastAsia="Calibri" w:hAnsi="Verdana" w:cs="Arial"/>
          <w:lang w:val="es-ES"/>
        </w:rPr>
      </w:pPr>
    </w:p>
    <w:p w14:paraId="3AD8D23B" w14:textId="77777777" w:rsidR="00F2171E" w:rsidRPr="00A0389A"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Sobre lo segundo —la cesión de una parte del porcentaje—, la doctrina de esta Subdirección admite que el cesionario sea “quien asume total o parcialmente los derechos y obligaciones” del cedente, y recuerda que el Código de Comercio permite la transferencia “total o parcial” de los derechos y obligaciones surgidos del contrato. La cesión parcial no está, pues, excluida en abstracto</w:t>
      </w:r>
      <w:r>
        <w:rPr>
          <w:rStyle w:val="Refdenotaalpie"/>
          <w:rFonts w:ascii="Verdana" w:hAnsi="Verdana"/>
          <w:sz w:val="20"/>
        </w:rPr>
        <w:footnoteReference w:id="25"/>
      </w:r>
      <w:r>
        <w:rPr>
          <w:rFonts w:ascii="Verdana" w:hAnsi="Verdana" w:cs="Arial"/>
          <w:bCs/>
          <w:szCs w:val="24"/>
          <w:lang w:val="es-ES_tradnl" w:eastAsia="es-ES_tradnl"/>
        </w:rPr>
        <w:t>.</w:t>
      </w:r>
    </w:p>
    <w:p w14:paraId="2B060025" w14:textId="77777777" w:rsidR="00F2171E" w:rsidRPr="00C22134" w:rsidRDefault="00F2171E" w:rsidP="00F2171E">
      <w:pPr>
        <w:spacing w:after="0" w:line="276" w:lineRule="auto"/>
        <w:jc w:val="both"/>
        <w:rPr>
          <w:rFonts w:ascii="Verdana" w:eastAsia="Calibri" w:hAnsi="Verdana" w:cs="Arial"/>
          <w:lang w:val="es-ES"/>
        </w:rPr>
      </w:pPr>
    </w:p>
    <w:p w14:paraId="204055B3" w14:textId="4AE479C8" w:rsidR="00F2171E" w:rsidRPr="00A0389A" w:rsidRDefault="00DA7689"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Sin embargo, d</w:t>
      </w:r>
      <w:r w:rsidR="00F2171E">
        <w:rPr>
          <w:rFonts w:ascii="Verdana" w:hAnsi="Verdana" w:cs="Arial"/>
          <w:bCs/>
          <w:szCs w:val="24"/>
          <w:lang w:val="es-ES_tradnl" w:eastAsia="es-ES_tradnl"/>
        </w:rPr>
        <w:t xml:space="preserve">os condiciones la gobiernan. La primera es la que ya se expuso: el cesionario debe ser un tercero y debe acreditar los requisitos habilitantes en </w:t>
      </w:r>
      <w:r w:rsidR="00F2171E">
        <w:rPr>
          <w:rFonts w:ascii="Verdana" w:hAnsi="Verdana" w:cs="Arial"/>
          <w:bCs/>
          <w:szCs w:val="24"/>
          <w:lang w:val="es-ES_tradnl" w:eastAsia="es-ES_tradnl"/>
        </w:rPr>
        <w:lastRenderedPageBreak/>
        <w:t>la proporción que asume, de manera que una cesión parcial se traduce en el ingreso de un nuevo integrante a la estructura plural y no en el incremento de la participación de los demás. La segunda es que la operación altera los términos y la extensión de la participación, y el parágrafo 1 del artículo 7 de la Ley 80 de 1993 dispone que estos “no podrán ser modificados sin el consentimiento previo de la entidad estatal contratante”</w:t>
      </w:r>
      <w:r w:rsidR="00F2171E">
        <w:rPr>
          <w:rStyle w:val="Refdenotaalpie"/>
          <w:rFonts w:ascii="Verdana" w:hAnsi="Verdana"/>
          <w:sz w:val="20"/>
        </w:rPr>
        <w:footnoteReference w:id="26"/>
      </w:r>
      <w:r w:rsidR="00F2171E">
        <w:rPr>
          <w:rFonts w:ascii="Verdana" w:hAnsi="Verdana" w:cs="Arial"/>
          <w:bCs/>
          <w:szCs w:val="24"/>
          <w:lang w:val="es-ES_tradnl" w:eastAsia="es-ES_tradnl"/>
        </w:rPr>
        <w:t>.</w:t>
      </w:r>
    </w:p>
    <w:p w14:paraId="5F2467BA" w14:textId="77777777" w:rsidR="00F2171E" w:rsidRPr="00C22134" w:rsidRDefault="00F2171E" w:rsidP="00F2171E">
      <w:pPr>
        <w:spacing w:after="0" w:line="276" w:lineRule="auto"/>
        <w:jc w:val="both"/>
        <w:rPr>
          <w:rFonts w:ascii="Verdana" w:eastAsia="Calibri" w:hAnsi="Verdana" w:cs="Arial"/>
          <w:lang w:val="es-ES"/>
        </w:rPr>
      </w:pPr>
    </w:p>
    <w:p w14:paraId="12AC3126" w14:textId="398FB67B" w:rsidR="00F2171E" w:rsidRPr="00A0389A" w:rsidRDefault="00DA7689"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Es necesario </w:t>
      </w:r>
      <w:r w:rsidR="00F2171E">
        <w:rPr>
          <w:rFonts w:ascii="Verdana" w:hAnsi="Verdana" w:cs="Arial"/>
          <w:bCs/>
          <w:szCs w:val="24"/>
          <w:lang w:val="es-ES_tradnl" w:eastAsia="es-ES_tradnl"/>
        </w:rPr>
        <w:t>en este punto distinguir dos operaciones que suelen confundirse. Una cosa es la cesión —transferencia de la posición contractual a un tercero— y otra la modificación del acuerdo privado que da origen a la estructura plural. Respecto de esta última, esta Subdirección ha señalado que “los integrantes del consorcio o de la unión temporal conservan la facultad de ajustar el acuerdo, en virtud del principio de autonomía de la voluntad”, y que “pueden informar a la entidad contratante sobre la necesidad de modificar el documento y acordar una redistribución de las actividades”, siempre dentro del límite del parágrafo 1 del artículo 7</w:t>
      </w:r>
      <w:r w:rsidR="00F2171E">
        <w:rPr>
          <w:rStyle w:val="Refdenotaalpie"/>
          <w:rFonts w:ascii="Verdana" w:hAnsi="Verdana"/>
          <w:sz w:val="20"/>
        </w:rPr>
        <w:footnoteReference w:id="27"/>
      </w:r>
      <w:r w:rsidR="00F2171E">
        <w:rPr>
          <w:rFonts w:ascii="Verdana" w:hAnsi="Verdana" w:cs="Arial"/>
          <w:bCs/>
          <w:szCs w:val="24"/>
          <w:lang w:val="es-ES_tradnl" w:eastAsia="es-ES_tradnl"/>
        </w:rPr>
        <w:t>.</w:t>
      </w:r>
    </w:p>
    <w:p w14:paraId="72E64BD4" w14:textId="77777777" w:rsidR="00F2171E" w:rsidRPr="00C22134" w:rsidRDefault="00F2171E" w:rsidP="00F2171E">
      <w:pPr>
        <w:spacing w:after="0" w:line="276" w:lineRule="auto"/>
        <w:jc w:val="both"/>
        <w:rPr>
          <w:rFonts w:ascii="Verdana" w:eastAsia="Calibri" w:hAnsi="Verdana" w:cs="Arial"/>
          <w:lang w:val="es-ES"/>
        </w:rPr>
      </w:pPr>
    </w:p>
    <w:p w14:paraId="07F7F9BB" w14:textId="77777777" w:rsidR="00F2171E" w:rsidRPr="00A0389A"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La distinción no autoriza, con todo, a reintroducir por esta vía lo que el artículo 9 prohíbe. El ajuste del acuerdo opera sobre la organización interna de las actividades y requiere el consentimiento previo de la entidad; no es un título para que un integrante adquiera la participación de otro ni para suplir la cesión externa cuando esta es legalmente obligatoria, como ocurre en el supuesto de la inhabilidad sobreviniente. Así lo impone la lectura conjunta de ambas disposiciones y la advertencia de esta Subdirección sobre la imposibilidad de redistribuir internamente porcentajes o derechos derivados del contrato</w:t>
      </w:r>
      <w:r>
        <w:rPr>
          <w:rStyle w:val="Refdenotaalpie"/>
          <w:rFonts w:ascii="Verdana" w:hAnsi="Verdana"/>
          <w:sz w:val="20"/>
        </w:rPr>
        <w:footnoteReference w:id="28"/>
      </w:r>
      <w:r>
        <w:rPr>
          <w:rFonts w:ascii="Verdana" w:hAnsi="Verdana" w:cs="Arial"/>
          <w:bCs/>
          <w:szCs w:val="24"/>
          <w:lang w:val="es-ES_tradnl" w:eastAsia="es-ES_tradnl"/>
        </w:rPr>
        <w:t>.</w:t>
      </w:r>
    </w:p>
    <w:p w14:paraId="4F343C32" w14:textId="77777777" w:rsidR="00F2171E" w:rsidRPr="00C22134" w:rsidRDefault="00F2171E" w:rsidP="00F2171E">
      <w:pPr>
        <w:spacing w:after="0" w:line="276" w:lineRule="auto"/>
        <w:jc w:val="both"/>
        <w:rPr>
          <w:rFonts w:ascii="Verdana" w:eastAsia="Calibri" w:hAnsi="Verdana" w:cs="Arial"/>
          <w:lang w:val="es-ES"/>
        </w:rPr>
      </w:pPr>
    </w:p>
    <w:p w14:paraId="6C4EACDE" w14:textId="77777777" w:rsidR="00F2171E"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Se reitera, para cerrar, que la aplicación de estos criterios a una situación concreta corresponde a la entidad estatal en ejercicio de su autonomía, a los </w:t>
      </w:r>
      <w:r>
        <w:rPr>
          <w:rFonts w:ascii="Verdana" w:hAnsi="Verdana" w:cs="Arial"/>
          <w:bCs/>
          <w:szCs w:val="24"/>
          <w:lang w:val="es-ES_tradnl" w:eastAsia="es-ES_tradnl"/>
        </w:rPr>
        <w:lastRenderedPageBreak/>
        <w:t>organismos de control en el ámbito de sus competencias y, en último término, al juez del contrato; y que este concepto se emite en los términos del artículo 28 del Código de Procedimiento Administrativo y de lo Contencioso Administrativo</w:t>
      </w:r>
      <w:r>
        <w:rPr>
          <w:rStyle w:val="Refdenotaalpie"/>
          <w:rFonts w:ascii="Verdana" w:hAnsi="Verdana"/>
          <w:sz w:val="20"/>
        </w:rPr>
        <w:footnoteReference w:id="29"/>
      </w:r>
      <w:r>
        <w:rPr>
          <w:rFonts w:ascii="Verdana" w:hAnsi="Verdana" w:cs="Arial"/>
          <w:bCs/>
          <w:szCs w:val="24"/>
          <w:lang w:val="es-ES_tradnl" w:eastAsia="es-ES_tradnl"/>
        </w:rPr>
        <w:t>.</w:t>
      </w:r>
    </w:p>
    <w:p w14:paraId="30F18260" w14:textId="77777777" w:rsidR="00DA7689" w:rsidRPr="00A0389A" w:rsidRDefault="00DA7689" w:rsidP="00F2171E">
      <w:pPr>
        <w:spacing w:after="0" w:line="276" w:lineRule="auto"/>
        <w:jc w:val="both"/>
        <w:rPr>
          <w:rFonts w:ascii="Verdana" w:hAnsi="Verdana" w:cs="Arial"/>
          <w:bCs/>
          <w:szCs w:val="24"/>
          <w:lang w:val="es-ES_tradnl" w:eastAsia="es-ES_tradnl"/>
        </w:rPr>
      </w:pPr>
    </w:p>
    <w:bookmarkEnd w:id="0"/>
    <w:p w14:paraId="214AB743" w14:textId="77777777" w:rsidR="00F2171E" w:rsidRDefault="00F2171E" w:rsidP="00F2171E">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t xml:space="preserve">Referencias normativas, jurisprudenciales y otras fuentes </w:t>
      </w:r>
    </w:p>
    <w:p w14:paraId="4A654D7F" w14:textId="77777777" w:rsidR="00F2171E" w:rsidRPr="00215B71" w:rsidRDefault="00F2171E" w:rsidP="00F2171E">
      <w:pPr>
        <w:tabs>
          <w:tab w:val="left" w:pos="142"/>
          <w:tab w:val="left" w:pos="284"/>
        </w:tabs>
        <w:spacing w:after="0" w:line="276" w:lineRule="auto"/>
        <w:ind w:left="720"/>
        <w:contextualSpacing/>
        <w:jc w:val="both"/>
        <w:rPr>
          <w:rFonts w:ascii="Verdana" w:eastAsia="Century Gothic" w:hAnsi="Verdana" w:cs="Century Gothic"/>
          <w:b/>
          <w:bCs/>
          <w:lang w:val="es-ES"/>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2171E" w:rsidRPr="009037F6" w14:paraId="56DBFA2B" w14:textId="77777777" w:rsidTr="002002AD">
        <w:trPr>
          <w:trHeight w:val="487"/>
          <w:jc w:val="center"/>
        </w:trPr>
        <w:tc>
          <w:tcPr>
            <w:tcW w:w="8647" w:type="dxa"/>
          </w:tcPr>
          <w:p w14:paraId="2B5AD7E8" w14:textId="77777777" w:rsidR="00F2171E" w:rsidRDefault="00F2171E" w:rsidP="002002AD">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Normativa: Constitución Política, artículos 23 y 29. Código Civil, artículo 27. Código de Comercio, artículos 887, 890, 891, 895 y 896. Ley 80 de 1993, artículos 7 —numerales 6 y 7 y parágrafo 1, modificado por el artículo 3 de la Ley 2160 de 2021—, 8 —numeral 1, literal j)—, 9 y 9A —modificado y adicionado por los artículos 6 y 8 de la Ley 2014 de 2019—, 13, 23, 24, 29 y 41 —inciso tercero—. Ley 1150 de 2007, artículos 5 y 9. Ley 1437 de 2011, artículo 28, sustituido por el artículo 1 de la Ley 1755 de 2015. Decreto Ley 4170 de 2011, artículos 3 —numeral 5— y 11 —numeral 8—. Decreto 1082 de 2015. Resolución 469 de 2025 de la ANCP-CCE.</w:t>
            </w:r>
          </w:p>
          <w:p w14:paraId="57199FCB" w14:textId="77777777" w:rsidR="00F2171E" w:rsidRDefault="00F2171E" w:rsidP="002002AD">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Jurisprudencia: Corte Constitucional, Sentencias C-221 de 1996 y C-037 de 2021. Consejo de Estado, Sección Tercera y Sala de Consulta y Servicio Civil, pronunciamientos citados en los conceptos de esta Subdirección que se relacionan.</w:t>
            </w:r>
          </w:p>
          <w:p w14:paraId="0D1417A6" w14:textId="77777777" w:rsidR="00F2171E" w:rsidRDefault="00F2171E" w:rsidP="002002AD">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Conceptos de la ANCP-CCE: Subdirección de Gestión Contractual. Conceptos C-021 de 2024, C-157 de 2024, C-1027 de 2024, C-1694 de 2025, C-009 de 2026, C-111 de 2026, C-241 de 2026, C-934 de 2026, C-1032 de 2026, C-1073 de 2026, C-1160 de 2026, C-1206 de 2026, C-1317 de 2026 y C-1343 de 2026.</w:t>
            </w:r>
          </w:p>
        </w:tc>
      </w:tr>
    </w:tbl>
    <w:p w14:paraId="50192CAB" w14:textId="77777777" w:rsidR="00F2171E" w:rsidRPr="009037F6" w:rsidRDefault="00F2171E" w:rsidP="00F2171E">
      <w:pPr>
        <w:widowControl w:val="0"/>
        <w:autoSpaceDE w:val="0"/>
        <w:autoSpaceDN w:val="0"/>
        <w:spacing w:after="0" w:line="276" w:lineRule="auto"/>
        <w:jc w:val="both"/>
        <w:rPr>
          <w:rFonts w:ascii="Verdana" w:hAnsi="Verdana" w:cs="Arial"/>
        </w:rPr>
      </w:pPr>
    </w:p>
    <w:p w14:paraId="51A8853D" w14:textId="77777777" w:rsidR="00ED5114" w:rsidRDefault="00ED5114" w:rsidP="00ED5114">
      <w:pPr>
        <w:tabs>
          <w:tab w:val="left" w:pos="142"/>
          <w:tab w:val="left" w:pos="284"/>
        </w:tabs>
        <w:spacing w:after="0" w:line="276" w:lineRule="auto"/>
        <w:ind w:left="720"/>
        <w:contextualSpacing/>
        <w:jc w:val="both"/>
        <w:rPr>
          <w:rFonts w:ascii="Verdana" w:eastAsia="Century Gothic" w:hAnsi="Verdana" w:cs="Century Gothic"/>
          <w:b/>
          <w:bCs/>
          <w:lang w:val="es-ES"/>
        </w:rPr>
      </w:pPr>
    </w:p>
    <w:p w14:paraId="70D38F49" w14:textId="404C7EC8" w:rsidR="00F2171E" w:rsidRDefault="00F2171E" w:rsidP="00F2171E">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t>Doctrina de la Agencia Nacional de Contratación Pública:</w:t>
      </w:r>
    </w:p>
    <w:p w14:paraId="33847545" w14:textId="77777777" w:rsidR="00ED5114" w:rsidRPr="009037F6" w:rsidRDefault="00ED5114" w:rsidP="00ED5114">
      <w:pPr>
        <w:tabs>
          <w:tab w:val="left" w:pos="142"/>
          <w:tab w:val="left" w:pos="284"/>
        </w:tabs>
        <w:spacing w:after="0" w:line="276" w:lineRule="auto"/>
        <w:ind w:left="720"/>
        <w:contextualSpacing/>
        <w:jc w:val="both"/>
        <w:rPr>
          <w:rFonts w:ascii="Verdana" w:eastAsia="Century Gothic" w:hAnsi="Verdana" w:cs="Century Gothic"/>
          <w:b/>
          <w:bCs/>
          <w:lang w:val="es-ES"/>
        </w:rPr>
      </w:pPr>
    </w:p>
    <w:p w14:paraId="7F2CC453" w14:textId="77777777" w:rsidR="00F2171E" w:rsidRPr="009037F6" w:rsidRDefault="00F2171E" w:rsidP="00F2171E">
      <w:pPr>
        <w:widowControl w:val="0"/>
        <w:autoSpaceDE w:val="0"/>
        <w:autoSpaceDN w:val="0"/>
        <w:spacing w:after="0" w:line="276" w:lineRule="auto"/>
        <w:jc w:val="both"/>
        <w:rPr>
          <w:rFonts w:ascii="Verdana" w:hAnsi="Verdana" w:cs="Arial"/>
        </w:rPr>
      </w:pPr>
    </w:p>
    <w:p w14:paraId="73749810" w14:textId="77777777" w:rsidR="00F2171E" w:rsidRDefault="00F2171E" w:rsidP="00F2171E">
      <w:pPr>
        <w:widowControl w:val="0"/>
        <w:autoSpaceDE w:val="0"/>
        <w:autoSpaceDN w:val="0"/>
        <w:spacing w:after="0" w:line="276" w:lineRule="auto"/>
        <w:jc w:val="both"/>
        <w:rPr>
          <w:rStyle w:val="normaltextrun"/>
          <w:rFonts w:ascii="Verdana" w:hAnsi="Verdana" w:cs="Arial"/>
          <w:shd w:val="clear" w:color="auto" w:fill="FFFFFF"/>
        </w:rPr>
      </w:pPr>
      <w:r>
        <w:rPr>
          <w:rFonts w:ascii="Verdana" w:hAnsi="Verdana" w:cs="Arial"/>
          <w:shd w:val="clear" w:color="auto" w:fill="FFFFFF"/>
        </w:rPr>
        <w:t xml:space="preserve">Esta Subdirección se ha pronunciado sobre la noción, los sujetos y los requisitos </w:t>
      </w:r>
      <w:r>
        <w:rPr>
          <w:rFonts w:ascii="Verdana" w:hAnsi="Verdana" w:cs="Arial"/>
          <w:shd w:val="clear" w:color="auto" w:fill="FFFFFF"/>
        </w:rPr>
        <w:lastRenderedPageBreak/>
        <w:t>de la cesión del contrato estatal en los Conceptos C-157 de 2024, C-934 de 2026, C-009 de 2026 y C-1317 de 2026; sobre el carácter intuito personae del contrato estatal y la prohibición general del inciso tercero del artículo 41 de la Ley 80 de 1993, en los Conceptos C-111 de 2026 y C-934 de 2026; sobre el alcance de la prohibición de cesión entre integrantes de un consorcio o unión temporal y la exigencia de cesión externa, en los Conceptos C-1032 de 2026 y C-1073 de 2026; sobre las condiciones y los límites de la autorización de la cesión de la participación, en el Concepto C-1343 de 2026; sobre la imposibilidad de que el cesionario sea una estructura plural, en los Conceptos C-157 de 2024 y C-1206 de 2026; sobre la modificación del acuerdo de la estructura plural y el consentimiento previo de la entidad, en los Conceptos C-241 de 2026 y C-021 de 2024; y sobre los efectos de la inhabilidad sobreviniente y su régimen especial, en los Conceptos C-1160 de 2026, C-1694 de 2025 y C-1027 de 2024. Los conceptos emitidos por la Agencia pueden consultarse en el siguiente enlace:</w:t>
      </w:r>
    </w:p>
    <w:p w14:paraId="5AFA9E03" w14:textId="77777777" w:rsidR="00F2171E" w:rsidRDefault="00F2171E" w:rsidP="00F2171E">
      <w:pPr>
        <w:widowControl w:val="0"/>
        <w:autoSpaceDE w:val="0"/>
        <w:autoSpaceDN w:val="0"/>
        <w:spacing w:after="0" w:line="276" w:lineRule="auto"/>
        <w:jc w:val="both"/>
        <w:rPr>
          <w:rStyle w:val="normaltextrun"/>
          <w:rFonts w:ascii="Verdana" w:hAnsi="Verdana" w:cs="Arial"/>
          <w:shd w:val="clear" w:color="auto" w:fill="FFFFFF"/>
        </w:rPr>
      </w:pPr>
    </w:p>
    <w:p w14:paraId="5B8CD133" w14:textId="77777777" w:rsidR="00F2171E" w:rsidRPr="009037F6" w:rsidRDefault="00F2171E" w:rsidP="00F2171E">
      <w:pPr>
        <w:spacing w:after="0" w:line="256" w:lineRule="auto"/>
        <w:jc w:val="both"/>
        <w:rPr>
          <w:rFonts w:ascii="Verdana" w:eastAsia="Calibri" w:hAnsi="Verdana" w:cs="Times New Roman"/>
        </w:rPr>
      </w:pPr>
      <w:hyperlink r:id="rId12" w:history="1">
        <w:r w:rsidRPr="009037F6">
          <w:rPr>
            <w:rFonts w:ascii="Verdana" w:eastAsia="Calibri" w:hAnsi="Verdana" w:cs="Times New Roman"/>
            <w:color w:val="0000FF"/>
            <w:u w:val="single"/>
            <w:lang w:val="es-ES"/>
          </w:rPr>
          <w:t>https://relatoria.colombiacompra.gov.co/busqueda/conceptos</w:t>
        </w:r>
      </w:hyperlink>
    </w:p>
    <w:p w14:paraId="444271E3" w14:textId="77777777" w:rsidR="00F2171E" w:rsidRDefault="00F2171E" w:rsidP="00F2171E">
      <w:pPr>
        <w:spacing w:after="0"/>
        <w:jc w:val="both"/>
        <w:rPr>
          <w:rFonts w:ascii="Verdana" w:hAnsi="Verdana"/>
        </w:rPr>
      </w:pPr>
    </w:p>
    <w:p w14:paraId="6A599741" w14:textId="77777777" w:rsidR="00ED5114" w:rsidRPr="009037F6" w:rsidRDefault="00ED5114" w:rsidP="00F2171E">
      <w:pPr>
        <w:spacing w:after="0"/>
        <w:jc w:val="both"/>
        <w:rPr>
          <w:rFonts w:ascii="Verdana" w:hAnsi="Verdana"/>
        </w:rPr>
      </w:pPr>
    </w:p>
    <w:p w14:paraId="4417DB92" w14:textId="77777777" w:rsidR="00F2171E" w:rsidRDefault="00F2171E" w:rsidP="00F2171E">
      <w:pPr>
        <w:spacing w:after="0"/>
        <w:jc w:val="both"/>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w:t>
      </w:r>
      <w:r w:rsidRPr="00215B71">
        <w:rPr>
          <w:rFonts w:ascii="Verdana" w:hAnsi="Verdana"/>
        </w:rPr>
        <w:t>Nacional de Contratación Pública –Colombia Compra Eficiente– te invita a realizar el Curso de Contratación Pública Sostenible y Socialmente Responsable, una herramienta clave para fortalecer las capacidades de todos</w:t>
      </w:r>
      <w:r w:rsidRPr="009A385A">
        <w:rPr>
          <w:rFonts w:ascii="Verdana" w:hAnsi="Verdana"/>
        </w:rPr>
        <w:t xml:space="preserve">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3" w:tgtFrame="_new" w:history="1">
        <w:r w:rsidRPr="009A385A">
          <w:rPr>
            <w:rStyle w:val="Hipervnculo"/>
            <w:rFonts w:ascii="Verdana" w:hAnsi="Verdana"/>
          </w:rPr>
          <w:t>https://formacionvirtual.colombiacompra.gov.co/mod/page/view.php?id=3718</w:t>
        </w:r>
      </w:hyperlink>
    </w:p>
    <w:p w14:paraId="1F7AA52C" w14:textId="77777777" w:rsidR="00ED5114" w:rsidRDefault="00ED5114" w:rsidP="00F2171E">
      <w:pPr>
        <w:spacing w:after="0"/>
        <w:jc w:val="both"/>
      </w:pPr>
    </w:p>
    <w:p w14:paraId="624F3C2A" w14:textId="77777777" w:rsidR="00F2171E" w:rsidRPr="009A385A" w:rsidRDefault="00F2171E" w:rsidP="00F2171E">
      <w:pPr>
        <w:spacing w:after="0"/>
        <w:jc w:val="both"/>
        <w:rPr>
          <w:rFonts w:ascii="Verdana" w:hAnsi="Verdana"/>
        </w:rPr>
      </w:pPr>
    </w:p>
    <w:p w14:paraId="14C40614" w14:textId="77777777" w:rsidR="00F2171E" w:rsidRDefault="00F2171E" w:rsidP="00F2171E">
      <w:pPr>
        <w:spacing w:after="0"/>
        <w:jc w:val="both"/>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w:t>
      </w:r>
      <w:r w:rsidRPr="00215B71">
        <w:rPr>
          <w:rFonts w:ascii="Verdana" w:hAnsi="Verdana"/>
        </w:rPr>
        <w:t>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w:t>
      </w:r>
      <w:r w:rsidRPr="00635F16">
        <w:rPr>
          <w:rFonts w:ascii="Verdana" w:hAnsi="Verdana"/>
        </w:rPr>
        <w:t xml:space="preserve"> como educación, salud, cultura, recreación</w:t>
      </w:r>
      <w:r>
        <w:rPr>
          <w:rFonts w:ascii="Verdana" w:hAnsi="Verdana"/>
        </w:rPr>
        <w:t xml:space="preserve">, </w:t>
      </w:r>
      <w:r w:rsidRPr="00635F16">
        <w:rPr>
          <w:rFonts w:ascii="Verdana" w:hAnsi="Verdana"/>
        </w:rPr>
        <w:t xml:space="preserve">deporte, institucional y vivienda. Consulta y descarga los </w:t>
      </w:r>
      <w:r w:rsidRPr="00635F16">
        <w:rPr>
          <w:rFonts w:ascii="Verdana" w:hAnsi="Verdana"/>
        </w:rPr>
        <w:lastRenderedPageBreak/>
        <w:t xml:space="preserve">documentos aquí: </w:t>
      </w:r>
      <w:hyperlink r:id="rId14" w:tgtFrame="_new" w:history="1">
        <w:r w:rsidRPr="00635F16">
          <w:rPr>
            <w:rStyle w:val="Hipervnculo"/>
            <w:rFonts w:ascii="Verdana" w:hAnsi="Verdana"/>
          </w:rPr>
          <w:t>https://www.colombiacompra.gov.co/normativa-y-relatoria/documentos-tipo</w:t>
        </w:r>
      </w:hyperlink>
    </w:p>
    <w:p w14:paraId="3F29F98B" w14:textId="77777777" w:rsidR="00F2171E" w:rsidRDefault="00F2171E" w:rsidP="00F2171E">
      <w:pPr>
        <w:spacing w:after="0"/>
        <w:jc w:val="both"/>
        <w:rPr>
          <w:rFonts w:ascii="Verdana" w:hAnsi="Verdana"/>
        </w:rPr>
      </w:pPr>
    </w:p>
    <w:p w14:paraId="2C0350AE" w14:textId="77777777" w:rsidR="00ED5114" w:rsidRDefault="00ED5114" w:rsidP="00F2171E">
      <w:pPr>
        <w:spacing w:after="0"/>
        <w:jc w:val="both"/>
        <w:rPr>
          <w:rFonts w:ascii="Verdana" w:hAnsi="Verdana"/>
        </w:rPr>
      </w:pPr>
    </w:p>
    <w:p w14:paraId="48571FE3" w14:textId="77777777" w:rsidR="00F2171E" w:rsidRPr="008E1CD7" w:rsidRDefault="00F2171E" w:rsidP="00F2171E">
      <w:pPr>
        <w:spacing w:after="0"/>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w:t>
      </w:r>
      <w:r w:rsidRPr="00215B71">
        <w:rPr>
          <w:rFonts w:ascii="Verdana" w:hAnsi="Verdana"/>
        </w:rPr>
        <w:t>la última versión de la Guía para la comprensión e implementación de los Documentos Tipo de obra pública de infraestructura de transporte. En</w:t>
      </w:r>
      <w:r w:rsidRPr="00797327">
        <w:rPr>
          <w:rFonts w:ascii="Verdana" w:hAnsi="Verdana"/>
        </w:rPr>
        <w:t xml:space="preserve">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5"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516F31DD" w14:textId="77777777" w:rsidR="00F2171E" w:rsidRDefault="00F2171E" w:rsidP="00F2171E">
      <w:pPr>
        <w:shd w:val="clear" w:color="auto" w:fill="FFFFFF"/>
        <w:spacing w:after="0" w:line="276" w:lineRule="auto"/>
        <w:jc w:val="both"/>
        <w:rPr>
          <w:rFonts w:ascii="Verdana" w:hAnsi="Verdana"/>
          <w:color w:val="000000"/>
          <w:u w:val="single"/>
        </w:rPr>
      </w:pPr>
    </w:p>
    <w:p w14:paraId="6CBD936A" w14:textId="77777777" w:rsidR="00ED5114" w:rsidRDefault="00ED5114" w:rsidP="00F2171E">
      <w:pPr>
        <w:shd w:val="clear" w:color="auto" w:fill="FFFFFF"/>
        <w:spacing w:after="0" w:line="276" w:lineRule="auto"/>
        <w:jc w:val="both"/>
        <w:rPr>
          <w:rFonts w:ascii="Verdana" w:hAnsi="Verdana"/>
          <w:color w:val="000000"/>
          <w:u w:val="single"/>
        </w:rPr>
      </w:pPr>
    </w:p>
    <w:p w14:paraId="31D8C26E" w14:textId="77777777" w:rsidR="00F2171E" w:rsidRPr="0038088D" w:rsidRDefault="00F2171E" w:rsidP="00F2171E">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w:t>
      </w:r>
      <w:r w:rsidRPr="0038088D">
        <w:rPr>
          <w:rFonts w:ascii="Verdana" w:hAnsi="Verdana"/>
        </w:rPr>
        <w:t xml:space="preserve">atención: </w:t>
      </w:r>
    </w:p>
    <w:p w14:paraId="63A7B2F3" w14:textId="77777777" w:rsidR="00F2171E" w:rsidRPr="0038088D" w:rsidRDefault="00F2171E" w:rsidP="00F2171E">
      <w:pPr>
        <w:spacing w:after="0"/>
        <w:jc w:val="both"/>
        <w:rPr>
          <w:rFonts w:ascii="Verdana" w:hAnsi="Verdana"/>
        </w:rPr>
      </w:pPr>
    </w:p>
    <w:p w14:paraId="33890EF0" w14:textId="77777777" w:rsidR="00F2171E" w:rsidRPr="0038088D" w:rsidRDefault="00F2171E" w:rsidP="00F2171E">
      <w:pPr>
        <w:pStyle w:val="Prrafodelista"/>
        <w:numPr>
          <w:ilvl w:val="0"/>
          <w:numId w:val="15"/>
        </w:numPr>
        <w:spacing w:after="0" w:line="240" w:lineRule="auto"/>
        <w:jc w:val="both"/>
        <w:rPr>
          <w:rFonts w:ascii="Verdana" w:eastAsia="Verdana" w:hAnsi="Verdana" w:cs="Verdana"/>
          <w:color w:val="4472C4" w:themeColor="accent1"/>
          <w:u w:val="single"/>
        </w:rPr>
      </w:pPr>
      <w:r w:rsidRPr="0038088D">
        <w:rPr>
          <w:rFonts w:ascii="Verdana" w:eastAsia="Verdana" w:hAnsi="Verdana" w:cs="Verdana"/>
        </w:rPr>
        <w:t xml:space="preserve">Línea nacional gratuita o servicio a la ciudadanía (Mesa de servicio): </w:t>
      </w:r>
      <w:r w:rsidRPr="0038088D">
        <w:rPr>
          <w:rStyle w:val="Hipervnculo"/>
          <w:rFonts w:ascii="Verdana" w:hAnsi="Verdana"/>
        </w:rPr>
        <w:t>01800 0520808</w:t>
      </w:r>
    </w:p>
    <w:p w14:paraId="2C0ECDED" w14:textId="77777777" w:rsidR="00F2171E" w:rsidRPr="0038088D" w:rsidRDefault="00F2171E" w:rsidP="00F2171E">
      <w:pPr>
        <w:pStyle w:val="Prrafodelista"/>
        <w:numPr>
          <w:ilvl w:val="0"/>
          <w:numId w:val="15"/>
        </w:numPr>
        <w:spacing w:after="0"/>
        <w:rPr>
          <w:rFonts w:ascii="Verdana" w:eastAsia="Verdana" w:hAnsi="Verdana" w:cs="Verdana"/>
          <w:color w:val="4472C4" w:themeColor="accent1"/>
          <w:u w:val="single"/>
        </w:rPr>
      </w:pPr>
      <w:r w:rsidRPr="0038088D">
        <w:rPr>
          <w:rFonts w:ascii="Verdana" w:eastAsia="Verdana" w:hAnsi="Verdana" w:cs="Verdana"/>
        </w:rPr>
        <w:t>Línea en Bogotá (Mesa de servicio</w:t>
      </w:r>
      <w:proofErr w:type="gramStart"/>
      <w:r w:rsidRPr="0038088D">
        <w:rPr>
          <w:rFonts w:ascii="Verdana" w:eastAsia="Verdana" w:hAnsi="Verdana" w:cs="Verdana"/>
        </w:rPr>
        <w:t>):</w:t>
      </w:r>
      <w:r w:rsidRPr="0038088D">
        <w:rPr>
          <w:rStyle w:val="Hipervnculo"/>
          <w:rFonts w:ascii="Verdana" w:hAnsi="Verdana"/>
        </w:rPr>
        <w:t>+</w:t>
      </w:r>
      <w:proofErr w:type="gramEnd"/>
      <w:r w:rsidRPr="0038088D">
        <w:rPr>
          <w:rStyle w:val="Hipervnculo"/>
          <w:rFonts w:ascii="Verdana" w:hAnsi="Verdana"/>
        </w:rPr>
        <w:t>57 601 7456788</w:t>
      </w:r>
    </w:p>
    <w:p w14:paraId="4EFED48A" w14:textId="77777777" w:rsidR="00F2171E" w:rsidRPr="0038088D" w:rsidRDefault="00F2171E" w:rsidP="00F2171E">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 xml:space="preserve">Correo de radicación de correspondencia: </w:t>
      </w:r>
      <w:hyperlink r:id="rId16">
        <w:r w:rsidRPr="0038088D">
          <w:rPr>
            <w:rStyle w:val="Hipervnculo"/>
            <w:rFonts w:ascii="Verdana" w:eastAsia="Verdana" w:hAnsi="Verdana" w:cs="Verdana"/>
          </w:rPr>
          <w:t>ventanilladeradicacion@colombiacompra.gov.co</w:t>
        </w:r>
      </w:hyperlink>
    </w:p>
    <w:p w14:paraId="212C8B00" w14:textId="3F193951" w:rsidR="00F2171E" w:rsidRPr="00ED5114" w:rsidRDefault="00F2171E" w:rsidP="00F2171E">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Formulario web para</w:t>
      </w:r>
      <w:r w:rsidRPr="0038088D">
        <w:rPr>
          <w:rFonts w:ascii="Verdana" w:eastAsia="Verdana" w:hAnsi="Verdana" w:cs="Verdana"/>
          <w:lang w:val="es"/>
        </w:rPr>
        <w:t xml:space="preserve"> PQRSD: </w:t>
      </w:r>
      <w:hyperlink r:id="rId17">
        <w:r w:rsidRPr="0038088D">
          <w:rPr>
            <w:rStyle w:val="Hipervnculo"/>
            <w:rFonts w:ascii="Verdana" w:eastAsia="Verdana" w:hAnsi="Verdana" w:cs="Verdana"/>
          </w:rPr>
          <w:t>https://www.colombiacompra.gov.co/pqrsd/informacion-importante-antes-de-formular-una-pqrsd</w:t>
        </w:r>
      </w:hyperlink>
    </w:p>
    <w:p w14:paraId="58795970" w14:textId="77777777" w:rsidR="00ED5114" w:rsidRPr="0038088D" w:rsidRDefault="00ED5114" w:rsidP="00F2171E">
      <w:pPr>
        <w:pStyle w:val="Prrafodelista"/>
        <w:numPr>
          <w:ilvl w:val="0"/>
          <w:numId w:val="15"/>
        </w:numPr>
        <w:spacing w:after="0"/>
        <w:rPr>
          <w:rFonts w:ascii="Verdana" w:eastAsia="Verdana" w:hAnsi="Verdana" w:cs="Verdana"/>
          <w:color w:val="0000FF"/>
          <w:u w:val="single"/>
        </w:rPr>
      </w:pPr>
    </w:p>
    <w:p w14:paraId="44DD42CF" w14:textId="77777777" w:rsidR="00F2171E" w:rsidRPr="0038088D" w:rsidRDefault="00F2171E" w:rsidP="00F2171E">
      <w:pPr>
        <w:spacing w:after="0" w:line="240" w:lineRule="auto"/>
        <w:ind w:left="720"/>
        <w:jc w:val="both"/>
        <w:rPr>
          <w:rFonts w:ascii="Verdana" w:hAnsi="Verdana"/>
        </w:rPr>
      </w:pPr>
    </w:p>
    <w:p w14:paraId="7758E7CC" w14:textId="77777777" w:rsidR="00F2171E" w:rsidRPr="0038088D" w:rsidRDefault="00F2171E" w:rsidP="00F2171E">
      <w:pPr>
        <w:spacing w:after="0" w:line="240" w:lineRule="auto"/>
        <w:rPr>
          <w:rFonts w:ascii="Verdana" w:hAnsi="Verdana"/>
        </w:rPr>
      </w:pPr>
      <w:r w:rsidRPr="0038088D">
        <w:rPr>
          <w:rFonts w:ascii="Verdana" w:hAnsi="Verdana"/>
        </w:rPr>
        <w:t>Evalúa el servicio que ofrece la Agencia por el canal de atención de PQRSD en el siguiente enlace :</w:t>
      </w:r>
      <w:hyperlink r:id="rId18" w:tgtFrame="_blank" w:tooltip="https://forms.office.com/r/pphywvs2sz" w:history="1">
        <w:r w:rsidRPr="0038088D">
          <w:rPr>
            <w:rStyle w:val="Hipervnculo"/>
            <w:rFonts w:ascii="Verdana" w:hAnsi="Verdana"/>
          </w:rPr>
          <w:t>https://forms.office.com/r/pPHyWVs2SZ</w:t>
        </w:r>
      </w:hyperlink>
      <w:r w:rsidRPr="0038088D">
        <w:rPr>
          <w:rFonts w:ascii="Verdana" w:hAnsi="Verdana"/>
        </w:rPr>
        <w:t xml:space="preserve"> .¡Ayúdanos a mejorar porque el compromiso es de todos!</w:t>
      </w:r>
    </w:p>
    <w:p w14:paraId="28C16CD4" w14:textId="77777777" w:rsidR="00F2171E" w:rsidRPr="0038088D" w:rsidRDefault="00F2171E" w:rsidP="00F2171E">
      <w:pPr>
        <w:spacing w:after="0" w:line="240" w:lineRule="auto"/>
        <w:rPr>
          <w:rFonts w:ascii="Verdana" w:hAnsi="Verdana"/>
        </w:rPr>
      </w:pPr>
    </w:p>
    <w:p w14:paraId="1F78D443" w14:textId="77777777" w:rsidR="00F2171E" w:rsidRPr="0038088D" w:rsidRDefault="00F2171E" w:rsidP="00F2171E">
      <w:pPr>
        <w:spacing w:after="0" w:line="240" w:lineRule="auto"/>
        <w:jc w:val="both"/>
        <w:rPr>
          <w:rFonts w:ascii="Verdana" w:hAnsi="Verdana"/>
        </w:rPr>
      </w:pPr>
      <w:r w:rsidRPr="0038088D">
        <w:rPr>
          <w:rFonts w:ascii="Verdana" w:hAnsi="Verdana"/>
        </w:rPr>
        <w:t xml:space="preserve">Por último, lo invitamos a seguirnos en las redes sociales en las cuales se difunde información institucional: </w:t>
      </w:r>
    </w:p>
    <w:p w14:paraId="7973E09C" w14:textId="77777777" w:rsidR="00F2171E" w:rsidRPr="00116940" w:rsidRDefault="00F2171E" w:rsidP="00F2171E">
      <w:pPr>
        <w:spacing w:after="0" w:line="240" w:lineRule="auto"/>
        <w:jc w:val="both"/>
        <w:rPr>
          <w:rFonts w:ascii="Verdana" w:hAnsi="Verdana"/>
        </w:rPr>
      </w:pPr>
    </w:p>
    <w:p w14:paraId="6D7CAB71" w14:textId="77777777" w:rsidR="00F2171E" w:rsidRPr="00116940" w:rsidRDefault="00F2171E" w:rsidP="00F2171E">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62CA081B" w14:textId="77777777" w:rsidR="00F2171E" w:rsidRPr="00116940" w:rsidRDefault="00F2171E" w:rsidP="00F2171E">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7BA5EFF6" w14:textId="77777777" w:rsidR="00F2171E" w:rsidRPr="00E22E6E" w:rsidRDefault="00F2171E" w:rsidP="00F2171E">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27F3AFBF" w14:textId="77777777" w:rsidR="00F2171E" w:rsidRPr="009C4035" w:rsidRDefault="00F2171E" w:rsidP="00F2171E">
      <w:pPr>
        <w:shd w:val="clear" w:color="auto" w:fill="FFFFFF"/>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4AAA0422" w14:textId="77777777" w:rsidR="00F2171E" w:rsidRPr="00593A5F" w:rsidRDefault="00F2171E" w:rsidP="00F2171E">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r>
        <w:rPr>
          <w:rFonts w:ascii="Verdana" w:hAnsi="Verdana" w:cs="Arial"/>
          <w:lang w:val="es-ES_tradnl"/>
        </w:rPr>
        <w:t xml:space="preserve"> </w:t>
      </w:r>
    </w:p>
    <w:p w14:paraId="776D6CB5" w14:textId="77777777" w:rsidR="00F2171E" w:rsidRDefault="00F2171E" w:rsidP="00F2171E">
      <w:pPr>
        <w:widowControl w:val="0"/>
        <w:autoSpaceDE w:val="0"/>
        <w:autoSpaceDN w:val="0"/>
        <w:spacing w:after="0" w:line="276" w:lineRule="auto"/>
        <w:jc w:val="both"/>
        <w:rPr>
          <w:rFonts w:ascii="Verdana" w:hAnsi="Verdana" w:cs="Arial"/>
        </w:rPr>
      </w:pPr>
    </w:p>
    <w:p w14:paraId="3BF04C39" w14:textId="77777777" w:rsidR="00F2171E" w:rsidRDefault="00F2171E" w:rsidP="00F2171E">
      <w:pPr>
        <w:spacing w:after="0" w:line="276" w:lineRule="auto"/>
        <w:rPr>
          <w:rFonts w:ascii="Verdana" w:eastAsia="Calibri" w:hAnsi="Verdana" w:cs="Arial"/>
          <w:lang w:val="es-ES" w:eastAsia="es-CO"/>
        </w:rPr>
      </w:pPr>
      <w:r w:rsidRPr="008D539F">
        <w:rPr>
          <w:rFonts w:ascii="Verdana" w:eastAsia="Times New Roman" w:hAnsi="Verdana" w:cs="Arial"/>
          <w:lang w:val="es-ES" w:eastAsia="es-CO"/>
        </w:rPr>
        <w:t>Atentamente,</w:t>
      </w:r>
      <w:r w:rsidRPr="008D539F">
        <w:rPr>
          <w:rFonts w:ascii="Verdana" w:eastAsia="Calibri" w:hAnsi="Verdana" w:cs="Arial"/>
          <w:lang w:val="es-ES" w:eastAsia="es-CO"/>
        </w:rPr>
        <w:t xml:space="preserve"> </w:t>
      </w:r>
    </w:p>
    <w:p w14:paraId="2DAFBA33" w14:textId="57B10F7B" w:rsidR="00DA7689" w:rsidRPr="00215B71" w:rsidRDefault="00EE0D82" w:rsidP="00F2171E">
      <w:pPr>
        <w:spacing w:after="0" w:line="276" w:lineRule="auto"/>
        <w:rPr>
          <w:rFonts w:ascii="Verdana" w:eastAsia="Calibri" w:hAnsi="Verdana" w:cs="Arial"/>
          <w:lang w:val="es-ES" w:eastAsia="es-CO"/>
        </w:rPr>
      </w:pPr>
      <w:r w:rsidRPr="000B510D">
        <w:rPr>
          <w:rFonts w:ascii="Verdana" w:eastAsia="Times New Roman" w:hAnsi="Verdana" w:cs="Arial"/>
          <w:noProof/>
          <w:lang w:eastAsia="es-ES"/>
        </w:rPr>
        <w:drawing>
          <wp:anchor distT="0" distB="0" distL="114300" distR="114300" simplePos="0" relativeHeight="251659264" behindDoc="0" locked="0" layoutInCell="1" allowOverlap="1" wp14:anchorId="68CD24A6" wp14:editId="1A2D1B2C">
            <wp:simplePos x="0" y="0"/>
            <wp:positionH relativeFrom="column">
              <wp:posOffset>1177428</wp:posOffset>
            </wp:positionH>
            <wp:positionV relativeFrom="paragraph">
              <wp:posOffset>11430</wp:posOffset>
            </wp:positionV>
            <wp:extent cx="3193152" cy="1189032"/>
            <wp:effectExtent l="0" t="0" r="7620" b="0"/>
            <wp:wrapSquare wrapText="bothSides"/>
            <wp:docPr id="20635452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545261" name=""/>
                    <pic:cNvPicPr/>
                  </pic:nvPicPr>
                  <pic:blipFill>
                    <a:blip r:embed="rId19">
                      <a:extLst>
                        <a:ext uri="{28A0092B-C50C-407E-A947-70E740481C1C}">
                          <a14:useLocalDpi xmlns:a14="http://schemas.microsoft.com/office/drawing/2010/main" val="0"/>
                        </a:ext>
                      </a:extLst>
                    </a:blip>
                    <a:stretch>
                      <a:fillRect/>
                    </a:stretch>
                  </pic:blipFill>
                  <pic:spPr>
                    <a:xfrm>
                      <a:off x="0" y="0"/>
                      <a:ext cx="3193152" cy="1189032"/>
                    </a:xfrm>
                    <a:prstGeom prst="rect">
                      <a:avLst/>
                    </a:prstGeom>
                  </pic:spPr>
                </pic:pic>
              </a:graphicData>
            </a:graphic>
          </wp:anchor>
        </w:drawing>
      </w:r>
    </w:p>
    <w:p w14:paraId="6627A9FB" w14:textId="32FB2E93" w:rsidR="00DA7689" w:rsidRDefault="00DA7689" w:rsidP="00DA7689">
      <w:pPr>
        <w:spacing w:after="0" w:line="254" w:lineRule="auto"/>
        <w:jc w:val="center"/>
        <w:rPr>
          <w:rFonts w:ascii="Verdana" w:eastAsia="Times New Roman" w:hAnsi="Verdana" w:cs="Arial"/>
          <w:lang w:eastAsia="es-ES"/>
        </w:rPr>
      </w:pPr>
    </w:p>
    <w:p w14:paraId="1AB0EE88" w14:textId="0206BDEE" w:rsidR="00DA7689" w:rsidRDefault="00DA7689" w:rsidP="00DA7689">
      <w:pPr>
        <w:spacing w:after="0" w:line="254" w:lineRule="auto"/>
        <w:rPr>
          <w:rFonts w:ascii="Verdana" w:eastAsia="Times New Roman" w:hAnsi="Verdana" w:cs="Arial"/>
          <w:lang w:eastAsia="es-ES"/>
        </w:rPr>
      </w:pPr>
    </w:p>
    <w:p w14:paraId="10BBA3E9" w14:textId="77777777" w:rsidR="00DA7689" w:rsidRDefault="00DA7689" w:rsidP="00DA7689">
      <w:pPr>
        <w:spacing w:after="0" w:line="254" w:lineRule="auto"/>
        <w:rPr>
          <w:rFonts w:ascii="Verdana" w:eastAsia="Times New Roman" w:hAnsi="Verdana" w:cs="Arial"/>
          <w:lang w:eastAsia="es-ES"/>
        </w:rPr>
      </w:pPr>
    </w:p>
    <w:p w14:paraId="5DCFA123" w14:textId="77777777" w:rsidR="00EE0D82" w:rsidRDefault="00EE0D82" w:rsidP="00DA7689">
      <w:pPr>
        <w:spacing w:after="0" w:line="254" w:lineRule="auto"/>
        <w:rPr>
          <w:rFonts w:ascii="Verdana" w:eastAsia="Times New Roman" w:hAnsi="Verdana" w:cs="Arial"/>
          <w:b/>
          <w:bCs/>
          <w:lang w:eastAsia="es-ES"/>
        </w:rPr>
      </w:pPr>
    </w:p>
    <w:p w14:paraId="32E7A616" w14:textId="77777777" w:rsidR="00EE0D82" w:rsidRDefault="00EE0D82" w:rsidP="00DA7689">
      <w:pPr>
        <w:spacing w:after="0" w:line="254" w:lineRule="auto"/>
        <w:rPr>
          <w:rFonts w:ascii="Verdana" w:eastAsia="Times New Roman" w:hAnsi="Verdana" w:cs="Arial"/>
          <w:b/>
          <w:bCs/>
          <w:lang w:eastAsia="es-ES"/>
        </w:rPr>
      </w:pPr>
    </w:p>
    <w:p w14:paraId="4C2FC262" w14:textId="5EDCD8D0" w:rsidR="00ED5114" w:rsidRPr="008D539F" w:rsidRDefault="00ED5114" w:rsidP="00ED5114">
      <w:pPr>
        <w:tabs>
          <w:tab w:val="left" w:pos="1097"/>
        </w:tabs>
        <w:spacing w:after="0" w:line="240" w:lineRule="auto"/>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DA7689" w:rsidRPr="008D539F" w14:paraId="70221BD0" w14:textId="77777777" w:rsidTr="007601B2">
        <w:trPr>
          <w:trHeight w:val="322"/>
        </w:trPr>
        <w:tc>
          <w:tcPr>
            <w:tcW w:w="733" w:type="dxa"/>
            <w:tcBorders>
              <w:top w:val="nil"/>
              <w:left w:val="nil"/>
              <w:bottom w:val="nil"/>
              <w:right w:val="nil"/>
            </w:tcBorders>
            <w:vAlign w:val="center"/>
            <w:hideMark/>
          </w:tcPr>
          <w:p w14:paraId="0377EBE9" w14:textId="77777777" w:rsidR="00DA7689" w:rsidRPr="008D539F" w:rsidRDefault="00DA7689" w:rsidP="007601B2">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Times New Roman"/>
                <w:sz w:val="16"/>
                <w:szCs w:val="16"/>
                <w:lang w:val="es-MX" w:eastAsia="es-CO"/>
              </w:rPr>
              <w:t>Elaboró:         </w:t>
            </w:r>
            <w:r w:rsidRPr="008D539F">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2AA1EC43" w14:textId="77777777" w:rsidR="00DA7689" w:rsidRPr="008D539F" w:rsidRDefault="00DA7689" w:rsidP="007601B2">
            <w:pPr>
              <w:spacing w:after="0" w:line="254" w:lineRule="auto"/>
              <w:rPr>
                <w:rFonts w:ascii="Verdana" w:eastAsia="Times New Roman" w:hAnsi="Verdana" w:cs="Arial"/>
                <w:sz w:val="16"/>
                <w:szCs w:val="16"/>
                <w:lang w:val="es-ES_tradnl" w:eastAsia="es-ES"/>
              </w:rPr>
            </w:pPr>
            <w:r w:rsidRPr="008D539F">
              <w:rPr>
                <w:rFonts w:ascii="Verdana" w:eastAsia="Times New Roman" w:hAnsi="Verdana" w:cs="Arial"/>
                <w:sz w:val="16"/>
                <w:szCs w:val="16"/>
                <w:lang w:val="es-ES_tradnl" w:eastAsia="es-ES"/>
              </w:rPr>
              <w:t xml:space="preserve">Camilo José Martínez </w:t>
            </w:r>
            <w:proofErr w:type="spellStart"/>
            <w:r w:rsidRPr="008D539F">
              <w:rPr>
                <w:rFonts w:ascii="Verdana" w:eastAsia="Times New Roman" w:hAnsi="Verdana" w:cs="Arial"/>
                <w:sz w:val="16"/>
                <w:szCs w:val="16"/>
                <w:lang w:val="es-ES_tradnl" w:eastAsia="es-ES"/>
              </w:rPr>
              <w:t>Martínez</w:t>
            </w:r>
            <w:proofErr w:type="spellEnd"/>
          </w:p>
          <w:p w14:paraId="20F19D09" w14:textId="77777777" w:rsidR="00DA7689" w:rsidRPr="008D539F" w:rsidRDefault="00DA7689" w:rsidP="007601B2">
            <w:pPr>
              <w:spacing w:after="0" w:line="254" w:lineRule="auto"/>
              <w:rPr>
                <w:rFonts w:ascii="Verdana" w:eastAsia="Times New Roman" w:hAnsi="Verdana" w:cs="Arial"/>
                <w:sz w:val="16"/>
                <w:szCs w:val="16"/>
                <w:lang w:val="es-ES_tradnl" w:eastAsia="es-ES"/>
              </w:rPr>
            </w:pPr>
            <w:r w:rsidRPr="008D539F">
              <w:rPr>
                <w:rFonts w:ascii="Verdana" w:eastAsia="Times New Roman" w:hAnsi="Verdana" w:cs="Arial"/>
                <w:sz w:val="16"/>
                <w:szCs w:val="16"/>
                <w:lang w:eastAsia="es-ES"/>
              </w:rPr>
              <w:t xml:space="preserve">Contratista </w:t>
            </w:r>
            <w:r w:rsidRPr="008D539F">
              <w:rPr>
                <w:rFonts w:ascii="Verdana" w:eastAsia="Times New Roman" w:hAnsi="Verdana" w:cs="Times New Roman"/>
                <w:sz w:val="16"/>
                <w:szCs w:val="16"/>
                <w:lang w:eastAsia="es-CO"/>
              </w:rPr>
              <w:t>de la Subdirección de Gestión Contractual</w:t>
            </w:r>
          </w:p>
        </w:tc>
      </w:tr>
      <w:tr w:rsidR="00DA7689" w:rsidRPr="008D539F" w14:paraId="69727769" w14:textId="77777777" w:rsidTr="007601B2">
        <w:trPr>
          <w:trHeight w:val="322"/>
        </w:trPr>
        <w:tc>
          <w:tcPr>
            <w:tcW w:w="733" w:type="dxa"/>
            <w:tcBorders>
              <w:top w:val="nil"/>
              <w:left w:val="nil"/>
              <w:bottom w:val="nil"/>
              <w:right w:val="nil"/>
            </w:tcBorders>
            <w:vAlign w:val="center"/>
            <w:hideMark/>
          </w:tcPr>
          <w:p w14:paraId="6791E795" w14:textId="77777777" w:rsidR="00DA7689" w:rsidRPr="008D539F" w:rsidRDefault="00DA7689" w:rsidP="007601B2">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Times New Roman"/>
                <w:sz w:val="16"/>
                <w:szCs w:val="16"/>
                <w:lang w:val="es-MX" w:eastAsia="es-CO"/>
              </w:rPr>
              <w:t>Revisó:</w:t>
            </w:r>
            <w:r w:rsidRPr="008D539F">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636E240E" w14:textId="1C46338C" w:rsidR="00DA7689" w:rsidRPr="008D539F" w:rsidRDefault="00DA7689" w:rsidP="007601B2">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eastAsia="es-CO"/>
              </w:rPr>
              <w:t xml:space="preserve">Adriana </w:t>
            </w:r>
            <w:r w:rsidR="00ED5114">
              <w:rPr>
                <w:rFonts w:ascii="Verdana" w:eastAsia="Times New Roman" w:hAnsi="Verdana" w:cs="Times New Roman"/>
                <w:sz w:val="16"/>
                <w:szCs w:val="16"/>
                <w:lang w:eastAsia="es-CO"/>
              </w:rPr>
              <w:t xml:space="preserve">López </w:t>
            </w:r>
          </w:p>
          <w:p w14:paraId="136A20A1" w14:textId="77777777" w:rsidR="00DA7689" w:rsidRPr="008D539F" w:rsidRDefault="00DA7689" w:rsidP="007601B2">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Arial"/>
                <w:sz w:val="16"/>
                <w:szCs w:val="16"/>
                <w:lang w:eastAsia="es-ES"/>
              </w:rPr>
              <w:t xml:space="preserve">Contratista </w:t>
            </w:r>
            <w:r w:rsidRPr="008D539F">
              <w:rPr>
                <w:rFonts w:ascii="Verdana" w:eastAsia="Times New Roman" w:hAnsi="Verdana" w:cs="Times New Roman"/>
                <w:sz w:val="16"/>
                <w:szCs w:val="16"/>
                <w:lang w:eastAsia="es-CO"/>
              </w:rPr>
              <w:t>de la Subdirección de Gestión Contractual</w:t>
            </w:r>
          </w:p>
        </w:tc>
      </w:tr>
      <w:tr w:rsidR="00DA7689" w:rsidRPr="008D539F" w14:paraId="16B40F54" w14:textId="77777777" w:rsidTr="007601B2">
        <w:trPr>
          <w:trHeight w:val="307"/>
        </w:trPr>
        <w:tc>
          <w:tcPr>
            <w:tcW w:w="733" w:type="dxa"/>
            <w:tcBorders>
              <w:top w:val="nil"/>
              <w:left w:val="nil"/>
              <w:bottom w:val="nil"/>
              <w:right w:val="nil"/>
            </w:tcBorders>
            <w:vAlign w:val="center"/>
            <w:hideMark/>
          </w:tcPr>
          <w:p w14:paraId="675BD674" w14:textId="77777777" w:rsidR="00DA7689" w:rsidRPr="008D539F" w:rsidRDefault="00DA7689" w:rsidP="007601B2">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Times New Roman"/>
                <w:sz w:val="16"/>
                <w:szCs w:val="16"/>
                <w:lang w:val="es-MX" w:eastAsia="es-CO"/>
              </w:rPr>
              <w:t>Aprobó:</w:t>
            </w:r>
            <w:r w:rsidRPr="008D539F">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493EFBC7" w14:textId="77777777" w:rsidR="00DA7689" w:rsidRPr="008D539F" w:rsidRDefault="00DA7689" w:rsidP="007601B2">
            <w:pPr>
              <w:spacing w:after="0" w:line="254" w:lineRule="auto"/>
              <w:rPr>
                <w:rFonts w:ascii="Verdana" w:eastAsia="Times New Roman" w:hAnsi="Verdana" w:cs="Arial"/>
                <w:sz w:val="16"/>
                <w:szCs w:val="16"/>
                <w:lang w:eastAsia="es-ES"/>
              </w:rPr>
            </w:pPr>
            <w:r>
              <w:rPr>
                <w:rFonts w:ascii="Verdana" w:eastAsia="Times New Roman" w:hAnsi="Verdana" w:cs="Arial"/>
                <w:sz w:val="16"/>
                <w:szCs w:val="16"/>
                <w:lang w:eastAsia="es-ES"/>
              </w:rPr>
              <w:t xml:space="preserve">William Javier Murcia Acevedo </w:t>
            </w:r>
          </w:p>
          <w:p w14:paraId="104DE0C1" w14:textId="77777777" w:rsidR="00DA7689" w:rsidRPr="008D539F" w:rsidRDefault="00DA7689" w:rsidP="007601B2">
            <w:pPr>
              <w:spacing w:after="0" w:line="254" w:lineRule="auto"/>
              <w:rPr>
                <w:rFonts w:ascii="Verdana" w:eastAsia="Times New Roman" w:hAnsi="Verdana" w:cs="Arial"/>
                <w:sz w:val="16"/>
                <w:szCs w:val="16"/>
                <w:lang w:eastAsia="es-ES"/>
              </w:rPr>
            </w:pPr>
            <w:r w:rsidRPr="008D539F">
              <w:rPr>
                <w:rFonts w:ascii="Verdana" w:eastAsia="Times New Roman" w:hAnsi="Verdana" w:cs="Arial"/>
                <w:sz w:val="16"/>
                <w:szCs w:val="16"/>
                <w:lang w:eastAsia="es-ES"/>
              </w:rPr>
              <w:t xml:space="preserve">Subdirectora de Gestión Contractual </w:t>
            </w:r>
            <w:r>
              <w:rPr>
                <w:rFonts w:ascii="Verdana" w:eastAsia="Times New Roman" w:hAnsi="Verdana" w:cs="Arial"/>
                <w:sz w:val="16"/>
                <w:szCs w:val="16"/>
                <w:lang w:eastAsia="es-ES"/>
              </w:rPr>
              <w:t>(e)</w:t>
            </w:r>
          </w:p>
        </w:tc>
      </w:tr>
    </w:tbl>
    <w:p w14:paraId="14BCBA5F" w14:textId="77777777" w:rsidR="00DA7689" w:rsidRPr="00F2171E" w:rsidRDefault="00DA7689" w:rsidP="00DA7689"/>
    <w:p w14:paraId="2DC85853" w14:textId="77777777" w:rsidR="008D539F" w:rsidRPr="00F2171E" w:rsidRDefault="008D539F" w:rsidP="00F2171E"/>
    <w:sectPr w:rsidR="008D539F" w:rsidRPr="00F2171E"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2F0C4" w14:textId="77777777" w:rsidR="00DD7D20" w:rsidRDefault="00DD7D20" w:rsidP="004A1847">
      <w:pPr>
        <w:spacing w:after="0" w:line="240" w:lineRule="auto"/>
      </w:pPr>
      <w:r>
        <w:separator/>
      </w:r>
    </w:p>
  </w:endnote>
  <w:endnote w:type="continuationSeparator" w:id="0">
    <w:p w14:paraId="0B835A66" w14:textId="77777777" w:rsidR="00DD7D20" w:rsidRDefault="00DD7D20"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19D4A" w14:textId="77777777" w:rsidR="003332A8" w:rsidRDefault="003332A8">
    <w:pPr>
      <w:pStyle w:val="Piedepgina"/>
    </w:pPr>
  </w:p>
  <w:p w14:paraId="1ADC2256" w14:textId="77777777" w:rsidR="003332A8" w:rsidRPr="00174B77" w:rsidRDefault="003332A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751DE8" w:rsidRPr="00751DE8">
      <w:rPr>
        <w:rFonts w:ascii="Verdana" w:eastAsiaTheme="minorEastAsia" w:hAnsi="Verdana"/>
        <w:b/>
        <w:bCs/>
        <w:noProof/>
        <w:sz w:val="16"/>
        <w:szCs w:val="16"/>
      </w:rPr>
      <w:t>19</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1DF9DD" w14:textId="77777777" w:rsidR="003332A8" w:rsidRDefault="003332A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3B0744BD" w14:textId="77777777" w:rsidR="003332A8" w:rsidRPr="00E41027" w:rsidRDefault="003332A8" w:rsidP="00D520D8">
    <w:pPr>
      <w:spacing w:after="0"/>
      <w:jc w:val="both"/>
      <w:rPr>
        <w:rFonts w:ascii="Verdana" w:hAnsi="Verdana"/>
        <w:sz w:val="18"/>
        <w:szCs w:val="18"/>
      </w:rPr>
    </w:pPr>
    <w:r w:rsidRPr="00E41027">
      <w:rPr>
        <w:rFonts w:ascii="Verdana" w:hAnsi="Verdana"/>
        <w:sz w:val="18"/>
        <w:szCs w:val="18"/>
      </w:rPr>
      <w:t>Mesa de servicio: (+57) 601 7456788</w:t>
    </w:r>
  </w:p>
  <w:p w14:paraId="20E4DC01" w14:textId="77777777" w:rsidR="003332A8" w:rsidRDefault="003332A8">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15FAD" w14:textId="77777777" w:rsidR="00DD7D20" w:rsidRDefault="00DD7D20" w:rsidP="004A1847">
      <w:pPr>
        <w:spacing w:after="0" w:line="240" w:lineRule="auto"/>
      </w:pPr>
      <w:r>
        <w:separator/>
      </w:r>
    </w:p>
  </w:footnote>
  <w:footnote w:type="continuationSeparator" w:id="0">
    <w:p w14:paraId="4EAF7CBF" w14:textId="77777777" w:rsidR="00DD7D20" w:rsidRDefault="00DD7D20" w:rsidP="004A1847">
      <w:pPr>
        <w:spacing w:after="0" w:line="240" w:lineRule="auto"/>
      </w:pPr>
      <w:r>
        <w:continuationSeparator/>
      </w:r>
    </w:p>
  </w:footnote>
  <w:footnote w:id="1">
    <w:p w14:paraId="0DA6D1F0" w14:textId="77777777" w:rsidR="00CD0D98"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9, inciso tercero, modificado por el artículo 6 de la Ley 2014 de 2019. AGENCIA NACIONAL DE CONTRATACIÓN PÚBLICA – COLOMBIA COMPRA EFICIENTE. Subdirección de Gestión Contractual. Conceptos C-1032 de 2026, C-1073 de 2026 y C-1694 de 2025.</w:t>
      </w:r>
    </w:p>
  </w:footnote>
  <w:footnote w:id="2">
    <w:p w14:paraId="53D09D0F" w14:textId="77777777" w:rsidR="00CD0D98"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Conceptos C-1032 de 2026 y C-1073 de 2026, descriptor “CESIÓN – Participación – Tercero – Autorización previa – Requisitos del cesionario – Imposibilidad material”.</w:t>
      </w:r>
    </w:p>
  </w:footnote>
  <w:footnote w:id="3">
    <w:p w14:paraId="05261D1F" w14:textId="77777777" w:rsidR="00CD0D98"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Conceptos C-157 de 2024, C-934 de 2026 y C-009 de 2026. Código de Comercio, artículos 887 y siguientes; Ley 80 de 1993, artículo 13.</w:t>
      </w:r>
    </w:p>
  </w:footnote>
  <w:footnote w:id="4">
    <w:p w14:paraId="2237EB7B" w14:textId="77777777" w:rsidR="00CD0D98"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9, inciso tercero. Código Civil, artículo 27, conforme al cual “cuando el sentido de la ley sea claro, no se desatenderá su tenor literal a pretexto de consultar su espíritu”.</w:t>
      </w:r>
    </w:p>
  </w:footnote>
  <w:footnote w:id="5">
    <w:p w14:paraId="56519085" w14:textId="77777777" w:rsidR="00CD0D98"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Conceptos C-157 de 2024 y C-934 de 2026. AGENCIA NACIONAL DE CONTRATACIÓN PÚBLICA – COLOMBIA COMPRA EFICIENTE. Subdirección de Gestión Contractual. Concepto C-1206 de 2026, conforme al cual el cesionario “no puede ser un consorcio”.</w:t>
      </w:r>
    </w:p>
  </w:footnote>
  <w:footnote w:id="6">
    <w:p w14:paraId="1222190F" w14:textId="77777777" w:rsidR="00CD0D98"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1150 de 2007, artículo 5; Ley 80 de 1993, artículos 23, 24 y 29. AGENCIA NACIONAL DE CONTRATACIÓN PÚBLICA – COLOMBIA COMPRA EFICIENTE. Subdirección de Gestión Contractual. Conceptos C-009 de 2026 y C-934 de 2026.</w:t>
      </w:r>
    </w:p>
  </w:footnote>
  <w:footnote w:id="7">
    <w:p w14:paraId="412806A7" w14:textId="77777777" w:rsidR="00CD0D98"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artículos 9 —inciso tercero— y 41 —inciso tercero—. AGENCIA NACIONAL DE CONTRATACIÓN PÚBLICA – COLOMBIA COMPRA EFICIENTE. Subdirección de Gestión Contractual. Conceptos C-934 de 2026, C-009 de 2026 y C-1343 de 2026.</w:t>
      </w:r>
    </w:p>
  </w:footnote>
  <w:footnote w:id="8">
    <w:p w14:paraId="379402F8" w14:textId="77777777" w:rsidR="00CD0D98"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C-1343 de 2026, descriptores “CESIÓN – Participación – Tercero – Autorización previa – Cumplimiento de requisitos” y “CESIÓN – Participación – Facultad de autorización – Entidad contratante – Alcance – Decisión motivada”.</w:t>
      </w:r>
    </w:p>
  </w:footnote>
  <w:footnote w:id="9">
    <w:p w14:paraId="4442B6D1" w14:textId="77777777" w:rsidR="00CD0D98"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7, parágrafo 1, modificado por el artículo 3 de la Ley 2160 de 2021; Código de Comercio, artículo 887. AGENCIA NACIONAL DE CONTRATACIÓN PÚBLICA – COLOMBIA COMPRA EFICIENTE. Subdirección de Gestión Contractual. Conceptos C-157 de 2024, C-009 de 2026 y C-241 de 2026.</w:t>
      </w:r>
    </w:p>
  </w:footnote>
  <w:footnote w:id="10">
    <w:p w14:paraId="4E6C37C8" w14:textId="77777777" w:rsidR="00CD0D98"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7, parágrafo 1. AGENCIA NACIONAL DE CONTRATACIÓN PÚBLICA – COLOMBIA COMPRA EFICIENTE. Subdirección de Gestión Contractual. Conceptos C-241 de 2026 y C-021 de 2024.</w:t>
      </w:r>
    </w:p>
  </w:footnote>
  <w:footnote w:id="11">
    <w:p w14:paraId="5688E601" w14:textId="77777777" w:rsidR="00CD0D98"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Conceptos C-157 de 2024, C-934 de 2026, C-1317 de 2026 y C-009 de 2026.</w:t>
      </w:r>
    </w:p>
  </w:footnote>
  <w:footnote w:id="12">
    <w:p w14:paraId="5CEC9BC3" w14:textId="77777777" w:rsidR="00CD0D98"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C-157 de 2024.</w:t>
      </w:r>
    </w:p>
  </w:footnote>
  <w:footnote w:id="13">
    <w:p w14:paraId="7C207B27" w14:textId="77777777" w:rsidR="00CD0D98"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Conceptos C-934 de 2026, C-009 de 2026 y C-157 de 2024.</w:t>
      </w:r>
    </w:p>
  </w:footnote>
  <w:footnote w:id="14">
    <w:p w14:paraId="052175EA" w14:textId="77777777" w:rsidR="00CD0D98"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artículos 13 y 41 —inciso tercero—; Código de Comercio, artículos 887, 890, 891, 895 y 896. AGENCIA NACIONAL DE CONTRATACIÓN PÚBLICA – COLOMBIA COMPRA EFICIENTE. Subdirección de Gestión Contractual. Conceptos C-934 de 2026, C-009 de 2026 y C-111 de 2026.</w:t>
      </w:r>
    </w:p>
  </w:footnote>
  <w:footnote w:id="15">
    <w:p w14:paraId="6FB55750" w14:textId="77777777" w:rsidR="00CD0D98"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9, inciso tercero, modificado por el artículo 6 de la Ley 2014 de 2019. El artículo 9 fue declarado exequible por la Corte Constitucional en la Sentencia C-221 de 1996.</w:t>
      </w:r>
    </w:p>
  </w:footnote>
  <w:footnote w:id="16">
    <w:p w14:paraId="1AE398F1" w14:textId="77777777" w:rsidR="00CD0D98"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Conceptos C-1032 de 2026 y C-1073 de 2026.</w:t>
      </w:r>
    </w:p>
  </w:footnote>
  <w:footnote w:id="17">
    <w:p w14:paraId="286F1936" w14:textId="77777777" w:rsidR="00CD0D98"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9, inciso tercero; Código Civil, artículo 27.</w:t>
      </w:r>
    </w:p>
  </w:footnote>
  <w:footnote w:id="18">
    <w:p w14:paraId="49270748" w14:textId="77777777" w:rsidR="00CD0D98"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Conceptos C-157 de 2024 y C-934 de 2026. En el mismo sentido, el Concepto C-1206 de 2026 advierte que el cesionario “no puede ser un consorcio”, por carecer las estructuras plurales de personería jurídica.</w:t>
      </w:r>
    </w:p>
  </w:footnote>
  <w:footnote w:id="19">
    <w:p w14:paraId="794F26C0" w14:textId="77777777" w:rsidR="00CD0D98"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C-157 de 2024. Ley 80 de 1993, artículo 7, numerales 6 y 7, modificado por el artículo 3 de la Ley 2160 de 2021.</w:t>
      </w:r>
    </w:p>
  </w:footnote>
  <w:footnote w:id="20">
    <w:p w14:paraId="6C8E8C88" w14:textId="77777777" w:rsidR="00CD0D98"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Conceptos C-934 de 2026 y C-009 de 2026.</w:t>
      </w:r>
    </w:p>
  </w:footnote>
  <w:footnote w:id="21">
    <w:p w14:paraId="33B2361E" w14:textId="77777777" w:rsidR="00CD0D98"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C-009 de 2026. Ley 1150 de 2007, artículo 5; Ley 80 de 1993, artículos 23, 24 y 29.</w:t>
      </w:r>
    </w:p>
  </w:footnote>
  <w:footnote w:id="22">
    <w:p w14:paraId="56D2E85A" w14:textId="77777777" w:rsidR="00CD0D98"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artículos 9 —inciso tercero— y 41 —inciso tercero—.</w:t>
      </w:r>
    </w:p>
  </w:footnote>
  <w:footnote w:id="23">
    <w:p w14:paraId="74289B29" w14:textId="77777777" w:rsidR="00CD0D98"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C-1343 de 2026.</w:t>
      </w:r>
    </w:p>
  </w:footnote>
  <w:footnote w:id="24">
    <w:p w14:paraId="54D56543" w14:textId="77777777" w:rsidR="00CD0D98"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C-1343 de 2026.</w:t>
      </w:r>
    </w:p>
  </w:footnote>
  <w:footnote w:id="25">
    <w:p w14:paraId="199A8E70" w14:textId="77777777" w:rsidR="00CD0D98"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Conceptos C-157 de 2024, C-009 de 2026 y C-934 de 2026. Código de Comercio, artículo 887.</w:t>
      </w:r>
    </w:p>
  </w:footnote>
  <w:footnote w:id="26">
    <w:p w14:paraId="59572305" w14:textId="77777777" w:rsidR="00CD0D98"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7, parágrafo 1, modificado por el artículo 3 de la Ley 2160 de 2021. AGENCIA NACIONAL DE CONTRATACIÓN PÚBLICA – COLOMBIA COMPRA EFICIENTE. Subdirección de Gestión Contractual. Concepto C-241 de 2026.</w:t>
      </w:r>
    </w:p>
  </w:footnote>
  <w:footnote w:id="27">
    <w:p w14:paraId="7EE769D4" w14:textId="77777777" w:rsidR="00CD0D98"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C-241 de 2026.</w:t>
      </w:r>
    </w:p>
  </w:footnote>
  <w:footnote w:id="28">
    <w:p w14:paraId="0ED3E341" w14:textId="77777777" w:rsidR="00CD0D98"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artículos 7 —parágrafo 1— y 9 —inciso tercero—. AGENCIA NACIONAL DE CONTRATACIÓN PÚBLICA – COLOMBIA COMPRA EFICIENTE. Subdirección de Gestión Contractual. Conceptos C-1032 de 2026, C-1073 de 2026 y C-241 de 2026.</w:t>
      </w:r>
    </w:p>
  </w:footnote>
  <w:footnote w:id="29">
    <w:p w14:paraId="3924D11A" w14:textId="77777777" w:rsidR="00CD0D98"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1437 de 2011, artículo 28, sustituido por el artículo 1 de la Ley 1755 de 2015.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C4D18" w14:textId="77777777" w:rsidR="003332A8" w:rsidRDefault="003332A8"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F36371B" w14:textId="77777777" w:rsidR="003332A8" w:rsidRDefault="003332A8">
    <w:pPr>
      <w:pStyle w:val="Encabezado"/>
    </w:pPr>
  </w:p>
  <w:p w14:paraId="6DECF926" w14:textId="77777777" w:rsidR="003332A8" w:rsidRPr="004A305D" w:rsidRDefault="003332A8" w:rsidP="00B01B1A">
    <w:pPr>
      <w:spacing w:after="0" w:line="120" w:lineRule="auto"/>
      <w:rPr>
        <w:rFonts w:ascii="Century Gothic" w:eastAsia="Geo" w:hAnsi="Century Gothic" w:cs="Geo"/>
        <w:sz w:val="16"/>
        <w:szCs w:val="16"/>
        <w:lang w:eastAsia="es-CO"/>
      </w:rPr>
    </w:pPr>
  </w:p>
  <w:p w14:paraId="371F07B0" w14:textId="77777777" w:rsidR="003332A8" w:rsidRDefault="003332A8" w:rsidP="00844AE9">
    <w:pPr>
      <w:spacing w:after="0" w:line="240" w:lineRule="auto"/>
      <w:rPr>
        <w:rFonts w:ascii="Verdana" w:hAnsi="Verdana"/>
        <w:sz w:val="24"/>
        <w:szCs w:val="24"/>
      </w:rPr>
    </w:pPr>
  </w:p>
  <w:p w14:paraId="3C76BF88" w14:textId="77777777" w:rsidR="003332A8" w:rsidRPr="00C925AC" w:rsidRDefault="003332A8" w:rsidP="00844AE9">
    <w:pPr>
      <w:spacing w:after="0" w:line="240" w:lineRule="auto"/>
      <w:rPr>
        <w:rFonts w:ascii="Verdana" w:hAnsi="Verdana"/>
        <w:sz w:val="24"/>
        <w:szCs w:val="24"/>
      </w:rPr>
    </w:pPr>
  </w:p>
  <w:p w14:paraId="329EA105" w14:textId="77777777" w:rsidR="003332A8" w:rsidRPr="00C925AC" w:rsidRDefault="003332A8"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65pt;height:10.6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A36B19"/>
    <w:multiLevelType w:val="hybridMultilevel"/>
    <w:tmpl w:val="261425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04262F7"/>
    <w:multiLevelType w:val="hybridMultilevel"/>
    <w:tmpl w:val="9BDCE9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9549AB"/>
    <w:multiLevelType w:val="hybridMultilevel"/>
    <w:tmpl w:val="DEF623AC"/>
    <w:lvl w:ilvl="0" w:tplc="04090017">
      <w:start w:val="1"/>
      <w:numFmt w:val="lowerLetter"/>
      <w:lvlText w:val="%1)"/>
      <w:lvlJc w:val="left"/>
      <w:pPr>
        <w:ind w:left="2204" w:hanging="360"/>
      </w:pPr>
      <w:rPr>
        <w:rFonts w:hint="default"/>
      </w:rPr>
    </w:lvl>
    <w:lvl w:ilvl="1" w:tplc="04090019" w:tentative="1">
      <w:start w:val="1"/>
      <w:numFmt w:val="lowerLetter"/>
      <w:lvlText w:val="%2."/>
      <w:lvlJc w:val="left"/>
      <w:pPr>
        <w:ind w:left="2924" w:hanging="360"/>
      </w:pPr>
    </w:lvl>
    <w:lvl w:ilvl="2" w:tplc="0409001B" w:tentative="1">
      <w:start w:val="1"/>
      <w:numFmt w:val="lowerRoman"/>
      <w:lvlText w:val="%3."/>
      <w:lvlJc w:val="right"/>
      <w:pPr>
        <w:ind w:left="3644" w:hanging="180"/>
      </w:pPr>
    </w:lvl>
    <w:lvl w:ilvl="3" w:tplc="0409000F" w:tentative="1">
      <w:start w:val="1"/>
      <w:numFmt w:val="decimal"/>
      <w:lvlText w:val="%4."/>
      <w:lvlJc w:val="left"/>
      <w:pPr>
        <w:ind w:left="4364" w:hanging="360"/>
      </w:pPr>
    </w:lvl>
    <w:lvl w:ilvl="4" w:tplc="04090019" w:tentative="1">
      <w:start w:val="1"/>
      <w:numFmt w:val="lowerLetter"/>
      <w:lvlText w:val="%5."/>
      <w:lvlJc w:val="left"/>
      <w:pPr>
        <w:ind w:left="5084" w:hanging="360"/>
      </w:pPr>
    </w:lvl>
    <w:lvl w:ilvl="5" w:tplc="0409001B" w:tentative="1">
      <w:start w:val="1"/>
      <w:numFmt w:val="lowerRoman"/>
      <w:lvlText w:val="%6."/>
      <w:lvlJc w:val="right"/>
      <w:pPr>
        <w:ind w:left="5804" w:hanging="180"/>
      </w:pPr>
    </w:lvl>
    <w:lvl w:ilvl="6" w:tplc="0409000F" w:tentative="1">
      <w:start w:val="1"/>
      <w:numFmt w:val="decimal"/>
      <w:lvlText w:val="%7."/>
      <w:lvlJc w:val="left"/>
      <w:pPr>
        <w:ind w:left="6524" w:hanging="360"/>
      </w:pPr>
    </w:lvl>
    <w:lvl w:ilvl="7" w:tplc="04090019" w:tentative="1">
      <w:start w:val="1"/>
      <w:numFmt w:val="lowerLetter"/>
      <w:lvlText w:val="%8."/>
      <w:lvlJc w:val="left"/>
      <w:pPr>
        <w:ind w:left="7244" w:hanging="360"/>
      </w:pPr>
    </w:lvl>
    <w:lvl w:ilvl="8" w:tplc="0409001B" w:tentative="1">
      <w:start w:val="1"/>
      <w:numFmt w:val="lowerRoman"/>
      <w:lvlText w:val="%9."/>
      <w:lvlJc w:val="right"/>
      <w:pPr>
        <w:ind w:left="7964"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5425A2"/>
    <w:multiLevelType w:val="hybridMultilevel"/>
    <w:tmpl w:val="28CEAC70"/>
    <w:lvl w:ilvl="0" w:tplc="080A000F">
      <w:start w:val="1"/>
      <w:numFmt w:val="decimal"/>
      <w:lvlText w:val="%1."/>
      <w:lvlJc w:val="left"/>
      <w:pPr>
        <w:ind w:left="720" w:hanging="36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FEF29CA"/>
    <w:multiLevelType w:val="hybridMultilevel"/>
    <w:tmpl w:val="151400D2"/>
    <w:lvl w:ilvl="0" w:tplc="7C509E50">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E353CA8"/>
    <w:multiLevelType w:val="hybridMultilevel"/>
    <w:tmpl w:val="8556CC82"/>
    <w:lvl w:ilvl="0" w:tplc="147AD612">
      <w:start w:val="1"/>
      <w:numFmt w:val="decimal"/>
      <w:lvlText w:val="%1."/>
      <w:lvlJc w:val="left"/>
      <w:pPr>
        <w:ind w:left="1065" w:hanging="360"/>
      </w:pPr>
      <w:rPr>
        <w:rFonts w:ascii="Arial" w:hAnsi="Arial" w:cs="Arial" w:hint="default"/>
        <w:b w:val="0"/>
        <w:bCs/>
        <w:sz w:val="22"/>
        <w:szCs w:val="22"/>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976DE6"/>
    <w:multiLevelType w:val="hybridMultilevel"/>
    <w:tmpl w:val="C144C02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7CA48279"/>
    <w:multiLevelType w:val="hybridMultilevel"/>
    <w:tmpl w:val="61658AB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42839426">
    <w:abstractNumId w:val="10"/>
  </w:num>
  <w:num w:numId="2" w16cid:durableId="575671387">
    <w:abstractNumId w:val="2"/>
  </w:num>
  <w:num w:numId="3" w16cid:durableId="478959013">
    <w:abstractNumId w:val="8"/>
  </w:num>
  <w:num w:numId="4" w16cid:durableId="1145660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84566880">
    <w:abstractNumId w:val="2"/>
  </w:num>
  <w:num w:numId="6" w16cid:durableId="699085116">
    <w:abstractNumId w:val="18"/>
  </w:num>
  <w:num w:numId="7" w16cid:durableId="1974751856">
    <w:abstractNumId w:val="9"/>
  </w:num>
  <w:num w:numId="8" w16cid:durableId="1524243295">
    <w:abstractNumId w:val="16"/>
  </w:num>
  <w:num w:numId="9" w16cid:durableId="1693993010">
    <w:abstractNumId w:val="11"/>
  </w:num>
  <w:num w:numId="10" w16cid:durableId="756638953">
    <w:abstractNumId w:val="15"/>
  </w:num>
  <w:num w:numId="11" w16cid:durableId="1511916912">
    <w:abstractNumId w:val="12"/>
  </w:num>
  <w:num w:numId="12" w16cid:durableId="1733693583">
    <w:abstractNumId w:val="0"/>
  </w:num>
  <w:num w:numId="13" w16cid:durableId="2044207265">
    <w:abstractNumId w:val="5"/>
  </w:num>
  <w:num w:numId="14" w16cid:durableId="1715882887">
    <w:abstractNumId w:val="19"/>
  </w:num>
  <w:num w:numId="15" w16cid:durableId="368184482">
    <w:abstractNumId w:val="14"/>
  </w:num>
  <w:num w:numId="16" w16cid:durableId="986013926">
    <w:abstractNumId w:val="6"/>
  </w:num>
  <w:num w:numId="17" w16cid:durableId="173233579">
    <w:abstractNumId w:val="13"/>
  </w:num>
  <w:num w:numId="18" w16cid:durableId="1762485312">
    <w:abstractNumId w:val="22"/>
  </w:num>
  <w:num w:numId="19" w16cid:durableId="390540605">
    <w:abstractNumId w:val="21"/>
  </w:num>
  <w:num w:numId="20" w16cid:durableId="1630667266">
    <w:abstractNumId w:val="1"/>
  </w:num>
  <w:num w:numId="21" w16cid:durableId="686448761">
    <w:abstractNumId w:val="4"/>
  </w:num>
  <w:num w:numId="22" w16cid:durableId="1933010044">
    <w:abstractNumId w:val="7"/>
  </w:num>
  <w:num w:numId="23" w16cid:durableId="1621455384">
    <w:abstractNumId w:val="3"/>
  </w:num>
  <w:num w:numId="24" w16cid:durableId="1864779819">
    <w:abstractNumId w:val="20"/>
  </w:num>
  <w:num w:numId="25" w16cid:durableId="11690623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5660"/>
    <w:rsid w:val="000063E0"/>
    <w:rsid w:val="0001083E"/>
    <w:rsid w:val="000134D5"/>
    <w:rsid w:val="00016F78"/>
    <w:rsid w:val="00030B1D"/>
    <w:rsid w:val="000353BD"/>
    <w:rsid w:val="000401ED"/>
    <w:rsid w:val="000468A1"/>
    <w:rsid w:val="00046945"/>
    <w:rsid w:val="00061B2A"/>
    <w:rsid w:val="000711CF"/>
    <w:rsid w:val="00076D52"/>
    <w:rsid w:val="00080B1D"/>
    <w:rsid w:val="00082362"/>
    <w:rsid w:val="00085031"/>
    <w:rsid w:val="000866ED"/>
    <w:rsid w:val="00087566"/>
    <w:rsid w:val="0009079C"/>
    <w:rsid w:val="000A1514"/>
    <w:rsid w:val="000A1642"/>
    <w:rsid w:val="000A66E5"/>
    <w:rsid w:val="000A683E"/>
    <w:rsid w:val="000B0D04"/>
    <w:rsid w:val="000B0FAA"/>
    <w:rsid w:val="000B19B9"/>
    <w:rsid w:val="000B27F0"/>
    <w:rsid w:val="000B510D"/>
    <w:rsid w:val="000C013D"/>
    <w:rsid w:val="000C5A9E"/>
    <w:rsid w:val="000D0334"/>
    <w:rsid w:val="000D1DC8"/>
    <w:rsid w:val="000D4734"/>
    <w:rsid w:val="000D5DA7"/>
    <w:rsid w:val="000E6E2C"/>
    <w:rsid w:val="000F01E9"/>
    <w:rsid w:val="000F078F"/>
    <w:rsid w:val="000F3444"/>
    <w:rsid w:val="000F3E03"/>
    <w:rsid w:val="000F512E"/>
    <w:rsid w:val="000F6486"/>
    <w:rsid w:val="000F7FD4"/>
    <w:rsid w:val="00105C57"/>
    <w:rsid w:val="00105E1D"/>
    <w:rsid w:val="00113CF7"/>
    <w:rsid w:val="001161CA"/>
    <w:rsid w:val="001168F2"/>
    <w:rsid w:val="00116940"/>
    <w:rsid w:val="00125105"/>
    <w:rsid w:val="00127233"/>
    <w:rsid w:val="001328F3"/>
    <w:rsid w:val="00134724"/>
    <w:rsid w:val="001428DC"/>
    <w:rsid w:val="00151D59"/>
    <w:rsid w:val="001521B3"/>
    <w:rsid w:val="0015699B"/>
    <w:rsid w:val="00165609"/>
    <w:rsid w:val="00171640"/>
    <w:rsid w:val="00174D6E"/>
    <w:rsid w:val="00180954"/>
    <w:rsid w:val="00183D9D"/>
    <w:rsid w:val="0018679F"/>
    <w:rsid w:val="0019045D"/>
    <w:rsid w:val="00192805"/>
    <w:rsid w:val="0019787F"/>
    <w:rsid w:val="001A33BF"/>
    <w:rsid w:val="001A35A7"/>
    <w:rsid w:val="001A5968"/>
    <w:rsid w:val="001B24C7"/>
    <w:rsid w:val="001B49B3"/>
    <w:rsid w:val="001C1EB2"/>
    <w:rsid w:val="001C5AE4"/>
    <w:rsid w:val="001C61B3"/>
    <w:rsid w:val="001D02CC"/>
    <w:rsid w:val="001D16E0"/>
    <w:rsid w:val="001D64AE"/>
    <w:rsid w:val="001E2E05"/>
    <w:rsid w:val="001E4177"/>
    <w:rsid w:val="001F0B24"/>
    <w:rsid w:val="001F4DD8"/>
    <w:rsid w:val="001F5903"/>
    <w:rsid w:val="001F5DD0"/>
    <w:rsid w:val="001F7DC6"/>
    <w:rsid w:val="002022E0"/>
    <w:rsid w:val="00207466"/>
    <w:rsid w:val="00211A12"/>
    <w:rsid w:val="00211E12"/>
    <w:rsid w:val="00212AD1"/>
    <w:rsid w:val="00215B71"/>
    <w:rsid w:val="00216E4C"/>
    <w:rsid w:val="00217FCA"/>
    <w:rsid w:val="002209DE"/>
    <w:rsid w:val="0022400B"/>
    <w:rsid w:val="00227F40"/>
    <w:rsid w:val="0023515D"/>
    <w:rsid w:val="002421BB"/>
    <w:rsid w:val="00242F3E"/>
    <w:rsid w:val="00253436"/>
    <w:rsid w:val="002543AD"/>
    <w:rsid w:val="0025796E"/>
    <w:rsid w:val="0026018C"/>
    <w:rsid w:val="00261EDF"/>
    <w:rsid w:val="0026324D"/>
    <w:rsid w:val="00265065"/>
    <w:rsid w:val="0026579C"/>
    <w:rsid w:val="002707A2"/>
    <w:rsid w:val="00275482"/>
    <w:rsid w:val="00277C07"/>
    <w:rsid w:val="0028778F"/>
    <w:rsid w:val="00291AD4"/>
    <w:rsid w:val="00294ADE"/>
    <w:rsid w:val="002951A0"/>
    <w:rsid w:val="002962BC"/>
    <w:rsid w:val="002975A4"/>
    <w:rsid w:val="002A093D"/>
    <w:rsid w:val="002A0DD0"/>
    <w:rsid w:val="002A49AC"/>
    <w:rsid w:val="002A64FD"/>
    <w:rsid w:val="002B730F"/>
    <w:rsid w:val="002C7A84"/>
    <w:rsid w:val="002E05EF"/>
    <w:rsid w:val="002E2BF8"/>
    <w:rsid w:val="002E4FD9"/>
    <w:rsid w:val="002F0847"/>
    <w:rsid w:val="002F2B42"/>
    <w:rsid w:val="0030657A"/>
    <w:rsid w:val="00311FF5"/>
    <w:rsid w:val="003136DC"/>
    <w:rsid w:val="003156BF"/>
    <w:rsid w:val="00316053"/>
    <w:rsid w:val="00322A85"/>
    <w:rsid w:val="00322C00"/>
    <w:rsid w:val="00322D77"/>
    <w:rsid w:val="00324168"/>
    <w:rsid w:val="00330834"/>
    <w:rsid w:val="003332A8"/>
    <w:rsid w:val="003448F4"/>
    <w:rsid w:val="003475FC"/>
    <w:rsid w:val="00351F93"/>
    <w:rsid w:val="0037228E"/>
    <w:rsid w:val="00374F5E"/>
    <w:rsid w:val="003769E1"/>
    <w:rsid w:val="00377E3E"/>
    <w:rsid w:val="00381BAB"/>
    <w:rsid w:val="003878B3"/>
    <w:rsid w:val="003A26B0"/>
    <w:rsid w:val="003A779E"/>
    <w:rsid w:val="003B0DFC"/>
    <w:rsid w:val="003C0ED7"/>
    <w:rsid w:val="003D0F4D"/>
    <w:rsid w:val="003D3FF4"/>
    <w:rsid w:val="003D494E"/>
    <w:rsid w:val="003D5B0D"/>
    <w:rsid w:val="003E0499"/>
    <w:rsid w:val="003E4915"/>
    <w:rsid w:val="003E4C37"/>
    <w:rsid w:val="003E4F80"/>
    <w:rsid w:val="003E6439"/>
    <w:rsid w:val="003F18C5"/>
    <w:rsid w:val="003F1FD8"/>
    <w:rsid w:val="003F3941"/>
    <w:rsid w:val="00403388"/>
    <w:rsid w:val="00403EFA"/>
    <w:rsid w:val="0040494E"/>
    <w:rsid w:val="00406575"/>
    <w:rsid w:val="00410427"/>
    <w:rsid w:val="004140B3"/>
    <w:rsid w:val="00414C74"/>
    <w:rsid w:val="00416706"/>
    <w:rsid w:val="0042722E"/>
    <w:rsid w:val="00440961"/>
    <w:rsid w:val="0044528D"/>
    <w:rsid w:val="00451137"/>
    <w:rsid w:val="00452650"/>
    <w:rsid w:val="004555EA"/>
    <w:rsid w:val="0045785F"/>
    <w:rsid w:val="00464ACB"/>
    <w:rsid w:val="00466E39"/>
    <w:rsid w:val="004768AE"/>
    <w:rsid w:val="00484E40"/>
    <w:rsid w:val="0048787A"/>
    <w:rsid w:val="00492A06"/>
    <w:rsid w:val="00492C4A"/>
    <w:rsid w:val="00494F04"/>
    <w:rsid w:val="004A0841"/>
    <w:rsid w:val="004A0A0B"/>
    <w:rsid w:val="004A0E5C"/>
    <w:rsid w:val="004A1847"/>
    <w:rsid w:val="004A305D"/>
    <w:rsid w:val="004B3DAC"/>
    <w:rsid w:val="004B5C63"/>
    <w:rsid w:val="004B73B9"/>
    <w:rsid w:val="004C0DBB"/>
    <w:rsid w:val="004D2B6F"/>
    <w:rsid w:val="004E2B92"/>
    <w:rsid w:val="004F21C4"/>
    <w:rsid w:val="004F685F"/>
    <w:rsid w:val="005000A1"/>
    <w:rsid w:val="00503361"/>
    <w:rsid w:val="005062AF"/>
    <w:rsid w:val="00513BF7"/>
    <w:rsid w:val="00515A4E"/>
    <w:rsid w:val="00515F6A"/>
    <w:rsid w:val="00517955"/>
    <w:rsid w:val="005229DB"/>
    <w:rsid w:val="00524422"/>
    <w:rsid w:val="00534886"/>
    <w:rsid w:val="005365D9"/>
    <w:rsid w:val="00536A0E"/>
    <w:rsid w:val="0055262A"/>
    <w:rsid w:val="00553040"/>
    <w:rsid w:val="005566E8"/>
    <w:rsid w:val="00560892"/>
    <w:rsid w:val="005648EC"/>
    <w:rsid w:val="00570B00"/>
    <w:rsid w:val="00572622"/>
    <w:rsid w:val="00573280"/>
    <w:rsid w:val="005746D5"/>
    <w:rsid w:val="00574867"/>
    <w:rsid w:val="00591460"/>
    <w:rsid w:val="00592C94"/>
    <w:rsid w:val="005A2CAB"/>
    <w:rsid w:val="005A4AF9"/>
    <w:rsid w:val="005A5114"/>
    <w:rsid w:val="005A52A7"/>
    <w:rsid w:val="005A57A5"/>
    <w:rsid w:val="005A65E0"/>
    <w:rsid w:val="005C0881"/>
    <w:rsid w:val="005C3777"/>
    <w:rsid w:val="005C5CDC"/>
    <w:rsid w:val="005D2566"/>
    <w:rsid w:val="005D476C"/>
    <w:rsid w:val="005D7628"/>
    <w:rsid w:val="005F20A4"/>
    <w:rsid w:val="00600D92"/>
    <w:rsid w:val="00603C5B"/>
    <w:rsid w:val="00611CE6"/>
    <w:rsid w:val="006137E1"/>
    <w:rsid w:val="00615105"/>
    <w:rsid w:val="00617200"/>
    <w:rsid w:val="00617E91"/>
    <w:rsid w:val="006200BF"/>
    <w:rsid w:val="0062143E"/>
    <w:rsid w:val="006219F8"/>
    <w:rsid w:val="00622E0A"/>
    <w:rsid w:val="00624A89"/>
    <w:rsid w:val="00624EEC"/>
    <w:rsid w:val="006302F7"/>
    <w:rsid w:val="00640441"/>
    <w:rsid w:val="00646B9F"/>
    <w:rsid w:val="00646F24"/>
    <w:rsid w:val="006547C3"/>
    <w:rsid w:val="00660C46"/>
    <w:rsid w:val="00662087"/>
    <w:rsid w:val="00663A04"/>
    <w:rsid w:val="00665D70"/>
    <w:rsid w:val="00672499"/>
    <w:rsid w:val="00684F67"/>
    <w:rsid w:val="0068758B"/>
    <w:rsid w:val="006900D9"/>
    <w:rsid w:val="00696960"/>
    <w:rsid w:val="0069741A"/>
    <w:rsid w:val="006A2BE4"/>
    <w:rsid w:val="006A6BF4"/>
    <w:rsid w:val="006B3801"/>
    <w:rsid w:val="006B4707"/>
    <w:rsid w:val="006C38A9"/>
    <w:rsid w:val="006D13BA"/>
    <w:rsid w:val="006D1D21"/>
    <w:rsid w:val="006D2B34"/>
    <w:rsid w:val="006D591D"/>
    <w:rsid w:val="006D64EE"/>
    <w:rsid w:val="006E3854"/>
    <w:rsid w:val="006F2238"/>
    <w:rsid w:val="006F4199"/>
    <w:rsid w:val="007009D7"/>
    <w:rsid w:val="007025D7"/>
    <w:rsid w:val="00706C16"/>
    <w:rsid w:val="0071557C"/>
    <w:rsid w:val="00720597"/>
    <w:rsid w:val="00722A5A"/>
    <w:rsid w:val="00723639"/>
    <w:rsid w:val="00731F30"/>
    <w:rsid w:val="00733C96"/>
    <w:rsid w:val="007340C3"/>
    <w:rsid w:val="007344B2"/>
    <w:rsid w:val="007345D5"/>
    <w:rsid w:val="0073510E"/>
    <w:rsid w:val="00741631"/>
    <w:rsid w:val="007458D3"/>
    <w:rsid w:val="00751DE8"/>
    <w:rsid w:val="0075235A"/>
    <w:rsid w:val="00752CDB"/>
    <w:rsid w:val="00753FDA"/>
    <w:rsid w:val="0075557D"/>
    <w:rsid w:val="00756841"/>
    <w:rsid w:val="00757043"/>
    <w:rsid w:val="007649AB"/>
    <w:rsid w:val="0076653D"/>
    <w:rsid w:val="00771AEF"/>
    <w:rsid w:val="00771D0C"/>
    <w:rsid w:val="00782ED2"/>
    <w:rsid w:val="007833AC"/>
    <w:rsid w:val="007853FB"/>
    <w:rsid w:val="0079259E"/>
    <w:rsid w:val="00792C10"/>
    <w:rsid w:val="00795086"/>
    <w:rsid w:val="007A037B"/>
    <w:rsid w:val="007A1830"/>
    <w:rsid w:val="007A2615"/>
    <w:rsid w:val="007B268C"/>
    <w:rsid w:val="007B7171"/>
    <w:rsid w:val="007C0C0F"/>
    <w:rsid w:val="007C3DC2"/>
    <w:rsid w:val="007C4353"/>
    <w:rsid w:val="007C7DFC"/>
    <w:rsid w:val="007D3058"/>
    <w:rsid w:val="007D4B12"/>
    <w:rsid w:val="007E43AC"/>
    <w:rsid w:val="007E5497"/>
    <w:rsid w:val="00803584"/>
    <w:rsid w:val="00806F5F"/>
    <w:rsid w:val="008103F6"/>
    <w:rsid w:val="00820278"/>
    <w:rsid w:val="00820488"/>
    <w:rsid w:val="0082071A"/>
    <w:rsid w:val="008258C9"/>
    <w:rsid w:val="00830893"/>
    <w:rsid w:val="00833286"/>
    <w:rsid w:val="00836232"/>
    <w:rsid w:val="00841E29"/>
    <w:rsid w:val="008440A2"/>
    <w:rsid w:val="00844AE9"/>
    <w:rsid w:val="00845EF6"/>
    <w:rsid w:val="0085545E"/>
    <w:rsid w:val="00857CF9"/>
    <w:rsid w:val="00867E8A"/>
    <w:rsid w:val="00867F95"/>
    <w:rsid w:val="00871AAC"/>
    <w:rsid w:val="00875356"/>
    <w:rsid w:val="008753FD"/>
    <w:rsid w:val="00876B28"/>
    <w:rsid w:val="008843B6"/>
    <w:rsid w:val="00886410"/>
    <w:rsid w:val="00891928"/>
    <w:rsid w:val="00891A0E"/>
    <w:rsid w:val="008A2B6F"/>
    <w:rsid w:val="008A3BF4"/>
    <w:rsid w:val="008A446D"/>
    <w:rsid w:val="008B0D0F"/>
    <w:rsid w:val="008B25F1"/>
    <w:rsid w:val="008C11FD"/>
    <w:rsid w:val="008C4DD5"/>
    <w:rsid w:val="008C517A"/>
    <w:rsid w:val="008C6AE5"/>
    <w:rsid w:val="008C7B44"/>
    <w:rsid w:val="008D1660"/>
    <w:rsid w:val="008D180B"/>
    <w:rsid w:val="008D1C25"/>
    <w:rsid w:val="008D475B"/>
    <w:rsid w:val="008D539F"/>
    <w:rsid w:val="008F0EA7"/>
    <w:rsid w:val="008F17DC"/>
    <w:rsid w:val="008F4334"/>
    <w:rsid w:val="008F553F"/>
    <w:rsid w:val="008F5838"/>
    <w:rsid w:val="008F6705"/>
    <w:rsid w:val="00901213"/>
    <w:rsid w:val="009026A9"/>
    <w:rsid w:val="009037F6"/>
    <w:rsid w:val="00904F32"/>
    <w:rsid w:val="0091143C"/>
    <w:rsid w:val="00917048"/>
    <w:rsid w:val="00920817"/>
    <w:rsid w:val="00922205"/>
    <w:rsid w:val="00923EEF"/>
    <w:rsid w:val="00933E3F"/>
    <w:rsid w:val="009378E3"/>
    <w:rsid w:val="009419F9"/>
    <w:rsid w:val="009450F4"/>
    <w:rsid w:val="0094710A"/>
    <w:rsid w:val="0094744A"/>
    <w:rsid w:val="009500D5"/>
    <w:rsid w:val="0095685E"/>
    <w:rsid w:val="00961B09"/>
    <w:rsid w:val="00963E12"/>
    <w:rsid w:val="00964321"/>
    <w:rsid w:val="00965334"/>
    <w:rsid w:val="0097093E"/>
    <w:rsid w:val="009722DE"/>
    <w:rsid w:val="00982C25"/>
    <w:rsid w:val="00984DB3"/>
    <w:rsid w:val="00992E19"/>
    <w:rsid w:val="00997AFF"/>
    <w:rsid w:val="009A0486"/>
    <w:rsid w:val="009A0DFA"/>
    <w:rsid w:val="009A3A4C"/>
    <w:rsid w:val="009B200B"/>
    <w:rsid w:val="009B28B9"/>
    <w:rsid w:val="009B2D26"/>
    <w:rsid w:val="009B4B7C"/>
    <w:rsid w:val="009C71FA"/>
    <w:rsid w:val="009C72E7"/>
    <w:rsid w:val="009C7F7E"/>
    <w:rsid w:val="009D10AE"/>
    <w:rsid w:val="009D23F2"/>
    <w:rsid w:val="009D3058"/>
    <w:rsid w:val="009D7C1F"/>
    <w:rsid w:val="009E1F28"/>
    <w:rsid w:val="009E6924"/>
    <w:rsid w:val="009E7AED"/>
    <w:rsid w:val="009F3A13"/>
    <w:rsid w:val="009F4B67"/>
    <w:rsid w:val="009F7A6E"/>
    <w:rsid w:val="00A0334B"/>
    <w:rsid w:val="00A0526C"/>
    <w:rsid w:val="00A05BC5"/>
    <w:rsid w:val="00A06E95"/>
    <w:rsid w:val="00A076A6"/>
    <w:rsid w:val="00A122D3"/>
    <w:rsid w:val="00A14468"/>
    <w:rsid w:val="00A17F13"/>
    <w:rsid w:val="00A20739"/>
    <w:rsid w:val="00A23AF9"/>
    <w:rsid w:val="00A31A76"/>
    <w:rsid w:val="00A32D67"/>
    <w:rsid w:val="00A32E64"/>
    <w:rsid w:val="00A33C78"/>
    <w:rsid w:val="00A3513E"/>
    <w:rsid w:val="00A42320"/>
    <w:rsid w:val="00A53338"/>
    <w:rsid w:val="00A53EB1"/>
    <w:rsid w:val="00A54DC9"/>
    <w:rsid w:val="00A61436"/>
    <w:rsid w:val="00A73F45"/>
    <w:rsid w:val="00A8776C"/>
    <w:rsid w:val="00AA1511"/>
    <w:rsid w:val="00AA1E47"/>
    <w:rsid w:val="00AA1EAB"/>
    <w:rsid w:val="00AB0ADB"/>
    <w:rsid w:val="00AB436E"/>
    <w:rsid w:val="00AD173A"/>
    <w:rsid w:val="00AD6FC3"/>
    <w:rsid w:val="00AD7D5F"/>
    <w:rsid w:val="00AE0641"/>
    <w:rsid w:val="00AE1F6E"/>
    <w:rsid w:val="00AE3513"/>
    <w:rsid w:val="00AE5023"/>
    <w:rsid w:val="00AE5DD2"/>
    <w:rsid w:val="00AF5A10"/>
    <w:rsid w:val="00B00C0E"/>
    <w:rsid w:val="00B01B1A"/>
    <w:rsid w:val="00B04DA1"/>
    <w:rsid w:val="00B107DB"/>
    <w:rsid w:val="00B11075"/>
    <w:rsid w:val="00B206B6"/>
    <w:rsid w:val="00B234CF"/>
    <w:rsid w:val="00B35656"/>
    <w:rsid w:val="00B35DDD"/>
    <w:rsid w:val="00B37EB5"/>
    <w:rsid w:val="00B44A47"/>
    <w:rsid w:val="00B54271"/>
    <w:rsid w:val="00B5550F"/>
    <w:rsid w:val="00B6149C"/>
    <w:rsid w:val="00B63FC5"/>
    <w:rsid w:val="00B64484"/>
    <w:rsid w:val="00B71FD5"/>
    <w:rsid w:val="00B72CD3"/>
    <w:rsid w:val="00B72FFF"/>
    <w:rsid w:val="00B74092"/>
    <w:rsid w:val="00B74CF7"/>
    <w:rsid w:val="00B759AB"/>
    <w:rsid w:val="00B95DAC"/>
    <w:rsid w:val="00BA2EB9"/>
    <w:rsid w:val="00BA4084"/>
    <w:rsid w:val="00BA703D"/>
    <w:rsid w:val="00BC330F"/>
    <w:rsid w:val="00BC3D36"/>
    <w:rsid w:val="00BC5D42"/>
    <w:rsid w:val="00BC70CB"/>
    <w:rsid w:val="00BD13AC"/>
    <w:rsid w:val="00BD54A6"/>
    <w:rsid w:val="00BD7F72"/>
    <w:rsid w:val="00BF056C"/>
    <w:rsid w:val="00BF112D"/>
    <w:rsid w:val="00BF3B66"/>
    <w:rsid w:val="00BF4FD2"/>
    <w:rsid w:val="00BF5C08"/>
    <w:rsid w:val="00BF7425"/>
    <w:rsid w:val="00C04FB3"/>
    <w:rsid w:val="00C11D8B"/>
    <w:rsid w:val="00C1215D"/>
    <w:rsid w:val="00C1350D"/>
    <w:rsid w:val="00C22134"/>
    <w:rsid w:val="00C2359C"/>
    <w:rsid w:val="00C251B0"/>
    <w:rsid w:val="00C330EB"/>
    <w:rsid w:val="00C33F4F"/>
    <w:rsid w:val="00C4112A"/>
    <w:rsid w:val="00C419DF"/>
    <w:rsid w:val="00C45A56"/>
    <w:rsid w:val="00C50D69"/>
    <w:rsid w:val="00C5365C"/>
    <w:rsid w:val="00C619D4"/>
    <w:rsid w:val="00C61D93"/>
    <w:rsid w:val="00C738EE"/>
    <w:rsid w:val="00C7520B"/>
    <w:rsid w:val="00C754BE"/>
    <w:rsid w:val="00C76B1C"/>
    <w:rsid w:val="00C82667"/>
    <w:rsid w:val="00C83BA0"/>
    <w:rsid w:val="00C90C96"/>
    <w:rsid w:val="00C925AC"/>
    <w:rsid w:val="00C94828"/>
    <w:rsid w:val="00C963BE"/>
    <w:rsid w:val="00C96B64"/>
    <w:rsid w:val="00CA2858"/>
    <w:rsid w:val="00CB02F1"/>
    <w:rsid w:val="00CB4CE6"/>
    <w:rsid w:val="00CB6357"/>
    <w:rsid w:val="00CB6FF3"/>
    <w:rsid w:val="00CC1B26"/>
    <w:rsid w:val="00CC2F6F"/>
    <w:rsid w:val="00CD0D98"/>
    <w:rsid w:val="00CD47CD"/>
    <w:rsid w:val="00CD4C85"/>
    <w:rsid w:val="00CD4D52"/>
    <w:rsid w:val="00CD7FA1"/>
    <w:rsid w:val="00CE3C1C"/>
    <w:rsid w:val="00CE4026"/>
    <w:rsid w:val="00D05ED6"/>
    <w:rsid w:val="00D06146"/>
    <w:rsid w:val="00D0673A"/>
    <w:rsid w:val="00D0699E"/>
    <w:rsid w:val="00D1210B"/>
    <w:rsid w:val="00D222C0"/>
    <w:rsid w:val="00D22D2B"/>
    <w:rsid w:val="00D334DD"/>
    <w:rsid w:val="00D34EA3"/>
    <w:rsid w:val="00D361FD"/>
    <w:rsid w:val="00D423A2"/>
    <w:rsid w:val="00D44E26"/>
    <w:rsid w:val="00D51A5D"/>
    <w:rsid w:val="00D520D8"/>
    <w:rsid w:val="00D532D4"/>
    <w:rsid w:val="00D552A0"/>
    <w:rsid w:val="00D56F8A"/>
    <w:rsid w:val="00D62B9C"/>
    <w:rsid w:val="00D63AC2"/>
    <w:rsid w:val="00D64111"/>
    <w:rsid w:val="00D64AFC"/>
    <w:rsid w:val="00D72D0B"/>
    <w:rsid w:val="00D7383B"/>
    <w:rsid w:val="00D73DBD"/>
    <w:rsid w:val="00D7541C"/>
    <w:rsid w:val="00D76E7C"/>
    <w:rsid w:val="00D7788A"/>
    <w:rsid w:val="00D82A30"/>
    <w:rsid w:val="00D85F06"/>
    <w:rsid w:val="00D936A2"/>
    <w:rsid w:val="00DA1F04"/>
    <w:rsid w:val="00DA231B"/>
    <w:rsid w:val="00DA7689"/>
    <w:rsid w:val="00DB13F4"/>
    <w:rsid w:val="00DB55DA"/>
    <w:rsid w:val="00DB6DDE"/>
    <w:rsid w:val="00DC1EFB"/>
    <w:rsid w:val="00DC39FC"/>
    <w:rsid w:val="00DC7CCB"/>
    <w:rsid w:val="00DD7D20"/>
    <w:rsid w:val="00DE0870"/>
    <w:rsid w:val="00DE18D0"/>
    <w:rsid w:val="00DE6EC3"/>
    <w:rsid w:val="00DE7692"/>
    <w:rsid w:val="00DF5254"/>
    <w:rsid w:val="00E02524"/>
    <w:rsid w:val="00E051F1"/>
    <w:rsid w:val="00E05E98"/>
    <w:rsid w:val="00E1159D"/>
    <w:rsid w:val="00E1449C"/>
    <w:rsid w:val="00E1451E"/>
    <w:rsid w:val="00E16408"/>
    <w:rsid w:val="00E20894"/>
    <w:rsid w:val="00E22DC2"/>
    <w:rsid w:val="00E23233"/>
    <w:rsid w:val="00E245AB"/>
    <w:rsid w:val="00E27341"/>
    <w:rsid w:val="00E2764C"/>
    <w:rsid w:val="00E27EDD"/>
    <w:rsid w:val="00E27F2E"/>
    <w:rsid w:val="00E306D6"/>
    <w:rsid w:val="00E31225"/>
    <w:rsid w:val="00E501E7"/>
    <w:rsid w:val="00E50AFE"/>
    <w:rsid w:val="00E523D5"/>
    <w:rsid w:val="00E57176"/>
    <w:rsid w:val="00E577E2"/>
    <w:rsid w:val="00E615C4"/>
    <w:rsid w:val="00E71E1B"/>
    <w:rsid w:val="00E75C92"/>
    <w:rsid w:val="00E771DC"/>
    <w:rsid w:val="00E8772A"/>
    <w:rsid w:val="00E90C80"/>
    <w:rsid w:val="00E90F6B"/>
    <w:rsid w:val="00E91AED"/>
    <w:rsid w:val="00E92C27"/>
    <w:rsid w:val="00E96B5C"/>
    <w:rsid w:val="00EA0E3D"/>
    <w:rsid w:val="00EA0EC9"/>
    <w:rsid w:val="00EA0FBD"/>
    <w:rsid w:val="00EA2DC0"/>
    <w:rsid w:val="00EA426C"/>
    <w:rsid w:val="00EA677F"/>
    <w:rsid w:val="00EB224C"/>
    <w:rsid w:val="00EB3B9D"/>
    <w:rsid w:val="00EB7BC0"/>
    <w:rsid w:val="00EC006D"/>
    <w:rsid w:val="00EC0844"/>
    <w:rsid w:val="00EC297F"/>
    <w:rsid w:val="00EC38A7"/>
    <w:rsid w:val="00ED44D6"/>
    <w:rsid w:val="00ED4980"/>
    <w:rsid w:val="00ED5114"/>
    <w:rsid w:val="00ED5120"/>
    <w:rsid w:val="00EE0D82"/>
    <w:rsid w:val="00EE0E1C"/>
    <w:rsid w:val="00EE1AA8"/>
    <w:rsid w:val="00EE265D"/>
    <w:rsid w:val="00EE3D99"/>
    <w:rsid w:val="00EF1D4F"/>
    <w:rsid w:val="00EF4E4B"/>
    <w:rsid w:val="00EF4E7D"/>
    <w:rsid w:val="00EF5E13"/>
    <w:rsid w:val="00EF647F"/>
    <w:rsid w:val="00F03314"/>
    <w:rsid w:val="00F0580C"/>
    <w:rsid w:val="00F124E5"/>
    <w:rsid w:val="00F2171E"/>
    <w:rsid w:val="00F23FEA"/>
    <w:rsid w:val="00F27B7B"/>
    <w:rsid w:val="00F3172F"/>
    <w:rsid w:val="00F31EDC"/>
    <w:rsid w:val="00F34294"/>
    <w:rsid w:val="00F3642F"/>
    <w:rsid w:val="00F462B3"/>
    <w:rsid w:val="00F5664F"/>
    <w:rsid w:val="00F602E0"/>
    <w:rsid w:val="00F666C4"/>
    <w:rsid w:val="00F76AFC"/>
    <w:rsid w:val="00F81BF0"/>
    <w:rsid w:val="00F825DA"/>
    <w:rsid w:val="00F82E88"/>
    <w:rsid w:val="00F85CEC"/>
    <w:rsid w:val="00F86E11"/>
    <w:rsid w:val="00F86E3E"/>
    <w:rsid w:val="00F95C74"/>
    <w:rsid w:val="00FA1B40"/>
    <w:rsid w:val="00FA47C0"/>
    <w:rsid w:val="00FA5FFD"/>
    <w:rsid w:val="00FB33A2"/>
    <w:rsid w:val="00FB5DD1"/>
    <w:rsid w:val="00FC2B5D"/>
    <w:rsid w:val="00FD0145"/>
    <w:rsid w:val="00FD1DDC"/>
    <w:rsid w:val="00FD2D1F"/>
    <w:rsid w:val="00FD3AD2"/>
    <w:rsid w:val="00FD4AD8"/>
    <w:rsid w:val="00FD59D3"/>
    <w:rsid w:val="00FF1449"/>
    <w:rsid w:val="00FF227D"/>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A8D671"/>
  <w15:chartTrackingRefBased/>
  <w15:docId w15:val="{58568B41-9065-4DE9-BFEA-A2F366019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08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73F45"/>
    <w:rPr>
      <w:rFonts w:ascii="Geomanist Light" w:hAnsi="Geomanist Light"/>
      <w:lang w:val="es-ES"/>
    </w:rPr>
  </w:style>
  <w:style w:type="paragraph" w:styleId="Textodeglobo">
    <w:name w:val="Balloon Text"/>
    <w:basedOn w:val="Normal"/>
    <w:link w:val="TextodegloboCar"/>
    <w:uiPriority w:val="99"/>
    <w:semiHidden/>
    <w:unhideWhenUsed/>
    <w:rsid w:val="00076D5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76D52"/>
    <w:rPr>
      <w:rFonts w:ascii="Segoe UI" w:hAnsi="Segoe UI" w:cs="Segoe UI"/>
      <w:sz w:val="18"/>
      <w:szCs w:val="18"/>
    </w:rPr>
  </w:style>
  <w:style w:type="table" w:customStyle="1" w:styleId="Tablaconcuadrcula11">
    <w:name w:val="Tabla con cuadrícula11"/>
    <w:basedOn w:val="Tablanormal"/>
    <w:next w:val="Tablaconcuadrcula"/>
    <w:uiPriority w:val="59"/>
    <w:qFormat/>
    <w:rsid w:val="00903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9037F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basedOn w:val="Fuentedeprrafopredeter"/>
    <w:uiPriority w:val="99"/>
    <w:semiHidden/>
    <w:unhideWhenUsed/>
    <w:rsid w:val="00DB13F4"/>
    <w:rPr>
      <w:color w:val="605E5C"/>
      <w:shd w:val="clear" w:color="auto" w:fill="E1DFDD"/>
    </w:rPr>
  </w:style>
  <w:style w:type="paragraph" w:styleId="Textoindependiente">
    <w:name w:val="Body Text"/>
    <w:basedOn w:val="Normal"/>
    <w:link w:val="TextoindependienteCar"/>
    <w:uiPriority w:val="1"/>
    <w:unhideWhenUsed/>
    <w:qFormat/>
    <w:rsid w:val="00B234CF"/>
    <w:pPr>
      <w:spacing w:after="120"/>
    </w:pPr>
  </w:style>
  <w:style w:type="character" w:customStyle="1" w:styleId="TextoindependienteCar">
    <w:name w:val="Texto independiente Car"/>
    <w:basedOn w:val="Fuentedeprrafopredeter"/>
    <w:link w:val="Textoindependiente"/>
    <w:uiPriority w:val="1"/>
    <w:rsid w:val="00B234CF"/>
  </w:style>
  <w:style w:type="character" w:styleId="Mencinsinresolver">
    <w:name w:val="Unresolved Mention"/>
    <w:basedOn w:val="Fuentedeprrafopredeter"/>
    <w:uiPriority w:val="99"/>
    <w:semiHidden/>
    <w:unhideWhenUsed/>
    <w:rsid w:val="00BF112D"/>
    <w:rPr>
      <w:color w:val="605E5C"/>
      <w:shd w:val="clear" w:color="auto" w:fill="E1DFDD"/>
    </w:rPr>
  </w:style>
  <w:style w:type="character" w:customStyle="1" w:styleId="s15">
    <w:name w:val="s15"/>
    <w:basedOn w:val="Fuentedeprrafopredeter"/>
    <w:rsid w:val="00922205"/>
  </w:style>
  <w:style w:type="character" w:customStyle="1" w:styleId="NormalWebCar">
    <w:name w:val="Normal (Web) Car"/>
    <w:link w:val="NormalWeb"/>
    <w:uiPriority w:val="99"/>
    <w:rsid w:val="003D3FF4"/>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740">
      <w:bodyDiv w:val="1"/>
      <w:marLeft w:val="0"/>
      <w:marRight w:val="0"/>
      <w:marTop w:val="0"/>
      <w:marBottom w:val="0"/>
      <w:divBdr>
        <w:top w:val="none" w:sz="0" w:space="0" w:color="auto"/>
        <w:left w:val="none" w:sz="0" w:space="0" w:color="auto"/>
        <w:bottom w:val="none" w:sz="0" w:space="0" w:color="auto"/>
        <w:right w:val="none" w:sz="0" w:space="0" w:color="auto"/>
      </w:divBdr>
      <w:divsChild>
        <w:div w:id="258880311">
          <w:marLeft w:val="0"/>
          <w:marRight w:val="0"/>
          <w:marTop w:val="0"/>
          <w:marBottom w:val="0"/>
          <w:divBdr>
            <w:top w:val="none" w:sz="0" w:space="0" w:color="auto"/>
            <w:left w:val="none" w:sz="0" w:space="0" w:color="auto"/>
            <w:bottom w:val="none" w:sz="0" w:space="0" w:color="auto"/>
            <w:right w:val="none" w:sz="0" w:space="0" w:color="auto"/>
          </w:divBdr>
          <w:divsChild>
            <w:div w:id="1294941058">
              <w:marLeft w:val="0"/>
              <w:marRight w:val="0"/>
              <w:marTop w:val="0"/>
              <w:marBottom w:val="0"/>
              <w:divBdr>
                <w:top w:val="none" w:sz="0" w:space="0" w:color="auto"/>
                <w:left w:val="none" w:sz="0" w:space="0" w:color="auto"/>
                <w:bottom w:val="none" w:sz="0" w:space="0" w:color="auto"/>
                <w:right w:val="none" w:sz="0" w:space="0" w:color="auto"/>
              </w:divBdr>
              <w:divsChild>
                <w:div w:id="337932334">
                  <w:marLeft w:val="0"/>
                  <w:marRight w:val="0"/>
                  <w:marTop w:val="0"/>
                  <w:marBottom w:val="0"/>
                  <w:divBdr>
                    <w:top w:val="none" w:sz="0" w:space="0" w:color="auto"/>
                    <w:left w:val="none" w:sz="0" w:space="0" w:color="auto"/>
                    <w:bottom w:val="none" w:sz="0" w:space="0" w:color="auto"/>
                    <w:right w:val="none" w:sz="0" w:space="0" w:color="auto"/>
                  </w:divBdr>
                  <w:divsChild>
                    <w:div w:id="9084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659191">
          <w:marLeft w:val="0"/>
          <w:marRight w:val="0"/>
          <w:marTop w:val="0"/>
          <w:marBottom w:val="0"/>
          <w:divBdr>
            <w:top w:val="none" w:sz="0" w:space="0" w:color="auto"/>
            <w:left w:val="none" w:sz="0" w:space="0" w:color="auto"/>
            <w:bottom w:val="none" w:sz="0" w:space="0" w:color="auto"/>
            <w:right w:val="none" w:sz="0" w:space="0" w:color="auto"/>
          </w:divBdr>
        </w:div>
      </w:divsChild>
    </w:div>
    <w:div w:id="10496905">
      <w:bodyDiv w:val="1"/>
      <w:marLeft w:val="0"/>
      <w:marRight w:val="0"/>
      <w:marTop w:val="0"/>
      <w:marBottom w:val="0"/>
      <w:divBdr>
        <w:top w:val="none" w:sz="0" w:space="0" w:color="auto"/>
        <w:left w:val="none" w:sz="0" w:space="0" w:color="auto"/>
        <w:bottom w:val="none" w:sz="0" w:space="0" w:color="auto"/>
        <w:right w:val="none" w:sz="0" w:space="0" w:color="auto"/>
      </w:divBdr>
    </w:div>
    <w:div w:id="298808619">
      <w:bodyDiv w:val="1"/>
      <w:marLeft w:val="0"/>
      <w:marRight w:val="0"/>
      <w:marTop w:val="0"/>
      <w:marBottom w:val="0"/>
      <w:divBdr>
        <w:top w:val="none" w:sz="0" w:space="0" w:color="auto"/>
        <w:left w:val="none" w:sz="0" w:space="0" w:color="auto"/>
        <w:bottom w:val="none" w:sz="0" w:space="0" w:color="auto"/>
        <w:right w:val="none" w:sz="0" w:space="0" w:color="auto"/>
      </w:divBdr>
    </w:div>
    <w:div w:id="474102498">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24190896">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42011055">
      <w:bodyDiv w:val="1"/>
      <w:marLeft w:val="0"/>
      <w:marRight w:val="0"/>
      <w:marTop w:val="0"/>
      <w:marBottom w:val="0"/>
      <w:divBdr>
        <w:top w:val="none" w:sz="0" w:space="0" w:color="auto"/>
        <w:left w:val="none" w:sz="0" w:space="0" w:color="auto"/>
        <w:bottom w:val="none" w:sz="0" w:space="0" w:color="auto"/>
        <w:right w:val="none" w:sz="0" w:space="0" w:color="auto"/>
      </w:divBdr>
    </w:div>
    <w:div w:id="914365341">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808545951">
      <w:bodyDiv w:val="1"/>
      <w:marLeft w:val="0"/>
      <w:marRight w:val="0"/>
      <w:marTop w:val="0"/>
      <w:marBottom w:val="0"/>
      <w:divBdr>
        <w:top w:val="none" w:sz="0" w:space="0" w:color="auto"/>
        <w:left w:val="none" w:sz="0" w:space="0" w:color="auto"/>
        <w:bottom w:val="none" w:sz="0" w:space="0" w:color="auto"/>
        <w:right w:val="none" w:sz="0" w:space="0" w:color="auto"/>
      </w:divBdr>
    </w:div>
    <w:div w:id="1898738708">
      <w:bodyDiv w:val="1"/>
      <w:marLeft w:val="0"/>
      <w:marRight w:val="0"/>
      <w:marTop w:val="0"/>
      <w:marBottom w:val="0"/>
      <w:divBdr>
        <w:top w:val="none" w:sz="0" w:space="0" w:color="auto"/>
        <w:left w:val="none" w:sz="0" w:space="0" w:color="auto"/>
        <w:bottom w:val="none" w:sz="0" w:space="0" w:color="auto"/>
        <w:right w:val="none" w:sz="0" w:space="0" w:color="auto"/>
      </w:divBdr>
    </w:div>
    <w:div w:id="2127960310">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ormacionvirtual.colombiacompra.gov.co/mod/page/view.php?id=3718"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normativa-y-relatoria/documentos-tipo"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717AEECD-F7FA-4C5D-9002-6CF481A0EF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C319D1-6F87-4601-A8E9-DF150CBA86FB}">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19</Pages>
  <Words>5286</Words>
  <Characters>29078</Characters>
  <Application>Microsoft Office Word</Application>
  <DocSecurity>0</DocSecurity>
  <Lines>242</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7</cp:revision>
  <cp:lastPrinted>2023-01-10T21:18:00Z</cp:lastPrinted>
  <dcterms:created xsi:type="dcterms:W3CDTF">2026-10-19T01:31:00Z</dcterms:created>
  <dcterms:modified xsi:type="dcterms:W3CDTF">2026-10-23T14:49:00Z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