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92334" w14:textId="77777777" w:rsidR="00E60C35" w:rsidRPr="00760536" w:rsidRDefault="00E60C35" w:rsidP="00E60C35">
      <w:pPr>
        <w:spacing w:after="0" w:line="240" w:lineRule="auto"/>
        <w:jc w:val="both"/>
        <w:rPr>
          <w:rFonts w:ascii="Verdana" w:hAnsi="Verdana" w:cs="Arial"/>
          <w:b/>
        </w:rPr>
      </w:pPr>
      <w:r w:rsidRPr="002D2E27">
        <w:rPr>
          <w:rFonts w:ascii="Verdana" w:hAnsi="Verdana" w:cs="Arial"/>
          <w:b/>
        </w:rPr>
        <w:t>SISTEMA GENERAL DE REGALÍAS – Ley 2056 de 2020 – artículo 37</w:t>
      </w:r>
      <w:r w:rsidRPr="00760536">
        <w:rPr>
          <w:rFonts w:ascii="Verdana" w:hAnsi="Verdana" w:cs="Arial"/>
          <w:b/>
        </w:rPr>
        <w:t xml:space="preserve"> </w:t>
      </w:r>
    </w:p>
    <w:p w14:paraId="4708586F" w14:textId="77777777" w:rsidR="00E60C35" w:rsidRPr="00760536" w:rsidRDefault="00E60C35" w:rsidP="00E60C35">
      <w:pPr>
        <w:spacing w:after="0" w:line="240" w:lineRule="auto"/>
        <w:jc w:val="both"/>
        <w:rPr>
          <w:rFonts w:ascii="Verdana" w:hAnsi="Verdana" w:cs="Arial"/>
          <w:b/>
          <w:sz w:val="20"/>
          <w:szCs w:val="20"/>
        </w:rPr>
      </w:pPr>
    </w:p>
    <w:p w14:paraId="26356C4C" w14:textId="77777777" w:rsidR="00E60C35" w:rsidRPr="002D2E27" w:rsidRDefault="00E60C35" w:rsidP="00E60C35">
      <w:pPr>
        <w:spacing w:after="0" w:line="240" w:lineRule="auto"/>
        <w:jc w:val="both"/>
        <w:textAlignment w:val="baseline"/>
        <w:rPr>
          <w:rFonts w:ascii="Verdana" w:hAnsi="Verdana" w:cs="Arial"/>
          <w:sz w:val="20"/>
          <w:szCs w:val="20"/>
          <w:lang w:val="es-ES_tradnl" w:eastAsia="es-CO"/>
        </w:rPr>
      </w:pPr>
      <w:r w:rsidRPr="002D2E27">
        <w:rPr>
          <w:rFonts w:ascii="Verdana" w:hAnsi="Verdana" w:cs="Arial"/>
          <w:sz w:val="20"/>
          <w:szCs w:val="20"/>
          <w:lang w:val="es-ES_tradnl" w:eastAsia="es-CO"/>
        </w:rPr>
        <w:t xml:space="preserve">En </w:t>
      </w:r>
      <w:r w:rsidRPr="002D2E27">
        <w:rPr>
          <w:rFonts w:ascii="Verdana" w:hAnsi="Verdana" w:cs="Arial"/>
          <w:sz w:val="20"/>
          <w:szCs w:val="20"/>
          <w:lang w:eastAsia="es-CO"/>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6A886E82" w14:textId="77777777" w:rsidR="00E60C35" w:rsidRPr="002D2E27" w:rsidRDefault="00E60C35" w:rsidP="00E60C35">
      <w:pPr>
        <w:spacing w:after="0" w:line="240" w:lineRule="auto"/>
        <w:jc w:val="both"/>
        <w:textAlignment w:val="baseline"/>
        <w:rPr>
          <w:rFonts w:ascii="Verdana" w:hAnsi="Verdana" w:cs="Arial"/>
          <w:sz w:val="20"/>
          <w:szCs w:val="20"/>
          <w:lang w:eastAsia="es-CO"/>
        </w:rPr>
      </w:pPr>
    </w:p>
    <w:p w14:paraId="0F045556" w14:textId="77777777" w:rsidR="00E60C35" w:rsidRPr="002D2E27" w:rsidRDefault="00E60C35" w:rsidP="00E60C35">
      <w:pPr>
        <w:spacing w:after="0" w:line="240" w:lineRule="auto"/>
        <w:jc w:val="both"/>
        <w:textAlignment w:val="baseline"/>
        <w:rPr>
          <w:rFonts w:ascii="Verdana" w:hAnsi="Verdana" w:cs="Arial"/>
          <w:sz w:val="20"/>
          <w:szCs w:val="20"/>
          <w:lang w:eastAsia="es-CO"/>
        </w:rPr>
      </w:pPr>
      <w:r w:rsidRPr="002D2E27">
        <w:rPr>
          <w:rFonts w:ascii="Verdana" w:hAnsi="Verdana" w:cs="Arial"/>
          <w:sz w:val="20"/>
          <w:szCs w:val="20"/>
          <w:lang w:eastAsia="es-CO"/>
        </w:rPr>
        <w:t>Los parágrafos del señalado artículo 37 disponen reglas importantes frente a la designación de los ejecutores de los proyectos y el régimen de contratación que deberá regir su actuación. El parágrafo primero del artículo 37 ibidem dispone que “La ejecución de proyectos de que trata este artículo, se adelantará, con estricta sujeción al régimen presupuestal definido en esta ley, al de contratación pública y las demás normas legales vigentes</w:t>
      </w:r>
      <w:proofErr w:type="gramStart"/>
      <w:r w:rsidRPr="002D2E27">
        <w:rPr>
          <w:rFonts w:ascii="Verdana" w:hAnsi="Verdana" w:cs="Arial"/>
          <w:sz w:val="20"/>
          <w:szCs w:val="20"/>
          <w:lang w:eastAsia="es-CO"/>
        </w:rPr>
        <w:t>” .</w:t>
      </w:r>
      <w:proofErr w:type="gramEnd"/>
      <w:r w:rsidRPr="002D2E27">
        <w:rPr>
          <w:rFonts w:ascii="Verdana" w:hAnsi="Verdana" w:cs="Arial"/>
          <w:sz w:val="20"/>
          <w:szCs w:val="20"/>
          <w:lang w:eastAsia="es-CO"/>
        </w:rPr>
        <w:t xml:space="preserve">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w:t>
      </w:r>
      <w:proofErr w:type="gramStart"/>
      <w:r w:rsidRPr="002D2E27">
        <w:rPr>
          <w:rFonts w:ascii="Verdana" w:hAnsi="Verdana" w:cs="Arial"/>
          <w:sz w:val="20"/>
          <w:szCs w:val="20"/>
          <w:lang w:eastAsia="es-CO"/>
        </w:rPr>
        <w:t>éste</w:t>
      </w:r>
      <w:proofErr w:type="gramEnd"/>
      <w:r w:rsidRPr="002D2E27">
        <w:rPr>
          <w:rFonts w:ascii="Verdana" w:hAnsi="Verdana" w:cs="Arial"/>
          <w:sz w:val="20"/>
          <w:szCs w:val="20"/>
          <w:lang w:eastAsia="es-CO"/>
        </w:rPr>
        <w:t xml:space="preserve"> sistema. En efecto, el ejecutor debe someterse a las reglas generales de la contratación pública cuando desarrolle proyectos en el marco del Sistema General de Regalías. </w:t>
      </w:r>
    </w:p>
    <w:p w14:paraId="344A6B22" w14:textId="77777777" w:rsidR="00E60C35" w:rsidRPr="002D2E27" w:rsidRDefault="00E60C35" w:rsidP="00E60C35">
      <w:pPr>
        <w:spacing w:after="0" w:line="240" w:lineRule="auto"/>
        <w:jc w:val="both"/>
        <w:textAlignment w:val="baseline"/>
        <w:rPr>
          <w:rFonts w:ascii="Verdana" w:hAnsi="Verdana" w:cs="Arial"/>
          <w:sz w:val="20"/>
          <w:szCs w:val="20"/>
          <w:lang w:eastAsia="es-CO"/>
        </w:rPr>
      </w:pPr>
    </w:p>
    <w:p w14:paraId="25FCB53F" w14:textId="77777777" w:rsidR="00E60C35" w:rsidRPr="002C0402" w:rsidRDefault="00E60C35" w:rsidP="00E60C35">
      <w:pPr>
        <w:spacing w:after="0" w:line="240" w:lineRule="auto"/>
        <w:jc w:val="both"/>
        <w:textAlignment w:val="baseline"/>
        <w:rPr>
          <w:rFonts w:ascii="Verdana" w:hAnsi="Verdana" w:cs="Arial"/>
          <w:bCs/>
          <w:sz w:val="20"/>
          <w:szCs w:val="20"/>
          <w:lang w:val="es-ES_tradnl" w:eastAsia="es-CO"/>
        </w:rPr>
      </w:pPr>
      <w:r w:rsidRPr="002D2E27">
        <w:rPr>
          <w:rFonts w:ascii="Verdana" w:hAnsi="Verdana" w:cs="Arial"/>
          <w:sz w:val="20"/>
          <w:szCs w:val="20"/>
          <w:lang w:eastAsia="es-CO"/>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w:t>
      </w:r>
      <w:r w:rsidRPr="00B04E25">
        <w:rPr>
          <w:rFonts w:ascii="Verdana" w:hAnsi="Verdana" w:cs="Arial"/>
          <w:bCs/>
          <w:sz w:val="20"/>
          <w:szCs w:val="20"/>
          <w:lang w:val="es-ES_tradnl" w:eastAsia="es-CO"/>
        </w:rPr>
        <w:t>.</w:t>
      </w:r>
    </w:p>
    <w:p w14:paraId="6AC1E6B5" w14:textId="77777777" w:rsidR="00E60C35" w:rsidRPr="00760536" w:rsidRDefault="00E60C35" w:rsidP="00E60C35">
      <w:pPr>
        <w:spacing w:after="0" w:line="240" w:lineRule="auto"/>
        <w:jc w:val="both"/>
        <w:textAlignment w:val="baseline"/>
        <w:rPr>
          <w:rFonts w:ascii="Verdana" w:hAnsi="Verdana" w:cs="Arial"/>
          <w:sz w:val="20"/>
          <w:szCs w:val="20"/>
          <w:lang w:val="es-ES" w:eastAsia="es-CO"/>
        </w:rPr>
      </w:pPr>
    </w:p>
    <w:p w14:paraId="2BBCB021" w14:textId="77777777" w:rsidR="00E60C35" w:rsidRPr="00760536" w:rsidRDefault="00E60C35" w:rsidP="00E60C35">
      <w:pPr>
        <w:spacing w:after="0" w:line="240" w:lineRule="auto"/>
        <w:jc w:val="both"/>
        <w:rPr>
          <w:rFonts w:ascii="Verdana" w:hAnsi="Verdana" w:cs="Arial"/>
          <w:b/>
          <w:lang w:val="es-ES"/>
        </w:rPr>
      </w:pPr>
      <w:r w:rsidRPr="002D2E27">
        <w:rPr>
          <w:rFonts w:ascii="Verdana" w:hAnsi="Verdana" w:cs="Arial"/>
          <w:b/>
          <w:lang w:val="es-ES"/>
        </w:rPr>
        <w:t>RÉGIMEN CONTRACTUAL – Entidades ejecutoras – Régimen especial – Aplicación del Estatuto General de Contratación de la Administración Pública</w:t>
      </w:r>
    </w:p>
    <w:p w14:paraId="00BDBDEE" w14:textId="77777777" w:rsidR="00E60C35" w:rsidRPr="00760536" w:rsidRDefault="00E60C35" w:rsidP="00E60C35">
      <w:pPr>
        <w:spacing w:after="0" w:line="240" w:lineRule="auto"/>
        <w:jc w:val="both"/>
        <w:rPr>
          <w:rFonts w:ascii="Verdana" w:hAnsi="Verdana" w:cs="Arial"/>
          <w:b/>
          <w:sz w:val="20"/>
          <w:szCs w:val="20"/>
          <w:lang w:val="es-ES"/>
        </w:rPr>
      </w:pPr>
    </w:p>
    <w:p w14:paraId="0A2C0212" w14:textId="77777777" w:rsidR="00E60C35" w:rsidRDefault="00E60C35" w:rsidP="00E60C35">
      <w:pPr>
        <w:spacing w:after="0" w:line="240" w:lineRule="auto"/>
        <w:jc w:val="both"/>
        <w:textAlignment w:val="baseline"/>
        <w:rPr>
          <w:rFonts w:ascii="Verdana" w:hAnsi="Verdana" w:cs="Arial"/>
          <w:bCs/>
          <w:sz w:val="20"/>
          <w:szCs w:val="20"/>
          <w:lang w:val="es-ES_tradnl" w:eastAsia="es-CO"/>
        </w:rPr>
      </w:pPr>
      <w:r w:rsidRPr="002D2E27">
        <w:rPr>
          <w:rFonts w:ascii="Verdana" w:hAnsi="Verdana" w:cs="Arial"/>
          <w:bCs/>
          <w:sz w:val="20"/>
          <w:szCs w:val="20"/>
          <w:lang w:val="es-ES_tradnl" w:eastAsia="es-CO"/>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r>
        <w:rPr>
          <w:rFonts w:ascii="Verdana" w:hAnsi="Verdana" w:cs="Arial"/>
          <w:bCs/>
          <w:sz w:val="20"/>
          <w:szCs w:val="20"/>
          <w:lang w:val="es-ES_tradnl" w:eastAsia="es-CO"/>
        </w:rPr>
        <w:t>.</w:t>
      </w:r>
    </w:p>
    <w:p w14:paraId="55581F44" w14:textId="77777777" w:rsidR="00E60C35" w:rsidRDefault="00E60C35" w:rsidP="00E60C35">
      <w:pPr>
        <w:spacing w:after="0" w:line="240" w:lineRule="auto"/>
        <w:jc w:val="both"/>
        <w:textAlignment w:val="baseline"/>
        <w:rPr>
          <w:rFonts w:ascii="Verdana" w:hAnsi="Verdana" w:cs="Arial"/>
          <w:bCs/>
          <w:sz w:val="20"/>
          <w:szCs w:val="20"/>
          <w:lang w:val="es-ES_tradnl" w:eastAsia="es-CO"/>
        </w:rPr>
      </w:pPr>
    </w:p>
    <w:p w14:paraId="30B457EC" w14:textId="77777777" w:rsidR="00E60C35" w:rsidRDefault="00E60C35" w:rsidP="00E60C35">
      <w:pPr>
        <w:spacing w:after="0" w:line="240" w:lineRule="auto"/>
        <w:jc w:val="both"/>
        <w:textAlignment w:val="baseline"/>
        <w:rPr>
          <w:rFonts w:ascii="Verdana" w:hAnsi="Verdana" w:cs="Arial"/>
          <w:b/>
          <w:lang w:val="es-ES"/>
        </w:rPr>
      </w:pPr>
      <w:r>
        <w:rPr>
          <w:rFonts w:ascii="Verdana" w:hAnsi="Verdana" w:cs="Arial"/>
          <w:b/>
          <w:lang w:val="es-ES"/>
        </w:rPr>
        <w:lastRenderedPageBreak/>
        <w:t>POTESTAD SANCIONADORA</w:t>
      </w:r>
      <w:r w:rsidRPr="002D2E27">
        <w:rPr>
          <w:rFonts w:ascii="Verdana" w:hAnsi="Verdana" w:cs="Arial"/>
          <w:b/>
          <w:lang w:val="es-ES"/>
        </w:rPr>
        <w:t xml:space="preserve"> – Entidades ejecutoras – </w:t>
      </w:r>
      <w:r>
        <w:rPr>
          <w:rFonts w:ascii="Verdana" w:hAnsi="Verdana" w:cs="Arial"/>
          <w:b/>
          <w:lang w:val="es-ES"/>
        </w:rPr>
        <w:t>SGR – Sanciones pecuniarias – Alcance</w:t>
      </w:r>
    </w:p>
    <w:p w14:paraId="119DBD39" w14:textId="77777777" w:rsidR="00E60C35" w:rsidRPr="00693830" w:rsidRDefault="00E60C35" w:rsidP="00E60C35">
      <w:pPr>
        <w:spacing w:after="0" w:line="240" w:lineRule="auto"/>
        <w:jc w:val="both"/>
        <w:textAlignment w:val="baseline"/>
        <w:rPr>
          <w:rFonts w:ascii="Verdana" w:hAnsi="Verdana" w:cs="Arial"/>
          <w:b/>
          <w:sz w:val="20"/>
          <w:szCs w:val="20"/>
          <w:lang w:val="es-ES"/>
        </w:rPr>
      </w:pPr>
    </w:p>
    <w:p w14:paraId="6B70E7EE" w14:textId="77777777" w:rsidR="00E60C35" w:rsidRPr="00693830" w:rsidRDefault="00E60C35" w:rsidP="00E60C35">
      <w:pPr>
        <w:spacing w:after="0" w:line="240" w:lineRule="auto"/>
        <w:jc w:val="both"/>
        <w:textAlignment w:val="baseline"/>
        <w:rPr>
          <w:rFonts w:ascii="Verdana" w:hAnsi="Verdana" w:cs="Arial"/>
          <w:bCs/>
          <w:sz w:val="20"/>
          <w:szCs w:val="20"/>
        </w:rPr>
      </w:pPr>
      <w:r w:rsidRPr="00693830">
        <w:rPr>
          <w:rFonts w:ascii="Verdana" w:hAnsi="Verdana" w:cs="Arial"/>
          <w:bCs/>
          <w:sz w:val="20"/>
          <w:szCs w:val="20"/>
        </w:rPr>
        <w:t>Teniendo en cuenta el régimen jurídico aplicable, de acuerdo con el artículo 17 de la Ley 1150 de 2007, las entidades que ejecuten recursos del sistema general de regalías pueden declarar el incumplimiento con miras a hacer efectivas las multas y la cláusula penal en el marco de los contratos que celebren para tal fin. Como están sometidas al Estatuto General de Contratación para la ejecución de dichos proyectos, el procedimiento aplicable a las actuaciones sancionatorias corresponde al previsto en el artículo 86 de la Ley 1474 de 2011.</w:t>
      </w:r>
    </w:p>
    <w:p w14:paraId="657E8673" w14:textId="77777777" w:rsidR="00E60C35" w:rsidRPr="00693830" w:rsidRDefault="00E60C35" w:rsidP="00E60C35">
      <w:pPr>
        <w:spacing w:after="0" w:line="240" w:lineRule="auto"/>
        <w:jc w:val="both"/>
        <w:textAlignment w:val="baseline"/>
        <w:rPr>
          <w:rFonts w:ascii="Verdana" w:hAnsi="Verdana" w:cs="Arial"/>
          <w:bCs/>
          <w:sz w:val="20"/>
          <w:szCs w:val="20"/>
        </w:rPr>
      </w:pPr>
    </w:p>
    <w:p w14:paraId="41F8E6AF" w14:textId="77777777" w:rsidR="00E60C35" w:rsidRPr="00693830" w:rsidRDefault="00E60C35" w:rsidP="00E60C35">
      <w:pPr>
        <w:spacing w:after="0" w:line="240" w:lineRule="auto"/>
        <w:jc w:val="both"/>
        <w:textAlignment w:val="baseline"/>
        <w:rPr>
          <w:rFonts w:ascii="Verdana" w:hAnsi="Verdana" w:cs="Arial"/>
          <w:bCs/>
          <w:sz w:val="20"/>
          <w:szCs w:val="20"/>
          <w:lang w:val="es-ES_tradnl"/>
        </w:rPr>
      </w:pPr>
      <w:r w:rsidRPr="00693830">
        <w:rPr>
          <w:rFonts w:ascii="Verdana" w:hAnsi="Verdana" w:cs="Arial"/>
          <w:bCs/>
          <w:sz w:val="20"/>
          <w:szCs w:val="20"/>
          <w:lang w:val="es-ES_tradnl"/>
        </w:rPr>
        <w:t>En la medida que hayan sido pactadas, la entidad ejecutora podrá imponer las multas y la cláusula penal a los contratistas que hayan incumplido sus obligaciones en el marco de los negocios jurídicos suscritos para desarrollar proyectos de inversión con cargo al sistema general de regalías. Las mismas proceden en el marco de relaciones contractuales, lo que excluye la posibilidad de ejercer la potestad sancionadora contra la entidad que designa al ejecutor. Como explica la Sala de Consulta y Servicio Civil del Consejo de Estado, “[…] el acto por el cual un OCAD, un departamento o una entidad territorial designa al ejecutor de un proyecto financiado con recursos del Sistema General de Regalías es un acto administrativo unilateral de contenido particular y concreto, que se profiere en ejercicio de una competencia legal de administración de recursos de inversión; es unilateral porque se perfecciona por la decisión del órgano competente y no por aceptación del destinatario, y atribuye al ejecutor deberes dentro del ciclo de inversión del SGR de tipo contractual, de ejecución, reporte y control”.</w:t>
      </w:r>
    </w:p>
    <w:p w14:paraId="04B6998D" w14:textId="77777777" w:rsidR="00E60C35" w:rsidRPr="00693830" w:rsidRDefault="00E60C35" w:rsidP="00E60C35">
      <w:pPr>
        <w:spacing w:after="0" w:line="240" w:lineRule="auto"/>
        <w:jc w:val="both"/>
        <w:textAlignment w:val="baseline"/>
        <w:rPr>
          <w:rFonts w:ascii="Verdana" w:hAnsi="Verdana" w:cs="Arial"/>
          <w:bCs/>
          <w:sz w:val="20"/>
          <w:szCs w:val="20"/>
          <w:lang w:val="es-ES_tradnl" w:eastAsia="es-CO"/>
        </w:rPr>
      </w:pPr>
    </w:p>
    <w:p w14:paraId="6C2D5EC2" w14:textId="77777777" w:rsidR="00E60C35" w:rsidRPr="00C8449D" w:rsidRDefault="00E60C35" w:rsidP="00E60C35">
      <w:pPr>
        <w:spacing w:after="0" w:line="240" w:lineRule="auto"/>
        <w:jc w:val="both"/>
        <w:textAlignment w:val="baseline"/>
        <w:rPr>
          <w:rFonts w:ascii="Verdana" w:hAnsi="Verdana" w:cs="Arial"/>
          <w:b/>
          <w:bCs/>
          <w:sz w:val="20"/>
          <w:szCs w:val="20"/>
          <w:lang w:val="es-ES_tradnl" w:eastAsia="es-CO"/>
        </w:rPr>
      </w:pPr>
      <w:r w:rsidRPr="00C8449D">
        <w:rPr>
          <w:rFonts w:ascii="Verdana" w:eastAsia="Calibri" w:hAnsi="Verdana" w:cs="Arial"/>
          <w:b/>
          <w:bCs/>
          <w:lang w:val="es-ES" w:eastAsia="es-ES"/>
        </w:rPr>
        <w:t>CLÁUSULAS EXCEPCIONALES – Aplicación</w:t>
      </w:r>
    </w:p>
    <w:p w14:paraId="23991C95" w14:textId="77777777" w:rsidR="00E60C35" w:rsidRDefault="00E60C35" w:rsidP="00E60C35">
      <w:pPr>
        <w:spacing w:after="0" w:line="240" w:lineRule="auto"/>
        <w:rPr>
          <w:rFonts w:ascii="Verdana" w:eastAsia="Geomanist Light" w:hAnsi="Verdana" w:cs="Arial"/>
          <w:color w:val="000000" w:themeColor="text1"/>
          <w:lang w:val="es-MX"/>
        </w:rPr>
      </w:pPr>
    </w:p>
    <w:p w14:paraId="43EA4D61" w14:textId="77777777" w:rsidR="00E60C35" w:rsidRDefault="00E60C35" w:rsidP="00E60C35">
      <w:pPr>
        <w:spacing w:after="0" w:line="240" w:lineRule="auto"/>
        <w:jc w:val="both"/>
        <w:textAlignment w:val="baseline"/>
        <w:rPr>
          <w:rFonts w:ascii="Verdana" w:hAnsi="Verdana" w:cs="Arial"/>
          <w:bCs/>
          <w:sz w:val="20"/>
          <w:szCs w:val="20"/>
        </w:rPr>
      </w:pPr>
      <w:r w:rsidRPr="00C8449D">
        <w:rPr>
          <w:rFonts w:ascii="Verdana" w:hAnsi="Verdana" w:cs="Arial"/>
          <w:bCs/>
          <w:sz w:val="20"/>
          <w:szCs w:val="20"/>
        </w:rPr>
        <w:t>La sujeción al EGCAP prevista en el artículo 37 de la Ley 2056 de 2020 comprende las potestades excepcionales previstas en los artículos 14 y siguientes de la Ley 80 de 1993, en los términos y bajo los presupuestos establecidos por dicho Estatuto. En consecuencia, cuando una entidad sometida a un régimen especial es designada ejecutora de recursos del SGR, los contratos que celebre para la ejecución de los respectivos proyectos se sujetan al EGCAP, por lo que podrá ejercer las potestades excepcionales que resulten legalmente procedentes, sin que para ello sea necesaria una habilitación legal adicional ni su incorporación previa en el contrato o en el manual de contratación.</w:t>
      </w:r>
    </w:p>
    <w:p w14:paraId="0EA7667F" w14:textId="77777777" w:rsidR="00E60C35" w:rsidRPr="00C8449D" w:rsidRDefault="00E60C35" w:rsidP="00E60C35">
      <w:pPr>
        <w:spacing w:after="0" w:line="240" w:lineRule="auto"/>
        <w:jc w:val="both"/>
        <w:textAlignment w:val="baseline"/>
        <w:rPr>
          <w:rFonts w:ascii="Verdana" w:hAnsi="Verdana" w:cs="Arial"/>
          <w:bCs/>
          <w:sz w:val="20"/>
          <w:szCs w:val="20"/>
        </w:rPr>
      </w:pPr>
    </w:p>
    <w:p w14:paraId="4713CAF6" w14:textId="77777777" w:rsidR="00E60C35" w:rsidRPr="00A83047" w:rsidRDefault="00E60C35" w:rsidP="00E60C35">
      <w:pPr>
        <w:spacing w:after="0" w:line="240" w:lineRule="auto"/>
        <w:jc w:val="both"/>
        <w:textAlignment w:val="baseline"/>
        <w:rPr>
          <w:rFonts w:ascii="Verdana" w:eastAsia="Calibri" w:hAnsi="Verdana" w:cs="Arial"/>
          <w:bCs/>
          <w:color w:val="000000" w:themeColor="text1"/>
        </w:rPr>
      </w:pPr>
      <w:r w:rsidRPr="00C8449D">
        <w:rPr>
          <w:rFonts w:ascii="Verdana" w:hAnsi="Verdana" w:cs="Arial"/>
          <w:bCs/>
          <w:sz w:val="20"/>
          <w:szCs w:val="20"/>
        </w:rPr>
        <w:t xml:space="preserve">Lo anterior se diferencia de los contratos que la entidad celebre en desarrollo de su régimen especial, en los cuales dichas potestades no le son inherentes, sin perjuicio de su eventual pacto en ejercicio de la autonomía de la voluntad, dentro de los límites establecidos por el ordenamiento jurídico. En el caso de los contratos financiados con recursos del SGR, en cambio, la fuente de la potestad excepcional no es el pacto contractual, sino la sujeción legal al EGCAP derivada del artículo 37 de la Ley 2056 de 2020. En todo caso, el ejercicio de estas facultades no es automático ni irrestricto, pues deberá verificarse, en cada caso, que el contrato se encuentre dentro de los supuestos </w:t>
      </w:r>
      <w:r w:rsidRPr="00C8449D">
        <w:rPr>
          <w:rFonts w:ascii="Verdana" w:hAnsi="Verdana" w:cs="Arial"/>
          <w:bCs/>
          <w:sz w:val="20"/>
          <w:szCs w:val="20"/>
        </w:rPr>
        <w:lastRenderedPageBreak/>
        <w:t>en los que la Ley 80 de 1993 autoriza su utilización y que se observen las condiciones, límites y procedimientos previstos en ella</w:t>
      </w:r>
      <w:r w:rsidRPr="00A83047">
        <w:rPr>
          <w:rFonts w:ascii="Verdana" w:eastAsia="Calibri" w:hAnsi="Verdana" w:cs="Arial"/>
          <w:bCs/>
          <w:color w:val="000000" w:themeColor="text1"/>
        </w:rPr>
        <w:t xml:space="preserve">. </w:t>
      </w:r>
    </w:p>
    <w:p w14:paraId="5D5E1B61" w14:textId="77777777" w:rsidR="00E60C35" w:rsidRDefault="00E60C35" w:rsidP="00E60C35">
      <w:pPr>
        <w:spacing w:after="0" w:line="240" w:lineRule="auto"/>
        <w:rPr>
          <w:rFonts w:ascii="Verdana" w:eastAsia="Geomanist Light" w:hAnsi="Verdana" w:cs="Arial"/>
          <w:color w:val="000000" w:themeColor="text1"/>
          <w:lang w:val="es-MX"/>
        </w:rPr>
      </w:pPr>
    </w:p>
    <w:p w14:paraId="7E4D342C" w14:textId="77777777" w:rsidR="00E60C35" w:rsidRDefault="00E60C35" w:rsidP="00E60C35">
      <w:pPr>
        <w:spacing w:after="0" w:line="240" w:lineRule="auto"/>
        <w:rPr>
          <w:rFonts w:ascii="Verdana" w:eastAsia="Geomanist Light" w:hAnsi="Verdana" w:cs="Arial"/>
          <w:color w:val="000000" w:themeColor="text1"/>
          <w:lang w:val="es-MX"/>
        </w:rPr>
      </w:pPr>
    </w:p>
    <w:p w14:paraId="72D77750" w14:textId="77777777" w:rsidR="00E60C35" w:rsidRDefault="00E60C35" w:rsidP="00E60C35">
      <w:pPr>
        <w:spacing w:after="0" w:line="240" w:lineRule="auto"/>
        <w:rPr>
          <w:rFonts w:ascii="Verdana" w:eastAsia="Geomanist Light" w:hAnsi="Verdana" w:cs="Arial"/>
          <w:color w:val="000000" w:themeColor="text1"/>
          <w:lang w:val="es-MX"/>
        </w:rPr>
      </w:pPr>
    </w:p>
    <w:p w14:paraId="4F0937AA" w14:textId="77777777" w:rsidR="00E60C35" w:rsidRDefault="00E60C35" w:rsidP="00E60C35">
      <w:pPr>
        <w:spacing w:after="0" w:line="240" w:lineRule="auto"/>
        <w:rPr>
          <w:rFonts w:ascii="Verdana" w:eastAsia="Geomanist Light" w:hAnsi="Verdana" w:cs="Arial"/>
          <w:color w:val="000000" w:themeColor="text1"/>
          <w:lang w:val="es-MX"/>
        </w:rPr>
      </w:pPr>
    </w:p>
    <w:p w14:paraId="2FA95B7C" w14:textId="77777777" w:rsidR="00E60C35" w:rsidRDefault="00E60C35" w:rsidP="00E60C35">
      <w:pPr>
        <w:spacing w:after="0" w:line="240" w:lineRule="auto"/>
        <w:rPr>
          <w:rFonts w:ascii="Verdana" w:eastAsia="Geomanist Light" w:hAnsi="Verdana" w:cs="Arial"/>
          <w:color w:val="000000" w:themeColor="text1"/>
          <w:lang w:val="es-MX"/>
        </w:rPr>
      </w:pPr>
    </w:p>
    <w:p w14:paraId="0F277F03" w14:textId="77777777" w:rsidR="00E60C35" w:rsidRDefault="00E60C35" w:rsidP="00E60C35">
      <w:pPr>
        <w:spacing w:after="0" w:line="240" w:lineRule="auto"/>
        <w:rPr>
          <w:rFonts w:ascii="Verdana" w:eastAsia="Geomanist Light" w:hAnsi="Verdana" w:cs="Arial"/>
          <w:color w:val="000000" w:themeColor="text1"/>
          <w:lang w:val="es-MX"/>
        </w:rPr>
      </w:pPr>
    </w:p>
    <w:p w14:paraId="79405D32" w14:textId="77777777" w:rsidR="00E60C35" w:rsidRDefault="00E60C35" w:rsidP="00E60C35">
      <w:pPr>
        <w:spacing w:after="0" w:line="240" w:lineRule="auto"/>
        <w:rPr>
          <w:rFonts w:ascii="Verdana" w:eastAsia="Geomanist Light" w:hAnsi="Verdana" w:cs="Arial"/>
          <w:color w:val="000000" w:themeColor="text1"/>
          <w:lang w:val="es-MX"/>
        </w:rPr>
      </w:pPr>
    </w:p>
    <w:p w14:paraId="35442F77" w14:textId="77777777" w:rsidR="00E60C35" w:rsidRDefault="00E60C35" w:rsidP="00E60C35">
      <w:pPr>
        <w:spacing w:after="0" w:line="240" w:lineRule="auto"/>
        <w:rPr>
          <w:rFonts w:ascii="Verdana" w:eastAsia="Geomanist Light" w:hAnsi="Verdana" w:cs="Arial"/>
          <w:color w:val="000000" w:themeColor="text1"/>
          <w:lang w:val="es-MX"/>
        </w:rPr>
      </w:pPr>
    </w:p>
    <w:p w14:paraId="13DDBC14" w14:textId="77777777" w:rsidR="00E60C35" w:rsidRDefault="00E60C35" w:rsidP="00E60C35">
      <w:pPr>
        <w:spacing w:after="0" w:line="240" w:lineRule="auto"/>
        <w:rPr>
          <w:rFonts w:ascii="Verdana" w:eastAsia="Geomanist Light" w:hAnsi="Verdana" w:cs="Arial"/>
          <w:color w:val="000000" w:themeColor="text1"/>
          <w:lang w:val="es-MX"/>
        </w:rPr>
      </w:pPr>
    </w:p>
    <w:p w14:paraId="3C85088F" w14:textId="77777777" w:rsidR="00E60C35" w:rsidRDefault="00E60C35" w:rsidP="00E60C35">
      <w:pPr>
        <w:spacing w:after="0" w:line="240" w:lineRule="auto"/>
        <w:rPr>
          <w:rFonts w:ascii="Verdana" w:eastAsia="Geomanist Light" w:hAnsi="Verdana" w:cs="Arial"/>
          <w:color w:val="000000" w:themeColor="text1"/>
          <w:lang w:val="es-MX"/>
        </w:rPr>
      </w:pPr>
    </w:p>
    <w:p w14:paraId="56A61FC1" w14:textId="77777777" w:rsidR="00E60C35" w:rsidRDefault="00E60C35" w:rsidP="00E60C35">
      <w:pPr>
        <w:spacing w:after="0" w:line="240" w:lineRule="auto"/>
        <w:rPr>
          <w:rFonts w:ascii="Verdana" w:eastAsia="Geomanist Light" w:hAnsi="Verdana" w:cs="Arial"/>
          <w:color w:val="000000" w:themeColor="text1"/>
          <w:lang w:val="es-MX"/>
        </w:rPr>
      </w:pPr>
    </w:p>
    <w:p w14:paraId="3E1D05BB" w14:textId="77777777" w:rsidR="00E60C35" w:rsidRDefault="00E60C35" w:rsidP="00E60C35">
      <w:pPr>
        <w:spacing w:after="0" w:line="240" w:lineRule="auto"/>
        <w:rPr>
          <w:rFonts w:ascii="Verdana" w:eastAsia="Geomanist Light" w:hAnsi="Verdana" w:cs="Arial"/>
          <w:color w:val="000000" w:themeColor="text1"/>
          <w:lang w:val="es-MX"/>
        </w:rPr>
      </w:pPr>
    </w:p>
    <w:p w14:paraId="7A71AFDF" w14:textId="77777777" w:rsidR="00E60C35" w:rsidRDefault="00E60C35" w:rsidP="00E60C35">
      <w:pPr>
        <w:spacing w:after="0" w:line="240" w:lineRule="auto"/>
        <w:rPr>
          <w:rFonts w:ascii="Verdana" w:eastAsia="Geomanist Light" w:hAnsi="Verdana" w:cs="Arial"/>
          <w:color w:val="000000" w:themeColor="text1"/>
          <w:lang w:val="es-MX"/>
        </w:rPr>
      </w:pPr>
    </w:p>
    <w:p w14:paraId="7674EF27" w14:textId="77777777" w:rsidR="00E60C35" w:rsidRDefault="00E60C35" w:rsidP="00E60C35">
      <w:pPr>
        <w:spacing w:after="0" w:line="240" w:lineRule="auto"/>
        <w:rPr>
          <w:rFonts w:ascii="Verdana" w:eastAsia="Geomanist Light" w:hAnsi="Verdana" w:cs="Arial"/>
          <w:color w:val="000000" w:themeColor="text1"/>
          <w:lang w:val="es-MX"/>
        </w:rPr>
      </w:pPr>
    </w:p>
    <w:p w14:paraId="7F078FCB" w14:textId="77777777" w:rsidR="00E60C35" w:rsidRDefault="00E60C35" w:rsidP="00E60C35">
      <w:pPr>
        <w:spacing w:after="0" w:line="240" w:lineRule="auto"/>
        <w:rPr>
          <w:rFonts w:ascii="Verdana" w:eastAsia="Geomanist Light" w:hAnsi="Verdana" w:cs="Arial"/>
          <w:color w:val="000000" w:themeColor="text1"/>
          <w:lang w:val="es-MX"/>
        </w:rPr>
      </w:pPr>
    </w:p>
    <w:p w14:paraId="60245CD9" w14:textId="77777777" w:rsidR="00E60C35" w:rsidRDefault="00E60C35" w:rsidP="00E60C35">
      <w:pPr>
        <w:spacing w:after="0" w:line="240" w:lineRule="auto"/>
        <w:rPr>
          <w:rFonts w:ascii="Verdana" w:eastAsia="Geomanist Light" w:hAnsi="Verdana" w:cs="Arial"/>
          <w:color w:val="000000" w:themeColor="text1"/>
          <w:lang w:val="es-MX"/>
        </w:rPr>
      </w:pPr>
    </w:p>
    <w:p w14:paraId="6E0AE5A5" w14:textId="77777777" w:rsidR="00E60C35" w:rsidRDefault="00E60C35" w:rsidP="00E60C35">
      <w:pPr>
        <w:spacing w:after="0" w:line="240" w:lineRule="auto"/>
        <w:rPr>
          <w:rFonts w:ascii="Verdana" w:eastAsia="Geomanist Light" w:hAnsi="Verdana" w:cs="Arial"/>
          <w:color w:val="000000" w:themeColor="text1"/>
          <w:lang w:val="es-MX"/>
        </w:rPr>
      </w:pPr>
    </w:p>
    <w:p w14:paraId="3318CB9A" w14:textId="77777777" w:rsidR="00E60C35" w:rsidRDefault="00E60C35" w:rsidP="00E60C35">
      <w:pPr>
        <w:spacing w:after="0" w:line="240" w:lineRule="auto"/>
        <w:rPr>
          <w:rFonts w:ascii="Verdana" w:eastAsia="Geomanist Light" w:hAnsi="Verdana" w:cs="Arial"/>
          <w:color w:val="000000" w:themeColor="text1"/>
          <w:lang w:val="es-MX"/>
        </w:rPr>
      </w:pPr>
    </w:p>
    <w:p w14:paraId="594792B5" w14:textId="77777777" w:rsidR="00E60C35" w:rsidRDefault="00E60C35" w:rsidP="00E60C35">
      <w:pPr>
        <w:spacing w:after="0" w:line="240" w:lineRule="auto"/>
        <w:rPr>
          <w:rFonts w:ascii="Verdana" w:eastAsia="Geomanist Light" w:hAnsi="Verdana" w:cs="Arial"/>
          <w:color w:val="000000" w:themeColor="text1"/>
          <w:lang w:val="es-MX"/>
        </w:rPr>
      </w:pPr>
    </w:p>
    <w:p w14:paraId="29D419B3" w14:textId="77777777" w:rsidR="00E60C35" w:rsidRDefault="00E60C35" w:rsidP="00E60C35">
      <w:pPr>
        <w:spacing w:after="0" w:line="240" w:lineRule="auto"/>
        <w:rPr>
          <w:rFonts w:ascii="Verdana" w:eastAsia="Geomanist Light" w:hAnsi="Verdana" w:cs="Arial"/>
          <w:color w:val="000000" w:themeColor="text1"/>
          <w:lang w:val="es-MX"/>
        </w:rPr>
      </w:pPr>
    </w:p>
    <w:p w14:paraId="48EAA9BD" w14:textId="77777777" w:rsidR="00E60C35" w:rsidRDefault="00E60C35" w:rsidP="00E60C35">
      <w:pPr>
        <w:spacing w:after="0" w:line="240" w:lineRule="auto"/>
        <w:rPr>
          <w:rFonts w:ascii="Verdana" w:eastAsia="Geomanist Light" w:hAnsi="Verdana" w:cs="Arial"/>
          <w:color w:val="000000" w:themeColor="text1"/>
          <w:lang w:val="es-MX"/>
        </w:rPr>
      </w:pPr>
    </w:p>
    <w:p w14:paraId="6D7E9CF6" w14:textId="77777777" w:rsidR="00E60C35" w:rsidRDefault="00E60C35" w:rsidP="00E60C35">
      <w:pPr>
        <w:spacing w:after="0" w:line="240" w:lineRule="auto"/>
        <w:rPr>
          <w:rFonts w:ascii="Verdana" w:eastAsia="Geomanist Light" w:hAnsi="Verdana" w:cs="Arial"/>
          <w:color w:val="000000" w:themeColor="text1"/>
          <w:lang w:val="es-MX"/>
        </w:rPr>
      </w:pPr>
    </w:p>
    <w:p w14:paraId="2D587963" w14:textId="77777777" w:rsidR="00E60C35" w:rsidRDefault="00E60C35" w:rsidP="00E60C35">
      <w:pPr>
        <w:spacing w:after="0" w:line="240" w:lineRule="auto"/>
        <w:rPr>
          <w:rFonts w:ascii="Verdana" w:eastAsia="Geomanist Light" w:hAnsi="Verdana" w:cs="Arial"/>
          <w:color w:val="000000" w:themeColor="text1"/>
          <w:lang w:val="es-MX"/>
        </w:rPr>
      </w:pPr>
    </w:p>
    <w:p w14:paraId="363593B9" w14:textId="77777777" w:rsidR="00E60C35" w:rsidRDefault="00E60C35" w:rsidP="00E60C35">
      <w:pPr>
        <w:spacing w:after="0" w:line="240" w:lineRule="auto"/>
        <w:rPr>
          <w:rFonts w:ascii="Verdana" w:eastAsia="Geomanist Light" w:hAnsi="Verdana" w:cs="Arial"/>
          <w:color w:val="000000" w:themeColor="text1"/>
          <w:lang w:val="es-MX"/>
        </w:rPr>
      </w:pPr>
    </w:p>
    <w:p w14:paraId="4070E1FF" w14:textId="77777777" w:rsidR="00E60C35" w:rsidRDefault="00E60C35" w:rsidP="00E60C35">
      <w:pPr>
        <w:spacing w:after="0" w:line="240" w:lineRule="auto"/>
        <w:rPr>
          <w:rFonts w:ascii="Verdana" w:eastAsia="Geomanist Light" w:hAnsi="Verdana" w:cs="Arial"/>
          <w:color w:val="000000" w:themeColor="text1"/>
          <w:lang w:val="es-MX"/>
        </w:rPr>
      </w:pPr>
    </w:p>
    <w:p w14:paraId="459AB98B" w14:textId="77777777" w:rsidR="00E60C35" w:rsidRDefault="00E60C35" w:rsidP="00E60C35">
      <w:pPr>
        <w:spacing w:after="0" w:line="240" w:lineRule="auto"/>
        <w:rPr>
          <w:rFonts w:ascii="Verdana" w:eastAsia="Geomanist Light" w:hAnsi="Verdana" w:cs="Arial"/>
          <w:color w:val="000000" w:themeColor="text1"/>
          <w:lang w:val="es-MX"/>
        </w:rPr>
      </w:pPr>
    </w:p>
    <w:p w14:paraId="5BCCF564" w14:textId="77777777" w:rsidR="00E60C35" w:rsidRDefault="00E60C35" w:rsidP="00E60C35">
      <w:pPr>
        <w:spacing w:after="0" w:line="240" w:lineRule="auto"/>
        <w:rPr>
          <w:rFonts w:ascii="Verdana" w:eastAsia="Geomanist Light" w:hAnsi="Verdana" w:cs="Arial"/>
          <w:color w:val="000000" w:themeColor="text1"/>
          <w:lang w:val="es-MX"/>
        </w:rPr>
      </w:pPr>
    </w:p>
    <w:p w14:paraId="60EEECBF" w14:textId="77777777" w:rsidR="00E60C35" w:rsidRDefault="00E60C35" w:rsidP="00E60C35">
      <w:pPr>
        <w:spacing w:after="0" w:line="240" w:lineRule="auto"/>
        <w:rPr>
          <w:rFonts w:ascii="Verdana" w:eastAsia="Geomanist Light" w:hAnsi="Verdana" w:cs="Arial"/>
          <w:color w:val="000000" w:themeColor="text1"/>
          <w:lang w:val="es-MX"/>
        </w:rPr>
      </w:pPr>
    </w:p>
    <w:p w14:paraId="48FD390C" w14:textId="77777777" w:rsidR="00E60C35" w:rsidRDefault="00E60C35" w:rsidP="00E60C35">
      <w:pPr>
        <w:spacing w:after="0" w:line="240" w:lineRule="auto"/>
        <w:rPr>
          <w:rFonts w:ascii="Verdana" w:eastAsia="Geomanist Light" w:hAnsi="Verdana" w:cs="Arial"/>
          <w:color w:val="000000" w:themeColor="text1"/>
          <w:lang w:val="es-MX"/>
        </w:rPr>
      </w:pPr>
    </w:p>
    <w:p w14:paraId="35825D26" w14:textId="77777777" w:rsidR="00E60C35" w:rsidRDefault="00E60C35" w:rsidP="00E60C35">
      <w:pPr>
        <w:spacing w:after="0" w:line="240" w:lineRule="auto"/>
        <w:rPr>
          <w:rFonts w:ascii="Verdana" w:eastAsia="Geomanist Light" w:hAnsi="Verdana" w:cs="Arial"/>
          <w:color w:val="000000" w:themeColor="text1"/>
          <w:lang w:val="es-MX"/>
        </w:rPr>
      </w:pPr>
    </w:p>
    <w:p w14:paraId="653C41D6" w14:textId="77777777" w:rsidR="00E60C35" w:rsidRDefault="00E60C35" w:rsidP="00E60C35">
      <w:pPr>
        <w:spacing w:after="0" w:line="240" w:lineRule="auto"/>
        <w:rPr>
          <w:rFonts w:ascii="Verdana" w:eastAsia="Geomanist Light" w:hAnsi="Verdana" w:cs="Arial"/>
          <w:color w:val="000000" w:themeColor="text1"/>
          <w:lang w:val="es-MX"/>
        </w:rPr>
      </w:pPr>
    </w:p>
    <w:p w14:paraId="53B69013" w14:textId="77777777" w:rsidR="00E60C35" w:rsidRDefault="00E60C35" w:rsidP="00E60C35">
      <w:pPr>
        <w:spacing w:after="0" w:line="240" w:lineRule="auto"/>
        <w:rPr>
          <w:rFonts w:ascii="Verdana" w:eastAsia="Geomanist Light" w:hAnsi="Verdana" w:cs="Arial"/>
          <w:color w:val="000000" w:themeColor="text1"/>
          <w:lang w:val="es-MX"/>
        </w:rPr>
      </w:pPr>
    </w:p>
    <w:p w14:paraId="1DC200DF" w14:textId="77777777" w:rsidR="00E60C35" w:rsidRDefault="00E60C35" w:rsidP="00E60C35">
      <w:pPr>
        <w:spacing w:after="0" w:line="240" w:lineRule="auto"/>
        <w:rPr>
          <w:rFonts w:ascii="Verdana" w:eastAsia="Geomanist Light" w:hAnsi="Verdana" w:cs="Arial"/>
          <w:color w:val="000000" w:themeColor="text1"/>
          <w:lang w:val="es-MX"/>
        </w:rPr>
      </w:pPr>
    </w:p>
    <w:p w14:paraId="36A827EE" w14:textId="77777777" w:rsidR="00E60C35" w:rsidRDefault="00E60C35" w:rsidP="00E60C35">
      <w:pPr>
        <w:spacing w:after="0" w:line="240" w:lineRule="auto"/>
        <w:rPr>
          <w:rFonts w:ascii="Verdana" w:eastAsia="Geomanist Light" w:hAnsi="Verdana" w:cs="Arial"/>
          <w:color w:val="000000" w:themeColor="text1"/>
          <w:lang w:val="es-MX"/>
        </w:rPr>
      </w:pPr>
    </w:p>
    <w:p w14:paraId="6C10A2C9" w14:textId="77777777" w:rsidR="00E60C35" w:rsidRDefault="00E60C35" w:rsidP="00E60C35">
      <w:pPr>
        <w:spacing w:after="0" w:line="240" w:lineRule="auto"/>
        <w:rPr>
          <w:rFonts w:ascii="Verdana" w:eastAsia="Geomanist Light" w:hAnsi="Verdana" w:cs="Arial"/>
          <w:color w:val="000000" w:themeColor="text1"/>
          <w:lang w:val="es-MX"/>
        </w:rPr>
      </w:pPr>
    </w:p>
    <w:p w14:paraId="5541E43E" w14:textId="77777777" w:rsidR="00E60C35" w:rsidRDefault="00E60C35" w:rsidP="00E60C35">
      <w:pPr>
        <w:spacing w:after="0" w:line="240" w:lineRule="auto"/>
        <w:rPr>
          <w:rFonts w:ascii="Verdana" w:eastAsia="Geomanist Light" w:hAnsi="Verdana" w:cs="Arial"/>
          <w:color w:val="000000" w:themeColor="text1"/>
          <w:lang w:val="es-MX"/>
        </w:rPr>
      </w:pPr>
    </w:p>
    <w:p w14:paraId="5BDDF5AA" w14:textId="77777777" w:rsidR="00E60C35" w:rsidRDefault="00E60C35" w:rsidP="00E60C35">
      <w:pPr>
        <w:spacing w:after="0" w:line="240" w:lineRule="auto"/>
        <w:rPr>
          <w:rFonts w:ascii="Verdana" w:eastAsia="Geomanist Light" w:hAnsi="Verdana" w:cs="Arial"/>
          <w:color w:val="000000" w:themeColor="text1"/>
          <w:lang w:val="es-MX"/>
        </w:rPr>
      </w:pPr>
    </w:p>
    <w:p w14:paraId="6D265E1C" w14:textId="77777777" w:rsidR="00E60C35" w:rsidRDefault="00E60C35" w:rsidP="00E60C35">
      <w:pPr>
        <w:spacing w:after="0" w:line="240" w:lineRule="auto"/>
        <w:rPr>
          <w:rFonts w:ascii="Verdana" w:eastAsia="Geomanist Light" w:hAnsi="Verdana" w:cs="Arial"/>
          <w:color w:val="000000" w:themeColor="text1"/>
          <w:lang w:val="es-MX"/>
        </w:rPr>
      </w:pPr>
    </w:p>
    <w:p w14:paraId="73F552D4" w14:textId="77777777" w:rsidR="00E60C35" w:rsidRDefault="00E60C35" w:rsidP="00E60C35">
      <w:pPr>
        <w:spacing w:after="0" w:line="240" w:lineRule="auto"/>
        <w:rPr>
          <w:rFonts w:ascii="Verdana" w:eastAsia="Geomanist Light" w:hAnsi="Verdana" w:cs="Arial"/>
          <w:color w:val="000000" w:themeColor="text1"/>
          <w:lang w:val="es-MX"/>
        </w:rPr>
      </w:pPr>
    </w:p>
    <w:p w14:paraId="25777632" w14:textId="77777777" w:rsidR="00E60C35" w:rsidRDefault="00E60C35" w:rsidP="00E60C35">
      <w:pPr>
        <w:spacing w:after="0" w:line="240" w:lineRule="auto"/>
        <w:rPr>
          <w:rFonts w:ascii="Verdana" w:eastAsia="Geomanist Light" w:hAnsi="Verdana" w:cs="Arial"/>
          <w:color w:val="000000" w:themeColor="text1"/>
          <w:lang w:val="es-MX"/>
        </w:rPr>
      </w:pPr>
    </w:p>
    <w:p w14:paraId="72FE1448" w14:textId="4D57CDDC" w:rsidR="00E60C35" w:rsidRPr="00593A5F" w:rsidRDefault="00E60C35" w:rsidP="00E60C35">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w:t>
      </w:r>
      <w:r w:rsidR="00A6364D">
        <w:rPr>
          <w:rFonts w:ascii="Verdana" w:eastAsia="Geomanist Light" w:hAnsi="Verdana" w:cs="Arial"/>
          <w:color w:val="000000" w:themeColor="text1"/>
          <w:lang w:val="es-MX"/>
        </w:rPr>
        <w:t xml:space="preserve"> </w:t>
      </w:r>
      <w:r w:rsidR="00C87B9C">
        <w:rPr>
          <w:rFonts w:ascii="Verdana" w:eastAsia="Geomanist Light" w:hAnsi="Verdana" w:cs="Arial"/>
          <w:color w:val="000000" w:themeColor="text1"/>
          <w:lang w:val="es-MX"/>
        </w:rPr>
        <w:t>5 de octubre de 2026</w:t>
      </w:r>
    </w:p>
    <w:p w14:paraId="185D103C" w14:textId="6931637D" w:rsidR="00E60C35" w:rsidRDefault="00E71613" w:rsidP="00E60C35">
      <w:pPr>
        <w:spacing w:after="0" w:line="240" w:lineRule="auto"/>
        <w:jc w:val="both"/>
        <w:rPr>
          <w:rFonts w:ascii="Verdana" w:eastAsia="Calibri" w:hAnsi="Verdana" w:cs="Arial"/>
          <w:color w:val="000000"/>
          <w:lang w:val="es-ES"/>
        </w:rPr>
      </w:pPr>
      <w:r w:rsidRPr="00C87B9C">
        <w:rPr>
          <w:rFonts w:ascii="Verdana" w:eastAsia="Calibri" w:hAnsi="Verdana" w:cs="Arial"/>
          <w:noProof/>
          <w:color w:val="000000"/>
          <w:lang w:val="es-ES"/>
        </w:rPr>
        <w:drawing>
          <wp:anchor distT="0" distB="0" distL="114300" distR="114300" simplePos="0" relativeHeight="251658240" behindDoc="0" locked="0" layoutInCell="1" allowOverlap="1" wp14:anchorId="2C94C47B" wp14:editId="26C2A26E">
            <wp:simplePos x="0" y="0"/>
            <wp:positionH relativeFrom="margin">
              <wp:align>right</wp:align>
            </wp:positionH>
            <wp:positionV relativeFrom="paragraph">
              <wp:posOffset>172720</wp:posOffset>
            </wp:positionV>
            <wp:extent cx="2385060" cy="929640"/>
            <wp:effectExtent l="0" t="0" r="0" b="3810"/>
            <wp:wrapSquare wrapText="bothSides"/>
            <wp:docPr id="8792062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5060" cy="929640"/>
                    </a:xfrm>
                    <a:prstGeom prst="rect">
                      <a:avLst/>
                    </a:prstGeom>
                    <a:noFill/>
                    <a:ln>
                      <a:noFill/>
                    </a:ln>
                  </pic:spPr>
                </pic:pic>
              </a:graphicData>
            </a:graphic>
            <wp14:sizeRelV relativeFrom="margin">
              <wp14:pctHeight>0</wp14:pctHeight>
            </wp14:sizeRelV>
          </wp:anchor>
        </w:drawing>
      </w:r>
    </w:p>
    <w:p w14:paraId="45448DDC" w14:textId="7BB85211" w:rsidR="00E60C35" w:rsidRDefault="00E60C35" w:rsidP="00E60C35">
      <w:pPr>
        <w:spacing w:after="0" w:line="240" w:lineRule="auto"/>
        <w:jc w:val="right"/>
        <w:rPr>
          <w:rFonts w:ascii="Verdana" w:eastAsia="Calibri" w:hAnsi="Verdana" w:cs="Arial"/>
          <w:color w:val="000000"/>
          <w:lang w:val="es-ES"/>
        </w:rPr>
      </w:pPr>
    </w:p>
    <w:p w14:paraId="7203165F" w14:textId="77777777" w:rsidR="00E60C35" w:rsidRPr="00B96799" w:rsidRDefault="00E60C35" w:rsidP="00E60C35">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7B7E3876" w14:textId="77777777" w:rsidR="00E60C35" w:rsidRDefault="00E60C35" w:rsidP="00E60C35">
      <w:pPr>
        <w:spacing w:after="0" w:line="240" w:lineRule="auto"/>
        <w:rPr>
          <w:rFonts w:ascii="Verdana" w:eastAsia="Calibri" w:hAnsi="Verdana" w:cs="Arial"/>
          <w:b/>
          <w:lang w:eastAsia="es-ES_tradnl"/>
        </w:rPr>
      </w:pPr>
      <w:r w:rsidRPr="00EE60F5">
        <w:rPr>
          <w:rFonts w:ascii="Verdana" w:eastAsia="Calibri" w:hAnsi="Verdana" w:cs="Arial"/>
          <w:b/>
          <w:lang w:eastAsia="es-ES_tradnl"/>
        </w:rPr>
        <w:t>Mario Arturo Ríos</w:t>
      </w:r>
      <w:r>
        <w:rPr>
          <w:rFonts w:ascii="Verdana" w:eastAsia="Calibri" w:hAnsi="Verdana" w:cs="Arial"/>
          <w:b/>
          <w:lang w:eastAsia="es-ES_tradnl"/>
        </w:rPr>
        <w:t xml:space="preserve"> </w:t>
      </w:r>
      <w:r w:rsidRPr="00EE60F5">
        <w:rPr>
          <w:rFonts w:ascii="Verdana" w:eastAsia="Calibri" w:hAnsi="Verdana" w:cs="Arial"/>
          <w:b/>
          <w:lang w:eastAsia="es-ES_tradnl"/>
        </w:rPr>
        <w:t>Zorrilla</w:t>
      </w:r>
    </w:p>
    <w:p w14:paraId="3449141C" w14:textId="77777777" w:rsidR="00E60C35" w:rsidRPr="00590689" w:rsidRDefault="00E60C35" w:rsidP="00E60C35">
      <w:pPr>
        <w:spacing w:after="0" w:line="240" w:lineRule="auto"/>
        <w:rPr>
          <w:rFonts w:ascii="Verdana" w:eastAsia="Calibri" w:hAnsi="Verdana" w:cs="Arial"/>
          <w:bCs/>
          <w:lang w:eastAsia="es-ES_tradnl"/>
        </w:rPr>
      </w:pPr>
      <w:hyperlink r:id="rId12" w:history="1">
        <w:r w:rsidRPr="006132D7">
          <w:rPr>
            <w:rStyle w:val="Hipervnculo"/>
            <w:rFonts w:ascii="Verdana" w:eastAsia="Calibri" w:hAnsi="Verdana" w:cs="Arial"/>
            <w:bCs/>
            <w:lang w:val="es-ES_tradnl" w:eastAsia="es-ES_tradnl"/>
          </w:rPr>
          <w:t xml:space="preserve">abogadomariorios2019@gmail.com </w:t>
        </w:r>
      </w:hyperlink>
      <w:r w:rsidRPr="00590689">
        <w:rPr>
          <w:rFonts w:ascii="Verdana" w:eastAsia="Calibri" w:hAnsi="Verdana" w:cs="Arial"/>
          <w:bCs/>
          <w:lang w:val="es-ES_tradnl" w:eastAsia="es-ES_tradnl"/>
        </w:rPr>
        <w:t xml:space="preserve"> </w:t>
      </w:r>
    </w:p>
    <w:p w14:paraId="729538C8" w14:textId="77777777" w:rsidR="00E60C35" w:rsidRPr="00DC6C3C" w:rsidRDefault="00E60C35" w:rsidP="00E60C35">
      <w:pPr>
        <w:spacing w:after="0" w:line="240" w:lineRule="auto"/>
        <w:rPr>
          <w:rFonts w:ascii="Verdana" w:eastAsia="Calibri" w:hAnsi="Verdana" w:cs="Arial"/>
          <w:lang w:val="es-ES" w:eastAsia="es-ES"/>
        </w:rPr>
      </w:pPr>
      <w:r w:rsidRPr="00DC6C3C">
        <w:rPr>
          <w:rFonts w:ascii="Verdana" w:hAnsi="Verdana"/>
        </w:rPr>
        <w:t xml:space="preserve">San Vicente, Antioquia </w:t>
      </w:r>
    </w:p>
    <w:p w14:paraId="61B03CDA" w14:textId="77777777" w:rsidR="00E60C35" w:rsidRPr="00593A5F" w:rsidRDefault="00E60C35" w:rsidP="00E60C35">
      <w:pPr>
        <w:spacing w:after="0" w:line="240" w:lineRule="auto"/>
        <w:rPr>
          <w:rFonts w:ascii="Verdana" w:eastAsia="Calibri" w:hAnsi="Verdana" w:cs="Arial"/>
          <w:b/>
          <w:bCs/>
          <w:color w:val="000000"/>
          <w:lang w:val="es-ES_tradnl" w:eastAsia="es-ES_tradnl"/>
        </w:rPr>
      </w:pPr>
    </w:p>
    <w:p w14:paraId="411B5C20" w14:textId="77777777" w:rsidR="00E60C35" w:rsidRPr="00593A5F" w:rsidRDefault="00E60C35" w:rsidP="00E60C3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60C35" w:rsidRPr="00593A5F" w14:paraId="118E36CA" w14:textId="77777777" w:rsidTr="00DF2049">
        <w:trPr>
          <w:trHeight w:val="884"/>
        </w:trPr>
        <w:tc>
          <w:tcPr>
            <w:tcW w:w="2689" w:type="dxa"/>
          </w:tcPr>
          <w:p w14:paraId="51AA04CD" w14:textId="77777777" w:rsidR="00E60C35" w:rsidRPr="00C00976" w:rsidRDefault="00E60C35" w:rsidP="00DF2049">
            <w:pPr>
              <w:jc w:val="both"/>
              <w:rPr>
                <w:rFonts w:ascii="Verdana" w:eastAsia="Calibri" w:hAnsi="Verdana" w:cs="Arial"/>
                <w:b/>
                <w:bCs/>
                <w:color w:val="7030A0"/>
                <w:lang w:val="es-ES_tradnl" w:eastAsia="es-ES_tradnl"/>
              </w:rPr>
            </w:pPr>
          </w:p>
        </w:tc>
        <w:tc>
          <w:tcPr>
            <w:tcW w:w="6100" w:type="dxa"/>
          </w:tcPr>
          <w:p w14:paraId="028709C3" w14:textId="77777777" w:rsidR="00E60C35" w:rsidRPr="00C00976" w:rsidRDefault="00E60C35" w:rsidP="00DF2049">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Pr>
                <w:rFonts w:ascii="Verdana" w:eastAsia="Calibri" w:hAnsi="Verdana" w:cs="Arial"/>
                <w:b/>
                <w:bCs/>
                <w:lang w:val="es-ES" w:eastAsia="es-ES"/>
              </w:rPr>
              <w:t xml:space="preserve">-1418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E60C35" w:rsidRPr="00593A5F" w14:paraId="39F25B6A" w14:textId="77777777" w:rsidTr="00DF2049">
        <w:trPr>
          <w:trHeight w:val="884"/>
        </w:trPr>
        <w:tc>
          <w:tcPr>
            <w:tcW w:w="2689" w:type="dxa"/>
          </w:tcPr>
          <w:p w14:paraId="17D898A9" w14:textId="77777777" w:rsidR="00E60C35" w:rsidRPr="00593A5F" w:rsidRDefault="00E60C35" w:rsidP="00DF2049">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B655B7E" w14:textId="77777777" w:rsidR="00E60C35" w:rsidRPr="00A11406" w:rsidRDefault="00E60C35" w:rsidP="00DF2049">
            <w:pPr>
              <w:spacing w:line="276" w:lineRule="auto"/>
              <w:jc w:val="both"/>
              <w:rPr>
                <w:rFonts w:ascii="Verdana" w:eastAsia="Calibri" w:hAnsi="Verdana" w:cs="Arial"/>
                <w:lang w:val="es-ES" w:eastAsia="es-ES"/>
              </w:rPr>
            </w:pPr>
            <w:r w:rsidRPr="002D2E27">
              <w:rPr>
                <w:rFonts w:ascii="Verdana" w:eastAsia="Calibri" w:hAnsi="Verdana" w:cs="Arial"/>
                <w:lang w:val="es-ES" w:eastAsia="es-ES"/>
              </w:rPr>
              <w:t>SISTEMA GENERAL DE REGALÍAS – Ley 2056 de 2020 – artículo 37 / RÉGIMEN CONTRACTUAL – Entidades ejecutoras – Régimen especial – Aplicación del Estatuto General de Contratación de la Administración Pública</w:t>
            </w:r>
            <w:r>
              <w:rPr>
                <w:rFonts w:ascii="Verdana" w:eastAsia="Calibri" w:hAnsi="Verdana" w:cs="Arial"/>
                <w:lang w:val="es-ES" w:eastAsia="es-ES"/>
              </w:rPr>
              <w:t xml:space="preserve"> / </w:t>
            </w:r>
            <w:r w:rsidRPr="00693830">
              <w:rPr>
                <w:rFonts w:ascii="Verdana" w:eastAsia="Calibri" w:hAnsi="Verdana" w:cs="Arial"/>
                <w:lang w:val="es-ES" w:eastAsia="es-ES"/>
              </w:rPr>
              <w:t xml:space="preserve">POTESTAD SANCIONADORA – Entidades ejecutoras – SGR – Sanciones pecuniarias – </w:t>
            </w:r>
            <w:r w:rsidRPr="00C8449D">
              <w:rPr>
                <w:rFonts w:ascii="Verdana" w:eastAsia="Calibri" w:hAnsi="Verdana" w:cs="Arial"/>
                <w:lang w:val="es-ES" w:eastAsia="es-ES"/>
              </w:rPr>
              <w:t>Alcance</w:t>
            </w:r>
            <w:r w:rsidRPr="009673B4">
              <w:rPr>
                <w:rFonts w:ascii="Verdana" w:eastAsia="Calibri" w:hAnsi="Verdana" w:cs="Arial"/>
                <w:lang w:val="es-ES" w:eastAsia="es-ES"/>
              </w:rPr>
              <w:t xml:space="preserve"> </w:t>
            </w:r>
            <w:r>
              <w:rPr>
                <w:rFonts w:ascii="Verdana" w:eastAsia="Calibri" w:hAnsi="Verdana" w:cs="Arial"/>
                <w:lang w:val="es-ES" w:eastAsia="es-ES"/>
              </w:rPr>
              <w:t xml:space="preserve">/ CLÁUSULAS EXCEPCIONALES </w:t>
            </w:r>
            <w:r w:rsidRPr="00693830">
              <w:rPr>
                <w:rFonts w:ascii="Verdana" w:eastAsia="Calibri" w:hAnsi="Verdana" w:cs="Arial"/>
                <w:lang w:val="es-ES" w:eastAsia="es-ES"/>
              </w:rPr>
              <w:t xml:space="preserve">– </w:t>
            </w:r>
            <w:r>
              <w:rPr>
                <w:rFonts w:ascii="Verdana" w:eastAsia="Calibri" w:hAnsi="Verdana" w:cs="Arial"/>
                <w:lang w:val="es-ES" w:eastAsia="es-ES"/>
              </w:rPr>
              <w:t>Aplicación</w:t>
            </w:r>
            <w:r w:rsidRPr="00693830">
              <w:rPr>
                <w:rFonts w:ascii="Verdana" w:eastAsia="Calibri" w:hAnsi="Verdana" w:cs="Arial"/>
                <w:lang w:val="es-ES" w:eastAsia="es-ES"/>
              </w:rPr>
              <w:t xml:space="preserve"> </w:t>
            </w:r>
          </w:p>
          <w:p w14:paraId="2A73D148" w14:textId="77777777" w:rsidR="00E60C35" w:rsidRPr="00A11406" w:rsidRDefault="00E60C35" w:rsidP="00DF2049">
            <w:pPr>
              <w:spacing w:line="276" w:lineRule="auto"/>
              <w:jc w:val="both"/>
              <w:rPr>
                <w:rFonts w:ascii="Verdana" w:eastAsia="Calibri" w:hAnsi="Verdana" w:cs="Arial"/>
                <w:lang w:val="es-ES" w:eastAsia="es-ES"/>
              </w:rPr>
            </w:pP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38308F33" w14:textId="77777777" w:rsidR="00E60C35" w:rsidRPr="00593A5F" w:rsidRDefault="00E60C35" w:rsidP="00DF2049">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E60C35" w:rsidRPr="008E6AD9" w14:paraId="729D1706" w14:textId="77777777" w:rsidTr="00DF2049">
        <w:tc>
          <w:tcPr>
            <w:tcW w:w="2689" w:type="dxa"/>
          </w:tcPr>
          <w:p w14:paraId="21A9BAB7" w14:textId="77777777" w:rsidR="00E60C35" w:rsidRPr="008E6AD9" w:rsidRDefault="00E60C35" w:rsidP="00DF2049">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76CC3B8" w14:textId="77777777" w:rsidR="00E60C35" w:rsidRPr="00B92340" w:rsidRDefault="00E60C35" w:rsidP="00DF2049">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5C0E49">
              <w:rPr>
                <w:rFonts w:ascii="Verdana" w:eastAsia="Calibri" w:hAnsi="Verdana" w:cs="Arial"/>
                <w:lang w:val="es-ES_tradnl" w:eastAsia="es-ES_tradnl"/>
              </w:rPr>
              <w:t>1_2026_09_08_011980</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F892F54" w14:textId="77777777" w:rsidR="00E60C35" w:rsidRPr="00593A5F" w:rsidRDefault="00E60C35" w:rsidP="00E60C35">
      <w:pPr>
        <w:spacing w:after="0" w:line="240" w:lineRule="auto"/>
        <w:jc w:val="both"/>
        <w:rPr>
          <w:rFonts w:ascii="Verdana" w:eastAsia="Calibri" w:hAnsi="Verdana" w:cs="Arial"/>
          <w:color w:val="000000"/>
          <w:lang w:val="es-ES_tradnl" w:eastAsia="es-ES_tradnl"/>
        </w:rPr>
      </w:pPr>
    </w:p>
    <w:p w14:paraId="1CE95D98" w14:textId="77777777" w:rsidR="00E60C35" w:rsidRPr="00593A5F" w:rsidRDefault="00E60C35" w:rsidP="00E60C35">
      <w:pPr>
        <w:spacing w:after="0" w:line="240" w:lineRule="auto"/>
        <w:jc w:val="both"/>
        <w:rPr>
          <w:rFonts w:ascii="Verdana" w:eastAsia="Calibri" w:hAnsi="Verdana" w:cs="Arial"/>
          <w:color w:val="000000"/>
          <w:lang w:val="es-ES_tradnl" w:eastAsia="es-ES_tradnl"/>
        </w:rPr>
      </w:pPr>
    </w:p>
    <w:p w14:paraId="3FB84CE9" w14:textId="77777777" w:rsidR="00E60C35" w:rsidRPr="008E6AD9" w:rsidRDefault="00E60C35" w:rsidP="00E60C3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Ríos</w:t>
      </w:r>
      <w:r w:rsidRPr="008E6AD9">
        <w:rPr>
          <w:rFonts w:ascii="Verdana" w:eastAsia="Calibri" w:hAnsi="Verdana" w:cs="Arial"/>
          <w:lang w:val="es-ES" w:eastAsia="es-ES"/>
        </w:rPr>
        <w:t xml:space="preserve">: </w:t>
      </w:r>
    </w:p>
    <w:p w14:paraId="1C6B656E" w14:textId="77777777" w:rsidR="00E60C35" w:rsidRDefault="00E60C35" w:rsidP="00E60C3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F1EFE2E" w14:textId="77777777" w:rsidR="00E60C35" w:rsidRPr="00593A5F" w:rsidRDefault="00E60C35" w:rsidP="00E60C3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8 de septiembre de 2026, donde solicita conceptuar sobre los siguientes aspectos</w:t>
      </w:r>
      <w:r w:rsidRPr="008E6AD9">
        <w:rPr>
          <w:rFonts w:ascii="Verdana" w:eastAsia="Calibri" w:hAnsi="Verdana" w:cs="Arial"/>
          <w:lang w:val="es-ES" w:eastAsia="es-ES"/>
        </w:rPr>
        <w:t xml:space="preserve">: </w:t>
      </w:r>
    </w:p>
    <w:p w14:paraId="430A2704" w14:textId="77777777" w:rsidR="00E60C35" w:rsidRPr="00272A7B" w:rsidRDefault="00E60C35" w:rsidP="00E60C35">
      <w:pPr>
        <w:pStyle w:val="Prrafodelista"/>
        <w:tabs>
          <w:tab w:val="left" w:pos="142"/>
          <w:tab w:val="left" w:pos="284"/>
        </w:tabs>
        <w:spacing w:after="0" w:line="276" w:lineRule="auto"/>
        <w:ind w:left="0"/>
        <w:jc w:val="both"/>
        <w:rPr>
          <w:rFonts w:ascii="Verdana" w:eastAsia="Century Gothic" w:hAnsi="Verdana" w:cs="Century Gothic"/>
          <w:b/>
          <w:bCs/>
        </w:rPr>
      </w:pPr>
    </w:p>
    <w:p w14:paraId="7787AB67" w14:textId="77777777" w:rsidR="00E60C35" w:rsidRPr="00C8449D" w:rsidRDefault="00E60C35" w:rsidP="00E60C35">
      <w:pPr>
        <w:spacing w:after="120" w:line="240" w:lineRule="auto"/>
        <w:ind w:left="709" w:right="709"/>
        <w:jc w:val="both"/>
        <w:rPr>
          <w:rFonts w:ascii="Verdana" w:eastAsia="Century Gothic" w:hAnsi="Verdana" w:cs="Century Gothic"/>
          <w:sz w:val="20"/>
          <w:szCs w:val="20"/>
          <w:lang w:val="es-ES"/>
        </w:rPr>
      </w:pPr>
      <w:bookmarkStart w:id="0" w:name="_Hlk95313578"/>
      <w:r w:rsidRPr="00C8449D">
        <w:rPr>
          <w:rFonts w:ascii="Verdana" w:eastAsia="Century Gothic" w:hAnsi="Verdana" w:cs="Century Gothic"/>
          <w:sz w:val="20"/>
          <w:szCs w:val="20"/>
          <w:lang w:val="es-ES"/>
        </w:rPr>
        <w:t>“</w:t>
      </w:r>
      <w:bookmarkEnd w:id="0"/>
      <w:r w:rsidRPr="00C8449D">
        <w:rPr>
          <w:rFonts w:ascii="Verdana" w:eastAsia="Century Gothic" w:hAnsi="Verdana" w:cs="Century Gothic"/>
          <w:sz w:val="20"/>
          <w:szCs w:val="20"/>
          <w:lang w:val="es-ES"/>
        </w:rPr>
        <w:t>(…)</w:t>
      </w:r>
    </w:p>
    <w:p w14:paraId="2AC77E4A"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1. Una entidad estatal sometida a un régimen contractual especial o exceptuado del EGCAP, que sea designada ejecutora de un proyecto de inversión financiado con recursos del Sistema General de Regalías, puede </w:t>
      </w:r>
      <w:r w:rsidRPr="00C8449D">
        <w:rPr>
          <w:rFonts w:ascii="Verdana" w:hAnsi="Verdana"/>
          <w:sz w:val="20"/>
          <w:szCs w:val="20"/>
        </w:rPr>
        <w:lastRenderedPageBreak/>
        <w:t xml:space="preserve">ejercer las facultades excepcionales previstas en los artículos 14 y siguientes de la Ley 80 de 1993, en consideración a que, conforme al parágrafo 1.º del artículo 37 de la Ley 2056 de 2020, la contratación requerida para ejecutar el proyecto debe adelantarse con estricta sujeción al “régimen de contratación pública”? </w:t>
      </w:r>
    </w:p>
    <w:p w14:paraId="424497B4"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2. En caso afirmativo, la facultad para ejercer las cláusulas excepcionales deriva directamente de la remisión efectuada por el artículo 37 de la Ley 2056 de 2020 al régimen de contratación pública, o se requiere una disposición legal adicional que atribuya expresamente dicha competencia a la entidad sometida a régimen especial?</w:t>
      </w:r>
    </w:p>
    <w:p w14:paraId="5C7C9E6B"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3. La aplicación del EGCAP a las entidades de régimen especial que ejecutan recursos del SGR comprende integralmente las potestades previstas en los artículos 14, 15, 16, 17, 18 y 19 de la Ley 80 de 1993, o dicha remisión se limita a las reglas de selección y celebración del contrato? </w:t>
      </w:r>
    </w:p>
    <w:p w14:paraId="33D65A65"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4. Puede una entidad de régimen especial que actúa como ejecutora de recursos del SGR declarar unilateralmente la caducidad de un contrato de obra, consultoría, suministro o prestación de servicios celebrado para la ejecución del proyecto, con fundamento en los artículos 14 y 18 de la Ley 80 de 1993? </w:t>
      </w:r>
    </w:p>
    <w:p w14:paraId="4156A145"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5. Puede dicha entidad modificar, interpretar o terminar unilateralmente el contrato celebrado para la ejecución del proyecto de regalías, en los términos de los artículos 15, 16 y 17 de la Ley 80 de 1993, aun cuando su régimen contractual ordinario sea de derecho privado? </w:t>
      </w:r>
    </w:p>
    <w:p w14:paraId="33759FF8"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6. Tratándose de las multas y cláusulas penales, la entidad de régimen especial que ejecuta recursos del SGR puede hacer uso de la facultad de imposición unilateral prevista en el artículo 17 de la Ley 1150 de 2007, siempre que la respectiva multa o cláusula penal haya sido pactada en el contrato? </w:t>
      </w:r>
    </w:p>
    <w:p w14:paraId="4286C702"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7. La entidad ejecutora sometida a régimen especial puede incorporar en sus contratos financiados con recursos del SGR las cláusulas excepcionales previstas en la Ley 80 de 1993 y ejercerlas posteriormente, o debe existir una habilitación expresa en su ley especial, estatutos o manual de contratación? </w:t>
      </w:r>
    </w:p>
    <w:p w14:paraId="478D705E"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8. En caso de que la respuesta sea afirmativa respecto de alguna o algunas de las anteriores facultades, la entidad debe modificar su Manual de Contratación para incorporar expresamente las facultades excepcionales de la Ley 80 de 1993 aplicables a los contratos financiados con recursos del SGR, o dichas facultades operan directamente por ministerio de la ley? </w:t>
      </w:r>
    </w:p>
    <w:p w14:paraId="181C9B6B"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9. El hecho de que una entidad de régimen especial adquiera temporalmente la condición de entidad sometida al EGCAP para efectos de ejecutar un proyecto financiado con recursos del SGR implica que, durante </w:t>
      </w:r>
      <w:r w:rsidRPr="00C8449D">
        <w:rPr>
          <w:rFonts w:ascii="Verdana" w:hAnsi="Verdana"/>
          <w:sz w:val="20"/>
          <w:szCs w:val="20"/>
        </w:rPr>
        <w:lastRenderedPageBreak/>
        <w:t xml:space="preserve">dicha ejecución, adquiere también todas las potestades administrativas propias de las entidades sometidas al EGCAP, o únicamente aquellas expresamente previstas por la Ley 2056 de 2020? </w:t>
      </w:r>
    </w:p>
    <w:p w14:paraId="1C832679"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10. Existe alguna diferencia, para efectos del ejercicio de las facultades excepcionales, entre una entidad de régimen especial que ejecuta recursos del SGR directamente y una entidad de régimen especial que celebra un contrato interadministrativo con otra entidad estatal para que esta última ejecute materialmente el proyecto o parte de este? </w:t>
      </w:r>
    </w:p>
    <w:p w14:paraId="6E67B82F"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11. Cuando una entidad estatal sometida a un régimen contractual especial o exceptuado del Estatuto General de Contratación de la Administración Pública –EGCAP– es designada ejecutora de un proyecto financiado con recursos del Sistema General de Regalías y, en virtud del parágrafo 1.º del artículo 37 de la Ley 2056 de 2020, debe adelantar la contratación con estricta sujeción al régimen de contratación pública, debe igualmente aplicar el procedimiento previsto en el artículo 86 de la Ley 1474 de 2011 para la declaratoria de incumplimiento, la imposición de multas y la efectividad de la cláusula penal pecuniaria? </w:t>
      </w:r>
    </w:p>
    <w:p w14:paraId="1C11E72D"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12. La aplicación del artículo 86 de la Ley 1474 de 2011 resulta obligatoria aun cuando la entidad ejecutora, en su régimen contractual ordinario, cuente con un procedimiento propio para la declaratoria de incumplimiento, imposición de multas y efectividad de cláusulas penales establecido en su Manual de Contratación? </w:t>
      </w:r>
    </w:p>
    <w:p w14:paraId="75DE65D0" w14:textId="77777777" w:rsidR="00E60C35" w:rsidRPr="00C8449D" w:rsidRDefault="00E60C35" w:rsidP="00E60C35">
      <w:pPr>
        <w:spacing w:after="120" w:line="240" w:lineRule="auto"/>
        <w:ind w:left="709" w:right="709"/>
        <w:jc w:val="both"/>
        <w:rPr>
          <w:rFonts w:ascii="Verdana" w:hAnsi="Verdana"/>
          <w:sz w:val="20"/>
          <w:szCs w:val="20"/>
        </w:rPr>
      </w:pPr>
      <w:r w:rsidRPr="00C8449D">
        <w:rPr>
          <w:rFonts w:ascii="Verdana" w:hAnsi="Verdana"/>
          <w:sz w:val="20"/>
          <w:szCs w:val="20"/>
        </w:rPr>
        <w:t xml:space="preserve">13. En caso afirmativo, debe entenderse que el artículo 86 de la Ley 1474 de 2011 desplaza, para los contratos financiados con recursos del Sistema General de Regalías, el procedimiento sancionatorio previsto en el Manual de Contratación de la entidad ejecutora? </w:t>
      </w:r>
    </w:p>
    <w:p w14:paraId="6FF4CCCD" w14:textId="77777777" w:rsidR="00E60C35" w:rsidRPr="005C5C8A" w:rsidRDefault="00E60C35" w:rsidP="00E60C35">
      <w:pPr>
        <w:spacing w:after="120" w:line="240" w:lineRule="auto"/>
        <w:ind w:left="709" w:right="709"/>
        <w:jc w:val="both"/>
      </w:pPr>
      <w:r w:rsidRPr="00C8449D">
        <w:rPr>
          <w:rFonts w:ascii="Verdana" w:hAnsi="Verdana"/>
          <w:sz w:val="20"/>
          <w:szCs w:val="20"/>
        </w:rPr>
        <w:t>14. Así mismo, la aplicación del artículo 86 de la Ley 1474 de 2011 comprende tanto el procedimiento para la imposición de multas y efectividad de la cláusula penal como las reglas relativas a la citación del contratista y su garante, la audiencia, la oportunidad para presentar descargos y aportar pruebas, la decisión mediante resolución motivada y los recursos procedentes?”</w:t>
      </w:r>
    </w:p>
    <w:p w14:paraId="1D61D893" w14:textId="77777777" w:rsidR="00E60C35" w:rsidRPr="00481B98" w:rsidRDefault="00E60C35" w:rsidP="00E60C35">
      <w:pPr>
        <w:spacing w:after="0" w:line="276" w:lineRule="auto"/>
        <w:ind w:firstLine="709"/>
        <w:jc w:val="both"/>
        <w:rPr>
          <w:rFonts w:ascii="Verdana" w:eastAsia="Calibri" w:hAnsi="Verdana" w:cs="Arial"/>
          <w:color w:val="000000"/>
          <w:lang w:eastAsia="es-ES"/>
        </w:rPr>
      </w:pPr>
    </w:p>
    <w:p w14:paraId="4DBE3BDE" w14:textId="77777777" w:rsidR="00E60C35" w:rsidRPr="00A652FF" w:rsidRDefault="00E60C35" w:rsidP="00E60C35">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w:t>
      </w:r>
      <w:r w:rsidRPr="00593A5F">
        <w:rPr>
          <w:rFonts w:ascii="Verdana" w:eastAsia="Calibri" w:hAnsi="Verdana" w:cs="Arial"/>
          <w:color w:val="000000"/>
          <w:lang w:val="es-ES" w:eastAsia="es-ES"/>
        </w:rPr>
        <w:lastRenderedPageBreak/>
        <w:t xml:space="preserve">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60BA3E5" w14:textId="77777777" w:rsidR="00E60C35" w:rsidRDefault="00E60C35" w:rsidP="00E60C3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79B3F6A" w14:textId="77777777" w:rsidR="00E60C35" w:rsidRPr="00593A5F" w:rsidRDefault="00E60C35" w:rsidP="00E60C35">
      <w:pPr>
        <w:spacing w:after="0" w:line="276" w:lineRule="auto"/>
        <w:ind w:firstLine="709"/>
        <w:jc w:val="both"/>
        <w:rPr>
          <w:rFonts w:ascii="Verdana" w:eastAsia="Calibri" w:hAnsi="Verdana" w:cs="Arial"/>
          <w:color w:val="000000"/>
          <w:lang w:val="es-ES" w:eastAsia="es-ES"/>
        </w:rPr>
      </w:pPr>
    </w:p>
    <w:p w14:paraId="79DC9A53" w14:textId="77777777" w:rsidR="00E60C35" w:rsidRPr="00593A5F" w:rsidRDefault="00E60C35" w:rsidP="00E60C3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F1953AC" w14:textId="77777777" w:rsidR="00E60C35" w:rsidRPr="00593A5F" w:rsidRDefault="00E60C35" w:rsidP="00E60C35">
      <w:pPr>
        <w:tabs>
          <w:tab w:val="left" w:pos="426"/>
        </w:tabs>
        <w:spacing w:after="0" w:line="276" w:lineRule="auto"/>
        <w:jc w:val="both"/>
        <w:rPr>
          <w:rFonts w:ascii="Verdana" w:eastAsia="Century Gothic" w:hAnsi="Verdana" w:cs="Century Gothic"/>
          <w:lang w:val="es-ES"/>
        </w:rPr>
      </w:pPr>
    </w:p>
    <w:p w14:paraId="29ABA828" w14:textId="77777777" w:rsidR="00E60C35" w:rsidRPr="00593A5F" w:rsidRDefault="00E60C35" w:rsidP="00E60C35">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w:t>
      </w:r>
      <w:r w:rsidRPr="000B3425">
        <w:rPr>
          <w:rFonts w:ascii="Verdana" w:eastAsia="Century Gothic" w:hAnsi="Verdana" w:cs="Century Gothic"/>
        </w:rPr>
        <w:t xml:space="preserve"> </w:t>
      </w:r>
      <w:r>
        <w:rPr>
          <w:rFonts w:ascii="Verdana" w:eastAsia="Century Gothic" w:hAnsi="Verdana" w:cs="Century Gothic"/>
        </w:rPr>
        <w:t>¿</w:t>
      </w:r>
      <w:r w:rsidRPr="001431F3">
        <w:rPr>
          <w:rFonts w:ascii="Verdana" w:eastAsia="Century Gothic" w:hAnsi="Verdana" w:cs="Century Gothic"/>
        </w:rPr>
        <w:t xml:space="preserve">De conformidad con el parágrafo del artículo 37 de la Ley 2056 de 2020, cuál es el régimen contractual aplicable </w:t>
      </w:r>
      <w:r>
        <w:rPr>
          <w:rFonts w:ascii="Verdana" w:eastAsia="Century Gothic" w:hAnsi="Verdana" w:cs="Century Gothic"/>
        </w:rPr>
        <w:t xml:space="preserve">para efectos sancionatorios </w:t>
      </w:r>
      <w:r w:rsidRPr="001431F3">
        <w:rPr>
          <w:rFonts w:ascii="Verdana" w:eastAsia="Century Gothic" w:hAnsi="Verdana" w:cs="Century Gothic"/>
        </w:rPr>
        <w:t>en la ejecución de proyectos cuya fuente de financiación es el Sistema General de Regalías, cuando la entidad ejecutora se rige por el derecho privado?</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CF4E22">
        <w:rPr>
          <w:rFonts w:ascii="Verdana" w:eastAsia="Century Gothic" w:hAnsi="Verdana" w:cs="Century Gothic"/>
        </w:rPr>
        <w:t>¿La sujeción al EGCAP prevista en el artículo 37 de la Ley 2056 de 2020 comprende las potestades excepcionales de los artículos 14 y siguientes de la Ley 80 de 1993 y habilita a las entidades ejecutoras del SGR para pactarlas y ejercerlas?</w:t>
      </w:r>
      <w:r>
        <w:rPr>
          <w:rFonts w:ascii="Verdana" w:eastAsia="Century Gothic" w:hAnsi="Verdana" w:cs="Century Gothic"/>
        </w:rPr>
        <w:t>;</w:t>
      </w:r>
      <w:r w:rsidRPr="00FD7303">
        <w:rPr>
          <w:rFonts w:ascii="Verdana" w:eastAsia="Century Gothic" w:hAnsi="Verdana" w:cs="Century Gothic"/>
        </w:rPr>
        <w:t xml:space="preserve"> </w:t>
      </w: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Pr="000B3425">
        <w:rPr>
          <w:rFonts w:ascii="Verdana" w:eastAsia="Century Gothic" w:hAnsi="Verdana" w:cs="Century Gothic"/>
        </w:rPr>
        <w:t>¿La sujeción al EGCAP prevista en el artículo 37 de la Ley 2056 de 2020 para las entidades de régimen especial que ejecutan proyectos del SGR modifica su naturaleza jurídica?</w:t>
      </w:r>
      <w:r>
        <w:rPr>
          <w:rFonts w:ascii="Verdana" w:eastAsia="Century Gothic" w:hAnsi="Verdana" w:cs="Century Gothic"/>
        </w:rPr>
        <w:t xml:space="preserve">; </w:t>
      </w:r>
      <w:proofErr w:type="spellStart"/>
      <w:r>
        <w:rPr>
          <w:rFonts w:ascii="Verdana" w:eastAsia="Century Gothic" w:hAnsi="Verdana" w:cs="Century Gothic"/>
        </w:rPr>
        <w:t>iv</w:t>
      </w:r>
      <w:proofErr w:type="spellEnd"/>
      <w:r>
        <w:rPr>
          <w:rFonts w:ascii="Verdana" w:eastAsia="Century Gothic" w:hAnsi="Verdana" w:cs="Century Gothic"/>
        </w:rPr>
        <w:t>) ¿</w:t>
      </w:r>
      <w:r w:rsidRPr="007A3455">
        <w:rPr>
          <w:rFonts w:ascii="Verdana" w:eastAsia="Century Gothic" w:hAnsi="Verdana" w:cs="Century Gothic"/>
        </w:rPr>
        <w:t xml:space="preserve">El ejercicio de las potestades del EGCAP por las entidades de régimen especial que ejecutan proyectos del SGR </w:t>
      </w:r>
      <w:r w:rsidRPr="00E0578C">
        <w:rPr>
          <w:rFonts w:ascii="Verdana" w:eastAsia="Century Gothic" w:hAnsi="Verdana" w:cs="Century Gothic"/>
        </w:rPr>
        <w:t>desplaza, para los contratos financiados con recursos del Sistema General de Regalías, el procedimiento sancionatorio previsto en el Manual de Contratación de la entidad ejecutora</w:t>
      </w:r>
      <w:r w:rsidRPr="007A3455">
        <w:rPr>
          <w:rFonts w:ascii="Verdana" w:eastAsia="Century Gothic" w:hAnsi="Verdana" w:cs="Century Gothic"/>
        </w:rPr>
        <w:t>?</w:t>
      </w:r>
      <w:r>
        <w:rPr>
          <w:rFonts w:ascii="Verdana" w:eastAsia="Calibri" w:hAnsi="Verdana" w:cs="Arial"/>
          <w:color w:val="000000" w:themeColor="text1"/>
          <w:lang w:eastAsia="es-ES"/>
        </w:rPr>
        <w:t xml:space="preserve">; v) </w:t>
      </w:r>
      <w:r w:rsidRPr="00627594">
        <w:rPr>
          <w:rFonts w:ascii="Verdana" w:eastAsia="Calibri" w:hAnsi="Verdana" w:cs="Arial"/>
          <w:color w:val="000000" w:themeColor="text1"/>
          <w:lang w:eastAsia="es-ES"/>
        </w:rPr>
        <w:t xml:space="preserve">¿Puede la entidad ejecutora trasladar a un tercero </w:t>
      </w:r>
      <w:r>
        <w:rPr>
          <w:rFonts w:ascii="Verdana" w:eastAsia="Calibri" w:hAnsi="Verdana" w:cs="Arial"/>
          <w:color w:val="000000" w:themeColor="text1"/>
          <w:lang w:eastAsia="es-ES"/>
        </w:rPr>
        <w:t xml:space="preserve">mediante contrato interadministrativo la ejecución de los recursos del SGR y aplicar las  cláusulas excepcionales? </w:t>
      </w:r>
    </w:p>
    <w:p w14:paraId="395EC2A0" w14:textId="77777777" w:rsidR="00E60C35" w:rsidRPr="004B140F" w:rsidRDefault="00E60C35" w:rsidP="00E60C35">
      <w:pPr>
        <w:spacing w:after="0" w:line="276" w:lineRule="auto"/>
        <w:jc w:val="both"/>
        <w:rPr>
          <w:rFonts w:ascii="Verdana" w:eastAsia="Calibri" w:hAnsi="Verdana" w:cs="Arial"/>
          <w:color w:val="7030A0"/>
        </w:rPr>
      </w:pPr>
    </w:p>
    <w:p w14:paraId="035D4188" w14:textId="77777777" w:rsidR="00E60C35" w:rsidRPr="00593A5F" w:rsidRDefault="00E60C35" w:rsidP="00E60C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BA7A3DF" w14:textId="77777777" w:rsidR="00E60C35" w:rsidRPr="00593A5F" w:rsidRDefault="00E60C35" w:rsidP="00E60C3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60C35" w:rsidRPr="00593A5F" w14:paraId="0126E36B" w14:textId="77777777" w:rsidTr="00DF2049">
        <w:trPr>
          <w:jc w:val="center"/>
        </w:trPr>
        <w:tc>
          <w:tcPr>
            <w:tcW w:w="8828" w:type="dxa"/>
          </w:tcPr>
          <w:p w14:paraId="594674F5" w14:textId="77777777" w:rsidR="00E60C35" w:rsidRPr="00393943" w:rsidRDefault="00E60C35" w:rsidP="00DF2049">
            <w:pPr>
              <w:spacing w:after="120" w:line="276" w:lineRule="auto"/>
              <w:jc w:val="both"/>
              <w:rPr>
                <w:rFonts w:ascii="Verdana" w:hAnsi="Verdana"/>
              </w:rPr>
            </w:pPr>
            <w:bookmarkStart w:id="1" w:name="_Hlk171694685"/>
            <w:r>
              <w:rPr>
                <w:rFonts w:ascii="Verdana" w:eastAsia="Calibri" w:hAnsi="Verdana" w:cs="Arial"/>
                <w:bCs/>
                <w:color w:val="000000" w:themeColor="text1"/>
              </w:rPr>
              <w:t xml:space="preserve">i. </w:t>
            </w:r>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w:t>
            </w:r>
            <w:r w:rsidRPr="00393943">
              <w:rPr>
                <w:rFonts w:ascii="Verdana" w:eastAsia="Calibri" w:hAnsi="Verdana" w:cs="Arial"/>
                <w:color w:val="000000"/>
                <w:lang w:val="es-ES" w:eastAsia="es-ES"/>
              </w:rPr>
              <w:t xml:space="preserve">de acuerdo con el parágrafo primero del artículo 37 de la Ley 2056 de 2020, el ejecutor de los proyectos de inversión del Sistema General de Regalías, independiente del régimen contractual al cuál se encuentre sujeto </w:t>
            </w:r>
            <w:r w:rsidRPr="00393943">
              <w:rPr>
                <w:rFonts w:ascii="Verdana" w:eastAsia="Calibri" w:hAnsi="Verdana" w:cs="Arial"/>
                <w:color w:val="000000"/>
                <w:lang w:val="es-ES" w:eastAsia="es-ES"/>
              </w:rPr>
              <w:lastRenderedPageBreak/>
              <w:t>de manera general, deberá aplicar las reglas de contratación pública, es decir, las prescripciones establecidas en el Estatuto General de Contratación de la Administración Pública-EGCAP, así como las normas que lo modifiquen, sustituyan o reglamenten.</w:t>
            </w:r>
          </w:p>
          <w:p w14:paraId="7F01B7C3" w14:textId="77777777" w:rsidR="00E60C35" w:rsidRPr="00393943" w:rsidRDefault="00E60C35" w:rsidP="00DF2049">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t>En este sentido,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7FF3AF18" w14:textId="77777777" w:rsidR="00E60C35" w:rsidRDefault="00E60C35" w:rsidP="00DF2049">
            <w:pPr>
              <w:tabs>
                <w:tab w:val="left" w:pos="426"/>
              </w:tabs>
              <w:spacing w:after="120" w:line="276" w:lineRule="auto"/>
              <w:ind w:firstLine="737"/>
              <w:jc w:val="both"/>
              <w:rPr>
                <w:rFonts w:ascii="Verdana" w:eastAsia="Arial" w:hAnsi="Verdana" w:cs="Arial"/>
                <w:lang w:val="es-MX" w:eastAsia="es-ES" w:bidi="es-ES"/>
              </w:rPr>
            </w:pPr>
            <w:r w:rsidRPr="00393943">
              <w:rPr>
                <w:rFonts w:ascii="Verdana" w:eastAsia="Calibri" w:hAnsi="Verdana" w:cs="Arial"/>
                <w:color w:val="000000" w:themeColor="text1"/>
                <w:lang w:eastAsia="es-ES"/>
              </w:rPr>
              <w:t>Así las cosas,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w:t>
            </w:r>
          </w:p>
          <w:p w14:paraId="42912447" w14:textId="77777777" w:rsidR="00E60C35" w:rsidRDefault="00E60C35" w:rsidP="00DF2049">
            <w:pPr>
              <w:tabs>
                <w:tab w:val="left" w:pos="426"/>
              </w:tabs>
              <w:spacing w:after="120" w:line="276" w:lineRule="auto"/>
              <w:ind w:firstLine="737"/>
              <w:jc w:val="both"/>
              <w:rPr>
                <w:rFonts w:ascii="Verdana" w:eastAsia="Calibri" w:hAnsi="Verdana" w:cs="Arial"/>
                <w:color w:val="000000" w:themeColor="text1"/>
                <w:lang w:eastAsia="es-ES"/>
              </w:rPr>
            </w:pPr>
            <w:r>
              <w:rPr>
                <w:rFonts w:ascii="Verdana" w:eastAsia="Calibri" w:hAnsi="Verdana" w:cs="Arial"/>
                <w:bCs/>
                <w:color w:val="000000" w:themeColor="text1"/>
                <w:lang w:val="es-ES_tradnl"/>
              </w:rPr>
              <w:t xml:space="preserve"> </w:t>
            </w:r>
            <w:r>
              <w:rPr>
                <w:rFonts w:ascii="Verdana" w:eastAsia="Calibri" w:hAnsi="Verdana" w:cs="Arial"/>
                <w:color w:val="000000" w:themeColor="text1"/>
                <w:lang w:eastAsia="es-ES"/>
              </w:rPr>
              <w:t>Teniendo en cuenta el régimen jurídico aplicable, de acuerdo con el artículo 17 de la Ley 1150 de 2007, las entidades que ejecuten recursos del sistema general de regalías pueden declarar el incumplimiento con miras a hacer efectivas las multas y la cláusula penal en el marco de los contratos que celebren para tal fin. Como están sometidas al Estatuto General de Contratación para la ejecución de dichos proyectos, el procedimiento aplicable a las actuaciones sancionatorias corresponde al previsto en el artículo 86 de la Ley 1474 de 2011.</w:t>
            </w:r>
          </w:p>
          <w:p w14:paraId="55299BAC" w14:textId="77777777" w:rsidR="00E60C35" w:rsidRDefault="00E60C35" w:rsidP="00DF2049">
            <w:pPr>
              <w:tabs>
                <w:tab w:val="left" w:pos="426"/>
              </w:tabs>
              <w:spacing w:after="120" w:line="276" w:lineRule="auto"/>
              <w:ind w:firstLine="737"/>
              <w:jc w:val="both"/>
              <w:rPr>
                <w:rFonts w:ascii="Verdana" w:eastAsia="Calibri" w:hAnsi="Verdana" w:cs="Arial"/>
                <w:color w:val="000000" w:themeColor="text1"/>
                <w:lang w:val="es-ES_tradnl" w:eastAsia="es-ES"/>
              </w:rPr>
            </w:pPr>
            <w:r>
              <w:rPr>
                <w:rFonts w:ascii="Verdana" w:eastAsia="Calibri" w:hAnsi="Verdana" w:cs="Arial"/>
                <w:color w:val="000000" w:themeColor="text1"/>
                <w:lang w:val="es-ES_tradnl" w:eastAsia="es-ES"/>
              </w:rPr>
              <w:t xml:space="preserve">En la medida que hayan sido pactadas, la entidad ejecutora podrá imponer las multas y la cláusula penal a los contratistas que hayan incumplido sus obligaciones en el marco de los negocios jurídicos suscritos para desarrollar proyectos de inversión con cargo al sistema general de regalías. Las mismas proceden en el marco de relaciones contractuales, lo que excluye la posibilidad de ejercer la potestad sancionadora contra la entidad que designa al ejecutor. Como explica la Sala de Consulta y Servicio Civil del </w:t>
            </w:r>
            <w:r>
              <w:rPr>
                <w:rFonts w:ascii="Verdana" w:eastAsia="Calibri" w:hAnsi="Verdana" w:cs="Arial"/>
                <w:color w:val="000000" w:themeColor="text1"/>
                <w:lang w:val="es-ES_tradnl" w:eastAsia="es-ES"/>
              </w:rPr>
              <w:lastRenderedPageBreak/>
              <w:t xml:space="preserve">Consejo de Estado, “[…] </w:t>
            </w:r>
            <w:r w:rsidRPr="00B65902">
              <w:rPr>
                <w:rFonts w:ascii="Verdana" w:eastAsia="Calibri" w:hAnsi="Verdana" w:cs="Arial"/>
                <w:color w:val="000000" w:themeColor="text1"/>
                <w:lang w:val="es-ES_tradnl" w:eastAsia="es-ES"/>
              </w:rPr>
              <w:t>el acto por el cual un OCAD, un departamento o una entidad territorial designa al ejecutor de un proyecto financiado con recursos del Sistema General de Regalías es un acto administrativo unilateral de contenido particular y concreto, que se profiere en ejercicio de una competencia legal de administración de recursos de inversión; es unilateral porque se perfecciona por la decisión del órgano competente y no por aceptación del destinatario, y atribuye al ejecutor deberes dentro del ciclo de inversión del SGR de tipo contractual, de ejecución, reporte y control</w:t>
            </w:r>
            <w:r>
              <w:rPr>
                <w:rFonts w:ascii="Verdana" w:eastAsia="Calibri" w:hAnsi="Verdana" w:cs="Arial"/>
                <w:color w:val="000000" w:themeColor="text1"/>
                <w:lang w:val="es-ES_tradnl" w:eastAsia="es-ES"/>
              </w:rPr>
              <w:t>”.</w:t>
            </w:r>
          </w:p>
          <w:p w14:paraId="3845F432" w14:textId="77777777" w:rsidR="00E60C35" w:rsidRDefault="00E60C35" w:rsidP="00DF2049">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 xml:space="preserve">. </w:t>
            </w:r>
            <w:r w:rsidRPr="00A83047">
              <w:rPr>
                <w:rFonts w:ascii="Verdana" w:eastAsia="Calibri" w:hAnsi="Verdana" w:cs="Arial"/>
                <w:bCs/>
                <w:color w:val="000000" w:themeColor="text1"/>
              </w:rPr>
              <w:t>La sujeción al EGCAP prevista en el artículo 37 de la Ley 2056 de 2020 comprende las potestades excepcionales previstas en los artículos 14 y siguientes de la Ley 80 de 1993, en los términos y bajo los presupuestos establecidos por dicho Estatuto. En consecuencia, cuando una entidad sometida a un régimen especial es designada ejecutora de recursos del SGR, los contratos que celebre para la ejecución de los respectivos proyectos se sujetan al EGCAP, por lo que podrá ejercer las potestades excepcionales que resulten legalmente procedentes, sin que para ello sea necesaria una habilitación legal adicional ni su incorporación previa en el contrato o en el manual de contratación</w:t>
            </w:r>
            <w:r>
              <w:rPr>
                <w:rFonts w:ascii="Verdana" w:eastAsia="Calibri" w:hAnsi="Verdana" w:cs="Arial"/>
                <w:bCs/>
                <w:color w:val="000000" w:themeColor="text1"/>
              </w:rPr>
              <w:t>.</w:t>
            </w:r>
          </w:p>
          <w:p w14:paraId="6EB5EC6A" w14:textId="77777777" w:rsidR="00E60C35" w:rsidRPr="00A83047" w:rsidRDefault="00E60C35" w:rsidP="00DF2049">
            <w:pPr>
              <w:spacing w:after="120" w:line="276" w:lineRule="auto"/>
              <w:ind w:firstLine="742"/>
              <w:jc w:val="both"/>
              <w:rPr>
                <w:rFonts w:ascii="Verdana" w:eastAsia="Calibri" w:hAnsi="Verdana" w:cs="Arial"/>
                <w:bCs/>
                <w:color w:val="000000" w:themeColor="text1"/>
              </w:rPr>
            </w:pPr>
            <w:r w:rsidRPr="00A83047">
              <w:rPr>
                <w:rFonts w:ascii="Verdana" w:eastAsia="Calibri" w:hAnsi="Verdana" w:cs="Arial"/>
                <w:bCs/>
                <w:color w:val="000000" w:themeColor="text1"/>
              </w:rPr>
              <w:t>Lo anterior se diferencia de los contratos que la entidad celebre en desarrollo de su régimen especial, en los cuales dichas potestades no le son inherentes, sin perjuicio de su eventual pacto en ejercicio de la autonomía de la voluntad, dentro de los límites establecidos por el ordenamiento jurídico. En el caso de los contratos financiados con recursos del SGR, en cambio, la fuente de la potestad excepcional no es el pacto contractual, sino la sujeción legal al EGCAP derivada del artículo 37 de la Ley 2056 de 2020</w:t>
            </w:r>
            <w:r>
              <w:rPr>
                <w:rFonts w:ascii="Verdana" w:eastAsia="Calibri" w:hAnsi="Verdana" w:cs="Arial"/>
                <w:bCs/>
                <w:color w:val="000000" w:themeColor="text1"/>
              </w:rPr>
              <w:t xml:space="preserve">. </w:t>
            </w:r>
            <w:r w:rsidRPr="00A83047">
              <w:rPr>
                <w:rFonts w:ascii="Verdana" w:eastAsia="Calibri" w:hAnsi="Verdana" w:cs="Arial"/>
                <w:bCs/>
                <w:color w:val="000000" w:themeColor="text1"/>
              </w:rPr>
              <w:t xml:space="preserve">En todo caso, el ejercicio de estas facultades no es automático ni irrestricto, pues deberá verificarse, en cada caso, que el contrato se encuentre dentro de los supuestos en los que la Ley 80 de 1993 autoriza su utilización y que se observen las condiciones, límites y procedimientos previstos en ella. </w:t>
            </w:r>
          </w:p>
          <w:p w14:paraId="543B9EEF" w14:textId="77777777" w:rsidR="00E60C35" w:rsidRDefault="00E60C35" w:rsidP="00DF2049">
            <w:pPr>
              <w:spacing w:after="120" w:line="276" w:lineRule="auto"/>
              <w:ind w:firstLine="709"/>
              <w:jc w:val="both"/>
              <w:rPr>
                <w:rFonts w:ascii="Verdana" w:eastAsia="Calibri" w:hAnsi="Verdana" w:cs="Arial"/>
                <w:color w:val="000000" w:themeColor="text1"/>
                <w:lang w:eastAsia="es-ES"/>
              </w:rPr>
            </w:pPr>
            <w:r w:rsidRPr="00C32F67">
              <w:rPr>
                <w:rFonts w:ascii="Verdana" w:eastAsia="Calibri" w:hAnsi="Verdana" w:cs="Arial"/>
                <w:color w:val="000000" w:themeColor="text1"/>
                <w:lang w:eastAsia="es-ES"/>
              </w:rPr>
              <w:t>En consecuencia, la circunstancia de que una entidad ejecutora del SGR esté sometida a un régimen especial no constituye, por sí misma, un obstáculo para el ejercicio de las potestades excepcionales del EGCAP</w:t>
            </w:r>
            <w:r>
              <w:rPr>
                <w:rFonts w:ascii="Verdana" w:eastAsia="Calibri" w:hAnsi="Verdana" w:cs="Arial"/>
                <w:color w:val="000000" w:themeColor="text1"/>
                <w:lang w:eastAsia="es-ES"/>
              </w:rPr>
              <w:t>, ya que l</w:t>
            </w:r>
            <w:r w:rsidRPr="00C32F67">
              <w:rPr>
                <w:rFonts w:ascii="Verdana" w:eastAsia="Calibri" w:hAnsi="Verdana" w:cs="Arial"/>
                <w:color w:val="000000" w:themeColor="text1"/>
                <w:lang w:eastAsia="es-ES"/>
              </w:rPr>
              <w:t>o determinante es el régimen jurídico aplicable al contrato concreto</w:t>
            </w:r>
            <w:r>
              <w:rPr>
                <w:rFonts w:ascii="Verdana" w:eastAsia="Calibri" w:hAnsi="Verdana" w:cs="Arial"/>
                <w:color w:val="000000" w:themeColor="text1"/>
                <w:lang w:eastAsia="es-ES"/>
              </w:rPr>
              <w:t xml:space="preserve"> de acuerdo con el tipo de recursos, de manera que </w:t>
            </w:r>
            <w:r w:rsidRPr="00C32F67">
              <w:rPr>
                <w:rFonts w:ascii="Verdana" w:eastAsia="Calibri" w:hAnsi="Verdana" w:cs="Arial"/>
                <w:color w:val="000000" w:themeColor="text1"/>
                <w:lang w:eastAsia="es-ES"/>
              </w:rPr>
              <w:t xml:space="preserve">si este se celebra para ejecutar recursos del SGR y, por mandato del artículo 37 de la Ley 2056 de 2020, se </w:t>
            </w:r>
            <w:r w:rsidRPr="00C32F67">
              <w:rPr>
                <w:rFonts w:ascii="Verdana" w:eastAsia="Calibri" w:hAnsi="Verdana" w:cs="Arial"/>
                <w:color w:val="000000" w:themeColor="text1"/>
                <w:lang w:eastAsia="es-ES"/>
              </w:rPr>
              <w:lastRenderedPageBreak/>
              <w:t>encuentra sometido al EGCAP, las potestades excepcionales previstas en dicho Estatuto serán aplicables en los términos y bajo los presupuestos establecidos por la Ley 80 de 1993</w:t>
            </w:r>
            <w:r>
              <w:rPr>
                <w:rFonts w:ascii="Verdana" w:eastAsia="Calibri" w:hAnsi="Verdana" w:cs="Arial"/>
                <w:color w:val="000000" w:themeColor="text1"/>
                <w:lang w:eastAsia="es-ES"/>
              </w:rPr>
              <w:t>, así como</w:t>
            </w:r>
            <w:r w:rsidRPr="00C32F67">
              <w:rPr>
                <w:rFonts w:ascii="Verdana" w:eastAsia="Calibri" w:hAnsi="Verdana" w:cs="Arial"/>
                <w:color w:val="000000" w:themeColor="text1"/>
                <w:lang w:eastAsia="es-ES"/>
              </w:rPr>
              <w:t xml:space="preserve"> </w:t>
            </w:r>
            <w:r w:rsidRPr="009B31D1">
              <w:rPr>
                <w:rFonts w:ascii="Verdana" w:eastAsia="Calibri" w:hAnsi="Verdana" w:cs="Arial"/>
                <w:color w:val="000000" w:themeColor="text1"/>
                <w:lang w:eastAsia="es-ES"/>
              </w:rPr>
              <w:t>la aplicación del artículo 86 de la Ley 1474 de 2011</w:t>
            </w:r>
            <w:r>
              <w:rPr>
                <w:rFonts w:ascii="Verdana" w:eastAsia="Calibri" w:hAnsi="Verdana" w:cs="Arial"/>
                <w:color w:val="000000" w:themeColor="text1"/>
                <w:lang w:eastAsia="es-ES"/>
              </w:rPr>
              <w:t xml:space="preserve">, según corresponda. </w:t>
            </w:r>
          </w:p>
          <w:p w14:paraId="0E4D1D8E" w14:textId="77777777" w:rsidR="00E60C35" w:rsidRDefault="00E60C35" w:rsidP="00DF2049">
            <w:pPr>
              <w:spacing w:after="120" w:line="276" w:lineRule="auto"/>
              <w:jc w:val="both"/>
              <w:rPr>
                <w:rFonts w:ascii="Verdana" w:eastAsia="Calibri" w:hAnsi="Verdana" w:cs="Arial"/>
                <w:color w:val="000000" w:themeColor="text1"/>
                <w:lang w:eastAsia="es-ES"/>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L</w:t>
            </w:r>
            <w:r w:rsidRPr="00FB6807">
              <w:rPr>
                <w:rFonts w:ascii="Verdana" w:eastAsia="Calibri" w:hAnsi="Verdana" w:cs="Arial"/>
                <w:color w:val="000000" w:themeColor="text1"/>
                <w:lang w:eastAsia="es-ES"/>
              </w:rPr>
              <w:t>a sujeción al EGCAP que se deriva de la ejecución de proyectos de inversión financiados con recursos del SGR no supone una modificación general ni permanente del régimen jurídico contractual de los sujetos designados como ejecutores. En particular, cuando se trata de entidades sometidas a regímenes especiales de contratación, dicha sujeción opera exclusivamente respecto de la contratación necesaria para la ejecución de los proyectos a los que se refiere la Ley 2056 de 2020, sin que implique la 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r>
              <w:rPr>
                <w:rFonts w:ascii="Verdana" w:eastAsia="Calibri" w:hAnsi="Verdana" w:cs="Arial"/>
                <w:color w:val="000000" w:themeColor="text1"/>
                <w:lang w:eastAsia="es-ES"/>
              </w:rPr>
              <w:t>.</w:t>
            </w:r>
            <w:r w:rsidRPr="00627594">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De esta forma, l</w:t>
            </w:r>
            <w:r w:rsidRPr="00627594">
              <w:rPr>
                <w:rFonts w:ascii="Verdana" w:eastAsia="Calibri" w:hAnsi="Verdana" w:cs="Arial"/>
                <w:color w:val="000000" w:themeColor="text1"/>
                <w:lang w:eastAsia="es-ES"/>
              </w:rPr>
              <w:t>a sujeción al EGCAP opera únicamente respecto de la contratación necesaria para ejecutar los proyectos financiados con dichos recursos, sin sustituir el régimen especial que les corresponde para las demás actividades de su objeto</w:t>
            </w:r>
            <w:r>
              <w:rPr>
                <w:rFonts w:ascii="Verdana" w:eastAsia="Calibri" w:hAnsi="Verdana" w:cs="Arial"/>
                <w:color w:val="000000" w:themeColor="text1"/>
                <w:lang w:eastAsia="es-ES"/>
              </w:rPr>
              <w:t xml:space="preserve">. </w:t>
            </w:r>
          </w:p>
          <w:p w14:paraId="3F738530" w14:textId="77777777" w:rsidR="00E60C35" w:rsidRDefault="00E60C35" w:rsidP="00DF2049">
            <w:pPr>
              <w:tabs>
                <w:tab w:val="left" w:pos="426"/>
              </w:tabs>
              <w:spacing w:after="120" w:line="276" w:lineRule="auto"/>
              <w:jc w:val="both"/>
              <w:rPr>
                <w:rFonts w:ascii="Verdana" w:eastAsia="Calibri" w:hAnsi="Verdana" w:cs="Arial"/>
                <w:bCs/>
                <w:color w:val="000000" w:themeColor="text1"/>
                <w:lang w:val="es-ES_tradnl"/>
              </w:rPr>
            </w:pPr>
            <w:proofErr w:type="spellStart"/>
            <w:r>
              <w:rPr>
                <w:rFonts w:ascii="Verdana" w:eastAsia="Calibri" w:hAnsi="Verdana" w:cs="Arial"/>
                <w:bCs/>
                <w:color w:val="000000" w:themeColor="text1"/>
                <w:lang w:val="es-ES_tradnl"/>
              </w:rPr>
              <w:t>iv</w:t>
            </w:r>
            <w:proofErr w:type="spellEnd"/>
            <w:r>
              <w:rPr>
                <w:rFonts w:ascii="Verdana" w:eastAsia="Calibri" w:hAnsi="Verdana" w:cs="Arial"/>
                <w:bCs/>
                <w:color w:val="000000" w:themeColor="text1"/>
                <w:lang w:val="es-ES_tradnl"/>
              </w:rPr>
              <w:t xml:space="preserve">. </w:t>
            </w:r>
            <w:r w:rsidRPr="00A97C1B">
              <w:rPr>
                <w:rFonts w:ascii="Verdana" w:eastAsia="Calibri" w:hAnsi="Verdana" w:cs="Arial"/>
                <w:bCs/>
                <w:color w:val="000000" w:themeColor="text1"/>
                <w:lang w:val="es-ES_tradnl"/>
              </w:rPr>
              <w:t>Para los contratos que la entidad de régimen especial celebre en calidad de ejecutora de proyectos financiados con recursos del SGR, la sujeción al EGCAP desplaza la aplicación de las reglas y procedimientos sancionatorios propios de su régimen especial que resulten incompatibles con aquel. En consecuencia, el procedimiento sancionatorio aplicable deberá determinarse con fundamento en las disposiciones del EGCAP y demás normas que regulen la ejecución de los recursos del SGR, sin que el manual de contratación pueda mantener un procedimiento autónomo que sustituya dicho régimen.</w:t>
            </w:r>
          </w:p>
          <w:p w14:paraId="4DC9498B" w14:textId="77777777" w:rsidR="00E60C35" w:rsidRDefault="00E60C35" w:rsidP="00DF2049">
            <w:pPr>
              <w:tabs>
                <w:tab w:val="left" w:pos="426"/>
              </w:tabs>
              <w:spacing w:after="120" w:line="276" w:lineRule="auto"/>
              <w:ind w:firstLine="742"/>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Para tales efectos, resulta procedente que l</w:t>
            </w:r>
            <w:r w:rsidRPr="00A97C1B">
              <w:rPr>
                <w:rFonts w:ascii="Verdana" w:eastAsia="Calibri" w:hAnsi="Verdana" w:cs="Arial"/>
                <w:bCs/>
                <w:color w:val="000000" w:themeColor="text1"/>
                <w:lang w:val="es-ES_tradnl"/>
              </w:rPr>
              <w:t xml:space="preserve">a entidad </w:t>
            </w:r>
            <w:r>
              <w:rPr>
                <w:rFonts w:ascii="Verdana" w:eastAsia="Calibri" w:hAnsi="Verdana" w:cs="Arial"/>
                <w:bCs/>
                <w:color w:val="000000" w:themeColor="text1"/>
                <w:lang w:val="es-ES_tradnl"/>
              </w:rPr>
              <w:t xml:space="preserve">adecue su manual de contratación </w:t>
            </w:r>
            <w:r w:rsidRPr="00A97C1B">
              <w:rPr>
                <w:rFonts w:ascii="Verdana" w:eastAsia="Calibri" w:hAnsi="Verdana" w:cs="Arial"/>
                <w:bCs/>
                <w:color w:val="000000" w:themeColor="text1"/>
                <w:lang w:val="es-ES_tradnl"/>
              </w:rPr>
              <w:t xml:space="preserve">para incorporar las reglas y procedimientos necesarios para la gestión de los contratos sometidos al EGCAP, sin que pueda crear, modificar, restringir o desplazar las competencias y procedimientos establecidos directamente por la ley. Por tanto, frente a los contratos financiados con recursos del SGR, prevalece el procedimiento sancionatorio que resulte </w:t>
            </w:r>
            <w:r w:rsidRPr="00A97C1B">
              <w:rPr>
                <w:rFonts w:ascii="Verdana" w:eastAsia="Calibri" w:hAnsi="Verdana" w:cs="Arial"/>
                <w:bCs/>
                <w:color w:val="000000" w:themeColor="text1"/>
                <w:lang w:val="es-ES_tradnl"/>
              </w:rPr>
              <w:lastRenderedPageBreak/>
              <w:t>aplicable conforme al EGCAP y a las normas especiales del Sistema General de Regalías.</w:t>
            </w:r>
            <w:r>
              <w:rPr>
                <w:rFonts w:ascii="Verdana" w:eastAsia="Calibri" w:hAnsi="Verdana" w:cs="Arial"/>
                <w:bCs/>
                <w:color w:val="000000" w:themeColor="text1"/>
                <w:lang w:val="es-ES_tradnl"/>
              </w:rPr>
              <w:t xml:space="preserve"> </w:t>
            </w:r>
          </w:p>
          <w:p w14:paraId="3E1741CC" w14:textId="77777777" w:rsidR="00E60C35" w:rsidRDefault="00E60C35" w:rsidP="00DF2049">
            <w:pPr>
              <w:spacing w:before="120" w:line="276" w:lineRule="auto"/>
              <w:jc w:val="both"/>
              <w:rPr>
                <w:rFonts w:ascii="Verdana" w:eastAsia="Calibri" w:hAnsi="Verdana" w:cs="Arial"/>
                <w:color w:val="000000" w:themeColor="text1"/>
                <w:lang w:eastAsia="es-ES"/>
              </w:rPr>
            </w:pPr>
            <w:r>
              <w:rPr>
                <w:rFonts w:ascii="Verdana" w:eastAsia="Calibri" w:hAnsi="Verdana" w:cs="Arial"/>
                <w:bCs/>
                <w:color w:val="000000" w:themeColor="text1"/>
                <w:lang w:val="es-ES_tradnl"/>
              </w:rPr>
              <w:t xml:space="preserve">v. </w:t>
            </w:r>
            <w:r w:rsidRPr="00627594">
              <w:rPr>
                <w:rFonts w:ascii="Verdana" w:eastAsia="Calibri" w:hAnsi="Verdana" w:cs="Arial"/>
                <w:color w:val="000000" w:themeColor="text1"/>
                <w:lang w:eastAsia="es-ES"/>
              </w:rPr>
              <w:t>La entidad ejecutora puede subcontratar legítimamente las actividades y celebrar los contratos que resulten necesarios para ejecutar la asignación que administra, conforme a las decisiones de la instancia de decisión competente. No obstante, no puede trasladar</w:t>
            </w:r>
            <w:r>
              <w:rPr>
                <w:rFonts w:ascii="Verdana" w:eastAsia="Calibri" w:hAnsi="Verdana" w:cs="Arial"/>
                <w:color w:val="000000" w:themeColor="text1"/>
                <w:lang w:eastAsia="es-ES"/>
              </w:rPr>
              <w:t xml:space="preserve"> </w:t>
            </w:r>
            <w:r w:rsidRPr="00627594">
              <w:rPr>
                <w:rFonts w:ascii="Verdana" w:eastAsia="Calibri" w:hAnsi="Verdana" w:cs="Arial"/>
                <w:color w:val="000000" w:themeColor="text1"/>
                <w:lang w:eastAsia="es-ES"/>
              </w:rPr>
              <w:t xml:space="preserve">a un tercero el manejo material de los recursos ni su responsabilidad como ejecutora, pues por mandato del parágrafo 1.º del artículo 84 de la Ley 2056 de 2020 la entidad ejecutora y su representante legal responden por la correcta ejecución del proyecto y por la ordenación del gasto, condición indelegable: el subcontrato no es un medio para delegar el rol de ejecutor en el marco del SGR. El traslado íntegro de la ejecución genera, además, riesgo de nulidad del contrato y de detrimento patrimonial por los sobrecostos propios de la intermediación. Tratándose de contratos sometidos al EGCAP, estos deben celebrarse conforme a dicho régimen, lo que implica, entre otros, garantizar la selección objetiva del contratista y respetar el régimen de inhabilidades e incompatibilidades. </w:t>
            </w:r>
          </w:p>
          <w:p w14:paraId="1D4402F5" w14:textId="77777777" w:rsidR="00E60C35" w:rsidRPr="00502997" w:rsidRDefault="00E60C35" w:rsidP="00DF2049">
            <w:pPr>
              <w:spacing w:before="120" w:line="276" w:lineRule="auto"/>
              <w:ind w:firstLine="742"/>
              <w:jc w:val="both"/>
              <w:rPr>
                <w:rFonts w:ascii="Verdana" w:eastAsia="Calibri" w:hAnsi="Verdana" w:cs="Arial"/>
                <w:bCs/>
                <w:color w:val="000000" w:themeColor="text1"/>
                <w:lang w:val="es-ES_tradnl"/>
              </w:rPr>
            </w:pPr>
            <w:r>
              <w:rPr>
                <w:rFonts w:ascii="Verdana" w:eastAsia="Calibri" w:hAnsi="Verdana" w:cs="Arial"/>
                <w:lang w:eastAsia="es-ES"/>
              </w:rPr>
              <w:t>En todo caso, l</w:t>
            </w:r>
            <w:r w:rsidRPr="0028562B">
              <w:rPr>
                <w:rFonts w:ascii="Verdana" w:eastAsia="Calibri" w:hAnsi="Verdana" w:cs="Arial"/>
                <w:lang w:eastAsia="es-ES"/>
              </w:rPr>
              <w:t>a celebración de un contrato interadministrativo no habilita automáticamente a la entidad ejecutora para trasladar a la entidad contratista las potestades excepcionales del EGCAP. El ejercicio de dichas potestades debe analizarse respecto de cada contrato, atendiendo a su objeto, a la naturaleza de las partes y a los presupuestos establecidos en los artículos 14 y siguientes de la Ley 80 de 1993. Por tanto, la entidad ejecutora podrá ejercerlas frente al contrato interadministrativo únicamente cuando la ley las contemple como procedentes para ese negocio jurídico, sin que su condición de ejecutora del SGR constituya, por sí sola, una habilitación para ejercerlas en cualquier relación contractual</w:t>
            </w:r>
            <w:r>
              <w:rPr>
                <w:rFonts w:ascii="Verdana" w:eastAsia="Calibri" w:hAnsi="Verdana" w:cs="Arial"/>
                <w:lang w:eastAsia="es-ES"/>
              </w:rPr>
              <w:t xml:space="preserve">. </w:t>
            </w:r>
          </w:p>
          <w:p w14:paraId="55322E4B" w14:textId="77777777" w:rsidR="00E60C35" w:rsidRPr="00DC0D86" w:rsidRDefault="00E60C35" w:rsidP="00DF2049">
            <w:pPr>
              <w:spacing w:line="276" w:lineRule="auto"/>
              <w:jc w:val="both"/>
              <w:rPr>
                <w:rFonts w:ascii="Verdana" w:hAnsi="Verdana"/>
                <w:color w:val="000000"/>
              </w:rPr>
            </w:pPr>
          </w:p>
        </w:tc>
      </w:tr>
    </w:tbl>
    <w:p w14:paraId="4BEF3020" w14:textId="77777777" w:rsidR="00E60C35" w:rsidRPr="00593A5F" w:rsidRDefault="00E60C35" w:rsidP="00E60C35">
      <w:pPr>
        <w:tabs>
          <w:tab w:val="left" w:pos="142"/>
          <w:tab w:val="left" w:pos="284"/>
        </w:tabs>
        <w:spacing w:after="0" w:line="276" w:lineRule="auto"/>
        <w:jc w:val="both"/>
        <w:rPr>
          <w:rFonts w:ascii="Verdana" w:eastAsia="Century Gothic" w:hAnsi="Verdana" w:cs="Century Gothic"/>
          <w:b/>
          <w:bCs/>
          <w:lang w:val="es-ES"/>
        </w:rPr>
      </w:pPr>
    </w:p>
    <w:bookmarkEnd w:id="1"/>
    <w:p w14:paraId="32161491" w14:textId="77777777" w:rsidR="00E60C35" w:rsidRPr="00593A5F" w:rsidRDefault="00E60C35" w:rsidP="00E60C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41FD4EC" w14:textId="77777777" w:rsidR="00E60C35" w:rsidRPr="00593A5F" w:rsidRDefault="00E60C35" w:rsidP="00E60C35">
      <w:pPr>
        <w:spacing w:after="0" w:line="276" w:lineRule="auto"/>
        <w:jc w:val="both"/>
        <w:rPr>
          <w:rFonts w:ascii="Verdana" w:eastAsia="Calibri" w:hAnsi="Verdana" w:cs="Arial"/>
          <w:color w:val="7030A0"/>
          <w:lang w:val="es-ES"/>
        </w:rPr>
      </w:pPr>
    </w:p>
    <w:p w14:paraId="243817D6" w14:textId="77777777" w:rsidR="00E60C35" w:rsidRDefault="00E60C35" w:rsidP="00E60C35">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6F725C4" w14:textId="77777777" w:rsidR="00E60C35" w:rsidRPr="00415608" w:rsidRDefault="00E60C35" w:rsidP="00E60C35">
      <w:pPr>
        <w:spacing w:after="0" w:line="276" w:lineRule="auto"/>
        <w:jc w:val="both"/>
        <w:rPr>
          <w:rFonts w:ascii="Verdana" w:eastAsia="Calibri" w:hAnsi="Verdana" w:cs="Arial"/>
          <w:lang w:val="es-ES"/>
        </w:rPr>
      </w:pPr>
    </w:p>
    <w:p w14:paraId="22708C73" w14:textId="77777777" w:rsidR="00E60C35" w:rsidRDefault="00E60C35" w:rsidP="00E60C35">
      <w:pPr>
        <w:spacing w:after="120" w:line="276" w:lineRule="auto"/>
        <w:jc w:val="both"/>
        <w:rPr>
          <w:rFonts w:ascii="Verdana" w:hAnsi="Verdana"/>
          <w:lang w:val="es-ES" w:eastAsia="es-ES"/>
        </w:rPr>
      </w:pPr>
      <w:r>
        <w:rPr>
          <w:rFonts w:ascii="Verdana" w:hAnsi="Verdana"/>
          <w:lang w:val="es-ES" w:eastAsia="es-ES"/>
        </w:rPr>
        <w:t xml:space="preserve">i. En </w:t>
      </w:r>
      <w:r w:rsidRPr="00393943">
        <w:rPr>
          <w:rFonts w:ascii="Verdana" w:hAnsi="Verdana"/>
        </w:rPr>
        <w:t xml:space="preserve">los </w:t>
      </w:r>
      <w:r>
        <w:rPr>
          <w:rFonts w:ascii="Verdana" w:hAnsi="Verdana"/>
        </w:rPr>
        <w:t>C</w:t>
      </w:r>
      <w:r w:rsidRPr="00393943">
        <w:rPr>
          <w:rFonts w:ascii="Verdana" w:hAnsi="Verdana"/>
        </w:rPr>
        <w:t>onceptos C-370 del 2021,</w:t>
      </w:r>
      <w:r w:rsidRPr="00393943">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w:t>
      </w:r>
      <w:r w:rsidRPr="00393943">
        <w:rPr>
          <w:rFonts w:ascii="Verdana" w:hAnsi="Verdana"/>
          <w:shd w:val="clear" w:color="auto" w:fill="FFFFFF"/>
        </w:rPr>
        <w:lastRenderedPageBreak/>
        <w:t>del 2 de mayo de 2025, C-680 del 8 de julio de 2025, C-914 del 15 de agosto de 2025, C-1065 del 8 de septiembre de 2025, C-225 del 27 de febrero de 2026 y C-417 del 2026</w:t>
      </w:r>
      <w:r>
        <w:rPr>
          <w:rFonts w:ascii="Verdana" w:hAnsi="Verdana" w:cs="Arial"/>
        </w:rPr>
        <w:t>,</w:t>
      </w:r>
      <w:r w:rsidRPr="00393943">
        <w:rPr>
          <w:rFonts w:ascii="Verdana" w:hAnsi="Verdana" w:cs="Arial"/>
        </w:rPr>
        <w:t xml:space="preserve"> C-764 del 29 de mayo de 2026</w:t>
      </w:r>
      <w:r>
        <w:rPr>
          <w:rFonts w:ascii="Verdana" w:hAnsi="Verdana" w:cs="Arial"/>
        </w:rPr>
        <w:t xml:space="preserve"> y C-1010 del 21 de julio de 2026</w:t>
      </w:r>
      <w:r w:rsidRPr="00393943">
        <w:rPr>
          <w:rFonts w:ascii="Verdana" w:hAnsi="Verdana"/>
          <w:shd w:val="clear" w:color="auto" w:fill="FFFFFF"/>
        </w:rPr>
        <w:t>,</w:t>
      </w:r>
      <w:r>
        <w:rPr>
          <w:rFonts w:ascii="Verdana" w:hAnsi="Verdana"/>
          <w:shd w:val="clear" w:color="auto" w:fill="FFFFFF"/>
        </w:rPr>
        <w:t xml:space="preserve"> esta Subdirección</w:t>
      </w:r>
      <w:r w:rsidRPr="00393943">
        <w:rPr>
          <w:rFonts w:ascii="Verdana" w:hAnsi="Verdana"/>
          <w:shd w:val="clear" w:color="auto" w:fill="FFFFFF"/>
        </w:rPr>
        <w:t xml:space="preserve"> ha </w:t>
      </w:r>
      <w:r>
        <w:rPr>
          <w:rFonts w:ascii="Verdana" w:hAnsi="Verdana"/>
          <w:shd w:val="clear" w:color="auto" w:fill="FFFFFF"/>
        </w:rPr>
        <w:t>sostenido que</w:t>
      </w:r>
      <w:r w:rsidRPr="00393943">
        <w:rPr>
          <w:rFonts w:ascii="Verdana" w:hAnsi="Verdana"/>
          <w:shd w:val="clear" w:color="auto" w:fill="FFFFFF"/>
        </w:rPr>
        <w:t xml:space="preserve"> </w:t>
      </w:r>
      <w:r w:rsidRPr="00393943">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52C8CCC0" w14:textId="77777777" w:rsidR="00E60C35" w:rsidRPr="00393943" w:rsidRDefault="00E60C35" w:rsidP="00E60C35">
      <w:pPr>
        <w:spacing w:after="120" w:line="276" w:lineRule="auto"/>
        <w:ind w:firstLine="709"/>
        <w:jc w:val="both"/>
        <w:rPr>
          <w:rFonts w:ascii="Verdana" w:hAnsi="Verdana" w:cs="Arial"/>
          <w:noProof/>
        </w:rPr>
      </w:pPr>
      <w:r>
        <w:rPr>
          <w:rFonts w:ascii="Verdana" w:hAnsi="Verdana"/>
          <w:lang w:val="es-ES"/>
        </w:rPr>
        <w:t>Como se explica en los conceptos citados en el párrafo precedente</w:t>
      </w:r>
      <w:r w:rsidRPr="00393943">
        <w:rPr>
          <w:rFonts w:ascii="Verdana" w:eastAsia="Calibri" w:hAnsi="Verdana" w:cs="Arial"/>
          <w:color w:val="000000"/>
          <w:lang w:val="es-ES" w:eastAsia="es-ES"/>
        </w:rPr>
        <w:t xml:space="preserve">, </w:t>
      </w:r>
      <w:r w:rsidRPr="00393943">
        <w:rPr>
          <w:rFonts w:ascii="Verdana" w:hAnsi="Verdana" w:cs="Arial"/>
          <w:noProof/>
        </w:rPr>
        <w:t>el Título IV, Capítulo I,</w:t>
      </w:r>
      <w:r>
        <w:rPr>
          <w:rFonts w:ascii="Verdana" w:hAnsi="Verdana" w:cs="Arial"/>
          <w:noProof/>
        </w:rPr>
        <w:t xml:space="preserve"> de</w:t>
      </w:r>
      <w:r w:rsidRPr="00393943">
        <w:rPr>
          <w:rFonts w:ascii="Verdana" w:hAnsi="Verdana" w:cs="Arial"/>
          <w:noProof/>
        </w:rPr>
        <w:t xml:space="preserve">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w:t>
      </w:r>
      <w:r>
        <w:rPr>
          <w:rFonts w:ascii="Verdana" w:hAnsi="Verdana" w:cs="Arial"/>
          <w:noProof/>
        </w:rPr>
        <w:t xml:space="preserve">la </w:t>
      </w:r>
      <w:r w:rsidRPr="00393943">
        <w:rPr>
          <w:rFonts w:ascii="Verdana" w:hAnsi="Verdana" w:cs="Arial"/>
          <w:noProof/>
        </w:rPr>
        <w:t xml:space="preserve">formulación y presentación de los proyectos de inversión –artículo 33–, </w:t>
      </w:r>
      <w:r>
        <w:rPr>
          <w:rFonts w:ascii="Verdana" w:hAnsi="Verdana" w:cs="Arial"/>
          <w:noProof/>
        </w:rPr>
        <w:t xml:space="preserve">la </w:t>
      </w:r>
      <w:r w:rsidRPr="00393943">
        <w:rPr>
          <w:rFonts w:ascii="Verdana" w:hAnsi="Verdana" w:cs="Arial"/>
          <w:noProof/>
        </w:rPr>
        <w:t xml:space="preserve">viabilidad de los proyectos de inversión–artículo 34–, </w:t>
      </w:r>
      <w:r>
        <w:rPr>
          <w:rFonts w:ascii="Verdana" w:hAnsi="Verdana" w:cs="Arial"/>
          <w:noProof/>
        </w:rPr>
        <w:t xml:space="preserve">la </w:t>
      </w:r>
      <w:r w:rsidRPr="00393943">
        <w:rPr>
          <w:rFonts w:ascii="Verdana" w:hAnsi="Verdana" w:cs="Arial"/>
          <w:noProof/>
        </w:rPr>
        <w:t xml:space="preserve">priorización y aprobación de los proyectos de inversión de la asignación para la inversión regional –artículo 35–, </w:t>
      </w:r>
      <w:r>
        <w:rPr>
          <w:rFonts w:ascii="Verdana" w:hAnsi="Verdana" w:cs="Arial"/>
          <w:noProof/>
        </w:rPr>
        <w:t xml:space="preserve">la </w:t>
      </w:r>
      <w:r w:rsidRPr="00393943">
        <w:rPr>
          <w:rFonts w:ascii="Verdana" w:hAnsi="Verdana" w:cs="Arial"/>
          <w:noProof/>
        </w:rPr>
        <w:t>priorización y aprobación de proyectos de inversión para las asignaciones directas y asignación para la inversión local –artículo 36–, así como la ejecución de proyectos de inversión –artículo 37–.</w:t>
      </w:r>
    </w:p>
    <w:p w14:paraId="7C63CBB2" w14:textId="77777777" w:rsidR="00E60C35" w:rsidRPr="00393943" w:rsidRDefault="00E60C35" w:rsidP="00E60C35">
      <w:pPr>
        <w:spacing w:after="120" w:line="276" w:lineRule="auto"/>
        <w:ind w:firstLine="709"/>
        <w:jc w:val="both"/>
        <w:rPr>
          <w:rFonts w:ascii="Verdana" w:hAnsi="Verdana" w:cs="Arial"/>
        </w:rPr>
      </w:pPr>
      <w:r w:rsidRPr="00393943">
        <w:rPr>
          <w:rFonts w:ascii="Verdana" w:hAnsi="Verdana" w:cs="Arial"/>
          <w:noProof/>
        </w:rPr>
        <w:t xml:space="preserve">Particularmente, el artículo 37 </w:t>
      </w:r>
      <w:r w:rsidRPr="00393943">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393943">
        <w:rPr>
          <w:rFonts w:ascii="Verdana" w:hAnsi="Verdana" w:cs="Arial"/>
          <w:i/>
          <w:iCs/>
        </w:rPr>
        <w:t>ibidem</w:t>
      </w:r>
      <w:r w:rsidRPr="00393943">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393943">
        <w:rPr>
          <w:rFonts w:ascii="Verdana" w:hAnsi="Verdana" w:cs="Arial"/>
        </w:rPr>
        <w:t>los mismos</w:t>
      </w:r>
      <w:proofErr w:type="gramEnd"/>
      <w:r w:rsidRPr="00393943">
        <w:rPr>
          <w:rFonts w:ascii="Verdana" w:hAnsi="Verdana" w:cs="Arial"/>
        </w:rPr>
        <w:t xml:space="preserve">, sin perjuicio de las acciones de control a las que haya lugar. </w:t>
      </w:r>
    </w:p>
    <w:p w14:paraId="1B8A65BA" w14:textId="77777777" w:rsidR="00E60C35" w:rsidRPr="00393943" w:rsidRDefault="00E60C35" w:rsidP="00E60C35">
      <w:pPr>
        <w:spacing w:after="120" w:line="276" w:lineRule="auto"/>
        <w:ind w:firstLine="709"/>
        <w:jc w:val="both"/>
        <w:rPr>
          <w:rFonts w:ascii="Verdana" w:hAnsi="Verdana" w:cs="Arial"/>
        </w:rPr>
      </w:pPr>
      <w:r w:rsidRPr="00393943">
        <w:rPr>
          <w:rFonts w:ascii="Verdana" w:hAnsi="Verdana" w:cs="Arial"/>
        </w:rPr>
        <w:lastRenderedPageBreak/>
        <w:t xml:space="preserve">El parágrafo primero del artículo 37 </w:t>
      </w:r>
      <w:r w:rsidRPr="42E92A9E">
        <w:rPr>
          <w:rFonts w:ascii="Verdana" w:hAnsi="Verdana" w:cs="Arial"/>
          <w:i/>
          <w:iCs/>
        </w:rPr>
        <w:t>ibidem</w:t>
      </w:r>
      <w:r w:rsidRPr="00393943">
        <w:rPr>
          <w:rFonts w:ascii="Verdana" w:hAnsi="Verdana" w:cs="Arial"/>
        </w:rPr>
        <w:t xml:space="preserve"> dispone lo siguiente: “La ejecución de proyectos de que trata este artículo, se adelantará, con estricta sujeción al régimen presupuestal definido en esta ley, </w:t>
      </w:r>
      <w:r w:rsidRPr="00A1541B">
        <w:rPr>
          <w:rFonts w:ascii="Verdana" w:hAnsi="Verdana" w:cs="Arial"/>
          <w:i/>
          <w:iCs/>
        </w:rPr>
        <w:t>al de contratación pública</w:t>
      </w:r>
      <w:r w:rsidRPr="00393943">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393943">
        <w:rPr>
          <w:rFonts w:ascii="Verdana" w:hAnsi="Verdana" w:cs="Arial"/>
          <w:vertAlign w:val="superscript"/>
        </w:rPr>
        <w:footnoteReference w:id="1"/>
      </w:r>
      <w:r>
        <w:rPr>
          <w:rFonts w:ascii="Verdana" w:hAnsi="Verdana" w:cs="Arial"/>
        </w:rPr>
        <w:t xml:space="preserve"> (Énfasis fuera de texto)</w:t>
      </w:r>
      <w:r w:rsidRPr="00393943">
        <w:rPr>
          <w:rFonts w:ascii="Verdana" w:hAnsi="Verdana" w:cs="Arial"/>
        </w:rPr>
        <w:t>.</w:t>
      </w:r>
      <w:r w:rsidRPr="00393943">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276D4000" w14:textId="77777777" w:rsidR="00E60C35" w:rsidRPr="00393943" w:rsidRDefault="00E60C35" w:rsidP="00E60C35">
      <w:pPr>
        <w:spacing w:after="120" w:line="276" w:lineRule="auto"/>
        <w:ind w:firstLine="709"/>
        <w:jc w:val="both"/>
        <w:rPr>
          <w:rFonts w:ascii="Verdana" w:hAnsi="Verdana" w:cs="Arial"/>
          <w:bdr w:val="none" w:sz="0" w:space="0" w:color="auto" w:frame="1"/>
        </w:rPr>
      </w:pPr>
      <w:r w:rsidRPr="00393943">
        <w:rPr>
          <w:rFonts w:ascii="Verdana" w:hAnsi="Verdana" w:cs="Arial"/>
        </w:rPr>
        <w:lastRenderedPageBreak/>
        <w:t xml:space="preserve">Por tanto, en caso de que se realicen proyectos de inversión en el marco del Sistema General de Regalías, como también aquellos proyectos especiales referenciados </w:t>
      </w:r>
      <w:r w:rsidRPr="00393943">
        <w:rPr>
          <w:rFonts w:ascii="Verdana" w:hAnsi="Verdana" w:cs="Arial"/>
          <w:i/>
          <w:iCs/>
        </w:rPr>
        <w:t>ut supra</w:t>
      </w:r>
      <w:r w:rsidRPr="00393943">
        <w:rPr>
          <w:rFonts w:ascii="Verdana" w:hAnsi="Verdana" w:cs="Arial"/>
        </w:rPr>
        <w:t>, los ejecutores designados para desarrollarlos deben sujetarse al Estatuto General de Contratación de la Administración Pública</w:t>
      </w:r>
      <w:r w:rsidRPr="00393943">
        <w:rPr>
          <w:rFonts w:ascii="Verdana" w:eastAsia="Calibri" w:hAnsi="Verdana" w:cs="Arial"/>
        </w:rPr>
        <w:t>.</w:t>
      </w:r>
      <w:r w:rsidRPr="00393943">
        <w:rPr>
          <w:rFonts w:ascii="Verdana" w:hAnsi="Verdana" w:cs="Arial"/>
        </w:rPr>
        <w:t xml:space="preserve"> </w:t>
      </w:r>
      <w:r w:rsidRPr="00393943">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253D1904" w14:textId="77777777" w:rsidR="00E60C35" w:rsidRPr="00393943" w:rsidRDefault="00E60C35" w:rsidP="00E60C35">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33F58033" w14:textId="77777777" w:rsidR="00E60C35" w:rsidRPr="00393943" w:rsidRDefault="00E60C35" w:rsidP="00E60C35">
      <w:pPr>
        <w:spacing w:after="120" w:line="276" w:lineRule="auto"/>
        <w:ind w:firstLine="709"/>
        <w:jc w:val="both"/>
        <w:rPr>
          <w:rFonts w:ascii="Verdana" w:eastAsia="Calibri" w:hAnsi="Verdana" w:cs="Arial"/>
        </w:rPr>
      </w:pPr>
      <w:r w:rsidRPr="00393943">
        <w:rPr>
          <w:rFonts w:ascii="Verdana" w:eastAsia="Calibri" w:hAnsi="Verdana" w:cs="Arial"/>
        </w:rPr>
        <w:t xml:space="preserve">En este contexto, la ANCP – CCE si bien reconoce el régimen de contratación especial de entidades tales como universidades públicas, fondos mixtos, entre otras,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6C4404E2"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rPr>
        <w:t xml:space="preserve">De acuerdo con esta interpretación, esta Subdirección considera que el </w:t>
      </w:r>
      <w:r w:rsidRPr="00393943">
        <w:rPr>
          <w:rFonts w:ascii="Verdana" w:eastAsia="Calibri" w:hAnsi="Verdana" w:cs="Arial"/>
          <w:color w:val="000000" w:themeColor="text1"/>
          <w:lang w:eastAsia="es-ES"/>
        </w:rPr>
        <w:t xml:space="preserve">parágrafo primero del artículo 37 de la Ley 2056 de 2020 incorpora una remisión normativa expresa y categórica al régimen de contratación pública, es decir, a las reglas contenidas principalmente en la Ley 80 de 1993 y sus normas complementarias </w:t>
      </w:r>
      <w:r>
        <w:rPr>
          <w:rFonts w:ascii="Verdana" w:eastAsia="Calibri" w:hAnsi="Verdana" w:cs="Arial"/>
          <w:color w:val="000000" w:themeColor="text1"/>
          <w:lang w:eastAsia="es-ES"/>
        </w:rPr>
        <w:t>–</w:t>
      </w:r>
      <w:r w:rsidRPr="00393943">
        <w:rPr>
          <w:rFonts w:ascii="Verdana" w:eastAsia="Calibri" w:hAnsi="Verdana" w:cs="Arial"/>
          <w:color w:val="000000" w:themeColor="text1"/>
          <w:lang w:eastAsia="es-ES"/>
        </w:rPr>
        <w:t>Ley 1150 de 2007, Decreto 1082 de 2015, entre otras</w:t>
      </w:r>
      <w:r>
        <w:rPr>
          <w:rFonts w:ascii="Verdana" w:eastAsia="Calibri" w:hAnsi="Verdana" w:cs="Arial"/>
          <w:color w:val="000000" w:themeColor="text1"/>
          <w:lang w:eastAsia="es-ES"/>
        </w:rPr>
        <w:t>–</w:t>
      </w:r>
      <w:r w:rsidRPr="00393943">
        <w:rPr>
          <w:rFonts w:ascii="Verdana" w:eastAsia="Calibri" w:hAnsi="Verdana" w:cs="Arial"/>
          <w:color w:val="000000" w:themeColor="text1"/>
          <w:lang w:eastAsia="es-ES"/>
        </w:rPr>
        <w:t>. Además, el uso de la expresión “estricta sujeción” refuerza la intención del legislador de conferir un carácter obligatorio a dicha remisión.</w:t>
      </w:r>
    </w:p>
    <w:p w14:paraId="087C4293"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w:t>
      </w:r>
      <w:r w:rsidRPr="00393943">
        <w:rPr>
          <w:rFonts w:ascii="Verdana" w:eastAsia="Calibri" w:hAnsi="Verdana" w:cs="Arial"/>
          <w:color w:val="000000" w:themeColor="text1"/>
          <w:lang w:eastAsia="es-ES"/>
        </w:rPr>
        <w:lastRenderedPageBreak/>
        <w:t xml:space="preserve">transparencia y eficiencia configurando un marco jurídico específico que se activa por el uso de los recursos de regalías, lo que excluye la aplicación de regímenes especiales. </w:t>
      </w:r>
    </w:p>
    <w:p w14:paraId="2212A73E"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como son los artículos 84</w:t>
      </w:r>
      <w:r w:rsidRPr="00393943">
        <w:rPr>
          <w:rFonts w:ascii="Verdana" w:eastAsia="Calibri" w:hAnsi="Verdana" w:cs="Arial"/>
          <w:color w:val="000000" w:themeColor="text1"/>
          <w:vertAlign w:val="superscript"/>
          <w:lang w:eastAsia="es-ES"/>
        </w:rPr>
        <w:footnoteReference w:id="2"/>
      </w:r>
      <w:r w:rsidRPr="00393943">
        <w:rPr>
          <w:rFonts w:ascii="Verdana" w:eastAsia="Calibri" w:hAnsi="Verdana" w:cs="Arial"/>
          <w:color w:val="000000" w:themeColor="text1"/>
          <w:lang w:eastAsia="es-ES"/>
        </w:rPr>
        <w:t>, 98</w:t>
      </w:r>
      <w:r w:rsidRPr="00393943">
        <w:rPr>
          <w:rFonts w:ascii="Verdana" w:eastAsia="Calibri" w:hAnsi="Verdana" w:cs="Arial"/>
          <w:color w:val="000000" w:themeColor="text1"/>
          <w:vertAlign w:val="superscript"/>
          <w:lang w:eastAsia="es-ES"/>
        </w:rPr>
        <w:footnoteReference w:id="3"/>
      </w:r>
      <w:r w:rsidRPr="00393943">
        <w:rPr>
          <w:rFonts w:ascii="Verdana" w:eastAsia="Calibri" w:hAnsi="Verdana" w:cs="Arial"/>
          <w:color w:val="000000" w:themeColor="text1"/>
          <w:lang w:eastAsia="es-ES"/>
        </w:rPr>
        <w:t>, 99</w:t>
      </w:r>
      <w:r w:rsidRPr="00393943">
        <w:rPr>
          <w:rFonts w:ascii="Verdana" w:eastAsia="Calibri" w:hAnsi="Verdana" w:cs="Arial"/>
          <w:color w:val="000000" w:themeColor="text1"/>
          <w:vertAlign w:val="superscript"/>
          <w:lang w:eastAsia="es-ES"/>
        </w:rPr>
        <w:footnoteReference w:id="4"/>
      </w:r>
      <w:r w:rsidRPr="00393943">
        <w:rPr>
          <w:rFonts w:ascii="Verdana" w:eastAsia="Calibri" w:hAnsi="Verdana" w:cs="Arial"/>
          <w:color w:val="000000" w:themeColor="text1"/>
          <w:lang w:eastAsia="es-ES"/>
        </w:rPr>
        <w:t>, 108</w:t>
      </w:r>
      <w:r w:rsidRPr="00393943">
        <w:rPr>
          <w:rFonts w:ascii="Verdana" w:eastAsia="Calibri" w:hAnsi="Verdana" w:cs="Arial"/>
          <w:color w:val="000000" w:themeColor="text1"/>
          <w:vertAlign w:val="superscript"/>
          <w:lang w:eastAsia="es-ES"/>
        </w:rPr>
        <w:footnoteReference w:id="5"/>
      </w:r>
      <w:r w:rsidRPr="00393943">
        <w:rPr>
          <w:rFonts w:ascii="Verdana" w:eastAsia="Calibri" w:hAnsi="Verdana" w:cs="Arial"/>
          <w:color w:val="000000" w:themeColor="text1"/>
          <w:lang w:eastAsia="es-ES"/>
        </w:rPr>
        <w:t xml:space="preserve"> y 109</w:t>
      </w:r>
      <w:r w:rsidRPr="00393943">
        <w:rPr>
          <w:rFonts w:ascii="Verdana" w:eastAsia="Calibri" w:hAnsi="Verdana" w:cs="Arial"/>
          <w:color w:val="000000" w:themeColor="text1"/>
          <w:vertAlign w:val="superscript"/>
          <w:lang w:eastAsia="es-ES"/>
        </w:rPr>
        <w:footnoteReference w:id="6"/>
      </w:r>
      <w:r w:rsidRPr="00393943">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40A6C4F3"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58DE666F"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lastRenderedPageBreak/>
        <w:t xml:space="preserve">Aunado a lo anterior, el parágrafo 1 del artículo 37 de la Ley 2056 de 2020 no distingue sobre el tipo de régimen de contratación aplicable a las entidades ejecutoras de los recursos del SGR, </w:t>
      </w:r>
      <w:r>
        <w:rPr>
          <w:rFonts w:ascii="Verdana" w:eastAsia="Calibri" w:hAnsi="Verdana" w:cs="Arial"/>
          <w:color w:val="000000" w:themeColor="text1"/>
          <w:lang w:eastAsia="es-ES"/>
        </w:rPr>
        <w:t>pero</w:t>
      </w:r>
      <w:r w:rsidRPr="00393943">
        <w:rPr>
          <w:rFonts w:ascii="Verdana" w:eastAsia="Calibri" w:hAnsi="Verdana" w:cs="Arial"/>
          <w:color w:val="000000" w:themeColor="text1"/>
          <w:lang w:eastAsia="es-ES"/>
        </w:rPr>
        <w:t xml:space="preserve"> s</w:t>
      </w:r>
      <w:r>
        <w:rPr>
          <w:rFonts w:ascii="Verdana" w:eastAsia="Calibri" w:hAnsi="Verdana" w:cs="Arial"/>
          <w:color w:val="000000" w:themeColor="text1"/>
          <w:lang w:eastAsia="es-ES"/>
        </w:rPr>
        <w:t>í</w:t>
      </w:r>
      <w:r w:rsidRPr="00393943">
        <w:rPr>
          <w:rFonts w:ascii="Verdana" w:eastAsia="Calibri" w:hAnsi="Verdana" w:cs="Arial"/>
          <w:color w:val="000000" w:themeColor="text1"/>
          <w:lang w:eastAsia="es-ES"/>
        </w:rPr>
        <w:t xml:space="preserve"> realiza la remisión expresa al EGCAP. Por tanto, en desarrollo del principio general de interpretación jurídica según el cual </w:t>
      </w:r>
      <w:r w:rsidRPr="00393943">
        <w:rPr>
          <w:rFonts w:ascii="Verdana" w:eastAsia="Calibri" w:hAnsi="Verdana" w:cs="Arial"/>
          <w:i/>
          <w:iCs/>
          <w:color w:val="000000" w:themeColor="text1"/>
          <w:lang w:eastAsia="es-ES"/>
        </w:rPr>
        <w:t>donde la norma no distingue, no le corresponde distinguir al intérprete,</w:t>
      </w:r>
      <w:r w:rsidRPr="00393943">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393943">
        <w:t xml:space="preserve"> </w:t>
      </w:r>
      <w:r w:rsidRPr="00393943">
        <w:rPr>
          <w:rFonts w:ascii="Verdana" w:eastAsia="Calibri" w:hAnsi="Verdana" w:cs="Arial"/>
          <w:color w:val="000000" w:themeColor="text1"/>
          <w:lang w:eastAsia="es-ES"/>
        </w:rPr>
        <w:t xml:space="preserve">la eficiencia, transparencia y responsabilidad en la gestión del gasto público.  </w:t>
      </w:r>
    </w:p>
    <w:p w14:paraId="670C8717"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En este sentido, con base en la lectura literal y sistemática de las disposiciones contenidas en la Ley 2056 de 2020, así como la aplicación de principios generales del derecho, se colige que la remisión al EGCAP consagra</w:t>
      </w:r>
      <w:r>
        <w:rPr>
          <w:rFonts w:ascii="Verdana" w:eastAsia="Calibri" w:hAnsi="Verdana" w:cs="Arial"/>
          <w:color w:val="000000" w:themeColor="text1"/>
          <w:lang w:eastAsia="es-ES"/>
        </w:rPr>
        <w:t>da</w:t>
      </w:r>
      <w:r w:rsidRPr="00393943">
        <w:rPr>
          <w:rFonts w:ascii="Verdana" w:eastAsia="Calibri" w:hAnsi="Verdana" w:cs="Arial"/>
          <w:color w:val="000000" w:themeColor="text1"/>
          <w:lang w:eastAsia="es-ES"/>
        </w:rPr>
        <w:t xml:space="preserve">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66A7643B"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Adicionalmente, resulta pertinente indicar que </w:t>
      </w:r>
      <w:r w:rsidRPr="00FB6807">
        <w:rPr>
          <w:rFonts w:ascii="Verdana" w:eastAsia="Calibri" w:hAnsi="Verdana" w:cs="Arial"/>
          <w:color w:val="000000" w:themeColor="text1"/>
          <w:lang w:eastAsia="es-ES"/>
        </w:rPr>
        <w:t xml:space="preserve">la referencia que estas normas hacen a </w:t>
      </w:r>
      <w:r w:rsidRPr="00393943">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w:t>
      </w:r>
      <w:r w:rsidRPr="00393943">
        <w:rPr>
          <w:rFonts w:ascii="Verdana" w:eastAsia="Calibri" w:hAnsi="Verdana" w:cs="Arial"/>
          <w:color w:val="000000" w:themeColor="text1"/>
          <w:lang w:eastAsia="es-ES"/>
        </w:rPr>
        <w:t>las demás normas legales aplicables</w:t>
      </w:r>
      <w:r>
        <w:rPr>
          <w:rFonts w:ascii="Verdana" w:eastAsia="Calibri" w:hAnsi="Verdana" w:cs="Arial"/>
          <w:color w:val="000000" w:themeColor="text1"/>
          <w:lang w:eastAsia="es-ES"/>
        </w:rPr>
        <w:t xml:space="preserve"> […]</w:t>
      </w:r>
      <w:r w:rsidRPr="00393943">
        <w:rPr>
          <w:rFonts w:ascii="Verdana" w:eastAsia="Calibri" w:hAnsi="Verdana" w:cs="Arial"/>
          <w:color w:val="000000" w:themeColor="text1"/>
          <w:lang w:eastAsia="es-ES"/>
        </w:rPr>
        <w:t>”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w:t>
      </w:r>
      <w:r>
        <w:rPr>
          <w:rFonts w:ascii="Verdana" w:eastAsia="Calibri" w:hAnsi="Verdana" w:cs="Arial"/>
          <w:color w:val="000000" w:themeColor="text1"/>
          <w:lang w:eastAsia="es-ES"/>
        </w:rPr>
        <w:t xml:space="preserve"> </w:t>
      </w:r>
      <w:r w:rsidRPr="00393943">
        <w:rPr>
          <w:rFonts w:ascii="Verdana" w:eastAsia="Calibri" w:hAnsi="Verdana" w:cs="Arial"/>
          <w:color w:val="000000" w:themeColor="text1"/>
          <w:lang w:eastAsia="es-ES"/>
        </w:rPr>
        <w:t>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3EBD1455"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 lo anterior debe agregarse que en este marco también cobra relevancia el principio de hermenéutica jurídica del efecto útil de las normas, conforme al cual “debe preferir la interpretación que permita dotarlas de sentido y eficacia, </w:t>
      </w:r>
      <w:r w:rsidRPr="00393943">
        <w:rPr>
          <w:rFonts w:ascii="Verdana" w:eastAsia="Calibri" w:hAnsi="Verdana" w:cs="Arial"/>
          <w:color w:val="000000" w:themeColor="text1"/>
          <w:lang w:eastAsia="es-ES"/>
        </w:rPr>
        <w:lastRenderedPageBreak/>
        <w:t>frente a otra u otras que lo impidan”</w:t>
      </w:r>
      <w:r w:rsidRPr="00393943">
        <w:rPr>
          <w:rFonts w:ascii="Verdana" w:eastAsia="Calibri" w:hAnsi="Verdana" w:cs="Arial"/>
          <w:color w:val="000000" w:themeColor="text1"/>
          <w:vertAlign w:val="superscript"/>
          <w:lang w:eastAsia="es-ES"/>
        </w:rPr>
        <w:footnoteReference w:id="7"/>
      </w:r>
      <w:r w:rsidRPr="00393943">
        <w:rPr>
          <w:rFonts w:ascii="Verdana" w:eastAsia="Calibri" w:hAnsi="Verdana" w:cs="Arial"/>
          <w:color w:val="000000" w:themeColor="text1"/>
          <w:lang w:eastAsia="es-ES"/>
        </w:rPr>
        <w:t>,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393943">
        <w:rPr>
          <w:rFonts w:ascii="Verdana" w:eastAsia="Calibri" w:hAnsi="Verdana" w:cs="Arial"/>
          <w:color w:val="000000" w:themeColor="text1"/>
          <w:vertAlign w:val="superscript"/>
          <w:lang w:eastAsia="es-ES"/>
        </w:rPr>
        <w:footnoteReference w:id="8"/>
      </w:r>
      <w:r w:rsidRPr="00393943">
        <w:rPr>
          <w:rFonts w:ascii="Verdana" w:eastAsia="Calibri" w:hAnsi="Verdana" w:cs="Arial"/>
          <w:color w:val="000000" w:themeColor="text1"/>
          <w:lang w:eastAsia="es-ES"/>
        </w:rPr>
        <w:t>.</w:t>
      </w:r>
    </w:p>
    <w:p w14:paraId="76C1E61B"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De acuerdo con lo señalado, el legislador optó claramente por un criterio funcional o finalista, según el cual el régimen de contratación aplicable se determina por el origen de los recursos públicos</w:t>
      </w:r>
      <w:r>
        <w:rPr>
          <w:rFonts w:ascii="Verdana" w:eastAsia="Calibri" w:hAnsi="Verdana" w:cs="Arial"/>
          <w:color w:val="000000" w:themeColor="text1"/>
          <w:lang w:eastAsia="es-ES"/>
        </w:rPr>
        <w:t>,</w:t>
      </w:r>
      <w:r w:rsidRPr="00393943">
        <w:rPr>
          <w:rFonts w:ascii="Verdana" w:eastAsia="Calibri" w:hAnsi="Verdana" w:cs="Arial"/>
          <w:color w:val="000000" w:themeColor="text1"/>
          <w:lang w:eastAsia="es-ES"/>
        </w:rPr>
        <w:t xml:space="preserve">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07A582DD"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Incluso, dicha posición es asumida por la Sala de Consulta y Servicio Civil del Consejo de Estado, pues en Concepto 2563 del 25 de junio de 2026 –con ponencia de la </w:t>
      </w:r>
      <w:proofErr w:type="gramStart"/>
      <w:r>
        <w:rPr>
          <w:rFonts w:ascii="Verdana" w:eastAsia="Calibri" w:hAnsi="Verdana" w:cs="Arial"/>
          <w:color w:val="000000" w:themeColor="text1"/>
          <w:lang w:eastAsia="es-ES"/>
        </w:rPr>
        <w:t>Consejera</w:t>
      </w:r>
      <w:proofErr w:type="gramEnd"/>
      <w:r>
        <w:rPr>
          <w:rFonts w:ascii="Verdana" w:eastAsia="Calibri" w:hAnsi="Verdana" w:cs="Arial"/>
          <w:color w:val="000000" w:themeColor="text1"/>
          <w:lang w:eastAsia="es-ES"/>
        </w:rPr>
        <w:t xml:space="preserve"> </w:t>
      </w:r>
      <w:r w:rsidRPr="00C9781B">
        <w:rPr>
          <w:rFonts w:ascii="Verdana" w:eastAsia="Calibri" w:hAnsi="Verdana" w:cs="Arial"/>
          <w:color w:val="000000" w:themeColor="text1"/>
          <w:lang w:eastAsia="es-ES"/>
        </w:rPr>
        <w:t>María del Pilar Bahamón Falla</w:t>
      </w:r>
      <w:r>
        <w:rPr>
          <w:rFonts w:ascii="Verdana" w:eastAsia="Calibri" w:hAnsi="Verdana" w:cs="Arial"/>
          <w:color w:val="000000" w:themeColor="text1"/>
          <w:lang w:eastAsia="es-ES"/>
        </w:rPr>
        <w:t>– estima que:</w:t>
      </w:r>
    </w:p>
    <w:p w14:paraId="7399FEDF" w14:textId="77777777" w:rsidR="00E60C35" w:rsidRDefault="00E60C35" w:rsidP="00E60C35">
      <w:pPr>
        <w:spacing w:after="0" w:line="276" w:lineRule="auto"/>
        <w:jc w:val="both"/>
        <w:rPr>
          <w:rFonts w:ascii="Verdana" w:eastAsia="Calibri" w:hAnsi="Verdana" w:cs="Arial"/>
          <w:color w:val="000000" w:themeColor="text1"/>
          <w:lang w:eastAsia="es-ES"/>
        </w:rPr>
      </w:pPr>
    </w:p>
    <w:p w14:paraId="75D39FC1" w14:textId="77777777" w:rsidR="00E60C35" w:rsidRPr="007F5444" w:rsidRDefault="00E60C35" w:rsidP="00E60C35">
      <w:pPr>
        <w:spacing w:after="120" w:line="240" w:lineRule="auto"/>
        <w:ind w:left="709" w:right="709"/>
        <w:jc w:val="both"/>
        <w:rPr>
          <w:rFonts w:ascii="Verdana" w:eastAsia="Calibri" w:hAnsi="Verdana" w:cs="Arial"/>
          <w:color w:val="000000" w:themeColor="text1"/>
          <w:sz w:val="20"/>
          <w:szCs w:val="20"/>
          <w:lang w:eastAsia="es-ES"/>
        </w:rPr>
      </w:pPr>
      <w:r w:rsidRPr="007F5444">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w:t>
      </w:r>
      <w:r w:rsidRPr="007F5444">
        <w:rPr>
          <w:rFonts w:ascii="Verdana" w:eastAsia="Calibri" w:hAnsi="Verdana" w:cs="Arial"/>
          <w:color w:val="000000" w:themeColor="text1"/>
          <w:sz w:val="20"/>
          <w:szCs w:val="20"/>
          <w:lang w:eastAsia="es-ES"/>
        </w:rPr>
        <w:lastRenderedPageBreak/>
        <w:t xml:space="preserve">formulación, viabilidad, registro, priorización, aprobación, ejecución, seguimiento, evaluación y control. </w:t>
      </w:r>
    </w:p>
    <w:p w14:paraId="52A49AEF" w14:textId="77777777" w:rsidR="00E60C35" w:rsidRPr="007F5444" w:rsidRDefault="00E60C35" w:rsidP="00E60C35">
      <w:pPr>
        <w:spacing w:after="120" w:line="240" w:lineRule="auto"/>
        <w:ind w:left="709" w:right="709"/>
        <w:jc w:val="both"/>
        <w:rPr>
          <w:rFonts w:ascii="Verdana" w:eastAsia="Calibri" w:hAnsi="Verdana" w:cs="Arial"/>
          <w:color w:val="000000" w:themeColor="text1"/>
          <w:sz w:val="20"/>
          <w:szCs w:val="20"/>
          <w:lang w:eastAsia="es-ES"/>
        </w:rPr>
      </w:pPr>
      <w:r w:rsidRPr="007F5444">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0FD8AB5A" w14:textId="77777777" w:rsidR="00E60C35" w:rsidRPr="007F5444" w:rsidRDefault="00E60C35" w:rsidP="00E60C35">
      <w:pPr>
        <w:spacing w:after="120" w:line="240" w:lineRule="auto"/>
        <w:ind w:left="709" w:right="709"/>
        <w:jc w:val="both"/>
        <w:rPr>
          <w:rFonts w:ascii="Verdana" w:eastAsia="Calibri" w:hAnsi="Verdana" w:cs="Arial"/>
          <w:color w:val="000000" w:themeColor="text1"/>
          <w:sz w:val="20"/>
          <w:szCs w:val="20"/>
          <w:lang w:eastAsia="es-ES"/>
        </w:rPr>
      </w:pPr>
      <w:r w:rsidRPr="007F5444">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w:t>
      </w:r>
    </w:p>
    <w:p w14:paraId="06325E16" w14:textId="77777777" w:rsidR="00E60C35" w:rsidRPr="007F5444" w:rsidRDefault="00E60C35" w:rsidP="00E60C35">
      <w:pPr>
        <w:spacing w:after="120" w:line="240" w:lineRule="auto"/>
        <w:ind w:left="709" w:right="709"/>
        <w:jc w:val="both"/>
        <w:rPr>
          <w:rFonts w:ascii="Verdana" w:eastAsia="Calibri" w:hAnsi="Verdana" w:cs="Arial"/>
          <w:color w:val="000000" w:themeColor="text1"/>
          <w:sz w:val="20"/>
          <w:szCs w:val="20"/>
          <w:lang w:eastAsia="es-ES"/>
        </w:rPr>
      </w:pPr>
      <w:r w:rsidRPr="007F5444">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555022EB" w14:textId="77777777" w:rsidR="00E60C35" w:rsidRPr="007F5444" w:rsidRDefault="00E60C35" w:rsidP="00E60C35">
      <w:pPr>
        <w:spacing w:after="120" w:line="240" w:lineRule="auto"/>
        <w:ind w:left="709" w:right="709"/>
        <w:jc w:val="both"/>
        <w:rPr>
          <w:rFonts w:ascii="Verdana" w:eastAsia="Calibri" w:hAnsi="Verdana" w:cs="Arial"/>
          <w:color w:val="000000" w:themeColor="text1"/>
          <w:sz w:val="20"/>
          <w:szCs w:val="20"/>
          <w:lang w:eastAsia="es-ES"/>
        </w:rPr>
      </w:pPr>
      <w:r w:rsidRPr="007F5444">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7E5882A9" w14:textId="77777777" w:rsidR="00E60C35" w:rsidRDefault="00E60C35" w:rsidP="00E60C35">
      <w:pPr>
        <w:spacing w:after="0" w:line="240" w:lineRule="auto"/>
        <w:ind w:left="709" w:right="709"/>
        <w:jc w:val="both"/>
        <w:rPr>
          <w:rFonts w:ascii="Verdana" w:eastAsia="Calibri" w:hAnsi="Verdana" w:cs="Arial"/>
          <w:color w:val="000000" w:themeColor="text1"/>
          <w:lang w:eastAsia="es-ES"/>
        </w:rPr>
      </w:pPr>
      <w:r w:rsidRPr="007F5444">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24997FD0" w14:textId="77777777" w:rsidR="00E60C35" w:rsidRPr="00393943" w:rsidRDefault="00E60C35" w:rsidP="00E60C35">
      <w:pPr>
        <w:spacing w:after="0" w:line="276" w:lineRule="auto"/>
        <w:ind w:firstLine="709"/>
        <w:jc w:val="both"/>
        <w:rPr>
          <w:rFonts w:ascii="Verdana" w:eastAsia="Calibri" w:hAnsi="Verdana" w:cs="Arial"/>
          <w:color w:val="000000" w:themeColor="text1"/>
          <w:lang w:eastAsia="es-ES"/>
        </w:rPr>
      </w:pPr>
    </w:p>
    <w:p w14:paraId="2FC91020"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w:t>
      </w:r>
      <w:r w:rsidRPr="00040E25">
        <w:rPr>
          <w:rFonts w:ascii="Verdana" w:eastAsia="Calibri" w:hAnsi="Verdana" w:cs="Arial"/>
          <w:color w:val="000000" w:themeColor="text1"/>
          <w:lang w:eastAsia="es-ES"/>
        </w:rPr>
        <w:lastRenderedPageBreak/>
        <w:t xml:space="preserve">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 </w:t>
      </w:r>
    </w:p>
    <w:p w14:paraId="4F7C72FE"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Asimismo</w:t>
      </w:r>
      <w:r w:rsidRPr="00393943">
        <w:rPr>
          <w:rFonts w:ascii="Verdana" w:eastAsia="Calibri" w:hAnsi="Verdana" w:cs="Arial"/>
          <w:color w:val="000000" w:themeColor="text1"/>
          <w:lang w:eastAsia="es-ES"/>
        </w:rPr>
        <w:t xml:space="preserve">, resulta indispensable precisar que la remisión al EGCAP de la ejecución de los proyectos financiados con recursos de regalías no implica una alteración estructural del régimen especial de las entidades ejecutoras ni desconoce las normas que lo regulan. </w:t>
      </w:r>
      <w:r>
        <w:rPr>
          <w:rFonts w:ascii="Verdana" w:eastAsia="Calibri" w:hAnsi="Verdana" w:cs="Arial"/>
          <w:color w:val="000000" w:themeColor="text1"/>
          <w:lang w:eastAsia="es-ES"/>
        </w:rPr>
        <w:t>C</w:t>
      </w:r>
      <w:r w:rsidRPr="00393943">
        <w:rPr>
          <w:rFonts w:ascii="Verdana" w:eastAsia="Calibri" w:hAnsi="Verdana" w:cs="Arial"/>
          <w:color w:val="000000" w:themeColor="text1"/>
          <w:lang w:eastAsia="es-ES"/>
        </w:rPr>
        <w:t xml:space="preserve">omo se ha expuesto, la interpretación literal, sistemática y teleológica de la norma, armonizada con el principio general del </w:t>
      </w:r>
      <w:r w:rsidRPr="00393943">
        <w:rPr>
          <w:rFonts w:ascii="Verdana" w:eastAsia="Calibri" w:hAnsi="Verdana" w:cs="Arial"/>
          <w:i/>
          <w:iCs/>
          <w:color w:val="000000" w:themeColor="text1"/>
          <w:lang w:eastAsia="es-ES"/>
        </w:rPr>
        <w:t>efecto útil</w:t>
      </w:r>
      <w:r w:rsidRPr="00393943">
        <w:rPr>
          <w:rFonts w:ascii="Verdana" w:eastAsia="Calibri" w:hAnsi="Verdana" w:cs="Arial"/>
          <w:color w:val="000000" w:themeColor="text1"/>
          <w:lang w:eastAsia="es-ES"/>
        </w:rPr>
        <w:t>, conduce a concluir que cuando estas entidades actúan en calidad de ejecutoras en el marco de la Ley 2056 de 2020, deben sujetarse al EGCAP. De hecho, así fue expuesto en el Concepto C-504 del 1 de octubre de 2024, en el cual se indicó que ello “</w:t>
      </w:r>
      <w:r>
        <w:rPr>
          <w:rFonts w:ascii="Verdana" w:eastAsia="Calibri" w:hAnsi="Verdana" w:cs="Arial"/>
          <w:color w:val="000000" w:themeColor="text1"/>
          <w:lang w:eastAsia="es-ES"/>
        </w:rPr>
        <w:t xml:space="preserve">[…] </w:t>
      </w:r>
      <w:r w:rsidRPr="00393943">
        <w:rPr>
          <w:rFonts w:ascii="Verdana" w:eastAsia="Calibri" w:hAnsi="Verdana" w:cs="Arial"/>
          <w:color w:val="000000" w:themeColor="text1"/>
          <w:lang w:eastAsia="es-ES"/>
        </w:rPr>
        <w:t xml:space="preserve">no </w:t>
      </w:r>
      <w:r w:rsidRPr="00393943">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74544C2B" w14:textId="77777777" w:rsidR="00E60C35" w:rsidRPr="00393943" w:rsidRDefault="00E60C35" w:rsidP="00E60C35">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60FAFBEA" w14:textId="77777777" w:rsidR="00E60C35" w:rsidRPr="00040E25" w:rsidRDefault="00E60C35" w:rsidP="00E60C3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Sobre el particular, resulta importante destacar lo señalado por la Sala de Consulta y Servicio Civil del Consejo de Estado en el concepto referido: </w:t>
      </w:r>
    </w:p>
    <w:p w14:paraId="179F283C" w14:textId="77777777" w:rsidR="00E60C35" w:rsidRPr="00040E25" w:rsidRDefault="00E60C35" w:rsidP="00E60C35">
      <w:pPr>
        <w:spacing w:after="0" w:line="240" w:lineRule="auto"/>
        <w:ind w:firstLine="709"/>
        <w:jc w:val="both"/>
        <w:rPr>
          <w:rFonts w:ascii="Verdana" w:eastAsia="Calibri" w:hAnsi="Verdana" w:cs="Arial"/>
          <w:color w:val="000000" w:themeColor="text1"/>
          <w:lang w:eastAsia="es-ES"/>
        </w:rPr>
      </w:pPr>
    </w:p>
    <w:p w14:paraId="4FD752AC" w14:textId="77777777" w:rsidR="00E60C35" w:rsidRPr="00040E25" w:rsidRDefault="00E60C35" w:rsidP="00E60C35">
      <w:pPr>
        <w:spacing w:after="120" w:line="240" w:lineRule="auto"/>
        <w:ind w:left="709" w:right="709"/>
        <w:jc w:val="both"/>
        <w:rPr>
          <w:rFonts w:ascii="Verdana" w:eastAsia="Calibri" w:hAnsi="Verdana" w:cs="Arial"/>
          <w:i/>
          <w:iCs/>
          <w:color w:val="000000" w:themeColor="text1"/>
          <w:sz w:val="20"/>
          <w:szCs w:val="20"/>
          <w:lang w:eastAsia="es-ES"/>
        </w:rPr>
      </w:pPr>
      <w:r w:rsidRPr="00040E25">
        <w:rPr>
          <w:rFonts w:ascii="Verdana" w:eastAsia="Calibri" w:hAnsi="Verdana" w:cs="Arial"/>
          <w:color w:val="000000" w:themeColor="text1"/>
          <w:sz w:val="20"/>
          <w:szCs w:val="20"/>
          <w:lang w:eastAsia="es-ES"/>
        </w:rPr>
        <w:lastRenderedPageBreak/>
        <w:t xml:space="preserve">“El Estatuto General de Contratación de la Administración Pública rige los contratos de las entidades estatales, sin perjuicio de la existencia de regímenes especiales autorizados por la Constitución o por la ley. La jurisprudencia constitucional y administrativa citada </w:t>
      </w:r>
      <w:proofErr w:type="gramStart"/>
      <w:r w:rsidRPr="00040E25">
        <w:rPr>
          <w:rFonts w:ascii="Verdana" w:eastAsia="Calibri" w:hAnsi="Verdana" w:cs="Arial"/>
          <w:i/>
          <w:iCs/>
          <w:color w:val="000000" w:themeColor="text1"/>
          <w:sz w:val="20"/>
          <w:szCs w:val="20"/>
          <w:lang w:eastAsia="es-ES"/>
        </w:rPr>
        <w:t>in extenso</w:t>
      </w:r>
      <w:proofErr w:type="gramEnd"/>
      <w:r w:rsidRPr="00040E25">
        <w:rPr>
          <w:rFonts w:ascii="Verdana" w:eastAsia="Calibri" w:hAnsi="Verdana" w:cs="Arial"/>
          <w:color w:val="000000" w:themeColor="text1"/>
          <w:sz w:val="20"/>
          <w:szCs w:val="20"/>
          <w:lang w:eastAsia="es-ES"/>
        </w:rPr>
        <w:t xml:space="preserve"> en este concepto, ha reconocido que ciertos sectores cuentan con un régimen especial, entre ellos las universidades estatales u oficiales, </w:t>
      </w:r>
      <w:r w:rsidRPr="00040E25">
        <w:rPr>
          <w:rFonts w:ascii="Verdana" w:eastAsia="Calibri" w:hAnsi="Verdana" w:cs="Arial"/>
          <w:i/>
          <w:iCs/>
          <w:color w:val="000000" w:themeColor="text1"/>
          <w:sz w:val="20"/>
          <w:szCs w:val="20"/>
          <w:lang w:eastAsia="es-ES"/>
        </w:rPr>
        <w:t>lo cual no implica que la entidad quede blindada frente a cualquier norma especial o posterior que, para una actividad concreta, imponga reglas diferentes.</w:t>
      </w:r>
    </w:p>
    <w:p w14:paraId="128B7843" w14:textId="77777777" w:rsidR="00E60C35" w:rsidRPr="00040E25" w:rsidRDefault="00E60C35" w:rsidP="00E60C35">
      <w:pPr>
        <w:spacing w:after="120" w:line="240" w:lineRule="auto"/>
        <w:ind w:left="709" w:right="709"/>
        <w:jc w:val="both"/>
        <w:rPr>
          <w:rFonts w:ascii="Verdana" w:eastAsia="Calibri" w:hAnsi="Verdana" w:cs="Arial"/>
          <w:color w:val="000000" w:themeColor="text1"/>
          <w:sz w:val="20"/>
          <w:szCs w:val="20"/>
          <w:lang w:eastAsia="es-ES"/>
        </w:rPr>
      </w:pPr>
      <w:r w:rsidRPr="00040E25">
        <w:rPr>
          <w:rFonts w:ascii="Verdana" w:eastAsia="Calibri" w:hAnsi="Verdana" w:cs="Arial"/>
          <w:color w:val="000000" w:themeColor="text1"/>
          <w:sz w:val="20"/>
          <w:szCs w:val="20"/>
          <w:lang w:eastAsia="es-ES"/>
        </w:rPr>
        <w:t>En ese sentido, una entidad puede tener, en su actividad ordinaria, un régimen especial de contratación, y sin embargo quedar sometida al Estatuto General para una materia específica en la que una ley posterior y especial así lo disponga”. (Énfasis pro fuera de texto)</w:t>
      </w:r>
    </w:p>
    <w:p w14:paraId="0B916BC6" w14:textId="77777777" w:rsidR="00E60C35" w:rsidRPr="00040E25" w:rsidRDefault="00E60C35" w:rsidP="00E60C35">
      <w:pPr>
        <w:spacing w:after="0" w:line="276" w:lineRule="auto"/>
        <w:ind w:firstLine="709"/>
        <w:jc w:val="both"/>
        <w:rPr>
          <w:rFonts w:ascii="Verdana" w:eastAsia="Calibri" w:hAnsi="Verdana" w:cs="Arial"/>
          <w:color w:val="000000" w:themeColor="text1"/>
          <w:lang w:eastAsia="es-ES"/>
        </w:rPr>
      </w:pPr>
    </w:p>
    <w:p w14:paraId="64E03EB4" w14:textId="77777777" w:rsidR="00E60C35" w:rsidRPr="00040E25" w:rsidRDefault="00E60C35" w:rsidP="00E60C3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Así las cosas, debido a que la remisión normativa del artículo 37 de la Ley 2056 de 2020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040E25">
        <w:rPr>
          <w:rFonts w:ascii="Verdana" w:eastAsia="Calibri" w:hAnsi="Verdana" w:cs="Arial"/>
          <w:i/>
          <w:iCs/>
          <w:color w:val="000000" w:themeColor="text1"/>
          <w:lang w:eastAsia="es-ES"/>
        </w:rPr>
        <w:t>con independencia de su régimen ordinario de contratación</w:t>
      </w:r>
      <w:r w:rsidRPr="00040E25">
        <w:rPr>
          <w:rFonts w:ascii="Verdana" w:eastAsia="Calibri" w:hAnsi="Verdana" w:cs="Arial"/>
          <w:color w:val="000000" w:themeColor="text1"/>
          <w:lang w:eastAsia="es-ES"/>
        </w:rPr>
        <w:t xml:space="preserve"> – debe aplica el EGCAG para los contratos que celebre en desarrollo del respectivo proyecto de inversión</w:t>
      </w:r>
      <w:r w:rsidRPr="00040E25">
        <w:rPr>
          <w:rFonts w:ascii="Verdana" w:eastAsia="Calibri" w:hAnsi="Verdana" w:cs="Arial"/>
          <w:color w:val="000000" w:themeColor="text1"/>
          <w:vertAlign w:val="superscript"/>
          <w:lang w:eastAsia="es-ES"/>
        </w:rPr>
        <w:footnoteReference w:id="9"/>
      </w:r>
      <w:r w:rsidRPr="00040E25">
        <w:rPr>
          <w:rFonts w:ascii="Verdana" w:eastAsia="Calibri" w:hAnsi="Verdana" w:cs="Arial"/>
          <w:color w:val="000000" w:themeColor="text1"/>
          <w:lang w:eastAsia="es-ES"/>
        </w:rPr>
        <w:t xml:space="preserve">” (Énfasis por fuera de texto). </w:t>
      </w:r>
    </w:p>
    <w:p w14:paraId="09D26CF0" w14:textId="77777777" w:rsidR="00E60C35" w:rsidRPr="008408A6" w:rsidRDefault="00E60C35" w:rsidP="00E60C35">
      <w:pPr>
        <w:spacing w:after="120" w:line="276" w:lineRule="auto"/>
        <w:jc w:val="both"/>
        <w:rPr>
          <w:rFonts w:ascii="Verdana" w:eastAsia="Calibri" w:hAnsi="Verdana" w:cs="Arial"/>
          <w:color w:val="000000" w:themeColor="text1"/>
          <w:lang w:eastAsia="es-ES"/>
        </w:rPr>
      </w:pPr>
      <w:proofErr w:type="spellStart"/>
      <w:r>
        <w:rPr>
          <w:rFonts w:ascii="Verdana" w:eastAsia="Calibri" w:hAnsi="Verdana" w:cs="Arial"/>
          <w:color w:val="000000" w:themeColor="text1"/>
          <w:lang w:eastAsia="es-ES"/>
        </w:rPr>
        <w:t>ii</w:t>
      </w:r>
      <w:proofErr w:type="spellEnd"/>
      <w:r>
        <w:rPr>
          <w:rFonts w:ascii="Verdana" w:eastAsia="Calibri" w:hAnsi="Verdana" w:cs="Arial"/>
          <w:color w:val="000000" w:themeColor="text1"/>
          <w:lang w:eastAsia="es-ES"/>
        </w:rPr>
        <w:t>. Teniendo en cuenta el régimen jurídico aplicable, de acuerdo con el artículo 17 de la Ley 1150 de 2007, las entidades que ejecuten recursos del sistema general de regalías pueden declarar el incumplimiento con miras a hacer efectivas las multas y la cláusula penal en el marco de los contratos que celebren para tal fin</w:t>
      </w:r>
      <w:r>
        <w:rPr>
          <w:rStyle w:val="Refdenotaalpie"/>
          <w:rFonts w:ascii="Verdana" w:eastAsia="Calibri" w:hAnsi="Verdana" w:cs="Arial"/>
          <w:color w:val="000000" w:themeColor="text1"/>
          <w:lang w:eastAsia="es-ES"/>
        </w:rPr>
        <w:footnoteReference w:id="10"/>
      </w:r>
      <w:r>
        <w:rPr>
          <w:rFonts w:ascii="Verdana" w:eastAsia="Calibri" w:hAnsi="Verdana" w:cs="Arial"/>
          <w:color w:val="000000" w:themeColor="text1"/>
          <w:lang w:eastAsia="es-ES"/>
        </w:rPr>
        <w:t xml:space="preserve">. Como están sometidas al Estatuto General de Contratación para la </w:t>
      </w:r>
      <w:r>
        <w:rPr>
          <w:rFonts w:ascii="Verdana" w:eastAsia="Calibri" w:hAnsi="Verdana" w:cs="Arial"/>
          <w:color w:val="000000" w:themeColor="text1"/>
          <w:lang w:eastAsia="es-ES"/>
        </w:rPr>
        <w:lastRenderedPageBreak/>
        <w:t xml:space="preserve">ejecución de dichos proyectos, el procedimiento aplicable a las actuaciones sancionatorias corresponde al previsto en el artículo 86 de la Ley 1474 de 2011, el cual </w:t>
      </w:r>
      <w:r w:rsidRPr="004A73EC">
        <w:rPr>
          <w:rFonts w:ascii="Verdana" w:hAnsi="Verdana" w:cs="Arial"/>
          <w:iCs/>
          <w:color w:val="000000" w:themeColor="text1"/>
          <w:lang w:val="es-ES_tradnl"/>
        </w:rPr>
        <w:t xml:space="preserve">en forma esquemática pueden resumirse así: </w:t>
      </w:r>
    </w:p>
    <w:p w14:paraId="68A9FC17" w14:textId="77777777" w:rsidR="00E60C35" w:rsidRPr="004A73EC" w:rsidRDefault="00E60C35" w:rsidP="00E60C35">
      <w:pPr>
        <w:spacing w:after="120" w:line="276" w:lineRule="auto"/>
        <w:ind w:firstLine="708"/>
        <w:jc w:val="both"/>
        <w:rPr>
          <w:rFonts w:ascii="Verdana" w:hAnsi="Verdana" w:cs="Arial"/>
          <w:iCs/>
          <w:color w:val="000000" w:themeColor="text1"/>
          <w:lang w:val="es-ES_tradnl"/>
        </w:rPr>
      </w:pPr>
      <w:r w:rsidRPr="004A73EC">
        <w:rPr>
          <w:rFonts w:ascii="Verdana" w:hAnsi="Verdana" w:cs="Arial"/>
          <w:iCs/>
          <w:color w:val="000000" w:themeColor="text1"/>
          <w:lang w:val="es-ES_tradnl"/>
        </w:rPr>
        <w:t xml:space="preserve">a) </w:t>
      </w:r>
      <w:r w:rsidRPr="004A73EC">
        <w:rPr>
          <w:rFonts w:ascii="Verdana" w:hAnsi="Verdana" w:cs="Arial"/>
          <w:i/>
          <w:color w:val="000000" w:themeColor="text1"/>
          <w:lang w:val="es-ES_tradnl"/>
        </w:rPr>
        <w:t>C</w:t>
      </w:r>
      <w:r w:rsidRPr="004A73EC">
        <w:rPr>
          <w:rFonts w:ascii="Verdana" w:hAnsi="Verdana" w:cs="Arial"/>
          <w:i/>
          <w:iCs/>
          <w:color w:val="000000" w:themeColor="text1"/>
          <w:lang w:val="es-ES_tradnl"/>
        </w:rPr>
        <w:t>itación a audiencia</w:t>
      </w:r>
      <w:r w:rsidRPr="004A73EC">
        <w:rPr>
          <w:rFonts w:ascii="Verdana" w:hAnsi="Verdana" w:cs="Arial"/>
          <w:iCs/>
          <w:color w:val="000000" w:themeColor="text1"/>
          <w:lang w:val="es-ES_tradnl"/>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b) </w:t>
      </w:r>
      <w:r w:rsidRPr="004A73EC">
        <w:rPr>
          <w:rFonts w:ascii="Verdana" w:hAnsi="Verdana" w:cs="Arial"/>
          <w:i/>
          <w:iCs/>
          <w:color w:val="000000" w:themeColor="text1"/>
          <w:lang w:val="es-ES_tradnl"/>
        </w:rPr>
        <w:t>Audiencia</w:t>
      </w:r>
      <w:r w:rsidRPr="004A73EC">
        <w:rPr>
          <w:rFonts w:ascii="Verdana" w:hAnsi="Verdana" w:cs="Arial"/>
          <w:iCs/>
          <w:color w:val="000000" w:themeColor="text1"/>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c) </w:t>
      </w:r>
      <w:r w:rsidRPr="004A73EC">
        <w:rPr>
          <w:rFonts w:ascii="Verdana" w:hAnsi="Verdana" w:cs="Arial"/>
          <w:i/>
          <w:iCs/>
          <w:color w:val="000000" w:themeColor="text1"/>
          <w:lang w:val="es-ES_tradnl"/>
        </w:rPr>
        <w:t>Decisión</w:t>
      </w:r>
      <w:r w:rsidRPr="004A73EC">
        <w:rPr>
          <w:rFonts w:ascii="Verdana" w:hAnsi="Verdana" w:cs="Arial"/>
          <w:iCs/>
          <w:color w:val="000000" w:themeColor="text1"/>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5C38F471" w14:textId="77777777" w:rsidR="00E60C35" w:rsidRPr="004A73EC" w:rsidRDefault="00E60C35" w:rsidP="00E60C35">
      <w:pPr>
        <w:spacing w:after="120" w:line="276" w:lineRule="auto"/>
        <w:ind w:firstLine="708"/>
        <w:jc w:val="both"/>
        <w:rPr>
          <w:rFonts w:ascii="Verdana" w:hAnsi="Verdana" w:cs="Arial"/>
          <w:iCs/>
          <w:color w:val="000000" w:themeColor="text1"/>
          <w:lang w:val="es-ES_tradnl"/>
        </w:rPr>
      </w:pPr>
      <w:r w:rsidRPr="004A73EC">
        <w:rPr>
          <w:rFonts w:ascii="Verdana" w:hAnsi="Verdana" w:cs="Arial"/>
          <w:iCs/>
          <w:color w:val="000000" w:themeColor="text1"/>
          <w:lang w:val="es-ES_tradnl"/>
        </w:rPr>
        <w:t xml:space="preserve">Concretamente, el procedimiento descrito en el párrafo precedente es una manifestación de la </w:t>
      </w:r>
      <w:r w:rsidRPr="004A73EC">
        <w:rPr>
          <w:rFonts w:ascii="Verdana" w:hAnsi="Verdana" w:cs="Arial"/>
          <w:i/>
          <w:color w:val="000000" w:themeColor="text1"/>
          <w:lang w:val="es-ES_tradnl"/>
        </w:rPr>
        <w:t>legalidad de las formas de cada juicio</w:t>
      </w:r>
      <w:r w:rsidRPr="004A73EC">
        <w:rPr>
          <w:rFonts w:ascii="Verdana" w:hAnsi="Verdana" w:cs="Arial"/>
          <w:iCs/>
          <w:color w:val="000000" w:themeColor="text1"/>
          <w:lang w:val="es-ES_tradnl"/>
        </w:rPr>
        <w:t xml:space="preserve"> en la contratación estatal, la cual no solo se aplica en virtud del artículo 29 de la Constitución Política sino también con fundamento en el artículo 3.1, inciso primero, de la Ley 1437 de 2011. Esto último en la medida que “En virtud del principio del debido proceso, las actuaciones administrativas se adelantarán de conformidad con las normas de procedimiento y competencia establecidas en la Constitución y la ley, con plena garantía de los derechos de representación, defensa y contradicción”.  </w:t>
      </w:r>
    </w:p>
    <w:p w14:paraId="10067715" w14:textId="77777777" w:rsidR="00E60C35" w:rsidRDefault="00E60C35" w:rsidP="00E60C35">
      <w:pPr>
        <w:spacing w:after="120" w:line="276" w:lineRule="auto"/>
        <w:ind w:firstLine="709"/>
        <w:jc w:val="both"/>
        <w:rPr>
          <w:rFonts w:ascii="Verdana" w:eastAsia="Calibri" w:hAnsi="Verdana" w:cs="Arial"/>
          <w:color w:val="000000" w:themeColor="text1"/>
          <w:lang w:val="es-ES_tradnl" w:eastAsia="es-ES"/>
        </w:rPr>
      </w:pPr>
      <w:r>
        <w:rPr>
          <w:rFonts w:ascii="Verdana" w:eastAsia="Calibri" w:hAnsi="Verdana" w:cs="Arial"/>
          <w:color w:val="000000" w:themeColor="text1"/>
          <w:lang w:val="es-ES_tradnl" w:eastAsia="es-ES"/>
        </w:rPr>
        <w:t xml:space="preserve">En la medida que hayan sido pactadas, la entidad ejecutora podrá imponer las multas y la cláusula penal a los contratistas que hayan incumplido sus </w:t>
      </w:r>
      <w:r>
        <w:rPr>
          <w:rFonts w:ascii="Verdana" w:eastAsia="Calibri" w:hAnsi="Verdana" w:cs="Arial"/>
          <w:color w:val="000000" w:themeColor="text1"/>
          <w:lang w:val="es-ES_tradnl" w:eastAsia="es-ES"/>
        </w:rPr>
        <w:lastRenderedPageBreak/>
        <w:t xml:space="preserve">obligaciones en el marco de los negocios jurídicos suscritos para desarrollar proyectos de inversión con cargo al sistema general de regalías. Las mismas proceden en el marco de relaciones contractuales, lo que excluye la posibilidad de ejercer la potestad sancionadora contra la entidad que designa al ejecutor. Como explica la Sala de Consulta y Servicio Civil del Consejo de Estado, “[…] </w:t>
      </w:r>
      <w:r w:rsidRPr="00B65902">
        <w:rPr>
          <w:rFonts w:ascii="Verdana" w:eastAsia="Calibri" w:hAnsi="Verdana" w:cs="Arial"/>
          <w:color w:val="000000" w:themeColor="text1"/>
          <w:lang w:val="es-ES_tradnl" w:eastAsia="es-ES"/>
        </w:rPr>
        <w:t>el acto por el cual un OCAD, un departamento o una entidad territorial designa al ejecutor de un proyecto financiado con recursos del Sistema General de Regalías es un acto administrativo unilateral de contenido particular y concreto, que se profiere en ejercicio de una competencia legal de administración de recursos de inversión; es unilateral porque se perfecciona por la decisión del órgano competente y no por aceptación del destinatario, y atribuye al ejecutor deberes dentro del ciclo de inversión del SGR de tipo contractual, de ejecución, reporte y control</w:t>
      </w:r>
      <w:r>
        <w:rPr>
          <w:rFonts w:ascii="Verdana" w:eastAsia="Calibri" w:hAnsi="Verdana" w:cs="Arial"/>
          <w:color w:val="000000" w:themeColor="text1"/>
          <w:lang w:val="es-ES_tradnl" w:eastAsia="es-ES"/>
        </w:rPr>
        <w:t>”</w:t>
      </w:r>
      <w:r>
        <w:rPr>
          <w:rStyle w:val="Refdenotaalpie"/>
          <w:rFonts w:ascii="Verdana" w:eastAsia="Calibri" w:hAnsi="Verdana" w:cs="Arial"/>
          <w:color w:val="000000" w:themeColor="text1"/>
          <w:lang w:val="es-ES_tradnl" w:eastAsia="es-ES"/>
        </w:rPr>
        <w:footnoteReference w:id="11"/>
      </w:r>
      <w:r>
        <w:rPr>
          <w:rFonts w:ascii="Verdana" w:eastAsia="Calibri" w:hAnsi="Verdana" w:cs="Arial"/>
          <w:color w:val="000000" w:themeColor="text1"/>
          <w:lang w:val="es-ES_tradnl" w:eastAsia="es-ES"/>
        </w:rPr>
        <w:t xml:space="preserve">. </w:t>
      </w:r>
    </w:p>
    <w:p w14:paraId="631326E9" w14:textId="77777777" w:rsidR="00E60C35" w:rsidRDefault="00E60C35" w:rsidP="00E60C35">
      <w:pPr>
        <w:spacing w:before="120"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_tradnl" w:eastAsia="es-ES"/>
        </w:rPr>
        <w:t>iii</w:t>
      </w:r>
      <w:proofErr w:type="spellEnd"/>
      <w:r>
        <w:rPr>
          <w:rFonts w:ascii="Verdana" w:eastAsia="Calibri" w:hAnsi="Verdana" w:cs="Arial"/>
          <w:color w:val="000000" w:themeColor="text1"/>
          <w:lang w:val="es-ES_tradnl" w:eastAsia="es-ES"/>
        </w:rPr>
        <w:t>.</w:t>
      </w:r>
      <w:r>
        <w:rPr>
          <w:rFonts w:ascii="Verdana" w:eastAsia="Calibri" w:hAnsi="Verdana" w:cs="Arial"/>
          <w:color w:val="000000" w:themeColor="text1"/>
          <w:lang w:val="es-ES"/>
        </w:rPr>
        <w:t xml:space="preserve"> </w:t>
      </w:r>
      <w:r w:rsidRPr="00552507">
        <w:rPr>
          <w:rFonts w:ascii="Verdana" w:eastAsia="Calibri" w:hAnsi="Verdana" w:cs="Arial"/>
          <w:color w:val="000000" w:themeColor="text1"/>
          <w:lang w:val="es-ES"/>
        </w:rPr>
        <w:t>En cuanto a la aplicabilidad de las potestades excepcionales previstas en los artículos 14 a 18 de la Ley 80 de 1993, la conclusión guarda correspondencia con la expuesta respecto de las multas y la cláusula penal. En efecto, cuando una entidad se encuentra sometida a un régimen especial de contratación, dichas potestades no hacen parte, por regla general, del régimen jurídico que gobierna su actividad contractual, sin perjuicio de que, en ejercicio de la autonomía de la voluntad y dentro de los límites que resulten aplicables, pueda pactar determinadas facultades unilaterales y establecer contractualmente los mecanismos para su ejercicio</w:t>
      </w:r>
      <w:r>
        <w:rPr>
          <w:rStyle w:val="Refdenotaalpie"/>
          <w:rFonts w:ascii="Verdana" w:eastAsia="Calibri" w:hAnsi="Verdana" w:cs="Arial"/>
          <w:color w:val="000000" w:themeColor="text1"/>
          <w:lang w:val="es-ES"/>
        </w:rPr>
        <w:footnoteReference w:id="12"/>
      </w:r>
      <w:r w:rsidRPr="00552507">
        <w:rPr>
          <w:rFonts w:ascii="Verdana" w:eastAsia="Calibri" w:hAnsi="Verdana" w:cs="Arial"/>
          <w:color w:val="000000" w:themeColor="text1"/>
          <w:lang w:val="es-ES"/>
        </w:rPr>
        <w:t xml:space="preserve">. No obstante, esta situación </w:t>
      </w:r>
      <w:r>
        <w:rPr>
          <w:rFonts w:ascii="Verdana" w:eastAsia="Calibri" w:hAnsi="Verdana" w:cs="Arial"/>
          <w:color w:val="000000" w:themeColor="text1"/>
          <w:lang w:val="es-ES"/>
        </w:rPr>
        <w:t>varía</w:t>
      </w:r>
      <w:r w:rsidRPr="00552507">
        <w:rPr>
          <w:rFonts w:ascii="Verdana" w:eastAsia="Calibri" w:hAnsi="Verdana" w:cs="Arial"/>
          <w:color w:val="000000" w:themeColor="text1"/>
          <w:lang w:val="es-ES"/>
        </w:rPr>
        <w:t xml:space="preserve"> cuando la entidad es designada ejecutora de recursos del SGR, pues, respecto de los contratos que celebre para la ejecución de tales recursos, su actividad contractual queda sometida al régimen previsto en el artículo 37 de la Ley 2056 de 2020</w:t>
      </w:r>
      <w:r>
        <w:rPr>
          <w:rFonts w:ascii="Verdana" w:eastAsia="Calibri" w:hAnsi="Verdana" w:cs="Arial"/>
          <w:color w:val="000000" w:themeColor="text1"/>
          <w:lang w:val="es-ES"/>
        </w:rPr>
        <w:t xml:space="preserve">, esto es, </w:t>
      </w:r>
      <w:r w:rsidRPr="00552507">
        <w:rPr>
          <w:rFonts w:ascii="Verdana" w:eastAsia="Calibri" w:hAnsi="Verdana" w:cs="Arial"/>
          <w:color w:val="000000" w:themeColor="text1"/>
          <w:lang w:val="es-ES"/>
        </w:rPr>
        <w:t>al EGCAP.</w:t>
      </w:r>
    </w:p>
    <w:p w14:paraId="70C8A104" w14:textId="77777777" w:rsidR="00E60C35" w:rsidRPr="000A5B23" w:rsidRDefault="00E60C35" w:rsidP="00E60C35">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rPr>
        <w:t>En efecto,</w:t>
      </w:r>
      <w:r w:rsidRPr="00027D86">
        <w:rPr>
          <w:rFonts w:ascii="Verdana" w:eastAsia="Calibri" w:hAnsi="Verdana" w:cs="Arial"/>
          <w:color w:val="000000" w:themeColor="text1"/>
          <w:lang w:eastAsia="es-ES"/>
        </w:rPr>
        <w:t xml:space="preserve"> </w:t>
      </w:r>
      <w:r w:rsidRPr="00FB6807">
        <w:rPr>
          <w:rFonts w:ascii="Verdana" w:eastAsia="Calibri" w:hAnsi="Verdana" w:cs="Arial"/>
          <w:color w:val="000000" w:themeColor="text1"/>
          <w:lang w:eastAsia="es-ES"/>
        </w:rPr>
        <w:t>de acuerdo con la interpretación explicada</w:t>
      </w:r>
      <w:r>
        <w:rPr>
          <w:rFonts w:ascii="Verdana" w:eastAsia="Calibri" w:hAnsi="Verdana" w:cs="Arial"/>
          <w:color w:val="000000" w:themeColor="text1"/>
          <w:lang w:eastAsia="es-ES"/>
        </w:rPr>
        <w:t xml:space="preserve"> en este concepto</w:t>
      </w:r>
      <w:r w:rsidRPr="00FB6807">
        <w:rPr>
          <w:rFonts w:ascii="Verdana" w:eastAsia="Calibri" w:hAnsi="Verdana" w:cs="Arial"/>
          <w:color w:val="000000" w:themeColor="text1"/>
          <w:lang w:eastAsia="es-ES"/>
        </w:rPr>
        <w:t xml:space="preserve">, teniendo en cuenta lo dispuesto en el artículo 37 de la Ley 2056 de 2020, las entidades ejecutoras designadas </w:t>
      </w:r>
      <w:r w:rsidRPr="00FB6807">
        <w:rPr>
          <w:rFonts w:ascii="Verdana" w:eastAsia="Calibri" w:hAnsi="Verdana" w:cs="Arial"/>
          <w:i/>
          <w:iCs/>
          <w:color w:val="000000" w:themeColor="text1"/>
          <w:lang w:eastAsia="es-ES"/>
        </w:rPr>
        <w:t>deben</w:t>
      </w:r>
      <w:r w:rsidRPr="00FB6807">
        <w:rPr>
          <w:rFonts w:ascii="Verdana" w:eastAsia="Calibri" w:hAnsi="Verdana" w:cs="Arial"/>
          <w:color w:val="000000" w:themeColor="text1"/>
          <w:lang w:eastAsia="es-ES"/>
        </w:rPr>
        <w:t xml:space="preserve"> sujetarse al EGCAP,</w:t>
      </w:r>
      <w:r w:rsidRPr="00FB6807">
        <w:rPr>
          <w:rFonts w:ascii="Verdana" w:eastAsia="Calibri" w:hAnsi="Verdana" w:cs="Arial"/>
          <w:color w:val="000000"/>
          <w:lang w:val="es-ES" w:eastAsia="es-ES"/>
        </w:rPr>
        <w:t xml:space="preserve"> sin perjuicio de que en sus demás actividades apliquen el régimen especial que les corresponda</w:t>
      </w:r>
      <w:r w:rsidRPr="00FB6807">
        <w:rPr>
          <w:rFonts w:ascii="Verdana" w:eastAsia="Calibri" w:hAnsi="Verdana" w:cs="Arial"/>
          <w:color w:val="000000" w:themeColor="text1"/>
          <w:lang w:eastAsia="es-ES"/>
        </w:rPr>
        <w:t xml:space="preserve">. Esto </w:t>
      </w:r>
      <w:r w:rsidRPr="00FB6807">
        <w:rPr>
          <w:rFonts w:ascii="Verdana" w:eastAsia="Calibri" w:hAnsi="Verdana" w:cs="Arial"/>
          <w:color w:val="000000" w:themeColor="text1"/>
          <w:lang w:eastAsia="es-ES"/>
        </w:rPr>
        <w:lastRenderedPageBreak/>
        <w:t xml:space="preserve">significa que la contratación de los bienes, obras o servicios que se adelante con fundamento en dicha normativa, </w:t>
      </w:r>
      <w:r w:rsidRPr="00374F20">
        <w:rPr>
          <w:rFonts w:ascii="Verdana" w:eastAsia="Calibri" w:hAnsi="Verdana" w:cs="Arial"/>
          <w:color w:val="000000" w:themeColor="text1"/>
          <w:lang w:eastAsia="es-ES"/>
        </w:rPr>
        <w:t>deberá</w:t>
      </w:r>
      <w:r w:rsidRPr="00FB6807">
        <w:rPr>
          <w:rFonts w:ascii="Verdana" w:eastAsia="Calibri" w:hAnsi="Verdana" w:cs="Arial"/>
          <w:color w:val="000000" w:themeColor="text1"/>
          <w:lang w:eastAsia="es-ES"/>
        </w:rPr>
        <w:t xml:space="preserve"> sujetarse a las disposiciones del EGCAP y en consecuencia, los procesos de contratación </w:t>
      </w:r>
      <w:r w:rsidRPr="00FB6807">
        <w:rPr>
          <w:rFonts w:ascii="Verdana" w:eastAsia="Calibri" w:hAnsi="Verdana" w:cs="Arial"/>
          <w:i/>
          <w:iCs/>
          <w:color w:val="000000" w:themeColor="text1"/>
          <w:lang w:eastAsia="es-ES"/>
        </w:rPr>
        <w:t>deberán</w:t>
      </w:r>
      <w:r w:rsidRPr="00FB6807">
        <w:rPr>
          <w:rFonts w:ascii="Verdana" w:eastAsia="Calibri" w:hAnsi="Verdana" w:cs="Arial"/>
          <w:color w:val="000000" w:themeColor="text1"/>
          <w:lang w:eastAsia="es-ES"/>
        </w:rPr>
        <w:t xml:space="preserve"> desarrollarse observando las etapas, términos, procedimientos y demás reglas previstas en dicho estatuto, </w:t>
      </w:r>
      <w:r w:rsidRPr="00FB6807">
        <w:rPr>
          <w:rFonts w:ascii="Verdana" w:hAnsi="Verdana" w:cs="Arial"/>
        </w:rPr>
        <w:t>acudiendo a las modalidades de selección establecidas por el artículo 2 de la Ley 1150 de 2007.</w:t>
      </w:r>
    </w:p>
    <w:p w14:paraId="5BD617A1" w14:textId="77777777" w:rsidR="00E60C35" w:rsidRPr="00FB6807" w:rsidRDefault="00E60C35" w:rsidP="00E60C35">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contexto, a juicio de esta Agencia cuando las </w:t>
      </w:r>
      <w:r>
        <w:rPr>
          <w:rFonts w:ascii="Verdana" w:eastAsia="Calibri" w:hAnsi="Verdana" w:cs="Arial"/>
          <w:color w:val="000000" w:themeColor="text1"/>
          <w:lang w:eastAsia="es-ES"/>
        </w:rPr>
        <w:t xml:space="preserve">entidades con régimen especial </w:t>
      </w:r>
      <w:r w:rsidRPr="00FB6807">
        <w:rPr>
          <w:rFonts w:ascii="Verdana" w:eastAsia="Calibri" w:hAnsi="Verdana" w:cs="Arial"/>
          <w:color w:val="000000" w:themeColor="text1"/>
          <w:lang w:eastAsia="es-ES"/>
        </w:rPr>
        <w:t xml:space="preserve">sean designadas como entidades ejecutoras, serán responsables de la correcta ejecución de los 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cuantía de los contratos, de conformidad con las disposiciones del EGCAP que resulten aplicables. </w:t>
      </w:r>
    </w:p>
    <w:p w14:paraId="3F555B06"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Bajo esta premisa, e</w:t>
      </w:r>
      <w:r w:rsidRPr="00336762">
        <w:rPr>
          <w:rFonts w:ascii="Verdana" w:eastAsia="Calibri" w:hAnsi="Verdana" w:cs="Arial"/>
          <w:color w:val="000000" w:themeColor="text1"/>
          <w:lang w:eastAsia="es-ES"/>
        </w:rPr>
        <w:t>sta sujeción comprende no solamente la aplicación de las modalidades de selección y de las reglas correspondientes a las diferentes etapas del procedimiento contractual, sino también</w:t>
      </w:r>
      <w:r>
        <w:rPr>
          <w:rFonts w:ascii="Verdana" w:eastAsia="Calibri" w:hAnsi="Verdana" w:cs="Arial"/>
          <w:color w:val="000000" w:themeColor="text1"/>
          <w:lang w:eastAsia="es-ES"/>
        </w:rPr>
        <w:t xml:space="preserve"> las</w:t>
      </w:r>
      <w:r w:rsidRPr="00336762">
        <w:rPr>
          <w:rFonts w:ascii="Verdana" w:eastAsia="Calibri" w:hAnsi="Verdana" w:cs="Arial"/>
          <w:color w:val="000000" w:themeColor="text1"/>
          <w:lang w:eastAsia="es-ES"/>
        </w:rPr>
        <w:t xml:space="preserve"> facultades, obligaciones y mecanismos de ejecución previstos en el EGCAP que resulten aplicables al contrato. Por consiguiente, en la contratación con recursos del SGR, las entidades ejecutoras deberán observar, cuando corresponda, las reglas sobre documentos tipo, garantías, multas, cláusula penal y las potestades excepcionales de la </w:t>
      </w:r>
      <w:r>
        <w:rPr>
          <w:rFonts w:ascii="Verdana" w:eastAsia="Calibri" w:hAnsi="Verdana" w:cs="Arial"/>
          <w:color w:val="000000" w:themeColor="text1"/>
          <w:lang w:eastAsia="es-ES"/>
        </w:rPr>
        <w:t>a</w:t>
      </w:r>
      <w:r w:rsidRPr="00336762">
        <w:rPr>
          <w:rFonts w:ascii="Verdana" w:eastAsia="Calibri" w:hAnsi="Verdana" w:cs="Arial"/>
          <w:color w:val="000000" w:themeColor="text1"/>
          <w:lang w:eastAsia="es-ES"/>
        </w:rPr>
        <w:t xml:space="preserve">dministración, en los términos y bajo las condiciones establecidos por </w:t>
      </w:r>
      <w:r>
        <w:rPr>
          <w:rFonts w:ascii="Verdana" w:eastAsia="Calibri" w:hAnsi="Verdana" w:cs="Arial"/>
          <w:color w:val="000000" w:themeColor="text1"/>
          <w:lang w:eastAsia="es-ES"/>
        </w:rPr>
        <w:t>dicho estatuto.</w:t>
      </w:r>
    </w:p>
    <w:p w14:paraId="4891BF5C"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sidRPr="008D6E92">
        <w:rPr>
          <w:rFonts w:ascii="Verdana" w:eastAsia="Calibri" w:hAnsi="Verdana" w:cs="Arial"/>
          <w:color w:val="000000" w:themeColor="text1"/>
          <w:lang w:eastAsia="es-ES"/>
        </w:rPr>
        <w:t xml:space="preserve">En particular, </w:t>
      </w:r>
      <w:r>
        <w:rPr>
          <w:rFonts w:ascii="Verdana" w:eastAsia="Calibri" w:hAnsi="Verdana" w:cs="Arial"/>
          <w:color w:val="000000" w:themeColor="text1"/>
          <w:lang w:eastAsia="es-ES"/>
        </w:rPr>
        <w:t xml:space="preserve">a diferencia de lo que sucede con las multas y la cláusula penal, </w:t>
      </w:r>
      <w:r w:rsidRPr="008D6E92">
        <w:rPr>
          <w:rFonts w:ascii="Verdana" w:eastAsia="Calibri" w:hAnsi="Verdana" w:cs="Arial"/>
          <w:color w:val="000000" w:themeColor="text1"/>
          <w:lang w:eastAsia="es-ES"/>
        </w:rPr>
        <w:t xml:space="preserve">respecto de las potestades previstas en los artículos 14 </w:t>
      </w:r>
      <w:r>
        <w:rPr>
          <w:rFonts w:ascii="Verdana" w:eastAsia="Calibri" w:hAnsi="Verdana" w:cs="Arial"/>
          <w:color w:val="000000" w:themeColor="text1"/>
          <w:lang w:eastAsia="es-ES"/>
        </w:rPr>
        <w:t>y siguientes</w:t>
      </w:r>
      <w:r w:rsidRPr="008D6E92">
        <w:rPr>
          <w:rFonts w:ascii="Verdana" w:eastAsia="Calibri" w:hAnsi="Verdana" w:cs="Arial"/>
          <w:color w:val="000000" w:themeColor="text1"/>
          <w:lang w:eastAsia="es-ES"/>
        </w:rPr>
        <w:t xml:space="preserve"> de la Ley 80 de 1993, </w:t>
      </w:r>
      <w:r>
        <w:rPr>
          <w:rFonts w:ascii="Verdana" w:eastAsia="Calibri" w:hAnsi="Verdana" w:cs="Arial"/>
          <w:color w:val="000000" w:themeColor="text1"/>
          <w:lang w:eastAsia="es-ES"/>
        </w:rPr>
        <w:t xml:space="preserve">incluyendo la caducidad, </w:t>
      </w:r>
      <w:r w:rsidRPr="008D6E92">
        <w:rPr>
          <w:rFonts w:ascii="Verdana" w:eastAsia="Calibri" w:hAnsi="Verdana" w:cs="Arial"/>
          <w:color w:val="000000" w:themeColor="text1"/>
          <w:lang w:eastAsia="es-ES"/>
        </w:rPr>
        <w:t xml:space="preserve">su aplicación no depende de que la entidad ejecutora haya incorporado previamente dichas facultades en su manual de contratación ni de que las haya pactado expresamente en el contrato como consecuencia de su régimen especial. La fuente de estas potestades, en este supuesto, se encuentra directamente en el régimen jurídico al que la entidad queda sometida para efectos de la ejecución contractual de los recursos del SGR. Por tanto, cuando el contrato se encuentre dentro de los supuestos en los cuales </w:t>
      </w:r>
      <w:r w:rsidRPr="008D6E92">
        <w:rPr>
          <w:rFonts w:ascii="Verdana" w:eastAsia="Calibri" w:hAnsi="Verdana" w:cs="Arial"/>
          <w:color w:val="000000" w:themeColor="text1"/>
          <w:lang w:eastAsia="es-ES"/>
        </w:rPr>
        <w:lastRenderedPageBreak/>
        <w:t>el EGCAP prevé el ejercicio de una determinada potestad excepcional, la entidad ejecutora podrá ejercerla con fundamento en las disposiciones de la Ley 80 de 1993, observando las condiciones, límites y procedimientos establecidos en ellas.</w:t>
      </w:r>
    </w:p>
    <w:p w14:paraId="1A66FF85"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sidRPr="001F0DD2">
        <w:rPr>
          <w:rFonts w:ascii="Verdana" w:eastAsia="Calibri" w:hAnsi="Verdana" w:cs="Arial"/>
          <w:color w:val="000000" w:themeColor="text1"/>
          <w:lang w:eastAsia="es-ES"/>
        </w:rPr>
        <w:t xml:space="preserve">Así, la aplicación del EGCAP en este ámbito comporta también que la entidad ejecutora </w:t>
      </w:r>
      <w:r>
        <w:rPr>
          <w:rFonts w:ascii="Verdana" w:eastAsia="Calibri" w:hAnsi="Verdana" w:cs="Arial"/>
          <w:color w:val="000000" w:themeColor="text1"/>
          <w:lang w:eastAsia="es-ES"/>
        </w:rPr>
        <w:t xml:space="preserve">de los recursos del SGR </w:t>
      </w:r>
      <w:r w:rsidRPr="001F0DD2">
        <w:rPr>
          <w:rFonts w:ascii="Verdana" w:eastAsia="Calibri" w:hAnsi="Verdana" w:cs="Arial"/>
          <w:color w:val="000000" w:themeColor="text1"/>
          <w:lang w:eastAsia="es-ES"/>
        </w:rPr>
        <w:t>pueda ejercer las potestades excepcionales que legalmente resulten procedentes</w:t>
      </w:r>
      <w:r>
        <w:rPr>
          <w:rFonts w:ascii="Verdana" w:eastAsia="Calibri" w:hAnsi="Verdana" w:cs="Arial"/>
          <w:color w:val="000000" w:themeColor="text1"/>
          <w:lang w:eastAsia="es-ES"/>
        </w:rPr>
        <w:t xml:space="preserve">, </w:t>
      </w:r>
      <w:r w:rsidRPr="001F0DD2">
        <w:rPr>
          <w:rFonts w:ascii="Verdana" w:eastAsia="Calibri" w:hAnsi="Verdana" w:cs="Arial"/>
          <w:color w:val="000000" w:themeColor="text1"/>
          <w:lang w:eastAsia="es-ES"/>
        </w:rPr>
        <w:t>entre ellas, cuando se configuren los presupuestos previstos en la ley, la interpretación, modificación o terminación unilateral y la declaratoria de caducidad, sin que para ello sea necesaria una disposición legal adicional que atribuya tales competencias</w:t>
      </w:r>
      <w:r>
        <w:rPr>
          <w:rFonts w:ascii="Verdana" w:eastAsia="Calibri" w:hAnsi="Verdana" w:cs="Arial"/>
          <w:color w:val="000000" w:themeColor="text1"/>
          <w:lang w:eastAsia="es-ES"/>
        </w:rPr>
        <w:t>, puesto que l</w:t>
      </w:r>
      <w:r w:rsidRPr="001F0DD2">
        <w:rPr>
          <w:rFonts w:ascii="Verdana" w:eastAsia="Calibri" w:hAnsi="Verdana" w:cs="Arial"/>
          <w:color w:val="000000" w:themeColor="text1"/>
          <w:lang w:eastAsia="es-ES"/>
        </w:rPr>
        <w:t>a habilitación deriva de la propia regla de sujeción establecida por e</w:t>
      </w:r>
      <w:r>
        <w:rPr>
          <w:rFonts w:ascii="Verdana" w:eastAsia="Calibri" w:hAnsi="Verdana" w:cs="Arial"/>
          <w:color w:val="000000" w:themeColor="text1"/>
          <w:lang w:eastAsia="es-ES"/>
        </w:rPr>
        <w:t>l parágrafo del</w:t>
      </w:r>
      <w:r w:rsidRPr="001F0DD2">
        <w:rPr>
          <w:rFonts w:ascii="Verdana" w:eastAsia="Calibri" w:hAnsi="Verdana" w:cs="Arial"/>
          <w:color w:val="000000" w:themeColor="text1"/>
          <w:lang w:eastAsia="es-ES"/>
        </w:rPr>
        <w:t xml:space="preserve"> artículo 37 de la Ley 2056 de 2020. Lo anterior debe entenderse sin perjuicio de que la entidad adecúe su manual de contratación y demás instrumentos internos, con el fin de incorporar las reglas y procedimientos necesarios para la gestión de los contratos sometidos al EGCAP, sin que dicha regulación interna pueda crear, restringir o modificar las competencias que directamente reconoce la ley.</w:t>
      </w:r>
    </w:p>
    <w:p w14:paraId="7C6555A6"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Al respecto, la Sala de Consulta y Servicio Civil del Consejo de Estado</w:t>
      </w:r>
      <w:r>
        <w:rPr>
          <w:rFonts w:ascii="Verdana" w:eastAsia="Calibri" w:hAnsi="Verdana" w:cs="Arial"/>
          <w:color w:val="000000" w:themeColor="text1"/>
          <w:lang w:eastAsia="es-ES"/>
        </w:rPr>
        <w:t xml:space="preserve"> en el concepto referido, señaló la procedencia de modificar el manual de contratación de la entidad ejecutora para adecuarla a la ejecución del SGR conforme al EGCAP: </w:t>
      </w:r>
    </w:p>
    <w:p w14:paraId="5693B452" w14:textId="77777777" w:rsidR="00E60C35" w:rsidRDefault="00E60C35" w:rsidP="00E60C35">
      <w:pPr>
        <w:spacing w:after="0" w:line="240" w:lineRule="auto"/>
        <w:ind w:left="709" w:right="709"/>
        <w:jc w:val="both"/>
        <w:rPr>
          <w:rFonts w:ascii="Verdana" w:eastAsia="Calibri" w:hAnsi="Verdana" w:cs="Arial"/>
          <w:color w:val="000000" w:themeColor="text1"/>
          <w:sz w:val="20"/>
          <w:szCs w:val="20"/>
          <w:lang w:eastAsia="es-ES"/>
        </w:rPr>
      </w:pPr>
    </w:p>
    <w:p w14:paraId="7B7980BB" w14:textId="77777777" w:rsidR="00E60C35" w:rsidRDefault="00E60C35" w:rsidP="00E60C35">
      <w:pPr>
        <w:spacing w:after="0" w:line="240" w:lineRule="auto"/>
        <w:ind w:left="709" w:right="709"/>
        <w:jc w:val="both"/>
        <w:rPr>
          <w:rFonts w:ascii="Verdana" w:eastAsia="Calibri" w:hAnsi="Verdana" w:cs="Arial"/>
          <w:color w:val="000000" w:themeColor="text1"/>
          <w:sz w:val="20"/>
          <w:szCs w:val="20"/>
          <w:lang w:eastAsia="es-ES"/>
        </w:rPr>
      </w:pPr>
      <w:r>
        <w:rPr>
          <w:rFonts w:ascii="Verdana" w:eastAsia="Calibri" w:hAnsi="Verdana" w:cs="Arial"/>
          <w:color w:val="000000" w:themeColor="text1"/>
          <w:sz w:val="20"/>
          <w:szCs w:val="20"/>
          <w:lang w:eastAsia="es-ES"/>
        </w:rPr>
        <w:t>“</w:t>
      </w:r>
      <w:r w:rsidRPr="005D7A67">
        <w:rPr>
          <w:rFonts w:ascii="Verdana" w:eastAsia="Calibri" w:hAnsi="Verdana" w:cs="Arial"/>
          <w:color w:val="000000" w:themeColor="text1"/>
          <w:sz w:val="20"/>
          <w:szCs w:val="20"/>
          <w:lang w:eastAsia="es-ES"/>
        </w:rPr>
        <w:t xml:space="preserve">En ese escenario, el manual interno de contratación de la universidad no puede operar como fuente autónoma para desplazar el régimen de contratación pública exigido por el parágrafo 1º del artículo 37 de la Ley 2056 de 2020, el cual esta Sala entiende que se refiere a la aplicación del Estatuto General de Contratación cuando el proyecto financiado con recursos del SGR requiera contratar bienes, obras, servicios, consultorías o interventorías con terceros. </w:t>
      </w:r>
    </w:p>
    <w:p w14:paraId="7F4C890E" w14:textId="77777777" w:rsidR="00E60C35" w:rsidRPr="005D7A67" w:rsidRDefault="00E60C35" w:rsidP="00E60C35">
      <w:pPr>
        <w:spacing w:after="0" w:line="240" w:lineRule="auto"/>
        <w:ind w:left="709" w:right="709"/>
        <w:jc w:val="both"/>
        <w:rPr>
          <w:rFonts w:ascii="Verdana" w:eastAsia="Calibri" w:hAnsi="Verdana" w:cs="Arial"/>
          <w:color w:val="000000" w:themeColor="text1"/>
          <w:sz w:val="20"/>
          <w:szCs w:val="20"/>
          <w:lang w:eastAsia="es-ES"/>
        </w:rPr>
      </w:pPr>
    </w:p>
    <w:p w14:paraId="3632D97E" w14:textId="77777777" w:rsidR="00E60C35" w:rsidRDefault="00E60C35" w:rsidP="00E60C35">
      <w:pPr>
        <w:spacing w:after="0" w:line="240" w:lineRule="auto"/>
        <w:ind w:left="709" w:right="709"/>
        <w:jc w:val="both"/>
        <w:rPr>
          <w:rFonts w:ascii="Verdana" w:eastAsia="Calibri" w:hAnsi="Verdana" w:cs="Arial"/>
          <w:color w:val="000000" w:themeColor="text1"/>
          <w:sz w:val="20"/>
          <w:szCs w:val="20"/>
          <w:lang w:eastAsia="es-ES"/>
        </w:rPr>
      </w:pPr>
      <w:r w:rsidRPr="005D7A67">
        <w:rPr>
          <w:rFonts w:ascii="Verdana" w:eastAsia="Calibri" w:hAnsi="Verdana" w:cs="Arial"/>
          <w:color w:val="000000" w:themeColor="text1"/>
          <w:sz w:val="20"/>
          <w:szCs w:val="20"/>
          <w:lang w:eastAsia="es-ES"/>
        </w:rPr>
        <w:t xml:space="preserve">Desde esta perspectiva, no es jurídicamente correcto que la universidad disponga en su manual que cuando actúa como ejecutor del Sistema General de Regalías, los actos derivados de los mismos para adquirir obras, bienes o servicios se regirán por su manual de contratación, es decir atendiendo sus propias modalidades de selección, cuando se trata de ejecutar recursos de regalías, pues para ello debe acudir a los mecanismos de selección previstos en la Ley 80 de 1993, la Ley 1150 de 2007 y el Decreto 1082 de 2015. </w:t>
      </w:r>
    </w:p>
    <w:p w14:paraId="57CE96E8" w14:textId="77777777" w:rsidR="00E60C35" w:rsidRPr="005D7A67" w:rsidRDefault="00E60C35" w:rsidP="00E60C35">
      <w:pPr>
        <w:spacing w:after="0" w:line="240" w:lineRule="auto"/>
        <w:ind w:left="709" w:right="709"/>
        <w:jc w:val="both"/>
        <w:rPr>
          <w:rFonts w:ascii="Verdana" w:eastAsia="Calibri" w:hAnsi="Verdana" w:cs="Arial"/>
          <w:color w:val="000000" w:themeColor="text1"/>
          <w:sz w:val="20"/>
          <w:szCs w:val="20"/>
          <w:lang w:eastAsia="es-ES"/>
        </w:rPr>
      </w:pPr>
    </w:p>
    <w:p w14:paraId="2B801DD8" w14:textId="77777777" w:rsidR="00E60C35" w:rsidRDefault="00E60C35" w:rsidP="00E60C35">
      <w:pPr>
        <w:spacing w:after="0" w:line="240" w:lineRule="auto"/>
        <w:ind w:left="709" w:right="709"/>
        <w:jc w:val="both"/>
        <w:rPr>
          <w:rFonts w:ascii="Verdana" w:eastAsia="Calibri" w:hAnsi="Verdana" w:cs="Arial"/>
          <w:color w:val="000000" w:themeColor="text1"/>
          <w:sz w:val="20"/>
          <w:szCs w:val="20"/>
          <w:lang w:eastAsia="es-ES"/>
        </w:rPr>
      </w:pPr>
      <w:r w:rsidRPr="005D7A67">
        <w:rPr>
          <w:rFonts w:ascii="Verdana" w:eastAsia="Calibri" w:hAnsi="Verdana" w:cs="Arial"/>
          <w:color w:val="000000" w:themeColor="text1"/>
          <w:sz w:val="20"/>
          <w:szCs w:val="20"/>
          <w:lang w:eastAsia="es-ES"/>
        </w:rPr>
        <w:lastRenderedPageBreak/>
        <w:t>Lo que procedería es que la universidad modifique su manual de contratación para incluir un capítulo especial de contratación con recursos del Sistema General de Regalías. Dicho capítulo debería establecer que, cuando la universidad sea designada ejecutora de proyectos financiados con recursos del SGR, los contratos que celebre para ejecutar dichos proyectos se someterán al Estatuto General de Contratación de la Administración Pública, a sus modalidades de selección, al Decreto 1082 de 2015, al régimen presupuestal del SGR, al Decreto 1821 de 2020, al uso del SPGR, al SECOP cuando corresponda, a los documentos tipo obligatorios cuando resulten aplicables y a las demás normas especiales que regulen la fuente de financiación</w:t>
      </w:r>
      <w:r>
        <w:rPr>
          <w:rFonts w:ascii="Verdana" w:eastAsia="Calibri" w:hAnsi="Verdana" w:cs="Arial"/>
          <w:color w:val="000000" w:themeColor="text1"/>
          <w:sz w:val="20"/>
          <w:szCs w:val="20"/>
          <w:lang w:eastAsia="es-ES"/>
        </w:rPr>
        <w:t>”</w:t>
      </w:r>
      <w:r w:rsidRPr="005D7A67">
        <w:rPr>
          <w:rFonts w:ascii="Verdana" w:eastAsia="Calibri" w:hAnsi="Verdana" w:cs="Arial"/>
          <w:color w:val="000000" w:themeColor="text1"/>
          <w:sz w:val="20"/>
          <w:szCs w:val="20"/>
          <w:lang w:eastAsia="es-ES"/>
        </w:rPr>
        <w:t>.</w:t>
      </w:r>
    </w:p>
    <w:p w14:paraId="6D05BFF5" w14:textId="77777777" w:rsidR="00E60C35" w:rsidRPr="005D7A67" w:rsidRDefault="00E60C35" w:rsidP="00E60C35">
      <w:pPr>
        <w:spacing w:after="0" w:line="240" w:lineRule="auto"/>
        <w:ind w:left="709" w:right="709"/>
        <w:jc w:val="both"/>
        <w:rPr>
          <w:rFonts w:ascii="Verdana" w:eastAsia="Calibri" w:hAnsi="Verdana" w:cs="Arial"/>
          <w:color w:val="000000" w:themeColor="text1"/>
          <w:sz w:val="20"/>
          <w:szCs w:val="20"/>
          <w:lang w:eastAsia="es-ES"/>
        </w:rPr>
      </w:pPr>
    </w:p>
    <w:p w14:paraId="10A207B4"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sidRPr="00C32F67">
        <w:rPr>
          <w:rFonts w:ascii="Verdana" w:eastAsia="Calibri" w:hAnsi="Verdana" w:cs="Arial"/>
          <w:color w:val="000000" w:themeColor="text1"/>
          <w:lang w:eastAsia="es-ES"/>
        </w:rPr>
        <w:t>En consecuencia, la circunstancia de que una entidad ejecutora del SGR esté sometida a un régimen especial no constituye, por sí misma, un obstáculo para el ejercicio de las potestades excepcionales del EGCAP</w:t>
      </w:r>
      <w:r>
        <w:rPr>
          <w:rFonts w:ascii="Verdana" w:eastAsia="Calibri" w:hAnsi="Verdana" w:cs="Arial"/>
          <w:color w:val="000000" w:themeColor="text1"/>
          <w:lang w:eastAsia="es-ES"/>
        </w:rPr>
        <w:t>, ya que l</w:t>
      </w:r>
      <w:r w:rsidRPr="00C32F67">
        <w:rPr>
          <w:rFonts w:ascii="Verdana" w:eastAsia="Calibri" w:hAnsi="Verdana" w:cs="Arial"/>
          <w:color w:val="000000" w:themeColor="text1"/>
          <w:lang w:eastAsia="es-ES"/>
        </w:rPr>
        <w:t>o determinante es el régimen jurídico aplicable al contrato concreto</w:t>
      </w:r>
      <w:r>
        <w:rPr>
          <w:rFonts w:ascii="Verdana" w:eastAsia="Calibri" w:hAnsi="Verdana" w:cs="Arial"/>
          <w:color w:val="000000" w:themeColor="text1"/>
          <w:lang w:eastAsia="es-ES"/>
        </w:rPr>
        <w:t xml:space="preserve"> de acuerdo con el tipo de recursos, de manera que </w:t>
      </w:r>
      <w:r w:rsidRPr="00C32F67">
        <w:rPr>
          <w:rFonts w:ascii="Verdana" w:eastAsia="Calibri" w:hAnsi="Verdana" w:cs="Arial"/>
          <w:color w:val="000000" w:themeColor="text1"/>
          <w:lang w:eastAsia="es-ES"/>
        </w:rPr>
        <w:t>si este se celebra para ejecutar recursos del SGR y, por mandato del artículo 37 de la Ley 2056 de 2020, se encuentra sometido al EGCAP, las potestades excepcionales previstas en dicho Estatuto serán aplicables en los términos y bajo los presupuestos establecidos por la Ley 80 de 1993</w:t>
      </w:r>
      <w:r>
        <w:rPr>
          <w:rFonts w:ascii="Verdana" w:eastAsia="Calibri" w:hAnsi="Verdana" w:cs="Arial"/>
          <w:color w:val="000000" w:themeColor="text1"/>
          <w:lang w:eastAsia="es-ES"/>
        </w:rPr>
        <w:t>, así como</w:t>
      </w:r>
      <w:r w:rsidRPr="00C32F67">
        <w:rPr>
          <w:rFonts w:ascii="Verdana" w:eastAsia="Calibri" w:hAnsi="Verdana" w:cs="Arial"/>
          <w:color w:val="000000" w:themeColor="text1"/>
          <w:lang w:eastAsia="es-ES"/>
        </w:rPr>
        <w:t xml:space="preserve"> </w:t>
      </w:r>
      <w:r w:rsidRPr="009B31D1">
        <w:rPr>
          <w:rFonts w:ascii="Verdana" w:eastAsia="Calibri" w:hAnsi="Verdana" w:cs="Arial"/>
          <w:color w:val="000000" w:themeColor="text1"/>
          <w:lang w:eastAsia="es-ES"/>
        </w:rPr>
        <w:t>la aplicación del artículo 86 de la Ley 1474 de 2011</w:t>
      </w:r>
      <w:r>
        <w:rPr>
          <w:rFonts w:ascii="Verdana" w:eastAsia="Calibri" w:hAnsi="Verdana" w:cs="Arial"/>
          <w:color w:val="000000" w:themeColor="text1"/>
          <w:lang w:eastAsia="es-ES"/>
        </w:rPr>
        <w:t>, según corresponda.</w:t>
      </w:r>
    </w:p>
    <w:p w14:paraId="330E34DF"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Sobre el particular, vale </w:t>
      </w:r>
      <w:r w:rsidRPr="00FB6807">
        <w:rPr>
          <w:rFonts w:ascii="Verdana" w:eastAsia="Calibri" w:hAnsi="Verdana" w:cs="Arial"/>
          <w:color w:val="000000" w:themeColor="text1"/>
          <w:lang w:eastAsia="es-ES"/>
        </w:rPr>
        <w:t>reiterar que la sujeción al EGCAP que se deriva de la ejecución de proyectos de inversión financiados con recursos del SGR no supone una modificación general ni permanente del régimen jurídico contractual de los sujetos designados como ejecutores. En particular, cuando se trata de entidades sometidas a regímenes especiales de contratación, dicha sujeción opera exclusivamente respecto de la contratación necesaria para la ejecución de los proyectos a los que se refiere la Ley 2056 de 2020, sin que implique la sustitución de los regímenes especiales que les sean propios para el desarrollo de las demás actividades comprendidas dentro de su objeto y funciones. De la misma manera, la aplicación del EGCAP para una actividad específica no modifica la naturaleza jurídica del ejecutor ni lo convierte, por ese solo hecho, en una entidad estatal sometida integralmente a la Ley 80 de 1993.</w:t>
      </w:r>
    </w:p>
    <w:p w14:paraId="430F167E" w14:textId="77777777" w:rsidR="00E60C35" w:rsidRPr="00FB6807" w:rsidRDefault="00E60C35" w:rsidP="00E60C35">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Finalmente, frente al supuesto señalado en su consulta refe</w:t>
      </w:r>
      <w:r w:rsidRPr="00AB207D">
        <w:rPr>
          <w:rFonts w:ascii="Verdana" w:eastAsia="Calibri" w:hAnsi="Verdana" w:cs="Arial"/>
          <w:color w:val="000000" w:themeColor="text1"/>
          <w:lang w:eastAsia="es-ES"/>
        </w:rPr>
        <w:t xml:space="preserve">rente a la existencia de una diferencia entre una entidad sometida a un régimen especial que ejecuta directamente recursos del SGR y aquella que, en su condición de ejecutora, celebra un contrato interadministrativo con otra entidad estatal para </w:t>
      </w:r>
      <w:r w:rsidRPr="00AB207D">
        <w:rPr>
          <w:rFonts w:ascii="Verdana" w:eastAsia="Calibri" w:hAnsi="Verdana" w:cs="Arial"/>
          <w:color w:val="000000" w:themeColor="text1"/>
          <w:lang w:eastAsia="es-ES"/>
        </w:rPr>
        <w:lastRenderedPageBreak/>
        <w:t>que esta última adelante materialmente la ejecución del proyecto o de una parte de este, debe</w:t>
      </w:r>
      <w:r>
        <w:rPr>
          <w:rFonts w:ascii="Verdana" w:eastAsia="Calibri" w:hAnsi="Verdana" w:cs="Arial"/>
          <w:color w:val="000000" w:themeColor="text1"/>
          <w:lang w:eastAsia="es-ES"/>
        </w:rPr>
        <w:t xml:space="preserve"> señalarse que </w:t>
      </w:r>
      <w:r w:rsidRPr="00FB6807">
        <w:rPr>
          <w:rFonts w:ascii="Verdana" w:eastAsia="Calibri" w:hAnsi="Verdana" w:cs="Arial"/>
          <w:color w:val="000000" w:themeColor="text1"/>
          <w:lang w:eastAsia="es-ES"/>
        </w:rPr>
        <w:t>para la gestión de los recursos del SGR las entidades ejecutoras deberán aplicar las normas especiales establecidas en el Decreto 1821 de 2020 “Por el cual se expide el Decreto Único Reglamentario del Sistema General de Regalías”</w:t>
      </w:r>
      <w:r>
        <w:rPr>
          <w:rFonts w:ascii="Verdana" w:eastAsia="Calibri" w:hAnsi="Verdana" w:cs="Arial"/>
          <w:color w:val="000000" w:themeColor="text1"/>
          <w:lang w:eastAsia="es-ES"/>
        </w:rPr>
        <w:t>. En esta normativa sé</w:t>
      </w:r>
      <w:r w:rsidRPr="00FB6807">
        <w:rPr>
          <w:rFonts w:ascii="Verdana" w:eastAsia="Calibri" w:hAnsi="Verdana" w:cs="Arial"/>
          <w:color w:val="000000" w:themeColor="text1"/>
          <w:lang w:eastAsia="es-ES"/>
        </w:rPr>
        <w:t xml:space="preserve"> establecen reglas precisas sobre dichos recursos cuando los órganos y demás entidades designadas como ejecutoras, contraten a una persona natural o jurídica que se encargue de suministrar los bienes y/o servicios</w:t>
      </w:r>
      <w:r w:rsidRPr="00FB6807">
        <w:rPr>
          <w:rFonts w:ascii="Verdana" w:eastAsia="Calibri" w:hAnsi="Verdana" w:cs="Arial"/>
          <w:color w:val="000000" w:themeColor="text1"/>
          <w:vertAlign w:val="superscript"/>
          <w:lang w:eastAsia="es-ES"/>
        </w:rPr>
        <w:footnoteReference w:id="13"/>
      </w:r>
      <w:r w:rsidRPr="00FB6807">
        <w:rPr>
          <w:rFonts w:ascii="Verdana" w:eastAsia="Calibri" w:hAnsi="Verdana" w:cs="Arial"/>
          <w:color w:val="000000" w:themeColor="text1"/>
          <w:lang w:eastAsia="es-ES"/>
        </w:rPr>
        <w:t xml:space="preserve">, así como cuando la entidad ejecutora sea la responsable de producir o proveer directamente bienes o servicios contemplados dentro de las actividades del proyecto de inversión financiado con recursos del Sistema General de Regalías. En este último caso, el artículo 2.1.1.3.18. </w:t>
      </w:r>
      <w:r w:rsidRPr="00FB6807">
        <w:rPr>
          <w:rFonts w:ascii="Verdana" w:eastAsia="Calibri" w:hAnsi="Verdana" w:cs="Arial"/>
          <w:i/>
          <w:iCs/>
          <w:color w:val="000000" w:themeColor="text1"/>
          <w:lang w:eastAsia="es-ES"/>
        </w:rPr>
        <w:t xml:space="preserve">ibidem </w:t>
      </w:r>
      <w:r w:rsidRPr="00FB6807">
        <w:rPr>
          <w:rFonts w:ascii="Verdana" w:eastAsia="Calibri" w:hAnsi="Verdana" w:cs="Arial"/>
          <w:color w:val="000000" w:themeColor="text1"/>
          <w:lang w:eastAsia="es-ES"/>
        </w:rPr>
        <w:t>señala que “Será responsabilidad de la entidad ejecutora contar con la capacidad técnica, legal, administrativa y financiera de producir o proveer directamente los bienes o servicios contemplados dentro de las actividades del proyecto de inversión</w:t>
      </w:r>
      <w:r w:rsidRPr="00FB6807">
        <w:rPr>
          <w:rFonts w:ascii="Verdana" w:eastAsia="Calibri" w:hAnsi="Verdana" w:cs="Arial"/>
          <w:color w:val="000000" w:themeColor="text1"/>
          <w:vertAlign w:val="superscript"/>
          <w:lang w:eastAsia="es-ES"/>
        </w:rPr>
        <w:footnoteReference w:id="14"/>
      </w:r>
      <w:r w:rsidRPr="00FB6807">
        <w:rPr>
          <w:rFonts w:ascii="Verdana" w:eastAsia="Calibri" w:hAnsi="Verdana" w:cs="Arial"/>
          <w:color w:val="000000" w:themeColor="text1"/>
          <w:lang w:eastAsia="es-ES"/>
        </w:rPr>
        <w:t>”.</w:t>
      </w:r>
    </w:p>
    <w:p w14:paraId="34DEC48E" w14:textId="77777777" w:rsidR="00E60C35" w:rsidRPr="00FB6807" w:rsidRDefault="00E60C35" w:rsidP="00E60C35">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lastRenderedPageBreak/>
        <w:t>De esta manera, según se evidencia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r w:rsidRPr="00FB6807">
        <w:rPr>
          <w:rFonts w:ascii="Verdana" w:eastAsia="Calibri" w:hAnsi="Verdana" w:cs="Arial"/>
          <w:color w:val="000000" w:themeColor="text1"/>
          <w:vertAlign w:val="superscript"/>
          <w:lang w:eastAsia="es-ES"/>
        </w:rPr>
        <w:footnoteReference w:id="15"/>
      </w:r>
      <w:r w:rsidRPr="00FB6807">
        <w:rPr>
          <w:rFonts w:ascii="Verdana" w:eastAsia="Calibri" w:hAnsi="Verdana" w:cs="Arial"/>
          <w:color w:val="000000" w:themeColor="text1"/>
          <w:lang w:eastAsia="es-ES"/>
        </w:rPr>
        <w:t>.”</w:t>
      </w:r>
    </w:p>
    <w:p w14:paraId="61273AD3" w14:textId="77777777" w:rsidR="00E60C35" w:rsidRPr="00FB6807" w:rsidRDefault="00E60C35" w:rsidP="00E60C35">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Bajo esta premisa, 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w:t>
      </w:r>
    </w:p>
    <w:p w14:paraId="3908962E" w14:textId="77777777" w:rsidR="00E60C35" w:rsidRPr="00674FE5" w:rsidRDefault="00E60C35" w:rsidP="00E60C35">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En atención a lo anterior, cuando el ente ejecutor carezca de capacidad técnica, administrativa u operativa para desarrollar directamente las actividades del proyecto —según el deber de autoevaluación del artículo 2.1.1.3.18 del Decreto 1821 de 2020—, podrá vincular a otra entidad idónea, </w:t>
      </w:r>
      <w:r w:rsidRPr="00674FE5">
        <w:rPr>
          <w:rFonts w:ascii="Verdana" w:eastAsia="Calibri" w:hAnsi="Verdana" w:cs="Arial"/>
          <w:color w:val="000000" w:themeColor="text1"/>
          <w:lang w:eastAsia="es-ES"/>
        </w:rPr>
        <w:t xml:space="preserve">pública o privada, a través de la modalidad de selección que corresponda conforme al EGCAP, atendiendo al objeto contractual.  Ahora bien, esa vinculación no puede instrumentarse mediante contrato o convenio interadministrativo (literal c del numeral 4 del artículo 2 de la Ley 1150 de 2007), por el criterio orgánico respecto de aquellas </w:t>
      </w:r>
      <w:r>
        <w:rPr>
          <w:rFonts w:ascii="Verdana" w:eastAsia="Calibri" w:hAnsi="Verdana" w:cs="Arial"/>
          <w:color w:val="000000" w:themeColor="text1"/>
          <w:lang w:eastAsia="es-ES"/>
        </w:rPr>
        <w:t xml:space="preserve">organizaciones </w:t>
      </w:r>
      <w:r w:rsidRPr="00674FE5">
        <w:rPr>
          <w:rFonts w:ascii="Verdana" w:eastAsia="Calibri" w:hAnsi="Verdana" w:cs="Arial"/>
          <w:color w:val="000000" w:themeColor="text1"/>
          <w:lang w:eastAsia="es-ES"/>
        </w:rPr>
        <w:t xml:space="preserve">que no tengan el carácter de entidad estatal pues esta es una figura reservada para esta categoría, por lo que es necesario revisar su naturaleza jurídica para establecer su procedencia. En todo caso, la vinculación de un tercero para la ejecución técnica no traslada la condición de ejecutor: por expreso mandato del </w:t>
      </w:r>
      <w:r w:rsidRPr="00C9478A">
        <w:rPr>
          <w:rFonts w:ascii="Verdana" w:eastAsia="Calibri" w:hAnsi="Verdana" w:cs="Arial"/>
          <w:color w:val="000000" w:themeColor="text1"/>
          <w:lang w:eastAsia="es-ES"/>
        </w:rPr>
        <w:t xml:space="preserve">parágrafo </w:t>
      </w:r>
      <w:r>
        <w:rPr>
          <w:rFonts w:ascii="Verdana" w:eastAsia="Calibri" w:hAnsi="Verdana" w:cs="Arial"/>
          <w:color w:val="000000" w:themeColor="text1"/>
          <w:lang w:eastAsia="es-ES"/>
        </w:rPr>
        <w:t>1</w:t>
      </w:r>
      <w:r w:rsidRPr="00C9478A">
        <w:rPr>
          <w:rFonts w:ascii="Verdana" w:eastAsia="Calibri" w:hAnsi="Verdana" w:cs="Arial"/>
          <w:color w:val="000000" w:themeColor="text1"/>
          <w:lang w:eastAsia="es-ES"/>
        </w:rPr>
        <w:t>º del</w:t>
      </w:r>
      <w:r w:rsidRPr="00674FE5">
        <w:rPr>
          <w:rFonts w:ascii="Verdana" w:eastAsia="Calibri" w:hAnsi="Verdana" w:cs="Arial"/>
          <w:color w:val="000000" w:themeColor="text1"/>
          <w:lang w:eastAsia="es-ES"/>
        </w:rPr>
        <w:t xml:space="preserve"> artículo 84 de la Ley 2056 de 2020, el ejecutor es el ordenador del gasto y garantiza la correcta ejecución de los recursos, responsabilidad que resulta indelegable.</w:t>
      </w:r>
    </w:p>
    <w:p w14:paraId="19764146" w14:textId="77777777" w:rsidR="00E60C35" w:rsidRDefault="00E60C35" w:rsidP="00E60C35">
      <w:pPr>
        <w:spacing w:after="120" w:line="276" w:lineRule="auto"/>
        <w:ind w:firstLine="709"/>
        <w:jc w:val="both"/>
        <w:rPr>
          <w:rFonts w:ascii="Verdana" w:eastAsia="Calibri" w:hAnsi="Verdana" w:cs="Arial"/>
          <w:color w:val="000000" w:themeColor="text1"/>
          <w:lang w:eastAsia="es-ES"/>
        </w:rPr>
      </w:pPr>
      <w:r w:rsidRPr="00674FE5">
        <w:rPr>
          <w:rFonts w:ascii="Verdana" w:eastAsia="Calibri" w:hAnsi="Verdana" w:cs="Arial"/>
          <w:color w:val="000000" w:themeColor="text1"/>
          <w:lang w:eastAsia="es-ES"/>
        </w:rPr>
        <w:lastRenderedPageBreak/>
        <w:t>En este contexto</w:t>
      </w:r>
      <w:r>
        <w:rPr>
          <w:rFonts w:ascii="Verdana" w:eastAsia="Calibri" w:hAnsi="Verdana" w:cs="Arial"/>
          <w:color w:val="000000" w:themeColor="text1"/>
          <w:lang w:eastAsia="es-ES"/>
        </w:rPr>
        <w:t xml:space="preserve">, la </w:t>
      </w:r>
      <w:r w:rsidRPr="00674FE5">
        <w:rPr>
          <w:rFonts w:ascii="Verdana" w:eastAsia="Calibri" w:hAnsi="Verdana" w:cs="Arial"/>
          <w:color w:val="000000" w:themeColor="text1"/>
          <w:lang w:eastAsia="es-ES"/>
        </w:rPr>
        <w:t>entidad ejecutora puede subcontratar legítimamente las actividades que requiera y celebrar los contratos necesarios para materializar la asignación que administra, conforme a las decisiones de la instancia de decisión competente. Lo que no puede es trasladar a un tercero su condición de ejecutora ni la responsabilidad que de ella se deriva, pues el subcontrato no constituye un mecanismo para delegar dicho rol en el marco del SGR. Ese traslado íntegro no solo compromete la validez del contrato, por las razones expuestas, sino que puede generar detrimento patrimonial por los sobrecostos propios de la intermediación. Por ello, cuando la ejecución exija contratar con terceros bajo el EGCAP, la ejecutora debe garantizar la selección objetiva del contratista y el respeto del régimen de inhabilidades e incompatibilidades, además de las demás reglas y principios del estatuto</w:t>
      </w:r>
      <w:r>
        <w:rPr>
          <w:rFonts w:ascii="Verdana" w:eastAsia="Calibri" w:hAnsi="Verdana" w:cs="Arial"/>
          <w:color w:val="000000" w:themeColor="text1"/>
          <w:lang w:eastAsia="es-ES"/>
        </w:rPr>
        <w:t>, y la aplicación de las cláusulas excepcionales, según corresponda.</w:t>
      </w:r>
    </w:p>
    <w:p w14:paraId="68B2D6BF" w14:textId="77777777" w:rsidR="00E60C35" w:rsidRPr="007C3A0A" w:rsidRDefault="00E60C35" w:rsidP="00E60C35">
      <w:pPr>
        <w:spacing w:after="120" w:line="276" w:lineRule="auto"/>
        <w:ind w:firstLine="709"/>
        <w:jc w:val="both"/>
        <w:rPr>
          <w:rFonts w:ascii="Verdana" w:eastAsia="Calibri" w:hAnsi="Verdana" w:cs="Arial"/>
          <w:lang w:eastAsia="es-ES"/>
        </w:rPr>
      </w:pPr>
      <w:r>
        <w:rPr>
          <w:rFonts w:ascii="Verdana" w:eastAsia="Calibri" w:hAnsi="Verdana" w:cs="Arial"/>
          <w:lang w:eastAsia="es-ES"/>
        </w:rPr>
        <w:t>Respecto de los contratos interadministrativos que celebre la entidad ejecutora</w:t>
      </w:r>
      <w:r w:rsidRPr="007C3A0A">
        <w:t xml:space="preserve"> </w:t>
      </w:r>
      <w:r w:rsidRPr="007C3A0A">
        <w:rPr>
          <w:rFonts w:ascii="Verdana" w:eastAsia="Calibri" w:hAnsi="Verdana" w:cs="Arial"/>
          <w:lang w:eastAsia="es-ES"/>
        </w:rPr>
        <w:t>las facultades excepcionales deberán analizarse atendiendo a su objeto, a las partes que lo celebran y a las reglas específicas que regulan esta modalidad contractual. En particular, no puede afirmarse que la entidad inicialmente designada como ejecutora adquiera, por el solo hecho de serlo, una facultad para ejercer potestades excepcionales sobre la entidad contratista al margen de los establecidos por la Ley 80 de 1993.</w:t>
      </w:r>
    </w:p>
    <w:p w14:paraId="2FE53FB2" w14:textId="77777777" w:rsidR="00E60C35" w:rsidRDefault="00E60C35" w:rsidP="00E60C35">
      <w:pPr>
        <w:spacing w:after="120" w:line="276" w:lineRule="auto"/>
        <w:ind w:firstLine="709"/>
        <w:jc w:val="both"/>
        <w:rPr>
          <w:rFonts w:ascii="Verdana" w:eastAsia="Calibri" w:hAnsi="Verdana" w:cs="Arial"/>
          <w:lang w:eastAsia="es-ES"/>
        </w:rPr>
      </w:pPr>
      <w:r w:rsidRPr="007C3A0A">
        <w:rPr>
          <w:rFonts w:ascii="Verdana" w:eastAsia="Calibri" w:hAnsi="Verdana" w:cs="Arial"/>
          <w:lang w:eastAsia="es-ES"/>
        </w:rPr>
        <w:t xml:space="preserve">A su vez, la entidad estatal que </w:t>
      </w:r>
      <w:r>
        <w:rPr>
          <w:rFonts w:ascii="Verdana" w:eastAsia="Calibri" w:hAnsi="Verdana" w:cs="Arial"/>
          <w:lang w:eastAsia="es-ES"/>
        </w:rPr>
        <w:t>realizará actividades del proyecto</w:t>
      </w:r>
      <w:r w:rsidRPr="007C3A0A">
        <w:rPr>
          <w:rFonts w:ascii="Verdana" w:eastAsia="Calibri" w:hAnsi="Verdana" w:cs="Arial"/>
          <w:lang w:eastAsia="es-ES"/>
        </w:rPr>
        <w:t xml:space="preserve"> no adquiere por esa sola circunstancia la condición de ejecutora de los recursos del SGR, pues esta condición</w:t>
      </w:r>
      <w:r>
        <w:rPr>
          <w:rFonts w:ascii="Verdana" w:eastAsia="Calibri" w:hAnsi="Verdana" w:cs="Arial"/>
          <w:lang w:eastAsia="es-ES"/>
        </w:rPr>
        <w:t xml:space="preserve">, como se explicó, </w:t>
      </w:r>
      <w:r w:rsidRPr="007C3A0A">
        <w:rPr>
          <w:rFonts w:ascii="Verdana" w:eastAsia="Calibri" w:hAnsi="Verdana" w:cs="Arial"/>
          <w:lang w:eastAsia="es-ES"/>
        </w:rPr>
        <w:t>deriva de la designación efectuada en los términos de la Ley 2056 de 2020. Sin embargo, si dicha entidad celebra contratos sometidos al EGCAP para desarrollar las actividades objeto del contrato interadministrativo, será frente a esos contratos que deberá determinarse el régimen jurídico aplicable y, de ser procedente, el ejercicio de las respectivas facultades excepcionales.</w:t>
      </w:r>
    </w:p>
    <w:p w14:paraId="08C94F22" w14:textId="77777777" w:rsidR="00E60C35" w:rsidRPr="00A47393" w:rsidRDefault="00E60C35" w:rsidP="00E60C35">
      <w:pPr>
        <w:tabs>
          <w:tab w:val="left" w:pos="709"/>
        </w:tabs>
        <w:spacing w:after="18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w:t>
      </w:r>
      <w:r w:rsidRPr="00A47393">
        <w:rPr>
          <w:rFonts w:ascii="Verdana" w:eastAsia="Calibri" w:hAnsi="Verdana" w:cs="Arial"/>
          <w:bCs/>
          <w:color w:val="000000" w:themeColor="text1"/>
        </w:rPr>
        <w:lastRenderedPageBreak/>
        <w:t>de situaciones particulares corresponde a los interesados adoptar la decisión correspondiente y, en caso de conflicto, a las autoridades judiciales, fiscales y disciplinarias.</w:t>
      </w:r>
    </w:p>
    <w:p w14:paraId="2DED790F" w14:textId="77777777" w:rsidR="00E60C35" w:rsidRPr="00185EE9" w:rsidRDefault="00E60C35" w:rsidP="00E60C35">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0A4A06A6" w14:textId="77777777" w:rsidR="00E60C35" w:rsidRPr="00182C89" w:rsidRDefault="00E60C35" w:rsidP="00E60C35">
      <w:pPr>
        <w:tabs>
          <w:tab w:val="left" w:pos="709"/>
        </w:tabs>
        <w:spacing w:after="0" w:line="276" w:lineRule="auto"/>
        <w:jc w:val="both"/>
        <w:rPr>
          <w:rFonts w:ascii="Verdana" w:eastAsia="Calibri" w:hAnsi="Verdana" w:cs="Arial"/>
          <w:color w:val="000000" w:themeColor="text1"/>
        </w:rPr>
      </w:pPr>
    </w:p>
    <w:p w14:paraId="54EDCBBF" w14:textId="77777777" w:rsidR="00E60C35" w:rsidRPr="00593A5F" w:rsidRDefault="00E60C35" w:rsidP="00E60C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1AE3621" w14:textId="77777777" w:rsidR="00E60C35" w:rsidRPr="00593A5F" w:rsidRDefault="00E60C35" w:rsidP="00E60C3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0C35" w:rsidRPr="002407CE" w14:paraId="1B658175" w14:textId="77777777" w:rsidTr="00DF2049">
        <w:trPr>
          <w:trHeight w:val="56"/>
          <w:jc w:val="center"/>
        </w:trPr>
        <w:tc>
          <w:tcPr>
            <w:tcW w:w="8647" w:type="dxa"/>
          </w:tcPr>
          <w:p w14:paraId="535F5E5D" w14:textId="77777777" w:rsidR="00E60C35" w:rsidRDefault="00E60C35" w:rsidP="00DF204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393943">
              <w:rPr>
                <w:rFonts w:ascii="Verdana" w:hAnsi="Verdana" w:cs="Arial"/>
              </w:rPr>
              <w:t xml:space="preserve">Constitución Política de 1991, artículos </w:t>
            </w:r>
            <w:r>
              <w:rPr>
                <w:rFonts w:ascii="Verdana" w:hAnsi="Verdana" w:cs="Arial"/>
              </w:rPr>
              <w:t xml:space="preserve">29, </w:t>
            </w:r>
            <w:r w:rsidRPr="00393943">
              <w:rPr>
                <w:rFonts w:ascii="Verdana" w:hAnsi="Verdana" w:cs="Arial"/>
              </w:rPr>
              <w:t>360 y 361</w:t>
            </w:r>
            <w:r>
              <w:rPr>
                <w:rFonts w:ascii="Verdana" w:hAnsi="Verdana" w:cs="Arial"/>
              </w:rPr>
              <w:t>.</w:t>
            </w:r>
            <w:r w:rsidRPr="00B87E7A">
              <w:rPr>
                <w:rFonts w:ascii="Verdana" w:hAnsi="Verdana" w:cs="Arial"/>
              </w:rPr>
              <w:t xml:space="preserve"> </w:t>
            </w:r>
          </w:p>
          <w:p w14:paraId="0CB3EF7A" w14:textId="77777777" w:rsidR="00E60C35" w:rsidRDefault="00E60C35" w:rsidP="00DF204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17</w:t>
            </w:r>
          </w:p>
          <w:p w14:paraId="6DF6DF0E" w14:textId="77777777" w:rsidR="00E60C35" w:rsidRDefault="00E60C35" w:rsidP="00DF204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3.</w:t>
            </w:r>
          </w:p>
          <w:p w14:paraId="32D7FDB8" w14:textId="77777777" w:rsidR="00E60C35" w:rsidRDefault="00E60C35" w:rsidP="00DF204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86.</w:t>
            </w:r>
          </w:p>
          <w:p w14:paraId="232D4966" w14:textId="77777777" w:rsidR="00E60C35" w:rsidRPr="007F34F0" w:rsidRDefault="00E60C35" w:rsidP="00DF2049">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393943">
              <w:rPr>
                <w:rFonts w:ascii="Verdana" w:hAnsi="Verdana" w:cs="Arial"/>
              </w:rPr>
              <w:t>Ley 2056 de 2020, artículos 28 a 37, 83, 87, 98, 99, 101, 108 y 109</w:t>
            </w:r>
            <w:r>
              <w:rPr>
                <w:rFonts w:ascii="Verdana" w:hAnsi="Verdana" w:cs="Arial"/>
              </w:rPr>
              <w:t>.</w:t>
            </w:r>
          </w:p>
        </w:tc>
      </w:tr>
    </w:tbl>
    <w:p w14:paraId="20243036" w14:textId="77777777" w:rsidR="00E60C35" w:rsidRPr="002407CE" w:rsidRDefault="00E60C35" w:rsidP="00E60C35">
      <w:pPr>
        <w:widowControl w:val="0"/>
        <w:autoSpaceDE w:val="0"/>
        <w:autoSpaceDN w:val="0"/>
        <w:spacing w:after="0" w:line="276" w:lineRule="auto"/>
        <w:jc w:val="both"/>
        <w:rPr>
          <w:rFonts w:ascii="Verdana" w:hAnsi="Verdana" w:cs="Arial"/>
        </w:rPr>
      </w:pPr>
    </w:p>
    <w:p w14:paraId="275A3EC4" w14:textId="77777777" w:rsidR="00E60C35" w:rsidRPr="00593A5F" w:rsidRDefault="00E60C35" w:rsidP="00E60C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C26B30E" w14:textId="77777777" w:rsidR="00E60C35" w:rsidRPr="00593A5F" w:rsidRDefault="00E60C35" w:rsidP="00E60C35">
      <w:pPr>
        <w:widowControl w:val="0"/>
        <w:autoSpaceDE w:val="0"/>
        <w:autoSpaceDN w:val="0"/>
        <w:spacing w:after="0" w:line="276" w:lineRule="auto"/>
        <w:jc w:val="both"/>
        <w:rPr>
          <w:rFonts w:ascii="Verdana" w:hAnsi="Verdana" w:cs="Arial"/>
        </w:rPr>
      </w:pPr>
    </w:p>
    <w:p w14:paraId="03AFEF5D" w14:textId="77777777" w:rsidR="00E60C35" w:rsidRPr="00ED0098" w:rsidRDefault="00E60C35" w:rsidP="00E60C35">
      <w:pPr>
        <w:widowControl w:val="0"/>
        <w:autoSpaceDE w:val="0"/>
        <w:autoSpaceDN w:val="0"/>
        <w:spacing w:after="0" w:line="276" w:lineRule="auto"/>
        <w:jc w:val="both"/>
        <w:rPr>
          <w:rStyle w:val="normaltextrun"/>
          <w:rFonts w:ascii="Verdana" w:hAnsi="Verdana" w:cs="Arial"/>
          <w:shd w:val="clear" w:color="auto" w:fill="FFFFFF"/>
        </w:rPr>
      </w:pPr>
      <w:r w:rsidRPr="008554C1">
        <w:rPr>
          <w:rFonts w:ascii="Verdana" w:hAnsi="Verdana" w:cs="Arial"/>
          <w:shd w:val="clear" w:color="auto" w:fill="FFFFFF"/>
        </w:rPr>
        <w:t>Esta Subdirección se ha pronunciado sobre el régimen de contratación de las entidades ejecutoras cuando ejecutan recursos del SGR en los conceptos C-370 del 2021,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Pr>
          <w:rFonts w:ascii="Verdana" w:hAnsi="Verdana" w:cs="Arial"/>
          <w:shd w:val="clear" w:color="auto" w:fill="FFFFFF"/>
        </w:rPr>
        <w:t>,</w:t>
      </w:r>
      <w:r w:rsidRPr="008554C1">
        <w:rPr>
          <w:rFonts w:ascii="Verdana" w:hAnsi="Verdana" w:cs="Arial"/>
          <w:shd w:val="clear" w:color="auto" w:fill="FFFFFF"/>
        </w:rPr>
        <w:t xml:space="preserve"> C-764 del 29 de mayo de 2026</w:t>
      </w:r>
      <w:r>
        <w:rPr>
          <w:rFonts w:ascii="Verdana" w:hAnsi="Verdana" w:cs="Arial"/>
          <w:shd w:val="clear" w:color="auto" w:fill="FFFFFF"/>
        </w:rPr>
        <w:t xml:space="preserve"> y C-1050 del 21 de julio de 2026</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F7E7D02" w14:textId="77777777" w:rsidR="00E60C35" w:rsidRPr="00096788" w:rsidRDefault="00E60C35" w:rsidP="00E60C35">
      <w:pPr>
        <w:widowControl w:val="0"/>
        <w:autoSpaceDE w:val="0"/>
        <w:autoSpaceDN w:val="0"/>
        <w:spacing w:after="0" w:line="276" w:lineRule="auto"/>
        <w:jc w:val="both"/>
        <w:rPr>
          <w:rFonts w:ascii="Verdana" w:hAnsi="Verdana" w:cs="Arial"/>
          <w:color w:val="000000" w:themeColor="text1"/>
          <w:shd w:val="clear" w:color="auto" w:fill="FFFFFF"/>
        </w:rPr>
      </w:pPr>
    </w:p>
    <w:p w14:paraId="028E6E60" w14:textId="77777777" w:rsidR="00E60C35" w:rsidRPr="00F42673" w:rsidRDefault="00E60C35" w:rsidP="00E60C35">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42673">
        <w:rPr>
          <w:rFonts w:ascii="Verdana" w:eastAsia="Times New Roman" w:hAnsi="Verdana" w:cs="Times New Roman"/>
          <w:b/>
          <w:bCs/>
          <w:color w:val="000000"/>
          <w:lang w:eastAsia="es-MX"/>
        </w:rPr>
        <w:t>Guía para la Exigencia y Constitución de Garantías en los Procesos de Contratación</w:t>
      </w:r>
      <w:r w:rsidRPr="00F42673">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10;https://www.colombiacompra.gov.co/archivos/manual/guia-de-garantias-en-procesos-de-contratacion&#10;&#10;Click to follow link." w:history="1">
        <w:r w:rsidRPr="00F42673">
          <w:rPr>
            <w:rFonts w:ascii="Verdana" w:eastAsia="Times New Roman" w:hAnsi="Verdana" w:cs="Times New Roman"/>
            <w:color w:val="0086F0"/>
            <w:u w:val="single"/>
            <w:lang w:eastAsia="es-MX"/>
          </w:rPr>
          <w:t>https://www.colombiacompra.gov.co/archivos/manual/guia-de-garantias-en-procesos-de-contratacion</w:t>
        </w:r>
      </w:hyperlink>
    </w:p>
    <w:p w14:paraId="2D2D18A4" w14:textId="77777777" w:rsidR="00E60C35" w:rsidRPr="00F42673" w:rsidRDefault="00E60C35" w:rsidP="00E60C35">
      <w:pPr>
        <w:spacing w:after="0" w:line="276" w:lineRule="auto"/>
        <w:jc w:val="both"/>
        <w:rPr>
          <w:rFonts w:ascii="Verdana" w:eastAsia="Times New Roman" w:hAnsi="Verdana" w:cs="Times New Roman"/>
          <w:color w:val="000000"/>
          <w:lang w:eastAsia="es-MX"/>
        </w:rPr>
      </w:pPr>
    </w:p>
    <w:p w14:paraId="36171529" w14:textId="77777777" w:rsidR="00E60C35" w:rsidRPr="00F42673" w:rsidRDefault="00E60C35" w:rsidP="00E60C35">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F42673">
        <w:rPr>
          <w:rFonts w:ascii="Verdana" w:eastAsia="Times New Roman" w:hAnsi="Verdana" w:cs="Times New Roman"/>
          <w:b/>
          <w:bCs/>
          <w:color w:val="000000"/>
          <w:lang w:eastAsia="es-MX"/>
        </w:rPr>
        <w:t>Sistema Integral de Preferencias en favor de las personas con discapacidad</w:t>
      </w:r>
      <w:r w:rsidRPr="00F42673">
        <w:rPr>
          <w:rFonts w:ascii="Verdana" w:eastAsia="Times New Roman" w:hAnsi="Verdana" w:cs="Times New Roman"/>
          <w:color w:val="000000"/>
          <w:lang w:eastAsia="es-MX"/>
        </w:rPr>
        <w:t>, en cumplimiento del artículo 13 de la Ley Estatutaria 1618 de 2013. Para orientar su aplicación, esta Agencia expidió la </w:t>
      </w:r>
      <w:r w:rsidRPr="00F42673">
        <w:rPr>
          <w:rFonts w:ascii="Verdana" w:eastAsia="Times New Roman" w:hAnsi="Verdana" w:cs="Times New Roman"/>
          <w:b/>
          <w:bCs/>
          <w:color w:val="000000"/>
          <w:lang w:eastAsia="es-MX"/>
        </w:rPr>
        <w:t>Circular Externa 003 del 12 de mayo de 2026, </w:t>
      </w:r>
      <w:r w:rsidRPr="00F42673">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F42673">
          <w:rPr>
            <w:rFonts w:ascii="Verdana" w:eastAsia="Times New Roman" w:hAnsi="Verdana" w:cs="Times New Roman"/>
            <w:color w:val="0086F0"/>
            <w:u w:val="single"/>
            <w:lang w:eastAsia="es-MX"/>
          </w:rPr>
          <w:t>https://www.colombiacompra.gov.co/archivos/circular/circular-externa-003-de-2026</w:t>
        </w:r>
      </w:hyperlink>
    </w:p>
    <w:p w14:paraId="2E939E9C" w14:textId="77777777" w:rsidR="00E60C35" w:rsidRPr="00F42673" w:rsidRDefault="00E60C35" w:rsidP="00E60C35">
      <w:pPr>
        <w:spacing w:after="0" w:line="276" w:lineRule="auto"/>
        <w:jc w:val="both"/>
        <w:rPr>
          <w:rFonts w:ascii="Verdana" w:eastAsia="Times New Roman" w:hAnsi="Verdana" w:cs="Times New Roman"/>
          <w:color w:val="000000"/>
          <w:lang w:eastAsia="es-MX"/>
        </w:rPr>
      </w:pPr>
    </w:p>
    <w:p w14:paraId="7038A2E8" w14:textId="77777777" w:rsidR="00E60C35" w:rsidRPr="00F42673" w:rsidRDefault="00E60C35" w:rsidP="00E60C35">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Recuerda también que la</w:t>
      </w:r>
      <w:r w:rsidRPr="00F42673">
        <w:rPr>
          <w:rFonts w:ascii="Verdana" w:eastAsia="Times New Roman" w:hAnsi="Verdana" w:cs="Times New Roman"/>
          <w:b/>
          <w:bCs/>
          <w:color w:val="000000"/>
          <w:lang w:eastAsia="es-MX"/>
        </w:rPr>
        <w:t> información sobre sanciones e inhabilidades </w:t>
      </w:r>
      <w:r w:rsidRPr="00F42673">
        <w:rPr>
          <w:rFonts w:ascii="Verdana" w:eastAsia="Times New Roman" w:hAnsi="Verdana" w:cs="Times New Roman"/>
          <w:color w:val="000000"/>
          <w:lang w:eastAsia="es-MX"/>
        </w:rPr>
        <w:t>solo cumple su función preventiva si llega oportunamente a los registros públicos. Sobre este deber, esta Agencia expidió la </w:t>
      </w:r>
      <w:r w:rsidRPr="00F42673">
        <w:rPr>
          <w:rFonts w:ascii="Verdana" w:eastAsia="Times New Roman" w:hAnsi="Verdana" w:cs="Times New Roman"/>
          <w:b/>
          <w:bCs/>
          <w:color w:val="000000"/>
          <w:lang w:eastAsia="es-MX"/>
        </w:rPr>
        <w:t xml:space="preserve">Circular Externa 002 del 5 de mayo de </w:t>
      </w:r>
      <w:proofErr w:type="gramStart"/>
      <w:r w:rsidRPr="00F42673">
        <w:rPr>
          <w:rFonts w:ascii="Verdana" w:eastAsia="Times New Roman" w:hAnsi="Verdana" w:cs="Times New Roman"/>
          <w:b/>
          <w:bCs/>
          <w:color w:val="000000"/>
          <w:lang w:eastAsia="es-MX"/>
        </w:rPr>
        <w:t>2026,</w:t>
      </w:r>
      <w:r w:rsidRPr="00F42673">
        <w:rPr>
          <w:rFonts w:ascii="Verdana" w:eastAsia="Times New Roman" w:hAnsi="Verdana" w:cs="Times New Roman"/>
          <w:color w:val="000000"/>
          <w:lang w:eastAsia="es-MX"/>
        </w:rPr>
        <w:t>dirigida</w:t>
      </w:r>
      <w:proofErr w:type="gramEnd"/>
      <w:r w:rsidRPr="00F42673">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F42673">
          <w:rPr>
            <w:rFonts w:ascii="Verdana" w:eastAsia="Times New Roman" w:hAnsi="Verdana" w:cs="Times New Roman"/>
            <w:color w:val="0086F0"/>
            <w:u w:val="single"/>
            <w:lang w:eastAsia="es-MX"/>
          </w:rPr>
          <w:t>https://www.colombiacompra.gov.co/archivos/circular/circular-externa-002-de-2026</w:t>
        </w:r>
      </w:hyperlink>
    </w:p>
    <w:p w14:paraId="47CE8F20" w14:textId="77777777" w:rsidR="00E60C35" w:rsidRPr="00F42673" w:rsidRDefault="00E60C35" w:rsidP="00E60C35">
      <w:pPr>
        <w:spacing w:after="0" w:line="276" w:lineRule="auto"/>
        <w:jc w:val="both"/>
        <w:rPr>
          <w:rFonts w:ascii="Verdana" w:eastAsia="Times New Roman" w:hAnsi="Verdana" w:cs="Times New Roman"/>
          <w:color w:val="000000"/>
          <w:lang w:eastAsia="es-MX"/>
        </w:rPr>
      </w:pPr>
    </w:p>
    <w:p w14:paraId="5A558761" w14:textId="77777777" w:rsidR="00E60C35" w:rsidRPr="00797CA8" w:rsidRDefault="00E60C35" w:rsidP="00E60C35">
      <w:pPr>
        <w:spacing w:after="0" w:line="276" w:lineRule="auto"/>
        <w:jc w:val="both"/>
        <w:rPr>
          <w:rFonts w:ascii="Aptos" w:eastAsia="Times New Roman" w:hAnsi="Aptos" w:cs="Times New Roman"/>
          <w:color w:val="000000"/>
          <w:lang w:eastAsia="es-MX"/>
        </w:rPr>
      </w:pPr>
      <w:r w:rsidRPr="00F42673">
        <w:rPr>
          <w:rFonts w:ascii="Verdana" w:eastAsia="Times New Roman" w:hAnsi="Verdana" w:cs="Times New Roman"/>
          <w:color w:val="000000"/>
          <w:lang w:eastAsia="es-MX"/>
        </w:rPr>
        <w:t>Finalmente, si quieres seguir de cerca la actividad de la Agencia, la tercera edición de 2026 del</w:t>
      </w:r>
      <w:r w:rsidRPr="00F42673">
        <w:rPr>
          <w:rFonts w:ascii="Verdana" w:eastAsia="Times New Roman" w:hAnsi="Verdana" w:cs="Times New Roman"/>
          <w:b/>
          <w:bCs/>
          <w:color w:val="000000"/>
          <w:lang w:eastAsia="es-MX"/>
        </w:rPr>
        <w:t> Radar de la Compra Pública</w:t>
      </w:r>
      <w:r w:rsidRPr="00F42673">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Original URL:&#10;https://www.colombiacompra.gov.co/archivos/boletin/boletin-edicion-n-3-de-2026-radar-de-la-compra-publica&#10;&#10;Click to follow link." w:history="1">
        <w:r w:rsidRPr="00F42673">
          <w:rPr>
            <w:rFonts w:ascii="Verdana" w:eastAsia="Times New Roman" w:hAnsi="Verdana" w:cs="Times New Roman"/>
            <w:color w:val="0086F0"/>
            <w:u w:val="single"/>
            <w:lang w:eastAsia="es-MX"/>
          </w:rPr>
          <w:t>https://www.colombiacompra.gov.co/archivos/boletin/boletin-edicion-n-3-de-2026-radar-de-la-compra-publica</w:t>
        </w:r>
      </w:hyperlink>
    </w:p>
    <w:p w14:paraId="1E377C64" w14:textId="77777777" w:rsidR="00E60C35" w:rsidRDefault="00E60C35" w:rsidP="00E60C35">
      <w:pPr>
        <w:shd w:val="clear" w:color="auto" w:fill="FFFFFF"/>
        <w:spacing w:after="0" w:line="276" w:lineRule="auto"/>
        <w:jc w:val="both"/>
        <w:rPr>
          <w:rFonts w:ascii="Verdana" w:hAnsi="Verdana"/>
          <w:color w:val="000000"/>
          <w:u w:val="single"/>
        </w:rPr>
      </w:pPr>
    </w:p>
    <w:p w14:paraId="51ABCE3C" w14:textId="77777777" w:rsidR="00E60C35" w:rsidRPr="00116940" w:rsidRDefault="00E60C35" w:rsidP="00E60C35">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4713BFB2" w14:textId="77777777" w:rsidR="00E60C35" w:rsidRPr="00116940" w:rsidRDefault="00E60C35" w:rsidP="00E60C35">
      <w:pPr>
        <w:spacing w:after="0"/>
        <w:jc w:val="both"/>
        <w:rPr>
          <w:rFonts w:ascii="Verdana" w:hAnsi="Verdana"/>
        </w:rPr>
      </w:pPr>
    </w:p>
    <w:p w14:paraId="5BADD8B8" w14:textId="77777777" w:rsidR="00E60C35" w:rsidRPr="00116940" w:rsidRDefault="00E60C35" w:rsidP="00E60C35">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375FE881" w14:textId="77777777" w:rsidR="00E60C35" w:rsidRPr="00116940" w:rsidRDefault="00E60C35" w:rsidP="00E60C35">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56778A6" w14:textId="77777777" w:rsidR="00E60C35" w:rsidRPr="00116940" w:rsidRDefault="00E60C35" w:rsidP="00E60C35">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1D8C65B4" w14:textId="77777777" w:rsidR="00E60C35" w:rsidRPr="00116940" w:rsidRDefault="00E60C35" w:rsidP="00E60C35">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2E26655C" w14:textId="77777777" w:rsidR="00E60C35" w:rsidRPr="00116940" w:rsidRDefault="00E60C35" w:rsidP="00E60C35">
      <w:pPr>
        <w:spacing w:after="0" w:line="240" w:lineRule="auto"/>
        <w:ind w:left="720"/>
        <w:jc w:val="both"/>
        <w:rPr>
          <w:rFonts w:ascii="Verdana" w:hAnsi="Verdana"/>
        </w:rPr>
      </w:pPr>
    </w:p>
    <w:p w14:paraId="120B5264" w14:textId="77777777" w:rsidR="00E60C35" w:rsidRPr="00116940" w:rsidRDefault="00E60C35" w:rsidP="00E60C35">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764833E" w14:textId="77777777" w:rsidR="00E60C35" w:rsidRPr="00116940" w:rsidRDefault="00E60C35" w:rsidP="00E60C35">
      <w:pPr>
        <w:spacing w:after="0" w:line="240" w:lineRule="auto"/>
        <w:rPr>
          <w:rFonts w:ascii="Verdana" w:hAnsi="Verdana"/>
        </w:rPr>
      </w:pPr>
    </w:p>
    <w:p w14:paraId="460BD536" w14:textId="77777777" w:rsidR="00E60C35" w:rsidRPr="00116940" w:rsidRDefault="00E60C35" w:rsidP="00E60C35">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EFF63D7" w14:textId="77777777" w:rsidR="00E60C35" w:rsidRPr="00116940" w:rsidRDefault="00E60C35" w:rsidP="00E60C35">
      <w:pPr>
        <w:spacing w:after="0" w:line="240" w:lineRule="auto"/>
        <w:jc w:val="both"/>
        <w:rPr>
          <w:rFonts w:ascii="Verdana" w:hAnsi="Verdana"/>
        </w:rPr>
      </w:pPr>
    </w:p>
    <w:p w14:paraId="36A6062C" w14:textId="77777777" w:rsidR="00E60C35" w:rsidRPr="00116940" w:rsidRDefault="00E60C35" w:rsidP="00E60C35">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A47A260" w14:textId="77777777" w:rsidR="00E60C35" w:rsidRPr="00116940" w:rsidRDefault="00E60C35" w:rsidP="00E60C35">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92CEEED" w14:textId="77777777" w:rsidR="00E60C35" w:rsidRPr="00116940" w:rsidRDefault="00E60C35" w:rsidP="00E60C35">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BD6E0D3" w14:textId="77777777" w:rsidR="00E60C35" w:rsidRPr="009C4035" w:rsidRDefault="00E60C35" w:rsidP="00E60C35">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5D7BD99D" w14:textId="77777777" w:rsidR="00E60C35" w:rsidRPr="00593A5F" w:rsidRDefault="00E60C35" w:rsidP="00E60C3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w:t>
      </w:r>
      <w:r w:rsidRPr="00593A5F">
        <w:rPr>
          <w:rFonts w:ascii="Verdana" w:hAnsi="Verdana" w:cs="Arial"/>
        </w:rPr>
        <w:lastRenderedPageBreak/>
        <w:t xml:space="preserve">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3584981" w14:textId="77777777" w:rsidR="00E60C35" w:rsidRPr="00593A5F" w:rsidRDefault="00E60C35" w:rsidP="00E60C35">
      <w:pPr>
        <w:widowControl w:val="0"/>
        <w:autoSpaceDE w:val="0"/>
        <w:autoSpaceDN w:val="0"/>
        <w:spacing w:after="0" w:line="276" w:lineRule="auto"/>
        <w:jc w:val="both"/>
        <w:rPr>
          <w:rFonts w:ascii="Verdana" w:hAnsi="Verdana" w:cs="Arial"/>
        </w:rPr>
      </w:pPr>
    </w:p>
    <w:p w14:paraId="1D08C22A" w14:textId="77777777" w:rsidR="00E60C35" w:rsidRPr="00593A5F" w:rsidRDefault="00E60C35" w:rsidP="00E60C3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40D991A" w14:textId="578B6044" w:rsidR="00E60C35" w:rsidRPr="00593A5F" w:rsidRDefault="00356B08" w:rsidP="00E60C35">
      <w:pPr>
        <w:spacing w:line="276" w:lineRule="auto"/>
        <w:jc w:val="center"/>
        <w:rPr>
          <w:rFonts w:ascii="Verdana" w:hAnsi="Verdana" w:cs="Arial"/>
          <w:color w:val="000000"/>
          <w:lang w:val="es-ES_tradnl" w:eastAsia="es-CO"/>
        </w:rPr>
      </w:pPr>
      <w:r>
        <w:rPr>
          <w:noProof/>
        </w:rPr>
        <w:drawing>
          <wp:inline distT="0" distB="0" distL="0" distR="0" wp14:anchorId="18F901C6" wp14:editId="23C5C014">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60C35" w:rsidRPr="002F7DE0" w14:paraId="6C5FC75E" w14:textId="77777777" w:rsidTr="00DF2049">
        <w:trPr>
          <w:trHeight w:val="315"/>
        </w:trPr>
        <w:tc>
          <w:tcPr>
            <w:tcW w:w="893" w:type="dxa"/>
            <w:vAlign w:val="center"/>
            <w:hideMark/>
          </w:tcPr>
          <w:p w14:paraId="48B75E1A" w14:textId="77777777" w:rsidR="00E60C35" w:rsidRPr="002F7DE0" w:rsidRDefault="00E60C35" w:rsidP="00DF2049">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DA1D566" w14:textId="77777777" w:rsidR="00E60C35" w:rsidRPr="002F7DE0" w:rsidRDefault="00E60C35" w:rsidP="00DF2049">
            <w:pPr>
              <w:contextualSpacing/>
              <w:rPr>
                <w:rFonts w:ascii="Verdana" w:hAnsi="Verdana"/>
                <w:sz w:val="16"/>
                <w:szCs w:val="16"/>
              </w:rPr>
            </w:pPr>
            <w:r w:rsidRPr="002F7DE0">
              <w:rPr>
                <w:rFonts w:ascii="Verdana" w:hAnsi="Verdana"/>
                <w:sz w:val="16"/>
                <w:szCs w:val="16"/>
              </w:rPr>
              <w:t>Tatiana Baquero Iguarán</w:t>
            </w:r>
          </w:p>
          <w:p w14:paraId="04848E9D" w14:textId="77777777" w:rsidR="00E60C35" w:rsidRPr="002F7DE0" w:rsidRDefault="00E60C35" w:rsidP="00DF2049">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E60C35" w:rsidRPr="002F7DE0" w14:paraId="18AB9BA2" w14:textId="77777777" w:rsidTr="00DF2049">
        <w:trPr>
          <w:trHeight w:val="330"/>
        </w:trPr>
        <w:tc>
          <w:tcPr>
            <w:tcW w:w="893" w:type="dxa"/>
            <w:vAlign w:val="center"/>
            <w:hideMark/>
          </w:tcPr>
          <w:p w14:paraId="3170530A" w14:textId="77777777" w:rsidR="00E60C35" w:rsidRPr="002F7DE0" w:rsidRDefault="00E60C35" w:rsidP="00DF2049">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2E8412" w14:textId="77777777" w:rsidR="00E60C35" w:rsidRPr="002F7DE0" w:rsidRDefault="00E60C35" w:rsidP="00DF2049">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3C8D6D6C" w14:textId="77777777" w:rsidR="00E60C35" w:rsidRPr="002F7DE0" w:rsidRDefault="00E60C35" w:rsidP="00DF2049">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E60C35" w:rsidRPr="002F7DE0" w14:paraId="2C80EB7A" w14:textId="77777777" w:rsidTr="00DF2049">
        <w:trPr>
          <w:trHeight w:val="300"/>
        </w:trPr>
        <w:tc>
          <w:tcPr>
            <w:tcW w:w="893" w:type="dxa"/>
            <w:vAlign w:val="center"/>
          </w:tcPr>
          <w:p w14:paraId="0A7E4FB3" w14:textId="77777777" w:rsidR="00E60C35" w:rsidRPr="002F7DE0" w:rsidRDefault="00E60C35" w:rsidP="00DF2049">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AC44232" w14:textId="77777777" w:rsidR="00E60C35" w:rsidRPr="002F7DE0" w:rsidRDefault="00E60C35" w:rsidP="00DF2049">
            <w:pPr>
              <w:contextualSpacing/>
              <w:rPr>
                <w:rFonts w:ascii="Verdana" w:eastAsia="Calibri" w:hAnsi="Verdana" w:cs="Arial"/>
                <w:sz w:val="16"/>
                <w:szCs w:val="16"/>
                <w:lang w:val="pt-BR" w:eastAsia="es-ES"/>
              </w:rPr>
            </w:pPr>
            <w:r w:rsidRPr="002F7DE0">
              <w:rPr>
                <w:rFonts w:ascii="Verdana" w:eastAsia="Calibri" w:hAnsi="Verdana" w:cs="Arial"/>
                <w:sz w:val="16"/>
                <w:szCs w:val="16"/>
                <w:lang w:val="pt-BR" w:eastAsia="es-ES"/>
              </w:rPr>
              <w:t xml:space="preserve">Carolina Quintero </w:t>
            </w:r>
            <w:proofErr w:type="spellStart"/>
            <w:r w:rsidRPr="002F7DE0">
              <w:rPr>
                <w:rFonts w:ascii="Verdana" w:eastAsia="Calibri" w:hAnsi="Verdana" w:cs="Arial"/>
                <w:sz w:val="16"/>
                <w:szCs w:val="16"/>
                <w:lang w:val="pt-BR" w:eastAsia="es-ES"/>
              </w:rPr>
              <w:t>Gacharná</w:t>
            </w:r>
            <w:proofErr w:type="spellEnd"/>
          </w:p>
          <w:p w14:paraId="462C4C89" w14:textId="77777777" w:rsidR="00E60C35" w:rsidRPr="002F7DE0" w:rsidRDefault="00E60C35" w:rsidP="00DF2049">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Subdirectora</w:t>
            </w:r>
            <w:r w:rsidRPr="002F7DE0">
              <w:rPr>
                <w:rFonts w:ascii="Verdana" w:eastAsia="Calibri" w:hAnsi="Verdana" w:cs="Arial"/>
                <w:sz w:val="16"/>
                <w:szCs w:val="16"/>
                <w:lang w:val="pt-BR" w:eastAsia="es-ES"/>
              </w:rPr>
              <w:t xml:space="preserve"> de Gestión </w:t>
            </w:r>
            <w:proofErr w:type="spellStart"/>
            <w:r w:rsidRPr="002F7DE0">
              <w:rPr>
                <w:rFonts w:ascii="Verdana" w:eastAsia="Calibri" w:hAnsi="Verdana" w:cs="Arial"/>
                <w:sz w:val="16"/>
                <w:szCs w:val="16"/>
                <w:lang w:val="pt-BR" w:eastAsia="es-ES"/>
              </w:rPr>
              <w:t>Contractual</w:t>
            </w:r>
            <w:proofErr w:type="spellEnd"/>
            <w:r w:rsidRPr="002F7DE0">
              <w:rPr>
                <w:rFonts w:ascii="Verdana" w:eastAsia="Calibri" w:hAnsi="Verdana" w:cs="Arial"/>
                <w:sz w:val="16"/>
                <w:szCs w:val="16"/>
                <w:lang w:val="pt-BR" w:eastAsia="es-ES"/>
              </w:rPr>
              <w:t xml:space="preserve"> ANCP – CCE</w:t>
            </w:r>
          </w:p>
        </w:tc>
      </w:tr>
    </w:tbl>
    <w:p w14:paraId="68D67AA3" w14:textId="77777777" w:rsidR="00E60C35" w:rsidRPr="002F7DE0" w:rsidRDefault="00E60C35" w:rsidP="00E60C35">
      <w:pPr>
        <w:spacing w:after="0" w:line="240" w:lineRule="auto"/>
        <w:jc w:val="both"/>
        <w:textAlignment w:val="baseline"/>
        <w:rPr>
          <w:rFonts w:ascii="Verdana" w:eastAsia="Verdana" w:hAnsi="Verdana" w:cs="Verdana"/>
          <w:lang w:eastAsia="es-CO"/>
        </w:rPr>
      </w:pPr>
    </w:p>
    <w:p w14:paraId="072BBED2" w14:textId="77777777" w:rsidR="00E60C35" w:rsidRPr="002F7DE0" w:rsidRDefault="00E60C35" w:rsidP="00E60C35">
      <w:pPr>
        <w:spacing w:after="0" w:line="240" w:lineRule="auto"/>
        <w:jc w:val="both"/>
        <w:textAlignment w:val="baseline"/>
        <w:rPr>
          <w:rFonts w:ascii="Verdana" w:eastAsia="Verdana" w:hAnsi="Verdana" w:cs="Verdana"/>
          <w:lang w:eastAsia="es-CO"/>
        </w:rPr>
      </w:pPr>
    </w:p>
    <w:p w14:paraId="34443E94" w14:textId="6AE3E72B" w:rsidR="00E60C35" w:rsidRPr="003A69E3" w:rsidRDefault="00E60C35" w:rsidP="00E60C35">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392187C3" w14:textId="77777777" w:rsidR="00E60C35" w:rsidRPr="003A69E3" w:rsidRDefault="00E60C35" w:rsidP="00E60C35"/>
    <w:p w14:paraId="56620F11" w14:textId="77777777" w:rsidR="00E60C35" w:rsidRDefault="00E60C35" w:rsidP="00E60C35">
      <w:pPr>
        <w:jc w:val="both"/>
      </w:pPr>
    </w:p>
    <w:p w14:paraId="0AE8E71B" w14:textId="77777777" w:rsidR="00E60C35" w:rsidRPr="0012158F" w:rsidRDefault="00E60C35" w:rsidP="00E60C35"/>
    <w:p w14:paraId="23F6A7D0" w14:textId="77777777" w:rsidR="00E60C35" w:rsidRPr="005C5F31" w:rsidRDefault="00E60C35" w:rsidP="00E60C35"/>
    <w:p w14:paraId="6D84228C" w14:textId="77777777" w:rsidR="005C2BDA" w:rsidRPr="00E60C35" w:rsidRDefault="005C2BDA" w:rsidP="00E60C35"/>
    <w:sectPr w:rsidR="005C2BDA" w:rsidRPr="00E60C35"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03AA2" w14:textId="77777777" w:rsidR="00FD5546" w:rsidRDefault="00FD5546" w:rsidP="004A1847">
      <w:pPr>
        <w:spacing w:after="0" w:line="240" w:lineRule="auto"/>
      </w:pPr>
      <w:r>
        <w:separator/>
      </w:r>
    </w:p>
  </w:endnote>
  <w:endnote w:type="continuationSeparator" w:id="0">
    <w:p w14:paraId="1B276502" w14:textId="77777777" w:rsidR="00FD5546" w:rsidRDefault="00FD554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A6C73" w14:textId="77777777" w:rsidR="00FD5546" w:rsidRDefault="00FD5546" w:rsidP="004A1847">
      <w:pPr>
        <w:spacing w:after="0" w:line="240" w:lineRule="auto"/>
      </w:pPr>
      <w:r>
        <w:separator/>
      </w:r>
    </w:p>
  </w:footnote>
  <w:footnote w:type="continuationSeparator" w:id="0">
    <w:p w14:paraId="12C6D948" w14:textId="77777777" w:rsidR="00FD5546" w:rsidRDefault="00FD5546" w:rsidP="004A1847">
      <w:pPr>
        <w:spacing w:after="0" w:line="240" w:lineRule="auto"/>
      </w:pPr>
      <w:r>
        <w:continuationSeparator/>
      </w:r>
    </w:p>
  </w:footnote>
  <w:footnote w:id="1">
    <w:p w14:paraId="3F37768C" w14:textId="77777777" w:rsidR="00E60C35" w:rsidRPr="00591347" w:rsidRDefault="00E60C35" w:rsidP="00E60C35">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4DCB9E2B" w14:textId="77777777" w:rsidR="00E60C35" w:rsidRPr="00591347" w:rsidRDefault="00E60C35" w:rsidP="00E60C35">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177FB223" w14:textId="77777777" w:rsidR="00E60C35" w:rsidRPr="00591347" w:rsidRDefault="00E60C35" w:rsidP="00E60C35">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18E1AC61" w14:textId="77777777" w:rsidR="00E60C35" w:rsidRPr="00591347" w:rsidRDefault="00E60C35" w:rsidP="00E60C35">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249EB98A" w14:textId="77777777" w:rsidR="00E60C35" w:rsidRPr="00591347" w:rsidRDefault="00E60C35" w:rsidP="00E60C35">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7840B4BA" w14:textId="77777777" w:rsidR="00E60C35" w:rsidRPr="00591347" w:rsidRDefault="00E60C35" w:rsidP="00E60C35">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65623C5A" w14:textId="77777777" w:rsidR="00E60C35" w:rsidRPr="00591347" w:rsidRDefault="00E60C35" w:rsidP="00E60C35">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2">
    <w:p w14:paraId="4583FE29" w14:textId="77777777" w:rsidR="00E60C35" w:rsidRPr="00591347" w:rsidRDefault="00E60C35" w:rsidP="00E60C3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3">
    <w:p w14:paraId="73BA3A64" w14:textId="77777777" w:rsidR="00E60C35" w:rsidRPr="00591347" w:rsidRDefault="00E60C35" w:rsidP="00E60C3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4A5F03D1" w14:textId="77777777" w:rsidR="00E60C35" w:rsidRPr="00591347" w:rsidRDefault="00E60C35" w:rsidP="00E60C3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2"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2"/>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5">
    <w:p w14:paraId="3A223B93" w14:textId="77777777" w:rsidR="00E60C35" w:rsidRPr="00591347" w:rsidRDefault="00E60C35" w:rsidP="00E60C35">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4E54374A" w14:textId="77777777" w:rsidR="00E60C35" w:rsidRPr="00591347" w:rsidRDefault="00E60C35" w:rsidP="00E60C3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3"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3"/>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7">
    <w:p w14:paraId="0FD9F744" w14:textId="77777777" w:rsidR="00E60C35" w:rsidRPr="00591347" w:rsidRDefault="00E60C35" w:rsidP="00E60C3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8">
    <w:p w14:paraId="37EF95F7" w14:textId="77777777" w:rsidR="00E60C35" w:rsidRPr="00591347" w:rsidRDefault="00E60C35" w:rsidP="00E60C3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9">
    <w:p w14:paraId="7D58E949" w14:textId="77777777" w:rsidR="00E60C35" w:rsidRPr="00945863" w:rsidRDefault="00E60C35" w:rsidP="00E60C35">
      <w:pPr>
        <w:pStyle w:val="Textonotapie"/>
        <w:ind w:firstLine="709"/>
        <w:rPr>
          <w:lang w:val="es-CO"/>
        </w:rPr>
      </w:pPr>
      <w:r>
        <w:rPr>
          <w:rStyle w:val="Refdenotaalpie"/>
        </w:rPr>
        <w:footnoteRef/>
      </w:r>
      <w:r>
        <w:t xml:space="preserve"> </w:t>
      </w:r>
      <w:r w:rsidRPr="00945863">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0">
    <w:p w14:paraId="56FA9D70" w14:textId="77777777" w:rsidR="00E60C35" w:rsidRPr="00160A49" w:rsidRDefault="00E60C35" w:rsidP="00E60C35">
      <w:pPr>
        <w:pStyle w:val="Textonotapie"/>
        <w:ind w:firstLine="708"/>
        <w:jc w:val="both"/>
        <w:rPr>
          <w:rFonts w:ascii="Verdana" w:hAnsi="Verdana"/>
          <w:sz w:val="16"/>
          <w:szCs w:val="16"/>
        </w:rPr>
      </w:pPr>
      <w:r w:rsidRPr="00160A49">
        <w:rPr>
          <w:rStyle w:val="Refdenotaalpie"/>
          <w:rFonts w:ascii="Verdana" w:hAnsi="Verdana"/>
          <w:sz w:val="16"/>
          <w:szCs w:val="16"/>
        </w:rPr>
        <w:footnoteRef/>
      </w:r>
      <w:r w:rsidRPr="00160A49">
        <w:rPr>
          <w:rFonts w:ascii="Verdana" w:hAnsi="Verdana"/>
          <w:sz w:val="16"/>
          <w:szCs w:val="16"/>
        </w:rPr>
        <w:t xml:space="preserve"> </w:t>
      </w:r>
      <w:r>
        <w:rPr>
          <w:rFonts w:ascii="Verdana" w:hAnsi="Verdana"/>
          <w:sz w:val="16"/>
          <w:szCs w:val="16"/>
        </w:rPr>
        <w:t>En lo pertinente la norma señala que “</w:t>
      </w:r>
      <w:r w:rsidRPr="00160A49">
        <w:rPr>
          <w:rFonts w:ascii="Verdana" w:hAnsi="Verdana"/>
          <w:sz w:val="16"/>
          <w:szCs w:val="16"/>
        </w:rPr>
        <w:t xml:space="preserve">El debido proceso será un principio rector en materia sancionatoria de las actuaciones contractuales. </w:t>
      </w:r>
    </w:p>
    <w:p w14:paraId="6776BEB5" w14:textId="77777777" w:rsidR="00E60C35" w:rsidRPr="00160A49" w:rsidRDefault="00E60C35" w:rsidP="00E60C35">
      <w:pPr>
        <w:pStyle w:val="Textonotapie"/>
        <w:ind w:firstLine="708"/>
        <w:jc w:val="both"/>
        <w:rPr>
          <w:rFonts w:ascii="Verdana" w:hAnsi="Verdana"/>
          <w:sz w:val="16"/>
          <w:szCs w:val="16"/>
        </w:rPr>
      </w:pPr>
      <w:r w:rsidRPr="00160A49">
        <w:rPr>
          <w:rFonts w:ascii="Verdana" w:hAnsi="Verdana"/>
          <w:sz w:val="16"/>
          <w:szCs w:val="16"/>
        </w:rPr>
        <w:t xml:space="preserve">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 </w:t>
      </w:r>
    </w:p>
    <w:p w14:paraId="517F0A9B" w14:textId="77777777" w:rsidR="00E60C35" w:rsidRDefault="00E60C35" w:rsidP="00E60C35">
      <w:pPr>
        <w:pStyle w:val="Textonotapie"/>
        <w:ind w:firstLine="708"/>
        <w:jc w:val="both"/>
        <w:rPr>
          <w:rFonts w:ascii="Verdana" w:hAnsi="Verdana"/>
          <w:sz w:val="16"/>
          <w:szCs w:val="16"/>
        </w:rPr>
      </w:pPr>
      <w:r w:rsidRPr="00160A49">
        <w:rPr>
          <w:rFonts w:ascii="Verdana" w:hAnsi="Verdana"/>
          <w:sz w:val="16"/>
          <w:szCs w:val="16"/>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11C6C8E2" w14:textId="77777777" w:rsidR="00E60C35" w:rsidRPr="00160A49" w:rsidRDefault="00E60C35" w:rsidP="00E60C35">
      <w:pPr>
        <w:pStyle w:val="Textonotapie"/>
        <w:ind w:firstLine="708"/>
        <w:jc w:val="both"/>
        <w:rPr>
          <w:rFonts w:ascii="Verdana" w:hAnsi="Verdana"/>
          <w:sz w:val="16"/>
          <w:szCs w:val="16"/>
          <w:lang w:val="es-CO"/>
        </w:rPr>
      </w:pPr>
      <w:r>
        <w:rPr>
          <w:rFonts w:ascii="Verdana" w:hAnsi="Verdana"/>
          <w:sz w:val="16"/>
          <w:szCs w:val="16"/>
        </w:rPr>
        <w:t>[…]”.</w:t>
      </w:r>
    </w:p>
  </w:footnote>
  <w:footnote w:id="11">
    <w:p w14:paraId="12154126" w14:textId="77777777" w:rsidR="00E60C35" w:rsidRPr="00C5265A" w:rsidRDefault="00E60C35" w:rsidP="00E60C35">
      <w:pPr>
        <w:pStyle w:val="Textonotapie"/>
        <w:ind w:firstLine="708"/>
        <w:jc w:val="both"/>
        <w:rPr>
          <w:rFonts w:ascii="Verdana" w:hAnsi="Verdana"/>
          <w:sz w:val="16"/>
          <w:szCs w:val="16"/>
          <w:lang w:val="es-CO"/>
        </w:rPr>
      </w:pPr>
      <w:r w:rsidRPr="00C5265A">
        <w:rPr>
          <w:rStyle w:val="Refdenotaalpie"/>
          <w:rFonts w:ascii="Verdana" w:hAnsi="Verdana"/>
          <w:sz w:val="16"/>
          <w:szCs w:val="16"/>
        </w:rPr>
        <w:footnoteRef/>
      </w:r>
      <w:r w:rsidRPr="00C5265A">
        <w:rPr>
          <w:rFonts w:ascii="Verdana" w:hAnsi="Verdana"/>
          <w:sz w:val="16"/>
          <w:szCs w:val="16"/>
        </w:rPr>
        <w:t xml:space="preserve"> </w:t>
      </w:r>
      <w:r>
        <w:rPr>
          <w:rFonts w:ascii="Verdana" w:hAnsi="Verdana"/>
          <w:sz w:val="16"/>
          <w:szCs w:val="16"/>
        </w:rPr>
        <w:t xml:space="preserve">CONSEJO DE ESTADO. Sala de Consulta y Servicio Civil. Concepto </w:t>
      </w:r>
      <w:r w:rsidRPr="00C5265A">
        <w:rPr>
          <w:rFonts w:ascii="Verdana" w:hAnsi="Verdana"/>
          <w:sz w:val="16"/>
          <w:szCs w:val="16"/>
        </w:rPr>
        <w:t>2563 del 25 de junio de 2026</w:t>
      </w:r>
      <w:r>
        <w:rPr>
          <w:rFonts w:ascii="Verdana" w:hAnsi="Verdana"/>
          <w:sz w:val="16"/>
          <w:szCs w:val="16"/>
        </w:rPr>
        <w:t xml:space="preserve">. Rad. </w:t>
      </w:r>
      <w:r w:rsidRPr="00C5265A">
        <w:rPr>
          <w:rFonts w:ascii="Verdana" w:hAnsi="Verdana"/>
          <w:sz w:val="16"/>
          <w:szCs w:val="16"/>
        </w:rPr>
        <w:t>11001030600020260008800</w:t>
      </w:r>
      <w:r>
        <w:rPr>
          <w:rFonts w:ascii="Verdana" w:hAnsi="Verdana"/>
          <w:sz w:val="16"/>
          <w:szCs w:val="16"/>
        </w:rPr>
        <w:t xml:space="preserve">. C.P. </w:t>
      </w:r>
      <w:r w:rsidRPr="00C5265A">
        <w:rPr>
          <w:rFonts w:ascii="Verdana" w:hAnsi="Verdana"/>
          <w:sz w:val="16"/>
          <w:szCs w:val="16"/>
        </w:rPr>
        <w:t>María del Pilar Bahamón Falla</w:t>
      </w:r>
      <w:r>
        <w:rPr>
          <w:rFonts w:ascii="Verdana" w:hAnsi="Verdana"/>
          <w:sz w:val="16"/>
          <w:szCs w:val="16"/>
        </w:rPr>
        <w:t xml:space="preserve">. </w:t>
      </w:r>
    </w:p>
  </w:footnote>
  <w:footnote w:id="12">
    <w:p w14:paraId="54710760" w14:textId="77777777" w:rsidR="00E60C35" w:rsidRPr="00552507" w:rsidRDefault="00E60C35" w:rsidP="00E60C35">
      <w:pPr>
        <w:pStyle w:val="Textonotapie"/>
        <w:ind w:firstLine="709"/>
        <w:rPr>
          <w:lang w:val="es-CO"/>
        </w:rPr>
      </w:pPr>
      <w:r>
        <w:rPr>
          <w:rStyle w:val="Refdenotaalpie"/>
        </w:rPr>
        <w:footnoteRef/>
      </w:r>
      <w:r>
        <w:t xml:space="preserve"> </w:t>
      </w:r>
      <w:r>
        <w:rPr>
          <w:rFonts w:ascii="Verdana" w:hAnsi="Verdana" w:cs="Arial"/>
          <w:iCs/>
          <w:color w:val="000000" w:themeColor="text1"/>
          <w:sz w:val="16"/>
          <w:szCs w:val="16"/>
        </w:rPr>
        <w:t>D</w:t>
      </w:r>
      <w:r w:rsidRPr="00716334">
        <w:rPr>
          <w:rFonts w:ascii="Verdana" w:hAnsi="Verdana" w:cs="Arial"/>
          <w:iCs/>
          <w:color w:val="000000" w:themeColor="text1"/>
          <w:sz w:val="16"/>
          <w:szCs w:val="16"/>
        </w:rPr>
        <w:t>e acuerdo con la jurisprudencia de la Sala Plena de la Sección Tercera del Consejo de Estado, es viable que entidades estatales exceptuadas del EGCP, ejerzan la autonomía de la voluntad estableciendo potestades de ejercicio unilateral y fijando los mecanismos para hacerlas efectivas.</w:t>
      </w:r>
      <w:r w:rsidRPr="00661431">
        <w:rPr>
          <w:rFonts w:ascii="Verdana" w:hAnsi="Verdana"/>
          <w:sz w:val="16"/>
          <w:szCs w:val="16"/>
        </w:rPr>
        <w:t xml:space="preserve"> </w:t>
      </w:r>
      <w:r w:rsidRPr="003E2347">
        <w:rPr>
          <w:rFonts w:ascii="Verdana" w:hAnsi="Verdana"/>
          <w:sz w:val="16"/>
          <w:szCs w:val="16"/>
        </w:rPr>
        <w:t>C</w:t>
      </w:r>
      <w:r>
        <w:rPr>
          <w:rFonts w:ascii="Verdana" w:hAnsi="Verdana"/>
          <w:sz w:val="16"/>
          <w:szCs w:val="16"/>
        </w:rPr>
        <w:t>onsejo de Estado</w:t>
      </w:r>
      <w:r w:rsidRPr="003E2347">
        <w:rPr>
          <w:rFonts w:ascii="Verdana" w:hAnsi="Verdana"/>
          <w:sz w:val="16"/>
          <w:szCs w:val="16"/>
        </w:rPr>
        <w:t xml:space="preserve">. </w:t>
      </w:r>
      <w:r>
        <w:rPr>
          <w:rFonts w:ascii="Verdana" w:hAnsi="Verdana"/>
          <w:sz w:val="16"/>
          <w:szCs w:val="16"/>
        </w:rPr>
        <w:t xml:space="preserve">Sala Plena. </w:t>
      </w:r>
      <w:r w:rsidRPr="003E2347">
        <w:rPr>
          <w:rFonts w:ascii="Verdana" w:hAnsi="Verdana"/>
          <w:sz w:val="16"/>
          <w:szCs w:val="16"/>
        </w:rPr>
        <w:t>Sección Tercera</w:t>
      </w:r>
      <w:r>
        <w:rPr>
          <w:rFonts w:ascii="Verdana" w:hAnsi="Verdana"/>
          <w:sz w:val="16"/>
          <w:szCs w:val="16"/>
        </w:rPr>
        <w:t xml:space="preserve">. </w:t>
      </w:r>
      <w:r w:rsidRPr="003E2347">
        <w:rPr>
          <w:rFonts w:ascii="Verdana" w:hAnsi="Verdana"/>
          <w:sz w:val="16"/>
          <w:szCs w:val="16"/>
        </w:rPr>
        <w:t>Sentencia de Unificación del 9 de mayo de 2024, C.P. José Roberto Sáchica Méndez, Exp. No. 53.962.</w:t>
      </w:r>
    </w:p>
  </w:footnote>
  <w:footnote w:id="13">
    <w:p w14:paraId="0F34CD0A" w14:textId="77777777" w:rsidR="00E60C35" w:rsidRPr="00EE4BC2" w:rsidRDefault="00E60C35" w:rsidP="00E60C35">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2.1.1.3.17. Destinatario final. El destinatario final al que se refiere el artículo 27 de la Ley 2056 de 2020, corresponde a la persona natural o jurídica que sea contratada por los órganos y demás entidades designadas como ejecutoras de recursos del Sistema General de Regalías, encargada de suministrar los bienes y/o servicios con el fin de desarrollar las actividades del proyecto de inversión financiado con recursos del Sistema General de Regalías, conforme el acto administrativo que decreta el gasto o el que haga sus veces.</w:t>
      </w:r>
    </w:p>
    <w:p w14:paraId="77AA9FF8" w14:textId="77777777" w:rsidR="00E60C35" w:rsidRPr="0036147A" w:rsidRDefault="00E60C35" w:rsidP="00E60C35">
      <w:pPr>
        <w:pStyle w:val="Textonotapie"/>
        <w:ind w:firstLine="709"/>
        <w:jc w:val="both"/>
        <w:rPr>
          <w:rFonts w:ascii="Verdana" w:hAnsi="Verdana"/>
          <w:sz w:val="16"/>
          <w:szCs w:val="16"/>
          <w:lang w:val="es-CO"/>
        </w:rPr>
      </w:pPr>
      <w:r w:rsidRPr="00EE4BC2">
        <w:rPr>
          <w:rFonts w:ascii="Verdana" w:hAnsi="Verdana"/>
          <w:sz w:val="16"/>
          <w:szCs w:val="16"/>
        </w:rPr>
        <w:t>En todo caso, el destinatario final en el Sistema de Presupuesto y Giro da Regalías deberá corresponder al tercero beneficiario del compromiso presupuestal del gasto”.</w:t>
      </w:r>
    </w:p>
  </w:footnote>
  <w:footnote w:id="14">
    <w:p w14:paraId="67C7D4CB" w14:textId="77777777" w:rsidR="00E60C35" w:rsidRPr="00EE4BC2" w:rsidRDefault="00E60C35" w:rsidP="00E60C35">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2.1.1.3.18. Pagos directos a entidades ejecutoras. De conformidad como establecido en el artículo 27 de la Ley 2050 de 2020 en relación con el pago a destinatario final, cuando la entidad ejecutora sea la responsable de producir o proveer directamente bienes o servicios contemplados dentro de las actividades del proyecto de inversión financiado con recursos del Sistema General de Regalías y por tanto, concurran las calidades de entidad designada ejecutora, proveedor de bienes o servicios y destinatario final, podrá realizar la ordenación del pago a cuentas propias como destinatario final a través del Sistema de Presupuesto y Giro de las Regalías, previa expedición del acto administrativo unilateral que decreta el gasto con cargo a los recursos asignados o el que haga sus veces.</w:t>
      </w:r>
    </w:p>
    <w:p w14:paraId="783B5891" w14:textId="77777777" w:rsidR="00E60C35" w:rsidRPr="00EE4BC2" w:rsidRDefault="00E60C35" w:rsidP="00E60C35">
      <w:pPr>
        <w:pStyle w:val="Textonotapie"/>
        <w:ind w:firstLine="709"/>
        <w:jc w:val="both"/>
        <w:rPr>
          <w:rFonts w:ascii="Verdana" w:hAnsi="Verdana"/>
          <w:sz w:val="16"/>
          <w:szCs w:val="16"/>
        </w:rPr>
      </w:pPr>
      <w:r w:rsidRPr="00EE4BC2">
        <w:rPr>
          <w:rFonts w:ascii="Verdana" w:hAnsi="Verdana"/>
          <w:sz w:val="16"/>
          <w:szCs w:val="16"/>
        </w:rPr>
        <w:t>Será responsabilidad de la entidad ejecutora contar con la capacidad técnica, legal, administrativa y financiera de producir o proveer directamente los bienes o servicios contemplados dentro de las actividades del proyecto de inversión.</w:t>
      </w:r>
    </w:p>
    <w:p w14:paraId="17C1B74D" w14:textId="77777777" w:rsidR="00E60C35" w:rsidRPr="00EE4BC2" w:rsidRDefault="00E60C35" w:rsidP="00E60C35">
      <w:pPr>
        <w:pStyle w:val="Textonotapie"/>
        <w:ind w:firstLine="709"/>
        <w:jc w:val="both"/>
        <w:rPr>
          <w:rFonts w:ascii="Verdana" w:hAnsi="Verdana"/>
          <w:sz w:val="16"/>
          <w:szCs w:val="16"/>
        </w:rPr>
      </w:pPr>
      <w:r w:rsidRPr="00EE4BC2">
        <w:rPr>
          <w:rFonts w:ascii="Verdana" w:hAnsi="Verdana"/>
          <w:sz w:val="16"/>
          <w:szCs w:val="16"/>
        </w:rPr>
        <w:t>La ordenación del pago a cuentas propias de la entidad ejecutora no es procedente cuando se trate de órganos del Sistema General da Regalías, entidades del orden nacional del nivel central entidades territoriales u otras entidades que no tengan dentro de su misionalidad producir o proveer directamente bienes o servicios que se hayan contemplado dentro de las actividades del proyecto de inversión.</w:t>
      </w:r>
    </w:p>
    <w:p w14:paraId="7DA1CBED" w14:textId="77777777" w:rsidR="00E60C35" w:rsidRPr="00EE4BC2" w:rsidRDefault="00E60C35" w:rsidP="00E60C35">
      <w:pPr>
        <w:pStyle w:val="Textonotapie"/>
        <w:ind w:firstLine="709"/>
        <w:jc w:val="both"/>
        <w:rPr>
          <w:rFonts w:ascii="Verdana" w:hAnsi="Verdana"/>
          <w:sz w:val="16"/>
          <w:szCs w:val="16"/>
        </w:rPr>
      </w:pPr>
      <w:r w:rsidRPr="00EE4BC2">
        <w:rPr>
          <w:rFonts w:ascii="Verdana" w:hAnsi="Verdana"/>
          <w:sz w:val="16"/>
          <w:szCs w:val="16"/>
        </w:rPr>
        <w:t>PARÁGRAFO. En todo caso, para realizar la gestión de ejecución de los recursos cuando el ejecutor designado no sea el responsable de producir o proveer directamente los bienes o servicios contemplados dentro de las actividades del proyecto de inversión, deberá expedir el acto administrativo que ordena la apertura del proceso de selección o el acto administrativo unilateral que decreta el gasto o el que haga sus veces, con cargo a los recursos asignados en atención al artículo 37 de la Ley 2056 de 2020, y ordenar el pago de las obligaciones legalmente adquiridas directamente desde la cuenta única del Sistema General de Regalías a las cuentas bancarias de los destinatarios finales a través del Sistema de Presupuesto y Giro de las Regalías, conforme a las disposiciones contenidas en el Libro 2 del presente Decreto”.</w:t>
      </w:r>
    </w:p>
  </w:footnote>
  <w:footnote w:id="15">
    <w:p w14:paraId="431943D3" w14:textId="77777777" w:rsidR="00E60C35" w:rsidRPr="00CF531C" w:rsidRDefault="00E60C35" w:rsidP="00E60C35">
      <w:pPr>
        <w:pStyle w:val="Textonotapie"/>
        <w:ind w:firstLine="709"/>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533ECAD0"/>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130"/>
    <w:rsid w:val="00015281"/>
    <w:rsid w:val="00016F78"/>
    <w:rsid w:val="00027D86"/>
    <w:rsid w:val="0003524F"/>
    <w:rsid w:val="00046945"/>
    <w:rsid w:val="0006053E"/>
    <w:rsid w:val="00061B2A"/>
    <w:rsid w:val="00072031"/>
    <w:rsid w:val="00072445"/>
    <w:rsid w:val="00082362"/>
    <w:rsid w:val="00094786"/>
    <w:rsid w:val="000A5B23"/>
    <w:rsid w:val="000A683E"/>
    <w:rsid w:val="000B19B9"/>
    <w:rsid w:val="000B3425"/>
    <w:rsid w:val="000B6E05"/>
    <w:rsid w:val="000D0334"/>
    <w:rsid w:val="000D5181"/>
    <w:rsid w:val="000D5DA7"/>
    <w:rsid w:val="000F15E4"/>
    <w:rsid w:val="000F6486"/>
    <w:rsid w:val="00100F98"/>
    <w:rsid w:val="001027AE"/>
    <w:rsid w:val="00116940"/>
    <w:rsid w:val="0012158F"/>
    <w:rsid w:val="00125105"/>
    <w:rsid w:val="00127233"/>
    <w:rsid w:val="0013478A"/>
    <w:rsid w:val="001416DF"/>
    <w:rsid w:val="0015699B"/>
    <w:rsid w:val="00156DAF"/>
    <w:rsid w:val="001572CC"/>
    <w:rsid w:val="00197B05"/>
    <w:rsid w:val="001A33BF"/>
    <w:rsid w:val="001B2ABB"/>
    <w:rsid w:val="001B6A23"/>
    <w:rsid w:val="001D0D7E"/>
    <w:rsid w:val="001E4177"/>
    <w:rsid w:val="001F0B24"/>
    <w:rsid w:val="001F0DD2"/>
    <w:rsid w:val="001F7DC6"/>
    <w:rsid w:val="00203BA7"/>
    <w:rsid w:val="00213896"/>
    <w:rsid w:val="0022400B"/>
    <w:rsid w:val="002421BB"/>
    <w:rsid w:val="0025796E"/>
    <w:rsid w:val="00264C0B"/>
    <w:rsid w:val="00265E02"/>
    <w:rsid w:val="002707A2"/>
    <w:rsid w:val="0028562B"/>
    <w:rsid w:val="00287885"/>
    <w:rsid w:val="002951A0"/>
    <w:rsid w:val="002962BC"/>
    <w:rsid w:val="002A093D"/>
    <w:rsid w:val="002A0DD0"/>
    <w:rsid w:val="002A49AC"/>
    <w:rsid w:val="002A64FD"/>
    <w:rsid w:val="002C61A9"/>
    <w:rsid w:val="002C7A84"/>
    <w:rsid w:val="002D1175"/>
    <w:rsid w:val="002D7187"/>
    <w:rsid w:val="002E09FB"/>
    <w:rsid w:val="002E2BF8"/>
    <w:rsid w:val="002E4FD9"/>
    <w:rsid w:val="002E6460"/>
    <w:rsid w:val="002F2FF7"/>
    <w:rsid w:val="0030657A"/>
    <w:rsid w:val="00322A85"/>
    <w:rsid w:val="00324168"/>
    <w:rsid w:val="00330834"/>
    <w:rsid w:val="00336762"/>
    <w:rsid w:val="00341482"/>
    <w:rsid w:val="003448F4"/>
    <w:rsid w:val="00356B08"/>
    <w:rsid w:val="00361383"/>
    <w:rsid w:val="003669A6"/>
    <w:rsid w:val="00374575"/>
    <w:rsid w:val="00374F20"/>
    <w:rsid w:val="00374F5E"/>
    <w:rsid w:val="0037571B"/>
    <w:rsid w:val="00377E3E"/>
    <w:rsid w:val="00383FAC"/>
    <w:rsid w:val="0038595D"/>
    <w:rsid w:val="003A779E"/>
    <w:rsid w:val="003B0FEC"/>
    <w:rsid w:val="003D0F4D"/>
    <w:rsid w:val="003D5B0D"/>
    <w:rsid w:val="003E0499"/>
    <w:rsid w:val="003E0FC5"/>
    <w:rsid w:val="003E4F80"/>
    <w:rsid w:val="003E6439"/>
    <w:rsid w:val="003F359C"/>
    <w:rsid w:val="003F3941"/>
    <w:rsid w:val="004013BB"/>
    <w:rsid w:val="004037CD"/>
    <w:rsid w:val="00406575"/>
    <w:rsid w:val="00414C74"/>
    <w:rsid w:val="0042722E"/>
    <w:rsid w:val="0043694E"/>
    <w:rsid w:val="00442840"/>
    <w:rsid w:val="0044528D"/>
    <w:rsid w:val="00466E39"/>
    <w:rsid w:val="004912B6"/>
    <w:rsid w:val="004A1847"/>
    <w:rsid w:val="004A305D"/>
    <w:rsid w:val="004E287D"/>
    <w:rsid w:val="004F21C4"/>
    <w:rsid w:val="004F685F"/>
    <w:rsid w:val="00552507"/>
    <w:rsid w:val="005566E8"/>
    <w:rsid w:val="00561BBE"/>
    <w:rsid w:val="00574867"/>
    <w:rsid w:val="00576CDE"/>
    <w:rsid w:val="00590689"/>
    <w:rsid w:val="00591460"/>
    <w:rsid w:val="005A65E0"/>
    <w:rsid w:val="005C0E49"/>
    <w:rsid w:val="005C2BDA"/>
    <w:rsid w:val="005C3777"/>
    <w:rsid w:val="005C5C8A"/>
    <w:rsid w:val="005C5CDC"/>
    <w:rsid w:val="005D476C"/>
    <w:rsid w:val="005D7A67"/>
    <w:rsid w:val="005E509D"/>
    <w:rsid w:val="005E54C0"/>
    <w:rsid w:val="006200BF"/>
    <w:rsid w:val="006219F8"/>
    <w:rsid w:val="006302F7"/>
    <w:rsid w:val="006469B7"/>
    <w:rsid w:val="00646B9F"/>
    <w:rsid w:val="00647A72"/>
    <w:rsid w:val="00651485"/>
    <w:rsid w:val="00657868"/>
    <w:rsid w:val="00661431"/>
    <w:rsid w:val="00665D20"/>
    <w:rsid w:val="00665D70"/>
    <w:rsid w:val="006900D9"/>
    <w:rsid w:val="00690C95"/>
    <w:rsid w:val="006930AF"/>
    <w:rsid w:val="006A235E"/>
    <w:rsid w:val="006A7BA3"/>
    <w:rsid w:val="006C18BB"/>
    <w:rsid w:val="006F26C8"/>
    <w:rsid w:val="00706C16"/>
    <w:rsid w:val="00707CC4"/>
    <w:rsid w:val="00716334"/>
    <w:rsid w:val="00717F6D"/>
    <w:rsid w:val="007340C3"/>
    <w:rsid w:val="0075235A"/>
    <w:rsid w:val="007561BF"/>
    <w:rsid w:val="00756841"/>
    <w:rsid w:val="00762B63"/>
    <w:rsid w:val="007649AB"/>
    <w:rsid w:val="00771D0C"/>
    <w:rsid w:val="00776AED"/>
    <w:rsid w:val="007833AC"/>
    <w:rsid w:val="0078457B"/>
    <w:rsid w:val="007A3455"/>
    <w:rsid w:val="007B268C"/>
    <w:rsid w:val="007B450D"/>
    <w:rsid w:val="007B7171"/>
    <w:rsid w:val="007C0C0F"/>
    <w:rsid w:val="007C3A0A"/>
    <w:rsid w:val="007C3DC2"/>
    <w:rsid w:val="007E5497"/>
    <w:rsid w:val="008061A4"/>
    <w:rsid w:val="00806F5F"/>
    <w:rsid w:val="00811C91"/>
    <w:rsid w:val="0081521D"/>
    <w:rsid w:val="00817A6D"/>
    <w:rsid w:val="00820278"/>
    <w:rsid w:val="008258C9"/>
    <w:rsid w:val="00827238"/>
    <w:rsid w:val="00830865"/>
    <w:rsid w:val="008408A6"/>
    <w:rsid w:val="008441CE"/>
    <w:rsid w:val="00844AE9"/>
    <w:rsid w:val="0085399D"/>
    <w:rsid w:val="00862622"/>
    <w:rsid w:val="00867F95"/>
    <w:rsid w:val="008843B6"/>
    <w:rsid w:val="00891928"/>
    <w:rsid w:val="008A446D"/>
    <w:rsid w:val="008B25F1"/>
    <w:rsid w:val="008B4E39"/>
    <w:rsid w:val="008D180B"/>
    <w:rsid w:val="008D1DE6"/>
    <w:rsid w:val="008D6E92"/>
    <w:rsid w:val="008E316F"/>
    <w:rsid w:val="008F0EA7"/>
    <w:rsid w:val="00902712"/>
    <w:rsid w:val="00923EEF"/>
    <w:rsid w:val="00940E8F"/>
    <w:rsid w:val="009419F9"/>
    <w:rsid w:val="00944520"/>
    <w:rsid w:val="0095685E"/>
    <w:rsid w:val="00957813"/>
    <w:rsid w:val="00961B09"/>
    <w:rsid w:val="00965334"/>
    <w:rsid w:val="0096768E"/>
    <w:rsid w:val="0097093E"/>
    <w:rsid w:val="009966B5"/>
    <w:rsid w:val="009A0DFA"/>
    <w:rsid w:val="009A1C6F"/>
    <w:rsid w:val="009A4AFA"/>
    <w:rsid w:val="009B2D26"/>
    <w:rsid w:val="009B31D1"/>
    <w:rsid w:val="009C11EF"/>
    <w:rsid w:val="009C71FA"/>
    <w:rsid w:val="009C72E7"/>
    <w:rsid w:val="009C7F7E"/>
    <w:rsid w:val="009D3058"/>
    <w:rsid w:val="009E354F"/>
    <w:rsid w:val="009F3A13"/>
    <w:rsid w:val="00A02330"/>
    <w:rsid w:val="00A122D3"/>
    <w:rsid w:val="00A14468"/>
    <w:rsid w:val="00A17F13"/>
    <w:rsid w:val="00A20739"/>
    <w:rsid w:val="00A2294E"/>
    <w:rsid w:val="00A23AF9"/>
    <w:rsid w:val="00A33C78"/>
    <w:rsid w:val="00A6364D"/>
    <w:rsid w:val="00A71689"/>
    <w:rsid w:val="00A83047"/>
    <w:rsid w:val="00A8485D"/>
    <w:rsid w:val="00A905A5"/>
    <w:rsid w:val="00A97C1B"/>
    <w:rsid w:val="00AA3138"/>
    <w:rsid w:val="00AA7FEC"/>
    <w:rsid w:val="00AB0ADB"/>
    <w:rsid w:val="00AB207D"/>
    <w:rsid w:val="00AB4C65"/>
    <w:rsid w:val="00AC0FC9"/>
    <w:rsid w:val="00AC1155"/>
    <w:rsid w:val="00AE233F"/>
    <w:rsid w:val="00B00C0E"/>
    <w:rsid w:val="00B01B1A"/>
    <w:rsid w:val="00B0381D"/>
    <w:rsid w:val="00B25612"/>
    <w:rsid w:val="00B3310B"/>
    <w:rsid w:val="00B40692"/>
    <w:rsid w:val="00B44A47"/>
    <w:rsid w:val="00B72CD3"/>
    <w:rsid w:val="00B72FFF"/>
    <w:rsid w:val="00B81F96"/>
    <w:rsid w:val="00BC3D36"/>
    <w:rsid w:val="00BD54A6"/>
    <w:rsid w:val="00BD7F72"/>
    <w:rsid w:val="00BF7425"/>
    <w:rsid w:val="00C04FB3"/>
    <w:rsid w:val="00C11D8B"/>
    <w:rsid w:val="00C15139"/>
    <w:rsid w:val="00C20A44"/>
    <w:rsid w:val="00C31E72"/>
    <w:rsid w:val="00C32F67"/>
    <w:rsid w:val="00C330EB"/>
    <w:rsid w:val="00C37FCB"/>
    <w:rsid w:val="00C43CE0"/>
    <w:rsid w:val="00C50D69"/>
    <w:rsid w:val="00C5365C"/>
    <w:rsid w:val="00C754BE"/>
    <w:rsid w:val="00C76B1C"/>
    <w:rsid w:val="00C8449D"/>
    <w:rsid w:val="00C84E25"/>
    <w:rsid w:val="00C87B9C"/>
    <w:rsid w:val="00C925AC"/>
    <w:rsid w:val="00C9478A"/>
    <w:rsid w:val="00CA0221"/>
    <w:rsid w:val="00CA0715"/>
    <w:rsid w:val="00CB0DEC"/>
    <w:rsid w:val="00CB1018"/>
    <w:rsid w:val="00CB109F"/>
    <w:rsid w:val="00CB6357"/>
    <w:rsid w:val="00CC16E7"/>
    <w:rsid w:val="00CC1B26"/>
    <w:rsid w:val="00CD6017"/>
    <w:rsid w:val="00CD6EE6"/>
    <w:rsid w:val="00CE1594"/>
    <w:rsid w:val="00CF4E22"/>
    <w:rsid w:val="00D03DAB"/>
    <w:rsid w:val="00D06D6C"/>
    <w:rsid w:val="00D125A8"/>
    <w:rsid w:val="00D361FD"/>
    <w:rsid w:val="00D423A2"/>
    <w:rsid w:val="00D44E26"/>
    <w:rsid w:val="00D520D8"/>
    <w:rsid w:val="00D63AC2"/>
    <w:rsid w:val="00D70825"/>
    <w:rsid w:val="00D7383B"/>
    <w:rsid w:val="00D7788A"/>
    <w:rsid w:val="00DA12DE"/>
    <w:rsid w:val="00DA231B"/>
    <w:rsid w:val="00DB18CC"/>
    <w:rsid w:val="00DC0D86"/>
    <w:rsid w:val="00DC39FC"/>
    <w:rsid w:val="00DC6C3C"/>
    <w:rsid w:val="00DD00A0"/>
    <w:rsid w:val="00DD2C02"/>
    <w:rsid w:val="00DE0BE9"/>
    <w:rsid w:val="00DE0EEB"/>
    <w:rsid w:val="00DF5254"/>
    <w:rsid w:val="00E02524"/>
    <w:rsid w:val="00E0578C"/>
    <w:rsid w:val="00E16408"/>
    <w:rsid w:val="00E20894"/>
    <w:rsid w:val="00E22523"/>
    <w:rsid w:val="00E245AB"/>
    <w:rsid w:val="00E2764C"/>
    <w:rsid w:val="00E27F2E"/>
    <w:rsid w:val="00E33729"/>
    <w:rsid w:val="00E374C4"/>
    <w:rsid w:val="00E376DC"/>
    <w:rsid w:val="00E50AFE"/>
    <w:rsid w:val="00E60C35"/>
    <w:rsid w:val="00E71451"/>
    <w:rsid w:val="00E71613"/>
    <w:rsid w:val="00E75C92"/>
    <w:rsid w:val="00E76813"/>
    <w:rsid w:val="00E771DC"/>
    <w:rsid w:val="00E8772A"/>
    <w:rsid w:val="00E90F6B"/>
    <w:rsid w:val="00E918A7"/>
    <w:rsid w:val="00E92C27"/>
    <w:rsid w:val="00EA0E3D"/>
    <w:rsid w:val="00EA47D6"/>
    <w:rsid w:val="00EC38A7"/>
    <w:rsid w:val="00EC3EFA"/>
    <w:rsid w:val="00ED350D"/>
    <w:rsid w:val="00EE1AA8"/>
    <w:rsid w:val="00EE5E74"/>
    <w:rsid w:val="00EE60F5"/>
    <w:rsid w:val="00EF1705"/>
    <w:rsid w:val="00F163F5"/>
    <w:rsid w:val="00F1761C"/>
    <w:rsid w:val="00F22B80"/>
    <w:rsid w:val="00F23FEA"/>
    <w:rsid w:val="00F27750"/>
    <w:rsid w:val="00F31EDC"/>
    <w:rsid w:val="00F358F5"/>
    <w:rsid w:val="00F462B3"/>
    <w:rsid w:val="00F5664F"/>
    <w:rsid w:val="00F60E16"/>
    <w:rsid w:val="00F62990"/>
    <w:rsid w:val="00F666C4"/>
    <w:rsid w:val="00F76AFC"/>
    <w:rsid w:val="00F9565A"/>
    <w:rsid w:val="00FA47C0"/>
    <w:rsid w:val="00FB5DD1"/>
    <w:rsid w:val="00FC2B5D"/>
    <w:rsid w:val="00FC3F93"/>
    <w:rsid w:val="00FC7E09"/>
    <w:rsid w:val="00FD5546"/>
    <w:rsid w:val="00FD7303"/>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A313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A3138"/>
    <w:rPr>
      <w:rFonts w:ascii="Geomanist Light" w:hAnsi="Geomanist Light"/>
      <w:lang w:val="es-ES"/>
    </w:rPr>
  </w:style>
  <w:style w:type="character" w:customStyle="1" w:styleId="s15">
    <w:name w:val="s15"/>
    <w:basedOn w:val="Fuentedeprrafopredeter"/>
    <w:rsid w:val="00AA3138"/>
  </w:style>
  <w:style w:type="character" w:customStyle="1" w:styleId="baj">
    <w:name w:val="b_aj"/>
    <w:basedOn w:val="Fuentedeprrafopredeter"/>
    <w:rsid w:val="00AA3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abogadomariorios2019@gmail.com%20"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46DA5-07D4-45FC-A3AF-D0193AC42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932B4416-2263-4F9C-AFEE-EA19E0050D53}">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32</Pages>
  <Words>11094</Words>
  <Characters>61017</Characters>
  <Application>Microsoft Office Word</Application>
  <DocSecurity>0</DocSecurity>
  <Lines>508</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2026-10-06T14:30:00Z</dcterms:created>
  <dcterms:modified xsi:type="dcterms:W3CDTF">2026-10-06T17:33:00Z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