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8BCD" w14:textId="77777777" w:rsidR="00AC0ED1" w:rsidRDefault="00AC0ED1" w:rsidP="00AC0ED1">
      <w:pPr>
        <w:spacing w:after="0" w:line="240" w:lineRule="auto"/>
        <w:contextualSpacing/>
        <w:jc w:val="both"/>
        <w:rPr>
          <w:rFonts w:ascii="Verdana" w:eastAsia="Calibri" w:hAnsi="Verdana" w:cs="Arial"/>
          <w:b/>
          <w:bCs/>
          <w:lang w:eastAsia="es-ES"/>
        </w:rPr>
      </w:pPr>
      <w:bookmarkStart w:id="0" w:name="_Hlk143780582"/>
      <w:r>
        <w:rPr>
          <w:rFonts w:ascii="Verdana" w:eastAsia="Calibri" w:hAnsi="Verdana" w:cs="Arial"/>
          <w:b/>
          <w:bCs/>
          <w:lang w:eastAsia="es-ES"/>
        </w:rPr>
        <w:t>SUBASTA INVERSA ‒ Bienes y servicios de características técnicas uniformes ‒ Menor precio como único factor de evaluación ‒ Reglas del procedimiento ‒ Artículo 2.2.1.2.1.2.2 del Decreto 1082 de 2015</w:t>
      </w:r>
    </w:p>
    <w:p w14:paraId="076DF4D8" w14:textId="77777777" w:rsidR="00AC0ED1" w:rsidRDefault="00AC0ED1" w:rsidP="00AC0ED1">
      <w:pPr>
        <w:spacing w:after="0" w:line="240" w:lineRule="auto"/>
        <w:contextualSpacing/>
        <w:jc w:val="both"/>
        <w:rPr>
          <w:rFonts w:ascii="Verdana" w:eastAsia="Calibri" w:hAnsi="Verdana" w:cs="Arial"/>
          <w:b/>
          <w:bCs/>
          <w:lang w:eastAsia="es-ES"/>
        </w:rPr>
      </w:pPr>
    </w:p>
    <w:p w14:paraId="2056ACE1"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subasta inversa es el procedimiento previsto para la adquisición de bienes y servicios de características técnicas uniformes y de común utilización, en el cual, conforme al numeral 3 del artículo 5 de la Ley 1150 de 2007, el único factor de evaluación es el menor precio ofrecido. El artículo 2.2.1.2.1.2.2 del Decreto 1082 de 2015 fija sus reglas: el pliego de condiciones debe indicar la fecha y hora de inicio, la periodicidad de los Lances y el Margen Mínimo de mejora; hay subasta siempre que haya como mínimo dos oferentes habilitados cuyos bienes o servicios cumplan la ficha técnica; la subasta inicia con el precio más bajo indicado por los oferentes y solo son válidos los Lances que mejoren la oferta en por lo menos el Margen Mínimo; si no se presentan Lances, se adjudica al oferente con el precio inicial más bajo; y en caso de empate se prefiere el menor precio inicial.</w:t>
      </w:r>
    </w:p>
    <w:p w14:paraId="3833063C" w14:textId="77777777" w:rsidR="00AC0ED1" w:rsidRDefault="00AC0ED1" w:rsidP="00AC0ED1">
      <w:pPr>
        <w:spacing w:after="0" w:line="240" w:lineRule="auto"/>
        <w:contextualSpacing/>
        <w:jc w:val="both"/>
        <w:rPr>
          <w:rFonts w:ascii="Verdana" w:eastAsia="Calibri" w:hAnsi="Verdana" w:cs="Arial"/>
          <w:b/>
          <w:bCs/>
          <w:lang w:eastAsia="es-ES"/>
        </w:rPr>
      </w:pPr>
    </w:p>
    <w:p w14:paraId="1883051D"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SUBASTA INVERSA ‒ Terminación del certamen ‒ Adjudicación al Lance más bajo ‒ Artículo 2.2.1.2.1.2.4 del Decreto 1082 de 2015</w:t>
      </w:r>
    </w:p>
    <w:p w14:paraId="7567F0CA" w14:textId="77777777" w:rsidR="00AC0ED1" w:rsidRDefault="00AC0ED1" w:rsidP="00AC0ED1">
      <w:pPr>
        <w:spacing w:after="0" w:line="240" w:lineRule="auto"/>
        <w:contextualSpacing/>
        <w:jc w:val="both"/>
        <w:rPr>
          <w:rFonts w:ascii="Verdana" w:eastAsia="Calibri" w:hAnsi="Verdana" w:cs="Arial"/>
          <w:b/>
          <w:bCs/>
          <w:lang w:eastAsia="es-ES"/>
        </w:rPr>
      </w:pPr>
    </w:p>
    <w:p w14:paraId="2F8D6B9F"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artículo 2.2.1.2.1.2.4 del Decreto 1082 de 2015, la subasta termina cuando los oferentes no hacen Lances adicionales durante un período para la presentación de Lances, y la entidad estatal debe adjudicar el contrato al oferente que haya presentado el Lance más bajo, indicando en el acto de adjudicación el nombre de los oferentes y el precio del último Lance presentado por cada uno de ellos. El resultado del certamen es el orden de los últimos Lances, sobre el cual la entidad realiza la verificación del precio final antes de adjudicar.</w:t>
      </w:r>
    </w:p>
    <w:p w14:paraId="5F667E83" w14:textId="77777777" w:rsidR="00AC0ED1" w:rsidRDefault="00AC0ED1" w:rsidP="00AC0ED1">
      <w:pPr>
        <w:spacing w:after="0" w:line="240" w:lineRule="auto"/>
        <w:contextualSpacing/>
        <w:jc w:val="both"/>
        <w:rPr>
          <w:rFonts w:ascii="Verdana" w:eastAsia="Calibri" w:hAnsi="Verdana" w:cs="Arial"/>
          <w:b/>
          <w:bCs/>
          <w:lang w:eastAsia="es-ES"/>
        </w:rPr>
      </w:pPr>
    </w:p>
    <w:p w14:paraId="7A1059ED"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OFERTA CON VALOR ARTIFICIALMENTE BAJO ‒ Noción ‒ Artículo 2.2.1.1.2.2.4 del Decreto 1082 de 2015 ‒ Requerimiento de explicaciones ‒ Análisis sobre el precio final de la subasta ‒ Rechazo o continuación</w:t>
      </w:r>
    </w:p>
    <w:p w14:paraId="6056E057" w14:textId="77777777" w:rsidR="00AC0ED1" w:rsidRDefault="00AC0ED1" w:rsidP="00AC0ED1">
      <w:pPr>
        <w:spacing w:after="0" w:line="240" w:lineRule="auto"/>
        <w:contextualSpacing/>
        <w:jc w:val="both"/>
        <w:rPr>
          <w:rFonts w:ascii="Verdana" w:eastAsia="Calibri" w:hAnsi="Verdana" w:cs="Arial"/>
          <w:b/>
          <w:bCs/>
          <w:lang w:eastAsia="es-ES"/>
        </w:rPr>
      </w:pPr>
    </w:p>
    <w:p w14:paraId="7FE9648F"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precio artificialmente bajo es aquel que resulta artificioso o falso, disimulado, muy reducido o disminuido, sin sustento en el tráfico comercial, y cuya formulación con el propósito de obtener la adjudicación compromete la responsabilidad del oferente conforme al numeral 6 del artículo 26 de la Ley 80 de 1993. Cuando el valor de una oferta parece artificialmente bajo, el artículo 2.2.1.1.2.2.4 del Decreto 1082 de 2015 obliga a la entidad a requerir al oferente para que explique las razones que sustentan el valor ofrecido; analizadas las explicaciones, el comité evaluador debe recomendar rechazar la oferta o continuar con su análisis, y la entidad debe continuar cuando el valor responde a circunstancias objetivas del oferente y de su oferta que no ponen en riesgo el cumplimiento del contrato. En la subasta inversa esta disposición se aplica sobre el precio obtenido al final de la misma.</w:t>
      </w:r>
    </w:p>
    <w:p w14:paraId="37C3C4ED" w14:textId="77777777" w:rsidR="00AC0ED1" w:rsidRDefault="00AC0ED1" w:rsidP="00AC0ED1">
      <w:pPr>
        <w:spacing w:after="0" w:line="240" w:lineRule="auto"/>
        <w:contextualSpacing/>
        <w:jc w:val="both"/>
        <w:rPr>
          <w:rFonts w:ascii="Verdana" w:eastAsia="Calibri" w:hAnsi="Verdana" w:cs="Arial"/>
          <w:b/>
          <w:bCs/>
          <w:lang w:eastAsia="es-ES"/>
        </w:rPr>
      </w:pPr>
    </w:p>
    <w:p w14:paraId="6C667F0D"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OFERTA CON VALOR ARTIFICIALMENTE BAJO ‒ Carácter individual del rechazo ‒ Ofertas no requeridas ‒ Continuación del proceso con las ofertas válidas</w:t>
      </w:r>
    </w:p>
    <w:p w14:paraId="33251673" w14:textId="77777777" w:rsidR="00AC0ED1" w:rsidRDefault="00AC0ED1" w:rsidP="00AC0ED1">
      <w:pPr>
        <w:spacing w:after="0" w:line="240" w:lineRule="auto"/>
        <w:contextualSpacing/>
        <w:jc w:val="both"/>
        <w:rPr>
          <w:rFonts w:ascii="Verdana" w:eastAsia="Calibri" w:hAnsi="Verdana" w:cs="Arial"/>
          <w:b/>
          <w:bCs/>
          <w:lang w:eastAsia="es-ES"/>
        </w:rPr>
      </w:pPr>
    </w:p>
    <w:p w14:paraId="30DB1604"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rechazo de una oferta por no haberse justificado su precio artificialmente bajo, o por no haberse aceptado la justificación, es una decisión individual que recae únicamente sobre la oferta requerida. La norma no prevé que la omisión de unos oferentes produzca efectos sobre las ofertas de los demás ni autoriza rechazar las ofertas que no fueron requeridas por no haber generado dudas sobre su precio, las cuales permanecen en el proceso con el último Lance presentado por cada una.</w:t>
      </w:r>
    </w:p>
    <w:p w14:paraId="5FE861EE" w14:textId="77777777" w:rsidR="00AC0ED1" w:rsidRDefault="00AC0ED1" w:rsidP="00AC0ED1">
      <w:pPr>
        <w:spacing w:after="0" w:line="240" w:lineRule="auto"/>
        <w:contextualSpacing/>
        <w:jc w:val="both"/>
        <w:rPr>
          <w:rFonts w:ascii="Verdana" w:eastAsia="Calibri" w:hAnsi="Verdana" w:cs="Arial"/>
          <w:b/>
          <w:bCs/>
          <w:lang w:eastAsia="es-ES"/>
        </w:rPr>
      </w:pPr>
    </w:p>
    <w:p w14:paraId="7101D66D"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SUBASTA INVERSA ‒ Rechazo de la oferta de menor precio ‒ Adjudicación a la oferta válida que sigue en el orden de menor precio ‒ Repetición del certamen ‒ Previsión en el pliego de condiciones ‒ Declaratoria de desierta</w:t>
      </w:r>
    </w:p>
    <w:p w14:paraId="6E8C142C" w14:textId="77777777" w:rsidR="00AC0ED1" w:rsidRDefault="00AC0ED1" w:rsidP="00AC0ED1">
      <w:pPr>
        <w:spacing w:after="0" w:line="240" w:lineRule="auto"/>
        <w:contextualSpacing/>
        <w:jc w:val="both"/>
        <w:rPr>
          <w:rFonts w:ascii="Verdana" w:eastAsia="Calibri" w:hAnsi="Verdana" w:cs="Arial"/>
          <w:b/>
          <w:bCs/>
          <w:lang w:eastAsia="es-ES"/>
        </w:rPr>
      </w:pPr>
    </w:p>
    <w:p w14:paraId="0EEED080"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normas que regulan la subasta inversa no contemplan la repetición del certamen como consecuencia del rechazo de ofertas por precio artificialmente bajo, ni la prohíben. Rechazada la oferta de menor precio, la escogencia objetiva se cumple adjudicando a la oferta válida que sigue en el orden de menor precio, previo el análisis de su precio final si hay lugar a él. La Guía para el manejo de ofertas artificialmente bajas reconoce que, en ese evento, la entidad puede evaluar, en el marco de su autonomía, la procedencia de volver a realizar el evento de subasta retirando al proponente, si ello está contemplado inicialmente en los pliegos, con el fin de evitar que un participante beneficie a otro mediante una oferta artificialmente baja; esas situaciones deben ponerse en conocimiento de la Superintendencia de Industria y Comercio. La declaratoria de desierta solo procede por motivos o causas que impidan la escogencia objetiva, conforme al numeral 18 del artículo 25 de la Ley 80 de 1993.</w:t>
      </w:r>
    </w:p>
    <w:p w14:paraId="7AC1835B" w14:textId="77777777" w:rsidR="00AC0ED1" w:rsidRDefault="00AC0ED1" w:rsidP="00AC0ED1">
      <w:pPr>
        <w:spacing w:after="0" w:line="240" w:lineRule="auto"/>
        <w:contextualSpacing/>
        <w:jc w:val="both"/>
        <w:rPr>
          <w:rFonts w:ascii="Verdana" w:eastAsia="Calibri" w:hAnsi="Verdana" w:cs="Arial"/>
          <w:b/>
          <w:bCs/>
          <w:lang w:eastAsia="es-ES"/>
        </w:rPr>
      </w:pPr>
    </w:p>
    <w:p w14:paraId="6CD9377C"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GUÍA PARA EL MANEJO DE OFERTAS ARTIFICIALMENTE BAJAS ‒ Carácter orientador ‒ Comparación absoluta ‒ Umbral del veinte por ciento (20%) ‒ Metodología adoptada por la entidad</w:t>
      </w:r>
    </w:p>
    <w:p w14:paraId="643292F2" w14:textId="77777777" w:rsidR="00AC0ED1" w:rsidRDefault="00AC0ED1" w:rsidP="00AC0ED1">
      <w:pPr>
        <w:spacing w:after="0" w:line="240" w:lineRule="auto"/>
        <w:contextualSpacing/>
        <w:jc w:val="both"/>
        <w:rPr>
          <w:rFonts w:ascii="Verdana" w:eastAsia="Calibri" w:hAnsi="Verdana" w:cs="Arial"/>
          <w:b/>
          <w:bCs/>
          <w:lang w:eastAsia="es-ES"/>
        </w:rPr>
      </w:pPr>
    </w:p>
    <w:p w14:paraId="033C3458"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umbral del veinte por ciento (20%) por debajo del costo estimado no es un criterio legal. Proviene de la comparación absoluta que propone la Guía para el manejo de ofertas artificialmente bajas, cuyas metodologías son enunciativas, y de las reglas que la entidad fije en el pliego de condiciones. Corresponde a la entidad determinar y motivar, en cada proceso, la metodología con la que identifica las ofertas que parecen artificialmente bajas y las razones del rechazo o de la continuación, en el informe de evaluación y en el acto de adjudicación.</w:t>
      </w:r>
    </w:p>
    <w:p w14:paraId="37B0D30F" w14:textId="77777777" w:rsidR="00AC0ED1" w:rsidRDefault="00AC0ED1" w:rsidP="00AC0ED1">
      <w:pPr>
        <w:spacing w:after="0" w:line="240" w:lineRule="auto"/>
        <w:contextualSpacing/>
        <w:jc w:val="both"/>
        <w:rPr>
          <w:rFonts w:ascii="Verdana" w:eastAsia="Calibri" w:hAnsi="Verdana" w:cs="Arial"/>
          <w:b/>
          <w:bCs/>
          <w:lang w:eastAsia="es-ES"/>
        </w:rPr>
      </w:pPr>
    </w:p>
    <w:p w14:paraId="159DBE0C"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Situaciones particulares</w:t>
      </w:r>
    </w:p>
    <w:p w14:paraId="5F908370" w14:textId="77777777" w:rsidR="00AC0ED1" w:rsidRDefault="00AC0ED1" w:rsidP="00AC0ED1">
      <w:pPr>
        <w:spacing w:after="0" w:line="240" w:lineRule="auto"/>
        <w:contextualSpacing/>
        <w:jc w:val="both"/>
        <w:rPr>
          <w:rFonts w:ascii="Verdana" w:eastAsia="Calibri" w:hAnsi="Verdana" w:cs="Arial"/>
          <w:b/>
          <w:bCs/>
          <w:lang w:eastAsia="es-ES"/>
        </w:rPr>
      </w:pPr>
    </w:p>
    <w:p w14:paraId="460F388D"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La competencia consultiva de la Agencia se circunscribe a la interpretación de normas de carácter general en materia de compras y contratación pública. La Agencia no determina la validez de las decisiones adoptadas en un proceso de selección determinado ni la forma en que debe culminar; esa definición corresponde a la entidad que lo adelanta, bajo su responsabilidad y con sujeción al pliego de condiciones, sin perjuicio del control de los organismos competentes y de la jurisdicción.</w:t>
      </w:r>
    </w:p>
    <w:p w14:paraId="50F96365" w14:textId="77777777" w:rsidR="00AC0ED1" w:rsidRDefault="00AC0ED1" w:rsidP="00AC0ED1">
      <w:pPr>
        <w:spacing w:after="0" w:line="240" w:lineRule="auto"/>
        <w:contextualSpacing/>
        <w:jc w:val="both"/>
        <w:rPr>
          <w:rFonts w:ascii="Verdana" w:eastAsia="Calibri" w:hAnsi="Verdana" w:cs="Arial"/>
          <w:b/>
          <w:bCs/>
          <w:lang w:eastAsia="es-ES"/>
        </w:rPr>
      </w:pPr>
    </w:p>
    <w:p w14:paraId="0A67024B" w14:textId="77777777" w:rsidR="00AC0ED1" w:rsidRDefault="00AC0ED1" w:rsidP="00AC0ED1">
      <w:pPr>
        <w:spacing w:after="0" w:line="240" w:lineRule="auto"/>
      </w:pPr>
      <w:r>
        <w:br w:type="page"/>
      </w:r>
    </w:p>
    <w:p w14:paraId="391CA71E" w14:textId="045B4A38" w:rsidR="00AC0ED1" w:rsidRDefault="006668F6" w:rsidP="00AC0ED1">
      <w:pPr>
        <w:spacing w:after="0" w:line="240" w:lineRule="auto"/>
        <w:rPr>
          <w:rFonts w:ascii="Verdana" w:hAnsi="Verdana"/>
        </w:rPr>
      </w:pPr>
      <w:r w:rsidRPr="006668F6">
        <w:rPr>
          <w:rFonts w:ascii="Verdana" w:hAnsi="Verdana"/>
        </w:rPr>
        <w:lastRenderedPageBreak/>
        <w:t xml:space="preserve">Bogotá D.C., 20 de </w:t>
      </w:r>
      <w:r w:rsidR="00CA7714">
        <w:rPr>
          <w:rFonts w:ascii="Verdana" w:hAnsi="Verdana"/>
        </w:rPr>
        <w:t>octubre</w:t>
      </w:r>
      <w:r w:rsidRPr="006668F6">
        <w:rPr>
          <w:rFonts w:ascii="Verdana" w:hAnsi="Verdana"/>
        </w:rPr>
        <w:t xml:space="preserve"> de 2026 </w:t>
      </w:r>
    </w:p>
    <w:p w14:paraId="1B43F534" w14:textId="3BD63CA3" w:rsidR="00AC0ED1" w:rsidRPr="00777292" w:rsidRDefault="00AC0ED1" w:rsidP="00AC0ED1">
      <w:pPr>
        <w:spacing w:after="0" w:line="240" w:lineRule="auto"/>
        <w:rPr>
          <w:rFonts w:ascii="Verdana" w:hAnsi="Verdana"/>
          <w:lang w:val="es-ES_tradnl"/>
        </w:rPr>
      </w:pPr>
    </w:p>
    <w:p w14:paraId="1922946D" w14:textId="74B6F473" w:rsidR="00AC0ED1" w:rsidRDefault="00CA7714" w:rsidP="00AC0ED1">
      <w:pPr>
        <w:spacing w:after="0" w:line="240" w:lineRule="auto"/>
        <w:rPr>
          <w:rFonts w:ascii="Verdana" w:hAnsi="Verdana"/>
          <w:lang w:val="es-ES"/>
        </w:rPr>
      </w:pPr>
      <w:r w:rsidRPr="006668F6">
        <w:rPr>
          <w:rFonts w:ascii="Verdana" w:eastAsia="Calibri" w:hAnsi="Verdana" w:cs="Arial"/>
          <w:noProof/>
          <w:lang w:val="es-ES" w:eastAsia="es-ES"/>
        </w:rPr>
        <w:drawing>
          <wp:anchor distT="0" distB="0" distL="114300" distR="114300" simplePos="0" relativeHeight="251658240" behindDoc="1" locked="0" layoutInCell="1" allowOverlap="1" wp14:anchorId="6E0C581E" wp14:editId="1F75659F">
            <wp:simplePos x="0" y="0"/>
            <wp:positionH relativeFrom="margin">
              <wp:align>right</wp:align>
            </wp:positionH>
            <wp:positionV relativeFrom="paragraph">
              <wp:posOffset>11927</wp:posOffset>
            </wp:positionV>
            <wp:extent cx="2576830" cy="866140"/>
            <wp:effectExtent l="0" t="0" r="0" b="0"/>
            <wp:wrapSquare wrapText="bothSides"/>
            <wp:docPr id="9677812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1248"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1772" cy="868354"/>
                    </a:xfrm>
                    <a:prstGeom prst="rect">
                      <a:avLst/>
                    </a:prstGeom>
                  </pic:spPr>
                </pic:pic>
              </a:graphicData>
            </a:graphic>
            <wp14:sizeRelH relativeFrom="page">
              <wp14:pctWidth>0</wp14:pctWidth>
            </wp14:sizeRelH>
            <wp14:sizeRelV relativeFrom="page">
              <wp14:pctHeight>0</wp14:pctHeight>
            </wp14:sizeRelV>
          </wp:anchor>
        </w:drawing>
      </w:r>
      <w:r w:rsidR="00AC0ED1">
        <w:rPr>
          <w:rFonts w:ascii="Verdana" w:eastAsia="Calibri" w:hAnsi="Verdana" w:cs="Arial"/>
          <w:lang w:val="es-ES" w:eastAsia="es-ES"/>
        </w:rPr>
        <w:t>Señor</w:t>
      </w:r>
    </w:p>
    <w:p w14:paraId="5EA4C67A" w14:textId="77777777" w:rsidR="00AC0ED1" w:rsidRPr="00B04557" w:rsidRDefault="00AC0ED1" w:rsidP="00AC0ED1">
      <w:pPr>
        <w:spacing w:after="0" w:line="240" w:lineRule="auto"/>
        <w:rPr>
          <w:rFonts w:ascii="Verdana" w:hAnsi="Verdana"/>
          <w:b/>
          <w:bCs/>
          <w:lang w:val="es-ES"/>
        </w:rPr>
      </w:pPr>
      <w:r w:rsidRPr="00B04557">
        <w:rPr>
          <w:rFonts w:ascii="Verdana" w:eastAsia="Calibri" w:hAnsi="Verdana" w:cs="Arial"/>
          <w:b/>
          <w:bCs/>
          <w:lang w:val="es-ES" w:eastAsia="es-ES"/>
        </w:rPr>
        <w:t>Rodolfo Antonio Albarracín</w:t>
      </w:r>
    </w:p>
    <w:p w14:paraId="725F2EF4" w14:textId="77777777" w:rsidR="00AC0ED1" w:rsidRDefault="00AC0ED1" w:rsidP="00AC0ED1">
      <w:pPr>
        <w:spacing w:after="0" w:line="240" w:lineRule="auto"/>
        <w:rPr>
          <w:rFonts w:ascii="Verdana" w:eastAsia="Calibri" w:hAnsi="Verdana" w:cs="Arial"/>
          <w:lang w:val="es-ES" w:eastAsia="es-ES"/>
        </w:rPr>
      </w:pPr>
      <w:r>
        <w:rPr>
          <w:rFonts w:ascii="Verdana" w:eastAsia="Calibri" w:hAnsi="Verdana" w:cs="Arial"/>
          <w:lang w:val="es-ES" w:eastAsia="es-ES"/>
        </w:rPr>
        <w:t>Representante Legal</w:t>
      </w:r>
    </w:p>
    <w:p w14:paraId="4899316A" w14:textId="77777777" w:rsidR="00AC0ED1" w:rsidRDefault="00AC0ED1" w:rsidP="00AC0ED1">
      <w:pPr>
        <w:spacing w:after="0" w:line="240" w:lineRule="auto"/>
        <w:rPr>
          <w:rFonts w:ascii="Verdana" w:hAnsi="Verdana"/>
          <w:lang w:val="es-ES"/>
        </w:rPr>
      </w:pPr>
      <w:r>
        <w:rPr>
          <w:rFonts w:ascii="Verdana" w:eastAsia="Calibri" w:hAnsi="Verdana" w:cs="Arial"/>
          <w:lang w:val="es-ES" w:eastAsia="es-ES"/>
        </w:rPr>
        <w:t>Comercializadora Serle.com S.A.S.</w:t>
      </w:r>
    </w:p>
    <w:p w14:paraId="38098334" w14:textId="77777777" w:rsidR="00AC0ED1" w:rsidRDefault="00AC0ED1" w:rsidP="00AC0ED1">
      <w:pPr>
        <w:spacing w:after="0" w:line="240" w:lineRule="auto"/>
        <w:rPr>
          <w:rFonts w:ascii="Verdana" w:hAnsi="Verdana"/>
          <w:lang w:val="es-ES"/>
        </w:rPr>
      </w:pPr>
      <w:r>
        <w:rPr>
          <w:rFonts w:ascii="Verdana" w:eastAsia="Calibri" w:hAnsi="Verdana" w:cs="Arial"/>
          <w:lang w:val="es-ES" w:eastAsia="es-ES"/>
        </w:rPr>
        <w:t>direccioncomercial@serlecomsas.com</w:t>
      </w:r>
    </w:p>
    <w:p w14:paraId="5FFB379B" w14:textId="77777777" w:rsidR="00AC0ED1" w:rsidRDefault="00AC0ED1" w:rsidP="00AC0ED1">
      <w:pPr>
        <w:spacing w:after="0" w:line="240" w:lineRule="auto"/>
        <w:rPr>
          <w:rFonts w:ascii="Verdana" w:hAnsi="Verdana"/>
          <w:lang w:val="es-ES"/>
        </w:rPr>
      </w:pPr>
      <w:r>
        <w:rPr>
          <w:rFonts w:ascii="Verdana" w:eastAsia="Calibri" w:hAnsi="Verdana" w:cs="Arial"/>
          <w:lang w:val="es-ES" w:eastAsia="es-ES"/>
        </w:rPr>
        <w:t>Bogotá D.C.</w:t>
      </w:r>
    </w:p>
    <w:p w14:paraId="43912DB8" w14:textId="77777777" w:rsidR="00AC0ED1" w:rsidRPr="00966744" w:rsidRDefault="00AC0ED1" w:rsidP="00AC0ED1">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0ED1" w:rsidRPr="00777292" w14:paraId="46958504" w14:textId="77777777" w:rsidTr="004D2DC8">
        <w:trPr>
          <w:trHeight w:val="190"/>
        </w:trPr>
        <w:tc>
          <w:tcPr>
            <w:tcW w:w="2689" w:type="dxa"/>
          </w:tcPr>
          <w:p w14:paraId="3393C1B6" w14:textId="77777777" w:rsidR="00AC0ED1" w:rsidRDefault="00AC0ED1" w:rsidP="004D2DC8">
            <w:pPr>
              <w:jc w:val="both"/>
              <w:rPr>
                <w:rFonts w:ascii="Verdana" w:eastAsia="Calibri" w:hAnsi="Verdana" w:cs="Arial"/>
                <w:b/>
                <w:bCs/>
                <w:lang w:eastAsia="es-ES_tradnl"/>
              </w:rPr>
            </w:pPr>
          </w:p>
          <w:p w14:paraId="467B431A" w14:textId="77777777" w:rsidR="00AC0ED1" w:rsidRPr="00777292" w:rsidRDefault="00AC0ED1" w:rsidP="004D2DC8">
            <w:pPr>
              <w:jc w:val="both"/>
              <w:rPr>
                <w:rFonts w:ascii="Verdana" w:eastAsia="Calibri" w:hAnsi="Verdana" w:cs="Arial"/>
                <w:b/>
                <w:bCs/>
                <w:lang w:eastAsia="es-ES_tradnl"/>
              </w:rPr>
            </w:pPr>
          </w:p>
        </w:tc>
        <w:tc>
          <w:tcPr>
            <w:tcW w:w="6100" w:type="dxa"/>
          </w:tcPr>
          <w:p w14:paraId="01CA0A13" w14:textId="75C8566E" w:rsidR="00AC0ED1" w:rsidRPr="00777292" w:rsidRDefault="00AC0ED1" w:rsidP="004D2DC8">
            <w:pPr>
              <w:jc w:val="both"/>
              <w:rPr>
                <w:rFonts w:ascii="Verdana" w:eastAsia="Calibri" w:hAnsi="Verdana" w:cs="Arial"/>
                <w:b/>
                <w:bCs/>
                <w:lang w:eastAsia="es-ES"/>
              </w:rPr>
            </w:pPr>
            <w:r>
              <w:rPr>
                <w:rFonts w:ascii="Verdana" w:eastAsia="Calibri" w:hAnsi="Verdana" w:cs="Arial"/>
                <w:b/>
                <w:bCs/>
                <w:lang w:eastAsia="es-ES"/>
              </w:rPr>
              <w:t>Concepto C-1423 de 2026</w:t>
            </w:r>
          </w:p>
          <w:p w14:paraId="3EF13546" w14:textId="77777777" w:rsidR="00AC0ED1" w:rsidRPr="00777292" w:rsidRDefault="00AC0ED1" w:rsidP="004D2DC8">
            <w:pPr>
              <w:jc w:val="both"/>
              <w:rPr>
                <w:rFonts w:ascii="Verdana" w:eastAsia="Calibri" w:hAnsi="Verdana" w:cs="Arial"/>
                <w:b/>
                <w:bCs/>
                <w:lang w:eastAsia="es-ES"/>
              </w:rPr>
            </w:pPr>
          </w:p>
        </w:tc>
      </w:tr>
      <w:tr w:rsidR="00AC0ED1" w:rsidRPr="00777292" w14:paraId="60E83A64" w14:textId="77777777" w:rsidTr="004D2DC8">
        <w:trPr>
          <w:trHeight w:val="884"/>
        </w:trPr>
        <w:tc>
          <w:tcPr>
            <w:tcW w:w="2689" w:type="dxa"/>
          </w:tcPr>
          <w:p w14:paraId="711CB8FA" w14:textId="77777777" w:rsidR="00AC0ED1" w:rsidRPr="00777292" w:rsidRDefault="00AC0ED1" w:rsidP="004D2DC8">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75F13671" w14:textId="77777777" w:rsidR="00AC0ED1" w:rsidRDefault="00AC0ED1" w:rsidP="004D2DC8">
            <w:pPr>
              <w:contextualSpacing/>
              <w:jc w:val="both"/>
              <w:rPr>
                <w:rFonts w:ascii="Verdana" w:eastAsia="Calibri" w:hAnsi="Verdana" w:cs="Arial"/>
                <w:lang w:eastAsia="es-ES"/>
              </w:rPr>
            </w:pPr>
            <w:r>
              <w:rPr>
                <w:rFonts w:ascii="Verdana" w:eastAsia="Calibri" w:hAnsi="Verdana" w:cs="Arial"/>
                <w:lang w:eastAsia="es-ES"/>
              </w:rPr>
              <w:t>SUBASTA INVERSA ‒ Bienes y servicios de características técnicas uniformes ‒ Menor precio como único factor de evaluación ‒ Reglas del procedimiento ‒ Artículo 2.2.1.2.1.2.2 del Decreto 1082 de 2015 / SUBASTA INVERSA ‒ Terminación del certamen ‒ Adjudicación al Lance más bajo ‒ Artículo 2.2.1.2.1.2.4 del Decreto 1082 de 2015 / OFERTA CON VALOR ARTIFICIALMENTE BAJO ‒ Noción ‒ Artículo 2.2.1.1.2.2.4 del Decreto 1082 de 2015 ‒ Requerimiento de explicaciones ‒ Análisis sobre el precio final de la subasta ‒ Rechazo o continuación / OFERTA CON VALOR ARTIFICIALMENTE BAJO ‒ Carácter individual del rechazo ‒ Ofertas no requeridas ‒ Continuación del proceso con las ofertas válidas / SUBASTA INVERSA ‒ Rechazo de la oferta de menor precio ‒ Adjudicación a la oferta válida que sigue en el orden de menor precio ‒ Repetición del certamen ‒ Previsión en el pliego de condiciones ‒ Declaratoria de desierta / GUÍA PARA EL MANEJO DE OFERTAS ARTIFICIALMENTE BAJAS ‒ Carácter orientador ‒ Comparación absoluta ‒ Umbral del veinte por ciento (20%) ‒ Metodología adoptada por la entidad / COMPETENCIA CONSULTIVA ‒ Interpretación de normas generales ‒ Situaciones particulares</w:t>
            </w:r>
          </w:p>
          <w:p w14:paraId="41C29558" w14:textId="77777777" w:rsidR="00AC0ED1" w:rsidRPr="00777292" w:rsidRDefault="00AC0ED1" w:rsidP="004D2DC8">
            <w:pPr>
              <w:contextualSpacing/>
              <w:jc w:val="both"/>
              <w:rPr>
                <w:rFonts w:ascii="Verdana" w:eastAsia="Calibri" w:hAnsi="Verdana" w:cs="Arial"/>
                <w:lang w:eastAsia="es-ES"/>
              </w:rPr>
            </w:pPr>
          </w:p>
        </w:tc>
      </w:tr>
      <w:tr w:rsidR="00AC0ED1" w:rsidRPr="00777292" w14:paraId="46C5F3D2" w14:textId="77777777" w:rsidTr="004D2DC8">
        <w:tc>
          <w:tcPr>
            <w:tcW w:w="2689" w:type="dxa"/>
          </w:tcPr>
          <w:p w14:paraId="4814FDF9" w14:textId="77777777" w:rsidR="00AC0ED1" w:rsidRPr="00777292" w:rsidRDefault="00AC0ED1" w:rsidP="004D2DC8">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686005A8" w14:textId="77777777" w:rsidR="00AC0ED1" w:rsidRPr="00777292" w:rsidRDefault="00AC0ED1" w:rsidP="004D2DC8">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1_2026_09_09_012043</w:t>
            </w:r>
          </w:p>
        </w:tc>
      </w:tr>
    </w:tbl>
    <w:p w14:paraId="33278772" w14:textId="77777777" w:rsidR="00AC0ED1" w:rsidRPr="00206556" w:rsidRDefault="00AC0ED1" w:rsidP="00AC0ED1">
      <w:pPr>
        <w:tabs>
          <w:tab w:val="left" w:pos="1520"/>
        </w:tabs>
        <w:spacing w:after="0" w:line="276" w:lineRule="auto"/>
        <w:jc w:val="both"/>
        <w:rPr>
          <w:rFonts w:ascii="Verdana" w:eastAsia="Calibri" w:hAnsi="Verdana" w:cs="Arial"/>
          <w:color w:val="ED7D31" w:themeColor="accent2"/>
          <w:sz w:val="20"/>
          <w:szCs w:val="20"/>
          <w:lang w:val="es-ES" w:eastAsia="es-ES"/>
        </w:rPr>
      </w:pPr>
    </w:p>
    <w:p w14:paraId="0E83F72F" w14:textId="77777777" w:rsidR="00AC0ED1" w:rsidRPr="00206556" w:rsidRDefault="00AC0ED1" w:rsidP="00AC0ED1">
      <w:pPr>
        <w:spacing w:after="0" w:line="276" w:lineRule="auto"/>
        <w:jc w:val="both"/>
        <w:rPr>
          <w:rFonts w:ascii="Verdana" w:eastAsia="Calibri" w:hAnsi="Verdana" w:cs="Arial"/>
          <w:color w:val="ED7D31" w:themeColor="accent2"/>
          <w:lang w:val="es-ES" w:eastAsia="es-ES"/>
        </w:rPr>
      </w:pPr>
    </w:p>
    <w:p w14:paraId="77AE8696" w14:textId="1924E2E8" w:rsidR="00AC0ED1" w:rsidRPr="00206556" w:rsidRDefault="00AC0ED1" w:rsidP="00AC0ED1">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 señore Albarracín:</w:t>
      </w:r>
    </w:p>
    <w:p w14:paraId="7D6E1163" w14:textId="77777777" w:rsidR="00AC0ED1" w:rsidRPr="00206556" w:rsidRDefault="00AC0ED1" w:rsidP="00AC0ED1">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lastRenderedPageBreak/>
        <w:tab/>
      </w:r>
    </w:p>
    <w:p w14:paraId="029E0E8F" w14:textId="3BA2C73A" w:rsidR="00AC0ED1" w:rsidRPr="00206556" w:rsidRDefault="00AC0ED1" w:rsidP="00AC0ED1">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9 de septiembre de 2026, en la cual manifiesta lo siguiente: </w:t>
      </w:r>
    </w:p>
    <w:p w14:paraId="04A146B7" w14:textId="77777777" w:rsidR="00AC0ED1" w:rsidRPr="006A0794" w:rsidRDefault="00AC0ED1" w:rsidP="00AC0ED1">
      <w:pPr>
        <w:spacing w:after="0" w:line="276" w:lineRule="auto"/>
        <w:ind w:right="709"/>
        <w:jc w:val="both"/>
        <w:rPr>
          <w:rFonts w:ascii="Verdana" w:eastAsia="Century Gothic" w:hAnsi="Verdana" w:cs="Century Gothic"/>
          <w:i/>
          <w:iCs/>
          <w:sz w:val="20"/>
          <w:szCs w:val="20"/>
          <w:lang w:val="es-ES"/>
        </w:rPr>
      </w:pPr>
    </w:p>
    <w:p w14:paraId="3A2287E4"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“Solicitamos aclarar el siguiente caso:</w:t>
      </w:r>
    </w:p>
    <w:p w14:paraId="59C40325"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4FB97E61"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Una subasta inversa electrónica finalizó y algunos oferentes presentaron descuentos superiores al 20 %, por lo cual fueron requeridos para justificar posibles precios artificialmente bajos. Algunos no presentaron la justificación o esta no fue aceptada.</w:t>
      </w:r>
    </w:p>
    <w:p w14:paraId="1A322436"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10A3DE59"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Sin embargo, todavía existen oferentes habilitados cuyos descuentos no superaron el 20 % y, por tanto, no fueron requeridos para justificar sus precios.</w:t>
      </w:r>
    </w:p>
    <w:p w14:paraId="7995AEAE"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7E5B4BCF"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Frente a este caso, solicitamos indicar:</w:t>
      </w:r>
    </w:p>
    <w:p w14:paraId="0F78351F"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119A8F8D"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¿La entidad puede repetir la subasta porque algunos oferentes no justificaron sus precios artificialmente bajos?</w:t>
      </w:r>
    </w:p>
    <w:p w14:paraId="7181CAEB"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1B528A24"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¿Debe rechazar únicamente las ofertas que no fueron justificadas y continuar el proceso con los demás oferentes habilitados?</w:t>
      </w:r>
    </w:p>
    <w:p w14:paraId="488A48CA"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7C1752AF"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Si permanecen ofertas válidas que no requieren justificación, ¿debe respetarse el resultado de la subasta y adjudicarse al oferente que siga en el orden de menor precio?</w:t>
      </w:r>
    </w:p>
    <w:p w14:paraId="25CBF398"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1C4CD6FA"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Agradecemos precisar cuál es el procedimiento correcto”.</w:t>
      </w:r>
    </w:p>
    <w:p w14:paraId="4ADFF69B" w14:textId="77777777" w:rsidR="00AC0ED1" w:rsidRPr="003248CC" w:rsidRDefault="00AC0ED1" w:rsidP="00AC0ED1">
      <w:pPr>
        <w:spacing w:before="120" w:after="120" w:line="276" w:lineRule="auto"/>
        <w:ind w:left="709" w:right="709"/>
        <w:contextualSpacing/>
        <w:rPr>
          <w:rFonts w:ascii="Verdana" w:eastAsia="Century Gothic" w:hAnsi="Verdana" w:cs="Century Gothic"/>
          <w:lang w:val="es-ES"/>
        </w:rPr>
      </w:pPr>
    </w:p>
    <w:p w14:paraId="0D048495" w14:textId="77777777" w:rsidR="00AC0ED1" w:rsidRPr="00206556" w:rsidRDefault="00AC0ED1" w:rsidP="00AC0ED1">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lastRenderedPageBreak/>
        <w:t xml:space="preserve">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015F0DAB" w14:textId="77777777" w:rsidR="00AC0ED1" w:rsidRPr="00206556" w:rsidRDefault="00AC0ED1" w:rsidP="00AC0ED1">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9BFBD0" w14:textId="77777777" w:rsidR="00AC0ED1" w:rsidRPr="00206556" w:rsidRDefault="00AC0ED1" w:rsidP="00AC0ED1">
      <w:pPr>
        <w:spacing w:after="0" w:line="276" w:lineRule="auto"/>
        <w:ind w:firstLine="709"/>
        <w:jc w:val="both"/>
        <w:rPr>
          <w:rFonts w:ascii="Verdana" w:eastAsia="Calibri" w:hAnsi="Verdana" w:cs="Arial"/>
          <w:lang w:val="es-ES" w:eastAsia="es-ES"/>
        </w:rPr>
      </w:pPr>
    </w:p>
    <w:p w14:paraId="1918383A" w14:textId="77777777" w:rsidR="00AC0ED1" w:rsidRPr="00206556" w:rsidRDefault="00AC0ED1" w:rsidP="00AC0E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5131C9F5" w14:textId="77777777" w:rsidR="00AC0ED1" w:rsidRPr="00206556" w:rsidRDefault="00AC0ED1" w:rsidP="00AC0ED1">
      <w:pPr>
        <w:tabs>
          <w:tab w:val="left" w:pos="426"/>
        </w:tabs>
        <w:spacing w:after="0" w:line="276" w:lineRule="auto"/>
        <w:jc w:val="both"/>
        <w:rPr>
          <w:rFonts w:ascii="Verdana" w:eastAsia="Century Gothic" w:hAnsi="Verdana" w:cs="Century Gothic"/>
          <w:color w:val="ED7D31" w:themeColor="accent2"/>
          <w:lang w:val="es-ES"/>
        </w:rPr>
      </w:pPr>
    </w:p>
    <w:p w14:paraId="2CEB55DA" w14:textId="77777777" w:rsidR="00A94F33" w:rsidRPr="003550A6" w:rsidRDefault="00AC0ED1" w:rsidP="003550A6">
      <w:pPr>
        <w:spacing w:after="0" w:line="276" w:lineRule="auto"/>
        <w:jc w:val="both"/>
        <w:rPr>
          <w:rFonts w:ascii="Verdana" w:eastAsia="Times New Roman" w:hAnsi="Verdana" w:cs="Segoe UI"/>
          <w:lang w:eastAsia="es-ES_tradnl"/>
        </w:rPr>
      </w:pPr>
      <w:r w:rsidRPr="00A94F33">
        <w:rPr>
          <w:rFonts w:ascii="Verdana" w:eastAsia="Times New Roman" w:hAnsi="Verdana" w:cs="Times New Roman"/>
        </w:rPr>
        <w:t xml:space="preserve">De acuerdo con el contenido de su solicitud, esta Agencia resolverá el siguiente problema jurídico: </w:t>
      </w:r>
      <w:r w:rsidR="00A94F33" w:rsidRPr="003550A6">
        <w:rPr>
          <w:rFonts w:ascii="Verdana" w:eastAsia="Times New Roman" w:hAnsi="Verdana" w:cs="Segoe UI"/>
          <w:lang w:eastAsia="es-ES_tradnl"/>
        </w:rPr>
        <w:t>¿Cuando, después de una subasta inversa electrónica, algunas ofertas son rechazadas por corresponder a precios artificialmente bajos no debidamente justificados, pero permanecen otras ofertas válidas en el orden de elegibilidad, debe la entidad adjudicar el contrato al oferente que ocupe el primer lugar entre las ofertas válidas o puede repetir la subasta?</w:t>
      </w:r>
    </w:p>
    <w:p w14:paraId="6F78BA0A" w14:textId="2138F32D" w:rsidR="00B24DA3" w:rsidRPr="003550A6" w:rsidRDefault="00B24DA3" w:rsidP="003550A6">
      <w:pPr>
        <w:widowControl w:val="0"/>
        <w:autoSpaceDE w:val="0"/>
        <w:autoSpaceDN w:val="0"/>
        <w:spacing w:after="0" w:line="276" w:lineRule="auto"/>
        <w:jc w:val="both"/>
        <w:rPr>
          <w:rFonts w:ascii="Verdana" w:eastAsia="Times New Roman" w:hAnsi="Verdana" w:cs="Times New Roman"/>
        </w:rPr>
      </w:pPr>
    </w:p>
    <w:p w14:paraId="06C2280C" w14:textId="77777777" w:rsidR="00AC0ED1" w:rsidRDefault="00AC0ED1" w:rsidP="00AC0E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61871ADD" w14:textId="77777777" w:rsidR="00AC0ED1" w:rsidRPr="00A4789E" w:rsidRDefault="00AC0ED1" w:rsidP="00AC0ED1">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0ED1" w:rsidRPr="00206556" w14:paraId="1E42D852" w14:textId="77777777" w:rsidTr="004D2DC8">
        <w:tc>
          <w:tcPr>
            <w:tcW w:w="8828" w:type="dxa"/>
          </w:tcPr>
          <w:p w14:paraId="171E8D91" w14:textId="77777777" w:rsidR="00AC0ED1" w:rsidRDefault="00AC0ED1" w:rsidP="003550A6">
            <w:pPr>
              <w:spacing w:line="276" w:lineRule="auto"/>
              <w:jc w:val="both"/>
              <w:rPr>
                <w:rFonts w:ascii="Verdana" w:eastAsia="Calibri" w:hAnsi="Verdana" w:cs="Arial"/>
              </w:rPr>
            </w:pPr>
            <w:r>
              <w:rPr>
                <w:rFonts w:ascii="Verdana" w:eastAsia="Calibri" w:hAnsi="Verdana" w:cs="Arial"/>
              </w:rPr>
              <w:t>En atención al problema jurídico planteado, se precisa debe precisar que, en la subasta inversa el único factor de evaluación es el menor precio ofrecido, conforme al numeral 3 del artículo 5 de la Ley 1150 de 2007. Según el artículo 2.2.1.2.1.2.4 del Decreto 1082 de 2015, la subasta termina cuando los oferentes no hacen Lances adicionales durante un período para su presentación, y la entidad estatal debe adjudicar el contrato al oferente que haya presentado el Lance más bajo. El análisis de la oferta con valor artificialmente bajo previsto en el artículo 2.2.1.1.2.2.4 del mismo decreto se aplica, en la subasta inversa, sobre el precio obtenido al final de la misma: la entidad requiere al oferente cuyo precio parece artificialmente bajo para que explique las razones que lo sustentan, analiza las explicaciones y, con la recomendación del comité evaluador, rechaza la oferta o continúa con su análisis; debe continuar cuando el valor responde a circunstancias objetivas del oferente y de su oferta que no ponen en riesgo el cumplimiento del contrato.</w:t>
            </w:r>
          </w:p>
          <w:p w14:paraId="0A29C221"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lastRenderedPageBreak/>
              <w:t>(ii) El rechazo es individual. Recae únicamente sobre las ofertas requeridas cuyo precio no fue justificado o cuya justificación no fue aceptada. Las ofertas que no fueron requeridas, porque su precio no generó dudas conforme a la metodología adoptada por la entidad, no se ven afectadas por la omisión de otros oferentes y permanecen en el proceso con el último Lance presentado por cada una. La norma no prevé que el incumplimiento del deber de justificar por parte de unos oferentes produzca efectos sobre las ofertas de los demás, ni autoriza rechazar ofertas que no fueron cuestionadas.</w:t>
            </w:r>
          </w:p>
          <w:p w14:paraId="7F092647" w14:textId="77777777" w:rsidR="00AC0ED1" w:rsidRDefault="00AC0ED1" w:rsidP="004D2DC8">
            <w:pPr>
              <w:spacing w:line="276" w:lineRule="auto"/>
              <w:ind w:firstLine="709"/>
              <w:jc w:val="both"/>
              <w:rPr>
                <w:rFonts w:ascii="Verdana" w:eastAsia="Calibri" w:hAnsi="Verdana" w:cs="Arial"/>
              </w:rPr>
            </w:pPr>
          </w:p>
          <w:p w14:paraId="1D0E7E23"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t>(iii) Las normas que regulan la subasta inversa no contemplan la repetición del certamen como consecuencia del rechazo de ofertas por precio artificialmente bajo, ni la prohíben. La regla general es que la subasta concluye con la adjudicación al Lance más bajo; cuando esa oferta es rechazada, la escogencia objetiva se cumple adjudicando a la oferta válida que sigue en el orden de menor precio, previo el mismo análisis de su precio final si, conforme a la metodología adoptada, también pareciera artificialmente bajo. La Guía para el manejo de ofertas artificialmente bajas de esta Agencia reconoce que, cuando la entidad rechaza la oferta más baja de una subasta inversa, en particular si el proponente no responde o atribuye el Lance a un error humano, la entidad puede evaluar, en el marco de su autonomía, la procedencia de volver a realizar el evento de subasta retirando al proponente, si ello está contemplado inicialmente en los pliegos, con el fin de evitar que un participante beneficie a otro mediante una oferta artificialmente baja; situaciones que deben ponerse en conocimiento de la Superintendencia de Industria y Comercio. La repetición no es, por tanto, un efecto automático del rechazo: supone que el pliego de condiciones la haya previsto y una justificación fundada en ese riesgo. A falta de previsión en el pliego, la entidad continúa el proceso con las ofertas válidas y adjudica a la de menor precio, y solo declara desierto el proceso cuando concurran motivos o causas que impidan la escogencia objetiva, conforme al numeral 18 del artículo 25 de la Ley 80 de 1993.</w:t>
            </w:r>
          </w:p>
          <w:p w14:paraId="5009C06F" w14:textId="77777777" w:rsidR="00AC0ED1" w:rsidRDefault="00AC0ED1" w:rsidP="004D2DC8">
            <w:pPr>
              <w:spacing w:line="276" w:lineRule="auto"/>
              <w:ind w:firstLine="709"/>
              <w:jc w:val="both"/>
              <w:rPr>
                <w:rFonts w:ascii="Verdana" w:eastAsia="Calibri" w:hAnsi="Verdana" w:cs="Arial"/>
              </w:rPr>
            </w:pPr>
          </w:p>
          <w:p w14:paraId="21283340"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t xml:space="preserve">(iv) El umbral del veinte por ciento (20%) no es un criterio legal. Proviene de la comparación absoluta propuesta en la Guía, cuyas metodologías son enunciativas, y de las reglas que la entidad fije en el pliego de condiciones. Corresponde a la entidad determinar y motivar, en cada proceso, la </w:t>
            </w:r>
            <w:r>
              <w:rPr>
                <w:rFonts w:ascii="Verdana" w:eastAsia="Calibri" w:hAnsi="Verdana" w:cs="Arial"/>
              </w:rPr>
              <w:lastRenderedPageBreak/>
              <w:t>metodología con la que identifica las ofertas que parecen artificialmente bajas y las razones del rechazo o de la continuación, en el informe de evaluación y en el acto de adjudicación. La aplicación de estas reglas a la subasta descrita en su consulta corresponde a la entidad que adelanta el proceso, bajo su responsabilidad y con sujeción a su pliego de condiciones.</w:t>
            </w:r>
          </w:p>
        </w:tc>
      </w:tr>
    </w:tbl>
    <w:p w14:paraId="057192DE" w14:textId="77777777" w:rsidR="00AC0ED1" w:rsidRPr="00206556" w:rsidRDefault="00AC0ED1" w:rsidP="00AC0ED1">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711BF04A" w14:textId="77777777" w:rsidR="00AC0ED1" w:rsidRPr="00206556" w:rsidRDefault="00AC0ED1" w:rsidP="00AC0E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57DE3613" w14:textId="77777777" w:rsidR="00AC0ED1" w:rsidRPr="00206556" w:rsidRDefault="00AC0ED1" w:rsidP="00AC0ED1">
      <w:pPr>
        <w:tabs>
          <w:tab w:val="left" w:pos="142"/>
          <w:tab w:val="left" w:pos="284"/>
        </w:tabs>
        <w:spacing w:after="0" w:line="276" w:lineRule="auto"/>
        <w:jc w:val="both"/>
        <w:rPr>
          <w:rFonts w:ascii="Verdana" w:eastAsia="Century Gothic" w:hAnsi="Verdana" w:cs="Century Gothic"/>
          <w:b/>
          <w:color w:val="ED7D31" w:themeColor="accent2"/>
          <w:lang w:val="es-ES"/>
        </w:rPr>
      </w:pPr>
    </w:p>
    <w:p w14:paraId="02CD6606" w14:textId="77777777" w:rsidR="00AC0ED1" w:rsidRPr="00206556" w:rsidRDefault="00AC0ED1" w:rsidP="00AC0ED1">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CCFB5F8" w14:textId="77777777" w:rsidR="00AC0ED1" w:rsidRPr="00206556" w:rsidRDefault="00AC0ED1" w:rsidP="00AC0ED1">
      <w:pPr>
        <w:spacing w:after="0" w:line="276" w:lineRule="auto"/>
        <w:jc w:val="both"/>
        <w:rPr>
          <w:rFonts w:ascii="Verdana" w:eastAsia="Calibri" w:hAnsi="Verdana" w:cs="Arial"/>
          <w:lang w:val="es-ES"/>
        </w:rPr>
      </w:pPr>
    </w:p>
    <w:p w14:paraId="6784B101" w14:textId="1250B8F4" w:rsidR="00AC0ED1" w:rsidRDefault="00AC0ED1" w:rsidP="00DB5D50">
      <w:pPr>
        <w:widowControl w:val="0"/>
        <w:autoSpaceDE w:val="0"/>
        <w:autoSpaceDN w:val="0"/>
        <w:spacing w:after="0" w:line="276" w:lineRule="auto"/>
        <w:jc w:val="both"/>
        <w:rPr>
          <w:rFonts w:ascii="Verdana" w:eastAsia="Times New Roman" w:hAnsi="Verdana" w:cs="Times New Roman"/>
        </w:rPr>
      </w:pPr>
      <w:r>
        <w:rPr>
          <w:rFonts w:ascii="Verdana" w:eastAsia="Times New Roman" w:hAnsi="Verdana" w:cs="Times New Roman"/>
        </w:rPr>
        <w:t>(i)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aunque su consulta describe una subasta inversa determinada, las consideraciones que siguen se formulan en abstracto y no constituyen juicio alguno sobre la legalidad de ese procedimiento ni sobre las decisiones de la entidad que lo adelanta, cuya revisión compete a esa entidad, a los organismos de control y a la jurisdicción de lo contencioso administrativo.</w:t>
      </w:r>
    </w:p>
    <w:p w14:paraId="3DD41479" w14:textId="77777777" w:rsidR="00DB5D50" w:rsidRDefault="00DB5D50" w:rsidP="003550A6">
      <w:pPr>
        <w:widowControl w:val="0"/>
        <w:autoSpaceDE w:val="0"/>
        <w:autoSpaceDN w:val="0"/>
        <w:spacing w:after="0" w:line="276" w:lineRule="auto"/>
        <w:jc w:val="both"/>
        <w:rPr>
          <w:rFonts w:ascii="Verdana" w:hAnsi="Verdana"/>
        </w:rPr>
      </w:pPr>
    </w:p>
    <w:p w14:paraId="68874FE6"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(ii) La subasta inversa es el procedimiento que el literal a) del numeral 2 del artículo 2 de la Ley 1150 de 2007 prevé para la adquisición o suministro de bienes y servicios de características técnicas uniformes y de común utilización, esto es, aquellos que “poseen las mismas especificaciones técnicas, con independencia de su diseño o de sus características descriptivas, y comparten patrones de desempeño y calidad objetivamente definidos”</w:t>
      </w:r>
      <w:r>
        <w:rPr>
          <w:rStyle w:val="Refdenotaalpie"/>
          <w:rFonts w:ascii="Verdana" w:eastAsia="Times New Roman" w:hAnsi="Verdana" w:cs="Times New Roman"/>
        </w:rPr>
        <w:footnoteReference w:id="2"/>
      </w:r>
      <w:r>
        <w:rPr>
          <w:rFonts w:ascii="Verdana" w:eastAsia="Times New Roman" w:hAnsi="Verdana" w:cs="Times New Roman"/>
        </w:rPr>
        <w:t>. Para esas contrataciones, el numeral 3 del artículo 5 de la misma ley dispone que “las entidades estatales incluirán como único factor de evaluación el menor precio ofrecido”</w:t>
      </w:r>
      <w:r>
        <w:rPr>
          <w:rStyle w:val="Refdenotaalpie"/>
          <w:rFonts w:ascii="Verdana" w:eastAsia="Times New Roman" w:hAnsi="Verdana" w:cs="Times New Roman"/>
        </w:rPr>
        <w:footnoteReference w:id="3"/>
      </w:r>
      <w:r>
        <w:rPr>
          <w:rFonts w:ascii="Verdana" w:eastAsia="Times New Roman" w:hAnsi="Verdana" w:cs="Times New Roman"/>
        </w:rPr>
        <w:t xml:space="preserve">. En consecuencia, en la subasta inversa la competencia se concentra en el precio, los requisitos habilitantes se verifican de manera previa y los Lances son ofertas económicas que se mejoran de manera dinámica durante el </w:t>
      </w:r>
      <w:r>
        <w:rPr>
          <w:rFonts w:ascii="Verdana" w:eastAsia="Times New Roman" w:hAnsi="Verdana" w:cs="Times New Roman"/>
        </w:rPr>
        <w:lastRenderedPageBreak/>
        <w:t>certamen.</w:t>
      </w:r>
    </w:p>
    <w:p w14:paraId="663CC21A" w14:textId="42BDC536" w:rsidR="006C22C3" w:rsidRDefault="00AC0ED1" w:rsidP="00AC0ED1">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Las reglas del certamen </w:t>
      </w:r>
      <w:r w:rsidR="00B26832">
        <w:rPr>
          <w:rFonts w:ascii="Verdana" w:eastAsia="Times New Roman" w:hAnsi="Verdana" w:cs="Times New Roman"/>
        </w:rPr>
        <w:t xml:space="preserve">se encuentran contenidas </w:t>
      </w:r>
      <w:r>
        <w:rPr>
          <w:rFonts w:ascii="Verdana" w:eastAsia="Times New Roman" w:hAnsi="Verdana" w:cs="Times New Roman"/>
        </w:rPr>
        <w:t>en el artículo 2.2.1.2.1.2.2 del Decreto 1082 de 2015. Conforme a esa disposición, los pliegos de condiciones deben indicar la fecha y hora de inicio de la subasta, la periodicidad de los Lances y el Margen Mínimo para mejorar la oferta; “Hay subasta inversa siempre que haya como mínimo dos oferentes habilitados cuyos bienes o servicios cumplen con la ficha técnica”; “La subasta debe iniciar con el precio más bajo indicado por los oferentes y en consecuencia, solamente serán válidos los Lances efectuados durante la subasta inversa en los cuales la oferta sea mejorada en por lo menos el Margen Mínimo establecido”; y “Si los oferentes no presentan Lances durante la subasta, la Entidad Estatal debe adjudicar el contrato al oferente que haya presentado el precio inicial más bajo”</w:t>
      </w:r>
      <w:r>
        <w:rPr>
          <w:rStyle w:val="Refdenotaalpie"/>
          <w:rFonts w:ascii="Verdana" w:eastAsia="Times New Roman" w:hAnsi="Verdana" w:cs="Times New Roman"/>
        </w:rPr>
        <w:footnoteReference w:id="4"/>
      </w:r>
      <w:r>
        <w:rPr>
          <w:rFonts w:ascii="Verdana" w:eastAsia="Times New Roman" w:hAnsi="Verdana" w:cs="Times New Roman"/>
        </w:rPr>
        <w:t xml:space="preserve">. </w:t>
      </w:r>
    </w:p>
    <w:p w14:paraId="2A1110E9" w14:textId="45303A63" w:rsidR="00AC0ED1" w:rsidRDefault="00AC0ED1"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A su turno, el artículo 2.2.1.2.1.2.4 del mismo decreto regula la terminación del certamen y la adjudicación: “La subasta termina cuando los oferentes no hagan Lances adicionales durante un período para la presentación de Lances. La Entidad Estatal debe adjudicar el contrato al oferente que haya presentado el Lance más bajo. En el acto de adjudicación, la Entidad Estatal indicará el nombre de los oferentes y el precio del último Lance presentado por cada uno de ellos”</w:t>
      </w:r>
      <w:r>
        <w:rPr>
          <w:rStyle w:val="Refdenotaalpie"/>
          <w:rFonts w:ascii="Verdana" w:eastAsia="Times New Roman" w:hAnsi="Verdana" w:cs="Times New Roman"/>
        </w:rPr>
        <w:footnoteReference w:id="5"/>
      </w:r>
      <w:r>
        <w:rPr>
          <w:rFonts w:ascii="Verdana" w:eastAsia="Times New Roman" w:hAnsi="Verdana" w:cs="Times New Roman"/>
        </w:rPr>
        <w:t>. De estas normas se desprende que el resultado de la subasta es el orden de los últimos Lances presentados por los oferentes, que la adjudicación corresponde al Lance más bajo y que el pliego de condiciones es el instrumento en el que la entidad fija las reglas del certamen, incluida la forma en que analizará las ofertas resultantes, como lo ha señalado esta Agencia</w:t>
      </w:r>
      <w:r>
        <w:rPr>
          <w:rStyle w:val="Refdenotaalpie"/>
          <w:rFonts w:ascii="Verdana" w:eastAsia="Times New Roman" w:hAnsi="Verdana" w:cs="Times New Roman"/>
        </w:rPr>
        <w:footnoteReference w:id="6"/>
      </w:r>
      <w:r>
        <w:rPr>
          <w:rFonts w:ascii="Verdana" w:eastAsia="Times New Roman" w:hAnsi="Verdana" w:cs="Times New Roman"/>
        </w:rPr>
        <w:t>.</w:t>
      </w:r>
    </w:p>
    <w:p w14:paraId="356E511F" w14:textId="77777777" w:rsidR="008B4991" w:rsidRDefault="00AC0ED1" w:rsidP="00AC0ED1">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(iii) La adjudicación al Lance más bajo no es, sin embargo, automática, pues la entidad debe verificar que el precio obtenido sea sostenible. El numeral 6 del artículo 26 de la Ley 80 de 1993 dispone que “Los contratistas responderán cuando formulen propuestas en las que se fijen condiciones económicas y de contratación artificialmente bajas con el propósito de obtener la adjudicación del </w:t>
      </w:r>
      <w:r>
        <w:rPr>
          <w:rFonts w:ascii="Verdana" w:eastAsia="Times New Roman" w:hAnsi="Verdana" w:cs="Times New Roman"/>
        </w:rPr>
        <w:lastRenderedPageBreak/>
        <w:t>contrato”</w:t>
      </w:r>
      <w:r>
        <w:rPr>
          <w:rStyle w:val="Refdenotaalpie"/>
          <w:rFonts w:ascii="Verdana" w:eastAsia="Times New Roman" w:hAnsi="Verdana" w:cs="Times New Roman"/>
        </w:rPr>
        <w:footnoteReference w:id="7"/>
      </w:r>
      <w:r>
        <w:rPr>
          <w:rFonts w:ascii="Verdana" w:eastAsia="Times New Roman" w:hAnsi="Verdana" w:cs="Times New Roman"/>
        </w:rPr>
        <w:t xml:space="preserve">. </w:t>
      </w:r>
    </w:p>
    <w:p w14:paraId="6BC272C3" w14:textId="1D03CA23" w:rsidR="00AC0ED1" w:rsidRDefault="00AC0ED1"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Consejo de Estado ha precisado que el precio artificialmente bajo es aquel que resulta artificioso o falso, disimulado, muy reducido o disminuido, sin sustento en el tráfico comercial, de modo que la Administración no podría admitirlo sin desconocer los principios de la contratación</w:t>
      </w:r>
      <w:r>
        <w:rPr>
          <w:rStyle w:val="Refdenotaalpie"/>
          <w:rFonts w:ascii="Verdana" w:eastAsia="Times New Roman" w:hAnsi="Verdana" w:cs="Times New Roman"/>
        </w:rPr>
        <w:footnoteReference w:id="8"/>
      </w:r>
      <w:r>
        <w:rPr>
          <w:rFonts w:ascii="Verdana" w:eastAsia="Times New Roman" w:hAnsi="Verdana" w:cs="Times New Roman"/>
        </w:rPr>
        <w:t>. Con ese fundamento, el artículo 2.2.1.1.2.2.4 del Decreto 1082 de 2015 regula el procedimiento aplicable: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En la subasta inversa esta disposición es aplicable sobre el precio obtenido al final de la misma”</w:t>
      </w:r>
      <w:r>
        <w:rPr>
          <w:rStyle w:val="Refdenotaalpie"/>
          <w:rFonts w:ascii="Verdana" w:eastAsia="Times New Roman" w:hAnsi="Verdana" w:cs="Times New Roman"/>
        </w:rPr>
        <w:footnoteReference w:id="9"/>
      </w:r>
      <w:r>
        <w:rPr>
          <w:rFonts w:ascii="Verdana" w:eastAsia="Times New Roman" w:hAnsi="Verdana" w:cs="Times New Roman"/>
        </w:rPr>
        <w:t>.</w:t>
      </w:r>
    </w:p>
    <w:p w14:paraId="1DB9A4EB" w14:textId="05437007" w:rsidR="00AC0ED1" w:rsidRDefault="00AC0ED1"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ha explicado de manera reiterada que ese procedimiento comprende tres pasos: requerir al oferente para que explique el valor ofrecido, analizar las explicaciones y, con la recomendación del comité evaluador, rechazar la oferta o continuar con su evaluación</w:t>
      </w:r>
      <w:r w:rsidR="008B4991">
        <w:rPr>
          <w:rFonts w:ascii="Verdana" w:eastAsia="Times New Roman" w:hAnsi="Verdana" w:cs="Times New Roman"/>
        </w:rPr>
        <w:t>. Así mismo, ha manifestado</w:t>
      </w:r>
      <w:r>
        <w:rPr>
          <w:rFonts w:ascii="Verdana" w:eastAsia="Times New Roman" w:hAnsi="Verdana" w:cs="Times New Roman"/>
        </w:rPr>
        <w:t xml:space="preserve"> que en la subasta inversa el análisis se realiza al finalizar el evento, sobre el último valor ofertado por cada proponente, esto es, su último Lance o, si no hubo Lances, el precio inicial</w:t>
      </w:r>
      <w:r>
        <w:rPr>
          <w:rStyle w:val="Refdenotaalpie"/>
          <w:rFonts w:ascii="Verdana" w:eastAsia="Times New Roman" w:hAnsi="Verdana" w:cs="Times New Roman"/>
        </w:rPr>
        <w:footnoteReference w:id="10"/>
      </w:r>
      <w:r>
        <w:rPr>
          <w:rFonts w:ascii="Verdana" w:eastAsia="Times New Roman" w:hAnsi="Verdana" w:cs="Times New Roman"/>
        </w:rPr>
        <w:t xml:space="preserve">. La Guía para el manejo de ofertas artificialmente bajas precisa, a su vez, los eventos en los que procede el rechazo: cuando el proponente no presenta la aclaración por escrito, cuando no remite la información solicitada, cuando la aclaración no garantiza la sostenibilidad del contrato o cuando no desvirtúa una posible estrategia colusoria; y advierte que la aclaración no es una oportunidad para modificar la oferta y que la resolución </w:t>
      </w:r>
      <w:r>
        <w:rPr>
          <w:rFonts w:ascii="Verdana" w:eastAsia="Times New Roman" w:hAnsi="Verdana" w:cs="Times New Roman"/>
        </w:rPr>
        <w:lastRenderedPageBreak/>
        <w:t>de adjudicación debe describir las razones y la metodología empleadas</w:t>
      </w:r>
      <w:r>
        <w:rPr>
          <w:rStyle w:val="Refdenotaalpie"/>
          <w:rFonts w:ascii="Verdana" w:eastAsia="Times New Roman" w:hAnsi="Verdana" w:cs="Times New Roman"/>
        </w:rPr>
        <w:footnoteReference w:id="11"/>
      </w:r>
      <w:r>
        <w:rPr>
          <w:rFonts w:ascii="Verdana" w:eastAsia="Times New Roman" w:hAnsi="Verdana" w:cs="Times New Roman"/>
        </w:rPr>
        <w:t>.</w:t>
      </w:r>
    </w:p>
    <w:p w14:paraId="3B69B13F" w14:textId="05841E02" w:rsidR="005553D6" w:rsidRDefault="00AC0ED1" w:rsidP="00863F91">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(iv) Sentado lo anterior, el primer aspecto de la consulta se refiere a los efectos del rechazo</w:t>
      </w:r>
      <w:r w:rsidR="009A1A15">
        <w:rPr>
          <w:rFonts w:ascii="Verdana" w:eastAsia="Times New Roman" w:hAnsi="Verdana" w:cs="Times New Roman"/>
        </w:rPr>
        <w:t xml:space="preserve"> de las ofertas por precio artificialmente bajo</w:t>
      </w:r>
      <w:r>
        <w:rPr>
          <w:rFonts w:ascii="Verdana" w:eastAsia="Times New Roman" w:hAnsi="Verdana" w:cs="Times New Roman"/>
        </w:rPr>
        <w:t xml:space="preserve">. </w:t>
      </w:r>
      <w:r w:rsidR="00863F91" w:rsidRPr="003550A6">
        <w:rPr>
          <w:rFonts w:ascii="Verdana" w:eastAsia="Times New Roman" w:hAnsi="Verdana" w:cs="Segoe UI"/>
          <w:lang w:eastAsia="es-ES_tradnl"/>
        </w:rPr>
        <w:t xml:space="preserve">Resulta relevante advertir, desde el inicio, que el artículo 2.2.1.1.2.2.4 del Decreto 1082 de 2015 no prevé como consecuencia del hallazgo de un precio artificialmente bajo la invalidez del resultado de la subasta, la exclusión de los demás participantes ni la repetición automática del certamen. Por el contrario, la disposición circunscribe los efectos de dicho análisis a la oferta cuyo precio genera dudas, frente a la cual la entidad debe decidir si la rechaza o continúa con su evaluación. </w:t>
      </w:r>
      <w:r w:rsidR="00863F91">
        <w:rPr>
          <w:rFonts w:ascii="Verdana" w:eastAsia="Times New Roman" w:hAnsi="Verdana" w:cs="Times New Roman"/>
        </w:rPr>
        <w:t>En efecto, l</w:t>
      </w:r>
      <w:r>
        <w:rPr>
          <w:rFonts w:ascii="Verdana" w:eastAsia="Times New Roman" w:hAnsi="Verdana" w:cs="Times New Roman"/>
        </w:rPr>
        <w:t xml:space="preserve">a norma </w:t>
      </w:r>
      <w:r w:rsidR="00863F91">
        <w:rPr>
          <w:rFonts w:ascii="Verdana" w:eastAsia="Times New Roman" w:hAnsi="Verdana" w:cs="Times New Roman"/>
        </w:rPr>
        <w:t xml:space="preserve">citada </w:t>
      </w:r>
      <w:r>
        <w:rPr>
          <w:rFonts w:ascii="Verdana" w:eastAsia="Times New Roman" w:hAnsi="Verdana" w:cs="Times New Roman"/>
        </w:rPr>
        <w:t>se refiere a “la oferta” cuyo valor parece artificialmente bajo, al “oferente” que debe explicarlo y a la recomendación de rechazar “la oferta” o continuar con “su” análisis. El rechazo es, por tanto, una decisión individual</w:t>
      </w:r>
      <w:r w:rsidR="005553D6">
        <w:rPr>
          <w:rFonts w:ascii="Verdana" w:eastAsia="Times New Roman" w:hAnsi="Verdana" w:cs="Times New Roman"/>
        </w:rPr>
        <w:t xml:space="preserve"> </w:t>
      </w:r>
      <w:r>
        <w:rPr>
          <w:rFonts w:ascii="Verdana" w:eastAsia="Times New Roman" w:hAnsi="Verdana" w:cs="Times New Roman"/>
        </w:rPr>
        <w:t xml:space="preserve">que recae sobre la oferta requerida cuyo precio no fue justificado o cuya justificación no fue aceptada. </w:t>
      </w:r>
    </w:p>
    <w:p w14:paraId="0F56C6D9" w14:textId="5A090FE8" w:rsidR="00E24D1E" w:rsidRDefault="00AC0ED1" w:rsidP="00E24D1E">
      <w:pPr>
        <w:spacing w:after="120" w:line="276" w:lineRule="auto"/>
        <w:ind w:firstLine="708"/>
        <w:jc w:val="both"/>
        <w:rPr>
          <w:rFonts w:ascii="Verdana" w:hAnsi="Verdana" w:cs="Segoe UI"/>
        </w:rPr>
      </w:pPr>
      <w:r>
        <w:rPr>
          <w:rFonts w:ascii="Verdana" w:eastAsia="Times New Roman" w:hAnsi="Verdana" w:cs="Times New Roman"/>
        </w:rPr>
        <w:t xml:space="preserve">Ninguna disposición prevé que la omisión de </w:t>
      </w:r>
      <w:r w:rsidR="005553D6" w:rsidRPr="00E24D1E">
        <w:rPr>
          <w:rFonts w:ascii="Verdana" w:eastAsia="Times New Roman" w:hAnsi="Verdana" w:cs="Times New Roman"/>
        </w:rPr>
        <w:t>alg</w:t>
      </w:r>
      <w:r w:rsidRPr="00E24D1E">
        <w:rPr>
          <w:rFonts w:ascii="Verdana" w:eastAsia="Times New Roman" w:hAnsi="Verdana" w:cs="Times New Roman"/>
        </w:rPr>
        <w:t>unos</w:t>
      </w:r>
      <w:r>
        <w:rPr>
          <w:rFonts w:ascii="Verdana" w:eastAsia="Times New Roman" w:hAnsi="Verdana" w:cs="Times New Roman"/>
        </w:rPr>
        <w:t xml:space="preserve"> oferentes en justificar su precio produzca efectos sobre las ofertas de los demás</w:t>
      </w:r>
      <w:r w:rsidR="005553D6" w:rsidRPr="00E24D1E">
        <w:rPr>
          <w:rFonts w:ascii="Verdana" w:eastAsia="Times New Roman" w:hAnsi="Verdana" w:cs="Times New Roman"/>
        </w:rPr>
        <w:t xml:space="preserve"> participantes</w:t>
      </w:r>
      <w:r>
        <w:rPr>
          <w:rFonts w:ascii="Verdana" w:eastAsia="Times New Roman" w:hAnsi="Verdana" w:cs="Times New Roman"/>
        </w:rPr>
        <w:t xml:space="preserve">, ni autoriza a la entidad a rechazar las ofertas que no fueron requeridas porque su precio no generó dudas conforme a la metodología adoptada. </w:t>
      </w:r>
      <w:r w:rsidRPr="00E24D1E">
        <w:rPr>
          <w:rFonts w:ascii="Verdana" w:eastAsia="Times New Roman" w:hAnsi="Verdana" w:cs="Times New Roman"/>
        </w:rPr>
        <w:t>E</w:t>
      </w:r>
      <w:r w:rsidR="005553D6" w:rsidRPr="00E24D1E">
        <w:rPr>
          <w:rFonts w:ascii="Verdana" w:eastAsia="Times New Roman" w:hAnsi="Verdana" w:cs="Times New Roman"/>
        </w:rPr>
        <w:t>n principio, e</w:t>
      </w:r>
      <w:r w:rsidRPr="00E24D1E">
        <w:rPr>
          <w:rFonts w:ascii="Verdana" w:eastAsia="Times New Roman" w:hAnsi="Verdana" w:cs="Times New Roman"/>
        </w:rPr>
        <w:t>sas</w:t>
      </w:r>
      <w:r>
        <w:rPr>
          <w:rFonts w:ascii="Verdana" w:eastAsia="Times New Roman" w:hAnsi="Verdana" w:cs="Times New Roman"/>
        </w:rPr>
        <w:t xml:space="preserve"> ofertas conservan su validez y permanecen en el proceso con el último Lance presentado por cada una, que es el precio sobre el cual la entidad verificó, o debió verificar, la sostenibilidad. </w:t>
      </w:r>
      <w:r w:rsidR="00E24D1E" w:rsidRPr="003550A6">
        <w:rPr>
          <w:rFonts w:ascii="Verdana" w:hAnsi="Verdana" w:cs="Segoe UI"/>
        </w:rPr>
        <w:t>Cuando la oferta inicialmente ubicada en el primer lugar es rechazada, ello no implica la desaparición del resultado de la subasta ni la invalidez del orden de elegibilidad conformado durante la puja, sino únicamente la exclusión de esa oferta de dicho orden. En consecuencia, las demás ofertas conservan la posición relativa derivada de los Lances válidamente presentados y la entidad debe continuar el procedimiento con aquella que pase a ocupar el primer lugar entre las ofertas vigentes.</w:t>
      </w:r>
    </w:p>
    <w:p w14:paraId="28B425EA" w14:textId="2B6DB91A" w:rsidR="00EC0B29" w:rsidRPr="003550A6" w:rsidRDefault="00EC0B29" w:rsidP="003550A6">
      <w:pPr>
        <w:spacing w:after="120" w:line="276" w:lineRule="auto"/>
        <w:ind w:firstLine="709"/>
        <w:jc w:val="both"/>
        <w:rPr>
          <w:rFonts w:ascii="Verdana" w:eastAsia="Times New Roman" w:hAnsi="Verdana" w:cs="Segoe UI"/>
          <w:lang w:eastAsia="es-ES_tradnl"/>
        </w:rPr>
      </w:pPr>
      <w:r w:rsidRPr="003550A6">
        <w:rPr>
          <w:rFonts w:ascii="Verdana" w:eastAsia="Times New Roman" w:hAnsi="Verdana" w:cs="Segoe UI"/>
          <w:lang w:eastAsia="es-ES_tradnl"/>
        </w:rPr>
        <w:t xml:space="preserve">Por ello, el deber de la entidad es continuar el análisis respecto de la oferta que, como consecuencia del rechazo de la inicialmente mejor clasificada, pase a ocupar el primer lugar. Si el precio de esta última también pareciera artificialmente bajo de acuerdo con la metodología definida por la entidad, deberá surtirse respecto de ella el procedimiento previsto en el artículo </w:t>
      </w:r>
      <w:r w:rsidRPr="003550A6">
        <w:rPr>
          <w:rFonts w:ascii="Verdana" w:eastAsia="Times New Roman" w:hAnsi="Verdana" w:cs="Segoe UI"/>
          <w:lang w:eastAsia="es-ES_tradnl"/>
        </w:rPr>
        <w:lastRenderedPageBreak/>
        <w:t>2.2.1.1.2.2.4 del Decreto 1082 de 2015. En caso contrario, la adjudicación deberá realizarse conforme al orden de elegibilidad resultante del certamen.</w:t>
      </w:r>
    </w:p>
    <w:p w14:paraId="27B8D887" w14:textId="1FACAFB4" w:rsidR="00091A8C" w:rsidRDefault="00AC0ED1" w:rsidP="00AC0ED1">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(v) El segundo aspecto </w:t>
      </w:r>
      <w:r w:rsidR="00091A8C">
        <w:rPr>
          <w:rFonts w:ascii="Verdana" w:eastAsia="Times New Roman" w:hAnsi="Verdana" w:cs="Times New Roman"/>
        </w:rPr>
        <w:t xml:space="preserve">consiste en determinar </w:t>
      </w:r>
      <w:r>
        <w:rPr>
          <w:rFonts w:ascii="Verdana" w:eastAsia="Times New Roman" w:hAnsi="Verdana" w:cs="Times New Roman"/>
        </w:rPr>
        <w:t>si</w:t>
      </w:r>
      <w:r w:rsidR="00091A8C">
        <w:rPr>
          <w:rFonts w:ascii="Verdana" w:eastAsia="Times New Roman" w:hAnsi="Verdana" w:cs="Times New Roman"/>
        </w:rPr>
        <w:t>, como consecuencia del rechazo de una o varias ofertas por precio artificialmente bajo,</w:t>
      </w:r>
      <w:r>
        <w:rPr>
          <w:rFonts w:ascii="Verdana" w:eastAsia="Times New Roman" w:hAnsi="Verdana" w:cs="Times New Roman"/>
        </w:rPr>
        <w:t xml:space="preserve"> la entidad puede repetir la subasta. Las normas que regulan el certamen no contemplan su repetición como consecuencia </w:t>
      </w:r>
      <w:r w:rsidR="00091A8C">
        <w:rPr>
          <w:rFonts w:ascii="Verdana" w:eastAsia="Times New Roman" w:hAnsi="Verdana" w:cs="Times New Roman"/>
        </w:rPr>
        <w:t xml:space="preserve">jurídica </w:t>
      </w:r>
      <w:r>
        <w:rPr>
          <w:rFonts w:ascii="Verdana" w:eastAsia="Times New Roman" w:hAnsi="Verdana" w:cs="Times New Roman"/>
        </w:rPr>
        <w:t>del rechazo de ofertas por precio artificialmente bajo, ni la prohíben</w:t>
      </w:r>
      <w:r w:rsidR="00091A8C">
        <w:rPr>
          <w:rFonts w:ascii="Verdana" w:eastAsia="Times New Roman" w:hAnsi="Verdana" w:cs="Times New Roman"/>
        </w:rPr>
        <w:t>. Mientras</w:t>
      </w:r>
      <w:r>
        <w:rPr>
          <w:rFonts w:ascii="Verdana" w:eastAsia="Times New Roman" w:hAnsi="Verdana" w:cs="Times New Roman"/>
        </w:rPr>
        <w:t xml:space="preserve"> el artículo 2.2.1.2.1.2.4 dispone que la subasta termina cuando no hay Lances adicionales y que la adjudicación corresponde al Lance más bajo, el artículo 2.2.1.1.2.2.4 agota sus consecuencias en el rechazo de la oferta o en la continuación de su análisis. </w:t>
      </w:r>
    </w:p>
    <w:p w14:paraId="3B38D741" w14:textId="42FEB9EB" w:rsidR="003F0EFC" w:rsidRPr="003550A6" w:rsidRDefault="00AC0ED1" w:rsidP="003550A6">
      <w:pPr>
        <w:spacing w:after="120" w:line="276" w:lineRule="auto"/>
        <w:ind w:firstLine="709"/>
        <w:jc w:val="both"/>
        <w:rPr>
          <w:rFonts w:ascii="Verdana" w:eastAsia="Times New Roman" w:hAnsi="Verdana" w:cs="Segoe UI"/>
          <w:lang w:eastAsia="es-ES_tradnl"/>
        </w:rPr>
      </w:pPr>
      <w:r>
        <w:rPr>
          <w:rFonts w:ascii="Verdana" w:eastAsia="Times New Roman" w:hAnsi="Verdana" w:cs="Times New Roman"/>
        </w:rPr>
        <w:t xml:space="preserve">De ello se sigue que la regla general, cuando se rechaza la oferta de menor precio, es la adjudicación a la oferta válida que sigue en el orden de menor precio, pues esa es la forma en que se realiza la escogencia objetiva con el resultado de un certamen válidamente concluido, en el que las demás ofertas se mantienen vigentes e irrevocables. </w:t>
      </w:r>
      <w:r w:rsidR="003F0EFC" w:rsidRPr="003550A6">
        <w:rPr>
          <w:rFonts w:ascii="Verdana" w:eastAsia="Times New Roman" w:hAnsi="Verdana" w:cs="Segoe UI"/>
          <w:lang w:eastAsia="es-ES_tradnl"/>
        </w:rPr>
        <w:t>Una interpretación distinta conduciría a desconocer el resultado de la competencia surtida entre los participantes y a prescindir de ofertas que permanecen válidas y comparables, sin que exista una causa legal que impida la escogencia objetiva del contratista.</w:t>
      </w:r>
    </w:p>
    <w:p w14:paraId="5B0A06C7"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Ahora bien, esta Agencia, en su </w:t>
      </w:r>
      <w:r w:rsidR="00AC0ED1">
        <w:rPr>
          <w:rFonts w:ascii="Verdana" w:eastAsia="Times New Roman" w:hAnsi="Verdana" w:cs="Times New Roman"/>
        </w:rPr>
        <w:t>Guía para el manejo de ofertas artificialmente bajas</w:t>
      </w:r>
      <w:r>
        <w:rPr>
          <w:rFonts w:ascii="Verdana" w:eastAsia="Times New Roman" w:hAnsi="Verdana" w:cs="Times New Roman"/>
        </w:rPr>
        <w:t>,</w:t>
      </w:r>
      <w:r w:rsidR="00AC0ED1">
        <w:rPr>
          <w:rFonts w:ascii="Verdana" w:eastAsia="Times New Roman" w:hAnsi="Verdana" w:cs="Times New Roman"/>
        </w:rPr>
        <w:t xml:space="preserve"> reconoce una posibilidad adicional, en los siguientes términos: “En el caso de que la entidad decida rechazar la oferta más baja en una subasta inversa, particularmente en casos en los que el proponente no responda o atribuya el lance a un error humano, la entidad en el marco de su autonomía puede evaluar la procedencia de volver a realizar el evento de subasta, retirando al proponente si está contemplado inicialmente en los pliegos; esto, con el fin de evitar que un participante de la subasta beneficie a otro a través de la presentación de una oferta artificialmente baja. Estas situaciones deben ponerse en conocimiento de la Superintendencia de Industria y Comercio”</w:t>
      </w:r>
      <w:r w:rsidR="00AC0ED1">
        <w:rPr>
          <w:rStyle w:val="Refdenotaalpie"/>
          <w:rFonts w:ascii="Verdana" w:eastAsia="Times New Roman" w:hAnsi="Verdana" w:cs="Times New Roman"/>
        </w:rPr>
        <w:footnoteReference w:id="12"/>
      </w:r>
      <w:r w:rsidR="00AC0ED1">
        <w:rPr>
          <w:rFonts w:ascii="Verdana" w:eastAsia="Times New Roman" w:hAnsi="Verdana" w:cs="Times New Roman"/>
        </w:rPr>
        <w:t>.</w:t>
      </w:r>
    </w:p>
    <w:p w14:paraId="1E559230" w14:textId="77777777" w:rsidR="003F0EFC" w:rsidRDefault="00AC0ED1" w:rsidP="00AC0ED1">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De ese pasaje se desprenden tres condiciones. La primera es que la repetición del evento no es un efecto automático del rechazo, sino una decisión </w:t>
      </w:r>
      <w:r w:rsidR="003F0EFC">
        <w:rPr>
          <w:rFonts w:ascii="Verdana" w:eastAsia="Times New Roman" w:hAnsi="Verdana" w:cs="Times New Roman"/>
        </w:rPr>
        <w:lastRenderedPageBreak/>
        <w:t xml:space="preserve">excepcional </w:t>
      </w:r>
      <w:r>
        <w:rPr>
          <w:rFonts w:ascii="Verdana" w:eastAsia="Times New Roman" w:hAnsi="Verdana" w:cs="Times New Roman"/>
        </w:rPr>
        <w:t xml:space="preserve">que la entidad puede evaluar en el marco de su autonomía. La segunda es que debe estar contemplada inicialmente en los pliegos de condiciones, que son los que fijan las reglas del certamen conforme al numeral 1 del artículo 2.2.1.2.1.2.2 del Decreto 1082 de 2015; a falta de esa previsión, la entidad no puede introducir, una vez concluida la subasta, una regla que los oferentes no conocieron al participar. La tercera es que su justificación es específica: evitar que un participante se beneficie de la oferta artificialmente baja presentada por otro, por ejemplo cuando los Lances de la oferta rechazada condujeron a que los demás oferentes dejaran de mejorar sus precios, riesgo que la entidad debe motivar y que, por su posible vínculo con prácticas restrictivas de la competencia, debe ponerse en conocimiento de la Superintendencia de Industria y Comercio. </w:t>
      </w:r>
    </w:p>
    <w:p w14:paraId="2AB2D809" w14:textId="66747FBE" w:rsidR="00AC0ED1" w:rsidRDefault="00AC0ED1"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Fuera de esas condiciones, la entidad debe continuar el proceso con las ofertas válidas y adjudicar a la de menor precio. La declaratoria de desierta, por su parte, no es una alternativa discrecional: conforme al numeral 18 del artículo 25 de la Ley 80 de 1993, “únicamente procederá por motivos o causas que impidan la escogencia objetiva y se declarará en acto administrativo en el que se señalarán en forma expresa y detallada las razones que han conducido a esa decisión”</w:t>
      </w:r>
      <w:r>
        <w:rPr>
          <w:rStyle w:val="Refdenotaalpie"/>
          <w:rFonts w:ascii="Verdana" w:eastAsia="Times New Roman" w:hAnsi="Verdana" w:cs="Times New Roman"/>
        </w:rPr>
        <w:footnoteReference w:id="13"/>
      </w:r>
      <w:r>
        <w:rPr>
          <w:rFonts w:ascii="Verdana" w:eastAsia="Times New Roman" w:hAnsi="Verdana" w:cs="Times New Roman"/>
        </w:rPr>
        <w:t>, de modo que no procede cuando subsisten ofertas válidas entre las cuales puede hacerse la escogencia.</w:t>
      </w:r>
    </w:p>
    <w:p w14:paraId="2A169FA5" w14:textId="77777777" w:rsidR="00AC0ED1" w:rsidRDefault="00AC0ED1"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(vi) Finalmente, conviene precisar que el umbral del veinte por ciento (20%) al que alude la consulta no es un criterio establecido en la ley ni en el reglamento. Proviene de la comparación absoluta que propone la Guía para el manejo de ofertas artificialmente bajas, conforme a la cual la entidad contrasta cada oferta con el costo estimado en el estudio del sector y solicita explicaciones a los proponentes cuyas ofertas sean menores en un veinte por ciento (20%) o más, metodología que la propia Guía recomienda cuando se reciben menos de cinco ofertas y que complementa con la comparación relativa cuando se reciben cinco o más</w:t>
      </w:r>
      <w:r>
        <w:rPr>
          <w:rStyle w:val="Refdenotaalpie"/>
          <w:rFonts w:ascii="Verdana" w:eastAsia="Times New Roman" w:hAnsi="Verdana" w:cs="Times New Roman"/>
        </w:rPr>
        <w:footnoteReference w:id="14"/>
      </w:r>
      <w:r>
        <w:rPr>
          <w:rFonts w:ascii="Verdana" w:eastAsia="Times New Roman" w:hAnsi="Verdana" w:cs="Times New Roman"/>
        </w:rPr>
        <w:t xml:space="preserve">. Esta Agencia ha señalado que esas metodologías son enunciativas y que las entidades pueden adoptar otras, siempre que las justifiquen y las </w:t>
      </w:r>
      <w:r>
        <w:rPr>
          <w:rFonts w:ascii="Verdana" w:eastAsia="Times New Roman" w:hAnsi="Verdana" w:cs="Times New Roman"/>
        </w:rPr>
        <w:lastRenderedPageBreak/>
        <w:t>apliquen de manera uniforme a todas las ofertas</w:t>
      </w:r>
      <w:r>
        <w:rPr>
          <w:rStyle w:val="Refdenotaalpie"/>
          <w:rFonts w:ascii="Verdana" w:eastAsia="Times New Roman" w:hAnsi="Verdana" w:cs="Times New Roman"/>
        </w:rPr>
        <w:footnoteReference w:id="15"/>
      </w:r>
      <w:r>
        <w:rPr>
          <w:rFonts w:ascii="Verdana" w:eastAsia="Times New Roman" w:hAnsi="Verdana" w:cs="Times New Roman"/>
        </w:rPr>
        <w:t>. Por ello, la identificación de las ofertas que deben ser requeridas, el análisis de las explicaciones y la decisión de rechazar o continuar corresponden a la entidad que adelanta el proceso, bajo su responsabilidad y con sujeción a las reglas de su pliego de condiciones, y deben quedar motivadas en el informe de evaluación y en el acto de adjudicación.</w:t>
      </w:r>
    </w:p>
    <w:p w14:paraId="40F756A1" w14:textId="77777777" w:rsidR="00AC0ED1" w:rsidRDefault="00AC0ED1" w:rsidP="003550A6">
      <w:pPr>
        <w:widowControl w:val="0"/>
        <w:autoSpaceDE w:val="0"/>
        <w:autoSpaceDN w:val="0"/>
        <w:spacing w:after="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6BC34896" w14:textId="77777777" w:rsidR="00AC0ED1" w:rsidRPr="00EE1130" w:rsidRDefault="00AC0ED1" w:rsidP="00AC0ED1">
      <w:pPr>
        <w:spacing w:after="0" w:line="276" w:lineRule="auto"/>
        <w:jc w:val="both"/>
        <w:rPr>
          <w:rFonts w:ascii="Verdana" w:eastAsia="Calibri" w:hAnsi="Verdana" w:cs="Arial"/>
        </w:rPr>
      </w:pPr>
    </w:p>
    <w:p w14:paraId="3DC48420" w14:textId="77777777" w:rsidR="00AC0ED1" w:rsidRDefault="00AC0ED1" w:rsidP="00AC0ED1">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70D8D2D" w14:textId="77777777" w:rsidR="00AC0ED1" w:rsidRPr="00EE1130" w:rsidRDefault="00AC0ED1" w:rsidP="00AC0ED1">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0ED1" w:rsidRPr="00EE1130" w14:paraId="3D9C98F7" w14:textId="77777777" w:rsidTr="004D2DC8">
        <w:trPr>
          <w:trHeight w:val="297"/>
        </w:trPr>
        <w:tc>
          <w:tcPr>
            <w:tcW w:w="8647" w:type="dxa"/>
          </w:tcPr>
          <w:p w14:paraId="1DEDD11D"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y 209.</w:t>
            </w:r>
          </w:p>
          <w:p w14:paraId="477C103D"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80 de 1993. Artículos 24, 25 y 26.</w:t>
            </w:r>
          </w:p>
          <w:p w14:paraId="7D87D1AB"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1150 de 2007. Artículos 2 y 5.</w:t>
            </w:r>
          </w:p>
          <w:p w14:paraId="5E838155"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76058F97"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4E627B68"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1082 de 2015. Artículos 2.2.1.1.1.6.1, 2.2.1.1.2.2.4, 2.2.1.2.1.2.1, 2.2.1.2.1.2.2 y 2.2.1.2.1.2.4.</w:t>
            </w:r>
          </w:p>
          <w:p w14:paraId="33251FD2"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Consejo de Estado. Sección Tercera. Sentencia del 4 de junio de 2008, radicado 17.783, C.P. Myriam Guerrero de Escobar.</w:t>
            </w:r>
          </w:p>
          <w:p w14:paraId="3242895E"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para el manejo de ofertas artificialmente bajas en Procesos de Contratación, CCE-EICP-GI-27, versión 01 del 16 de diciembre de 2024.</w:t>
            </w:r>
          </w:p>
        </w:tc>
      </w:tr>
    </w:tbl>
    <w:p w14:paraId="3BA50FF3" w14:textId="77777777" w:rsidR="00AC0ED1" w:rsidRPr="00EE1130" w:rsidRDefault="00AC0ED1" w:rsidP="00AC0ED1">
      <w:pPr>
        <w:widowControl w:val="0"/>
        <w:autoSpaceDE w:val="0"/>
        <w:autoSpaceDN w:val="0"/>
        <w:spacing w:after="0" w:line="276" w:lineRule="auto"/>
        <w:jc w:val="both"/>
        <w:rPr>
          <w:rFonts w:ascii="Verdana" w:hAnsi="Verdana" w:cs="Arial"/>
          <w:color w:val="ED7D31" w:themeColor="accent2"/>
          <w:lang w:val="es-ES"/>
        </w:rPr>
      </w:pPr>
    </w:p>
    <w:p w14:paraId="4661BD69" w14:textId="77777777" w:rsidR="00AC0ED1" w:rsidRPr="00EE1130" w:rsidRDefault="00AC0ED1" w:rsidP="00AC0E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2EAC40B5" w14:textId="77777777" w:rsidR="00AC0ED1" w:rsidRPr="001B3CBA" w:rsidRDefault="00AC0ED1" w:rsidP="00AC0ED1">
      <w:pPr>
        <w:tabs>
          <w:tab w:val="left" w:pos="142"/>
          <w:tab w:val="left" w:pos="284"/>
        </w:tabs>
        <w:spacing w:after="0" w:line="276" w:lineRule="auto"/>
        <w:jc w:val="both"/>
        <w:rPr>
          <w:rFonts w:ascii="Verdana" w:eastAsia="Century Gothic" w:hAnsi="Verdana" w:cs="Century Gothic"/>
          <w:b/>
          <w:lang w:val="es-ES"/>
        </w:rPr>
      </w:pPr>
    </w:p>
    <w:p w14:paraId="213B383F" w14:textId="77777777" w:rsidR="00AC0ED1" w:rsidRDefault="00AC0ED1" w:rsidP="003550A6">
      <w:pPr>
        <w:spacing w:after="0" w:line="276" w:lineRule="auto"/>
        <w:jc w:val="both"/>
        <w:rPr>
          <w:rFonts w:ascii="Verdana" w:hAnsi="Verdana"/>
        </w:rPr>
      </w:pPr>
      <w:r>
        <w:rPr>
          <w:rFonts w:ascii="Verdana" w:hAnsi="Verdana"/>
        </w:rPr>
        <w:lastRenderedPageBreak/>
        <w:t>Esta Subdirección se ha pronunciado sobre la noción de precio artificialmente bajo, el procedimiento del artículo 2.2.1.1.2.2.4 del Decreto 1082 de 2015 y el carácter orientador de la Guía para el manejo de ofertas artificialmente bajas en los Conceptos C-573 de 2025, C-533 de 2026 y C-1117 de 2026; y sobre su aplicación en la subasta inversa, el momento del análisis sobre el precio final del certamen y la posibilidad de evaluar la repetición del evento, en los Conceptos C-264 de 2024, C-1069 de 2025 y C-1299 de 2025. Estos y otros conceptos se encuentran disponibles para consulta en el Sistema de relatoría de la Agencia, al cual se puede acceder a través del siguiente enlace: https://relatoria.colombiacompra.gov.co/busqueda/conceptos</w:t>
      </w:r>
    </w:p>
    <w:p w14:paraId="77E99037" w14:textId="77777777" w:rsidR="00AC0ED1" w:rsidRPr="00EE1130" w:rsidRDefault="00AC0ED1" w:rsidP="00AC0ED1">
      <w:pPr>
        <w:spacing w:after="0" w:line="276" w:lineRule="auto"/>
        <w:jc w:val="both"/>
        <w:rPr>
          <w:rFonts w:ascii="Verdana" w:hAnsi="Verdana" w:cs="Arial"/>
          <w:color w:val="ED7D31" w:themeColor="accent2"/>
          <w:shd w:val="clear" w:color="auto" w:fill="FFFFFF"/>
          <w:lang w:val="es-ES"/>
        </w:rPr>
      </w:pPr>
    </w:p>
    <w:p w14:paraId="564E8B2F"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sidRPr="005E4C51">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1E3E77FF" w14:textId="77777777" w:rsidR="00AC0ED1" w:rsidRPr="001B3CBA" w:rsidRDefault="00AC0ED1" w:rsidP="00AC0ED1">
      <w:pPr>
        <w:spacing w:after="0" w:line="276" w:lineRule="auto"/>
        <w:jc w:val="both"/>
        <w:rPr>
          <w:rFonts w:ascii="Verdana" w:hAnsi="Verdana" w:cs="Arial"/>
          <w:shd w:val="clear" w:color="auto" w:fill="FFFFFF"/>
        </w:rPr>
      </w:pPr>
    </w:p>
    <w:p w14:paraId="5D8E3705"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w:t>
      </w:r>
      <w:r w:rsidRPr="005E4C51">
        <w:rPr>
          <w:rFonts w:ascii="Verdana" w:hAnsi="Verdana" w:cs="Arial"/>
          <w:shd w:val="clear" w:color="auto" w:fill="FFFFFF"/>
        </w:rPr>
        <w:t xml:space="preserve">Consulta y descarga los documentos aquí: </w:t>
      </w:r>
      <w:hyperlink r:id="rId12" w:history="1">
        <w:r w:rsidRPr="005E4C51">
          <w:rPr>
            <w:rStyle w:val="Hipervnculo"/>
            <w:rFonts w:ascii="Verdana" w:hAnsi="Verdana" w:cs="Arial"/>
            <w:shd w:val="clear" w:color="auto" w:fill="FFFFFF"/>
          </w:rPr>
          <w:t>https://www.colombiacompra.gov.co/normativa-y-relatoria/documentos-tipo</w:t>
        </w:r>
      </w:hyperlink>
    </w:p>
    <w:p w14:paraId="33E19C4D" w14:textId="77777777" w:rsidR="00AC0ED1" w:rsidRPr="00EE1130" w:rsidRDefault="00AC0ED1" w:rsidP="00AC0ED1">
      <w:pPr>
        <w:spacing w:after="0" w:line="276" w:lineRule="auto"/>
        <w:jc w:val="both"/>
        <w:rPr>
          <w:rFonts w:ascii="Verdana" w:hAnsi="Verdana" w:cs="Arial"/>
          <w:shd w:val="clear" w:color="auto" w:fill="FFFFFF"/>
        </w:rPr>
      </w:pPr>
    </w:p>
    <w:p w14:paraId="7135F582"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w:t>
      </w:r>
      <w:r>
        <w:rPr>
          <w:rFonts w:ascii="Verdana" w:hAnsi="Verdana" w:cs="Arial"/>
          <w:shd w:val="clear" w:color="auto" w:fill="FFFFFF"/>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3E187DA1" w14:textId="77777777" w:rsidR="00AC0ED1" w:rsidRPr="00EE1130" w:rsidRDefault="00AC0ED1" w:rsidP="00AC0ED1">
      <w:pPr>
        <w:spacing w:after="0" w:line="276" w:lineRule="auto"/>
        <w:jc w:val="both"/>
        <w:rPr>
          <w:rFonts w:ascii="Verdana" w:hAnsi="Verdana" w:cs="Arial"/>
          <w:color w:val="ED7D31" w:themeColor="accent2"/>
          <w:shd w:val="clear" w:color="auto" w:fill="FFFFFF"/>
        </w:rPr>
      </w:pPr>
    </w:p>
    <w:p w14:paraId="4C9857A3"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0B66F35E" w14:textId="77777777" w:rsidR="00AC0ED1" w:rsidRPr="00EE1130" w:rsidRDefault="00AC0ED1" w:rsidP="00AC0ED1">
      <w:pPr>
        <w:spacing w:after="0" w:line="276" w:lineRule="auto"/>
        <w:jc w:val="both"/>
        <w:rPr>
          <w:rFonts w:ascii="Verdana" w:hAnsi="Verdana" w:cs="Arial"/>
          <w:shd w:val="clear" w:color="auto" w:fill="FFFFFF"/>
        </w:rPr>
      </w:pPr>
    </w:p>
    <w:p w14:paraId="079306E3"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2E7BEC9C"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6330F4B6"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6828D45D"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0167E35C" w14:textId="77777777" w:rsidR="00AC0ED1" w:rsidRPr="00EE1130" w:rsidRDefault="00AC0ED1" w:rsidP="00AC0ED1">
      <w:pPr>
        <w:widowControl w:val="0"/>
        <w:autoSpaceDE w:val="0"/>
        <w:autoSpaceDN w:val="0"/>
        <w:spacing w:after="0" w:line="276" w:lineRule="auto"/>
        <w:jc w:val="both"/>
        <w:rPr>
          <w:rFonts w:ascii="Verdana" w:hAnsi="Verdana" w:cs="Arial"/>
          <w:color w:val="ED7D31" w:themeColor="accent2"/>
          <w:lang w:val="es-ES"/>
        </w:rPr>
      </w:pPr>
    </w:p>
    <w:p w14:paraId="0989DF4C" w14:textId="77777777" w:rsidR="00AC0ED1" w:rsidRPr="00EE1130" w:rsidRDefault="00AC0ED1" w:rsidP="00AC0ED1">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4813CC" w14:textId="77777777" w:rsidR="00AC0ED1" w:rsidRPr="00EE1130" w:rsidRDefault="00AC0ED1" w:rsidP="00AC0ED1">
      <w:pPr>
        <w:widowControl w:val="0"/>
        <w:autoSpaceDE w:val="0"/>
        <w:autoSpaceDN w:val="0"/>
        <w:spacing w:after="0" w:line="276" w:lineRule="auto"/>
        <w:jc w:val="both"/>
        <w:rPr>
          <w:rFonts w:ascii="Verdana" w:hAnsi="Verdana" w:cs="Arial"/>
          <w:lang w:val="es-ES"/>
        </w:rPr>
      </w:pPr>
    </w:p>
    <w:p w14:paraId="11BBC37C" w14:textId="721BF17F" w:rsidR="00AC0ED1" w:rsidRPr="00206556" w:rsidRDefault="00AC0ED1" w:rsidP="003550A6">
      <w:pPr>
        <w:spacing w:after="0" w:line="276" w:lineRule="auto"/>
        <w:rPr>
          <w:rFonts w:ascii="Verdana" w:eastAsia="Times New Roman" w:hAnsi="Verdana" w:cs="Arial"/>
          <w:lang w:eastAsia="es-ES"/>
        </w:rPr>
      </w:pPr>
      <w:r>
        <w:rPr>
          <w:rFonts w:ascii="Verdana" w:eastAsia="Times New Roman" w:hAnsi="Verdana" w:cs="Arial"/>
          <w:lang w:val="es-ES" w:eastAsia="es-CO"/>
        </w:rPr>
        <w:t>Atentamente,</w:t>
      </w:r>
      <w:r>
        <w:rPr>
          <w:rFonts w:ascii="Verdana" w:hAnsi="Verdana" w:cs="Arial"/>
          <w:lang w:val="es-ES" w:eastAsia="es-CO"/>
        </w:rPr>
        <w:t xml:space="preserve"> </w:t>
      </w:r>
    </w:p>
    <w:p w14:paraId="6B471B36" w14:textId="2B585E61" w:rsidR="00AC0ED1" w:rsidRPr="00206556" w:rsidRDefault="006668F6" w:rsidP="006668F6">
      <w:pPr>
        <w:spacing w:after="0" w:line="240"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78296B07" wp14:editId="79E3092A">
            <wp:extent cx="2418080" cy="902200"/>
            <wp:effectExtent l="0" t="0" r="1270" b="0"/>
            <wp:docPr id="16772390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39018"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436841" cy="909200"/>
                    </a:xfrm>
                    <a:prstGeom prst="rect">
                      <a:avLst/>
                    </a:prstGeom>
                  </pic:spPr>
                </pic:pic>
              </a:graphicData>
            </a:graphic>
          </wp:inline>
        </w:drawing>
      </w:r>
    </w:p>
    <w:p w14:paraId="49136C7D" w14:textId="77777777" w:rsidR="003F0EFC" w:rsidRPr="00206556" w:rsidRDefault="003F0EFC" w:rsidP="00AC0ED1">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C0ED1" w:rsidRPr="00206556" w14:paraId="3F1D3437" w14:textId="77777777" w:rsidTr="004D2DC8">
        <w:trPr>
          <w:trHeight w:val="322"/>
        </w:trPr>
        <w:tc>
          <w:tcPr>
            <w:tcW w:w="733" w:type="dxa"/>
            <w:tcBorders>
              <w:top w:val="nil"/>
              <w:left w:val="nil"/>
              <w:bottom w:val="nil"/>
              <w:right w:val="nil"/>
            </w:tcBorders>
            <w:vAlign w:val="center"/>
            <w:hideMark/>
          </w:tcPr>
          <w:p w14:paraId="21EBE0CA"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11B727B"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4503D55D" w14:textId="77777777" w:rsidR="00AC0ED1" w:rsidRPr="00206556" w:rsidRDefault="00AC0ED1" w:rsidP="004D2DC8">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AC0ED1" w:rsidRPr="00206556" w14:paraId="57B62A8E" w14:textId="77777777" w:rsidTr="004D2DC8">
        <w:trPr>
          <w:trHeight w:val="322"/>
        </w:trPr>
        <w:tc>
          <w:tcPr>
            <w:tcW w:w="733" w:type="dxa"/>
            <w:tcBorders>
              <w:top w:val="nil"/>
              <w:left w:val="nil"/>
              <w:bottom w:val="nil"/>
              <w:right w:val="nil"/>
            </w:tcBorders>
            <w:vAlign w:val="center"/>
            <w:hideMark/>
          </w:tcPr>
          <w:p w14:paraId="5E68FD3E"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CC81680" w14:textId="77777777" w:rsidR="00AC0ED1" w:rsidRPr="00206556" w:rsidRDefault="00AC0ED1" w:rsidP="004D2DC8">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23142AAE" w14:textId="77777777" w:rsidR="00AC0ED1" w:rsidRPr="00206556" w:rsidRDefault="00AC0ED1" w:rsidP="004D2DC8">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AC0ED1" w:rsidRPr="00206556" w14:paraId="1B6C902D" w14:textId="77777777" w:rsidTr="004D2DC8">
        <w:trPr>
          <w:trHeight w:val="307"/>
        </w:trPr>
        <w:tc>
          <w:tcPr>
            <w:tcW w:w="733" w:type="dxa"/>
            <w:tcBorders>
              <w:top w:val="nil"/>
              <w:left w:val="nil"/>
              <w:bottom w:val="nil"/>
              <w:right w:val="nil"/>
            </w:tcBorders>
            <w:vAlign w:val="center"/>
            <w:hideMark/>
          </w:tcPr>
          <w:p w14:paraId="028B5F28"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7CE45A4" w14:textId="77777777" w:rsidR="00AC0ED1" w:rsidRPr="00206556" w:rsidRDefault="00AC0ED1" w:rsidP="004D2DC8">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7F5282B0" w14:textId="77777777" w:rsidR="00AC0ED1" w:rsidRPr="00206556" w:rsidRDefault="00AC0ED1" w:rsidP="004D2DC8">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bookmarkEnd w:id="0"/>
    </w:tbl>
    <w:p w14:paraId="69BC4D14" w14:textId="7428266B"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0194A" w14:textId="77777777" w:rsidR="004B59EE" w:rsidRDefault="004B59EE" w:rsidP="004A1847">
      <w:pPr>
        <w:spacing w:after="0" w:line="240" w:lineRule="auto"/>
      </w:pPr>
      <w:r>
        <w:separator/>
      </w:r>
    </w:p>
  </w:endnote>
  <w:endnote w:type="continuationSeparator" w:id="0">
    <w:p w14:paraId="0D76251F" w14:textId="77777777" w:rsidR="004B59EE" w:rsidRDefault="004B59EE" w:rsidP="004A1847">
      <w:pPr>
        <w:spacing w:after="0" w:line="240" w:lineRule="auto"/>
      </w:pPr>
      <w:r>
        <w:continuationSeparator/>
      </w:r>
    </w:p>
  </w:endnote>
  <w:endnote w:type="continuationNotice" w:id="1">
    <w:p w14:paraId="6D2F2013" w14:textId="77777777" w:rsidR="004B59EE" w:rsidRDefault="004B5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BE6CE" w14:textId="77777777" w:rsidR="004B59EE" w:rsidRDefault="004B59EE" w:rsidP="004A1847">
      <w:pPr>
        <w:spacing w:after="0" w:line="240" w:lineRule="auto"/>
      </w:pPr>
      <w:r>
        <w:separator/>
      </w:r>
    </w:p>
  </w:footnote>
  <w:footnote w:type="continuationSeparator" w:id="0">
    <w:p w14:paraId="19A4FFFA" w14:textId="77777777" w:rsidR="004B59EE" w:rsidRDefault="004B59EE" w:rsidP="004A1847">
      <w:pPr>
        <w:spacing w:after="0" w:line="240" w:lineRule="auto"/>
      </w:pPr>
      <w:r>
        <w:continuationSeparator/>
      </w:r>
    </w:p>
  </w:footnote>
  <w:footnote w:type="continuationNotice" w:id="1">
    <w:p w14:paraId="25A40885" w14:textId="77777777" w:rsidR="004B59EE" w:rsidRDefault="004B59EE">
      <w:pPr>
        <w:spacing w:after="0" w:line="240" w:lineRule="auto"/>
      </w:pPr>
    </w:p>
  </w:footnote>
  <w:footnote w:id="2">
    <w:p w14:paraId="6DBAF38F"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numeral 2, literal a).</w:t>
      </w:r>
    </w:p>
  </w:footnote>
  <w:footnote w:id="3">
    <w:p w14:paraId="381EAF62"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5, numeral 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footnote>
  <w:footnote w:id="4">
    <w:p w14:paraId="0C3B14F4"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2.2.1.2.1.2.2, numerales 1, 4, 6 y 7. El numeral 9 agrega: “Si al terminar la subasta inversa hay empate, la Entidad Estatal debe seleccionar al oferente que presentó el menor precio inicial. En caso de persistir el empate la Entidad Estatal debe aplicar las reglas del numeral 1 al 5 del artículo 2.2.1.1.2.2.9 del presente decreto”.</w:t>
      </w:r>
    </w:p>
  </w:footnote>
  <w:footnote w:id="5">
    <w:p w14:paraId="519F79A8"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2.2.1.2.1.2.4.</w:t>
      </w:r>
    </w:p>
  </w:footnote>
  <w:footnote w:id="6">
    <w:p w14:paraId="6E0AF187"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C-264 de 2024, en el que se indicó que los Lances son ofertas económicas que varían durante el certamen y que el pliego de condiciones debe definir las reglas de la subasta y la forma en que la entidad analizará las ofertas resultantes, en especial las aclaraciones por precios artificialmente bajos.</w:t>
      </w:r>
    </w:p>
  </w:footnote>
  <w:footnote w:id="7">
    <w:p w14:paraId="34E0BD88"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26, numeral 6.</w:t>
      </w:r>
    </w:p>
  </w:footnote>
  <w:footnote w:id="8">
    <w:p w14:paraId="2CD3DD0E"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Sección Tercera, sentencia del 4 de junio de 2008, radicado 17.783, C.P. Myriam Guerrero de Escobar, citada en los Conceptos C-573 de 2025 y C-533 de 2026 de esta Agencia.</w:t>
      </w:r>
    </w:p>
  </w:footnote>
  <w:footnote w:id="9">
    <w:p w14:paraId="56D422F9"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2.2.1.1.2.2.4.</w:t>
      </w:r>
    </w:p>
  </w:footnote>
  <w:footnote w:id="10">
    <w:p w14:paraId="234E8FD6"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C-264 de 2024, C-573 de 2025, C-1069 de 2025, C-1299 de 2025, C-533 de 2026 y C-1117 de 2026.</w:t>
      </w:r>
    </w:p>
  </w:footnote>
  <w:footnote w:id="11">
    <w:p w14:paraId="17F0D55E"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para el manejo de ofertas artificialmente bajas en Procesos de Contratación, CCE-EICP-GI-27, versión 01 del 16 de diciembre de 2024, numerales 4.1, 4.2 y 4.3.</w:t>
      </w:r>
    </w:p>
  </w:footnote>
  <w:footnote w:id="12">
    <w:p w14:paraId="0D363BB6"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para el manejo de ofertas artificialmente bajas en Procesos de Contratación, CCE-EICP-GI-27, versión 01 del 16 de diciembre de 2024, aparte relativo a la subasta inversa. Este pasaje ha sido reiterado en los Conceptos C-1069 de 2025 y C-1299 de 2025.</w:t>
      </w:r>
    </w:p>
  </w:footnote>
  <w:footnote w:id="13">
    <w:p w14:paraId="749D704F"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25, numeral 18. La expresión “o concurso” que contenía la norma fue derogada por el artículo 32 de la Ley 1150 de 2007.</w:t>
      </w:r>
    </w:p>
  </w:footnote>
  <w:footnote w:id="14">
    <w:p w14:paraId="56EA7392"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para el manejo de ofertas artificialmente bajas en Procesos de Contratación, CCE-EICP-GI-27, versión 01 del 16 de diciembre de 2024, numeral 2.1 y aparte relativo a la subasta inversa.</w:t>
      </w:r>
    </w:p>
  </w:footnote>
  <w:footnote w:id="15">
    <w:p w14:paraId="7B607F07"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C-264 de 2024 y C-573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1A8C"/>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50A6"/>
    <w:rsid w:val="00374F5E"/>
    <w:rsid w:val="00377E3E"/>
    <w:rsid w:val="00396119"/>
    <w:rsid w:val="00396BB7"/>
    <w:rsid w:val="003A779E"/>
    <w:rsid w:val="003D0F4D"/>
    <w:rsid w:val="003D5B0D"/>
    <w:rsid w:val="003E0499"/>
    <w:rsid w:val="003E4F80"/>
    <w:rsid w:val="003E6439"/>
    <w:rsid w:val="003F0EFC"/>
    <w:rsid w:val="003F3941"/>
    <w:rsid w:val="00406575"/>
    <w:rsid w:val="00414C74"/>
    <w:rsid w:val="0042722E"/>
    <w:rsid w:val="0044528D"/>
    <w:rsid w:val="00466E39"/>
    <w:rsid w:val="004A1847"/>
    <w:rsid w:val="004A305D"/>
    <w:rsid w:val="004B59EE"/>
    <w:rsid w:val="004C0E18"/>
    <w:rsid w:val="004F21C4"/>
    <w:rsid w:val="004F685F"/>
    <w:rsid w:val="005553D6"/>
    <w:rsid w:val="005566E8"/>
    <w:rsid w:val="00574867"/>
    <w:rsid w:val="00591460"/>
    <w:rsid w:val="005A65E0"/>
    <w:rsid w:val="005C3777"/>
    <w:rsid w:val="005C5CDC"/>
    <w:rsid w:val="005D476C"/>
    <w:rsid w:val="005E4C51"/>
    <w:rsid w:val="006200BF"/>
    <w:rsid w:val="006219F8"/>
    <w:rsid w:val="006302F7"/>
    <w:rsid w:val="00646B9F"/>
    <w:rsid w:val="00665D70"/>
    <w:rsid w:val="006668F6"/>
    <w:rsid w:val="006900D9"/>
    <w:rsid w:val="006C22C3"/>
    <w:rsid w:val="006D2CBC"/>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3F91"/>
    <w:rsid w:val="00867F95"/>
    <w:rsid w:val="008843B6"/>
    <w:rsid w:val="00891928"/>
    <w:rsid w:val="008A446D"/>
    <w:rsid w:val="008B25F1"/>
    <w:rsid w:val="008B4991"/>
    <w:rsid w:val="008D180B"/>
    <w:rsid w:val="008D6F3A"/>
    <w:rsid w:val="008F0EA7"/>
    <w:rsid w:val="00923EEF"/>
    <w:rsid w:val="009419F9"/>
    <w:rsid w:val="00944FDC"/>
    <w:rsid w:val="0095685E"/>
    <w:rsid w:val="00961B09"/>
    <w:rsid w:val="00965334"/>
    <w:rsid w:val="0097093E"/>
    <w:rsid w:val="009A0DFA"/>
    <w:rsid w:val="009A1A15"/>
    <w:rsid w:val="009A1C6F"/>
    <w:rsid w:val="009B2D26"/>
    <w:rsid w:val="009C71FA"/>
    <w:rsid w:val="009C72E7"/>
    <w:rsid w:val="009C7F7E"/>
    <w:rsid w:val="009D3058"/>
    <w:rsid w:val="009F3A13"/>
    <w:rsid w:val="00A122D3"/>
    <w:rsid w:val="00A14468"/>
    <w:rsid w:val="00A17F13"/>
    <w:rsid w:val="00A20739"/>
    <w:rsid w:val="00A23AF9"/>
    <w:rsid w:val="00A33C78"/>
    <w:rsid w:val="00A94F33"/>
    <w:rsid w:val="00AB0ADB"/>
    <w:rsid w:val="00AC0ED1"/>
    <w:rsid w:val="00B00C0E"/>
    <w:rsid w:val="00B01B1A"/>
    <w:rsid w:val="00B0381D"/>
    <w:rsid w:val="00B075C1"/>
    <w:rsid w:val="00B24DA3"/>
    <w:rsid w:val="00B26832"/>
    <w:rsid w:val="00B44A47"/>
    <w:rsid w:val="00B72CD3"/>
    <w:rsid w:val="00B72FFF"/>
    <w:rsid w:val="00BC3D36"/>
    <w:rsid w:val="00BD54A6"/>
    <w:rsid w:val="00BD7F72"/>
    <w:rsid w:val="00BF7425"/>
    <w:rsid w:val="00C04FB3"/>
    <w:rsid w:val="00C11240"/>
    <w:rsid w:val="00C11D8B"/>
    <w:rsid w:val="00C15139"/>
    <w:rsid w:val="00C330EB"/>
    <w:rsid w:val="00C50D69"/>
    <w:rsid w:val="00C5365C"/>
    <w:rsid w:val="00C754BE"/>
    <w:rsid w:val="00C76B1C"/>
    <w:rsid w:val="00C925AC"/>
    <w:rsid w:val="00CA7714"/>
    <w:rsid w:val="00CB6357"/>
    <w:rsid w:val="00CC1B26"/>
    <w:rsid w:val="00D356CA"/>
    <w:rsid w:val="00D361FD"/>
    <w:rsid w:val="00D423A2"/>
    <w:rsid w:val="00D44E26"/>
    <w:rsid w:val="00D520D8"/>
    <w:rsid w:val="00D63AC2"/>
    <w:rsid w:val="00D7383B"/>
    <w:rsid w:val="00D7788A"/>
    <w:rsid w:val="00DA231B"/>
    <w:rsid w:val="00DB5D50"/>
    <w:rsid w:val="00DC39FC"/>
    <w:rsid w:val="00DF5254"/>
    <w:rsid w:val="00E02524"/>
    <w:rsid w:val="00E16408"/>
    <w:rsid w:val="00E20894"/>
    <w:rsid w:val="00E245AB"/>
    <w:rsid w:val="00E24D1E"/>
    <w:rsid w:val="00E2764C"/>
    <w:rsid w:val="00E27F2E"/>
    <w:rsid w:val="00E50AFE"/>
    <w:rsid w:val="00E75C92"/>
    <w:rsid w:val="00E771DC"/>
    <w:rsid w:val="00E8772A"/>
    <w:rsid w:val="00E90F6B"/>
    <w:rsid w:val="00E92C27"/>
    <w:rsid w:val="00EA0E3D"/>
    <w:rsid w:val="00EC0B29"/>
    <w:rsid w:val="00EC38A7"/>
    <w:rsid w:val="00EE1AA8"/>
    <w:rsid w:val="00F05CEA"/>
    <w:rsid w:val="00F23FEA"/>
    <w:rsid w:val="00F25155"/>
    <w:rsid w:val="00F31EDC"/>
    <w:rsid w:val="00F462B3"/>
    <w:rsid w:val="00F5664F"/>
    <w:rsid w:val="00F666C4"/>
    <w:rsid w:val="00F76AFC"/>
    <w:rsid w:val="00FA47C0"/>
    <w:rsid w:val="00FB5DD1"/>
    <w:rsid w:val="00FC2B5D"/>
    <w:rsid w:val="00FC3E34"/>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C0ED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1163">
      <w:bodyDiv w:val="1"/>
      <w:marLeft w:val="0"/>
      <w:marRight w:val="0"/>
      <w:marTop w:val="0"/>
      <w:marBottom w:val="0"/>
      <w:divBdr>
        <w:top w:val="none" w:sz="0" w:space="0" w:color="auto"/>
        <w:left w:val="none" w:sz="0" w:space="0" w:color="auto"/>
        <w:bottom w:val="none" w:sz="0" w:space="0" w:color="auto"/>
        <w:right w:val="none" w:sz="0" w:space="0" w:color="auto"/>
      </w:divBdr>
      <w:divsChild>
        <w:div w:id="1776050033">
          <w:marLeft w:val="0"/>
          <w:marRight w:val="0"/>
          <w:marTop w:val="0"/>
          <w:marBottom w:val="0"/>
          <w:divBdr>
            <w:top w:val="none" w:sz="0" w:space="0" w:color="auto"/>
            <w:left w:val="none" w:sz="0" w:space="0" w:color="auto"/>
            <w:bottom w:val="none" w:sz="0" w:space="0" w:color="auto"/>
            <w:right w:val="none" w:sz="0" w:space="0" w:color="auto"/>
          </w:divBdr>
        </w:div>
      </w:divsChild>
    </w:div>
    <w:div w:id="252855642">
      <w:bodyDiv w:val="1"/>
      <w:marLeft w:val="0"/>
      <w:marRight w:val="0"/>
      <w:marTop w:val="0"/>
      <w:marBottom w:val="0"/>
      <w:divBdr>
        <w:top w:val="none" w:sz="0" w:space="0" w:color="auto"/>
        <w:left w:val="none" w:sz="0" w:space="0" w:color="auto"/>
        <w:bottom w:val="none" w:sz="0" w:space="0" w:color="auto"/>
        <w:right w:val="none" w:sz="0" w:space="0" w:color="auto"/>
      </w:divBdr>
      <w:divsChild>
        <w:div w:id="1693528665">
          <w:marLeft w:val="0"/>
          <w:marRight w:val="0"/>
          <w:marTop w:val="0"/>
          <w:marBottom w:val="0"/>
          <w:divBdr>
            <w:top w:val="none" w:sz="0" w:space="0" w:color="auto"/>
            <w:left w:val="none" w:sz="0" w:space="0" w:color="auto"/>
            <w:bottom w:val="none" w:sz="0" w:space="0" w:color="auto"/>
            <w:right w:val="none" w:sz="0" w:space="0" w:color="auto"/>
          </w:divBdr>
        </w:div>
      </w:divsChild>
    </w:div>
    <w:div w:id="429787447">
      <w:bodyDiv w:val="1"/>
      <w:marLeft w:val="0"/>
      <w:marRight w:val="0"/>
      <w:marTop w:val="0"/>
      <w:marBottom w:val="0"/>
      <w:divBdr>
        <w:top w:val="none" w:sz="0" w:space="0" w:color="auto"/>
        <w:left w:val="none" w:sz="0" w:space="0" w:color="auto"/>
        <w:bottom w:val="none" w:sz="0" w:space="0" w:color="auto"/>
        <w:right w:val="none" w:sz="0" w:space="0" w:color="auto"/>
      </w:divBdr>
      <w:divsChild>
        <w:div w:id="22526381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7884888">
      <w:bodyDiv w:val="1"/>
      <w:marLeft w:val="0"/>
      <w:marRight w:val="0"/>
      <w:marTop w:val="0"/>
      <w:marBottom w:val="0"/>
      <w:divBdr>
        <w:top w:val="none" w:sz="0" w:space="0" w:color="auto"/>
        <w:left w:val="none" w:sz="0" w:space="0" w:color="auto"/>
        <w:bottom w:val="none" w:sz="0" w:space="0" w:color="auto"/>
        <w:right w:val="none" w:sz="0" w:space="0" w:color="auto"/>
      </w:divBdr>
      <w:divsChild>
        <w:div w:id="1431271233">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2450079">
      <w:bodyDiv w:val="1"/>
      <w:marLeft w:val="0"/>
      <w:marRight w:val="0"/>
      <w:marTop w:val="0"/>
      <w:marBottom w:val="0"/>
      <w:divBdr>
        <w:top w:val="none" w:sz="0" w:space="0" w:color="auto"/>
        <w:left w:val="none" w:sz="0" w:space="0" w:color="auto"/>
        <w:bottom w:val="none" w:sz="0" w:space="0" w:color="auto"/>
        <w:right w:val="none" w:sz="0" w:space="0" w:color="auto"/>
      </w:divBdr>
      <w:divsChild>
        <w:div w:id="1778014873">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5743311">
      <w:bodyDiv w:val="1"/>
      <w:marLeft w:val="0"/>
      <w:marRight w:val="0"/>
      <w:marTop w:val="0"/>
      <w:marBottom w:val="0"/>
      <w:divBdr>
        <w:top w:val="none" w:sz="0" w:space="0" w:color="auto"/>
        <w:left w:val="none" w:sz="0" w:space="0" w:color="auto"/>
        <w:bottom w:val="none" w:sz="0" w:space="0" w:color="auto"/>
        <w:right w:val="none" w:sz="0" w:space="0" w:color="auto"/>
      </w:divBdr>
      <w:divsChild>
        <w:div w:id="1342391539">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A30FEDE-B2BD-47BF-85F3-7CCC783DF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5155</Words>
  <Characters>28358</Characters>
  <Application>Microsoft Office Word</Application>
  <DocSecurity>0</DocSecurity>
  <Lines>236</Lines>
  <Paragraphs>66</Paragraphs>
  <ScaleCrop>false</ScaleCrop>
  <Company/>
  <LinksUpToDate>false</LinksUpToDate>
  <CharactersWithSpaces>33447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2026-10-20T13:35:00Z</dcterms:created>
  <dcterms:modified xsi:type="dcterms:W3CDTF">2026-10-22T22:02:00Z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