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77669" w14:textId="77777777" w:rsidR="00A954CF" w:rsidRPr="003F62F9" w:rsidRDefault="00A954CF" w:rsidP="00A954CF">
      <w:pPr>
        <w:spacing w:after="0" w:line="240" w:lineRule="auto"/>
        <w:jc w:val="both"/>
        <w:rPr>
          <w:rFonts w:ascii="Verdana" w:eastAsia="Arial" w:hAnsi="Verdana" w:cs="Arial"/>
          <w:b/>
          <w:bCs/>
          <w:lang w:val="es-ES"/>
        </w:rPr>
      </w:pPr>
      <w:r w:rsidRPr="003F62F9">
        <w:rPr>
          <w:rFonts w:ascii="Verdana" w:eastAsia="Arial" w:hAnsi="Verdana" w:cs="Arial"/>
          <w:b/>
          <w:bCs/>
          <w:lang w:val="es-ES"/>
        </w:rPr>
        <w:t>PRINCIPIO DE PUBLICIDAD – Concepto – Fundamento axiológico – Fundamento constitucional</w:t>
      </w:r>
    </w:p>
    <w:p w14:paraId="2766533E" w14:textId="77777777" w:rsidR="00A954CF" w:rsidRPr="003F62F9" w:rsidRDefault="00A954CF" w:rsidP="00A954CF">
      <w:pPr>
        <w:spacing w:after="0" w:line="240" w:lineRule="auto"/>
        <w:rPr>
          <w:rFonts w:ascii="Verdana" w:eastAsia="Geomanist Light" w:hAnsi="Verdana" w:cs="Arial"/>
          <w:color w:val="000000" w:themeColor="text1"/>
          <w:sz w:val="20"/>
          <w:szCs w:val="20"/>
          <w:lang w:val="es-MX"/>
        </w:rPr>
      </w:pPr>
    </w:p>
    <w:p w14:paraId="1B9434BD" w14:textId="77777777" w:rsidR="00A954CF" w:rsidRPr="003F62F9" w:rsidRDefault="00A954CF" w:rsidP="00A954CF">
      <w:pPr>
        <w:spacing w:after="0" w:line="240" w:lineRule="auto"/>
        <w:jc w:val="both"/>
        <w:rPr>
          <w:rFonts w:ascii="Verdana" w:eastAsia="Calibri" w:hAnsi="Verdana" w:cs="Arial"/>
          <w:color w:val="000000" w:themeColor="text1"/>
          <w:sz w:val="20"/>
          <w:szCs w:val="20"/>
          <w:lang w:val="es-ES"/>
        </w:rPr>
      </w:pPr>
      <w:r w:rsidRPr="003F62F9">
        <w:rPr>
          <w:rFonts w:ascii="Verdana" w:eastAsia="Calibri" w:hAnsi="Verdana" w:cs="Arial"/>
          <w:color w:val="000000" w:themeColor="text1"/>
          <w:sz w:val="20"/>
          <w:szCs w:val="20"/>
          <w:lang w:val="es-ES"/>
        </w:rPr>
        <w:t xml:space="preserve">Ahora bien, explicado lo anterior, Uno de los postulados más importantes de un Estado social y democrático de derecho es el principio de </w:t>
      </w:r>
      <w:r w:rsidRPr="003F62F9">
        <w:rPr>
          <w:rFonts w:ascii="Verdana" w:eastAsia="Calibri" w:hAnsi="Verdana" w:cs="Arial"/>
          <w:i/>
          <w:color w:val="000000" w:themeColor="text1"/>
          <w:sz w:val="20"/>
          <w:szCs w:val="20"/>
          <w:lang w:val="es-ES"/>
        </w:rPr>
        <w:t>publicidad</w:t>
      </w:r>
      <w:r w:rsidRPr="003F62F9">
        <w:rPr>
          <w:rFonts w:ascii="Verdana" w:eastAsia="Calibri" w:hAnsi="Verdana" w:cs="Arial"/>
          <w:color w:val="000000" w:themeColor="text1"/>
          <w:sz w:val="20"/>
          <w:szCs w:val="20"/>
          <w:lang w:val="es-ES"/>
        </w:rPr>
        <w:t xml:space="preserve">,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1FB7E784" w14:textId="77777777" w:rsidR="00A954CF" w:rsidRPr="003F62F9" w:rsidRDefault="00A954CF" w:rsidP="00A954CF">
      <w:pPr>
        <w:spacing w:after="0" w:line="240" w:lineRule="auto"/>
        <w:jc w:val="both"/>
        <w:rPr>
          <w:rFonts w:ascii="Verdana" w:eastAsia="Calibri" w:hAnsi="Verdana" w:cs="Arial"/>
          <w:color w:val="000000" w:themeColor="text1"/>
          <w:sz w:val="20"/>
          <w:szCs w:val="20"/>
          <w:lang w:val="es-ES"/>
        </w:rPr>
      </w:pPr>
    </w:p>
    <w:p w14:paraId="6D3976E9" w14:textId="77777777" w:rsidR="00A954CF" w:rsidRPr="003F62F9" w:rsidRDefault="00A954CF" w:rsidP="00A954CF">
      <w:pPr>
        <w:spacing w:after="0" w:line="240" w:lineRule="auto"/>
        <w:jc w:val="both"/>
        <w:rPr>
          <w:rFonts w:ascii="Verdana" w:eastAsia="Calibri" w:hAnsi="Verdana" w:cs="Arial"/>
          <w:color w:val="000000" w:themeColor="text1"/>
          <w:sz w:val="20"/>
          <w:szCs w:val="20"/>
          <w:lang w:val="es-ES_tradnl"/>
        </w:rPr>
      </w:pPr>
      <w:r w:rsidRPr="003F62F9">
        <w:rPr>
          <w:rFonts w:ascii="Verdana" w:eastAsia="Calibri" w:hAnsi="Verdana" w:cs="Arial"/>
          <w:color w:val="000000" w:themeColor="text1"/>
          <w:sz w:val="20"/>
          <w:szCs w:val="20"/>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5093BF2E" w14:textId="77777777" w:rsidR="00A954CF" w:rsidRPr="003F62F9" w:rsidRDefault="00A954CF" w:rsidP="00A954CF">
      <w:pPr>
        <w:spacing w:after="0" w:line="240" w:lineRule="auto"/>
        <w:jc w:val="both"/>
        <w:rPr>
          <w:rFonts w:ascii="Verdana" w:eastAsia="Calibri" w:hAnsi="Verdana" w:cs="Arial"/>
          <w:color w:val="000000" w:themeColor="text1"/>
          <w:lang w:val="es-ES_tradnl"/>
        </w:rPr>
      </w:pPr>
    </w:p>
    <w:p w14:paraId="4F1A2F56" w14:textId="77777777" w:rsidR="00A954CF" w:rsidRPr="003F62F9" w:rsidRDefault="00A954CF" w:rsidP="00A954CF">
      <w:pPr>
        <w:spacing w:after="0" w:line="240" w:lineRule="auto"/>
        <w:jc w:val="both"/>
        <w:rPr>
          <w:rFonts w:ascii="Verdana" w:eastAsia="Calibri" w:hAnsi="Verdana" w:cs="Arial"/>
          <w:b/>
          <w:color w:val="000000" w:themeColor="text1"/>
          <w:lang w:val="es-ES_tradnl"/>
        </w:rPr>
      </w:pPr>
      <w:r w:rsidRPr="003F62F9">
        <w:rPr>
          <w:rFonts w:ascii="Verdana" w:eastAsia="Arial" w:hAnsi="Verdana" w:cs="Arial"/>
          <w:b/>
          <w:lang w:val="es-ES_tradnl"/>
        </w:rPr>
        <w:t>PRINCIPIO DE PUBLICIDAD – SECOP – Documentos del proceso – Deber de publicación</w:t>
      </w:r>
    </w:p>
    <w:p w14:paraId="3A96D819" w14:textId="77777777" w:rsidR="00A954CF" w:rsidRPr="003F62F9" w:rsidRDefault="00A954CF" w:rsidP="00A954CF">
      <w:pPr>
        <w:spacing w:after="0" w:line="240" w:lineRule="auto"/>
        <w:jc w:val="both"/>
        <w:rPr>
          <w:rFonts w:ascii="Verdana" w:eastAsia="Calibri" w:hAnsi="Verdana" w:cs="Arial"/>
          <w:color w:val="000000" w:themeColor="text1"/>
          <w:lang w:val="es-ES_tradnl"/>
        </w:rPr>
      </w:pPr>
    </w:p>
    <w:p w14:paraId="47ED1976" w14:textId="77777777" w:rsidR="00A954CF" w:rsidRPr="003F62F9" w:rsidRDefault="00A954CF" w:rsidP="00A954CF">
      <w:pPr>
        <w:spacing w:after="0" w:line="240" w:lineRule="auto"/>
        <w:jc w:val="both"/>
        <w:rPr>
          <w:rFonts w:ascii="Verdana" w:eastAsia="Calibri" w:hAnsi="Verdana" w:cs="Arial"/>
          <w:color w:val="000000" w:themeColor="text1"/>
          <w:sz w:val="20"/>
          <w:szCs w:val="20"/>
          <w:lang w:val="es-ES"/>
        </w:rPr>
      </w:pPr>
      <w:r w:rsidRPr="003F62F9">
        <w:rPr>
          <w:rFonts w:ascii="Verdana" w:eastAsia="Calibri" w:hAnsi="Verdana" w:cs="Arial"/>
          <w:color w:val="000000" w:themeColor="text1"/>
          <w:sz w:val="20"/>
          <w:szCs w:val="20"/>
          <w:lang w:val="es-ES"/>
        </w:rPr>
        <w:t>[…]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6DF6B0A9" w14:textId="77777777" w:rsidR="00A954CF" w:rsidRPr="003F62F9" w:rsidRDefault="00A954CF" w:rsidP="00A954CF">
      <w:pPr>
        <w:spacing w:after="0" w:line="240" w:lineRule="auto"/>
        <w:jc w:val="both"/>
        <w:rPr>
          <w:rFonts w:ascii="Verdana" w:eastAsia="Calibri" w:hAnsi="Verdana" w:cs="Arial"/>
          <w:color w:val="000000" w:themeColor="text1"/>
          <w:sz w:val="20"/>
          <w:szCs w:val="20"/>
          <w:lang w:val="es-ES"/>
        </w:rPr>
      </w:pPr>
    </w:p>
    <w:p w14:paraId="2BE439B5" w14:textId="77777777" w:rsidR="00A954CF" w:rsidRPr="003F62F9" w:rsidRDefault="00A954CF" w:rsidP="00A954CF">
      <w:pPr>
        <w:spacing w:after="0" w:line="240" w:lineRule="auto"/>
        <w:jc w:val="both"/>
        <w:rPr>
          <w:rFonts w:ascii="Verdana" w:eastAsia="Calibri" w:hAnsi="Verdana" w:cs="Arial"/>
          <w:color w:val="000000" w:themeColor="text1"/>
          <w:sz w:val="20"/>
          <w:szCs w:val="20"/>
          <w:lang w:val="es-ES"/>
        </w:rPr>
      </w:pPr>
      <w:r w:rsidRPr="003F62F9">
        <w:rPr>
          <w:rFonts w:ascii="Verdana" w:eastAsia="Calibri" w:hAnsi="Verdana" w:cs="Arial"/>
          <w:color w:val="000000" w:themeColor="text1"/>
          <w:sz w:val="20"/>
          <w:szCs w:val="20"/>
          <w:lang w:val="es-ES"/>
        </w:rPr>
        <w:t>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encuentre sometida a un régimen contractual de derecho privado no excluye, por sí mismo, el deber de publicidad respecto de la contratación financiada con recursos públicos.</w:t>
      </w:r>
    </w:p>
    <w:p w14:paraId="6D86A766" w14:textId="77777777" w:rsidR="00A954CF" w:rsidRPr="003F62F9" w:rsidRDefault="00A954CF" w:rsidP="00A954CF">
      <w:pPr>
        <w:spacing w:after="0" w:line="240" w:lineRule="auto"/>
        <w:jc w:val="both"/>
        <w:rPr>
          <w:rFonts w:ascii="Verdana" w:eastAsia="Arial" w:hAnsi="Verdana" w:cs="Arial"/>
          <w:b/>
          <w:bCs/>
        </w:rPr>
      </w:pPr>
    </w:p>
    <w:p w14:paraId="61D0DB4E" w14:textId="77777777" w:rsidR="00A954CF" w:rsidRPr="003F62F9" w:rsidRDefault="00A954CF" w:rsidP="00A954CF">
      <w:pPr>
        <w:spacing w:after="0" w:line="240" w:lineRule="auto"/>
        <w:jc w:val="both"/>
        <w:rPr>
          <w:rFonts w:ascii="Verdana" w:eastAsia="Calibri" w:hAnsi="Verdana" w:cs="Arial"/>
          <w:b/>
          <w:bCs/>
          <w:color w:val="000000" w:themeColor="text1"/>
        </w:rPr>
      </w:pPr>
      <w:r w:rsidRPr="003F62F9">
        <w:rPr>
          <w:rFonts w:ascii="Verdana" w:eastAsia="Arial" w:hAnsi="Verdana" w:cs="Arial"/>
          <w:b/>
          <w:bCs/>
        </w:rPr>
        <w:lastRenderedPageBreak/>
        <w:t>DEBER DE PUBLICIDAD – Sujetos Obligados</w:t>
      </w:r>
    </w:p>
    <w:p w14:paraId="247A24DE" w14:textId="77777777" w:rsidR="00A954CF" w:rsidRPr="003F62F9" w:rsidRDefault="00A954CF" w:rsidP="00A954CF">
      <w:pPr>
        <w:spacing w:before="120" w:line="240" w:lineRule="auto"/>
        <w:jc w:val="both"/>
        <w:rPr>
          <w:rFonts w:ascii="Verdana" w:eastAsia="Calibri" w:hAnsi="Verdana" w:cs="Arial"/>
          <w:color w:val="000000" w:themeColor="text1"/>
          <w:sz w:val="20"/>
          <w:szCs w:val="20"/>
          <w:lang w:val="es-ES"/>
        </w:rPr>
      </w:pPr>
      <w:r w:rsidRPr="003F62F9">
        <w:rPr>
          <w:rFonts w:ascii="Verdana" w:hAnsi="Verdana" w:cs="Arial"/>
          <w:color w:val="000000" w:themeColor="text1"/>
          <w:sz w:val="20"/>
          <w:szCs w:val="20"/>
          <w:lang w:val="es-ES"/>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w:t>
      </w:r>
      <w:r w:rsidRPr="003F62F9">
        <w:rPr>
          <w:rFonts w:ascii="Verdana" w:hAnsi="Verdana" w:cs="Arial"/>
          <w:color w:val="000000" w:themeColor="text1"/>
          <w:sz w:val="20"/>
          <w:szCs w:val="20"/>
          <w:lang w:val="es-ES_tradnl"/>
        </w:rPr>
        <w:softHyphen/>
      </w:r>
      <w:r w:rsidRPr="003F62F9">
        <w:rPr>
          <w:rFonts w:ascii="Verdana" w:hAnsi="Verdana" w:cs="Arial"/>
          <w:color w:val="000000" w:themeColor="text1"/>
          <w:sz w:val="20"/>
          <w:szCs w:val="20"/>
          <w:lang w:val="es-ES"/>
        </w:rPr>
        <w:t xml:space="preserve"> </w:t>
      </w:r>
      <w:r w:rsidRPr="003F62F9">
        <w:rPr>
          <w:rFonts w:ascii="Verdana" w:hAnsi="Verdana" w:cs="Arial"/>
          <w:color w:val="000000" w:themeColor="text1"/>
          <w:sz w:val="20"/>
          <w:szCs w:val="20"/>
          <w:lang w:val="es-ES_tradnl"/>
        </w:rPr>
        <w:softHyphen/>
      </w:r>
      <w:r w:rsidRPr="003F62F9">
        <w:rPr>
          <w:rFonts w:ascii="Verdana" w:hAnsi="Verdana" w:cs="Arial"/>
          <w:color w:val="000000" w:themeColor="text1"/>
          <w:sz w:val="20"/>
          <w:szCs w:val="20"/>
          <w:lang w:val="es-ES"/>
        </w:rPr>
        <w:t>SECOP–.</w:t>
      </w:r>
    </w:p>
    <w:p w14:paraId="7CE510D7" w14:textId="66D045CC" w:rsidR="00A954CF" w:rsidRPr="00A954CF" w:rsidRDefault="00A954CF" w:rsidP="00A954CF">
      <w:pPr>
        <w:spacing w:line="276" w:lineRule="auto"/>
        <w:jc w:val="both"/>
        <w:rPr>
          <w:rFonts w:ascii="Verdana" w:eastAsia="Arial" w:hAnsi="Verdana" w:cs="Arial"/>
          <w:b/>
          <w:bCs/>
        </w:rPr>
      </w:pPr>
      <w:r w:rsidRPr="00A954CF">
        <w:rPr>
          <w:rFonts w:ascii="Verdana" w:eastAsia="Arial" w:hAnsi="Verdana" w:cs="Arial"/>
          <w:b/>
          <w:bCs/>
        </w:rPr>
        <w:t xml:space="preserve">EPS </w:t>
      </w:r>
      <w:r w:rsidRPr="009C69F7">
        <w:rPr>
          <w:rFonts w:ascii="Verdana" w:eastAsia="Arial" w:hAnsi="Verdana" w:cs="Arial"/>
          <w:b/>
        </w:rPr>
        <w:t xml:space="preserve">– </w:t>
      </w:r>
      <w:r w:rsidRPr="00A954CF">
        <w:rPr>
          <w:rFonts w:ascii="Verdana" w:eastAsia="Arial" w:hAnsi="Verdana" w:cs="Arial"/>
          <w:b/>
          <w:bCs/>
        </w:rPr>
        <w:t xml:space="preserve">Naturaleza Jurídica – Formas organizativas </w:t>
      </w:r>
      <w:r w:rsidRPr="00A954CF">
        <w:rPr>
          <w:rFonts w:ascii="Verdana" w:eastAsia="Arial" w:hAnsi="Verdana" w:cs="Arial"/>
          <w:b/>
          <w:bCs/>
          <w:lang w:val="es-ES"/>
        </w:rPr>
        <w:t>–</w:t>
      </w:r>
      <w:r w:rsidRPr="00A954CF">
        <w:rPr>
          <w:rFonts w:ascii="Verdana" w:eastAsia="Arial" w:hAnsi="Verdana" w:cs="Arial"/>
          <w:b/>
          <w:bCs/>
        </w:rPr>
        <w:t xml:space="preserve"> Deber de publicidad – Sujetos Obligados – Particulares que gestionan recursos públicos – Entidades de Régimen Especial </w:t>
      </w:r>
    </w:p>
    <w:p w14:paraId="7AC41125" w14:textId="77777777" w:rsidR="00A954CF" w:rsidRPr="003F62F9" w:rsidRDefault="00A954CF" w:rsidP="00A954CF">
      <w:pPr>
        <w:spacing w:after="120" w:line="240" w:lineRule="auto"/>
        <w:jc w:val="both"/>
        <w:rPr>
          <w:rFonts w:ascii="Verdana" w:eastAsia="Calibri" w:hAnsi="Verdana" w:cs="Times New Roman"/>
          <w:sz w:val="20"/>
          <w:szCs w:val="20"/>
        </w:rPr>
      </w:pPr>
      <w:r w:rsidRPr="003F62F9">
        <w:rPr>
          <w:rFonts w:ascii="Verdana" w:eastAsia="Calibri" w:hAnsi="Verdana" w:cs="Times New Roman"/>
          <w:sz w:val="20"/>
          <w:szCs w:val="20"/>
        </w:rPr>
        <w:t>Frente a la obligación de las Entidades Promotoras de Salud –EPS– de publicar su contratación en el Sistema Electrónico para la Contratación Pública –SECOP–, resulta pertinente señalar que el análisis debe partir de su naturaleza jurídica y de la fuente de los recursos con los cuales se financia la contratación. Al respecto, el artículo 180 de la Ley 100 de 1993 establece que las EPS pueden ser de naturaleza pública, privada o mixta. No obstante, independientemente de su naturaleza jurídica, las EPS, en su calidad de actores del Sistema General de Seguridad Social en Salud, administran recursos públicos, circunstancia que ha sido reconocida por la Agencia Nacional de Contratación Pública –Colombia Compra Eficiente–.</w:t>
      </w:r>
    </w:p>
    <w:p w14:paraId="4ED2C12F" w14:textId="77777777" w:rsidR="00A954CF" w:rsidRPr="003F62F9" w:rsidRDefault="00A954CF" w:rsidP="00A954CF">
      <w:pPr>
        <w:spacing w:after="120" w:line="240" w:lineRule="auto"/>
        <w:jc w:val="both"/>
        <w:rPr>
          <w:rFonts w:ascii="Verdana" w:eastAsia="Calibri" w:hAnsi="Verdana" w:cs="Times New Roman"/>
          <w:sz w:val="20"/>
          <w:szCs w:val="20"/>
        </w:rPr>
      </w:pPr>
      <w:r w:rsidRPr="003F62F9">
        <w:rPr>
          <w:rFonts w:ascii="Verdana" w:eastAsia="Calibri" w:hAnsi="Verdana" w:cs="Times New Roman"/>
          <w:sz w:val="20"/>
          <w:szCs w:val="20"/>
        </w:rPr>
        <w:t>En este sentido,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064A14F3" w14:textId="77777777" w:rsidR="00A954CF" w:rsidRPr="003F62F9" w:rsidRDefault="00A954CF" w:rsidP="00A954CF">
      <w:pPr>
        <w:spacing w:after="120" w:line="240" w:lineRule="auto"/>
        <w:jc w:val="both"/>
        <w:rPr>
          <w:rFonts w:ascii="Verdana" w:eastAsia="Calibri" w:hAnsi="Verdana" w:cs="Times New Roman"/>
          <w:sz w:val="20"/>
          <w:szCs w:val="20"/>
        </w:rPr>
      </w:pPr>
      <w:r w:rsidRPr="003F62F9">
        <w:rPr>
          <w:rFonts w:ascii="Verdana" w:eastAsia="Calibri" w:hAnsi="Verdana" w:cs="Times New Roman"/>
          <w:sz w:val="20"/>
          <w:szCs w:val="20"/>
        </w:rPr>
        <w:t xml:space="preserve">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w:t>
      </w:r>
      <w:r w:rsidRPr="003F62F9">
        <w:rPr>
          <w:rFonts w:ascii="Verdana" w:eastAsia="Calibri" w:hAnsi="Verdana" w:cs="Times New Roman"/>
          <w:sz w:val="20"/>
          <w:szCs w:val="20"/>
        </w:rPr>
        <w:lastRenderedPageBreak/>
        <w:t>encuentre sometida a un régimen contractual de derecho privado no excluye, por sí mismo, el deber de publicidad respecto de la contratación financiada con recursos públicos.</w:t>
      </w:r>
    </w:p>
    <w:p w14:paraId="0F0CB17F" w14:textId="77777777" w:rsidR="00501059" w:rsidRPr="00F47E0F" w:rsidRDefault="00501059" w:rsidP="00501059">
      <w:pPr>
        <w:spacing w:after="0" w:line="240" w:lineRule="auto"/>
        <w:jc w:val="both"/>
        <w:rPr>
          <w:rFonts w:ascii="Verdana" w:eastAsia="Calibri" w:hAnsi="Verdana" w:cs="Arial"/>
          <w:sz w:val="20"/>
          <w:szCs w:val="20"/>
        </w:rPr>
      </w:pPr>
    </w:p>
    <w:p w14:paraId="75021319" w14:textId="77777777" w:rsidR="00501059" w:rsidRPr="00507D7A" w:rsidRDefault="00501059" w:rsidP="00501059">
      <w:pPr>
        <w:spacing w:after="0" w:line="240" w:lineRule="auto"/>
        <w:jc w:val="both"/>
        <w:rPr>
          <w:rFonts w:ascii="Verdana" w:eastAsia="Aptos" w:hAnsi="Verdana" w:cs="Times New Roman"/>
          <w:b/>
          <w:bCs/>
          <w:kern w:val="2"/>
          <w14:ligatures w14:val="standardContextual"/>
        </w:rPr>
      </w:pPr>
      <w:r w:rsidRPr="00507D7A">
        <w:rPr>
          <w:rFonts w:ascii="Verdana" w:eastAsia="Aptos" w:hAnsi="Verdana" w:cs="Times New Roman"/>
          <w:b/>
          <w:bCs/>
          <w:kern w:val="2"/>
          <w14:ligatures w14:val="standardContextual"/>
        </w:rPr>
        <w:t>RESERVA DE INFORMACIÓN PÚBLICA – Fundamento – Constitución – Ley – Aplicación – Procesos contractuales</w:t>
      </w:r>
    </w:p>
    <w:p w14:paraId="6BA3AE99" w14:textId="77777777" w:rsidR="00501059" w:rsidRPr="00F47E0F" w:rsidRDefault="00501059" w:rsidP="00501059">
      <w:pPr>
        <w:spacing w:after="0" w:line="240" w:lineRule="auto"/>
        <w:jc w:val="both"/>
        <w:rPr>
          <w:rFonts w:ascii="Verdana" w:eastAsia="Calibri" w:hAnsi="Verdana" w:cs="Arial"/>
          <w:sz w:val="20"/>
          <w:szCs w:val="20"/>
          <w:lang w:val="es-ES_tradnl"/>
        </w:rPr>
      </w:pPr>
    </w:p>
    <w:p w14:paraId="016E21FD" w14:textId="77777777" w:rsidR="00501059" w:rsidRPr="00F47E0F" w:rsidRDefault="00501059" w:rsidP="00501059">
      <w:pPr>
        <w:spacing w:after="0" w:line="240" w:lineRule="auto"/>
        <w:jc w:val="both"/>
        <w:rPr>
          <w:rFonts w:ascii="Verdana" w:eastAsia="Calibri" w:hAnsi="Verdana" w:cs="Arial"/>
          <w:sz w:val="20"/>
          <w:szCs w:val="20"/>
          <w:lang w:val="es-ES_tradnl"/>
        </w:rPr>
      </w:pPr>
      <w:r w:rsidRPr="00F47E0F">
        <w:rPr>
          <w:rFonts w:ascii="Verdana" w:eastAsia="Calibri" w:hAnsi="Verdana" w:cs="Arial"/>
          <w:sz w:val="20"/>
          <w:szCs w:val="20"/>
          <w:lang w:val="es-ES_tradnl"/>
        </w:rPr>
        <w:t>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791AAADE" w14:textId="77777777" w:rsidR="00501059" w:rsidRDefault="00501059" w:rsidP="00501059">
      <w:pPr>
        <w:spacing w:after="0" w:line="240" w:lineRule="auto"/>
        <w:jc w:val="both"/>
        <w:rPr>
          <w:rFonts w:ascii="Verdana" w:eastAsia="Calibri" w:hAnsi="Verdana" w:cs="Arial"/>
          <w:sz w:val="20"/>
          <w:szCs w:val="20"/>
          <w:lang w:val="es-ES_tradnl"/>
        </w:rPr>
      </w:pPr>
    </w:p>
    <w:p w14:paraId="2178A9F2" w14:textId="77777777" w:rsidR="00D813C5" w:rsidRDefault="00D813C5" w:rsidP="00501059">
      <w:pPr>
        <w:spacing w:after="0" w:line="240" w:lineRule="auto"/>
        <w:jc w:val="both"/>
        <w:rPr>
          <w:rFonts w:ascii="Verdana" w:eastAsia="Calibri" w:hAnsi="Verdana" w:cs="Arial"/>
          <w:sz w:val="20"/>
          <w:szCs w:val="20"/>
          <w:lang w:val="es-ES_tradnl"/>
        </w:rPr>
      </w:pPr>
    </w:p>
    <w:p w14:paraId="5B4C0339" w14:textId="77777777" w:rsidR="00D813C5" w:rsidRDefault="00D813C5" w:rsidP="00501059">
      <w:pPr>
        <w:spacing w:after="0" w:line="240" w:lineRule="auto"/>
        <w:jc w:val="both"/>
        <w:rPr>
          <w:rFonts w:ascii="Verdana" w:eastAsia="Calibri" w:hAnsi="Verdana" w:cs="Arial"/>
          <w:sz w:val="20"/>
          <w:szCs w:val="20"/>
          <w:lang w:val="es-ES_tradnl"/>
        </w:rPr>
      </w:pPr>
    </w:p>
    <w:p w14:paraId="2A568801" w14:textId="77777777" w:rsidR="00D813C5" w:rsidRDefault="00D813C5" w:rsidP="00501059">
      <w:pPr>
        <w:spacing w:after="0" w:line="240" w:lineRule="auto"/>
        <w:jc w:val="both"/>
        <w:rPr>
          <w:rFonts w:ascii="Verdana" w:eastAsia="Calibri" w:hAnsi="Verdana" w:cs="Arial"/>
          <w:sz w:val="20"/>
          <w:szCs w:val="20"/>
          <w:lang w:val="es-ES_tradnl"/>
        </w:rPr>
      </w:pPr>
    </w:p>
    <w:p w14:paraId="73D053F3" w14:textId="77777777" w:rsidR="00D813C5" w:rsidRDefault="00D813C5" w:rsidP="00501059">
      <w:pPr>
        <w:spacing w:after="0" w:line="240" w:lineRule="auto"/>
        <w:jc w:val="both"/>
        <w:rPr>
          <w:rFonts w:ascii="Verdana" w:eastAsia="Calibri" w:hAnsi="Verdana" w:cs="Arial"/>
          <w:sz w:val="20"/>
          <w:szCs w:val="20"/>
          <w:lang w:val="es-ES_tradnl"/>
        </w:rPr>
      </w:pPr>
    </w:p>
    <w:p w14:paraId="79569CA2" w14:textId="77777777" w:rsidR="00D813C5" w:rsidRDefault="00D813C5" w:rsidP="00501059">
      <w:pPr>
        <w:spacing w:after="0" w:line="240" w:lineRule="auto"/>
        <w:jc w:val="both"/>
        <w:rPr>
          <w:rFonts w:ascii="Verdana" w:eastAsia="Calibri" w:hAnsi="Verdana" w:cs="Arial"/>
          <w:sz w:val="20"/>
          <w:szCs w:val="20"/>
          <w:lang w:val="es-ES_tradnl"/>
        </w:rPr>
      </w:pPr>
    </w:p>
    <w:p w14:paraId="19DA5736" w14:textId="77777777" w:rsidR="00D813C5" w:rsidRDefault="00D813C5" w:rsidP="00501059">
      <w:pPr>
        <w:spacing w:after="0" w:line="240" w:lineRule="auto"/>
        <w:jc w:val="both"/>
        <w:rPr>
          <w:rFonts w:ascii="Verdana" w:eastAsia="Calibri" w:hAnsi="Verdana" w:cs="Arial"/>
          <w:sz w:val="20"/>
          <w:szCs w:val="20"/>
          <w:lang w:val="es-ES_tradnl"/>
        </w:rPr>
      </w:pPr>
    </w:p>
    <w:p w14:paraId="73C1E657" w14:textId="77777777" w:rsidR="00D813C5" w:rsidRDefault="00D813C5" w:rsidP="00501059">
      <w:pPr>
        <w:spacing w:after="0" w:line="240" w:lineRule="auto"/>
        <w:jc w:val="both"/>
        <w:rPr>
          <w:rFonts w:ascii="Verdana" w:eastAsia="Calibri" w:hAnsi="Verdana" w:cs="Arial"/>
          <w:sz w:val="20"/>
          <w:szCs w:val="20"/>
          <w:lang w:val="es-ES_tradnl"/>
        </w:rPr>
      </w:pPr>
    </w:p>
    <w:p w14:paraId="71A73889" w14:textId="77777777" w:rsidR="00D813C5" w:rsidRDefault="00D813C5" w:rsidP="00501059">
      <w:pPr>
        <w:spacing w:after="0" w:line="240" w:lineRule="auto"/>
        <w:jc w:val="both"/>
        <w:rPr>
          <w:rFonts w:ascii="Verdana" w:eastAsia="Calibri" w:hAnsi="Verdana" w:cs="Arial"/>
          <w:sz w:val="20"/>
          <w:szCs w:val="20"/>
          <w:lang w:val="es-ES_tradnl"/>
        </w:rPr>
      </w:pPr>
    </w:p>
    <w:p w14:paraId="69AE1DF6" w14:textId="77777777" w:rsidR="00D813C5" w:rsidRDefault="00D813C5" w:rsidP="00501059">
      <w:pPr>
        <w:spacing w:after="0" w:line="240" w:lineRule="auto"/>
        <w:jc w:val="both"/>
        <w:rPr>
          <w:rFonts w:ascii="Verdana" w:eastAsia="Calibri" w:hAnsi="Verdana" w:cs="Arial"/>
          <w:sz w:val="20"/>
          <w:szCs w:val="20"/>
          <w:lang w:val="es-ES_tradnl"/>
        </w:rPr>
      </w:pPr>
    </w:p>
    <w:p w14:paraId="064F18B6" w14:textId="77777777" w:rsidR="00D813C5" w:rsidRDefault="00D813C5" w:rsidP="00501059">
      <w:pPr>
        <w:spacing w:after="0" w:line="240" w:lineRule="auto"/>
        <w:jc w:val="both"/>
        <w:rPr>
          <w:rFonts w:ascii="Verdana" w:eastAsia="Calibri" w:hAnsi="Verdana" w:cs="Arial"/>
          <w:sz w:val="20"/>
          <w:szCs w:val="20"/>
          <w:lang w:val="es-ES_tradnl"/>
        </w:rPr>
      </w:pPr>
    </w:p>
    <w:p w14:paraId="2B53A4A8" w14:textId="77777777" w:rsidR="00D813C5" w:rsidRDefault="00D813C5" w:rsidP="00501059">
      <w:pPr>
        <w:spacing w:after="0" w:line="240" w:lineRule="auto"/>
        <w:jc w:val="both"/>
        <w:rPr>
          <w:rFonts w:ascii="Verdana" w:eastAsia="Calibri" w:hAnsi="Verdana" w:cs="Arial"/>
          <w:sz w:val="20"/>
          <w:szCs w:val="20"/>
          <w:lang w:val="es-ES_tradnl"/>
        </w:rPr>
      </w:pPr>
    </w:p>
    <w:p w14:paraId="3A12F7AE" w14:textId="77777777" w:rsidR="00D813C5" w:rsidRDefault="00D813C5" w:rsidP="00501059">
      <w:pPr>
        <w:spacing w:after="0" w:line="240" w:lineRule="auto"/>
        <w:jc w:val="both"/>
        <w:rPr>
          <w:rFonts w:ascii="Verdana" w:eastAsia="Calibri" w:hAnsi="Verdana" w:cs="Arial"/>
          <w:sz w:val="20"/>
          <w:szCs w:val="20"/>
          <w:lang w:val="es-ES_tradnl"/>
        </w:rPr>
      </w:pPr>
    </w:p>
    <w:p w14:paraId="74F8401C" w14:textId="77777777" w:rsidR="00D813C5" w:rsidRDefault="00D813C5" w:rsidP="00501059">
      <w:pPr>
        <w:spacing w:after="0" w:line="240" w:lineRule="auto"/>
        <w:jc w:val="both"/>
        <w:rPr>
          <w:rFonts w:ascii="Verdana" w:eastAsia="Calibri" w:hAnsi="Verdana" w:cs="Arial"/>
          <w:sz w:val="20"/>
          <w:szCs w:val="20"/>
          <w:lang w:val="es-ES_tradnl"/>
        </w:rPr>
      </w:pPr>
    </w:p>
    <w:p w14:paraId="4D539721" w14:textId="77777777" w:rsidR="00D813C5" w:rsidRDefault="00D813C5" w:rsidP="00501059">
      <w:pPr>
        <w:spacing w:after="0" w:line="240" w:lineRule="auto"/>
        <w:jc w:val="both"/>
        <w:rPr>
          <w:rFonts w:ascii="Verdana" w:eastAsia="Calibri" w:hAnsi="Verdana" w:cs="Arial"/>
          <w:sz w:val="20"/>
          <w:szCs w:val="20"/>
          <w:lang w:val="es-ES_tradnl"/>
        </w:rPr>
      </w:pPr>
    </w:p>
    <w:p w14:paraId="0AD1D096" w14:textId="77777777" w:rsidR="00D813C5" w:rsidRDefault="00D813C5" w:rsidP="00501059">
      <w:pPr>
        <w:spacing w:after="0" w:line="240" w:lineRule="auto"/>
        <w:jc w:val="both"/>
        <w:rPr>
          <w:rFonts w:ascii="Verdana" w:eastAsia="Calibri" w:hAnsi="Verdana" w:cs="Arial"/>
          <w:sz w:val="20"/>
          <w:szCs w:val="20"/>
          <w:lang w:val="es-ES_tradnl"/>
        </w:rPr>
      </w:pPr>
    </w:p>
    <w:p w14:paraId="0650E288" w14:textId="77777777" w:rsidR="00D813C5" w:rsidRDefault="00D813C5" w:rsidP="00501059">
      <w:pPr>
        <w:spacing w:after="0" w:line="240" w:lineRule="auto"/>
        <w:jc w:val="both"/>
        <w:rPr>
          <w:rFonts w:ascii="Verdana" w:eastAsia="Calibri" w:hAnsi="Verdana" w:cs="Arial"/>
          <w:sz w:val="20"/>
          <w:szCs w:val="20"/>
          <w:lang w:val="es-ES_tradnl"/>
        </w:rPr>
      </w:pPr>
    </w:p>
    <w:p w14:paraId="41A5AF59" w14:textId="77777777" w:rsidR="00D813C5" w:rsidRDefault="00D813C5" w:rsidP="00501059">
      <w:pPr>
        <w:spacing w:after="0" w:line="240" w:lineRule="auto"/>
        <w:jc w:val="both"/>
        <w:rPr>
          <w:rFonts w:ascii="Verdana" w:eastAsia="Calibri" w:hAnsi="Verdana" w:cs="Arial"/>
          <w:sz w:val="20"/>
          <w:szCs w:val="20"/>
          <w:lang w:val="es-ES_tradnl"/>
        </w:rPr>
      </w:pPr>
    </w:p>
    <w:p w14:paraId="23964B2D" w14:textId="77777777" w:rsidR="00D813C5" w:rsidRDefault="00D813C5" w:rsidP="00501059">
      <w:pPr>
        <w:spacing w:after="0" w:line="240" w:lineRule="auto"/>
        <w:jc w:val="both"/>
        <w:rPr>
          <w:rFonts w:ascii="Verdana" w:eastAsia="Calibri" w:hAnsi="Verdana" w:cs="Arial"/>
          <w:sz w:val="20"/>
          <w:szCs w:val="20"/>
          <w:lang w:val="es-ES_tradnl"/>
        </w:rPr>
      </w:pPr>
    </w:p>
    <w:p w14:paraId="1341BA76" w14:textId="77777777" w:rsidR="00D813C5" w:rsidRDefault="00D813C5" w:rsidP="00501059">
      <w:pPr>
        <w:spacing w:after="0" w:line="240" w:lineRule="auto"/>
        <w:jc w:val="both"/>
        <w:rPr>
          <w:rFonts w:ascii="Verdana" w:eastAsia="Calibri" w:hAnsi="Verdana" w:cs="Arial"/>
          <w:sz w:val="20"/>
          <w:szCs w:val="20"/>
          <w:lang w:val="es-ES_tradnl"/>
        </w:rPr>
      </w:pPr>
    </w:p>
    <w:p w14:paraId="31A02615" w14:textId="77777777" w:rsidR="00D813C5" w:rsidRPr="00F47E0F" w:rsidRDefault="00D813C5" w:rsidP="00501059">
      <w:pPr>
        <w:spacing w:after="0" w:line="240" w:lineRule="auto"/>
        <w:jc w:val="both"/>
        <w:rPr>
          <w:rFonts w:ascii="Verdana" w:eastAsia="Calibri" w:hAnsi="Verdana" w:cs="Arial"/>
          <w:sz w:val="20"/>
          <w:szCs w:val="20"/>
          <w:lang w:val="es-ES_tradnl"/>
        </w:rPr>
      </w:pPr>
    </w:p>
    <w:p w14:paraId="0F19FD31" w14:textId="77777777" w:rsidR="00501059" w:rsidRDefault="00501059" w:rsidP="00501059">
      <w:pPr>
        <w:spacing w:after="0" w:line="240" w:lineRule="auto"/>
        <w:jc w:val="both"/>
        <w:rPr>
          <w:rFonts w:ascii="Verdana" w:eastAsia="Calibri" w:hAnsi="Verdana" w:cs="Arial"/>
          <w:sz w:val="20"/>
          <w:szCs w:val="20"/>
          <w:lang w:val="es-ES_tradnl"/>
        </w:rPr>
      </w:pPr>
    </w:p>
    <w:p w14:paraId="7312E716" w14:textId="77777777" w:rsidR="00501059" w:rsidRDefault="00501059" w:rsidP="00501059">
      <w:pPr>
        <w:spacing w:after="0" w:line="240" w:lineRule="auto"/>
        <w:jc w:val="both"/>
        <w:rPr>
          <w:rFonts w:ascii="Verdana" w:eastAsia="Calibri" w:hAnsi="Verdana" w:cs="Arial"/>
          <w:sz w:val="20"/>
          <w:szCs w:val="20"/>
          <w:lang w:val="es-ES_tradnl"/>
        </w:rPr>
      </w:pPr>
    </w:p>
    <w:p w14:paraId="3738303A" w14:textId="77777777" w:rsidR="00501059" w:rsidRDefault="00501059" w:rsidP="00501059">
      <w:pPr>
        <w:spacing w:after="0" w:line="240" w:lineRule="auto"/>
        <w:jc w:val="both"/>
        <w:rPr>
          <w:rFonts w:ascii="Verdana" w:eastAsia="Calibri" w:hAnsi="Verdana" w:cs="Arial"/>
          <w:sz w:val="20"/>
          <w:szCs w:val="20"/>
          <w:lang w:val="es-ES_tradnl"/>
        </w:rPr>
      </w:pPr>
    </w:p>
    <w:p w14:paraId="019EF704" w14:textId="77777777" w:rsidR="00501059" w:rsidRDefault="00501059" w:rsidP="00501059">
      <w:pPr>
        <w:spacing w:after="0" w:line="240" w:lineRule="auto"/>
        <w:jc w:val="both"/>
        <w:rPr>
          <w:rFonts w:ascii="Verdana" w:eastAsia="Calibri" w:hAnsi="Verdana" w:cs="Arial"/>
          <w:sz w:val="20"/>
          <w:szCs w:val="20"/>
          <w:lang w:val="es-ES_tradnl"/>
        </w:rPr>
      </w:pPr>
    </w:p>
    <w:p w14:paraId="60615941" w14:textId="77777777" w:rsidR="008E6356" w:rsidRDefault="00501059" w:rsidP="00501059">
      <w:pPr>
        <w:spacing w:after="0" w:line="240" w:lineRule="auto"/>
        <w:rPr>
          <w:rFonts w:ascii="Verdana" w:eastAsia="Geomanist Light" w:hAnsi="Verdana" w:cs="Arial"/>
          <w:lang w:val="es-ES"/>
        </w:rPr>
      </w:pPr>
      <w:r w:rsidRPr="003479B4">
        <w:rPr>
          <w:rFonts w:ascii="Verdana" w:eastAsia="Geomanist Light" w:hAnsi="Verdana" w:cs="Arial"/>
          <w:lang w:val="es-ES"/>
        </w:rPr>
        <w:lastRenderedPageBreak/>
        <w:t xml:space="preserve">Bogotá D.C., </w:t>
      </w:r>
      <w:r w:rsidR="008E6356">
        <w:rPr>
          <w:rFonts w:ascii="Verdana" w:eastAsia="Geomanist Light" w:hAnsi="Verdana" w:cs="Arial"/>
          <w:lang w:val="es-ES"/>
        </w:rPr>
        <w:t>14 de octubre de 2026</w:t>
      </w:r>
    </w:p>
    <w:p w14:paraId="41F76C40" w14:textId="77777777" w:rsidR="008E6356" w:rsidRDefault="008E6356" w:rsidP="00501059">
      <w:pPr>
        <w:spacing w:after="0" w:line="240" w:lineRule="auto"/>
        <w:rPr>
          <w:rFonts w:ascii="Verdana" w:eastAsia="Geomanist Light" w:hAnsi="Verdana" w:cs="Arial"/>
          <w:lang w:val="es-ES"/>
        </w:rPr>
      </w:pPr>
    </w:p>
    <w:p w14:paraId="4A77150A" w14:textId="0B972FEE" w:rsidR="00501059" w:rsidRDefault="008E6356" w:rsidP="008E6356">
      <w:pPr>
        <w:spacing w:after="0" w:line="240" w:lineRule="auto"/>
        <w:jc w:val="right"/>
        <w:rPr>
          <w:rFonts w:ascii="Verdana" w:eastAsia="Geomanist Light" w:hAnsi="Verdana" w:cs="Arial"/>
          <w:lang w:val="es-ES"/>
        </w:rPr>
      </w:pPr>
      <w:r w:rsidRPr="008E6356">
        <w:rPr>
          <w:rFonts w:ascii="Verdana" w:eastAsia="Geomanist Light" w:hAnsi="Verdana" w:cs="Arial"/>
          <w:lang w:val="es-ES"/>
        </w:rPr>
        <w:drawing>
          <wp:inline distT="0" distB="0" distL="0" distR="0" wp14:anchorId="421668FF" wp14:editId="70C6C691">
            <wp:extent cx="3696216" cy="1076475"/>
            <wp:effectExtent l="0" t="0" r="0" b="9525"/>
            <wp:docPr id="15604639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63920" name=""/>
                    <pic:cNvPicPr/>
                  </pic:nvPicPr>
                  <pic:blipFill>
                    <a:blip r:embed="rId10"/>
                    <a:stretch>
                      <a:fillRect/>
                    </a:stretch>
                  </pic:blipFill>
                  <pic:spPr>
                    <a:xfrm>
                      <a:off x="0" y="0"/>
                      <a:ext cx="3696216" cy="1076475"/>
                    </a:xfrm>
                    <a:prstGeom prst="rect">
                      <a:avLst/>
                    </a:prstGeom>
                  </pic:spPr>
                </pic:pic>
              </a:graphicData>
            </a:graphic>
          </wp:inline>
        </w:drawing>
      </w:r>
      <w:r w:rsidR="00501059" w:rsidRPr="003479B4">
        <w:rPr>
          <w:rFonts w:ascii="Verdana" w:eastAsia="Geomanist Light" w:hAnsi="Verdana" w:cs="Arial"/>
          <w:lang w:val="es-ES"/>
        </w:rPr>
        <w:tab/>
      </w:r>
    </w:p>
    <w:p w14:paraId="556F1080" w14:textId="77777777" w:rsidR="00501059" w:rsidRPr="00F47E0F" w:rsidRDefault="00501059" w:rsidP="00501059">
      <w:pPr>
        <w:spacing w:after="0" w:line="240" w:lineRule="auto"/>
        <w:rPr>
          <w:rFonts w:ascii="Verdana" w:eastAsia="Geomanist Light" w:hAnsi="Verdana" w:cs="Arial"/>
          <w:lang w:val="es-ES_tradnl"/>
        </w:rPr>
      </w:pPr>
    </w:p>
    <w:p w14:paraId="20D8EB13" w14:textId="77777777" w:rsidR="00501059" w:rsidRPr="00F47E0F" w:rsidRDefault="00501059" w:rsidP="00501059">
      <w:pPr>
        <w:spacing w:after="0" w:line="240" w:lineRule="auto"/>
        <w:jc w:val="both"/>
        <w:rPr>
          <w:rFonts w:ascii="Verdana" w:eastAsia="Calibri" w:hAnsi="Verdana" w:cs="Arial"/>
          <w:lang w:val="es-ES"/>
        </w:rPr>
      </w:pPr>
    </w:p>
    <w:p w14:paraId="3CBEF2F2" w14:textId="77777777" w:rsidR="00501059" w:rsidRPr="00F47E0F" w:rsidRDefault="00501059" w:rsidP="00501059">
      <w:pPr>
        <w:spacing w:after="0" w:line="240" w:lineRule="auto"/>
        <w:jc w:val="both"/>
        <w:rPr>
          <w:rFonts w:ascii="Verdana" w:eastAsia="Calibri" w:hAnsi="Verdana" w:cs="Arial"/>
          <w:lang w:val="es-ES" w:eastAsia="es-ES"/>
        </w:rPr>
      </w:pPr>
      <w:r w:rsidRPr="00F47E0F">
        <w:rPr>
          <w:rFonts w:ascii="Verdana" w:eastAsia="Calibri" w:hAnsi="Verdana" w:cs="Arial"/>
          <w:lang w:val="es-ES" w:eastAsia="es-ES"/>
        </w:rPr>
        <w:t>Señor</w:t>
      </w:r>
    </w:p>
    <w:p w14:paraId="047B0CDA" w14:textId="77777777" w:rsidR="00501059" w:rsidRPr="00F47E0F" w:rsidRDefault="00501059" w:rsidP="0050105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Luis Fernando Cuastumal Cuatin</w:t>
      </w:r>
    </w:p>
    <w:p w14:paraId="7FA8BFFD" w14:textId="77777777" w:rsidR="00501059" w:rsidRPr="00F47E0F" w:rsidRDefault="00501059" w:rsidP="00501059">
      <w:pPr>
        <w:spacing w:after="0" w:line="240" w:lineRule="auto"/>
        <w:rPr>
          <w:rFonts w:ascii="Verdana" w:eastAsia="Calibri" w:hAnsi="Verdana" w:cs="Arial"/>
          <w:b/>
          <w:bCs/>
          <w:lang w:val="es-ES" w:eastAsia="es-ES"/>
        </w:rPr>
      </w:pPr>
      <w:r w:rsidRPr="00F0118B">
        <w:rPr>
          <w:rFonts w:ascii="Verdana" w:hAnsi="Verdana"/>
        </w:rPr>
        <w:t>contactenos@mallamaseps.com</w:t>
      </w:r>
      <w:r w:rsidRPr="00F47E0F">
        <w:cr/>
      </w:r>
      <w:r w:rsidRPr="00F47E0F">
        <w:rPr>
          <w:rFonts w:ascii="Verdana" w:eastAsia="Calibri" w:hAnsi="Verdana" w:cs="Arial"/>
          <w:lang w:val="es-ES" w:eastAsia="es-ES"/>
        </w:rPr>
        <w:t>Ciudad</w:t>
      </w:r>
    </w:p>
    <w:p w14:paraId="07DA40FA" w14:textId="77777777" w:rsidR="00501059" w:rsidRPr="00F47E0F" w:rsidRDefault="00501059" w:rsidP="00501059">
      <w:pPr>
        <w:spacing w:after="0" w:line="240" w:lineRule="auto"/>
        <w:rPr>
          <w:rFonts w:ascii="Verdana" w:eastAsia="Calibri" w:hAnsi="Verdana" w:cs="Arial"/>
          <w:b/>
          <w:bCs/>
          <w:lang w:val="es-ES_tradnl" w:eastAsia="es-ES_tradnl"/>
        </w:rPr>
      </w:pPr>
    </w:p>
    <w:p w14:paraId="5AFB783B" w14:textId="77777777" w:rsidR="00501059" w:rsidRPr="00F47E0F" w:rsidRDefault="00501059" w:rsidP="0050105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01059" w:rsidRPr="00F47E0F" w14:paraId="1A37F4E0" w14:textId="77777777" w:rsidTr="007D2EE7">
        <w:trPr>
          <w:trHeight w:val="884"/>
        </w:trPr>
        <w:tc>
          <w:tcPr>
            <w:tcW w:w="2689" w:type="dxa"/>
          </w:tcPr>
          <w:p w14:paraId="7C405F39" w14:textId="77777777" w:rsidR="00501059" w:rsidRPr="00F47E0F" w:rsidRDefault="00501059" w:rsidP="007D2EE7">
            <w:pPr>
              <w:jc w:val="both"/>
              <w:rPr>
                <w:rFonts w:ascii="Verdana" w:eastAsia="Calibri" w:hAnsi="Verdana" w:cs="Arial"/>
                <w:b/>
                <w:bCs/>
                <w:lang w:val="es-ES_tradnl" w:eastAsia="es-ES_tradnl"/>
              </w:rPr>
            </w:pPr>
          </w:p>
        </w:tc>
        <w:tc>
          <w:tcPr>
            <w:tcW w:w="6100" w:type="dxa"/>
          </w:tcPr>
          <w:p w14:paraId="4C920E35" w14:textId="77777777" w:rsidR="00501059" w:rsidRPr="00F47E0F" w:rsidRDefault="00501059" w:rsidP="007D2EE7">
            <w:pPr>
              <w:jc w:val="both"/>
              <w:rPr>
                <w:rFonts w:ascii="Verdana" w:eastAsia="Calibri" w:hAnsi="Verdana" w:cs="Arial"/>
                <w:b/>
                <w:bCs/>
                <w:lang w:val="es-ES" w:eastAsia="es-ES"/>
              </w:rPr>
            </w:pPr>
            <w:r w:rsidRPr="00F47E0F">
              <w:rPr>
                <w:rFonts w:ascii="Verdana" w:eastAsia="Calibri" w:hAnsi="Verdana" w:cs="Arial"/>
                <w:b/>
                <w:bCs/>
                <w:lang w:val="es-ES" w:eastAsia="es-ES"/>
              </w:rPr>
              <w:t>Concepto C- 1</w:t>
            </w:r>
            <w:r>
              <w:rPr>
                <w:rFonts w:ascii="Verdana" w:eastAsia="Calibri" w:hAnsi="Verdana" w:cs="Arial"/>
                <w:b/>
                <w:bCs/>
                <w:lang w:val="es-ES" w:eastAsia="es-ES"/>
              </w:rPr>
              <w:t>424</w:t>
            </w:r>
            <w:r w:rsidRPr="00F47E0F">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501059" w:rsidRPr="00F47E0F" w14:paraId="0E9A16AD" w14:textId="77777777" w:rsidTr="007D2EE7">
        <w:trPr>
          <w:trHeight w:val="884"/>
        </w:trPr>
        <w:tc>
          <w:tcPr>
            <w:tcW w:w="2689" w:type="dxa"/>
          </w:tcPr>
          <w:p w14:paraId="6FBA053F" w14:textId="77777777" w:rsidR="00501059" w:rsidRPr="00F47E0F" w:rsidRDefault="00501059" w:rsidP="007D2EE7">
            <w:pPr>
              <w:jc w:val="both"/>
              <w:rPr>
                <w:rFonts w:ascii="Verdana" w:eastAsia="Calibri" w:hAnsi="Verdana" w:cs="Arial"/>
                <w:lang w:val="es-ES_tradnl" w:eastAsia="es-ES_tradnl"/>
              </w:rPr>
            </w:pPr>
            <w:r w:rsidRPr="00F47E0F">
              <w:rPr>
                <w:rFonts w:ascii="Verdana" w:eastAsia="Calibri" w:hAnsi="Verdana" w:cs="Arial"/>
                <w:b/>
                <w:lang w:val="es-ES_tradnl" w:eastAsia="es-ES_tradnl"/>
              </w:rPr>
              <w:t>Temas:</w:t>
            </w:r>
            <w:r w:rsidRPr="00F47E0F">
              <w:rPr>
                <w:rFonts w:ascii="Verdana" w:eastAsia="Calibri" w:hAnsi="Verdana" w:cs="Arial"/>
                <w:lang w:val="es-ES_tradnl" w:eastAsia="es-ES_tradnl"/>
              </w:rPr>
              <w:t xml:space="preserve">                   </w:t>
            </w:r>
          </w:p>
        </w:tc>
        <w:tc>
          <w:tcPr>
            <w:tcW w:w="6100" w:type="dxa"/>
          </w:tcPr>
          <w:p w14:paraId="4E6833DA" w14:textId="214B6DA1" w:rsidR="00501059" w:rsidRPr="00F47E0F" w:rsidRDefault="00A954CF" w:rsidP="007D2EE7">
            <w:pPr>
              <w:jc w:val="both"/>
              <w:rPr>
                <w:rFonts w:ascii="Verdana" w:eastAsia="Calibri" w:hAnsi="Verdana" w:cs="Arial"/>
                <w:highlight w:val="yellow"/>
                <w:lang w:eastAsia="es-ES"/>
              </w:rPr>
            </w:pPr>
            <w:r w:rsidRPr="00A954CF">
              <w:rPr>
                <w:rFonts w:ascii="Verdana" w:eastAsia="Calibri" w:hAnsi="Verdana" w:cs="Arial"/>
                <w:lang w:val="es-ES" w:eastAsia="es-ES"/>
              </w:rPr>
              <w:t>PRINCIPIO DE PUBLICIDAD – Concepto – Fundamento axiológico – Fundamento constitucional</w:t>
            </w:r>
            <w:r>
              <w:rPr>
                <w:rFonts w:ascii="Verdana" w:eastAsia="Calibri" w:hAnsi="Verdana" w:cs="Arial"/>
                <w:lang w:val="es-ES" w:eastAsia="es-ES"/>
              </w:rPr>
              <w:t xml:space="preserve"> </w:t>
            </w:r>
            <w:r w:rsidR="00501059">
              <w:rPr>
                <w:rFonts w:ascii="Verdana" w:eastAsia="Calibri" w:hAnsi="Verdana" w:cs="Arial"/>
                <w:lang w:val="es-ES" w:eastAsia="es-ES"/>
              </w:rPr>
              <w:t>/</w:t>
            </w:r>
            <w:r w:rsidR="00501059">
              <w:t xml:space="preserve"> </w:t>
            </w:r>
            <w:r w:rsidRPr="00A954CF">
              <w:rPr>
                <w:rFonts w:ascii="Verdana" w:eastAsia="Calibri" w:hAnsi="Verdana" w:cs="Arial"/>
                <w:lang w:val="es-ES" w:eastAsia="es-ES"/>
              </w:rPr>
              <w:t>PRINCIPIO DE PUBLICIDAD – SECOP – Documentos del proceso – Deber de publicación</w:t>
            </w:r>
            <w:r>
              <w:t xml:space="preserve"> / </w:t>
            </w:r>
            <w:r w:rsidRPr="00A954CF">
              <w:rPr>
                <w:rFonts w:ascii="Verdana" w:eastAsia="Calibri" w:hAnsi="Verdana" w:cs="Arial"/>
                <w:lang w:val="es-ES" w:eastAsia="es-ES"/>
              </w:rPr>
              <w:t>DEBER DE PUBLICIDAD – Sujetos Obligados</w:t>
            </w:r>
            <w:r>
              <w:rPr>
                <w:rFonts w:ascii="Verdana" w:eastAsia="Calibri" w:hAnsi="Verdana" w:cs="Arial"/>
                <w:lang w:val="es-ES" w:eastAsia="es-ES"/>
              </w:rPr>
              <w:t xml:space="preserve"> </w:t>
            </w:r>
            <w:r w:rsidR="00501059" w:rsidRPr="00F47E0F">
              <w:rPr>
                <w:rFonts w:ascii="Verdana" w:eastAsia="Calibri" w:hAnsi="Verdana" w:cs="Arial"/>
                <w:lang w:val="es-ES" w:eastAsia="es-ES"/>
              </w:rPr>
              <w:t xml:space="preserve">/ </w:t>
            </w:r>
            <w:r w:rsidRPr="00A954CF">
              <w:rPr>
                <w:rFonts w:ascii="Verdana" w:eastAsia="Calibri" w:hAnsi="Verdana" w:cs="Arial"/>
                <w:lang w:val="es-ES" w:eastAsia="es-ES"/>
              </w:rPr>
              <w:t xml:space="preserve">EPS – Naturaleza Jurídica – Formas organizativas – Deber de publicidad – Sujetos Obligados – Particulares que gestionan recursos públicos – Entidades de Régimen Especial </w:t>
            </w:r>
            <w:r w:rsidR="00D813C5">
              <w:rPr>
                <w:rFonts w:ascii="Verdana" w:eastAsia="Calibri" w:hAnsi="Verdana" w:cs="Arial"/>
                <w:lang w:val="es-ES" w:eastAsia="es-ES"/>
              </w:rPr>
              <w:t xml:space="preserve">/ </w:t>
            </w:r>
            <w:r w:rsidR="00501059" w:rsidRPr="00F47E0F">
              <w:rPr>
                <w:rFonts w:ascii="Verdana" w:eastAsia="Calibri" w:hAnsi="Verdana" w:cs="Arial"/>
                <w:lang w:val="es-ES" w:eastAsia="es-ES"/>
              </w:rPr>
              <w:t>RESERVA DE INFORMACIÓN PÚBLICA – Fundamento – Constitución – Ley – Aplicación – Procesos contractuales</w:t>
            </w:r>
          </w:p>
        </w:tc>
      </w:tr>
      <w:tr w:rsidR="00501059" w:rsidRPr="00F47E0F" w14:paraId="2455FC92" w14:textId="77777777" w:rsidTr="007D2EE7">
        <w:tc>
          <w:tcPr>
            <w:tcW w:w="2689" w:type="dxa"/>
          </w:tcPr>
          <w:p w14:paraId="4864B494" w14:textId="77777777" w:rsidR="00501059" w:rsidRPr="00F47E0F" w:rsidRDefault="00501059" w:rsidP="007D2EE7">
            <w:pPr>
              <w:jc w:val="both"/>
              <w:rPr>
                <w:rFonts w:ascii="Verdana" w:eastAsia="Calibri" w:hAnsi="Verdana" w:cs="Arial"/>
                <w:b/>
                <w:lang w:val="es-ES_tradnl" w:eastAsia="es-ES_tradnl"/>
              </w:rPr>
            </w:pPr>
            <w:r w:rsidRPr="00F47E0F">
              <w:rPr>
                <w:rFonts w:ascii="Verdana" w:eastAsia="Calibri" w:hAnsi="Verdana" w:cs="Arial"/>
                <w:b/>
                <w:lang w:val="es-ES_tradnl" w:eastAsia="es-ES_tradnl"/>
              </w:rPr>
              <w:t>Radicación:</w:t>
            </w:r>
            <w:r w:rsidRPr="00F47E0F">
              <w:rPr>
                <w:rFonts w:ascii="Verdana" w:eastAsia="Calibri" w:hAnsi="Verdana" w:cs="Arial"/>
                <w:lang w:val="es-ES_tradnl" w:eastAsia="es-ES_tradnl"/>
              </w:rPr>
              <w:t xml:space="preserve">               </w:t>
            </w:r>
          </w:p>
        </w:tc>
        <w:tc>
          <w:tcPr>
            <w:tcW w:w="6100" w:type="dxa"/>
          </w:tcPr>
          <w:p w14:paraId="5A70616A" w14:textId="77777777" w:rsidR="00501059" w:rsidRPr="00F47E0F" w:rsidRDefault="00501059" w:rsidP="007D2EE7">
            <w:pPr>
              <w:jc w:val="both"/>
              <w:rPr>
                <w:rFonts w:ascii="Verdana" w:eastAsia="Calibri" w:hAnsi="Verdana" w:cs="Arial"/>
                <w:lang w:val="es-ES_tradnl" w:eastAsia="es-ES_tradnl"/>
              </w:rPr>
            </w:pPr>
            <w:r w:rsidRPr="00F47E0F">
              <w:rPr>
                <w:rFonts w:ascii="Verdana" w:eastAsia="Calibri" w:hAnsi="Verdana" w:cs="Arial"/>
                <w:lang w:val="es-ES_tradnl" w:eastAsia="es-ES_tradnl"/>
              </w:rPr>
              <w:t xml:space="preserve">Respuesta a consulta con radicado No. </w:t>
            </w:r>
            <w:r w:rsidRPr="00A8521B">
              <w:rPr>
                <w:rFonts w:ascii="Verdana" w:eastAsia="Calibri" w:hAnsi="Verdana" w:cs="Arial"/>
                <w:lang w:val="es-ES_tradnl" w:eastAsia="es-ES_tradnl"/>
              </w:rPr>
              <w:t>1_2026_09_09_011998</w:t>
            </w:r>
          </w:p>
        </w:tc>
      </w:tr>
    </w:tbl>
    <w:p w14:paraId="11C73772" w14:textId="77777777" w:rsidR="00501059" w:rsidRPr="00F47E0F" w:rsidRDefault="00501059" w:rsidP="00501059">
      <w:pPr>
        <w:spacing w:after="0" w:line="240" w:lineRule="auto"/>
        <w:jc w:val="both"/>
        <w:rPr>
          <w:rFonts w:ascii="Verdana" w:eastAsia="Calibri" w:hAnsi="Verdana" w:cs="Arial"/>
          <w:lang w:val="es-ES_tradnl" w:eastAsia="es-ES_tradnl"/>
        </w:rPr>
      </w:pPr>
    </w:p>
    <w:p w14:paraId="22A6D20E" w14:textId="77777777" w:rsidR="00501059" w:rsidRPr="00F47E0F" w:rsidRDefault="00501059" w:rsidP="00501059">
      <w:pPr>
        <w:spacing w:after="0" w:line="240" w:lineRule="auto"/>
        <w:jc w:val="both"/>
        <w:rPr>
          <w:rFonts w:ascii="Verdana" w:eastAsia="Calibri" w:hAnsi="Verdana" w:cs="Arial"/>
          <w:lang w:val="es-ES_tradnl" w:eastAsia="es-ES_tradnl"/>
        </w:rPr>
      </w:pPr>
    </w:p>
    <w:p w14:paraId="74D51B0E" w14:textId="77777777" w:rsidR="00501059" w:rsidRPr="00F47E0F" w:rsidRDefault="00501059" w:rsidP="00501059">
      <w:pPr>
        <w:spacing w:after="0" w:line="276" w:lineRule="auto"/>
        <w:jc w:val="both"/>
        <w:rPr>
          <w:rFonts w:ascii="Verdana" w:eastAsia="Calibri" w:hAnsi="Verdana" w:cs="Arial"/>
          <w:lang w:val="es-ES" w:eastAsia="es-ES"/>
        </w:rPr>
      </w:pPr>
      <w:r w:rsidRPr="00F47E0F">
        <w:rPr>
          <w:rFonts w:ascii="Verdana" w:eastAsia="Calibri" w:hAnsi="Verdana" w:cs="Arial"/>
          <w:lang w:val="es-ES" w:eastAsia="es-ES"/>
        </w:rPr>
        <w:t xml:space="preserve">Estimado señor </w:t>
      </w:r>
      <w:r w:rsidRPr="005C5DCD">
        <w:rPr>
          <w:rFonts w:ascii="Verdana" w:eastAsia="Calibri" w:hAnsi="Verdana" w:cs="Arial"/>
          <w:lang w:val="es-ES" w:eastAsia="es-ES"/>
        </w:rPr>
        <w:t>Cuastumal</w:t>
      </w:r>
      <w:r w:rsidRPr="00F47E0F">
        <w:rPr>
          <w:rFonts w:ascii="Verdana" w:eastAsia="Calibri" w:hAnsi="Verdana" w:cs="Arial"/>
          <w:lang w:val="es-ES" w:eastAsia="es-ES"/>
        </w:rPr>
        <w:t xml:space="preserve">: </w:t>
      </w:r>
    </w:p>
    <w:p w14:paraId="2E7BDC3A" w14:textId="77777777" w:rsidR="00501059" w:rsidRPr="00F47E0F" w:rsidRDefault="00501059" w:rsidP="00501059">
      <w:pPr>
        <w:tabs>
          <w:tab w:val="left" w:pos="3768"/>
        </w:tabs>
        <w:spacing w:after="0" w:line="276" w:lineRule="auto"/>
        <w:jc w:val="both"/>
        <w:rPr>
          <w:rFonts w:ascii="Verdana" w:eastAsia="Calibri" w:hAnsi="Verdana" w:cs="Arial"/>
          <w:lang w:val="es-ES" w:eastAsia="es-ES"/>
        </w:rPr>
      </w:pPr>
      <w:r w:rsidRPr="00F47E0F">
        <w:rPr>
          <w:rFonts w:ascii="Verdana" w:eastAsia="Calibri" w:hAnsi="Verdana" w:cs="Arial"/>
          <w:lang w:val="es-ES" w:eastAsia="es-ES"/>
        </w:rPr>
        <w:tab/>
      </w:r>
    </w:p>
    <w:p w14:paraId="60BC6586" w14:textId="77777777" w:rsidR="00501059" w:rsidRPr="00F47E0F" w:rsidRDefault="00501059" w:rsidP="00501059">
      <w:pPr>
        <w:spacing w:after="0" w:line="276" w:lineRule="auto"/>
        <w:jc w:val="both"/>
        <w:rPr>
          <w:rFonts w:ascii="Verdana" w:eastAsia="Calibri" w:hAnsi="Verdana" w:cs="Arial"/>
          <w:lang w:val="es-ES" w:eastAsia="es-ES"/>
        </w:rPr>
      </w:pPr>
      <w:r w:rsidRPr="00440A20">
        <w:rPr>
          <w:rFonts w:ascii="Verdana" w:eastAsia="Calibri" w:hAnsi="Verdana" w:cs="Arial"/>
          <w:lang w:val="es-ES" w:eastAsia="es-ES"/>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w:t>
      </w:r>
      <w:r>
        <w:rPr>
          <w:rFonts w:ascii="Verdana" w:eastAsia="Calibri" w:hAnsi="Verdana" w:cs="Arial"/>
          <w:lang w:val="es-ES" w:eastAsia="es-ES"/>
        </w:rPr>
        <w:t>R</w:t>
      </w:r>
      <w:r w:rsidRPr="00440A20">
        <w:rPr>
          <w:rFonts w:ascii="Verdana" w:eastAsia="Calibri" w:hAnsi="Verdana" w:cs="Arial"/>
          <w:lang w:val="es-ES" w:eastAsia="es-ES"/>
        </w:rPr>
        <w:t xml:space="preserve">esolución </w:t>
      </w:r>
      <w:proofErr w:type="spellStart"/>
      <w:r w:rsidRPr="00440A20">
        <w:rPr>
          <w:rFonts w:ascii="Verdana" w:eastAsia="Calibri" w:hAnsi="Verdana" w:cs="Arial"/>
          <w:lang w:val="es-ES" w:eastAsia="es-ES"/>
        </w:rPr>
        <w:lastRenderedPageBreak/>
        <w:t>N°</w:t>
      </w:r>
      <w:proofErr w:type="spellEnd"/>
      <w:r w:rsidRPr="00440A20">
        <w:rPr>
          <w:rFonts w:ascii="Verdana" w:eastAsia="Calibri" w:hAnsi="Verdana" w:cs="Arial"/>
          <w:lang w:val="es-ES" w:eastAsia="es-ES"/>
        </w:rPr>
        <w:t xml:space="preserve"> 469 del 2025 expedida por esta Agencia, responde su solicitud de consulta del </w:t>
      </w:r>
      <w:r>
        <w:rPr>
          <w:rFonts w:ascii="Verdana" w:eastAsia="Calibri" w:hAnsi="Verdana" w:cs="Arial"/>
          <w:lang w:val="es-ES" w:eastAsia="es-ES"/>
        </w:rPr>
        <w:t>9</w:t>
      </w:r>
      <w:r w:rsidRPr="00440A20">
        <w:rPr>
          <w:rFonts w:ascii="Verdana" w:eastAsia="Calibri" w:hAnsi="Verdana" w:cs="Arial"/>
          <w:lang w:val="es-ES" w:eastAsia="es-ES"/>
        </w:rPr>
        <w:t xml:space="preserve"> de septiembre de 2026, en la cual manifiesta lo siguiente</w:t>
      </w:r>
      <w:r w:rsidRPr="00F47E0F">
        <w:rPr>
          <w:rFonts w:ascii="Verdana" w:eastAsia="Calibri" w:hAnsi="Verdana" w:cs="Arial"/>
          <w:lang w:val="es-ES" w:eastAsia="es-ES"/>
        </w:rPr>
        <w:t xml:space="preserve">: </w:t>
      </w:r>
    </w:p>
    <w:p w14:paraId="368FB852" w14:textId="77777777" w:rsidR="00501059" w:rsidRPr="00F47E0F" w:rsidRDefault="00501059" w:rsidP="00501059">
      <w:pPr>
        <w:spacing w:after="0" w:line="240" w:lineRule="auto"/>
        <w:ind w:left="709" w:right="709"/>
        <w:jc w:val="both"/>
        <w:rPr>
          <w:rFonts w:ascii="Verdana" w:eastAsia="Century Gothic" w:hAnsi="Verdana" w:cs="Century Gothic"/>
          <w:sz w:val="20"/>
          <w:szCs w:val="20"/>
          <w:lang w:val="es-ES"/>
        </w:rPr>
      </w:pPr>
      <w:bookmarkStart w:id="0" w:name="_Hlk95313578"/>
    </w:p>
    <w:p w14:paraId="429EF82E" w14:textId="77777777" w:rsidR="00501059" w:rsidRPr="004513B3" w:rsidRDefault="00501059" w:rsidP="00501059">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w:t>
      </w:r>
      <w:bookmarkEnd w:id="0"/>
      <w:r w:rsidRPr="004513B3">
        <w:rPr>
          <w:rFonts w:ascii="Verdana" w:eastAsia="Century Gothic" w:hAnsi="Verdana" w:cs="Century Gothic"/>
          <w:sz w:val="20"/>
          <w:szCs w:val="20"/>
          <w:lang w:val="es-ES"/>
        </w:rPr>
        <w:t>1. ¿Las Entidades Promotoras de Salud – EPS, independientemente de que administren recursos del Sistema General de Seguridad Social en Salud, tienen la obligación legal de adelantar sus procesos de contratación a través del Sistema Electrónico para la Contratación Pública – SECOP II?</w:t>
      </w:r>
    </w:p>
    <w:p w14:paraId="67A3E71B" w14:textId="77777777" w:rsidR="00501059" w:rsidRPr="004513B3" w:rsidRDefault="00501059" w:rsidP="00501059">
      <w:pPr>
        <w:spacing w:after="0" w:line="240" w:lineRule="auto"/>
        <w:ind w:left="709" w:right="709"/>
        <w:jc w:val="both"/>
        <w:rPr>
          <w:rFonts w:ascii="Verdana" w:eastAsia="Century Gothic" w:hAnsi="Verdana" w:cs="Century Gothic"/>
          <w:sz w:val="20"/>
          <w:szCs w:val="20"/>
          <w:lang w:val="es-ES"/>
        </w:rPr>
      </w:pPr>
      <w:r w:rsidRPr="004513B3">
        <w:rPr>
          <w:rFonts w:ascii="Verdana" w:eastAsia="Century Gothic" w:hAnsi="Verdana" w:cs="Century Gothic"/>
          <w:sz w:val="20"/>
          <w:szCs w:val="20"/>
          <w:lang w:val="es-ES"/>
        </w:rPr>
        <w:t>En caso afirmativo, se solicita indicar la norma legal o reglamentaria específica que establece dicha obligación, precisando su ámbito de aplicación.</w:t>
      </w:r>
    </w:p>
    <w:p w14:paraId="15E5F451" w14:textId="77777777" w:rsidR="00501059" w:rsidRPr="004513B3" w:rsidRDefault="00501059" w:rsidP="00501059">
      <w:pPr>
        <w:spacing w:after="0" w:line="240" w:lineRule="auto"/>
        <w:ind w:left="709" w:right="709"/>
        <w:jc w:val="both"/>
        <w:rPr>
          <w:rFonts w:ascii="Verdana" w:eastAsia="Century Gothic" w:hAnsi="Verdana" w:cs="Century Gothic"/>
          <w:sz w:val="20"/>
          <w:szCs w:val="20"/>
          <w:lang w:val="es-ES"/>
        </w:rPr>
      </w:pPr>
      <w:r w:rsidRPr="004513B3">
        <w:rPr>
          <w:rFonts w:ascii="Verdana" w:eastAsia="Century Gothic" w:hAnsi="Verdana" w:cs="Century Gothic"/>
          <w:sz w:val="20"/>
          <w:szCs w:val="20"/>
          <w:lang w:val="es-ES"/>
        </w:rPr>
        <w:t xml:space="preserve">2. ¿Las EPS sometidas a un régimen contractual de derecho privado, por </w:t>
      </w:r>
    </w:p>
    <w:p w14:paraId="31DA846B" w14:textId="77777777" w:rsidR="00501059" w:rsidRPr="004513B3" w:rsidRDefault="00501059" w:rsidP="00501059">
      <w:pPr>
        <w:spacing w:after="0" w:line="240" w:lineRule="auto"/>
        <w:ind w:left="709" w:right="709"/>
        <w:jc w:val="both"/>
        <w:rPr>
          <w:rFonts w:ascii="Verdana" w:eastAsia="Century Gothic" w:hAnsi="Verdana" w:cs="Century Gothic"/>
          <w:sz w:val="20"/>
          <w:szCs w:val="20"/>
          <w:lang w:val="es-ES"/>
        </w:rPr>
      </w:pPr>
      <w:r w:rsidRPr="004513B3">
        <w:rPr>
          <w:rFonts w:ascii="Verdana" w:eastAsia="Century Gothic" w:hAnsi="Verdana" w:cs="Century Gothic"/>
          <w:sz w:val="20"/>
          <w:szCs w:val="20"/>
          <w:lang w:val="es-ES"/>
        </w:rPr>
        <w:t>disposición legal o estatutaria, se encuentran obligadas a utilizar el SECOP II como plataforma para adelantar o gestionar sus procesos de contratación, o la obligación, cuando resulte aplicable, se limita exclusivamente a la publicación de determinados documentos de su actividad contractual?</w:t>
      </w:r>
    </w:p>
    <w:p w14:paraId="2716D12B" w14:textId="77777777" w:rsidR="00501059" w:rsidRPr="004513B3" w:rsidRDefault="00501059" w:rsidP="00501059">
      <w:pPr>
        <w:spacing w:after="0" w:line="240" w:lineRule="auto"/>
        <w:ind w:left="709" w:right="709"/>
        <w:jc w:val="both"/>
        <w:rPr>
          <w:rFonts w:ascii="Verdana" w:eastAsia="Century Gothic" w:hAnsi="Verdana" w:cs="Century Gothic"/>
          <w:sz w:val="20"/>
          <w:szCs w:val="20"/>
          <w:lang w:val="es-ES"/>
        </w:rPr>
      </w:pPr>
      <w:r w:rsidRPr="004513B3">
        <w:rPr>
          <w:rFonts w:ascii="Verdana" w:eastAsia="Century Gothic" w:hAnsi="Verdana" w:cs="Century Gothic"/>
          <w:sz w:val="20"/>
          <w:szCs w:val="20"/>
          <w:lang w:val="es-ES"/>
        </w:rPr>
        <w:t>3. Respecto del artículo 53 de la Ley 2195 de 2022, que modificó el artículo 13 de la Ley 1150 de 2007, ¿dicha disposición resulta aplicable a las Entidades Promotoras de Salud – EPS?</w:t>
      </w:r>
    </w:p>
    <w:p w14:paraId="31631F5C" w14:textId="77777777" w:rsidR="00501059" w:rsidRPr="004513B3" w:rsidRDefault="00501059" w:rsidP="00501059">
      <w:pPr>
        <w:spacing w:after="0" w:line="240" w:lineRule="auto"/>
        <w:ind w:left="709" w:right="709"/>
        <w:jc w:val="both"/>
        <w:rPr>
          <w:rFonts w:ascii="Verdana" w:eastAsia="Century Gothic" w:hAnsi="Verdana" w:cs="Century Gothic"/>
          <w:sz w:val="20"/>
          <w:szCs w:val="20"/>
          <w:lang w:val="es-ES"/>
        </w:rPr>
      </w:pPr>
      <w:r w:rsidRPr="004513B3">
        <w:rPr>
          <w:rFonts w:ascii="Verdana" w:eastAsia="Century Gothic" w:hAnsi="Verdana" w:cs="Century Gothic"/>
          <w:sz w:val="20"/>
          <w:szCs w:val="20"/>
          <w:lang w:val="es-ES"/>
        </w:rPr>
        <w:t>En caso afirmativo, se solicita precisar:</w:t>
      </w:r>
    </w:p>
    <w:p w14:paraId="42B6E3DD" w14:textId="77777777" w:rsidR="00501059" w:rsidRPr="004513B3" w:rsidRDefault="00501059" w:rsidP="00501059">
      <w:pPr>
        <w:spacing w:after="0" w:line="240" w:lineRule="auto"/>
        <w:ind w:left="709" w:right="709"/>
        <w:jc w:val="both"/>
        <w:rPr>
          <w:rFonts w:ascii="Verdana" w:eastAsia="Century Gothic" w:hAnsi="Verdana" w:cs="Century Gothic"/>
          <w:sz w:val="20"/>
          <w:szCs w:val="20"/>
          <w:lang w:val="es-ES"/>
        </w:rPr>
      </w:pPr>
      <w:r w:rsidRPr="004513B3">
        <w:rPr>
          <w:rFonts w:ascii="Verdana" w:eastAsia="Century Gothic" w:hAnsi="Verdana" w:cs="Century Gothic"/>
          <w:sz w:val="20"/>
          <w:szCs w:val="20"/>
          <w:lang w:val="es-ES"/>
        </w:rPr>
        <w:t>a. ¿Las EPS se encuentran comprendidas dentro de la categoría de “entidades estatales que por disposición legal cuenten con un régimen contractual excepcional al del Estatuto General de Contratación de la Administración Pública”?</w:t>
      </w:r>
    </w:p>
    <w:p w14:paraId="7D506E26" w14:textId="77777777" w:rsidR="00501059" w:rsidRPr="004513B3" w:rsidRDefault="00501059" w:rsidP="00501059">
      <w:pPr>
        <w:spacing w:after="0" w:line="240" w:lineRule="auto"/>
        <w:ind w:left="709" w:right="709"/>
        <w:jc w:val="both"/>
        <w:rPr>
          <w:rFonts w:ascii="Verdana" w:eastAsia="Century Gothic" w:hAnsi="Verdana" w:cs="Century Gothic"/>
          <w:sz w:val="20"/>
          <w:szCs w:val="20"/>
          <w:lang w:val="es-ES"/>
        </w:rPr>
      </w:pPr>
      <w:r w:rsidRPr="004513B3">
        <w:rPr>
          <w:rFonts w:ascii="Verdana" w:eastAsia="Century Gothic" w:hAnsi="Verdana" w:cs="Century Gothic"/>
          <w:sz w:val="20"/>
          <w:szCs w:val="20"/>
          <w:lang w:val="es-ES"/>
        </w:rPr>
        <w:t>b. ¿Cuál es la norma específica que permite incluir a las EPS dentro de dicha categoría?</w:t>
      </w:r>
    </w:p>
    <w:p w14:paraId="119E91FB" w14:textId="77777777" w:rsidR="00501059" w:rsidRPr="004513B3" w:rsidRDefault="00501059" w:rsidP="00501059">
      <w:pPr>
        <w:spacing w:after="0" w:line="240" w:lineRule="auto"/>
        <w:ind w:left="709" w:right="709"/>
        <w:jc w:val="both"/>
        <w:rPr>
          <w:rFonts w:ascii="Verdana" w:eastAsia="Century Gothic" w:hAnsi="Verdana" w:cs="Century Gothic"/>
          <w:sz w:val="20"/>
          <w:szCs w:val="20"/>
          <w:lang w:val="es-ES"/>
        </w:rPr>
      </w:pPr>
      <w:r w:rsidRPr="004513B3">
        <w:rPr>
          <w:rFonts w:ascii="Verdana" w:eastAsia="Century Gothic" w:hAnsi="Verdana" w:cs="Century Gothic"/>
          <w:sz w:val="20"/>
          <w:szCs w:val="20"/>
          <w:lang w:val="es-ES"/>
        </w:rPr>
        <w:t>c. ¿La obligación prevista en dicha disposición corresponde a publicar la actividad contractual o implica además la obligación de adelantar el procedimiento contractual a través del SECOP II?</w:t>
      </w:r>
    </w:p>
    <w:p w14:paraId="0B530C80" w14:textId="77777777" w:rsidR="00501059" w:rsidRPr="00E62FCB" w:rsidRDefault="00501059" w:rsidP="00501059">
      <w:pPr>
        <w:spacing w:after="0" w:line="240" w:lineRule="auto"/>
        <w:ind w:left="709" w:right="709"/>
        <w:jc w:val="both"/>
        <w:rPr>
          <w:rFonts w:ascii="Verdana" w:eastAsia="Century Gothic" w:hAnsi="Verdana" w:cs="Century Gothic"/>
          <w:sz w:val="20"/>
          <w:szCs w:val="20"/>
          <w:lang w:val="es-ES"/>
        </w:rPr>
      </w:pPr>
      <w:r w:rsidRPr="004513B3">
        <w:rPr>
          <w:rFonts w:ascii="Verdana" w:eastAsia="Century Gothic" w:hAnsi="Verdana" w:cs="Century Gothic"/>
          <w:sz w:val="20"/>
          <w:szCs w:val="20"/>
          <w:lang w:val="es-ES"/>
        </w:rPr>
        <w:t>4. Tratándose específicamente de las Entidades Promotoras de Salud Indígenas –</w:t>
      </w:r>
      <w:r>
        <w:rPr>
          <w:rFonts w:ascii="Verdana" w:eastAsia="Century Gothic" w:hAnsi="Verdana" w:cs="Century Gothic"/>
          <w:sz w:val="20"/>
          <w:szCs w:val="20"/>
          <w:lang w:val="es-ES"/>
        </w:rPr>
        <w:t xml:space="preserve"> </w:t>
      </w:r>
      <w:r w:rsidRPr="004513B3">
        <w:rPr>
          <w:rFonts w:ascii="Verdana" w:eastAsia="Century Gothic" w:hAnsi="Verdana" w:cs="Century Gothic"/>
          <w:sz w:val="20"/>
          <w:szCs w:val="20"/>
          <w:lang w:val="es-ES"/>
        </w:rPr>
        <w:t>EPS-I, ¿se encuentran estas sometidas a la obligación prevista en el artículo 53 de</w:t>
      </w:r>
      <w:r>
        <w:rPr>
          <w:rFonts w:ascii="Verdana" w:eastAsia="Century Gothic" w:hAnsi="Verdana" w:cs="Century Gothic"/>
          <w:sz w:val="20"/>
          <w:szCs w:val="20"/>
          <w:lang w:val="es-ES"/>
        </w:rPr>
        <w:t xml:space="preserve"> </w:t>
      </w:r>
      <w:r w:rsidRPr="00E62FCB">
        <w:rPr>
          <w:rFonts w:ascii="Verdana" w:eastAsia="Century Gothic" w:hAnsi="Verdana" w:cs="Century Gothic"/>
          <w:sz w:val="20"/>
          <w:szCs w:val="20"/>
          <w:lang w:val="es-ES"/>
        </w:rPr>
        <w:t>la Ley 2195 de 2022 respecto de la publicación de su actividad contractual en SECOP II?</w:t>
      </w:r>
    </w:p>
    <w:p w14:paraId="0C133477" w14:textId="77777777" w:rsidR="00501059" w:rsidRPr="00E62FCB" w:rsidRDefault="00501059" w:rsidP="00501059">
      <w:pPr>
        <w:spacing w:after="0" w:line="240" w:lineRule="auto"/>
        <w:ind w:left="709" w:right="709"/>
        <w:jc w:val="both"/>
        <w:rPr>
          <w:rFonts w:ascii="Verdana" w:eastAsia="Century Gothic" w:hAnsi="Verdana" w:cs="Century Gothic"/>
          <w:sz w:val="20"/>
          <w:szCs w:val="20"/>
          <w:lang w:val="es-ES"/>
        </w:rPr>
      </w:pPr>
      <w:r w:rsidRPr="00E62FCB">
        <w:rPr>
          <w:rFonts w:ascii="Verdana" w:eastAsia="Century Gothic" w:hAnsi="Verdana" w:cs="Century Gothic"/>
          <w:sz w:val="20"/>
          <w:szCs w:val="20"/>
          <w:lang w:val="es-ES"/>
        </w:rPr>
        <w:t>En particular, para una entidad como MALLAMAS EPS-I, cuya naturaleza jurídica es la de una entidad de derecho público de carácter especial, pero cuyo régimen para determinados actos y contratos se encuentra sometido al derecho privado, ¿cuál es el régimen jurídico aplicable respecto de la publicación de su actividad contractual en SECOP II?</w:t>
      </w:r>
    </w:p>
    <w:p w14:paraId="57D061EA" w14:textId="77777777" w:rsidR="00501059" w:rsidRPr="00E62FCB" w:rsidRDefault="00501059" w:rsidP="00501059">
      <w:pPr>
        <w:spacing w:after="0" w:line="240" w:lineRule="auto"/>
        <w:ind w:left="709" w:right="709"/>
        <w:jc w:val="both"/>
        <w:rPr>
          <w:rFonts w:ascii="Verdana" w:eastAsia="Century Gothic" w:hAnsi="Verdana" w:cs="Century Gothic"/>
          <w:sz w:val="20"/>
          <w:szCs w:val="20"/>
          <w:lang w:val="es-ES"/>
        </w:rPr>
      </w:pPr>
      <w:r w:rsidRPr="00E62FCB">
        <w:rPr>
          <w:rFonts w:ascii="Verdana" w:eastAsia="Century Gothic" w:hAnsi="Verdana" w:cs="Century Gothic"/>
          <w:sz w:val="20"/>
          <w:szCs w:val="20"/>
          <w:lang w:val="es-ES"/>
        </w:rPr>
        <w:t>5. ¿El hecho de que una EPS o EPS-I administre recursos del Sistema General de Seguridad Social en Salud, incluyendo recursos provenientes de la UPC, implica por sí mismo que la totalidad de los contratos que celebre la entidad deban ser publicados en SECOP II?</w:t>
      </w:r>
    </w:p>
    <w:p w14:paraId="7049400C" w14:textId="77777777" w:rsidR="00501059" w:rsidRPr="00E62FCB" w:rsidRDefault="00501059" w:rsidP="00501059">
      <w:pPr>
        <w:spacing w:after="0" w:line="240" w:lineRule="auto"/>
        <w:ind w:left="709" w:right="709"/>
        <w:jc w:val="both"/>
        <w:rPr>
          <w:rFonts w:ascii="Verdana" w:eastAsia="Century Gothic" w:hAnsi="Verdana" w:cs="Century Gothic"/>
          <w:sz w:val="20"/>
          <w:szCs w:val="20"/>
          <w:lang w:val="es-ES"/>
        </w:rPr>
      </w:pPr>
      <w:r w:rsidRPr="00E62FCB">
        <w:rPr>
          <w:rFonts w:ascii="Verdana" w:eastAsia="Century Gothic" w:hAnsi="Verdana" w:cs="Century Gothic"/>
          <w:sz w:val="20"/>
          <w:szCs w:val="20"/>
          <w:lang w:val="es-ES"/>
        </w:rPr>
        <w:t xml:space="preserve">En caso negativo, se solicita precisar qué criterio jurídico debe utilizarse para determinar cuáles contratos se encuentran sujetos a dicha obligación, </w:t>
      </w:r>
    </w:p>
    <w:p w14:paraId="452AF7BB" w14:textId="77777777" w:rsidR="00501059" w:rsidRPr="00E62FCB" w:rsidRDefault="00501059" w:rsidP="00501059">
      <w:pPr>
        <w:spacing w:after="0" w:line="240" w:lineRule="auto"/>
        <w:ind w:left="709" w:right="709"/>
        <w:jc w:val="both"/>
        <w:rPr>
          <w:rFonts w:ascii="Verdana" w:eastAsia="Century Gothic" w:hAnsi="Verdana" w:cs="Century Gothic"/>
          <w:sz w:val="20"/>
          <w:szCs w:val="20"/>
          <w:lang w:val="es-ES"/>
        </w:rPr>
      </w:pPr>
      <w:r w:rsidRPr="00E62FCB">
        <w:rPr>
          <w:rFonts w:ascii="Verdana" w:eastAsia="Century Gothic" w:hAnsi="Verdana" w:cs="Century Gothic"/>
          <w:sz w:val="20"/>
          <w:szCs w:val="20"/>
          <w:lang w:val="es-ES"/>
        </w:rPr>
        <w:lastRenderedPageBreak/>
        <w:t>particularmente frente a la fuente y naturaleza de los recursos que financian cada contrato.</w:t>
      </w:r>
    </w:p>
    <w:p w14:paraId="1C6EA604" w14:textId="77777777" w:rsidR="00501059" w:rsidRPr="00E62FCB" w:rsidRDefault="00501059" w:rsidP="00501059">
      <w:pPr>
        <w:spacing w:after="0" w:line="240" w:lineRule="auto"/>
        <w:ind w:left="709" w:right="709"/>
        <w:jc w:val="both"/>
        <w:rPr>
          <w:rFonts w:ascii="Verdana" w:eastAsia="Century Gothic" w:hAnsi="Verdana" w:cs="Century Gothic"/>
          <w:sz w:val="20"/>
          <w:szCs w:val="20"/>
          <w:lang w:val="es-ES"/>
        </w:rPr>
      </w:pPr>
      <w:r w:rsidRPr="00E62FCB">
        <w:rPr>
          <w:rFonts w:ascii="Verdana" w:eastAsia="Century Gothic" w:hAnsi="Verdana" w:cs="Century Gothic"/>
          <w:sz w:val="20"/>
          <w:szCs w:val="20"/>
          <w:lang w:val="es-ES"/>
        </w:rPr>
        <w:t>6. Para efectos de determinar la eventual obligación de publicación en SECOP II, ¿debe establecerse contrato por contrato la fuente de financiación y naturaleza de los recursos utilizados, o existe una disposición que establezca que, por el solo hecho de tratarse de una EPS o EPS-I que administra recursos del SGSSS, toda su actividad contractual debe ser publicada en SECOP II?</w:t>
      </w:r>
    </w:p>
    <w:p w14:paraId="5BE39C34" w14:textId="77777777" w:rsidR="00501059" w:rsidRPr="00E62FCB" w:rsidRDefault="00501059" w:rsidP="00501059">
      <w:pPr>
        <w:spacing w:after="0" w:line="240" w:lineRule="auto"/>
        <w:ind w:left="709" w:right="709"/>
        <w:jc w:val="both"/>
        <w:rPr>
          <w:rFonts w:ascii="Verdana" w:eastAsia="Century Gothic" w:hAnsi="Verdana" w:cs="Century Gothic"/>
          <w:sz w:val="20"/>
          <w:szCs w:val="20"/>
          <w:lang w:val="es-ES"/>
        </w:rPr>
      </w:pPr>
      <w:r w:rsidRPr="00E62FCB">
        <w:rPr>
          <w:rFonts w:ascii="Verdana" w:eastAsia="Century Gothic" w:hAnsi="Verdana" w:cs="Century Gothic"/>
          <w:sz w:val="20"/>
          <w:szCs w:val="20"/>
          <w:lang w:val="es-ES"/>
        </w:rPr>
        <w:t>7. ¿Los contratos celebrados por las EPS para garantizar la prestación de servicios de salud a su población afiliada, particularmente los contratos suscritos con IPS, profesionales de la salud, proveedores de medicamentos, tecnologías y demás bienes y servicios asociados a la prestación de servicios de salud, se encuentran sometidos a una obligación especial de publicación en SECOP II?</w:t>
      </w:r>
    </w:p>
    <w:p w14:paraId="45EC4BEF" w14:textId="77777777" w:rsidR="00501059" w:rsidRPr="00E62FCB" w:rsidRDefault="00501059" w:rsidP="00501059">
      <w:pPr>
        <w:spacing w:after="0" w:line="240" w:lineRule="auto"/>
        <w:ind w:left="709" w:right="709"/>
        <w:jc w:val="both"/>
        <w:rPr>
          <w:rFonts w:ascii="Verdana" w:eastAsia="Century Gothic" w:hAnsi="Verdana" w:cs="Century Gothic"/>
          <w:sz w:val="20"/>
          <w:szCs w:val="20"/>
          <w:lang w:val="es-ES"/>
        </w:rPr>
      </w:pPr>
      <w:r w:rsidRPr="00E62FCB">
        <w:rPr>
          <w:rFonts w:ascii="Verdana" w:eastAsia="Century Gothic" w:hAnsi="Verdana" w:cs="Century Gothic"/>
          <w:sz w:val="20"/>
          <w:szCs w:val="20"/>
          <w:lang w:val="es-ES"/>
        </w:rPr>
        <w:t>En caso afirmativo, se solicita indicar la norma sectorial específica que establece dicha obligación.</w:t>
      </w:r>
    </w:p>
    <w:p w14:paraId="1529EFE3" w14:textId="77777777" w:rsidR="00501059" w:rsidRPr="00E62FCB" w:rsidRDefault="00501059" w:rsidP="00501059">
      <w:pPr>
        <w:spacing w:after="0" w:line="240" w:lineRule="auto"/>
        <w:ind w:left="709" w:right="709"/>
        <w:jc w:val="both"/>
        <w:rPr>
          <w:rFonts w:ascii="Verdana" w:eastAsia="Century Gothic" w:hAnsi="Verdana" w:cs="Century Gothic"/>
          <w:sz w:val="20"/>
          <w:szCs w:val="20"/>
          <w:lang w:val="es-ES"/>
        </w:rPr>
      </w:pPr>
      <w:r w:rsidRPr="00E62FCB">
        <w:rPr>
          <w:rFonts w:ascii="Verdana" w:eastAsia="Century Gothic" w:hAnsi="Verdana" w:cs="Century Gothic"/>
          <w:sz w:val="20"/>
          <w:szCs w:val="20"/>
          <w:lang w:val="es-ES"/>
        </w:rPr>
        <w:t>8. ¿Existe dentro del régimen jurídico del Sistema General de Seguridad Social en Salud una disposición especial que regule la publicidad, registro, reporte o trazabilidad de la contratación realizada por las EPS y EPS-I y que, por razón de su especialidad, determine la forma en que debe cumplirse dicha obligación frente al SECOP?</w:t>
      </w:r>
    </w:p>
    <w:p w14:paraId="04E485B3" w14:textId="77777777" w:rsidR="00501059" w:rsidRPr="004446AD" w:rsidRDefault="00501059" w:rsidP="00501059">
      <w:pPr>
        <w:spacing w:after="0" w:line="240" w:lineRule="auto"/>
        <w:ind w:left="709" w:right="709"/>
        <w:jc w:val="both"/>
        <w:rPr>
          <w:rFonts w:ascii="Verdana" w:eastAsia="Century Gothic" w:hAnsi="Verdana" w:cs="Century Gothic"/>
          <w:sz w:val="20"/>
          <w:szCs w:val="20"/>
          <w:lang w:val="es-ES"/>
        </w:rPr>
      </w:pPr>
      <w:r w:rsidRPr="00E62FCB">
        <w:rPr>
          <w:rFonts w:ascii="Verdana" w:eastAsia="Century Gothic" w:hAnsi="Verdana" w:cs="Century Gothic"/>
          <w:sz w:val="20"/>
          <w:szCs w:val="20"/>
          <w:lang w:val="es-ES"/>
        </w:rPr>
        <w:t>9. En caso de que una EPS o EPS-I se encuentre obligada a publicar determinada información contractual en SECOP II, ¿la obligación comprende todos los documentos de las etapas precontractual, contractual y poscontractual, o existen</w:t>
      </w:r>
      <w:r w:rsidRPr="004446AD">
        <w:t xml:space="preserve"> </w:t>
      </w:r>
      <w:r w:rsidRPr="004446AD">
        <w:rPr>
          <w:rFonts w:ascii="Verdana" w:eastAsia="Century Gothic" w:hAnsi="Verdana" w:cs="Century Gothic"/>
          <w:sz w:val="20"/>
          <w:szCs w:val="20"/>
          <w:lang w:val="es-ES"/>
        </w:rPr>
        <w:t>excepciones determinadas por la naturaleza del contrato, la fuente de financiación, el objeto contractual o la existencia de información sometida a reserva legal?</w:t>
      </w:r>
    </w:p>
    <w:p w14:paraId="4DE9DA46" w14:textId="77777777" w:rsidR="00501059" w:rsidRPr="00F47E0F" w:rsidRDefault="00501059" w:rsidP="00501059">
      <w:pPr>
        <w:spacing w:after="0" w:line="240" w:lineRule="auto"/>
        <w:ind w:left="709" w:right="709"/>
        <w:jc w:val="both"/>
        <w:rPr>
          <w:rFonts w:ascii="Verdana" w:hAnsi="Verdana" w:cs="Arial"/>
          <w:sz w:val="20"/>
          <w:szCs w:val="20"/>
          <w:shd w:val="clear" w:color="auto" w:fill="FFFFFF"/>
          <w:lang w:val="es-MX"/>
        </w:rPr>
      </w:pPr>
      <w:r w:rsidRPr="004446AD">
        <w:rPr>
          <w:rFonts w:ascii="Verdana" w:eastAsia="Century Gothic" w:hAnsi="Verdana" w:cs="Century Gothic"/>
          <w:sz w:val="20"/>
          <w:szCs w:val="20"/>
          <w:lang w:val="es-ES"/>
        </w:rPr>
        <w:t>10. Finalmente, se solicita al Ministerio precisar si, desde la perspectiva del régimen especial del Sistema General de Seguridad Social en Salud, resulta jurídicamente procedente afirmar que una EPS o EPS-I incurre en incumplimiento por no publicar en SECOP II la totalidad de los contratos celebrados durante una vigencia, sin que</w:t>
      </w:r>
      <w:r>
        <w:rPr>
          <w:rFonts w:ascii="Verdana" w:eastAsia="Century Gothic" w:hAnsi="Verdana" w:cs="Century Gothic"/>
          <w:sz w:val="20"/>
          <w:szCs w:val="20"/>
          <w:lang w:val="es-ES"/>
        </w:rPr>
        <w:t xml:space="preserve"> </w:t>
      </w:r>
      <w:r w:rsidRPr="004446AD">
        <w:rPr>
          <w:rFonts w:ascii="Verdana" w:eastAsia="Century Gothic" w:hAnsi="Verdana" w:cs="Century Gothic"/>
          <w:sz w:val="20"/>
          <w:szCs w:val="20"/>
          <w:lang w:val="es-ES"/>
        </w:rPr>
        <w:t>previamente se haya determinado respecto de cada contrato su fuente de financiación, naturaleza jurídica, régimen contractual aplicable y existencia de una norma expresa que imponga dicha obligación</w:t>
      </w:r>
      <w:r w:rsidRPr="00F47E0F">
        <w:rPr>
          <w:rFonts w:ascii="Verdana" w:hAnsi="Verdana" w:cs="Arial"/>
          <w:sz w:val="20"/>
          <w:szCs w:val="20"/>
          <w:shd w:val="clear" w:color="auto" w:fill="FFFFFF"/>
          <w:lang w:val="es-MX"/>
        </w:rPr>
        <w:t>”.</w:t>
      </w:r>
    </w:p>
    <w:p w14:paraId="1F679CC1" w14:textId="77777777" w:rsidR="00501059" w:rsidRPr="00F47E0F" w:rsidRDefault="00501059" w:rsidP="00501059">
      <w:pPr>
        <w:spacing w:after="120" w:line="276" w:lineRule="auto"/>
        <w:ind w:firstLine="709"/>
        <w:jc w:val="both"/>
        <w:rPr>
          <w:rFonts w:ascii="Verdana" w:eastAsia="Calibri" w:hAnsi="Verdana" w:cs="Arial"/>
          <w:lang w:val="es-ES" w:eastAsia="es-ES"/>
        </w:rPr>
      </w:pPr>
    </w:p>
    <w:p w14:paraId="64F54C1D" w14:textId="77777777" w:rsidR="00501059" w:rsidRPr="00F47E0F" w:rsidRDefault="00501059" w:rsidP="00501059">
      <w:pPr>
        <w:spacing w:after="120" w:line="276" w:lineRule="auto"/>
        <w:ind w:firstLine="709"/>
        <w:jc w:val="both"/>
        <w:rPr>
          <w:rFonts w:ascii="Verdana" w:eastAsia="Calibri" w:hAnsi="Verdana" w:cs="Arial"/>
          <w:szCs w:val="24"/>
          <w:lang w:val="es-ES_tradnl" w:eastAsia="es-ES_tradnl"/>
        </w:rPr>
      </w:pPr>
      <w:r w:rsidRPr="00F47E0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F47E0F">
        <w:rPr>
          <w:rFonts w:ascii="Verdana" w:eastAsia="Calibri" w:hAnsi="Verdana" w:cs="Arial"/>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47E0F">
        <w:rPr>
          <w:rFonts w:ascii="Verdana" w:eastAsia="Calibri" w:hAnsi="Verdana" w:cs="Arial"/>
          <w:szCs w:val="24"/>
          <w:lang w:val="es-ES_tradnl" w:eastAsia="es-ES_tradnl"/>
        </w:rPr>
        <w:tab/>
      </w:r>
    </w:p>
    <w:p w14:paraId="3175D0A0" w14:textId="77777777" w:rsidR="00501059" w:rsidRPr="00F47E0F" w:rsidRDefault="00501059" w:rsidP="00501059">
      <w:pPr>
        <w:spacing w:after="0" w:line="276" w:lineRule="auto"/>
        <w:ind w:firstLine="709"/>
        <w:jc w:val="both"/>
        <w:rPr>
          <w:rFonts w:ascii="Verdana" w:eastAsia="Calibri" w:hAnsi="Verdana" w:cs="Arial"/>
          <w:lang w:val="es-ES" w:eastAsia="es-ES"/>
        </w:rPr>
      </w:pPr>
      <w:r w:rsidRPr="00F47E0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FD146AC" w14:textId="77777777" w:rsidR="00501059" w:rsidRPr="00F47E0F" w:rsidRDefault="00501059" w:rsidP="00501059">
      <w:pPr>
        <w:spacing w:after="0" w:line="276" w:lineRule="auto"/>
        <w:ind w:firstLine="709"/>
        <w:jc w:val="both"/>
        <w:rPr>
          <w:rFonts w:ascii="Verdana" w:eastAsia="Calibri" w:hAnsi="Verdana" w:cs="Arial"/>
          <w:lang w:val="es-ES" w:eastAsia="es-ES"/>
        </w:rPr>
      </w:pPr>
    </w:p>
    <w:p w14:paraId="6A90DEF7" w14:textId="77777777" w:rsidR="00501059" w:rsidRPr="00F47E0F" w:rsidRDefault="00501059" w:rsidP="00501059">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F47E0F">
        <w:rPr>
          <w:rFonts w:ascii="Verdana" w:eastAsia="Century Gothic" w:hAnsi="Verdana" w:cs="Century Gothic"/>
          <w:b/>
          <w:bCs/>
          <w:lang w:val="es-ES"/>
        </w:rPr>
        <w:t>Problemas planteados:</w:t>
      </w:r>
    </w:p>
    <w:p w14:paraId="52C6A98F" w14:textId="77777777" w:rsidR="00501059" w:rsidRPr="00F47E0F" w:rsidRDefault="00501059" w:rsidP="00501059">
      <w:pPr>
        <w:tabs>
          <w:tab w:val="left" w:pos="426"/>
        </w:tabs>
        <w:spacing w:after="0" w:line="276" w:lineRule="auto"/>
        <w:jc w:val="both"/>
        <w:rPr>
          <w:rFonts w:ascii="Verdana" w:eastAsia="Century Gothic" w:hAnsi="Verdana" w:cs="Century Gothic"/>
          <w:lang w:val="es-ES"/>
        </w:rPr>
      </w:pPr>
    </w:p>
    <w:p w14:paraId="2A63A825" w14:textId="52457FBB" w:rsidR="00501059" w:rsidRPr="00F47E0F" w:rsidRDefault="00501059" w:rsidP="00501059">
      <w:pPr>
        <w:spacing w:after="0" w:line="276" w:lineRule="auto"/>
        <w:jc w:val="both"/>
        <w:rPr>
          <w:rFonts w:ascii="Verdana" w:eastAsia="Century Gothic" w:hAnsi="Verdana" w:cs="Century Gothic"/>
        </w:rPr>
      </w:pPr>
      <w:r w:rsidRPr="00F47E0F">
        <w:rPr>
          <w:rFonts w:ascii="Verdana" w:eastAsia="Century Gothic" w:hAnsi="Verdana" w:cs="Century Gothic"/>
        </w:rPr>
        <w:t>De acuerdo con el contenido de su solicitud, esta Agencia resolverá los siguientes problemas jurídicos: i) ¿</w:t>
      </w:r>
      <w:r w:rsidR="00FE6B85">
        <w:rPr>
          <w:rFonts w:ascii="Verdana" w:eastAsia="Century Gothic" w:hAnsi="Verdana" w:cs="Century Gothic"/>
        </w:rPr>
        <w:t xml:space="preserve">Cuál es el </w:t>
      </w:r>
      <w:r w:rsidR="00FE6B85" w:rsidRPr="00FE6B85">
        <w:rPr>
          <w:rFonts w:ascii="Verdana" w:eastAsia="Century Gothic" w:hAnsi="Verdana" w:cs="Century Gothic"/>
        </w:rPr>
        <w:t>fundamento y alcance del deber de publicidad de las EPS y EPS-I respecto de</w:t>
      </w:r>
      <w:r w:rsidR="00FE6B85">
        <w:rPr>
          <w:rFonts w:ascii="Verdana" w:eastAsia="Century Gothic" w:hAnsi="Verdana" w:cs="Century Gothic"/>
        </w:rPr>
        <w:t xml:space="preserve"> la</w:t>
      </w:r>
      <w:r w:rsidR="00FE6B85" w:rsidRPr="00FE6B85">
        <w:rPr>
          <w:rFonts w:ascii="Verdana" w:eastAsia="Century Gothic" w:hAnsi="Verdana" w:cs="Century Gothic"/>
        </w:rPr>
        <w:t xml:space="preserve"> contratación financiada con recursos público</w:t>
      </w:r>
      <w:r w:rsidR="00FE6B85">
        <w:rPr>
          <w:rFonts w:ascii="Verdana" w:eastAsia="Century Gothic" w:hAnsi="Verdana" w:cs="Century Gothic"/>
        </w:rPr>
        <w:t>s</w:t>
      </w:r>
      <w:r w:rsidRPr="00F47E0F">
        <w:rPr>
          <w:rFonts w:ascii="Verdana" w:eastAsia="Century Gothic" w:hAnsi="Verdana" w:cs="Century Gothic"/>
        </w:rPr>
        <w:t xml:space="preserve">?, </w:t>
      </w:r>
      <w:proofErr w:type="spellStart"/>
      <w:r w:rsidRPr="00F47E0F">
        <w:rPr>
          <w:rFonts w:ascii="Verdana" w:eastAsia="Century Gothic" w:hAnsi="Verdana" w:cs="Century Gothic"/>
        </w:rPr>
        <w:t>ii</w:t>
      </w:r>
      <w:proofErr w:type="spellEnd"/>
      <w:r w:rsidRPr="00F47E0F">
        <w:rPr>
          <w:rFonts w:ascii="Verdana" w:eastAsia="Century Gothic" w:hAnsi="Verdana" w:cs="Century Gothic"/>
        </w:rPr>
        <w:t xml:space="preserve">) </w:t>
      </w:r>
      <w:r w:rsidR="003C39BA" w:rsidRPr="003C39BA">
        <w:rPr>
          <w:rFonts w:ascii="Verdana" w:eastAsia="Century Gothic" w:hAnsi="Verdana" w:cs="Century Gothic"/>
        </w:rPr>
        <w:t>¿Qué información se encuentra exceptuada de publicación por reserva legal?</w:t>
      </w:r>
      <w:r>
        <w:rPr>
          <w:rFonts w:ascii="Verdana" w:eastAsia="Century Gothic" w:hAnsi="Verdana" w:cs="Century Gothic"/>
        </w:rPr>
        <w:t xml:space="preserve">, y </w:t>
      </w:r>
      <w:proofErr w:type="spellStart"/>
      <w:r>
        <w:rPr>
          <w:rFonts w:ascii="Verdana" w:eastAsia="Century Gothic" w:hAnsi="Verdana" w:cs="Century Gothic"/>
        </w:rPr>
        <w:t>iii</w:t>
      </w:r>
      <w:proofErr w:type="spellEnd"/>
      <w:r>
        <w:rPr>
          <w:rFonts w:ascii="Verdana" w:eastAsia="Century Gothic" w:hAnsi="Verdana" w:cs="Century Gothic"/>
        </w:rPr>
        <w:t xml:space="preserve">) </w:t>
      </w:r>
      <w:r w:rsidR="00B14D9B" w:rsidRPr="00B14D9B">
        <w:rPr>
          <w:rFonts w:ascii="Verdana" w:eastAsia="Century Gothic" w:hAnsi="Verdana" w:cs="Century Gothic"/>
        </w:rPr>
        <w:t>¿Cuándo resulta aplicable el artículo 53 de la Ley 2195 de 2022 y qué diferencia existe entre publicar información contractual y adelantar transaccionalmente un proceso en SECOP II?</w:t>
      </w:r>
    </w:p>
    <w:p w14:paraId="4C365B13" w14:textId="609BA317" w:rsidR="00501059" w:rsidRPr="00D53E5D" w:rsidRDefault="00501059" w:rsidP="00501059">
      <w:pPr>
        <w:spacing w:after="0" w:line="276" w:lineRule="auto"/>
        <w:jc w:val="both"/>
        <w:rPr>
          <w:rFonts w:ascii="Verdana" w:eastAsia="Calibri" w:hAnsi="Verdana" w:cs="Arial"/>
        </w:rPr>
      </w:pPr>
    </w:p>
    <w:p w14:paraId="5C50B441" w14:textId="77777777" w:rsidR="00501059" w:rsidRPr="00F47E0F" w:rsidRDefault="00501059" w:rsidP="0050105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Respuestas:</w:t>
      </w:r>
    </w:p>
    <w:p w14:paraId="1F1FFEFA" w14:textId="77777777" w:rsidR="00501059" w:rsidRPr="00F47E0F" w:rsidRDefault="00501059" w:rsidP="005010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01059" w:rsidRPr="00F47E0F" w14:paraId="4308B484" w14:textId="77777777" w:rsidTr="007D2EE7">
        <w:tc>
          <w:tcPr>
            <w:tcW w:w="8828" w:type="dxa"/>
          </w:tcPr>
          <w:p w14:paraId="7CAE21BC" w14:textId="77777777" w:rsidR="008563BC" w:rsidRPr="003F62F9" w:rsidRDefault="00501059" w:rsidP="008563BC">
            <w:pPr>
              <w:spacing w:after="120" w:line="276" w:lineRule="auto"/>
              <w:jc w:val="both"/>
              <w:rPr>
                <w:rFonts w:ascii="Verdana" w:eastAsia="Calibri" w:hAnsi="Verdana" w:cs="Times New Roman"/>
              </w:rPr>
            </w:pPr>
            <w:r w:rsidRPr="00F47E0F">
              <w:rPr>
                <w:rFonts w:ascii="Verdana" w:eastAsia="Calibri" w:hAnsi="Verdana" w:cs="Arial"/>
                <w:lang w:val="es-ES"/>
              </w:rPr>
              <w:t xml:space="preserve">i) </w:t>
            </w:r>
            <w:r w:rsidR="008563BC" w:rsidRPr="003F62F9">
              <w:rPr>
                <w:rFonts w:ascii="Verdana" w:eastAsia="Calibri" w:hAnsi="Verdana" w:cs="Times New Roman"/>
              </w:rPr>
              <w:t>Frente a la obligación de las Entidades Promotoras de Salud –EPS– de publicar su contratación en el Sistema Electrónico para la Contratación Pública –SECOP–, resulta pertinente señalar que el análisis debe partir de su naturaleza jurídica y de la fuente de los recursos con los cuales se financia la contratación. Al respecto, el artículo 180 de la Ley 100 de 1993 establece que las EPS pueden ser de naturaleza pública, privada o mixta. No obstante, independientemente de su naturaleza jurídica, las EPS, en su calidad de actores del Sistema General de Seguridad Social en Salud, administran recursos públicos, circunstancia que ha sido reconocida por la Agencia Nacional de Contratación Pública –Colombia Compra Eficiente–.</w:t>
            </w:r>
          </w:p>
          <w:p w14:paraId="3F51198A" w14:textId="77777777" w:rsidR="008563BC" w:rsidRPr="003F62F9" w:rsidRDefault="008563BC" w:rsidP="008563BC">
            <w:pPr>
              <w:widowControl w:val="0"/>
              <w:autoSpaceDE w:val="0"/>
              <w:autoSpaceDN w:val="0"/>
              <w:spacing w:after="120" w:line="276" w:lineRule="auto"/>
              <w:ind w:firstLine="743"/>
              <w:jc w:val="both"/>
              <w:rPr>
                <w:rFonts w:ascii="Verdana" w:hAnsi="Verdana"/>
              </w:rPr>
            </w:pPr>
            <w:r w:rsidRPr="003F62F9">
              <w:rPr>
                <w:rFonts w:ascii="Verdana" w:hAnsi="Verdana"/>
              </w:rPr>
              <w:t xml:space="preserve">En este sentido, el deber de publicidad de la contratación no depende </w:t>
            </w:r>
            <w:r w:rsidRPr="003F62F9">
              <w:rPr>
                <w:rFonts w:ascii="Verdana" w:hAnsi="Verdana"/>
              </w:rPr>
              <w:lastRenderedPageBreak/>
              <w:t>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254DA0DF" w14:textId="77777777" w:rsidR="008563BC" w:rsidRPr="003F62F9" w:rsidRDefault="008563BC" w:rsidP="008563BC">
            <w:pPr>
              <w:widowControl w:val="0"/>
              <w:autoSpaceDE w:val="0"/>
              <w:autoSpaceDN w:val="0"/>
              <w:spacing w:after="120" w:line="276" w:lineRule="auto"/>
              <w:ind w:firstLine="743"/>
              <w:jc w:val="both"/>
              <w:rPr>
                <w:rFonts w:ascii="Verdana" w:eastAsia="Calibri" w:hAnsi="Verdana" w:cs="Times New Roman"/>
              </w:rPr>
            </w:pPr>
            <w:r w:rsidRPr="003F62F9">
              <w:rPr>
                <w:rFonts w:ascii="Verdana" w:eastAsia="Calibri" w:hAnsi="Verdana" w:cs="Times New Roman"/>
              </w:rPr>
              <w:t>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encuentre sometida a un régimen contractual de derecho privado no excluye, por sí mismo, el deber de publicidad respecto de la contratación financiada con recursos públicos.</w:t>
            </w:r>
          </w:p>
          <w:p w14:paraId="2E214768" w14:textId="77777777" w:rsidR="008563BC" w:rsidRPr="003F62F9" w:rsidRDefault="008563BC" w:rsidP="008563BC">
            <w:pPr>
              <w:widowControl w:val="0"/>
              <w:autoSpaceDE w:val="0"/>
              <w:autoSpaceDN w:val="0"/>
              <w:spacing w:after="120" w:line="276" w:lineRule="auto"/>
              <w:ind w:firstLine="743"/>
              <w:jc w:val="both"/>
              <w:rPr>
                <w:rFonts w:ascii="Verdana" w:eastAsia="Calibri" w:hAnsi="Verdana" w:cs="Times New Roman"/>
              </w:rPr>
            </w:pPr>
            <w:r w:rsidRPr="003F62F9">
              <w:rPr>
                <w:rFonts w:ascii="Verdana" w:eastAsia="Calibri" w:hAnsi="Verdana" w:cs="Times New Roman"/>
              </w:rPr>
              <w:t>Ahora bien, debe precisarse que el alcance de esta obligación no necesariamente es idéntico al que corresponde a las entidades sometidas al Estatuto General de Contratación. El Consejo de Estado ha diferenciado el deber de publicidad de las entidades sometidas a dicho Estatuto frente al de aquellas que cuentan con regímenes especiales o se rigen por el derecho privado. En esta línea, el análisis debe distinguir entre la obligación de publicar la información contractual financiada con recursos públicos y la pretensión de exigir a una EPS la publicación de la totalidad de su actividad contractual</w:t>
            </w:r>
          </w:p>
          <w:p w14:paraId="4DBD23B1" w14:textId="77777777" w:rsidR="008563BC" w:rsidRPr="00977DED" w:rsidRDefault="008563BC" w:rsidP="008563BC">
            <w:pPr>
              <w:widowControl w:val="0"/>
              <w:autoSpaceDE w:val="0"/>
              <w:autoSpaceDN w:val="0"/>
              <w:spacing w:after="120" w:line="276" w:lineRule="auto"/>
              <w:ind w:firstLine="743"/>
              <w:jc w:val="both"/>
              <w:rPr>
                <w:rFonts w:ascii="Verdana" w:eastAsia="Calibri" w:hAnsi="Verdana" w:cs="Times New Roman"/>
              </w:rPr>
            </w:pPr>
            <w:r w:rsidRPr="001B7B03">
              <w:rPr>
                <w:rFonts w:ascii="Verdana" w:eastAsia="Calibri" w:hAnsi="Verdana" w:cs="Times New Roman"/>
              </w:rPr>
              <w:t xml:space="preserve">En el caso específico de las EPS-I, el deber de publicidad debe resolverse a partir del origen de los recursos y no de la naturaleza del contratante. Cuando la EPS-I tenga naturaleza de entidad estatal y cuente con un régimen contractual excepcional al EGCAP, le será aplicable el artículo 53 de la Ley 2195 de 2022, que impone a las entidades estatales exceptuadas publicar en el SECOP II los documentos de su actividad contractual. Cuando se trate de un sujeto de naturaleza privada o especial —como ocurre con las EPS-I cuya base es una asociación de cabildos—, el deber de publicar la contratación financiada con recursos públicos no desaparece: se fundamenta en el literal c) del artículo 3 de la Ley 1150 de 2007, en la Ley 1712 de 2014 </w:t>
            </w:r>
            <w:r w:rsidRPr="001B7B03">
              <w:rPr>
                <w:rFonts w:ascii="Verdana" w:eastAsia="Calibri" w:hAnsi="Verdana" w:cs="Times New Roman"/>
              </w:rPr>
              <w:lastRenderedPageBreak/>
              <w:t xml:space="preserve">y en el Decreto 1081 de 2015, y se cumple a través del </w:t>
            </w:r>
            <w:r>
              <w:rPr>
                <w:rFonts w:ascii="Verdana" w:eastAsia="Calibri" w:hAnsi="Verdana" w:cs="Times New Roman"/>
              </w:rPr>
              <w:t>“</w:t>
            </w:r>
            <w:r w:rsidRPr="001B7B03">
              <w:rPr>
                <w:rFonts w:ascii="Verdana" w:eastAsia="Calibri" w:hAnsi="Verdana" w:cs="Times New Roman"/>
              </w:rPr>
              <w:t>módulo de régimen especial</w:t>
            </w:r>
            <w:r>
              <w:rPr>
                <w:rFonts w:ascii="Verdana" w:eastAsia="Calibri" w:hAnsi="Verdana" w:cs="Times New Roman"/>
              </w:rPr>
              <w:t>”</w:t>
            </w:r>
            <w:r w:rsidRPr="001B7B03">
              <w:rPr>
                <w:rFonts w:ascii="Verdana" w:eastAsia="Calibri" w:hAnsi="Verdana" w:cs="Times New Roman"/>
              </w:rPr>
              <w:t xml:space="preserve"> del SECOP II. En uno y otro caso, los contratos que la EPS-I suscriba con las IPS de su red para la prestación de servicios de salud, por ejecutarse con cargo a la UPC u otros recursos del Sistema, se encuentran sujetos al deber de publicidad, sin que el régimen de derecho privado que gobierna la relación de aseguramiento constituya, por sí solo, una excepción.</w:t>
            </w:r>
          </w:p>
          <w:p w14:paraId="27A3CEBF" w14:textId="4DCC8C7C" w:rsidR="00501059" w:rsidRPr="00F47E0F" w:rsidRDefault="00501059" w:rsidP="007D2EE7">
            <w:pPr>
              <w:spacing w:after="120" w:line="276" w:lineRule="auto"/>
              <w:ind w:firstLine="709"/>
              <w:jc w:val="both"/>
              <w:rPr>
                <w:rFonts w:ascii="Verdana" w:eastAsia="Calibri" w:hAnsi="Verdana" w:cs="Arial"/>
              </w:rPr>
            </w:pPr>
            <w:r w:rsidRPr="00F47E0F">
              <w:rPr>
                <w:rFonts w:ascii="Verdana" w:eastAsia="Calibri" w:hAnsi="Verdana" w:cs="Arial"/>
                <w:lang w:val="es-ES"/>
              </w:rPr>
              <w:t xml:space="preserve">En consecuencia, si la entidad de régimen especial publica en el SECOP </w:t>
            </w:r>
            <w:r w:rsidR="00CA20C6">
              <w:rPr>
                <w:rFonts w:ascii="Verdana" w:eastAsia="Calibri" w:hAnsi="Verdana" w:cs="Arial"/>
                <w:lang w:val="es-ES"/>
              </w:rPr>
              <w:t>II</w:t>
            </w:r>
            <w:r w:rsidRPr="00F47E0F">
              <w:rPr>
                <w:rFonts w:ascii="Verdana" w:eastAsia="Calibri" w:hAnsi="Verdana" w:cs="Arial"/>
                <w:lang w:val="es-ES"/>
              </w:rPr>
              <w:t xml:space="preserve"> </w:t>
            </w:r>
            <w:r w:rsidRPr="00F47E0F">
              <w:rPr>
                <w:rFonts w:ascii="Verdana" w:eastAsia="Calibri" w:hAnsi="Verdana" w:cs="Arial"/>
              </w:rPr>
              <w:t>tiene dos opciones según lo mencionado por la Circular Externa No. 2 de 2024 de esta Agencia:</w:t>
            </w:r>
          </w:p>
          <w:p w14:paraId="523F4376" w14:textId="77777777" w:rsidR="00501059" w:rsidRPr="00F47E0F" w:rsidRDefault="00501059" w:rsidP="007D2EE7">
            <w:pPr>
              <w:ind w:left="709" w:right="709"/>
              <w:jc w:val="both"/>
              <w:rPr>
                <w:rFonts w:ascii="Verdana" w:eastAsia="Times New Roman" w:hAnsi="Verdana" w:cs="Arial"/>
                <w:i/>
                <w:iCs/>
                <w:sz w:val="21"/>
                <w:szCs w:val="21"/>
                <w:lang w:eastAsia="es-CO"/>
              </w:rPr>
            </w:pPr>
            <w:r w:rsidRPr="00F47E0F">
              <w:rPr>
                <w:rFonts w:ascii="Verdana" w:eastAsia="Times New Roman" w:hAnsi="Verdana" w:cs="Arial"/>
                <w:i/>
                <w:iCs/>
                <w:sz w:val="21"/>
                <w:szCs w:val="21"/>
                <w:lang w:eastAsia="es-CO"/>
              </w:rPr>
              <w:t>“Contratación Régimen Especial (con ofertas): Permite a las entidades gestionar sus procesos competitivos de contratación. Mediante este módulo las entidades pueden adelantar el proceso de contratación de manera transaccional, es decir, que a través de este módulo las Entidades Estatales pueden estructurar el proceso de contratación, recibir ofertas de los proveedores, generar el contrato de electrónico y realizar la gestión contractual.</w:t>
            </w:r>
          </w:p>
          <w:p w14:paraId="600BEA0B" w14:textId="77777777" w:rsidR="00501059" w:rsidRPr="00F47E0F" w:rsidRDefault="00501059" w:rsidP="007D2EE7">
            <w:pPr>
              <w:ind w:left="709" w:right="709"/>
              <w:jc w:val="both"/>
              <w:rPr>
                <w:rFonts w:ascii="Verdana" w:eastAsia="Times New Roman" w:hAnsi="Verdana" w:cs="Arial"/>
                <w:i/>
                <w:iCs/>
                <w:sz w:val="21"/>
                <w:szCs w:val="21"/>
                <w:lang w:eastAsia="es-CO"/>
              </w:rPr>
            </w:pPr>
            <w:r w:rsidRPr="00F47E0F">
              <w:rPr>
                <w:rFonts w:ascii="Verdana" w:eastAsia="Times New Roman" w:hAnsi="Verdana" w:cs="Arial"/>
                <w:i/>
                <w:iCs/>
                <w:sz w:val="21"/>
                <w:szCs w:val="21"/>
                <w:lang w:eastAsia="es-CO"/>
              </w:rPr>
              <w:t xml:space="preserve">  </w:t>
            </w:r>
          </w:p>
          <w:p w14:paraId="441EA294" w14:textId="77777777" w:rsidR="00501059" w:rsidRPr="00F47E0F" w:rsidRDefault="00501059" w:rsidP="007D2EE7">
            <w:pPr>
              <w:ind w:left="709" w:right="709"/>
              <w:jc w:val="both"/>
              <w:rPr>
                <w:rFonts w:ascii="Verdana" w:eastAsia="Times New Roman" w:hAnsi="Verdana" w:cs="Arial"/>
                <w:i/>
                <w:iCs/>
                <w:sz w:val="21"/>
                <w:szCs w:val="21"/>
                <w:lang w:eastAsia="es-CO"/>
              </w:rPr>
            </w:pPr>
            <w:r w:rsidRPr="00F47E0F">
              <w:rPr>
                <w:rFonts w:ascii="Verdana" w:eastAsia="Times New Roman" w:hAnsi="Verdana" w:cs="Arial"/>
                <w:i/>
                <w:iCs/>
                <w:sz w:val="21"/>
                <w:szCs w:val="21"/>
                <w:lang w:eastAsia="es-CO"/>
              </w:rPr>
              <w:t xml:space="preserve">Contratación Régimen Especial (sin ofertas): Este módulo permite a </w:t>
            </w:r>
          </w:p>
          <w:p w14:paraId="664FE7E6" w14:textId="3B3656CD" w:rsidR="00501059" w:rsidRPr="00F47E0F" w:rsidRDefault="00501059" w:rsidP="007D2EE7">
            <w:pPr>
              <w:ind w:left="709" w:right="709"/>
              <w:jc w:val="both"/>
              <w:rPr>
                <w:rFonts w:ascii="Verdana" w:eastAsia="Times New Roman" w:hAnsi="Verdana" w:cs="Arial"/>
                <w:i/>
                <w:iCs/>
                <w:sz w:val="21"/>
                <w:szCs w:val="21"/>
                <w:lang w:eastAsia="es-CO"/>
              </w:rPr>
            </w:pPr>
            <w:r w:rsidRPr="00F47E0F">
              <w:rPr>
                <w:rFonts w:ascii="Verdana" w:eastAsia="Times New Roman" w:hAnsi="Verdana" w:cs="Arial"/>
                <w:i/>
                <w:iCs/>
                <w:sz w:val="21"/>
                <w:szCs w:val="21"/>
                <w:lang w:eastAsia="es-CO"/>
              </w:rPr>
              <w:t>las entidades gestionar sus procesos de selección directos. Asimismo, este módulo permite estructurar los procesos de contratación, publicar documentos generados por fuera de la plataforma y realizar la gestión contractual en línea”.</w:t>
            </w:r>
          </w:p>
          <w:p w14:paraId="22803E1F" w14:textId="77777777" w:rsidR="00501059" w:rsidRDefault="00501059" w:rsidP="007D2EE7">
            <w:pPr>
              <w:ind w:left="709" w:right="709"/>
              <w:jc w:val="both"/>
              <w:rPr>
                <w:rFonts w:ascii="Verdana" w:eastAsia="Times New Roman" w:hAnsi="Verdana" w:cs="Arial"/>
                <w:i/>
                <w:iCs/>
                <w:sz w:val="21"/>
                <w:szCs w:val="21"/>
                <w:lang w:eastAsia="es-CO"/>
              </w:rPr>
            </w:pPr>
          </w:p>
          <w:p w14:paraId="5AF79EEF" w14:textId="45BF8FBC" w:rsidR="00EA6DF6" w:rsidRPr="009C69F7" w:rsidRDefault="00EA6DF6" w:rsidP="009C69F7">
            <w:pPr>
              <w:spacing w:after="120" w:line="276" w:lineRule="auto"/>
              <w:ind w:firstLine="709"/>
              <w:jc w:val="both"/>
              <w:rPr>
                <w:rFonts w:ascii="Verdana" w:eastAsia="Calibri" w:hAnsi="Verdana" w:cs="Arial"/>
                <w:lang w:val="es-ES" w:eastAsia="es-ES"/>
              </w:rPr>
            </w:pPr>
            <w:r w:rsidRPr="009C69F7">
              <w:rPr>
                <w:rFonts w:ascii="Verdana" w:eastAsia="Calibri" w:hAnsi="Verdana" w:cs="Arial"/>
                <w:lang w:val="es-ES" w:eastAsia="es-ES"/>
              </w:rPr>
              <w:t xml:space="preserve">Por lo anterior, se concluye que </w:t>
            </w:r>
            <w:r w:rsidR="006A48ED">
              <w:rPr>
                <w:rFonts w:ascii="Verdana" w:eastAsia="Calibri" w:hAnsi="Verdana" w:cs="Arial"/>
                <w:lang w:val="es-ES" w:eastAsia="es-ES"/>
              </w:rPr>
              <w:t>c</w:t>
            </w:r>
            <w:r w:rsidR="00EE2A35" w:rsidRPr="009C69F7">
              <w:rPr>
                <w:rFonts w:ascii="Verdana" w:eastAsia="Calibri" w:hAnsi="Verdana" w:cs="Arial"/>
                <w:lang w:val="es-ES" w:eastAsia="es-ES"/>
              </w:rPr>
              <w:t xml:space="preserve">uando la EPS-I tenga naturaleza de entidad estatal y cuente con un régimen contractual excepcional al EGCAP, </w:t>
            </w:r>
            <w:r w:rsidR="00B70D10">
              <w:rPr>
                <w:rFonts w:ascii="Verdana" w:eastAsia="Calibri" w:hAnsi="Verdana" w:cs="Arial"/>
                <w:lang w:val="es-ES" w:eastAsia="es-ES"/>
              </w:rPr>
              <w:t>debe</w:t>
            </w:r>
            <w:r w:rsidR="00EE2A35" w:rsidRPr="009C69F7">
              <w:rPr>
                <w:rFonts w:ascii="Verdana" w:eastAsia="Calibri" w:hAnsi="Verdana" w:cs="Arial"/>
                <w:lang w:val="es-ES" w:eastAsia="es-ES"/>
              </w:rPr>
              <w:t xml:space="preserve"> publicar en el SECOP II los documentos de su actividad contractual</w:t>
            </w:r>
            <w:r w:rsidR="001D3BB1">
              <w:rPr>
                <w:rFonts w:ascii="Verdana" w:eastAsia="Calibri" w:hAnsi="Verdana" w:cs="Arial"/>
                <w:lang w:val="es-ES" w:eastAsia="es-ES"/>
              </w:rPr>
              <w:t xml:space="preserve"> de acuerdo con l</w:t>
            </w:r>
            <w:r w:rsidR="004C5AF0">
              <w:rPr>
                <w:rFonts w:ascii="Verdana" w:eastAsia="Calibri" w:hAnsi="Verdana" w:cs="Arial"/>
                <w:lang w:val="es-ES" w:eastAsia="es-ES"/>
              </w:rPr>
              <w:t>as</w:t>
            </w:r>
            <w:r w:rsidR="001D3BB1">
              <w:rPr>
                <w:rFonts w:ascii="Verdana" w:eastAsia="Calibri" w:hAnsi="Verdana" w:cs="Arial"/>
                <w:lang w:val="es-ES" w:eastAsia="es-ES"/>
              </w:rPr>
              <w:t xml:space="preserve"> </w:t>
            </w:r>
            <w:r w:rsidR="004C5AF0">
              <w:rPr>
                <w:rFonts w:ascii="Verdana" w:eastAsia="Calibri" w:hAnsi="Verdana" w:cs="Arial"/>
                <w:lang w:val="es-ES" w:eastAsia="es-ES"/>
              </w:rPr>
              <w:t>opciones</w:t>
            </w:r>
            <w:r w:rsidR="001D3BB1">
              <w:rPr>
                <w:rFonts w:ascii="Verdana" w:eastAsia="Calibri" w:hAnsi="Verdana" w:cs="Arial"/>
                <w:lang w:val="es-ES" w:eastAsia="es-ES"/>
              </w:rPr>
              <w:t xml:space="preserve"> señalad</w:t>
            </w:r>
            <w:r w:rsidR="004C5AF0">
              <w:rPr>
                <w:rFonts w:ascii="Verdana" w:eastAsia="Calibri" w:hAnsi="Verdana" w:cs="Arial"/>
                <w:lang w:val="es-ES" w:eastAsia="es-ES"/>
              </w:rPr>
              <w:t>a</w:t>
            </w:r>
            <w:r w:rsidR="001D3BB1">
              <w:rPr>
                <w:rFonts w:ascii="Verdana" w:eastAsia="Calibri" w:hAnsi="Verdana" w:cs="Arial"/>
                <w:lang w:val="es-ES" w:eastAsia="es-ES"/>
              </w:rPr>
              <w:t>s anteriormente</w:t>
            </w:r>
            <w:r w:rsidR="00EE2A35" w:rsidRPr="009C69F7">
              <w:rPr>
                <w:rFonts w:ascii="Verdana" w:eastAsia="Calibri" w:hAnsi="Verdana" w:cs="Arial"/>
                <w:lang w:val="es-ES" w:eastAsia="es-ES"/>
              </w:rPr>
              <w:t>. Cuando se trate de un sujeto de naturaleza privada o especial —como ocurre con las EPS-I cuya base es una asociación de cabildos—, el deber de publicar la contratación se cumple a través del “módulo de régimen especial” del SECOP II</w:t>
            </w:r>
            <w:r w:rsidR="00F85B8F">
              <w:rPr>
                <w:rFonts w:ascii="Verdana" w:eastAsia="Calibri" w:hAnsi="Verdana" w:cs="Arial"/>
                <w:lang w:val="es-ES" w:eastAsia="es-ES"/>
              </w:rPr>
              <w:t xml:space="preserve"> sin que sea obligatorio usarlo de manera transaccional, ya que existen las dos opciones mencionadas en el párrafo anterior.</w:t>
            </w:r>
          </w:p>
          <w:p w14:paraId="2CDBDD64" w14:textId="2EACC393" w:rsidR="00501059" w:rsidRPr="00F47E0F" w:rsidRDefault="00501059" w:rsidP="007D2EE7">
            <w:pPr>
              <w:spacing w:after="120" w:line="276" w:lineRule="auto"/>
              <w:ind w:firstLine="709"/>
              <w:jc w:val="both"/>
              <w:rPr>
                <w:rFonts w:ascii="Verdana" w:eastAsia="Arial" w:hAnsi="Verdana" w:cs="Arial"/>
                <w:lang w:val="es-ES" w:eastAsia="es-ES_tradnl"/>
              </w:rPr>
            </w:pPr>
            <w:r w:rsidRPr="009744FB">
              <w:rPr>
                <w:rFonts w:ascii="Verdana" w:eastAsia="Calibri" w:hAnsi="Verdana" w:cs="Arial"/>
                <w:lang w:val="es-ES"/>
              </w:rPr>
              <w:t>Respecto</w:t>
            </w:r>
            <w:r w:rsidRPr="00F47E0F">
              <w:rPr>
                <w:rFonts w:ascii="Verdana" w:eastAsia="Calibri" w:hAnsi="Verdana" w:cs="Arial"/>
              </w:rPr>
              <w:t xml:space="preserve"> de los documentos que se deben publicar, e</w:t>
            </w:r>
            <w:proofErr w:type="spellStart"/>
            <w:r w:rsidRPr="00F47E0F">
              <w:rPr>
                <w:rFonts w:ascii="Verdana" w:eastAsia="Calibri" w:hAnsi="Verdana" w:cs="Arial"/>
                <w:lang w:val="es-ES" w:eastAsia="es-ES"/>
              </w:rPr>
              <w:t>sta</w:t>
            </w:r>
            <w:proofErr w:type="spellEnd"/>
            <w:r w:rsidRPr="00F47E0F">
              <w:rPr>
                <w:rFonts w:ascii="Verdana" w:eastAsia="Calibri" w:hAnsi="Verdana" w:cs="Arial"/>
                <w:lang w:val="es-ES" w:eastAsia="es-ES"/>
              </w:rPr>
              <w:t xml:space="preserve">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w:t>
            </w:r>
            <w:r w:rsidRPr="00F47E0F">
              <w:rPr>
                <w:rFonts w:ascii="Verdana" w:eastAsia="Calibri" w:hAnsi="Verdana" w:cs="Arial"/>
                <w:lang w:val="es-ES" w:eastAsia="es-ES"/>
              </w:rPr>
              <w:lastRenderedPageBreak/>
              <w:t xml:space="preserve">materia, como, entre otros, el </w:t>
            </w:r>
            <w:r w:rsidRPr="00F47E0F">
              <w:rPr>
                <w:rFonts w:ascii="Verdana" w:eastAsia="Calibri" w:hAnsi="Verdana" w:cs="Arial"/>
                <w:shd w:val="clear" w:color="auto" w:fill="FFFFFF"/>
              </w:rPr>
              <w:t xml:space="preserve">artículo 2.2.1.1.1.7.1 del Decreto 1082 de 2015 que menciona que tienen la obligación de publicar en el SECOP “[…] los Documentos del Proceso y los actos administrativos del Proceso de Contratación, dentro de los tres (3) días </w:t>
            </w:r>
            <w:r w:rsidRPr="00F47E0F">
              <w:rPr>
                <w:rFonts w:ascii="Verdana" w:eastAsia="Calibri" w:hAnsi="Verdana" w:cs="Arial"/>
                <w:lang w:val="es-ES"/>
              </w:rPr>
              <w:t>siguientes</w:t>
            </w:r>
            <w:r w:rsidRPr="00F47E0F">
              <w:rPr>
                <w:rFonts w:ascii="Verdana" w:eastAsia="Calibri" w:hAnsi="Verdana" w:cs="Arial"/>
                <w:shd w:val="clear" w:color="auto" w:fill="FFFFFF"/>
              </w:rPr>
              <w:t xml:space="preserve"> a su expedición […]. </w:t>
            </w:r>
            <w:r w:rsidRPr="00F47E0F">
              <w:rPr>
                <w:rFonts w:ascii="Verdana" w:eastAsia="Arial" w:hAnsi="Verdana" w:cs="Arial"/>
                <w:lang w:val="es-ES" w:eastAsia="es-ES_tradnl"/>
              </w:rPr>
              <w:t xml:space="preserve">La expresión </w:t>
            </w:r>
            <w:r w:rsidRPr="00F47E0F">
              <w:rPr>
                <w:rFonts w:ascii="Verdana" w:eastAsia="Arial" w:hAnsi="Verdana" w:cs="Arial"/>
                <w:i/>
                <w:iCs/>
                <w:lang w:val="es-ES" w:eastAsia="es-ES_tradnl"/>
              </w:rPr>
              <w:t>Documentos del Proceso</w:t>
            </w:r>
            <w:r w:rsidRPr="00F47E0F">
              <w:rPr>
                <w:rFonts w:ascii="Verdana" w:eastAsia="Arial" w:hAnsi="Verdana" w:cs="Arial"/>
                <w:lang w:val="es-ES" w:eastAsia="es-ES_tradnl"/>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09C90CAA" w14:textId="34D7B4B9" w:rsidR="00501059" w:rsidRPr="00F47E0F" w:rsidRDefault="00501059" w:rsidP="007D2EE7">
            <w:pPr>
              <w:spacing w:after="120" w:line="276" w:lineRule="auto"/>
              <w:ind w:firstLine="709"/>
              <w:jc w:val="both"/>
              <w:rPr>
                <w:rFonts w:ascii="Verdana" w:eastAsia="Arial" w:hAnsi="Verdana" w:cs="Arial"/>
                <w:lang w:val="es-ES" w:eastAsia="es-ES_tradnl"/>
              </w:rPr>
            </w:pPr>
            <w:r w:rsidRPr="00F47E0F">
              <w:rPr>
                <w:rFonts w:ascii="Verdana" w:eastAsia="Arial" w:hAnsi="Verdana" w:cs="Arial"/>
                <w:lang w:val="es-ES" w:eastAsia="es-ES_tradnl"/>
              </w:rPr>
              <w:t xml:space="preserve">No </w:t>
            </w:r>
            <w:r w:rsidRPr="009744FB">
              <w:rPr>
                <w:rFonts w:ascii="Verdana" w:eastAsia="Calibri" w:hAnsi="Verdana" w:cs="Arial"/>
                <w:lang w:val="es-ES"/>
              </w:rPr>
              <w:t>obstante</w:t>
            </w:r>
            <w:r w:rsidRPr="00F47E0F">
              <w:rPr>
                <w:rFonts w:ascii="Verdana" w:eastAsia="Arial" w:hAnsi="Verdana" w:cs="Arial"/>
                <w:lang w:val="es-ES" w:eastAsia="es-ES_tradnl"/>
              </w:rPr>
              <w:t xml:space="preserve">, para identificar los documentos que deben publicarse, es necesario realizar una interpretación sistemática de las disposiciones del Decreto 1082 del 2015, ya que el anterior no es un listado taxativo, sino enunciativo, porque además de los documentos enlistados, el artículo 2.2.1.1.1.3.1 </w:t>
            </w:r>
            <w:r w:rsidRPr="00F47E0F">
              <w:rPr>
                <w:rFonts w:ascii="Verdana" w:eastAsia="Arial" w:hAnsi="Verdana" w:cs="Arial"/>
                <w:i/>
                <w:iCs/>
                <w:lang w:val="es-ES" w:eastAsia="es-ES_tradnl"/>
              </w:rPr>
              <w:t>Ibidem</w:t>
            </w:r>
            <w:r w:rsidRPr="00F47E0F">
              <w:rPr>
                <w:rFonts w:ascii="Verdana" w:eastAsia="Arial" w:hAnsi="Verdana" w:cs="Arial"/>
                <w:lang w:val="es-ES" w:eastAsia="es-ES_tradnl"/>
              </w:rPr>
              <w:t xml:space="preserve"> recoge en la noción de </w:t>
            </w:r>
            <w:r w:rsidRPr="00F47E0F">
              <w:rPr>
                <w:rFonts w:ascii="Verdana" w:eastAsia="Arial" w:hAnsi="Verdana" w:cs="Arial"/>
                <w:i/>
                <w:iCs/>
                <w:lang w:val="es-ES" w:eastAsia="es-ES_tradnl"/>
              </w:rPr>
              <w:t>Documentos del Proceso</w:t>
            </w:r>
            <w:r w:rsidRPr="00F47E0F">
              <w:rPr>
                <w:rFonts w:ascii="Verdana" w:eastAsia="Arial" w:hAnsi="Verdana" w:cs="Arial"/>
                <w:lang w:val="es-ES" w:eastAsia="es-ES_tradnl"/>
              </w:rPr>
              <w:t xml:space="preserve"> “cualquier otro documento expedido por la Entidad Estatal durante el </w:t>
            </w:r>
            <w:r w:rsidRPr="00F47E0F">
              <w:rPr>
                <w:rFonts w:ascii="Verdana" w:eastAsia="Arial" w:hAnsi="Verdana" w:cs="Arial"/>
                <w:i/>
                <w:iCs/>
                <w:lang w:val="es-ES" w:eastAsia="es-ES_tradnl"/>
              </w:rPr>
              <w:t>Proceso de Contratación”</w:t>
            </w:r>
            <w:r w:rsidRPr="00F47E0F">
              <w:rPr>
                <w:rFonts w:ascii="Verdana" w:eastAsia="Arial" w:hAnsi="Verdana" w:cs="Arial"/>
                <w:lang w:val="es-ES" w:eastAsia="es-ES_tradnl"/>
              </w:rPr>
              <w:t xml:space="preserve">. Este mismo artículo define la expresión </w:t>
            </w:r>
            <w:r w:rsidRPr="00F47E0F">
              <w:rPr>
                <w:rFonts w:ascii="Verdana" w:eastAsia="Arial" w:hAnsi="Verdana" w:cs="Arial"/>
                <w:i/>
                <w:iCs/>
                <w:lang w:val="es-ES" w:eastAsia="es-ES_tradnl"/>
              </w:rPr>
              <w:t>Proceso de Contratación</w:t>
            </w:r>
            <w:r w:rsidRPr="00F47E0F">
              <w:rPr>
                <w:rFonts w:ascii="Verdana" w:eastAsia="Arial" w:hAnsi="Verdana" w:cs="Arial"/>
                <w:lang w:val="es-ES" w:eastAsia="es-ES_tradnl"/>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00F7863E" w14:textId="77777777" w:rsidR="00501059" w:rsidRPr="00F47E0F" w:rsidRDefault="00501059" w:rsidP="007D2EE7">
            <w:pPr>
              <w:spacing w:after="120" w:line="276" w:lineRule="auto"/>
              <w:ind w:firstLine="709"/>
              <w:jc w:val="both"/>
              <w:rPr>
                <w:rFonts w:ascii="Verdana" w:eastAsia="Arial" w:hAnsi="Verdana" w:cs="Arial"/>
                <w:lang w:val="es-ES" w:eastAsia="es-ES_tradnl"/>
              </w:rPr>
            </w:pPr>
            <w:r w:rsidRPr="00F47E0F">
              <w:rPr>
                <w:rFonts w:ascii="Verdana" w:eastAsia="Arial" w:hAnsi="Verdana" w:cs="Arial"/>
                <w:lang w:val="es-ES" w:eastAsia="es-ES_tradnl"/>
              </w:rPr>
              <w:t xml:space="preserve">Nótese que la norma hace referencia a los documentos “expedidos por la entidad estatal” durante el proceso de contratación, excluyendo de la noción de </w:t>
            </w:r>
            <w:r w:rsidRPr="00F47E0F">
              <w:rPr>
                <w:rFonts w:ascii="Verdana" w:eastAsia="Arial" w:hAnsi="Verdana" w:cs="Arial"/>
                <w:i/>
                <w:iCs/>
                <w:lang w:val="es-ES" w:eastAsia="es-ES_tradnl"/>
              </w:rPr>
              <w:t>Documentos del Proceso</w:t>
            </w:r>
            <w:r w:rsidRPr="00F47E0F">
              <w:rPr>
                <w:rFonts w:ascii="Verdana" w:eastAsia="Arial" w:hAnsi="Verdana" w:cs="Arial"/>
                <w:lang w:val="es-ES" w:eastAsia="es-ES_tradnl"/>
              </w:rPr>
              <w:t xml:space="preserve"> los expedidos por un sujeto distinto a la entidad, salvo la oferta, la cual se incluye expresamente en el artículo 2.2.1.1.1.3.1. 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F47E0F">
              <w:rPr>
                <w:rFonts w:ascii="Verdana" w:eastAsia="Arial" w:hAnsi="Verdana" w:cs="Arial"/>
                <w:i/>
                <w:iCs/>
                <w:lang w:val="es-ES" w:eastAsia="es-ES_tradnl"/>
              </w:rPr>
              <w:t>Proceso de Contratación</w:t>
            </w:r>
            <w:r w:rsidRPr="00F47E0F">
              <w:rPr>
                <w:rFonts w:ascii="Verdana" w:eastAsia="Arial" w:hAnsi="Verdana" w:cs="Arial"/>
                <w:lang w:val="es-ES" w:eastAsia="es-ES_tradnl"/>
              </w:rPr>
              <w:t xml:space="preserve">. Así,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w:t>
            </w:r>
            <w:r w:rsidRPr="00F47E0F">
              <w:rPr>
                <w:rFonts w:ascii="Verdana" w:eastAsia="Arial" w:hAnsi="Verdana" w:cs="Arial"/>
                <w:lang w:val="es-ES" w:eastAsia="es-ES_tradnl"/>
              </w:rPr>
              <w:lastRenderedPageBreak/>
              <w:t>en SECOP dentro de los tres (3) días siguientes a su expedición, para  cumplir el deber de publicidad regulado por el artículo 2.2.1.1.1.7.1. del Decreto 1082 de 2015.</w:t>
            </w:r>
          </w:p>
          <w:p w14:paraId="2D440D5C" w14:textId="77777777" w:rsidR="00501059" w:rsidRPr="00F47E0F" w:rsidRDefault="00501059" w:rsidP="007D2EE7">
            <w:pPr>
              <w:spacing w:line="276" w:lineRule="auto"/>
              <w:jc w:val="both"/>
              <w:rPr>
                <w:rFonts w:ascii="Verdana" w:eastAsia="Calibri" w:hAnsi="Verdana" w:cs="Arial"/>
              </w:rPr>
            </w:pPr>
          </w:p>
          <w:p w14:paraId="26C14D2A" w14:textId="77777777" w:rsidR="00501059" w:rsidRPr="00F47E0F" w:rsidRDefault="00501059" w:rsidP="007D2EE7">
            <w:pPr>
              <w:spacing w:after="120" w:line="276" w:lineRule="auto"/>
              <w:jc w:val="both"/>
              <w:rPr>
                <w:rFonts w:ascii="Verdana" w:eastAsia="Calibri" w:hAnsi="Verdana" w:cs="Arial"/>
                <w:lang w:val="es-ES_tradnl" w:eastAsia="es-ES"/>
              </w:rPr>
            </w:pPr>
            <w:proofErr w:type="spellStart"/>
            <w:r w:rsidRPr="00F47E0F">
              <w:rPr>
                <w:rFonts w:ascii="Verdana" w:eastAsia="Calibri" w:hAnsi="Verdana" w:cs="Arial"/>
              </w:rPr>
              <w:t>ii</w:t>
            </w:r>
            <w:proofErr w:type="spellEnd"/>
            <w:r w:rsidRPr="00F47E0F">
              <w:rPr>
                <w:rFonts w:ascii="Verdana" w:eastAsia="Calibri" w:hAnsi="Verdana" w:cs="Arial"/>
              </w:rPr>
              <w:t xml:space="preserve">) </w:t>
            </w:r>
            <w:r w:rsidRPr="00F47E0F">
              <w:rPr>
                <w:rFonts w:ascii="Verdana" w:eastAsia="Calibri" w:hAnsi="Verdana" w:cs="Arial"/>
                <w:lang w:val="es-ES_tradnl" w:eastAsia="es-ES"/>
              </w:rPr>
              <w:t xml:space="preserve">Es posible que el constituyente o el legislador establezcan reservas de cierta información pública. En este sentido, en desarrollo de cualquier proceso contractual, independientemente de la modalidad de selección, es posible que los documentos del proceso contengan información sometida a reserva, de acuerdo con las causales establecidas en la Constitución o en la ley, caso en el cual dicha información no debe publicarse en el SECOP, precisamente por tratarse de información reservada. En estos casos, debe procederse conforme lo establecido en la Ley 1712 de 2014, particularmente, cumpliendo las obligaciones y los deberes establecidos en el título III “Excepciones acceso a la </w:t>
            </w:r>
            <w:r w:rsidRPr="00F47E0F">
              <w:rPr>
                <w:rFonts w:ascii="Verdana" w:eastAsia="Calibri" w:hAnsi="Verdana" w:cs="Arial"/>
                <w:lang w:val="es-ES"/>
              </w:rPr>
              <w:t>información</w:t>
            </w:r>
            <w:r w:rsidRPr="00F47E0F">
              <w:rPr>
                <w:rFonts w:ascii="Verdana" w:eastAsia="Calibri" w:hAnsi="Verdana" w:cs="Arial"/>
                <w:lang w:val="es-ES_tradnl" w:eastAsia="es-ES"/>
              </w:rPr>
              <w:t>”.</w:t>
            </w:r>
          </w:p>
          <w:p w14:paraId="60BA1212" w14:textId="6E14C061" w:rsidR="00501059" w:rsidRPr="00E15DDB" w:rsidRDefault="00501059" w:rsidP="00E15DDB">
            <w:pPr>
              <w:spacing w:after="120" w:line="276" w:lineRule="auto"/>
              <w:ind w:firstLine="709"/>
              <w:jc w:val="both"/>
              <w:rPr>
                <w:rFonts w:ascii="Verdana" w:eastAsia="Calibri" w:hAnsi="Verdana" w:cs="Arial"/>
              </w:rPr>
            </w:pPr>
            <w:r w:rsidRPr="00F47E0F">
              <w:rPr>
                <w:rFonts w:ascii="Verdana" w:eastAsia="Calibri" w:hAnsi="Verdana" w:cs="Arial"/>
                <w:lang w:val="es-ES_tradnl"/>
              </w:rPr>
              <w:t xml:space="preserve">Por </w:t>
            </w:r>
            <w:r w:rsidRPr="009744FB">
              <w:rPr>
                <w:rFonts w:ascii="Verdana" w:eastAsia="Arial" w:hAnsi="Verdana" w:cs="Arial"/>
                <w:lang w:val="es-ES" w:eastAsia="es-ES_tradnl"/>
              </w:rPr>
              <w:t>tanto</w:t>
            </w:r>
            <w:r w:rsidRPr="00F47E0F">
              <w:rPr>
                <w:rFonts w:ascii="Verdana" w:eastAsia="Calibri" w:hAnsi="Verdana" w:cs="Arial"/>
                <w:lang w:val="es-ES_tradnl"/>
              </w:rPr>
              <w:t xml:space="preserve">, para determinar los documentos sometidos a reserva, la entidad contratante y los responsables de adelantar la contratación deben verificar las normas que dispongan la reserva de la información y proceder a su </w:t>
            </w:r>
            <w:r w:rsidRPr="00F47E0F">
              <w:rPr>
                <w:rFonts w:ascii="Verdana" w:eastAsia="Calibri" w:hAnsi="Verdana" w:cs="Arial"/>
                <w:lang w:val="es-ES"/>
              </w:rPr>
              <w:t>cumplimiento</w:t>
            </w:r>
            <w:r w:rsidRPr="00F47E0F">
              <w:rPr>
                <w:rFonts w:ascii="Verdana" w:eastAsia="Calibri" w:hAnsi="Verdana" w:cs="Arial"/>
                <w:lang w:val="es-ES_tradnl"/>
              </w:rPr>
              <w:t xml:space="preserve"> en el marco del proceso de selección. </w:t>
            </w:r>
            <w:r w:rsidR="0040116E">
              <w:rPr>
                <w:rFonts w:ascii="Verdana" w:eastAsia="Calibri" w:hAnsi="Verdana" w:cs="Arial"/>
                <w:lang w:val="es-ES_tradnl"/>
              </w:rPr>
              <w:t>En todo caso, esta Agencia</w:t>
            </w:r>
            <w:r w:rsidR="00FB0F2C">
              <w:rPr>
                <w:rFonts w:ascii="Verdana" w:eastAsia="Calibri" w:hAnsi="Verdana" w:cs="Arial"/>
                <w:lang w:val="es-ES_tradnl"/>
              </w:rPr>
              <w:t>, en el marco de sus competencias,</w:t>
            </w:r>
            <w:r w:rsidR="0040116E">
              <w:rPr>
                <w:rFonts w:ascii="Verdana" w:eastAsia="Calibri" w:hAnsi="Verdana" w:cs="Arial"/>
                <w:lang w:val="es-ES_tradnl"/>
              </w:rPr>
              <w:t xml:space="preserve"> </w:t>
            </w:r>
            <w:r w:rsidR="00FB0F2C">
              <w:rPr>
                <w:rFonts w:ascii="Verdana" w:eastAsia="Calibri" w:hAnsi="Verdana" w:cs="Arial"/>
                <w:lang w:val="es-ES_tradnl"/>
              </w:rPr>
              <w:t>n</w:t>
            </w:r>
            <w:r w:rsidR="00E15DDB" w:rsidRPr="00E15DDB">
              <w:rPr>
                <w:rFonts w:ascii="Verdana" w:eastAsia="Calibri" w:hAnsi="Verdana" w:cs="Arial"/>
              </w:rPr>
              <w:t xml:space="preserve">o identifica una obligación especial de publicación en SECOP </w:t>
            </w:r>
            <w:r w:rsidR="00FB0F2C">
              <w:rPr>
                <w:rFonts w:ascii="Verdana" w:eastAsia="Calibri" w:hAnsi="Verdana" w:cs="Arial"/>
              </w:rPr>
              <w:t>de acuerdo con la naturaleza del contrato, como</w:t>
            </w:r>
            <w:r w:rsidR="00E15DDB" w:rsidRPr="00E15DDB">
              <w:rPr>
                <w:rFonts w:ascii="Verdana" w:eastAsia="Calibri" w:hAnsi="Verdana" w:cs="Arial"/>
              </w:rPr>
              <w:t xml:space="preserve"> contratos con IPS, profesionales de la salud, medicamentos o tecnologías. El deber de publicidad </w:t>
            </w:r>
            <w:r w:rsidR="0056139A">
              <w:rPr>
                <w:rFonts w:ascii="Verdana" w:eastAsia="Calibri" w:hAnsi="Verdana" w:cs="Arial"/>
              </w:rPr>
              <w:t>se determina</w:t>
            </w:r>
            <w:r w:rsidR="00E15DDB" w:rsidRPr="00E15DDB">
              <w:rPr>
                <w:rFonts w:ascii="Verdana" w:eastAsia="Calibri" w:hAnsi="Verdana" w:cs="Arial"/>
              </w:rPr>
              <w:t xml:space="preserve"> a partir de la naturaleza del sujeto, la fuente de financiación y las normas generales o especiales que resulten aplicables. La existencia de obligaciones sectoriales adicionales deberá consultarse con el </w:t>
            </w:r>
            <w:r w:rsidR="0056139A">
              <w:rPr>
                <w:rFonts w:ascii="Verdana" w:eastAsia="Calibri" w:hAnsi="Verdana" w:cs="Arial"/>
              </w:rPr>
              <w:t>Ministerio de Salud y Protección Social</w:t>
            </w:r>
            <w:r w:rsidR="00E15DDB" w:rsidRPr="00E15DDB">
              <w:rPr>
                <w:rFonts w:ascii="Verdana" w:eastAsia="Calibri" w:hAnsi="Verdana" w:cs="Arial"/>
              </w:rPr>
              <w:t>.</w:t>
            </w:r>
          </w:p>
          <w:p w14:paraId="5D541B82" w14:textId="77777777" w:rsidR="00501059" w:rsidRDefault="00501059" w:rsidP="007D2EE7">
            <w:pPr>
              <w:spacing w:line="276" w:lineRule="auto"/>
              <w:jc w:val="both"/>
              <w:rPr>
                <w:rFonts w:ascii="Verdana" w:eastAsia="Calibri" w:hAnsi="Verdana" w:cs="Arial"/>
              </w:rPr>
            </w:pPr>
          </w:p>
          <w:p w14:paraId="1037617A" w14:textId="3DD957F9" w:rsidR="0031434A" w:rsidRPr="00977DED" w:rsidRDefault="00501059" w:rsidP="0031434A">
            <w:pPr>
              <w:widowControl w:val="0"/>
              <w:autoSpaceDE w:val="0"/>
              <w:autoSpaceDN w:val="0"/>
              <w:spacing w:after="120" w:line="276" w:lineRule="auto"/>
              <w:jc w:val="both"/>
              <w:rPr>
                <w:rFonts w:ascii="Verdana" w:eastAsia="Calibri" w:hAnsi="Verdana" w:cs="Times New Roman"/>
              </w:rPr>
            </w:pPr>
            <w:proofErr w:type="spellStart"/>
            <w:r>
              <w:rPr>
                <w:rFonts w:ascii="Verdana" w:eastAsia="Calibri" w:hAnsi="Verdana" w:cs="Arial"/>
                <w:lang w:val="es-ES"/>
              </w:rPr>
              <w:t>iii</w:t>
            </w:r>
            <w:proofErr w:type="spellEnd"/>
            <w:r>
              <w:rPr>
                <w:rFonts w:ascii="Verdana" w:eastAsia="Calibri" w:hAnsi="Verdana" w:cs="Arial"/>
                <w:lang w:val="es-ES"/>
              </w:rPr>
              <w:t xml:space="preserve">) </w:t>
            </w:r>
            <w:r w:rsidR="0031434A" w:rsidRPr="001B7B03">
              <w:rPr>
                <w:rFonts w:ascii="Verdana" w:eastAsia="Calibri" w:hAnsi="Verdana" w:cs="Times New Roman"/>
              </w:rPr>
              <w:t xml:space="preserve">En el caso específico de las EPS-I, el deber de publicidad debe resolverse a partir del origen de los recursos. Cuando la EPS-I tenga naturaleza de entidad estatal y cuente con un régimen contractual excepcional al EGCAP, le será aplicable el artículo 53 de la Ley 2195 de 2022, que impone a las entidades estatales exceptuadas publicar en el SECOP II los documentos de su actividad contractual. Cuando se trate de un sujeto de naturaleza privada o especial —como ocurre con las EPS-I cuya base es una asociación de cabildos—, el deber de publicar la contratación financiada con recursos públicos no desaparece: se fundamenta en el literal c) del artículo 3 de la Ley 1150 de 2007, en la Ley </w:t>
            </w:r>
            <w:r w:rsidR="0031434A" w:rsidRPr="001B7B03">
              <w:rPr>
                <w:rFonts w:ascii="Verdana" w:eastAsia="Calibri" w:hAnsi="Verdana" w:cs="Times New Roman"/>
              </w:rPr>
              <w:lastRenderedPageBreak/>
              <w:t xml:space="preserve">1712 de 2014 y en el Decreto 1081 de 2015, y se cumple a través del </w:t>
            </w:r>
            <w:r w:rsidR="0031434A">
              <w:rPr>
                <w:rFonts w:ascii="Verdana" w:eastAsia="Calibri" w:hAnsi="Verdana" w:cs="Times New Roman"/>
              </w:rPr>
              <w:t>“</w:t>
            </w:r>
            <w:r w:rsidR="0031434A" w:rsidRPr="001B7B03">
              <w:rPr>
                <w:rFonts w:ascii="Verdana" w:eastAsia="Calibri" w:hAnsi="Verdana" w:cs="Times New Roman"/>
              </w:rPr>
              <w:t>módulo de régimen especial</w:t>
            </w:r>
            <w:r w:rsidR="0031434A">
              <w:rPr>
                <w:rFonts w:ascii="Verdana" w:eastAsia="Calibri" w:hAnsi="Verdana" w:cs="Times New Roman"/>
              </w:rPr>
              <w:t>”</w:t>
            </w:r>
            <w:r w:rsidR="0031434A" w:rsidRPr="001B7B03">
              <w:rPr>
                <w:rFonts w:ascii="Verdana" w:eastAsia="Calibri" w:hAnsi="Verdana" w:cs="Times New Roman"/>
              </w:rPr>
              <w:t xml:space="preserve"> del SECOP II. En uno y otro caso, los contratos que la EPS-I suscriba con las IPS de su red para la prestación de servicios de salud, por ejecutarse con cargo a la UPC u otros recursos del Sistema, se encuentran sujetos al deber de publicidad, sin que el régimen de derecho privado que gobierna la relación de aseguramiento constituya, por sí solo, una excepción.</w:t>
            </w:r>
          </w:p>
          <w:p w14:paraId="5034BFC7" w14:textId="77777777" w:rsidR="00DD35EF" w:rsidRPr="00F47E0F" w:rsidRDefault="00DD35EF" w:rsidP="00DD35EF">
            <w:pPr>
              <w:spacing w:after="120" w:line="276" w:lineRule="auto"/>
              <w:ind w:firstLine="709"/>
              <w:jc w:val="both"/>
              <w:rPr>
                <w:rFonts w:ascii="Verdana" w:eastAsia="Calibri" w:hAnsi="Verdana" w:cs="Arial"/>
              </w:rPr>
            </w:pPr>
            <w:r w:rsidRPr="009744FB">
              <w:rPr>
                <w:rFonts w:ascii="Verdana" w:eastAsia="Arial" w:hAnsi="Verdana" w:cs="Arial"/>
                <w:lang w:val="es-ES" w:eastAsia="es-ES_tradnl"/>
              </w:rPr>
              <w:t>Finalmente</w:t>
            </w:r>
            <w:r w:rsidRPr="00F47E0F">
              <w:rPr>
                <w:rFonts w:ascii="Verdana" w:eastAsia="Calibri" w:hAnsi="Verdana" w:cs="Arial"/>
              </w:rPr>
              <w:t xml:space="preserve">, en virtud de que el SECOP se compone de las plataformas SECOP I y SECOP II, resulta importante señalar que, para cada una de ellas, el procedimiento de publicación podría resultar distinto, habida cuenta que, en el caso de las entidades estatales que aún publiquen su actividad contractual en el SECOP I, esta plataforma funciona como medio de publicidad, sin que exija la publicación inmediata de los documentos precontractuales y contractuales. En ese sentido, </w:t>
            </w:r>
            <w:r>
              <w:rPr>
                <w:rFonts w:ascii="Verdana" w:eastAsia="Calibri" w:hAnsi="Verdana" w:cs="Arial"/>
              </w:rPr>
              <w:t>l</w:t>
            </w:r>
            <w:r w:rsidRPr="00F47E0F">
              <w:rPr>
                <w:rFonts w:ascii="Verdana" w:eastAsia="Calibri" w:hAnsi="Verdana" w:cs="Arial"/>
              </w:rPr>
              <w:t xml:space="preserve">a Entidad Estatal podrá publicar tales documentos dentro del término previsto por el artículo citado. No obstante, la plataforma SECOP II es una plataforma esencialmente transaccional, de contratación en línea, donde se gestionan todas las etapas del Proceso de Contratación, lo cual supone que los documentos que se expidan en el marco de cada una de las etapas, deberán publicarse al tiempo en que se realiza la gestión transaccional, lo que ameritaría una publicación inmediata, en la medida en que deben ser puestos en conocimiento de los partícipes del </w:t>
            </w:r>
            <w:r w:rsidRPr="00F47E0F">
              <w:rPr>
                <w:rFonts w:ascii="Verdana" w:eastAsia="Calibri" w:hAnsi="Verdana" w:cs="Arial"/>
                <w:lang w:val="es-ES"/>
              </w:rPr>
              <w:t>Sistema</w:t>
            </w:r>
            <w:r w:rsidRPr="00F47E0F">
              <w:rPr>
                <w:rFonts w:ascii="Verdana" w:eastAsia="Calibri" w:hAnsi="Verdana" w:cs="Arial"/>
              </w:rPr>
              <w:t xml:space="preserve"> de Compra Pública, interesados en consultarlos. </w:t>
            </w:r>
          </w:p>
          <w:p w14:paraId="4A94A19C" w14:textId="038E8AB2" w:rsidR="00501059" w:rsidRPr="004C43A2" w:rsidRDefault="00501059" w:rsidP="007D2EE7">
            <w:pPr>
              <w:spacing w:after="120" w:line="276" w:lineRule="auto"/>
              <w:ind w:firstLine="709"/>
              <w:jc w:val="both"/>
              <w:rPr>
                <w:rFonts w:ascii="Verdana" w:eastAsia="Calibri" w:hAnsi="Verdana" w:cs="Arial"/>
              </w:rPr>
            </w:pPr>
            <w:r w:rsidRPr="00F47E0F">
              <w:rPr>
                <w:rFonts w:ascii="Verdana" w:eastAsia="Calibri" w:hAnsi="Verdana" w:cs="Arial"/>
              </w:rPr>
              <w:t xml:space="preserve">Por </w:t>
            </w:r>
            <w:r w:rsidRPr="009744FB">
              <w:rPr>
                <w:rFonts w:ascii="Verdana" w:eastAsia="Arial" w:hAnsi="Verdana" w:cs="Arial"/>
                <w:lang w:val="es-ES" w:eastAsia="es-ES_tradnl"/>
              </w:rPr>
              <w:t>último</w:t>
            </w:r>
            <w:r w:rsidRPr="00F47E0F">
              <w:rPr>
                <w:rFonts w:ascii="Verdana" w:eastAsia="Calibri" w:hAnsi="Verdana" w:cs="Arial"/>
              </w:rPr>
              <w:t xml:space="preserve">, al margen de la explicación precedente debe advertirse que el análisis requerido para resolver problemas específicos en torno a la gestión contractual de las entidades públicas o para determinar </w:t>
            </w:r>
            <w:r>
              <w:rPr>
                <w:rFonts w:ascii="Verdana" w:eastAsia="Calibri" w:hAnsi="Verdana" w:cs="Arial"/>
              </w:rPr>
              <w:t xml:space="preserve">el incumplimiento de las normas del sistema de seguridad social, así como el contenido de estas normas respecto del SECOP, </w:t>
            </w:r>
            <w:r w:rsidRPr="00F47E0F">
              <w:rPr>
                <w:rFonts w:ascii="Verdana" w:eastAsia="Calibri" w:hAnsi="Verdana" w:cs="Arial"/>
              </w:rPr>
              <w:t>debe ser</w:t>
            </w:r>
            <w:r>
              <w:rPr>
                <w:rFonts w:ascii="Verdana" w:eastAsia="Calibri" w:hAnsi="Verdana" w:cs="Arial"/>
              </w:rPr>
              <w:t xml:space="preserve"> consultado con el Ministerio de Salud y Protección Social o</w:t>
            </w:r>
            <w:r w:rsidRPr="00F47E0F">
              <w:rPr>
                <w:rFonts w:ascii="Verdana" w:eastAsia="Calibri" w:hAnsi="Verdana" w:cs="Arial"/>
              </w:rPr>
              <w:t xml:space="preserve"> realizado por quienes tengan interés en ello, de acuerdo con lo explicado en la presente respuesta.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4001F36F" w14:textId="77777777" w:rsidR="00501059" w:rsidRPr="00F47E0F" w:rsidRDefault="00501059" w:rsidP="00501059">
      <w:pPr>
        <w:tabs>
          <w:tab w:val="left" w:pos="142"/>
          <w:tab w:val="left" w:pos="284"/>
        </w:tabs>
        <w:spacing w:after="0" w:line="276" w:lineRule="auto"/>
        <w:jc w:val="both"/>
        <w:rPr>
          <w:rFonts w:ascii="Verdana" w:eastAsia="Century Gothic" w:hAnsi="Verdana" w:cs="Century Gothic"/>
          <w:b/>
          <w:bCs/>
          <w:lang w:val="es-ES"/>
        </w:rPr>
      </w:pPr>
    </w:p>
    <w:p w14:paraId="25E4CE1B" w14:textId="77777777" w:rsidR="00501059" w:rsidRPr="00F47E0F" w:rsidRDefault="00501059" w:rsidP="0050105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Razones de las respuestas:</w:t>
      </w:r>
    </w:p>
    <w:p w14:paraId="55C3A10C" w14:textId="77777777" w:rsidR="00501059" w:rsidRPr="00F47E0F" w:rsidRDefault="00501059" w:rsidP="00501059">
      <w:pPr>
        <w:spacing w:after="0" w:line="276" w:lineRule="auto"/>
        <w:jc w:val="both"/>
        <w:rPr>
          <w:rFonts w:ascii="Verdana" w:eastAsia="Calibri" w:hAnsi="Verdana" w:cs="Arial"/>
          <w:lang w:val="es-ES"/>
        </w:rPr>
      </w:pPr>
    </w:p>
    <w:p w14:paraId="4D062EE3" w14:textId="77777777" w:rsidR="00501059" w:rsidRDefault="00501059" w:rsidP="00501059">
      <w:pPr>
        <w:spacing w:after="0" w:line="276" w:lineRule="auto"/>
        <w:jc w:val="both"/>
        <w:rPr>
          <w:rFonts w:ascii="Verdana" w:eastAsia="Calibri" w:hAnsi="Verdana" w:cs="Arial"/>
          <w:lang w:val="es-ES"/>
        </w:rPr>
      </w:pPr>
      <w:r w:rsidRPr="00F47E0F">
        <w:rPr>
          <w:rFonts w:ascii="Verdana" w:eastAsia="Calibri" w:hAnsi="Verdana" w:cs="Arial"/>
          <w:lang w:val="es-ES"/>
        </w:rPr>
        <w:t xml:space="preserve">Lo anterior se sustenta en las siguientes consideraciones: </w:t>
      </w:r>
    </w:p>
    <w:p w14:paraId="01419907" w14:textId="77777777" w:rsidR="00501059" w:rsidRPr="00F47E0F" w:rsidRDefault="00501059" w:rsidP="00501059">
      <w:pPr>
        <w:spacing w:after="0" w:line="276" w:lineRule="auto"/>
        <w:jc w:val="both"/>
        <w:rPr>
          <w:rFonts w:ascii="Verdana" w:eastAsia="Calibri" w:hAnsi="Verdana" w:cs="Arial"/>
          <w:lang w:val="es-ES"/>
        </w:rPr>
      </w:pPr>
    </w:p>
    <w:p w14:paraId="00443394" w14:textId="77777777" w:rsidR="00484327" w:rsidRPr="003F62F9" w:rsidRDefault="00484327" w:rsidP="00484327">
      <w:pPr>
        <w:spacing w:after="120" w:line="276" w:lineRule="auto"/>
        <w:jc w:val="both"/>
        <w:rPr>
          <w:rFonts w:ascii="Verdana" w:hAnsi="Verdana" w:cs="Arial"/>
          <w:lang w:eastAsia="es-CO"/>
        </w:rPr>
      </w:pPr>
      <w:bookmarkStart w:id="1" w:name="_Hlk98877945"/>
      <w:r w:rsidRPr="003F62F9">
        <w:rPr>
          <w:rFonts w:ascii="Verdana" w:hAnsi="Verdana" w:cs="Arial"/>
          <w:lang w:eastAsia="es-CO"/>
        </w:rPr>
        <w:t>Respecto de la naturaleza jurídica de las Entidades Promotoras de Salud –E.P.S.–, el artículo 180 de la Ley 100 de 1993 establece que estas pueden ser públicas, privadas o mixtas. Esto implica que las EPS pueden conformarse de acuerdo con los diferentes tipos de entidades que engloban las categorías de pública, mixta o privada, lo que, en principio, en el caso de las públicas y mixtas, determina sus regímenes de contratación, en los términos del artículo 14 de la Ley 1150 de 2007, modificado por la Ley 1474 de 2011</w:t>
      </w:r>
      <w:bookmarkEnd w:id="1"/>
      <w:r w:rsidRPr="003F62F9">
        <w:rPr>
          <w:rStyle w:val="Refdenotaalpie"/>
          <w:rFonts w:ascii="Verdana" w:hAnsi="Verdana" w:cs="Arial"/>
          <w:lang w:eastAsia="es-CO"/>
        </w:rPr>
        <w:footnoteReference w:id="2"/>
      </w:r>
      <w:r w:rsidRPr="003F62F9">
        <w:rPr>
          <w:rFonts w:ascii="Verdana" w:hAnsi="Verdana" w:cs="Arial"/>
          <w:lang w:eastAsia="es-CO"/>
        </w:rPr>
        <w:t xml:space="preserve">. </w:t>
      </w:r>
    </w:p>
    <w:p w14:paraId="537B5BA7" w14:textId="77777777" w:rsidR="00484327" w:rsidRPr="003F62F9" w:rsidRDefault="00484327" w:rsidP="00484327">
      <w:pPr>
        <w:spacing w:after="120" w:line="276" w:lineRule="auto"/>
        <w:jc w:val="both"/>
        <w:rPr>
          <w:rFonts w:ascii="Verdana" w:hAnsi="Verdana" w:cs="Arial"/>
          <w:lang w:eastAsia="es-CO"/>
        </w:rPr>
      </w:pPr>
      <w:r w:rsidRPr="003F62F9">
        <w:rPr>
          <w:rFonts w:ascii="Verdana" w:hAnsi="Verdana" w:cs="Arial"/>
          <w:lang w:eastAsia="es-CO"/>
        </w:rPr>
        <w:tab/>
        <w:t>Tratándose de E.P.S de naturaleza pública, estas pueden ser conformadas como empresas industriales y comerciales del Estado, conforme indica el artículo 85 de la Ley 489 de 1998</w:t>
      </w:r>
      <w:r w:rsidRPr="003F62F9">
        <w:rPr>
          <w:rStyle w:val="Refdenotaalpie"/>
          <w:rFonts w:ascii="Verdana" w:hAnsi="Verdana" w:cs="Arial"/>
          <w:lang w:eastAsia="es-CO"/>
        </w:rPr>
        <w:footnoteReference w:id="3"/>
      </w:r>
      <w:r w:rsidRPr="003F62F9">
        <w:rPr>
          <w:rFonts w:ascii="Verdana" w:hAnsi="Verdana" w:cs="Arial"/>
          <w:lang w:eastAsia="es-CO"/>
        </w:rPr>
        <w:t xml:space="preserve"> o como sociedades públicas conformadas con participación de una o diversas entidades estatales. En ambos casos, estas tienen la calidad de entidades descentralizadas por servicios, por lo que deben </w:t>
      </w:r>
      <w:r w:rsidRPr="003F62F9">
        <w:rPr>
          <w:rFonts w:ascii="Verdana" w:hAnsi="Verdana" w:cs="Arial"/>
          <w:lang w:eastAsia="es-CO"/>
        </w:rPr>
        <w:lastRenderedPageBreak/>
        <w:t>ser creadas por disposición o autorización de la ley, en los términos de los artículos 68 y 69 de la Ley 489 de 1998</w:t>
      </w:r>
      <w:r w:rsidRPr="003F62F9">
        <w:rPr>
          <w:rStyle w:val="Refdenotaalpie"/>
          <w:rFonts w:ascii="Verdana" w:hAnsi="Verdana" w:cs="Arial"/>
          <w:lang w:eastAsia="es-CO"/>
        </w:rPr>
        <w:footnoteReference w:id="4"/>
      </w:r>
      <w:r w:rsidRPr="003F62F9">
        <w:rPr>
          <w:rFonts w:ascii="Verdana" w:hAnsi="Verdana" w:cs="Arial"/>
          <w:lang w:eastAsia="es-CO"/>
        </w:rPr>
        <w:t xml:space="preserve">. </w:t>
      </w:r>
    </w:p>
    <w:p w14:paraId="3E77F9ED" w14:textId="77777777" w:rsidR="00484327" w:rsidRPr="003F62F9" w:rsidRDefault="00484327" w:rsidP="00484327">
      <w:pPr>
        <w:spacing w:after="120" w:line="276" w:lineRule="auto"/>
        <w:ind w:firstLine="708"/>
        <w:jc w:val="both"/>
        <w:rPr>
          <w:rFonts w:ascii="Verdana" w:hAnsi="Verdana" w:cs="Arial"/>
          <w:lang w:eastAsia="es-CO"/>
        </w:rPr>
      </w:pPr>
      <w:r w:rsidRPr="003F62F9">
        <w:rPr>
          <w:rFonts w:ascii="Verdana" w:hAnsi="Verdana" w:cs="Arial"/>
          <w:lang w:eastAsia="es-CO"/>
        </w:rPr>
        <w:t>Sin embargo, en cuanto al régimen de contratación de las E.P.S. públicas existe una norma especial que regula su régimen de contratación, establecida en el artículo 45 de la Ley 1122 de 2007</w:t>
      </w:r>
      <w:r w:rsidRPr="003F62F9">
        <w:rPr>
          <w:rStyle w:val="Refdenotaalpie"/>
          <w:rFonts w:ascii="Verdana" w:hAnsi="Verdana" w:cs="Arial"/>
          <w:lang w:eastAsia="es-CO"/>
        </w:rPr>
        <w:footnoteReference w:id="5"/>
      </w:r>
      <w:r w:rsidRPr="003F62F9">
        <w:rPr>
          <w:rFonts w:ascii="Verdana" w:hAnsi="Verdana" w:cs="Arial"/>
          <w:lang w:eastAsia="es-CO"/>
        </w:rPr>
        <w:t>, que les hace extensivo el régimen de contratación de las empresas sociales del Estado –E.S.E.–, entidades cuya contratación, de conformidad con el artículo 195, numeral 6, está regida de manera prevalente por el derecho privado</w:t>
      </w:r>
      <w:r w:rsidRPr="003F62F9">
        <w:rPr>
          <w:rStyle w:val="Refdenotaalpie"/>
          <w:rFonts w:ascii="Verdana" w:hAnsi="Verdana" w:cs="Arial"/>
          <w:lang w:eastAsia="es-CO"/>
        </w:rPr>
        <w:footnoteReference w:id="6"/>
      </w:r>
      <w:r w:rsidRPr="003F62F9">
        <w:rPr>
          <w:rFonts w:ascii="Verdana" w:hAnsi="Verdana" w:cs="Arial"/>
          <w:lang w:eastAsia="es-CO"/>
        </w:rPr>
        <w:t>.</w:t>
      </w:r>
    </w:p>
    <w:p w14:paraId="1BBBBC50" w14:textId="77777777" w:rsidR="00484327" w:rsidRPr="003F62F9" w:rsidRDefault="00484327" w:rsidP="00484327">
      <w:pPr>
        <w:spacing w:after="120" w:line="276" w:lineRule="auto"/>
        <w:ind w:firstLine="708"/>
        <w:jc w:val="both"/>
        <w:rPr>
          <w:rFonts w:ascii="Verdana" w:hAnsi="Verdana" w:cs="Arial"/>
          <w:lang w:eastAsia="es-CO"/>
        </w:rPr>
      </w:pPr>
      <w:r w:rsidRPr="003F62F9">
        <w:rPr>
          <w:rFonts w:ascii="Verdana" w:hAnsi="Verdana" w:cs="Arial"/>
          <w:lang w:eastAsia="es-CO"/>
        </w:rPr>
        <w:t>En cuanto a las E.P.S mixtas, estas son creadas como sociedades de economía mixta, de acuerdo con el artículo 97 de la Ley 489 de 1998</w:t>
      </w:r>
      <w:r w:rsidRPr="003F62F9">
        <w:rPr>
          <w:rStyle w:val="Refdenotaalpie"/>
          <w:rFonts w:ascii="Verdana" w:hAnsi="Verdana" w:cs="Arial"/>
          <w:lang w:eastAsia="es-CO"/>
        </w:rPr>
        <w:footnoteReference w:id="7"/>
      </w:r>
      <w:r w:rsidRPr="003F62F9">
        <w:rPr>
          <w:rFonts w:ascii="Verdana" w:hAnsi="Verdana" w:cs="Arial"/>
          <w:lang w:eastAsia="es-CO"/>
        </w:rPr>
        <w:t xml:space="preserve">. Este tipo de entidades, bajo ciertos supuestos, </w:t>
      </w:r>
      <w:r w:rsidRPr="003F62F9">
        <w:rPr>
          <w:rFonts w:ascii="Verdana" w:hAnsi="Verdana" w:cs="Arial"/>
        </w:rPr>
        <w:t xml:space="preserve">se encuentran exceptuadas de la aplicación </w:t>
      </w:r>
      <w:r w:rsidRPr="003F62F9">
        <w:rPr>
          <w:rFonts w:ascii="Verdana" w:hAnsi="Verdana" w:cs="Arial"/>
        </w:rPr>
        <w:lastRenderedPageBreak/>
        <w:t>del Estatuto General de Contratación de la Administración Pública, de conformidad con el artículo 14 de la Ley 1150 de 2007.</w:t>
      </w:r>
    </w:p>
    <w:p w14:paraId="0C33F9EB" w14:textId="77777777" w:rsidR="00484327" w:rsidRPr="003F62F9" w:rsidRDefault="00484327" w:rsidP="00484327">
      <w:pPr>
        <w:spacing w:after="120" w:line="276" w:lineRule="auto"/>
        <w:ind w:firstLine="708"/>
        <w:jc w:val="both"/>
        <w:rPr>
          <w:rFonts w:ascii="Verdana" w:hAnsi="Verdana" w:cs="Arial"/>
          <w:lang w:eastAsia="es-CO"/>
        </w:rPr>
      </w:pPr>
      <w:r w:rsidRPr="003F62F9">
        <w:rPr>
          <w:rFonts w:ascii="Verdana" w:hAnsi="Verdana" w:cs="Arial"/>
          <w:lang w:eastAsia="es-CO"/>
        </w:rPr>
        <w:t>Por otro lado, respecto de las E.P.S privadas, el artículo 181 de la Ley 100 de 1993 permite que distintos tipos de entidades regidas por el derecho privado se constituyan como E.P.S. Así, por ejemplo, podrán hacerlo las asociaciones de cajas de compensación</w:t>
      </w:r>
      <w:r w:rsidRPr="003F62F9">
        <w:rPr>
          <w:rStyle w:val="Refdenotaalpie"/>
          <w:rFonts w:ascii="Verdana" w:hAnsi="Verdana" w:cs="Arial"/>
          <w:lang w:eastAsia="es-CO"/>
        </w:rPr>
        <w:footnoteReference w:id="8"/>
      </w:r>
      <w:r w:rsidRPr="003F62F9">
        <w:rPr>
          <w:rFonts w:ascii="Verdana" w:hAnsi="Verdana" w:cs="Arial"/>
          <w:lang w:eastAsia="es-CO"/>
        </w:rPr>
        <w:t xml:space="preserve"> –literal c)–, las sociedades comerciales y entidades de economía solidaria</w:t>
      </w:r>
      <w:r w:rsidRPr="003F62F9">
        <w:rPr>
          <w:rStyle w:val="Refdenotaalpie"/>
          <w:rFonts w:ascii="Verdana" w:hAnsi="Verdana" w:cs="Arial"/>
          <w:lang w:eastAsia="es-CO"/>
        </w:rPr>
        <w:footnoteReference w:id="9"/>
      </w:r>
      <w:r w:rsidRPr="003F62F9">
        <w:rPr>
          <w:rFonts w:ascii="Verdana" w:hAnsi="Verdana" w:cs="Arial"/>
          <w:lang w:eastAsia="es-CO"/>
        </w:rPr>
        <w:t xml:space="preserve"> que se creen con el propósito de funcionar como E.P.S –literal h–. Este tipo de entidades, en tanto son personas jurídicas de derecho privado, les corresponde contratar conforme a dicho régimen, sin perjuicio de </w:t>
      </w:r>
      <w:r w:rsidRPr="003F62F9">
        <w:rPr>
          <w:rFonts w:ascii="Verdana" w:hAnsi="Verdana" w:cs="Arial"/>
          <w:lang w:eastAsia="es-CO"/>
        </w:rPr>
        <w:lastRenderedPageBreak/>
        <w:t>que en virtud de sus calidades de sujetos miembros del sistema de seguridad social en salud deban aplicar las disposiciones sectoriales correspondientes.</w:t>
      </w:r>
    </w:p>
    <w:p w14:paraId="41077055" w14:textId="77777777" w:rsidR="00484327" w:rsidRPr="003F62F9" w:rsidRDefault="00484327" w:rsidP="00484327">
      <w:pPr>
        <w:spacing w:after="120" w:line="276" w:lineRule="auto"/>
        <w:ind w:firstLine="708"/>
        <w:jc w:val="both"/>
        <w:rPr>
          <w:rFonts w:ascii="Verdana" w:hAnsi="Verdana" w:cs="Arial"/>
          <w:lang w:eastAsia="es-CO"/>
        </w:rPr>
      </w:pPr>
      <w:r w:rsidRPr="003F62F9">
        <w:rPr>
          <w:rFonts w:ascii="Verdana" w:hAnsi="Verdana" w:cs="Arial"/>
          <w:lang w:eastAsia="es-CO"/>
        </w:rPr>
        <w:t>Ahora bien, independientemente de la naturaleza jurídica concreta a la que obedezca una E.P.S, es claro que estas como actores del sistema general de seguridad social en salud</w:t>
      </w:r>
      <w:r w:rsidRPr="003F62F9">
        <w:rPr>
          <w:rStyle w:val="Refdenotaalpie"/>
          <w:rFonts w:ascii="Verdana" w:hAnsi="Verdana" w:cs="Arial"/>
          <w:lang w:eastAsia="es-CO"/>
        </w:rPr>
        <w:footnoteReference w:id="10"/>
      </w:r>
      <w:r w:rsidRPr="003F62F9">
        <w:rPr>
          <w:rFonts w:ascii="Verdana" w:hAnsi="Verdana" w:cs="Arial"/>
          <w:lang w:eastAsia="es-CO"/>
        </w:rPr>
        <w:t>, administran recursos públicos. Así se desprende, en el caso de las E.P.S del régimen subsidiado del artículo 214 de la Ley 100 de 1993, modificado por el 11 de la Ley 1122 de 2007, en donde se establecen como fuentes de financiación recursos transferidos por parte de entidades territoriales, así como otros provenientes del Fondo de Solidaridad y Garantía.</w:t>
      </w:r>
    </w:p>
    <w:p w14:paraId="556D3D0D" w14:textId="77777777" w:rsidR="00484327" w:rsidRPr="008A5A56" w:rsidRDefault="00484327" w:rsidP="00484327">
      <w:pPr>
        <w:spacing w:after="120" w:line="276" w:lineRule="auto"/>
        <w:ind w:firstLine="708"/>
        <w:jc w:val="both"/>
        <w:rPr>
          <w:rFonts w:ascii="Verdana" w:hAnsi="Verdana" w:cs="Arial"/>
          <w:lang w:eastAsia="es-CO"/>
        </w:rPr>
      </w:pPr>
      <w:r w:rsidRPr="001B7B03">
        <w:rPr>
          <w:rFonts w:ascii="Verdana" w:hAnsi="Verdana" w:cs="Arial"/>
          <w:lang w:eastAsia="es-CO"/>
        </w:rPr>
        <w:t>Tratándose de Entidades Promotoras de Salud Indígenas —EPS-I—, al análisis anterior debe sumarse un elemento adicional que la consulta pide considerar de manera expresa: su naturaleza jurídica especial. La Ley 691 de 2001, que reglamenta la participación de los pueblos indígenas en el Sistema General de Seguridad Social en Salud, autorizó a las autoridades de estos pueblos para crear administradoras indígenas que afilien a su población al régimen subsidiado y, con ellas, para intervenir en la operación, el financiamiento y el control del sistema aplicable a sus comunidades</w:t>
      </w:r>
      <w:r w:rsidRPr="001B7B03">
        <w:rPr>
          <w:rStyle w:val="Refdenotaalpie"/>
          <w:rFonts w:ascii="Verdana" w:hAnsi="Verdana" w:cs="Arial"/>
          <w:lang w:eastAsia="es-CO"/>
        </w:rPr>
        <w:footnoteReference w:id="11"/>
      </w:r>
      <w:r w:rsidRPr="001B7B03">
        <w:rPr>
          <w:rFonts w:ascii="Verdana" w:hAnsi="Verdana" w:cs="Arial"/>
          <w:lang w:eastAsia="es-CO"/>
        </w:rPr>
        <w:t>. Estas entidades no encajan sin más en la tríada pública-privada-mixta del artículo 180 de la Ley 100 de 1993, pues su base institucional suele ser una asociación de cabildos o de autoridades tradicionales indígenas, a la cual el artículo 2 del Decreto 1088 de 1993 le reconoce el carácter de «entidad de Derecho Público de carácter especial, con personería jurídica, patrimonio propio y autonomía administrativa»</w:t>
      </w:r>
      <w:r w:rsidRPr="001B7B03">
        <w:rPr>
          <w:rStyle w:val="Refdenotaalpie"/>
          <w:rFonts w:ascii="Verdana" w:hAnsi="Verdana" w:cs="Arial"/>
          <w:lang w:eastAsia="es-CO"/>
        </w:rPr>
        <w:footnoteReference w:id="12"/>
      </w:r>
      <w:r w:rsidRPr="001B7B03">
        <w:rPr>
          <w:rFonts w:ascii="Verdana" w:hAnsi="Verdana" w:cs="Arial"/>
          <w:lang w:eastAsia="es-CO"/>
        </w:rPr>
        <w:t>.</w:t>
      </w:r>
    </w:p>
    <w:p w14:paraId="5ACC0333" w14:textId="77777777" w:rsidR="00484327" w:rsidRPr="008A5A56" w:rsidRDefault="00484327" w:rsidP="00484327">
      <w:pPr>
        <w:spacing w:after="120" w:line="276" w:lineRule="auto"/>
        <w:ind w:firstLine="708"/>
        <w:jc w:val="both"/>
        <w:rPr>
          <w:rFonts w:ascii="Verdana" w:hAnsi="Verdana" w:cs="Arial"/>
          <w:lang w:eastAsia="es-CO"/>
        </w:rPr>
      </w:pPr>
      <w:r w:rsidRPr="001B7B03">
        <w:rPr>
          <w:rFonts w:ascii="Verdana" w:hAnsi="Verdana" w:cs="Arial"/>
          <w:lang w:eastAsia="es-CO"/>
        </w:rPr>
        <w:t xml:space="preserve">De lo anterior se sigue que la determinación de si una EPS-I concreta es pública, privada o de naturaleza especial no puede resolverse en abstracto por vía consultiva, sino que depende de su acto de constitución, de sus estatutos y del régimen que le resulte aplicable. Esa calificación, además, no es la que </w:t>
      </w:r>
      <w:r w:rsidRPr="001B7B03">
        <w:rPr>
          <w:rFonts w:ascii="Verdana" w:hAnsi="Verdana" w:cs="Arial"/>
          <w:lang w:eastAsia="es-CO"/>
        </w:rPr>
        <w:lastRenderedPageBreak/>
        <w:t>determina por sí sola el deber de publicidad. Como se explica a continuación, dicho deber no se activa por la naturaleza jurídica del contratante, sino por el origen público de los recursos comprometidos en la contratación, de manera que el régimen de derecho privado que rige la actividad aseguradora de una EPS-I no la sustrae, por ese solo hecho, del deber de publicar la contratación financiada con recursos públicos.</w:t>
      </w:r>
    </w:p>
    <w:p w14:paraId="5FA38F72" w14:textId="77777777" w:rsidR="00484327" w:rsidRPr="003F62F9" w:rsidRDefault="00484327" w:rsidP="00484327">
      <w:pPr>
        <w:spacing w:after="120" w:line="276" w:lineRule="auto"/>
        <w:ind w:firstLine="708"/>
        <w:jc w:val="both"/>
        <w:rPr>
          <w:rFonts w:ascii="Verdana" w:hAnsi="Verdana" w:cs="Arial"/>
          <w:lang w:eastAsia="es-CO"/>
        </w:rPr>
      </w:pPr>
      <w:r w:rsidRPr="001B7B03">
        <w:rPr>
          <w:rFonts w:ascii="Verdana" w:hAnsi="Verdana" w:cs="Arial"/>
          <w:lang w:eastAsia="es-CO"/>
        </w:rPr>
        <w:t>El mecanismo principal con el que se financia el aseguramiento es la Unidad de Pago por Capitación —UPC—, que la EPS recibe para garantizar a sus afiliados el Plan de Beneficios en Salud. Sobre su naturaleza, el Consejo de Estado ha precisado recientemente que la UPC es un recurso público de carácter parafiscal, que no hace parte del Presupuesto General de la Nación ni constituye una renta propia de la EPS, sino que conserva una destinación específica —la financiación de los servicios de salud y de los gastos administrativos autorizados— aun cuando se encuentre en poder de la entidad aseguradora, razón por la cual debe manejarse en cuentas separadas y no puede destinarse a fines ajenos</w:t>
      </w:r>
      <w:r w:rsidRPr="001B7B03">
        <w:rPr>
          <w:rStyle w:val="Refdenotaalpie"/>
          <w:rFonts w:ascii="Verdana" w:hAnsi="Verdana" w:cs="Arial"/>
          <w:lang w:eastAsia="es-CO"/>
        </w:rPr>
        <w:footnoteReference w:id="13"/>
      </w:r>
      <w:r w:rsidRPr="001B7B03">
        <w:rPr>
          <w:rFonts w:ascii="Verdana" w:hAnsi="Verdana" w:cs="Arial"/>
          <w:lang w:eastAsia="es-CO"/>
        </w:rPr>
        <w:t>. De allí que los contratos que la EPS-I celebra con las Instituciones Prestadoras de Servicios de Salud que integran su red, en cuanto se ejecutan con cargo a la UPC u otros recursos del Sistema, comprometen recursos públicos y, por esa vía, quedan cobijados por el deber de publicidad en el SECOP, con independencia de que el contrato se rija por el derecho privado. El deber no alcanza, en cambio, a la contratación que la EPS-I financie exclusivamente con recursos de origen privado.</w:t>
      </w:r>
    </w:p>
    <w:p w14:paraId="20C2F30A" w14:textId="77777777" w:rsidR="00484327" w:rsidRPr="003F62F9" w:rsidRDefault="00484327" w:rsidP="00484327">
      <w:pPr>
        <w:spacing w:after="120" w:line="276" w:lineRule="auto"/>
        <w:ind w:firstLine="708"/>
        <w:jc w:val="both"/>
        <w:rPr>
          <w:rFonts w:ascii="Verdana" w:hAnsi="Verdana" w:cs="Arial"/>
          <w:lang w:eastAsia="es-CO"/>
        </w:rPr>
      </w:pPr>
    </w:p>
    <w:p w14:paraId="71F28C50" w14:textId="77777777" w:rsidR="00484327" w:rsidRPr="003F62F9" w:rsidRDefault="00484327" w:rsidP="00484327">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E</w:t>
      </w:r>
      <w:r w:rsidRPr="003F62F9">
        <w:rPr>
          <w:rFonts w:ascii="Verdana" w:eastAsia="Calibri" w:hAnsi="Verdana" w:cs="Arial"/>
          <w:color w:val="000000" w:themeColor="text1"/>
          <w:lang w:val="es-ES"/>
        </w:rPr>
        <w:t xml:space="preserve">xplicado lo anterior, uno de los postulados más importantes de un Estado social y democrático de derecho es el principio de </w:t>
      </w:r>
      <w:r w:rsidRPr="003F62F9">
        <w:rPr>
          <w:rFonts w:ascii="Verdana" w:eastAsia="Calibri" w:hAnsi="Verdana" w:cs="Arial"/>
          <w:i/>
          <w:color w:val="000000" w:themeColor="text1"/>
          <w:lang w:val="es-ES"/>
        </w:rPr>
        <w:t>publicidad</w:t>
      </w:r>
      <w:r w:rsidRPr="003F62F9">
        <w:rPr>
          <w:rFonts w:ascii="Verdana" w:eastAsia="Calibri" w:hAnsi="Verdana" w:cs="Arial"/>
          <w:color w:val="000000" w:themeColor="text1"/>
          <w:lang w:val="es-ES"/>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3F62F9">
        <w:rPr>
          <w:rStyle w:val="Refdenotaalpie"/>
          <w:rFonts w:ascii="Verdana" w:eastAsia="Calibri" w:hAnsi="Verdana" w:cs="Arial"/>
          <w:color w:val="000000" w:themeColor="text1"/>
          <w:lang w:val="es-ES"/>
        </w:rPr>
        <w:footnoteReference w:id="14"/>
      </w:r>
      <w:r w:rsidRPr="003F62F9">
        <w:rPr>
          <w:rFonts w:ascii="Verdana" w:eastAsia="Calibri" w:hAnsi="Verdana" w:cs="Arial"/>
          <w:color w:val="000000" w:themeColor="text1"/>
          <w:lang w:val="es-ES"/>
        </w:rPr>
        <w:t xml:space="preserve">. El secreto generalizado en el ejercicio del poder político constituye, por el contrario, una negación de la democracia, </w:t>
      </w:r>
      <w:r w:rsidRPr="003F62F9">
        <w:rPr>
          <w:rFonts w:ascii="Verdana" w:eastAsia="Calibri" w:hAnsi="Verdana" w:cs="Arial"/>
          <w:color w:val="000000" w:themeColor="text1"/>
          <w:lang w:val="es-ES"/>
        </w:rPr>
        <w:lastRenderedPageBreak/>
        <w:t xml:space="preserve">porque dificulta la supervisión de las autoridades por parte de la sociedad civil y establece una barrera para la participación ciudadana. </w:t>
      </w:r>
    </w:p>
    <w:p w14:paraId="00FDD66C" w14:textId="77777777" w:rsidR="00484327" w:rsidRPr="003F62F9" w:rsidRDefault="00484327" w:rsidP="00484327">
      <w:pPr>
        <w:spacing w:line="276" w:lineRule="auto"/>
        <w:ind w:firstLine="708"/>
        <w:jc w:val="both"/>
        <w:rPr>
          <w:rFonts w:ascii="Verdana" w:eastAsia="Calibri" w:hAnsi="Verdana" w:cs="Arial"/>
          <w:color w:val="000000" w:themeColor="text1"/>
          <w:lang w:val="es-ES_tradnl"/>
        </w:rPr>
      </w:pPr>
      <w:r w:rsidRPr="003F62F9">
        <w:rPr>
          <w:rFonts w:ascii="Verdana" w:eastAsia="Calibri" w:hAnsi="Verdana" w:cs="Arial"/>
          <w:color w:val="000000" w:themeColor="text1"/>
          <w:lang w:val="es-ES_tradnl"/>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25179C5E" w14:textId="77777777" w:rsidR="00484327" w:rsidRPr="003F62F9" w:rsidRDefault="00484327" w:rsidP="00484327">
      <w:pPr>
        <w:tabs>
          <w:tab w:val="left" w:pos="3885"/>
        </w:tabs>
        <w:spacing w:after="120" w:line="240" w:lineRule="auto"/>
        <w:ind w:left="709" w:right="709"/>
        <w:jc w:val="both"/>
        <w:rPr>
          <w:rFonts w:ascii="Verdana" w:hAnsi="Verdana" w:cs="Arial"/>
          <w:color w:val="000000" w:themeColor="text1"/>
          <w:sz w:val="20"/>
          <w:szCs w:val="20"/>
          <w:lang w:val="es-ES_tradnl"/>
        </w:rPr>
      </w:pPr>
      <w:r w:rsidRPr="003F62F9">
        <w:rPr>
          <w:rFonts w:ascii="Verdana" w:hAnsi="Verdana" w:cs="Arial"/>
          <w:color w:val="000000" w:themeColor="text1"/>
          <w:sz w:val="20"/>
          <w:szCs w:val="20"/>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5D67F4B" w14:textId="77777777" w:rsidR="00484327" w:rsidRPr="003F62F9" w:rsidRDefault="00484327" w:rsidP="00484327">
      <w:pPr>
        <w:tabs>
          <w:tab w:val="left" w:pos="3885"/>
          <w:tab w:val="left" w:pos="8222"/>
        </w:tabs>
        <w:spacing w:line="240" w:lineRule="auto"/>
        <w:ind w:left="709" w:right="709"/>
        <w:jc w:val="both"/>
        <w:rPr>
          <w:rFonts w:ascii="Verdana" w:hAnsi="Verdana" w:cs="Arial"/>
          <w:color w:val="000000" w:themeColor="text1"/>
          <w:sz w:val="20"/>
          <w:szCs w:val="20"/>
          <w:lang w:val="es-ES"/>
        </w:rPr>
      </w:pPr>
      <w:r w:rsidRPr="003F62F9">
        <w:rPr>
          <w:rFonts w:ascii="Verdana" w:hAnsi="Verdana" w:cs="Arial"/>
          <w:color w:val="000000" w:themeColor="text1"/>
          <w:sz w:val="20"/>
          <w:szCs w:val="20"/>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3F62F9">
        <w:rPr>
          <w:rStyle w:val="Refdenotaalpie"/>
          <w:rFonts w:ascii="Verdana" w:eastAsia="Calibri" w:hAnsi="Verdana" w:cs="Arial"/>
          <w:color w:val="000000" w:themeColor="text1"/>
          <w:sz w:val="20"/>
          <w:szCs w:val="20"/>
          <w:lang w:val="es-ES"/>
        </w:rPr>
        <w:footnoteReference w:id="15"/>
      </w:r>
      <w:r w:rsidRPr="003F62F9">
        <w:rPr>
          <w:rFonts w:ascii="Verdana" w:eastAsia="Calibri" w:hAnsi="Verdana" w:cs="Arial"/>
          <w:color w:val="000000" w:themeColor="text1"/>
          <w:sz w:val="20"/>
          <w:szCs w:val="20"/>
          <w:lang w:val="es-ES"/>
        </w:rPr>
        <w:t>.</w:t>
      </w:r>
    </w:p>
    <w:p w14:paraId="60DE279D" w14:textId="77777777" w:rsidR="00484327" w:rsidRPr="003F62F9" w:rsidRDefault="00484327" w:rsidP="00484327">
      <w:pPr>
        <w:spacing w:line="276" w:lineRule="auto"/>
        <w:ind w:firstLine="709"/>
        <w:jc w:val="both"/>
        <w:rPr>
          <w:rFonts w:ascii="Verdana" w:eastAsia="Calibri" w:hAnsi="Verdana" w:cs="Arial"/>
          <w:color w:val="000000" w:themeColor="text1"/>
          <w:lang w:val="es-ES"/>
        </w:rPr>
      </w:pPr>
      <w:r w:rsidRPr="003F62F9">
        <w:rPr>
          <w:rFonts w:ascii="Verdana" w:eastAsia="Calibri" w:hAnsi="Verdana" w:cs="Arial"/>
          <w:color w:val="000000" w:themeColor="text1"/>
          <w:lang w:val="es-ES"/>
        </w:rPr>
        <w:t xml:space="preserve">El principio de publicidad impone a las autoridades administrativas el deber de dar a conocer sus actos, contratos y decisiones, para que se divulguen y eventualmente se controlen dichas actuaciones. Es por eso </w:t>
      </w:r>
      <w:proofErr w:type="gramStart"/>
      <w:r w:rsidRPr="003F62F9">
        <w:rPr>
          <w:rFonts w:ascii="Verdana" w:eastAsia="Calibri" w:hAnsi="Verdana" w:cs="Arial"/>
          <w:color w:val="000000" w:themeColor="text1"/>
          <w:lang w:val="es-ES"/>
        </w:rPr>
        <w:t>que</w:t>
      </w:r>
      <w:proofErr w:type="gramEnd"/>
      <w:r w:rsidRPr="003F62F9">
        <w:rPr>
          <w:rFonts w:ascii="Verdana" w:eastAsia="Calibri" w:hAnsi="Verdana" w:cs="Arial"/>
          <w:color w:val="000000" w:themeColor="text1"/>
          <w:lang w:val="es-ES"/>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3F62F9">
        <w:rPr>
          <w:rStyle w:val="Refdenotaalpie"/>
          <w:rFonts w:ascii="Verdana" w:eastAsia="Calibri" w:hAnsi="Verdana" w:cs="Arial"/>
          <w:color w:val="000000" w:themeColor="text1"/>
          <w:lang w:val="es-ES"/>
        </w:rPr>
        <w:footnoteReference w:id="16"/>
      </w:r>
      <w:r w:rsidRPr="003F62F9">
        <w:rPr>
          <w:rFonts w:ascii="Verdana" w:eastAsia="Calibri" w:hAnsi="Verdana" w:cs="Arial"/>
          <w:color w:val="000000" w:themeColor="text1"/>
          <w:lang w:val="es-ES"/>
        </w:rPr>
        <w:t xml:space="preserve">. </w:t>
      </w:r>
    </w:p>
    <w:p w14:paraId="45A29F8B" w14:textId="77777777" w:rsidR="00484327" w:rsidRPr="003F62F9" w:rsidRDefault="00484327" w:rsidP="00484327">
      <w:pPr>
        <w:spacing w:before="120" w:line="276" w:lineRule="auto"/>
        <w:ind w:firstLine="709"/>
        <w:jc w:val="both"/>
        <w:rPr>
          <w:rFonts w:ascii="Verdana" w:eastAsia="Calibri" w:hAnsi="Verdana" w:cs="Arial"/>
          <w:color w:val="000000" w:themeColor="text1"/>
          <w:lang w:val="es-ES"/>
        </w:rPr>
      </w:pPr>
      <w:r w:rsidRPr="003F62F9">
        <w:rPr>
          <w:rFonts w:ascii="Verdana" w:hAnsi="Verdana" w:cs="Arial"/>
          <w:color w:val="000000" w:themeColor="text1"/>
          <w:lang w:val="es-ES"/>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3F62F9">
        <w:rPr>
          <w:rStyle w:val="Refdenotaalpie"/>
          <w:rFonts w:ascii="Verdana" w:hAnsi="Verdana" w:cs="Arial"/>
          <w:color w:val="000000" w:themeColor="text1"/>
          <w:lang w:val="es-ES"/>
        </w:rPr>
        <w:footnoteReference w:id="17"/>
      </w:r>
      <w:r w:rsidRPr="003F62F9">
        <w:rPr>
          <w:rFonts w:ascii="Verdana" w:hAnsi="Verdana" w:cs="Arial"/>
          <w:color w:val="000000" w:themeColor="text1"/>
          <w:lang w:val="es-ES"/>
        </w:rPr>
        <w:t>. El principio de transparencia en la información alude al deber de los sujetos de proporcionar y facilitar el acceso a la misma en los términos más amplios posibles, y a través de los medios y procedimientos legales. En el literal e) del artículo 9, la ley estatutaria citada dispone que los sujetos obligados, que son todas las entidades públicas</w:t>
      </w:r>
      <w:r w:rsidRPr="003F62F9">
        <w:rPr>
          <w:rStyle w:val="Refdenotaalpie"/>
          <w:rFonts w:ascii="Verdana" w:hAnsi="Verdana" w:cs="Arial"/>
          <w:color w:val="000000" w:themeColor="text1"/>
          <w:lang w:val="es-ES"/>
        </w:rPr>
        <w:footnoteReference w:id="18"/>
      </w:r>
      <w:r w:rsidRPr="003F62F9">
        <w:rPr>
          <w:rFonts w:ascii="Verdana" w:hAnsi="Verdana" w:cs="Arial"/>
          <w:color w:val="000000" w:themeColor="text1"/>
          <w:lang w:val="es-ES"/>
        </w:rPr>
        <w:t>, deben publicar la información relativa a su contratación. Esta obligación fue desarrollada por el Decreto Único Reglamentario 1081 de 2015</w:t>
      </w:r>
      <w:r w:rsidRPr="003F62F9">
        <w:rPr>
          <w:rStyle w:val="Refdenotaalpie"/>
          <w:rFonts w:ascii="Verdana" w:hAnsi="Verdana" w:cs="Arial"/>
          <w:color w:val="000000" w:themeColor="text1"/>
          <w:lang w:val="es-ES"/>
        </w:rPr>
        <w:footnoteReference w:id="19"/>
      </w:r>
      <w:r w:rsidRPr="003F62F9">
        <w:rPr>
          <w:rFonts w:ascii="Verdana" w:hAnsi="Verdana" w:cs="Arial"/>
          <w:color w:val="000000" w:themeColor="text1"/>
          <w:lang w:val="es-ES"/>
        </w:rPr>
        <w:t>, el cual dispuso que la publicación de la información contractual de los sujetos obligados, que contratan con cargo a recursos públicos, debe hacerse en el Sistema Electrónico para la Contratación Pública ─</w:t>
      </w:r>
      <w:r w:rsidRPr="003F62F9">
        <w:rPr>
          <w:rFonts w:ascii="Verdana" w:hAnsi="Verdana" w:cs="Arial"/>
          <w:color w:val="000000" w:themeColor="text1"/>
          <w:lang w:val="es-ES_tradnl"/>
        </w:rPr>
        <w:softHyphen/>
      </w:r>
      <w:r w:rsidRPr="003F62F9">
        <w:rPr>
          <w:rFonts w:ascii="Verdana" w:hAnsi="Verdana" w:cs="Arial"/>
          <w:color w:val="000000" w:themeColor="text1"/>
          <w:lang w:val="es-ES"/>
        </w:rPr>
        <w:t xml:space="preserve"> </w:t>
      </w:r>
      <w:r w:rsidRPr="003F62F9">
        <w:rPr>
          <w:rFonts w:ascii="Verdana" w:hAnsi="Verdana" w:cs="Arial"/>
          <w:color w:val="000000" w:themeColor="text1"/>
          <w:lang w:val="es-ES_tradnl"/>
        </w:rPr>
        <w:softHyphen/>
      </w:r>
      <w:r w:rsidRPr="003F62F9">
        <w:rPr>
          <w:rFonts w:ascii="Verdana" w:hAnsi="Verdana" w:cs="Arial"/>
          <w:color w:val="000000" w:themeColor="text1"/>
          <w:lang w:val="es-ES"/>
        </w:rPr>
        <w:t>SECOP–.</w:t>
      </w:r>
    </w:p>
    <w:p w14:paraId="0ACF7011" w14:textId="77777777" w:rsidR="00484327" w:rsidRPr="003F62F9" w:rsidRDefault="00484327" w:rsidP="00484327">
      <w:pPr>
        <w:spacing w:before="120" w:line="276" w:lineRule="auto"/>
        <w:ind w:firstLine="709"/>
        <w:jc w:val="both"/>
        <w:rPr>
          <w:rFonts w:ascii="Verdana" w:hAnsi="Verdana" w:cs="Arial"/>
          <w:color w:val="000000" w:themeColor="text1"/>
          <w:lang w:val="es-ES_tradnl"/>
        </w:rPr>
      </w:pPr>
      <w:r w:rsidRPr="003F62F9">
        <w:rPr>
          <w:rFonts w:ascii="Verdana" w:hAnsi="Verdana" w:cs="Arial"/>
          <w:color w:val="000000" w:themeColor="text1"/>
          <w:lang w:val="es-ES_tradnl"/>
        </w:rPr>
        <w:lastRenderedPageBreak/>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3F62F9">
        <w:rPr>
          <w:rFonts w:ascii="Verdana" w:eastAsia="Calibri" w:hAnsi="Verdana" w:cs="Arial"/>
          <w:color w:val="000000" w:themeColor="text1"/>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3F62F9">
        <w:rPr>
          <w:rStyle w:val="Refdenotaalpie"/>
          <w:rFonts w:ascii="Verdana" w:eastAsia="Calibri" w:hAnsi="Verdana" w:cs="Arial"/>
          <w:color w:val="000000" w:themeColor="text1"/>
          <w:lang w:val="es-ES_tradnl"/>
        </w:rPr>
        <w:footnoteReference w:id="20"/>
      </w:r>
      <w:r w:rsidRPr="003F62F9">
        <w:rPr>
          <w:rFonts w:ascii="Verdana" w:eastAsia="Calibri" w:hAnsi="Verdana" w:cs="Arial"/>
          <w:color w:val="000000" w:themeColor="text1"/>
          <w:lang w:val="es-ES_tradnl"/>
        </w:rPr>
        <w:t>.</w:t>
      </w:r>
    </w:p>
    <w:p w14:paraId="530AE41D" w14:textId="77777777" w:rsidR="00484327" w:rsidRPr="003F62F9" w:rsidRDefault="00484327" w:rsidP="00484327">
      <w:pPr>
        <w:spacing w:before="120" w:line="276" w:lineRule="auto"/>
        <w:ind w:firstLine="709"/>
        <w:jc w:val="both"/>
        <w:rPr>
          <w:rFonts w:ascii="Verdana" w:hAnsi="Verdana" w:cs="Arial"/>
          <w:color w:val="000000" w:themeColor="text1"/>
          <w:lang w:val="es-ES_tradnl"/>
        </w:rPr>
      </w:pPr>
      <w:r w:rsidRPr="003F62F9">
        <w:rPr>
          <w:rFonts w:ascii="Verdana" w:hAnsi="Verdana" w:cs="Arial"/>
          <w:color w:val="000000" w:themeColor="text1"/>
          <w:lang w:val="es-ES_tradnl"/>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3F62F9">
        <w:rPr>
          <w:rStyle w:val="Refdenotaalpie"/>
          <w:rFonts w:ascii="Verdana" w:hAnsi="Verdana" w:cs="Arial"/>
          <w:color w:val="000000" w:themeColor="text1"/>
          <w:lang w:val="es-ES_tradnl"/>
        </w:rPr>
        <w:footnoteReference w:id="21"/>
      </w:r>
      <w:r w:rsidRPr="003F62F9">
        <w:rPr>
          <w:rFonts w:ascii="Verdana" w:hAnsi="Verdana" w:cs="Arial"/>
          <w:color w:val="000000" w:themeColor="text1"/>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63DDFF41" w14:textId="77777777" w:rsidR="00484327" w:rsidRPr="003F62F9" w:rsidRDefault="00484327" w:rsidP="00484327">
      <w:pPr>
        <w:spacing w:before="120" w:line="276" w:lineRule="auto"/>
        <w:ind w:firstLine="709"/>
        <w:jc w:val="both"/>
        <w:rPr>
          <w:rFonts w:ascii="Verdana" w:hAnsi="Verdana" w:cs="Arial"/>
          <w:color w:val="000000" w:themeColor="text1"/>
          <w:lang w:val="es-ES_tradnl"/>
        </w:rPr>
      </w:pPr>
      <w:r w:rsidRPr="003F62F9">
        <w:rPr>
          <w:rFonts w:ascii="Verdana" w:hAnsi="Verdana" w:cs="Arial"/>
          <w:color w:val="000000" w:themeColor="text1"/>
          <w:lang w:val="es-ES_tradnl"/>
        </w:rPr>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sidRPr="003F62F9">
        <w:rPr>
          <w:rStyle w:val="Refdenotaalpie"/>
          <w:rFonts w:ascii="Verdana" w:hAnsi="Verdana" w:cs="Arial"/>
          <w:color w:val="000000" w:themeColor="text1"/>
          <w:lang w:val="es-ES_tradnl"/>
        </w:rPr>
        <w:footnoteReference w:id="22"/>
      </w:r>
      <w:r w:rsidRPr="003F62F9">
        <w:rPr>
          <w:rFonts w:ascii="Verdana" w:hAnsi="Verdana" w:cs="Arial"/>
          <w:color w:val="000000" w:themeColor="text1"/>
          <w:lang w:val="es-ES_tradnl"/>
        </w:rPr>
        <w:t>, expresó que la obligación prevista en la Circular Externa No. 1 se ajusta a la normativa superior, en los siguientes términos:</w:t>
      </w:r>
    </w:p>
    <w:p w14:paraId="56964ED5" w14:textId="77777777" w:rsidR="00484327" w:rsidRPr="003F62F9" w:rsidRDefault="00484327" w:rsidP="00484327">
      <w:pPr>
        <w:tabs>
          <w:tab w:val="left" w:pos="3885"/>
        </w:tabs>
        <w:spacing w:after="120" w:line="240" w:lineRule="auto"/>
        <w:ind w:left="709" w:right="709"/>
        <w:jc w:val="both"/>
        <w:rPr>
          <w:rFonts w:ascii="Verdana" w:hAnsi="Verdana" w:cs="Arial"/>
          <w:color w:val="000000" w:themeColor="text1"/>
          <w:sz w:val="20"/>
          <w:szCs w:val="20"/>
          <w:lang w:val="es-ES_tradnl"/>
        </w:rPr>
      </w:pPr>
      <w:r w:rsidRPr="003F62F9">
        <w:rPr>
          <w:rFonts w:ascii="Verdana" w:hAnsi="Verdana" w:cs="Arial"/>
          <w:color w:val="000000" w:themeColor="text1"/>
          <w:sz w:val="20"/>
          <w:szCs w:val="20"/>
          <w:lang w:val="es-ES_tradnl"/>
        </w:rPr>
        <w:lastRenderedPageBreak/>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5F5B22A2" w14:textId="77777777" w:rsidR="00484327" w:rsidRPr="003F62F9" w:rsidRDefault="00484327" w:rsidP="00484327">
      <w:pPr>
        <w:tabs>
          <w:tab w:val="left" w:pos="3885"/>
        </w:tabs>
        <w:spacing w:line="240" w:lineRule="auto"/>
        <w:ind w:left="709" w:right="709"/>
        <w:jc w:val="both"/>
        <w:rPr>
          <w:rFonts w:ascii="Verdana" w:hAnsi="Verdana" w:cs="Arial"/>
          <w:color w:val="000000" w:themeColor="text1"/>
          <w:sz w:val="20"/>
          <w:szCs w:val="20"/>
          <w:lang w:val="es-ES"/>
        </w:rPr>
      </w:pPr>
      <w:r w:rsidRPr="003F62F9">
        <w:rPr>
          <w:rFonts w:ascii="Verdana" w:hAnsi="Verdana" w:cs="Arial"/>
          <w:color w:val="000000" w:themeColor="text1"/>
          <w:sz w:val="20"/>
          <w:szCs w:val="20"/>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464C9836" w14:textId="77777777" w:rsidR="00484327" w:rsidRPr="003F62F9" w:rsidRDefault="00484327" w:rsidP="00484327">
      <w:pPr>
        <w:tabs>
          <w:tab w:val="left" w:pos="3885"/>
        </w:tabs>
        <w:spacing w:after="120" w:line="240" w:lineRule="auto"/>
        <w:ind w:left="709" w:right="709"/>
        <w:jc w:val="both"/>
        <w:rPr>
          <w:rFonts w:ascii="Verdana" w:hAnsi="Verdana" w:cs="Arial"/>
          <w:color w:val="000000" w:themeColor="text1"/>
          <w:sz w:val="20"/>
          <w:szCs w:val="20"/>
          <w:lang w:val="es-ES_tradnl"/>
        </w:rPr>
      </w:pPr>
      <w:r w:rsidRPr="003F62F9">
        <w:rPr>
          <w:rFonts w:ascii="Verdana" w:hAnsi="Verdana" w:cs="Arial"/>
          <w:color w:val="000000" w:themeColor="text1"/>
          <w:sz w:val="20"/>
          <w:szCs w:val="20"/>
          <w:lang w:val="es-ES_tradnl"/>
        </w:rPr>
        <w:t>[…]</w:t>
      </w:r>
    </w:p>
    <w:p w14:paraId="03783706" w14:textId="77777777" w:rsidR="00484327" w:rsidRPr="003F62F9" w:rsidRDefault="00484327" w:rsidP="00484327">
      <w:pPr>
        <w:tabs>
          <w:tab w:val="left" w:pos="3885"/>
        </w:tabs>
        <w:spacing w:line="240" w:lineRule="auto"/>
        <w:ind w:left="709" w:right="709"/>
        <w:jc w:val="both"/>
        <w:rPr>
          <w:rFonts w:ascii="Verdana" w:hAnsi="Verdana" w:cs="Arial"/>
          <w:color w:val="000000" w:themeColor="text1"/>
          <w:sz w:val="20"/>
          <w:szCs w:val="20"/>
          <w:lang w:val="es-ES"/>
        </w:rPr>
      </w:pPr>
      <w:r w:rsidRPr="003F62F9">
        <w:rPr>
          <w:rFonts w:ascii="Verdana" w:hAnsi="Verdana" w:cs="Arial"/>
          <w:color w:val="000000" w:themeColor="text1"/>
          <w:sz w:val="20"/>
          <w:szCs w:val="20"/>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3F62F9">
        <w:rPr>
          <w:rStyle w:val="Refdenotaalpie"/>
          <w:rFonts w:ascii="Verdana" w:hAnsi="Verdana" w:cs="Arial"/>
          <w:color w:val="000000" w:themeColor="text1"/>
          <w:sz w:val="20"/>
          <w:szCs w:val="20"/>
          <w:lang w:val="es-ES"/>
        </w:rPr>
        <w:footnoteReference w:id="23"/>
      </w:r>
      <w:r w:rsidRPr="003F62F9">
        <w:rPr>
          <w:rFonts w:ascii="Verdana" w:hAnsi="Verdana" w:cs="Arial"/>
          <w:color w:val="000000" w:themeColor="text1"/>
          <w:sz w:val="20"/>
          <w:szCs w:val="20"/>
          <w:lang w:val="es-ES"/>
        </w:rPr>
        <w:t>.</w:t>
      </w:r>
    </w:p>
    <w:p w14:paraId="35E387C5" w14:textId="77777777" w:rsidR="00484327" w:rsidRPr="003F62F9" w:rsidRDefault="00484327" w:rsidP="00484327">
      <w:pPr>
        <w:spacing w:line="276" w:lineRule="auto"/>
        <w:ind w:firstLine="708"/>
        <w:jc w:val="both"/>
        <w:rPr>
          <w:rFonts w:ascii="Verdana" w:hAnsi="Verdana" w:cs="Arial"/>
          <w:color w:val="000000" w:themeColor="text1"/>
          <w:lang w:val="es-ES_tradnl"/>
        </w:rPr>
      </w:pPr>
      <w:r w:rsidRPr="003F62F9">
        <w:rPr>
          <w:rFonts w:ascii="Verdana" w:hAnsi="Verdana" w:cs="Arial"/>
          <w:color w:val="000000" w:themeColor="text1"/>
          <w:lang w:val="es-ES_tradnl"/>
        </w:rPr>
        <w:t xml:space="preserve">Adicionalmente, la publicación de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74DC58F2" w14:textId="77777777" w:rsidR="00484327" w:rsidRPr="003F62F9" w:rsidRDefault="00484327" w:rsidP="00484327">
      <w:pPr>
        <w:spacing w:line="240" w:lineRule="auto"/>
        <w:ind w:left="709" w:right="709"/>
        <w:jc w:val="both"/>
        <w:rPr>
          <w:rFonts w:ascii="Verdana" w:hAnsi="Verdana" w:cs="Arial"/>
          <w:color w:val="000000" w:themeColor="text1"/>
          <w:sz w:val="20"/>
          <w:szCs w:val="20"/>
          <w:lang w:val="es-ES_tradnl"/>
        </w:rPr>
      </w:pPr>
      <w:r w:rsidRPr="003F62F9">
        <w:rPr>
          <w:rFonts w:ascii="Verdana" w:hAnsi="Verdana" w:cs="Arial"/>
          <w:color w:val="000000" w:themeColor="text1"/>
          <w:sz w:val="20"/>
          <w:szCs w:val="20"/>
          <w:lang w:val="es-ES_tradnl"/>
        </w:rPr>
        <w:t xml:space="preserve">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w:t>
      </w:r>
      <w:r w:rsidRPr="003F62F9">
        <w:rPr>
          <w:rFonts w:ascii="Verdana" w:hAnsi="Verdana" w:cs="Arial"/>
          <w:color w:val="000000" w:themeColor="text1"/>
          <w:sz w:val="20"/>
          <w:szCs w:val="20"/>
          <w:lang w:val="es-ES_tradnl"/>
        </w:rPr>
        <w:lastRenderedPageBreak/>
        <w:t>informativo en relación a los negocios que celebren con cargo a recursos de otra índole</w:t>
      </w:r>
      <w:r w:rsidRPr="003F62F9">
        <w:rPr>
          <w:rStyle w:val="Refdenotaalpie"/>
          <w:rFonts w:ascii="Verdana" w:hAnsi="Verdana" w:cs="Arial"/>
          <w:color w:val="000000" w:themeColor="text1"/>
          <w:sz w:val="20"/>
          <w:szCs w:val="20"/>
          <w:lang w:val="es-ES_tradnl"/>
        </w:rPr>
        <w:footnoteReference w:id="24"/>
      </w:r>
      <w:r w:rsidRPr="003F62F9">
        <w:rPr>
          <w:rFonts w:ascii="Verdana" w:hAnsi="Verdana" w:cs="Arial"/>
          <w:color w:val="000000" w:themeColor="text1"/>
          <w:sz w:val="20"/>
          <w:szCs w:val="20"/>
          <w:lang w:val="es-ES_tradnl"/>
        </w:rPr>
        <w:t>.</w:t>
      </w:r>
    </w:p>
    <w:p w14:paraId="444D2796" w14:textId="77777777" w:rsidR="00484327" w:rsidRPr="003F62F9" w:rsidRDefault="00484327" w:rsidP="00484327">
      <w:pPr>
        <w:spacing w:after="120" w:line="276" w:lineRule="auto"/>
        <w:ind w:firstLine="709"/>
        <w:jc w:val="both"/>
        <w:rPr>
          <w:rFonts w:ascii="Verdana" w:hAnsi="Verdana" w:cs="Arial"/>
          <w:color w:val="000000" w:themeColor="text1"/>
          <w:lang w:val="es-ES_tradnl"/>
        </w:rPr>
      </w:pPr>
      <w:r w:rsidRPr="003F62F9">
        <w:rPr>
          <w:rFonts w:ascii="Verdana" w:hAnsi="Verdana" w:cs="Arial"/>
          <w:color w:val="000000" w:themeColor="text1"/>
          <w:lang w:val="es-ES_tradnl"/>
        </w:rPr>
        <w:t>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w:t>
      </w:r>
    </w:p>
    <w:p w14:paraId="5EF48014" w14:textId="77777777" w:rsidR="00484327" w:rsidRPr="003F62F9" w:rsidRDefault="00484327" w:rsidP="00484327">
      <w:pPr>
        <w:spacing w:before="120" w:line="276" w:lineRule="auto"/>
        <w:ind w:firstLine="709"/>
        <w:jc w:val="both"/>
        <w:rPr>
          <w:rFonts w:ascii="Verdana" w:eastAsia="Calibri" w:hAnsi="Verdana" w:cs="Arial"/>
          <w:color w:val="000000"/>
          <w:lang w:val="es-ES"/>
        </w:rPr>
      </w:pPr>
      <w:r w:rsidRPr="003F62F9">
        <w:rPr>
          <w:rFonts w:ascii="Verdana" w:hAnsi="Verdana" w:cs="Arial"/>
          <w:color w:val="000000" w:themeColor="text1"/>
          <w:lang w:val="es-ES"/>
        </w:rPr>
        <w:t xml:space="preserve">De otro lado, </w:t>
      </w:r>
      <w:r w:rsidRPr="003F62F9">
        <w:rPr>
          <w:rFonts w:ascii="Verdana" w:eastAsia="Calibri" w:hAnsi="Verdana" w:cs="Arial"/>
          <w:color w:val="000000" w:themeColor="text1"/>
          <w:lang w:val="es-ES"/>
        </w:rPr>
        <w:t>el 18 de enero de</w:t>
      </w:r>
      <w:r>
        <w:rPr>
          <w:rFonts w:ascii="Verdana" w:eastAsia="Calibri" w:hAnsi="Verdana" w:cs="Arial"/>
          <w:color w:val="000000" w:themeColor="text1"/>
          <w:lang w:val="es-ES"/>
        </w:rPr>
        <w:t xml:space="preserve"> 2022</w:t>
      </w:r>
      <w:r w:rsidRPr="003F62F9">
        <w:rPr>
          <w:rFonts w:ascii="Verdana" w:eastAsia="Calibri" w:hAnsi="Verdana" w:cs="Arial"/>
          <w:color w:val="000000" w:themeColor="text1"/>
          <w:lang w:val="es-ES"/>
        </w:rPr>
        <w:t xml:space="preserve"> se promulgó la Ley 2195 de 2022. Según lo establece su artículo 1, esta Ley «</w:t>
      </w:r>
      <w:r w:rsidRPr="003F62F9">
        <w:rPr>
          <w:rFonts w:ascii="Verdana" w:hAnsi="Verdana" w:cs="Arial"/>
          <w:lang w:val="es-ES"/>
        </w:rPr>
        <w:t xml:space="preserve">[…] </w:t>
      </w:r>
      <w:r w:rsidRPr="003F62F9">
        <w:rPr>
          <w:rFonts w:ascii="Verdana" w:eastAsia="Calibri" w:hAnsi="Verdana" w:cs="Arial"/>
          <w:color w:val="000000" w:themeColor="text1"/>
          <w:lang w:val="es-ES"/>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Pr="003F62F9">
        <w:rPr>
          <w:rFonts w:ascii="Verdana" w:eastAsia="Calibri" w:hAnsi="Verdana" w:cs="Arial"/>
          <w:color w:val="000000" w:themeColor="text1"/>
          <w:lang w:val="es-ES"/>
        </w:rPr>
        <w:t>ii</w:t>
      </w:r>
      <w:proofErr w:type="spellEnd"/>
      <w:r w:rsidRPr="003F62F9">
        <w:rPr>
          <w:rFonts w:ascii="Verdana" w:eastAsia="Calibri" w:hAnsi="Verdana" w:cs="Arial"/>
          <w:color w:val="000000" w:themeColor="text1"/>
          <w:lang w:val="es-ES"/>
        </w:rPr>
        <w:t xml:space="preserve">) la inhabilidad por incumplimiento reiterado en los contratos de alimentación escolar –artículo 51–, </w:t>
      </w:r>
      <w:proofErr w:type="spellStart"/>
      <w:r w:rsidRPr="003F62F9">
        <w:rPr>
          <w:rFonts w:ascii="Verdana" w:eastAsia="Calibri" w:hAnsi="Verdana" w:cs="Arial"/>
          <w:color w:val="000000" w:themeColor="text1"/>
          <w:lang w:val="es-ES"/>
        </w:rPr>
        <w:t>iii</w:t>
      </w:r>
      <w:proofErr w:type="spellEnd"/>
      <w:r w:rsidRPr="003F62F9">
        <w:rPr>
          <w:rFonts w:ascii="Verdana" w:eastAsia="Calibri" w:hAnsi="Verdana" w:cs="Arial"/>
          <w:color w:val="000000" w:themeColor="text1"/>
          <w:lang w:val="es-ES"/>
        </w:rPr>
        <w:t xml:space="preserve">) las cláusulas excepcionales en los contratos celebrados con el objeto señalado anteriormente –artículo 52–, </w:t>
      </w:r>
      <w:proofErr w:type="spellStart"/>
      <w:r w:rsidRPr="003F62F9">
        <w:rPr>
          <w:rFonts w:ascii="Verdana" w:eastAsia="Calibri" w:hAnsi="Verdana" w:cs="Arial"/>
          <w:color w:val="000000" w:themeColor="text1"/>
          <w:lang w:val="es-ES"/>
        </w:rPr>
        <w:t>iv</w:t>
      </w:r>
      <w:proofErr w:type="spellEnd"/>
      <w:r w:rsidRPr="003F62F9">
        <w:rPr>
          <w:rFonts w:ascii="Verdana" w:eastAsia="Calibri" w:hAnsi="Verdana" w:cs="Arial"/>
          <w:color w:val="000000" w:themeColor="text1"/>
          <w:lang w:val="es-ES"/>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3F62F9">
        <w:rPr>
          <w:rFonts w:ascii="Verdana" w:eastAsia="Calibri" w:hAnsi="Verdana" w:cs="Arial"/>
          <w:i/>
          <w:color w:val="000000" w:themeColor="text1"/>
          <w:lang w:val="es-ES"/>
        </w:rPr>
        <w:t>no</w:t>
      </w:r>
      <w:r w:rsidRPr="003F62F9">
        <w:rPr>
          <w:rFonts w:ascii="Verdana" w:eastAsia="Calibri" w:hAnsi="Verdana" w:cs="Arial"/>
          <w:color w:val="000000" w:themeColor="text1"/>
          <w:lang w:val="es-ES"/>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Pr="003F62F9">
        <w:rPr>
          <w:rFonts w:ascii="Verdana" w:eastAsia="Calibri" w:hAnsi="Verdana" w:cs="Arial"/>
          <w:color w:val="000000" w:themeColor="text1"/>
          <w:lang w:val="es-ES"/>
        </w:rPr>
        <w:t>vii</w:t>
      </w:r>
      <w:proofErr w:type="spellEnd"/>
      <w:r w:rsidRPr="003F62F9">
        <w:rPr>
          <w:rFonts w:ascii="Verdana" w:eastAsia="Calibri" w:hAnsi="Verdana" w:cs="Arial"/>
          <w:color w:val="000000" w:themeColor="text1"/>
          <w:lang w:val="es-ES"/>
        </w:rPr>
        <w:t xml:space="preserve">) la aplicación de los documentos tipo a entidades con régimen especial –artículo 56–, </w:t>
      </w:r>
      <w:proofErr w:type="spellStart"/>
      <w:r w:rsidRPr="003F62F9">
        <w:rPr>
          <w:rFonts w:ascii="Verdana" w:eastAsia="Calibri" w:hAnsi="Verdana" w:cs="Arial"/>
          <w:color w:val="000000" w:themeColor="text1"/>
          <w:lang w:val="es-ES"/>
        </w:rPr>
        <w:t>viii</w:t>
      </w:r>
      <w:proofErr w:type="spellEnd"/>
      <w:r w:rsidRPr="003F62F9">
        <w:rPr>
          <w:rFonts w:ascii="Verdana" w:eastAsia="Calibri" w:hAnsi="Verdana" w:cs="Arial"/>
          <w:color w:val="000000" w:themeColor="text1"/>
          <w:lang w:val="es-ES"/>
        </w:rPr>
        <w:t xml:space="preserve">) la obligación, radicada en los revisores fiscales, de denunciar los actos de corrupción –artículo 57–, y </w:t>
      </w:r>
      <w:proofErr w:type="spellStart"/>
      <w:r w:rsidRPr="003F62F9">
        <w:rPr>
          <w:rFonts w:ascii="Verdana" w:eastAsia="Calibri" w:hAnsi="Verdana" w:cs="Arial"/>
          <w:color w:val="000000" w:themeColor="text1"/>
          <w:lang w:val="es-ES"/>
        </w:rPr>
        <w:t>ix</w:t>
      </w:r>
      <w:proofErr w:type="spellEnd"/>
      <w:r w:rsidRPr="003F62F9">
        <w:rPr>
          <w:rFonts w:ascii="Verdana" w:eastAsia="Calibri" w:hAnsi="Verdana" w:cs="Arial"/>
          <w:color w:val="000000" w:themeColor="text1"/>
          <w:lang w:val="es-ES"/>
        </w:rPr>
        <w:t>) la reducción de puntaje por incumplimiento de contratos –artículo 58–.</w:t>
      </w:r>
      <w:r w:rsidRPr="003F62F9">
        <w:rPr>
          <w:rFonts w:ascii="Verdana" w:eastAsia="Calibri" w:hAnsi="Verdana" w:cs="Arial"/>
          <w:color w:val="000000"/>
          <w:lang w:val="es-ES"/>
        </w:rPr>
        <w:t xml:space="preserve"> </w:t>
      </w:r>
      <w:r w:rsidRPr="003F62F9">
        <w:rPr>
          <w:rFonts w:ascii="Verdana" w:eastAsia="Calibri" w:hAnsi="Verdana" w:cs="Arial"/>
          <w:color w:val="000000"/>
          <w:lang w:val="es-ES_tradnl"/>
        </w:rPr>
        <w:t xml:space="preserve">Según se indicó, el artículo 53 de la Ley 2195 de 2022 hace obligatorio el uso del SECOP II para las entidades exceptuadas del Estatuto </w:t>
      </w:r>
      <w:r w:rsidRPr="003F62F9">
        <w:rPr>
          <w:rFonts w:ascii="Verdana" w:eastAsia="Calibri" w:hAnsi="Verdana" w:cs="Arial"/>
          <w:color w:val="000000"/>
          <w:lang w:val="es-ES_tradnl"/>
        </w:rPr>
        <w:lastRenderedPageBreak/>
        <w:t>General de Contratación de la Administración Pública. En efecto, esta norma dispone:</w:t>
      </w:r>
    </w:p>
    <w:p w14:paraId="64E27041" w14:textId="77777777" w:rsidR="00484327" w:rsidRPr="003F62F9" w:rsidRDefault="00484327" w:rsidP="00484327">
      <w:pPr>
        <w:spacing w:line="240" w:lineRule="auto"/>
        <w:ind w:left="709" w:right="709"/>
        <w:jc w:val="both"/>
        <w:rPr>
          <w:rFonts w:ascii="Verdana" w:eastAsia="Calibri" w:hAnsi="Verdana" w:cs="Arial"/>
          <w:sz w:val="20"/>
          <w:szCs w:val="20"/>
        </w:rPr>
      </w:pPr>
      <w:r w:rsidRPr="003F62F9">
        <w:rPr>
          <w:rFonts w:ascii="Verdana" w:eastAsia="Calibri" w:hAnsi="Verdana" w:cs="Arial"/>
          <w:sz w:val="20"/>
          <w:szCs w:val="20"/>
        </w:rPr>
        <w:t>Adiciónese los siguientes incisos al artículo 13 de la Ley 1150 de 2007, el cual quedará así:</w:t>
      </w:r>
    </w:p>
    <w:p w14:paraId="5DF96A84" w14:textId="77777777" w:rsidR="00484327" w:rsidRPr="003F62F9" w:rsidRDefault="00484327" w:rsidP="00484327">
      <w:pPr>
        <w:spacing w:line="240" w:lineRule="auto"/>
        <w:ind w:left="709" w:right="709"/>
        <w:jc w:val="both"/>
        <w:rPr>
          <w:rFonts w:ascii="Verdana" w:eastAsia="Calibri" w:hAnsi="Verdana" w:cs="Arial"/>
          <w:sz w:val="20"/>
          <w:szCs w:val="20"/>
        </w:rPr>
      </w:pPr>
      <w:r w:rsidRPr="003F62F9">
        <w:rPr>
          <w:rFonts w:ascii="Verdana" w:eastAsia="Calibri" w:hAnsi="Verdana" w:cs="Arial"/>
          <w:sz w:val="20"/>
          <w:szCs w:val="20"/>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478424A" w14:textId="77777777" w:rsidR="00484327" w:rsidRPr="003F62F9" w:rsidRDefault="00484327" w:rsidP="00484327">
      <w:pPr>
        <w:spacing w:line="240" w:lineRule="auto"/>
        <w:ind w:left="709" w:right="709"/>
        <w:jc w:val="both"/>
        <w:rPr>
          <w:rFonts w:ascii="Verdana" w:eastAsia="Calibri" w:hAnsi="Verdana" w:cs="Arial"/>
          <w:sz w:val="20"/>
          <w:szCs w:val="20"/>
        </w:rPr>
      </w:pPr>
      <w:r w:rsidRPr="003F62F9">
        <w:rPr>
          <w:rFonts w:ascii="Verdana" w:eastAsia="Calibri" w:hAnsi="Verdana" w:cs="Arial"/>
          <w:sz w:val="20"/>
          <w:szCs w:val="20"/>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5493DFC8" w14:textId="77777777" w:rsidR="00484327" w:rsidRPr="003F62F9" w:rsidRDefault="00484327" w:rsidP="00484327">
      <w:pPr>
        <w:spacing w:line="240" w:lineRule="auto"/>
        <w:ind w:left="709" w:right="709"/>
        <w:jc w:val="both"/>
        <w:rPr>
          <w:rFonts w:ascii="Verdana" w:eastAsia="Calibri" w:hAnsi="Verdana" w:cs="Arial"/>
          <w:sz w:val="20"/>
          <w:szCs w:val="20"/>
        </w:rPr>
      </w:pPr>
      <w:r w:rsidRPr="003F62F9">
        <w:rPr>
          <w:rFonts w:ascii="Verdana" w:eastAsia="Calibri" w:hAnsi="Verdana" w:cs="Arial"/>
          <w:sz w:val="20"/>
          <w:szCs w:val="20"/>
        </w:rPr>
        <w:t>A partir de la entrada en vigencia de la presente Ley, se establecerá un periodo de transición de seis (6) meses, para que las entidades den cumplimiento efectivo a lo aquí establecido.</w:t>
      </w:r>
    </w:p>
    <w:p w14:paraId="47FCDFC3" w14:textId="77777777" w:rsidR="00484327" w:rsidRPr="003F62F9" w:rsidRDefault="00484327" w:rsidP="00484327">
      <w:pPr>
        <w:spacing w:line="276" w:lineRule="auto"/>
        <w:ind w:firstLine="709"/>
        <w:jc w:val="both"/>
        <w:rPr>
          <w:rFonts w:ascii="Verdana" w:eastAsia="Calibri" w:hAnsi="Verdana" w:cs="Arial"/>
          <w:color w:val="000000"/>
          <w:lang w:val="es-ES_tradnl"/>
        </w:rPr>
      </w:pPr>
      <w:r w:rsidRPr="003F62F9">
        <w:rPr>
          <w:rFonts w:ascii="Verdana" w:eastAsia="Calibri" w:hAnsi="Verdana" w:cs="Arial"/>
          <w:color w:val="000000"/>
          <w:lang w:val="es-ES_tradnl"/>
        </w:rPr>
        <w:t xml:space="preserve">Como puede observarse,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4B210917" w14:textId="77777777" w:rsidR="00484327" w:rsidRPr="003F62F9" w:rsidRDefault="00484327" w:rsidP="00484327">
      <w:pPr>
        <w:spacing w:before="120" w:line="276" w:lineRule="auto"/>
        <w:ind w:firstLine="709"/>
        <w:jc w:val="both"/>
        <w:rPr>
          <w:rFonts w:ascii="Verdana" w:eastAsia="Calibri" w:hAnsi="Verdana" w:cs="Arial"/>
          <w:color w:val="000000"/>
          <w:lang w:val="es-ES_tradnl"/>
        </w:rPr>
      </w:pPr>
      <w:r w:rsidRPr="003F62F9">
        <w:rPr>
          <w:rFonts w:ascii="Verdana" w:eastAsia="Calibri" w:hAnsi="Verdana" w:cs="Arial"/>
          <w:color w:val="000000"/>
          <w:lang w:val="es-ES_tradnl"/>
        </w:rPr>
        <w:t xml:space="preserve">La Agencia Nacional de Contratación Pública – Colombia Compra Eficiente considera que al establecer el artículo 53 que este deber ha de cumplirse en el SECOP II “o la plataforma transaccional que haga sus veces” esto debe </w:t>
      </w:r>
      <w:r w:rsidRPr="003F62F9">
        <w:rPr>
          <w:rFonts w:ascii="Verdana" w:eastAsia="Calibri" w:hAnsi="Verdana" w:cs="Arial"/>
          <w:color w:val="000000"/>
          <w:lang w:val="es-ES_tradnl"/>
        </w:rPr>
        <w:lastRenderedPageBreak/>
        <w:t xml:space="preserve">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p>
    <w:p w14:paraId="4D669B9C" w14:textId="77777777" w:rsidR="00484327" w:rsidRPr="003F62F9" w:rsidRDefault="00484327" w:rsidP="00484327">
      <w:pPr>
        <w:spacing w:after="120" w:line="276" w:lineRule="auto"/>
        <w:ind w:firstLine="708"/>
        <w:jc w:val="both"/>
        <w:rPr>
          <w:rFonts w:ascii="Verdana" w:hAnsi="Verdana" w:cs="Arial"/>
          <w:lang w:eastAsia="es-CO"/>
        </w:rPr>
      </w:pPr>
      <w:r w:rsidRPr="001B7B03">
        <w:rPr>
          <w:rFonts w:ascii="Verdana" w:hAnsi="Verdana" w:cs="Arial"/>
          <w:lang w:eastAsia="es-CO"/>
        </w:rPr>
        <w:t>Debe precisarse, no obstante, que el artículo 53 de la Ley 2195 de 2022 —en cuanto adiciona el artículo 13 de la Ley 1150 de 2007— se dirige a las «entidades estatales» que cuentan con un régimen contractual excepcional al Estatuto General. Por consiguiente, vincula de manera directa a las EPS-I que tengan naturaleza estatal, pero no a las de naturaleza privada, que no son destinatarias de esa norma. Ello no significa que estas últimas queden relevadas del deber de publicidad: cuando ejecutan recursos públicos, su obligación de publicar en el SECOP se fundamenta en el literal c) del artículo 3 de la Ley 1150 de 2007, desarrollado por el Decreto 1081 de 2015, y en la Ley 1712 de 2014, tal como lo reconoció el Consejo de Estado en el auto antes citado, que extendió el deber a todos los sujetos que contratan con dineros públicos, incluidos los particulares. La publicación de estas entidades se efectúa a través del «módulo de régimen especial» dispuesto en el SECOP II, en los términos recordados por la Circular Externa Única de esta Agencia.</w:t>
      </w:r>
    </w:p>
    <w:p w14:paraId="746C8ADB" w14:textId="77777777" w:rsidR="00484327" w:rsidRPr="003F62F9" w:rsidRDefault="00484327" w:rsidP="00484327">
      <w:pPr>
        <w:spacing w:before="120" w:line="276" w:lineRule="auto"/>
        <w:ind w:firstLine="709"/>
        <w:jc w:val="both"/>
        <w:rPr>
          <w:rFonts w:ascii="Verdana" w:eastAsia="Calibri" w:hAnsi="Verdana" w:cs="Arial"/>
          <w:color w:val="000000"/>
          <w:lang w:val="es-ES"/>
        </w:rPr>
      </w:pPr>
      <w:r w:rsidRPr="003F62F9">
        <w:rPr>
          <w:rFonts w:ascii="Verdana" w:eastAsia="Calibri" w:hAnsi="Verdana" w:cs="Arial"/>
          <w:color w:val="000000"/>
          <w:lang w:val="es-ES"/>
        </w:rPr>
        <w:t>Finalmente, el referido artículo dispone, en el inciso final, que “A partir de la entrada en vigencia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 La Agencia Nacional de Contratación Pública – Colombia Compra Eficiente también podría impartir directrices sobre este tema a través de sus instrumentos doctrinarios y reglamentarios</w:t>
      </w:r>
      <w:r w:rsidRPr="003F62F9">
        <w:rPr>
          <w:rStyle w:val="Refdenotaalpie"/>
          <w:rFonts w:ascii="Verdana" w:eastAsia="Calibri" w:hAnsi="Verdana" w:cs="Arial"/>
          <w:color w:val="000000"/>
          <w:lang w:val="es-ES"/>
        </w:rPr>
        <w:footnoteReference w:id="25"/>
      </w:r>
      <w:r w:rsidRPr="003F62F9">
        <w:rPr>
          <w:rFonts w:ascii="Verdana" w:eastAsia="Calibri" w:hAnsi="Verdana" w:cs="Arial"/>
          <w:color w:val="000000"/>
          <w:lang w:val="es-ES"/>
        </w:rPr>
        <w:t>.</w:t>
      </w:r>
    </w:p>
    <w:p w14:paraId="0317F5F0" w14:textId="77777777" w:rsidR="00484327" w:rsidRPr="003F62F9" w:rsidRDefault="00484327" w:rsidP="00484327">
      <w:pPr>
        <w:spacing w:before="120" w:line="276" w:lineRule="auto"/>
        <w:ind w:firstLine="709"/>
        <w:jc w:val="both"/>
        <w:rPr>
          <w:rFonts w:ascii="Verdana" w:eastAsia="Calibri" w:hAnsi="Verdana" w:cs="Arial"/>
          <w:color w:val="000000"/>
          <w:lang w:val="es-ES_tradnl"/>
        </w:rPr>
      </w:pPr>
      <w:r w:rsidRPr="003F62F9">
        <w:rPr>
          <w:rFonts w:ascii="Verdana" w:eastAsia="Calibri" w:hAnsi="Verdana" w:cs="Arial"/>
          <w:color w:val="000000"/>
        </w:rPr>
        <w:t xml:space="preserve">En conclusión, de los argumentos precedentes se puede indicar que las EPS están obligadas a publicar en el SECOP la información contractual correspondiente cuando esta se encuentre asociada a la ejecución de recursos </w:t>
      </w:r>
      <w:r w:rsidRPr="003F62F9">
        <w:rPr>
          <w:rFonts w:ascii="Verdana" w:eastAsia="Calibri" w:hAnsi="Verdana" w:cs="Arial"/>
          <w:color w:val="000000"/>
        </w:rPr>
        <w:lastRenderedPageBreak/>
        <w:t>públicos, con independencia de su naturaleza jurídica o régimen contractual, sin que ello implique, en todos los casos, la obligación de publicar la totalidad de su actividad contractual. El alcance del deber deberá determinarse atendiendo a la naturaleza de la EPS, su régimen jurídico y el origen y destinación de los recursos involucrados.</w:t>
      </w:r>
    </w:p>
    <w:p w14:paraId="4942ADC3" w14:textId="77777777" w:rsidR="00484327" w:rsidRPr="003F62F9" w:rsidRDefault="00484327" w:rsidP="00484327">
      <w:pPr>
        <w:spacing w:before="120" w:line="276" w:lineRule="auto"/>
        <w:ind w:firstLine="709"/>
        <w:jc w:val="both"/>
        <w:rPr>
          <w:rFonts w:ascii="Verdana" w:hAnsi="Verdana" w:cs="Arial"/>
          <w:lang w:val="es-ES" w:eastAsia="es-ES"/>
        </w:rPr>
      </w:pPr>
      <w:r w:rsidRPr="003F62F9">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0E12632" w14:textId="77777777" w:rsidR="00501059" w:rsidRPr="00F47E0F" w:rsidRDefault="00501059" w:rsidP="00501059">
      <w:pPr>
        <w:spacing w:after="120" w:line="276" w:lineRule="auto"/>
        <w:ind w:firstLine="709"/>
        <w:jc w:val="both"/>
        <w:rPr>
          <w:rFonts w:ascii="Verdana" w:eastAsia="Times New Roman" w:hAnsi="Verdana" w:cs="Arial"/>
          <w:lang w:val="es-ES" w:eastAsia="es-ES_tradnl"/>
        </w:rPr>
      </w:pPr>
      <w:r w:rsidRPr="00F47E0F">
        <w:rPr>
          <w:rFonts w:ascii="Verdana" w:eastAsia="Times New Roman" w:hAnsi="Verdana" w:cs="Arial"/>
          <w:lang w:val="es-ES" w:eastAsia="es-ES_tradnl"/>
        </w:rPr>
        <w:t>Sin perjuicio de lo anterior, no debe perderse de vista que, en virtud del principio de transparencia, específicamente por cuenta de lo dispuesto en el numeral 4 del artículo 24 de la Ley 80 de 1993</w:t>
      </w:r>
      <w:r w:rsidRPr="00F47E0F">
        <w:rPr>
          <w:rFonts w:ascii="Verdana" w:eastAsia="Times New Roman" w:hAnsi="Verdana" w:cs="Arial"/>
          <w:vertAlign w:val="superscript"/>
          <w:lang w:val="es-ES" w:eastAsia="es-ES_tradnl"/>
        </w:rPr>
        <w:footnoteReference w:id="26"/>
      </w:r>
      <w:r w:rsidRPr="00F47E0F">
        <w:rPr>
          <w:rFonts w:ascii="Verdana" w:eastAsia="Times New Roman" w:hAnsi="Verdana" w:cs="Arial"/>
          <w:lang w:val="es-ES" w:eastAsia="es-ES_tradnl"/>
        </w:rPr>
        <w:t>, así como por el principio de máxima publicidad establecido en el artículo 2 de la Ley 1712 de 2014</w:t>
      </w:r>
      <w:r w:rsidRPr="00F47E0F">
        <w:rPr>
          <w:rFonts w:ascii="Verdana" w:eastAsia="Times New Roman" w:hAnsi="Verdana" w:cs="Arial"/>
          <w:vertAlign w:val="superscript"/>
          <w:lang w:val="es-ES" w:eastAsia="es-ES_tradnl"/>
        </w:rPr>
        <w:footnoteReference w:id="27"/>
      </w:r>
      <w:r w:rsidRPr="00F47E0F">
        <w:rPr>
          <w:rFonts w:ascii="Verdana" w:eastAsia="Times New Roman" w:hAnsi="Verdana" w:cs="Arial"/>
          <w:lang w:val="es-ES" w:eastAsia="es-ES_tradnl"/>
        </w:rPr>
        <w:t>, el contenido del expediente en el que reposa la actuación es información pública, independientemente de si se trata de documentos que deban ser publicados en SECOP. Por lo anterior, 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w:t>
      </w:r>
      <w:r w:rsidRPr="00F47E0F">
        <w:rPr>
          <w:rFonts w:ascii="Verdana" w:eastAsia="Times New Roman" w:hAnsi="Verdana" w:cs="Arial"/>
          <w:vertAlign w:val="superscript"/>
          <w:lang w:val="es-ES" w:eastAsia="es-ES_tradnl"/>
        </w:rPr>
        <w:footnoteReference w:id="28"/>
      </w:r>
      <w:r w:rsidRPr="00F47E0F">
        <w:rPr>
          <w:rFonts w:ascii="Verdana" w:eastAsia="Times New Roman" w:hAnsi="Verdana" w:cs="Arial"/>
          <w:lang w:val="es-ES" w:eastAsia="es-ES_tradnl"/>
        </w:rPr>
        <w:t xml:space="preserve">. Esta posibilidad solo se encuentra limitada </w:t>
      </w:r>
      <w:r w:rsidRPr="00F47E0F">
        <w:rPr>
          <w:rFonts w:ascii="Verdana" w:eastAsia="Times New Roman" w:hAnsi="Verdana" w:cs="Arial"/>
          <w:lang w:val="es-ES" w:eastAsia="es-ES_tradnl"/>
        </w:rPr>
        <w:lastRenderedPageBreak/>
        <w:t>respecto de la documentación que tenga la calidad de reservada</w:t>
      </w:r>
      <w:r w:rsidRPr="00F47E0F">
        <w:rPr>
          <w:rFonts w:ascii="Verdana" w:eastAsia="Times New Roman" w:hAnsi="Verdana" w:cs="Arial"/>
          <w:vertAlign w:val="superscript"/>
          <w:lang w:val="es-ES" w:eastAsia="es-ES_tradnl"/>
        </w:rPr>
        <w:footnoteReference w:id="29"/>
      </w:r>
      <w:r w:rsidRPr="00F47E0F">
        <w:rPr>
          <w:rFonts w:ascii="Verdana" w:eastAsia="Times New Roman" w:hAnsi="Verdana" w:cs="Arial"/>
          <w:lang w:val="es-ES" w:eastAsia="es-ES_tradnl"/>
        </w:rPr>
        <w:t>, que deberá someterse al tratamiento establecido en el artículo 36 del CPACA, en lo relativo a la formación de cuadernos separados</w:t>
      </w:r>
      <w:r w:rsidRPr="00F47E0F">
        <w:rPr>
          <w:rFonts w:ascii="Verdana" w:eastAsia="Times New Roman" w:hAnsi="Verdana" w:cs="Arial"/>
          <w:vertAlign w:val="superscript"/>
          <w:lang w:val="es-ES" w:eastAsia="es-ES_tradnl"/>
        </w:rPr>
        <w:footnoteReference w:id="30"/>
      </w:r>
      <w:r w:rsidRPr="00F47E0F">
        <w:rPr>
          <w:rFonts w:ascii="Verdana" w:eastAsia="Times New Roman" w:hAnsi="Verdana" w:cs="Arial"/>
          <w:lang w:val="es-ES" w:eastAsia="es-ES_tradnl"/>
        </w:rPr>
        <w:t>.</w:t>
      </w:r>
    </w:p>
    <w:p w14:paraId="0883360B" w14:textId="77777777" w:rsidR="00501059" w:rsidRPr="00F47E0F" w:rsidRDefault="00501059" w:rsidP="00501059">
      <w:pPr>
        <w:tabs>
          <w:tab w:val="left" w:pos="426"/>
        </w:tabs>
        <w:spacing w:after="120" w:line="276" w:lineRule="auto"/>
        <w:jc w:val="both"/>
        <w:rPr>
          <w:rFonts w:ascii="Verdana" w:eastAsia="Calibri" w:hAnsi="Verdana" w:cs="Arial"/>
          <w:color w:val="000000"/>
          <w:lang w:val="es-ES_tradnl" w:eastAsia="en-GB"/>
        </w:rPr>
      </w:pPr>
      <w:bookmarkStart w:id="4" w:name="_Hlk150762861"/>
      <w:r w:rsidRPr="00F47E0F">
        <w:rPr>
          <w:rFonts w:ascii="Verdana" w:eastAsia="Calibri" w:hAnsi="Verdana" w:cs="Arial"/>
          <w:szCs w:val="24"/>
          <w:lang w:eastAsia="es-ES_tradnl"/>
        </w:rPr>
        <w:tab/>
      </w:r>
      <w:r w:rsidRPr="00F47E0F">
        <w:rPr>
          <w:rFonts w:ascii="Verdana" w:eastAsia="Calibri" w:hAnsi="Verdana" w:cs="Arial"/>
          <w:szCs w:val="24"/>
          <w:lang w:eastAsia="es-ES_tradnl"/>
        </w:rPr>
        <w:tab/>
      </w:r>
      <w:bookmarkEnd w:id="4"/>
      <w:r w:rsidRPr="00F47E0F">
        <w:rPr>
          <w:rFonts w:ascii="Verdana" w:eastAsia="Calibri" w:hAnsi="Verdana" w:cs="Arial"/>
          <w:lang w:val="es-ES" w:eastAsia="es-ES_tradnl"/>
        </w:rPr>
        <w:t xml:space="preserve">No obstante, lo expresado,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actuar de conformidad con el tratamiento que impongan tales normas, absteniéndose, de ser el caso, de publicar los documentos del proceso, algunos de ellos o algunos apartes de dichos documentos en los que se evidencie este tipo de información. </w:t>
      </w:r>
    </w:p>
    <w:p w14:paraId="2CBCEA70" w14:textId="77777777" w:rsidR="00501059" w:rsidRPr="00F47E0F" w:rsidRDefault="00501059" w:rsidP="00501059">
      <w:pPr>
        <w:spacing w:after="120" w:line="276" w:lineRule="auto"/>
        <w:ind w:firstLine="709"/>
        <w:jc w:val="both"/>
        <w:rPr>
          <w:rFonts w:ascii="Verdana" w:eastAsia="Calibri" w:hAnsi="Verdana" w:cs="Arial"/>
          <w:color w:val="000000"/>
          <w:lang w:val="es-ES" w:eastAsia="en-GB"/>
        </w:rPr>
      </w:pPr>
      <w:r w:rsidRPr="5D25815E">
        <w:rPr>
          <w:rFonts w:ascii="Verdana" w:eastAsia="Calibri" w:hAnsi="Verdana" w:cs="Arial"/>
          <w:color w:val="000000" w:themeColor="text1"/>
          <w:lang w:val="es-ES" w:eastAsia="en-GB"/>
        </w:rPr>
        <w:t xml:space="preserve">En otras palabras, aunque el artículo 74 de la Constitución establezca que la información pública debe ser dada a conocer a la ciudadanía y así los </w:t>
      </w:r>
      <w:r w:rsidRPr="5D25815E">
        <w:rPr>
          <w:rFonts w:ascii="Verdana" w:eastAsia="Calibri" w:hAnsi="Verdana" w:cs="Arial"/>
          <w:color w:val="000000" w:themeColor="text1"/>
          <w:lang w:val="es-ES" w:eastAsia="en-GB"/>
        </w:rPr>
        <w:lastRenderedPageBreak/>
        <w:t xml:space="preserve">documentos que hagan parte de la actividad contractual puedan catalogarse, </w:t>
      </w:r>
      <w:r w:rsidRPr="5D25815E">
        <w:rPr>
          <w:rFonts w:ascii="Verdana" w:eastAsia="Calibri" w:hAnsi="Verdana" w:cs="Arial"/>
          <w:i/>
          <w:color w:val="000000" w:themeColor="text1"/>
          <w:lang w:val="es-ES" w:eastAsia="en-GB"/>
        </w:rPr>
        <w:t>prima facie,</w:t>
      </w:r>
      <w:r w:rsidRPr="5D25815E">
        <w:rPr>
          <w:rFonts w:ascii="Verdana" w:eastAsia="Calibri" w:hAnsi="Verdana" w:cs="Arial"/>
          <w:color w:val="000000" w:themeColor="text1"/>
          <w:lang w:val="es-ES"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w:t>
      </w:r>
    </w:p>
    <w:p w14:paraId="667A8521" w14:textId="77777777" w:rsidR="00501059" w:rsidRPr="00F47E0F" w:rsidRDefault="00501059" w:rsidP="00501059">
      <w:pPr>
        <w:spacing w:after="120" w:line="276" w:lineRule="auto"/>
        <w:ind w:firstLine="709"/>
        <w:jc w:val="both"/>
        <w:rPr>
          <w:rFonts w:ascii="Verdana" w:eastAsia="Calibri" w:hAnsi="Verdana" w:cs="Arial"/>
          <w:color w:val="000000"/>
          <w:lang w:val="es-ES" w:eastAsia="en-GB"/>
        </w:rPr>
      </w:pPr>
      <w:r w:rsidRPr="5D25815E">
        <w:rPr>
          <w:rFonts w:ascii="Verdana" w:eastAsia="Calibri" w:hAnsi="Verdana" w:cs="Arial"/>
          <w:color w:val="000000"/>
          <w:lang w:val="es-ES" w:eastAsia="en-GB"/>
        </w:rPr>
        <w:t>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w:t>
      </w:r>
      <w:r w:rsidRPr="5D25815E">
        <w:rPr>
          <w:rFonts w:ascii="Verdana" w:eastAsia="Calibri" w:hAnsi="Verdana" w:cs="Arial"/>
          <w:color w:val="000000"/>
          <w:vertAlign w:val="superscript"/>
          <w:lang w:val="es-ES" w:eastAsia="en-GB"/>
        </w:rPr>
        <w:footnoteReference w:id="31"/>
      </w:r>
      <w:r w:rsidRPr="5D25815E">
        <w:rPr>
          <w:rFonts w:ascii="Verdana" w:eastAsia="Calibri" w:hAnsi="Verdana" w:cs="Arial"/>
          <w:color w:val="000000"/>
          <w:lang w:val="es-ES" w:eastAsia="en-GB"/>
        </w:rPr>
        <w:t>. Sin perjuicio de lo anterior, es posible que el contenido de todo el documento o expediente no deba ser objeto de publicidad por estar amparado de forma íntegra por la reserva, dada su conexión con las causales establecidas en la Constitución o la ley.</w:t>
      </w:r>
    </w:p>
    <w:p w14:paraId="055236E8" w14:textId="77777777" w:rsidR="00501059" w:rsidRPr="00F47E0F" w:rsidRDefault="00501059" w:rsidP="00501059">
      <w:pPr>
        <w:tabs>
          <w:tab w:val="left" w:pos="426"/>
        </w:tabs>
        <w:spacing w:after="120" w:line="276" w:lineRule="auto"/>
        <w:ind w:firstLine="709"/>
        <w:jc w:val="both"/>
        <w:rPr>
          <w:rFonts w:ascii="Verdana" w:eastAsia="Calibri" w:hAnsi="Verdana" w:cs="Arial"/>
          <w:color w:val="000000"/>
          <w:lang w:val="es-ES_tradnl" w:eastAsia="en-GB"/>
        </w:rPr>
      </w:pPr>
      <w:r w:rsidRPr="00F47E0F">
        <w:rPr>
          <w:rFonts w:ascii="Verdana" w:eastAsia="Calibri" w:hAnsi="Verdana" w:cs="Arial"/>
          <w:color w:val="000000"/>
          <w:lang w:val="es-ES_tradnl" w:eastAsia="en-GB"/>
        </w:rPr>
        <w:t xml:space="preserve">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w:t>
      </w:r>
      <w:r w:rsidRPr="00F47E0F">
        <w:rPr>
          <w:rFonts w:ascii="Verdana" w:eastAsia="Calibri" w:hAnsi="Verdana" w:cs="Arial"/>
          <w:color w:val="000000"/>
          <w:lang w:val="es-ES_tradnl" w:eastAsia="en-GB"/>
        </w:rPr>
        <w:lastRenderedPageBreak/>
        <w:t>de 2012 y en el artículo 2.2.2.25.1.3., numeral 3 –que compiló al Decreto 1377 de 2013 (art. 3)–, solo podrá divulgarse según las reglas establecidas en dichas normas.</w:t>
      </w:r>
    </w:p>
    <w:p w14:paraId="3E1115AF" w14:textId="77777777" w:rsidR="00501059" w:rsidRPr="00F47E0F" w:rsidRDefault="00501059" w:rsidP="00501059">
      <w:pPr>
        <w:tabs>
          <w:tab w:val="left" w:pos="426"/>
        </w:tabs>
        <w:spacing w:after="120" w:line="276" w:lineRule="auto"/>
        <w:ind w:firstLine="709"/>
        <w:jc w:val="both"/>
        <w:rPr>
          <w:rFonts w:ascii="Verdana" w:eastAsia="Calibri" w:hAnsi="Verdana" w:cs="Arial"/>
          <w:color w:val="000000"/>
          <w:lang w:val="es-ES_tradnl" w:eastAsia="en-GB"/>
        </w:rPr>
      </w:pPr>
      <w:r w:rsidRPr="00F47E0F">
        <w:rPr>
          <w:rFonts w:ascii="Verdana" w:eastAsia="Calibri" w:hAnsi="Verdana" w:cs="Arial"/>
          <w:color w:val="000000"/>
          <w:lang w:val="es-ES_tradnl" w:eastAsia="en-GB"/>
        </w:rPr>
        <w:t>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3079A547" w14:textId="77777777" w:rsidR="00501059" w:rsidRPr="00F47E0F" w:rsidRDefault="00501059" w:rsidP="00501059">
      <w:pPr>
        <w:tabs>
          <w:tab w:val="left" w:pos="426"/>
        </w:tabs>
        <w:spacing w:after="0" w:line="276" w:lineRule="auto"/>
        <w:ind w:firstLine="709"/>
        <w:jc w:val="both"/>
        <w:rPr>
          <w:rFonts w:ascii="Verdana" w:eastAsia="Calibri" w:hAnsi="Verdana" w:cs="Arial"/>
          <w:color w:val="000000"/>
          <w:lang w:val="es-ES" w:eastAsia="en-GB"/>
        </w:rPr>
      </w:pPr>
      <w:r w:rsidRPr="5D25815E">
        <w:rPr>
          <w:rFonts w:ascii="Verdana" w:eastAsia="Calibri" w:hAnsi="Verdana" w:cs="Arial"/>
          <w:color w:val="000000" w:themeColor="text1"/>
          <w:lang w:val="es-ES" w:eastAsia="en-GB"/>
        </w:rPr>
        <w:t xml:space="preserve">En efecto, de conformidad con la Constitución y la jurisprudencia de las altas cortes, la reserva de información pública solo puede crearla el constituyente o el legislador. Además, como se viene explicando, para efectos de la consulta realizada a la Agencia, las Leyes estatutarias 1712 de 2014 y la 1755 de 2015 –que sustituyó los artículos 13 a 33 de la Ley 1437 de 2011– establecen reservas particulares de información pública. En armonía con lo anterior, cabe reiterar lo que se afirmó anteriormente en el sentido de que la creación de reservas de información pública es un asunto reservado al constituyente o al legislador. </w:t>
      </w:r>
    </w:p>
    <w:p w14:paraId="45C6724E" w14:textId="77777777" w:rsidR="00501059" w:rsidRPr="00F47E0F" w:rsidRDefault="00501059" w:rsidP="00501059">
      <w:pPr>
        <w:widowControl w:val="0"/>
        <w:autoSpaceDE w:val="0"/>
        <w:autoSpaceDN w:val="0"/>
        <w:spacing w:after="0" w:line="276" w:lineRule="auto"/>
        <w:jc w:val="both"/>
        <w:rPr>
          <w:rFonts w:ascii="Verdana" w:hAnsi="Verdana" w:cs="Arial"/>
        </w:rPr>
      </w:pPr>
    </w:p>
    <w:p w14:paraId="691BE82F" w14:textId="77777777" w:rsidR="00501059" w:rsidRPr="00F47E0F" w:rsidRDefault="00501059" w:rsidP="0050105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Referencias normativas, jurisprudenciales y otras fuentes:</w:t>
      </w:r>
    </w:p>
    <w:p w14:paraId="6EA748B6" w14:textId="77777777" w:rsidR="00501059" w:rsidRPr="00F47E0F" w:rsidRDefault="00501059" w:rsidP="005010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1059" w:rsidRPr="00F47E0F" w14:paraId="19F886C3" w14:textId="77777777" w:rsidTr="007D2EE7">
        <w:trPr>
          <w:trHeight w:val="870"/>
        </w:trPr>
        <w:tc>
          <w:tcPr>
            <w:tcW w:w="8647" w:type="dxa"/>
          </w:tcPr>
          <w:p w14:paraId="25CA4E6E"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Constitución Política, artículos 48, 74 y 209.</w:t>
            </w:r>
          </w:p>
          <w:p w14:paraId="5D2FA1F2"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Ley 100 de 1993, artícul</w:t>
            </w:r>
            <w:r w:rsidRPr="008A5A56">
              <w:rPr>
                <w:rFonts w:ascii="Verdana" w:hAnsi="Verdana" w:cs="Arial"/>
                <w:lang w:val="es-ES_tradnl"/>
              </w:rPr>
              <w:t xml:space="preserve">os </w:t>
            </w:r>
            <w:r w:rsidRPr="001B7B03">
              <w:rPr>
                <w:rFonts w:ascii="Verdana" w:hAnsi="Verdana" w:cs="Arial"/>
                <w:lang w:val="es-ES_tradnl"/>
              </w:rPr>
              <w:t>8, 180, 181, 195 y 214</w:t>
            </w:r>
          </w:p>
          <w:p w14:paraId="0764AA28" w14:textId="77777777" w:rsidR="00537B40" w:rsidRPr="008A5A56"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Ley 489 de 1998, artículos 68, 69, 85 y 97.</w:t>
            </w:r>
          </w:p>
          <w:p w14:paraId="3BE0653F" w14:textId="77777777" w:rsidR="00537B40" w:rsidRPr="008A5A56"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Ley 691 de 2001, artículos 1, 14, 15 y 25.</w:t>
            </w:r>
          </w:p>
          <w:p w14:paraId="2A98FBE1"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lastRenderedPageBreak/>
              <w:t>Ley 1438 de 2011, artículo 100.</w:t>
            </w:r>
          </w:p>
          <w:p w14:paraId="4A039FFC"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Ley 1150 de 2007, artículos 3 y 13.</w:t>
            </w:r>
          </w:p>
          <w:p w14:paraId="081D57B3" w14:textId="77777777" w:rsidR="00537B40" w:rsidRPr="008A5A56"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Ley 1122 de 2007, artículo 45.</w:t>
            </w:r>
          </w:p>
          <w:p w14:paraId="68BA16A3" w14:textId="77777777" w:rsidR="00537B40" w:rsidRPr="008A5A56"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Ley 2195 de 2022, artículo 53.</w:t>
            </w:r>
          </w:p>
          <w:p w14:paraId="4603564A"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Ley 2333 de 2023.</w:t>
            </w:r>
          </w:p>
          <w:p w14:paraId="09121E04" w14:textId="77777777" w:rsidR="00537B40" w:rsidRPr="008A5A56"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Decreto 1088 de 1993, artículos 2 y 3.</w:t>
            </w:r>
          </w:p>
          <w:p w14:paraId="17163DB9"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rPr>
              <w:t xml:space="preserve">Decreto Ley 4170 de 2011, artículo 3° numerales 2, 5 y 8. </w:t>
            </w:r>
          </w:p>
          <w:p w14:paraId="4B4A9382"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 xml:space="preserve">Ley 1712 de 2014, artículos 5, 9, 10 y 11. </w:t>
            </w:r>
          </w:p>
          <w:p w14:paraId="0709D000"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 xml:space="preserve">Decreto 1081 de 2015, artículos 2.1.1.2.1.7., </w:t>
            </w:r>
            <w:r w:rsidRPr="003F62F9">
              <w:rPr>
                <w:rFonts w:ascii="Verdana" w:eastAsia="Calibri" w:hAnsi="Verdana" w:cs="Arial"/>
                <w:color w:val="000000"/>
                <w:lang w:val="es-ES"/>
              </w:rPr>
              <w:t xml:space="preserve">2.1.1.4.3.2. </w:t>
            </w:r>
          </w:p>
          <w:p w14:paraId="1E7D4773"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Decreto 1082 de 2015, artículos 2.2.1.1.1.7.1, 2.2.1.1.1.3.1., 2.2.2.1.8.3., 2.2.2.1.5.11., 2.2.2.1.12.7.</w:t>
            </w:r>
          </w:p>
          <w:p w14:paraId="472ACA23"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rPr>
              <w:t xml:space="preserve">Consejo de Estado. Sección Tercera. Subsección C. Auto del 14 de agosto de 2017. </w:t>
            </w:r>
            <w:proofErr w:type="spellStart"/>
            <w:r w:rsidRPr="003F62F9">
              <w:rPr>
                <w:rFonts w:ascii="Verdana" w:hAnsi="Verdana" w:cs="Arial"/>
              </w:rPr>
              <w:t>Exp</w:t>
            </w:r>
            <w:proofErr w:type="spellEnd"/>
            <w:r w:rsidRPr="003F62F9">
              <w:rPr>
                <w:rFonts w:ascii="Verdana" w:hAnsi="Verdana" w:cs="Arial"/>
              </w:rPr>
              <w:t>. 58.820. C.P. Jaime Orlando Santofimio Gamboa.</w:t>
            </w:r>
          </w:p>
          <w:p w14:paraId="4F9985DE" w14:textId="77777777" w:rsidR="00537B40" w:rsidRPr="008A5A56"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rPr>
              <w:t xml:space="preserve">Consejo de Estado. Sala de Consulta y Servicio Civil. Concepto del 18 de junio de 2025. Rad. 11001-03-06-000-2025-00041-00 (2539). C.P. John Jairo Morales </w:t>
            </w:r>
            <w:proofErr w:type="spellStart"/>
            <w:r w:rsidRPr="001B7B03">
              <w:rPr>
                <w:rFonts w:ascii="Verdana" w:hAnsi="Verdana" w:cs="Arial"/>
              </w:rPr>
              <w:t>Alzate</w:t>
            </w:r>
            <w:proofErr w:type="spellEnd"/>
            <w:r w:rsidRPr="001B7B03">
              <w:rPr>
                <w:rFonts w:ascii="Verdana" w:hAnsi="Verdana" w:cs="Arial"/>
              </w:rPr>
              <w:t>.</w:t>
            </w:r>
          </w:p>
          <w:p w14:paraId="4FB177BB" w14:textId="77777777" w:rsidR="00537B40" w:rsidRPr="003F62F9" w:rsidRDefault="00537B40" w:rsidP="00537B40">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rPr>
              <w:t>Corte Constitucional. Sentencia C‒274 de 9 de mayo de 2013. M.P. María Victoria Calle Correa.</w:t>
            </w:r>
          </w:p>
          <w:p w14:paraId="592C77B0" w14:textId="664B11DB" w:rsidR="00501059" w:rsidRPr="00F47E0F" w:rsidRDefault="00537B40" w:rsidP="00537B40">
            <w:pPr>
              <w:widowControl w:val="0"/>
              <w:numPr>
                <w:ilvl w:val="0"/>
                <w:numId w:val="17"/>
              </w:numPr>
              <w:autoSpaceDE w:val="0"/>
              <w:autoSpaceDN w:val="0"/>
              <w:spacing w:after="120" w:line="276" w:lineRule="auto"/>
              <w:jc w:val="both"/>
              <w:rPr>
                <w:rFonts w:ascii="Verdana" w:hAnsi="Verdana" w:cs="Arial"/>
              </w:rPr>
            </w:pPr>
            <w:r w:rsidRPr="003F62F9">
              <w:rPr>
                <w:rFonts w:ascii="Verdana" w:hAnsi="Verdana" w:cs="Arial"/>
              </w:rPr>
              <w:t>Corte Constitucional. Sentencia C- 341 del 4 de junio de 2014. M. P. Mauricio González Cuervo</w:t>
            </w:r>
            <w:r>
              <w:rPr>
                <w:rFonts w:ascii="Verdana" w:hAnsi="Verdana" w:cs="Arial"/>
              </w:rPr>
              <w:t>.</w:t>
            </w:r>
            <w:r w:rsidR="00501059">
              <w:rPr>
                <w:rFonts w:ascii="Verdana" w:eastAsia="Calibri" w:hAnsi="Verdana" w:cs="Arial"/>
                <w:lang w:val="es-ES"/>
              </w:rPr>
              <w:t xml:space="preserve"> </w:t>
            </w:r>
          </w:p>
        </w:tc>
      </w:tr>
    </w:tbl>
    <w:p w14:paraId="6E56A8ED" w14:textId="77777777" w:rsidR="00501059" w:rsidRPr="00F47E0F" w:rsidRDefault="00501059" w:rsidP="00501059">
      <w:pPr>
        <w:widowControl w:val="0"/>
        <w:autoSpaceDE w:val="0"/>
        <w:autoSpaceDN w:val="0"/>
        <w:spacing w:after="0" w:line="276" w:lineRule="auto"/>
        <w:jc w:val="both"/>
        <w:rPr>
          <w:rFonts w:ascii="Verdana" w:hAnsi="Verdana" w:cs="Arial"/>
        </w:rPr>
      </w:pPr>
    </w:p>
    <w:p w14:paraId="0D9B6DE2" w14:textId="77777777" w:rsidR="00501059" w:rsidRPr="00F47E0F" w:rsidRDefault="00501059" w:rsidP="0050105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Doctrina de la Agencia Nacional de Contratación Pública:</w:t>
      </w:r>
    </w:p>
    <w:p w14:paraId="1ED32C3A" w14:textId="77777777" w:rsidR="00501059" w:rsidRPr="00F47E0F" w:rsidRDefault="00501059" w:rsidP="00501059">
      <w:pPr>
        <w:widowControl w:val="0"/>
        <w:autoSpaceDE w:val="0"/>
        <w:autoSpaceDN w:val="0"/>
        <w:spacing w:after="0" w:line="276" w:lineRule="auto"/>
        <w:jc w:val="both"/>
        <w:rPr>
          <w:rFonts w:ascii="Verdana" w:hAnsi="Verdana" w:cs="Arial"/>
        </w:rPr>
      </w:pPr>
    </w:p>
    <w:p w14:paraId="26547E98" w14:textId="77777777" w:rsidR="00501059" w:rsidRDefault="00501059" w:rsidP="00501059">
      <w:pPr>
        <w:widowControl w:val="0"/>
        <w:autoSpaceDE w:val="0"/>
        <w:autoSpaceDN w:val="0"/>
        <w:spacing w:after="0" w:line="276" w:lineRule="auto"/>
        <w:jc w:val="both"/>
        <w:rPr>
          <w:rFonts w:ascii="Verdana" w:hAnsi="Verdana" w:cs="Arial"/>
          <w:shd w:val="clear" w:color="auto" w:fill="FFFFFF"/>
          <w:lang w:val="es-ES"/>
        </w:rPr>
      </w:pPr>
      <w:r w:rsidRPr="00F47E0F">
        <w:rPr>
          <w:rFonts w:ascii="Verdana" w:eastAsia="Calibri" w:hAnsi="Verdana" w:cs="Arial"/>
          <w:lang w:eastAsia="es-MX"/>
        </w:rPr>
        <w:t>S</w:t>
      </w:r>
      <w:r w:rsidRPr="00F47E0F">
        <w:rPr>
          <w:rFonts w:ascii="Verdana" w:eastAsia="Calibri" w:hAnsi="Verdana" w:cs="Arial"/>
          <w:lang w:val="es-ES_tradnl" w:eastAsia="es-MX"/>
        </w:rPr>
        <w:t>obre la interpretación del artículo 53 de la Ley 2195 de 2022</w:t>
      </w:r>
      <w:r w:rsidRPr="00F47E0F">
        <w:rPr>
          <w:rFonts w:ascii="Verdana" w:hAnsi="Verdana" w:cs="Arial"/>
          <w:shd w:val="clear" w:color="auto" w:fill="FFFFFF"/>
          <w:lang w:val="es-ES"/>
        </w:rPr>
        <w:t xml:space="preserve"> se pronunció esta Subdirección en los conceptos</w:t>
      </w:r>
      <w:r w:rsidRPr="00F47E0F">
        <w:rPr>
          <w:rFonts w:ascii="Verdana" w:hAnsi="Verdana" w:cs="Calibri"/>
          <w:shd w:val="clear" w:color="auto" w:fill="FFFFFF"/>
        </w:rPr>
        <w:t xml:space="preserve"> </w:t>
      </w:r>
      <w:r w:rsidRPr="00F47E0F">
        <w:rPr>
          <w:rFonts w:ascii="Verdana" w:eastAsia="Calibri" w:hAnsi="Verdana" w:cs="Arial"/>
          <w:lang w:val="es-ES_tradnl" w:eastAsia="es-MX"/>
        </w:rPr>
        <w:t>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 C-071 del 28 de marzo de 2023</w:t>
      </w:r>
      <w:r w:rsidRPr="00F47E0F">
        <w:rPr>
          <w:rFonts w:ascii="Verdana" w:eastAsia="Aptos" w:hAnsi="Verdana" w:cs="Arial"/>
          <w:shd w:val="clear" w:color="auto" w:fill="FFFFFF"/>
          <w:lang w:val="es-ES"/>
        </w:rPr>
        <w:t xml:space="preserve">, </w:t>
      </w:r>
      <w:r w:rsidRPr="00F47E0F">
        <w:rPr>
          <w:rFonts w:ascii="Verdana" w:eastAsia="Aptos" w:hAnsi="Verdana" w:cs="Arial"/>
          <w:shd w:val="clear" w:color="auto" w:fill="FFFFFF"/>
          <w:lang w:val="es-ES"/>
        </w:rPr>
        <w:br/>
        <w:t>C-540 del 7 de octubre de 2024, C-710 del 20 de noviembre de 2024, C-058 del 24 de febrero de 2025, C-402 del 7 de mayo de 2025,</w:t>
      </w:r>
      <w:r>
        <w:rPr>
          <w:rFonts w:ascii="Verdana" w:eastAsia="Aptos" w:hAnsi="Verdana" w:cs="Arial"/>
          <w:shd w:val="clear" w:color="auto" w:fill="FFFFFF"/>
          <w:lang w:val="es-ES"/>
        </w:rPr>
        <w:t xml:space="preserve"> </w:t>
      </w:r>
      <w:r w:rsidRPr="003D324D">
        <w:rPr>
          <w:rFonts w:ascii="Verdana" w:eastAsia="Aptos" w:hAnsi="Verdana" w:cs="Arial"/>
          <w:shd w:val="clear" w:color="auto" w:fill="FFFFFF"/>
          <w:lang w:val="es-ES"/>
        </w:rPr>
        <w:t>C- 1053 de</w:t>
      </w:r>
      <w:r>
        <w:rPr>
          <w:rFonts w:ascii="Verdana" w:eastAsia="Aptos" w:hAnsi="Verdana" w:cs="Arial"/>
          <w:shd w:val="clear" w:color="auto" w:fill="FFFFFF"/>
          <w:lang w:val="es-ES"/>
        </w:rPr>
        <w:t xml:space="preserve">l 26 de agosto </w:t>
      </w:r>
      <w:r>
        <w:rPr>
          <w:rFonts w:ascii="Verdana" w:eastAsia="Aptos" w:hAnsi="Verdana" w:cs="Arial"/>
          <w:shd w:val="clear" w:color="auto" w:fill="FFFFFF"/>
          <w:lang w:val="es-ES"/>
        </w:rPr>
        <w:lastRenderedPageBreak/>
        <w:t>de</w:t>
      </w:r>
      <w:r w:rsidRPr="003D324D">
        <w:rPr>
          <w:rFonts w:ascii="Verdana" w:eastAsia="Aptos" w:hAnsi="Verdana" w:cs="Arial"/>
          <w:shd w:val="clear" w:color="auto" w:fill="FFFFFF"/>
          <w:lang w:val="es-ES"/>
        </w:rPr>
        <w:t xml:space="preserve"> 2025</w:t>
      </w:r>
      <w:r>
        <w:rPr>
          <w:rFonts w:ascii="Verdana" w:eastAsia="Aptos" w:hAnsi="Verdana" w:cs="Arial"/>
          <w:shd w:val="clear" w:color="auto" w:fill="FFFFFF"/>
          <w:lang w:val="es-ES"/>
        </w:rPr>
        <w:t>, C-1029 del 18 de septiembre de 2026,</w:t>
      </w:r>
      <w:r w:rsidRPr="00F47E0F">
        <w:rPr>
          <w:rFonts w:ascii="Verdana" w:eastAsia="Aptos" w:hAnsi="Verdana" w:cs="Arial"/>
          <w:shd w:val="clear" w:color="auto" w:fill="FFFFFF"/>
          <w:lang w:val="es-ES"/>
        </w:rPr>
        <w:t xml:space="preserve"> entre otros</w:t>
      </w:r>
      <w:r w:rsidRPr="00F47E0F">
        <w:rPr>
          <w:rFonts w:ascii="Verdana" w:hAnsi="Verdana" w:cs="Arial"/>
          <w:shd w:val="clear" w:color="auto" w:fill="FFFFFF"/>
          <w:lang w:val="es-ES"/>
        </w:rPr>
        <w:t xml:space="preserve">. </w:t>
      </w:r>
    </w:p>
    <w:p w14:paraId="128958AD" w14:textId="77777777" w:rsidR="00501059" w:rsidRDefault="00501059" w:rsidP="00501059">
      <w:pPr>
        <w:widowControl w:val="0"/>
        <w:autoSpaceDE w:val="0"/>
        <w:autoSpaceDN w:val="0"/>
        <w:spacing w:after="0" w:line="276" w:lineRule="auto"/>
        <w:jc w:val="both"/>
        <w:rPr>
          <w:rFonts w:ascii="Verdana" w:hAnsi="Verdana" w:cs="Arial"/>
          <w:shd w:val="clear" w:color="auto" w:fill="FFFFFF"/>
          <w:lang w:val="es-ES"/>
        </w:rPr>
      </w:pPr>
    </w:p>
    <w:p w14:paraId="3A1B94F4" w14:textId="7B945611" w:rsidR="00501059" w:rsidRPr="00F47E0F" w:rsidRDefault="00501059" w:rsidP="00501059">
      <w:pPr>
        <w:widowControl w:val="0"/>
        <w:autoSpaceDE w:val="0"/>
        <w:autoSpaceDN w:val="0"/>
        <w:spacing w:after="0" w:line="276" w:lineRule="auto"/>
        <w:jc w:val="both"/>
        <w:rPr>
          <w:rFonts w:ascii="Verdana" w:hAnsi="Verdana" w:cs="Arial"/>
          <w:shd w:val="clear" w:color="auto" w:fill="FFFFFF"/>
          <w:lang w:val="es-ES"/>
        </w:rPr>
      </w:pPr>
      <w:r>
        <w:rPr>
          <w:rFonts w:ascii="Verdana" w:hAnsi="Verdana" w:cs="Arial"/>
          <w:shd w:val="clear" w:color="auto" w:fill="FFFFFF"/>
          <w:lang w:val="es-ES"/>
        </w:rPr>
        <w:t>Sobre la prestación de servicios de salud por EPS indígena esta Agencia se pronunció en el concepto C-034 del 1 de marzo de 2021</w:t>
      </w:r>
      <w:r w:rsidR="00A952B2">
        <w:rPr>
          <w:rFonts w:ascii="Verdana" w:hAnsi="Verdana" w:cs="Arial"/>
          <w:shd w:val="clear" w:color="auto" w:fill="FFFFFF"/>
          <w:lang w:val="es-ES"/>
        </w:rPr>
        <w:t xml:space="preserve"> y C-</w:t>
      </w:r>
      <w:r w:rsidR="00D43272">
        <w:rPr>
          <w:rFonts w:ascii="Verdana" w:hAnsi="Verdana" w:cs="Arial"/>
          <w:shd w:val="clear" w:color="auto" w:fill="FFFFFF"/>
          <w:lang w:val="es-ES"/>
        </w:rPr>
        <w:t>1468 del 13 de octubre de 2026</w:t>
      </w:r>
      <w:r>
        <w:rPr>
          <w:rFonts w:ascii="Verdana" w:hAnsi="Verdana" w:cs="Arial"/>
          <w:shd w:val="clear" w:color="auto" w:fill="FFFFFF"/>
          <w:lang w:val="es-ES"/>
        </w:rPr>
        <w:t xml:space="preserve">. </w:t>
      </w:r>
      <w:r w:rsidRPr="00F47E0F">
        <w:rPr>
          <w:rFonts w:ascii="Verdana" w:hAnsi="Verdana" w:cs="Arial"/>
          <w:shd w:val="clear" w:color="auto" w:fill="FFFFFF"/>
          <w:lang w:val="es-ES"/>
        </w:rPr>
        <w:t>Es</w:t>
      </w:r>
      <w:r w:rsidRPr="00F47E0F">
        <w:rPr>
          <w:rFonts w:ascii="Verdana" w:hAnsi="Verdana"/>
        </w:rPr>
        <w:t>tos y otros conceptos se encuentran disponibles para consulta en el Sistema de relatoría de la Agencia, al cual se puede acceder a través del siguiente enlace:</w:t>
      </w:r>
      <w:r w:rsidRPr="00F47E0F">
        <w:rPr>
          <w:rFonts w:ascii="Verdana" w:hAnsi="Verdana" w:cs="Arial"/>
          <w:shd w:val="clear" w:color="auto" w:fill="FFFFFF"/>
          <w:lang w:val="es-ES"/>
        </w:rPr>
        <w:t xml:space="preserve"> </w:t>
      </w:r>
      <w:hyperlink r:id="rId11" w:history="1">
        <w:r w:rsidRPr="00F47E0F">
          <w:rPr>
            <w:rFonts w:ascii="Verdana" w:hAnsi="Verdana" w:cs="Arial"/>
            <w:u w:val="single"/>
            <w:shd w:val="clear" w:color="auto" w:fill="FFFFFF"/>
            <w:lang w:val="es-ES"/>
          </w:rPr>
          <w:t>https://relatoria.colombiacompra.gov.co/busqueda/conceptos</w:t>
        </w:r>
      </w:hyperlink>
    </w:p>
    <w:p w14:paraId="4F2E1FA5" w14:textId="77777777" w:rsidR="00501059" w:rsidRPr="00F47E0F" w:rsidRDefault="00501059" w:rsidP="00501059">
      <w:pPr>
        <w:widowControl w:val="0"/>
        <w:autoSpaceDE w:val="0"/>
        <w:autoSpaceDN w:val="0"/>
        <w:spacing w:after="0" w:line="276" w:lineRule="auto"/>
        <w:jc w:val="both"/>
        <w:rPr>
          <w:rFonts w:ascii="Verdana" w:hAnsi="Verdana" w:cs="Arial"/>
          <w:shd w:val="clear" w:color="auto" w:fill="FFFFFF"/>
          <w:lang w:val="es-ES"/>
        </w:rPr>
      </w:pPr>
    </w:p>
    <w:p w14:paraId="3780CFF6" w14:textId="77777777" w:rsidR="00501059" w:rsidRPr="001E5695" w:rsidRDefault="00501059" w:rsidP="00501059">
      <w:pPr>
        <w:spacing w:line="256" w:lineRule="auto"/>
        <w:jc w:val="both"/>
        <w:rPr>
          <w:rFonts w:ascii="Verdana" w:eastAsia="Calibri" w:hAnsi="Verdana" w:cs="Times New Roman"/>
        </w:rPr>
      </w:pPr>
      <w:r w:rsidRPr="001E5695">
        <w:rPr>
          <w:rFonts w:ascii="Verdana" w:eastAsia="Calibri"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1E5695">
        <w:rPr>
          <w:rFonts w:ascii="Verdana" w:eastAsia="Calibri" w:hAnsi="Verdana" w:cs="Times New Roman"/>
          <w:b/>
          <w:bCs/>
        </w:rPr>
        <w:t>Guía para la Exigencia y Constitución de Garantías en los Procesos de Contratación</w:t>
      </w:r>
      <w:r w:rsidRPr="001E5695">
        <w:rPr>
          <w:rFonts w:ascii="Verdana" w:eastAsia="Calibri"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2" w:tgtFrame="_blank" w:tooltip="Dirección URL original: https://www.colombiacompra.gov.co/archivos/manual/guia-de-garantias-en-procesos-de-contratacion. Haga clic o pulse si confía en este vínculo." w:history="1">
        <w:r w:rsidRPr="001E5695">
          <w:rPr>
            <w:rFonts w:ascii="Verdana" w:eastAsia="Calibri" w:hAnsi="Verdana" w:cs="Times New Roman"/>
            <w:color w:val="0000FF"/>
            <w:u w:val="single"/>
          </w:rPr>
          <w:t>https://www.colombiacompra.gov.co/archivos/manual/guia-de-garantias-en-procesos-de-contratacion</w:t>
        </w:r>
      </w:hyperlink>
    </w:p>
    <w:p w14:paraId="63B6F418" w14:textId="77777777" w:rsidR="00501059" w:rsidRPr="001E5695" w:rsidRDefault="00501059" w:rsidP="00501059">
      <w:pPr>
        <w:spacing w:line="256" w:lineRule="auto"/>
        <w:jc w:val="both"/>
        <w:rPr>
          <w:rFonts w:ascii="Verdana" w:eastAsia="Calibri" w:hAnsi="Verdana" w:cs="Times New Roman"/>
        </w:rPr>
      </w:pPr>
      <w:r w:rsidRPr="001E5695">
        <w:rPr>
          <w:rFonts w:ascii="Verdana" w:eastAsia="Calibri" w:hAnsi="Verdana" w:cs="Times New Roman"/>
        </w:rPr>
        <w:t>De otro lado, te contamos que el Decreto 287 del 19 de marzo de 2026 sustituyó los artículos 2.2.1.2.4.2.6., 2.2.1.2.4.2.7. y 2.2.1.2.4.2.8. del Decreto 1082 de 2015 y estructuró el </w:t>
      </w:r>
      <w:r w:rsidRPr="001E5695">
        <w:rPr>
          <w:rFonts w:ascii="Verdana" w:eastAsia="Calibri" w:hAnsi="Verdana" w:cs="Times New Roman"/>
          <w:b/>
          <w:bCs/>
        </w:rPr>
        <w:t>Sistema Integral de Preferencias en favor de las personas con discapacidad</w:t>
      </w:r>
      <w:r w:rsidRPr="001E5695">
        <w:rPr>
          <w:rFonts w:ascii="Verdana" w:eastAsia="Calibri" w:hAnsi="Verdana" w:cs="Times New Roman"/>
        </w:rPr>
        <w:t>, en cumplimiento del artículo 13 de la Ley Estatutaria 1618 de 2013. Para orientar su aplicación, esta Agencia expidió la </w:t>
      </w:r>
      <w:r w:rsidRPr="001E5695">
        <w:rPr>
          <w:rFonts w:ascii="Verdana" w:eastAsia="Calibri" w:hAnsi="Verdana" w:cs="Times New Roman"/>
          <w:b/>
          <w:bCs/>
        </w:rPr>
        <w:t>Circular Externa 003 del 12 de mayo de 2026, </w:t>
      </w:r>
      <w:r w:rsidRPr="001E5695">
        <w:rPr>
          <w:rFonts w:ascii="Verdana" w:eastAsia="Calibri"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3" w:tgtFrame="_blank" w:tooltip="Dirección URL original: https://www.colombiacompra.gov.co/archivos/circular/circular-externa-003-de-2026. Haga clic o pulse si confía en este vínculo." w:history="1">
        <w:r w:rsidRPr="001E5695">
          <w:rPr>
            <w:rFonts w:ascii="Verdana" w:eastAsia="Calibri" w:hAnsi="Verdana" w:cs="Times New Roman"/>
            <w:color w:val="0000FF"/>
            <w:u w:val="single"/>
          </w:rPr>
          <w:t>https://www.colombiacompra.gov.co/archivos/circular/circular-externa-003-de-2026</w:t>
        </w:r>
      </w:hyperlink>
    </w:p>
    <w:p w14:paraId="7CBF33DA" w14:textId="77777777" w:rsidR="00501059" w:rsidRPr="001E5695" w:rsidRDefault="00501059" w:rsidP="00501059">
      <w:pPr>
        <w:spacing w:line="256" w:lineRule="auto"/>
        <w:jc w:val="both"/>
        <w:rPr>
          <w:rFonts w:ascii="Verdana" w:eastAsia="Calibri" w:hAnsi="Verdana" w:cs="Times New Roman"/>
        </w:rPr>
      </w:pPr>
      <w:r w:rsidRPr="001E5695">
        <w:rPr>
          <w:rFonts w:ascii="Verdana" w:eastAsia="Calibri" w:hAnsi="Verdana" w:cs="Times New Roman"/>
        </w:rPr>
        <w:t>Recuerda también que la</w:t>
      </w:r>
      <w:r w:rsidRPr="001E5695">
        <w:rPr>
          <w:rFonts w:ascii="Verdana" w:eastAsia="Calibri" w:hAnsi="Verdana" w:cs="Times New Roman"/>
          <w:b/>
          <w:bCs/>
        </w:rPr>
        <w:t> información sobre sanciones e inhabilidades </w:t>
      </w:r>
      <w:r w:rsidRPr="001E5695">
        <w:rPr>
          <w:rFonts w:ascii="Verdana" w:eastAsia="Calibri" w:hAnsi="Verdana" w:cs="Times New Roman"/>
        </w:rPr>
        <w:t>solo cumple su función preventiva si llega oportunamente a los registros públicos. Sobre este deber, esta Agencia expidió la </w:t>
      </w:r>
      <w:r w:rsidRPr="001E5695">
        <w:rPr>
          <w:rFonts w:ascii="Verdana" w:eastAsia="Calibri" w:hAnsi="Verdana" w:cs="Times New Roman"/>
          <w:b/>
          <w:bCs/>
        </w:rPr>
        <w:t>Circular Externa 002 del 5 de mayo de 2026,</w:t>
      </w:r>
      <w:r w:rsidRPr="001E5695">
        <w:rPr>
          <w:rFonts w:ascii="Verdana" w:eastAsia="Calibri" w:hAnsi="Verdana" w:cs="Times New Roman"/>
        </w:rPr>
        <w:t xml:space="preserve"> dirigida a todas las entidades del Estado sin distinción de su régimen contractual, en la que reitera la obligatoriedad de reportar caducidades, multas, sanciones, declaratorias de incumplimiento e inhabilidades ante las Cámaras de </w:t>
      </w:r>
      <w:r w:rsidRPr="001E5695">
        <w:rPr>
          <w:rFonts w:ascii="Verdana" w:eastAsia="Calibri" w:hAnsi="Verdana" w:cs="Times New Roman"/>
        </w:rPr>
        <w:lastRenderedPageBreak/>
        <w:t>Comercio, la Procuraduría General de la Nación y el SECOP, e indica los responsables, los portales dispuestos para el efecto y las consecuencias disciplinarias de omitir este deber. Consúltala aquí: </w:t>
      </w:r>
      <w:hyperlink r:id="rId14" w:tgtFrame="_blank" w:tooltip="Dirección URL original: https://www.colombiacompra.gov.co/archivos/circular/circular-externa-002-de-2026. Haga clic o pulse si confía en este vínculo." w:history="1">
        <w:r w:rsidRPr="001E5695">
          <w:rPr>
            <w:rFonts w:ascii="Verdana" w:eastAsia="Calibri" w:hAnsi="Verdana" w:cs="Times New Roman"/>
            <w:color w:val="0000FF"/>
            <w:u w:val="single"/>
          </w:rPr>
          <w:t>https://www.colombiacompra.gov.co/archivos/circular/circular-externa-002-de-2026</w:t>
        </w:r>
      </w:hyperlink>
    </w:p>
    <w:p w14:paraId="4E352B0E" w14:textId="77777777" w:rsidR="00501059" w:rsidRPr="001E5695" w:rsidRDefault="00501059" w:rsidP="00501059">
      <w:pPr>
        <w:spacing w:line="256" w:lineRule="auto"/>
        <w:jc w:val="both"/>
        <w:rPr>
          <w:rFonts w:ascii="Verdana" w:eastAsia="Calibri" w:hAnsi="Verdana" w:cs="Times New Roman"/>
        </w:rPr>
      </w:pPr>
      <w:r w:rsidRPr="001E5695">
        <w:rPr>
          <w:rFonts w:ascii="Verdana" w:eastAsia="Calibri" w:hAnsi="Verdana" w:cs="Times New Roman"/>
        </w:rPr>
        <w:t>Finalmente, si quieres seguir de cerca la actividad de la Agencia, la tercera edición de 2026 del</w:t>
      </w:r>
      <w:r w:rsidRPr="001E5695">
        <w:rPr>
          <w:rFonts w:ascii="Verdana" w:eastAsia="Calibri" w:hAnsi="Verdana" w:cs="Times New Roman"/>
          <w:b/>
          <w:bCs/>
        </w:rPr>
        <w:t> Radar de la Compra Pública</w:t>
      </w:r>
      <w:r w:rsidRPr="001E5695">
        <w:rPr>
          <w:rFonts w:ascii="Verdana" w:eastAsia="Calibri"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5" w:tgtFrame="_blank" w:tooltip="Dirección URL original: https://www.colombiacompra.gov.co/archivos/boletin/boletin-edicion-n-3-de-2026-radar-de-la-compra-publica. Haga clic o pulse si confía en este vínculo." w:history="1">
        <w:r w:rsidRPr="001E5695">
          <w:rPr>
            <w:rFonts w:ascii="Verdana" w:eastAsia="Calibri" w:hAnsi="Verdana" w:cs="Times New Roman"/>
            <w:color w:val="0000FF"/>
            <w:u w:val="single"/>
          </w:rPr>
          <w:t>https://www.colombiacompra.gov.co/archivos/boletin/boletin-edicion-n-3-de-2026-radar-de-la-compra-publica</w:t>
        </w:r>
      </w:hyperlink>
    </w:p>
    <w:p w14:paraId="68C19179" w14:textId="77777777" w:rsidR="00501059" w:rsidRPr="001E5695" w:rsidRDefault="00501059" w:rsidP="00501059">
      <w:pPr>
        <w:spacing w:after="0" w:line="240"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Lo invitamos a seguirnos en las redes sociales en las cuales se difunde información institucional: </w:t>
      </w:r>
    </w:p>
    <w:p w14:paraId="64F6C38B" w14:textId="77777777" w:rsidR="00501059" w:rsidRPr="001E5695" w:rsidRDefault="00501059" w:rsidP="00501059">
      <w:pPr>
        <w:spacing w:after="0" w:line="240" w:lineRule="auto"/>
        <w:jc w:val="both"/>
        <w:rPr>
          <w:rFonts w:ascii="Verdana" w:eastAsia="Calibri" w:hAnsi="Verdana" w:cs="Times New Roman"/>
          <w:color w:val="000000" w:themeColor="text1"/>
        </w:rPr>
      </w:pPr>
    </w:p>
    <w:p w14:paraId="69B89D9C" w14:textId="77777777" w:rsidR="00501059" w:rsidRPr="001E5695" w:rsidRDefault="00501059" w:rsidP="00501059">
      <w:pPr>
        <w:spacing w:after="0" w:line="240"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Twitter: </w:t>
      </w:r>
      <w:r w:rsidRPr="001E5695">
        <w:rPr>
          <w:rFonts w:ascii="Verdana" w:eastAsia="Calibri" w:hAnsi="Verdana" w:cs="Times New Roman"/>
          <w:color w:val="000000" w:themeColor="text1"/>
          <w:u w:val="single"/>
        </w:rPr>
        <w:t>@colombiacompra</w:t>
      </w:r>
      <w:r w:rsidRPr="001E5695">
        <w:rPr>
          <w:rFonts w:ascii="Verdana" w:eastAsia="Calibri" w:hAnsi="Verdana" w:cs="Times New Roman"/>
          <w:color w:val="000000" w:themeColor="text1"/>
        </w:rPr>
        <w:t xml:space="preserve"> </w:t>
      </w:r>
    </w:p>
    <w:p w14:paraId="6A835C03" w14:textId="77777777" w:rsidR="00501059" w:rsidRPr="001E5695" w:rsidRDefault="00501059" w:rsidP="00501059">
      <w:pPr>
        <w:spacing w:after="0" w:line="240"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Facebook: </w:t>
      </w:r>
      <w:proofErr w:type="spellStart"/>
      <w:r w:rsidRPr="001E5695">
        <w:rPr>
          <w:rFonts w:ascii="Verdana" w:eastAsia="Calibri" w:hAnsi="Verdana" w:cs="Times New Roman"/>
          <w:color w:val="000000" w:themeColor="text1"/>
          <w:u w:val="single"/>
        </w:rPr>
        <w:t>ColombiaCompraEficiente</w:t>
      </w:r>
      <w:proofErr w:type="spellEnd"/>
    </w:p>
    <w:p w14:paraId="4C6DBFF9" w14:textId="77777777" w:rsidR="00501059" w:rsidRPr="001E5695" w:rsidRDefault="00501059" w:rsidP="00501059">
      <w:pPr>
        <w:spacing w:after="0" w:line="240"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LinkedIn: </w:t>
      </w:r>
      <w:r w:rsidRPr="001E5695">
        <w:rPr>
          <w:rFonts w:ascii="Verdana" w:eastAsia="Calibri" w:hAnsi="Verdana" w:cs="Times New Roman"/>
          <w:color w:val="000000" w:themeColor="text1"/>
          <w:u w:val="single"/>
        </w:rPr>
        <w:t>Agencia Nacional de Contratación Pública - Colombia Compra Eficiente</w:t>
      </w:r>
      <w:r w:rsidRPr="001E5695">
        <w:rPr>
          <w:rFonts w:ascii="Verdana" w:eastAsia="Calibri" w:hAnsi="Verdana" w:cs="Times New Roman"/>
          <w:color w:val="000000" w:themeColor="text1"/>
        </w:rPr>
        <w:t xml:space="preserve"> Instagram: </w:t>
      </w:r>
      <w:r w:rsidRPr="001E5695">
        <w:rPr>
          <w:rFonts w:ascii="Verdana" w:eastAsia="Calibri" w:hAnsi="Verdana" w:cs="Times New Roman"/>
          <w:color w:val="000000" w:themeColor="text1"/>
          <w:u w:val="single"/>
        </w:rPr>
        <w:t>@colombiacompraeficiente_cce</w:t>
      </w:r>
    </w:p>
    <w:p w14:paraId="296A87FA" w14:textId="77777777" w:rsidR="00501059" w:rsidRPr="001E5695" w:rsidRDefault="00501059" w:rsidP="00501059">
      <w:pPr>
        <w:widowControl w:val="0"/>
        <w:autoSpaceDE w:val="0"/>
        <w:autoSpaceDN w:val="0"/>
        <w:spacing w:after="0" w:line="276" w:lineRule="auto"/>
        <w:jc w:val="both"/>
        <w:rPr>
          <w:rFonts w:ascii="Verdana" w:eastAsia="Calibri" w:hAnsi="Verdana" w:cs="Arial"/>
          <w:color w:val="000000" w:themeColor="text1"/>
        </w:rPr>
      </w:pPr>
    </w:p>
    <w:p w14:paraId="76EF5776" w14:textId="77777777" w:rsidR="00501059" w:rsidRPr="001E5695" w:rsidRDefault="00501059" w:rsidP="00501059">
      <w:pPr>
        <w:widowControl w:val="0"/>
        <w:autoSpaceDE w:val="0"/>
        <w:autoSpaceDN w:val="0"/>
        <w:spacing w:after="0" w:line="276" w:lineRule="auto"/>
        <w:jc w:val="both"/>
        <w:rPr>
          <w:rFonts w:ascii="Verdana" w:eastAsia="Calibri" w:hAnsi="Verdana" w:cs="Arial"/>
          <w:color w:val="000000" w:themeColor="text1"/>
          <w:lang w:val="es-ES_tradnl"/>
        </w:rPr>
      </w:pPr>
      <w:r w:rsidRPr="001E5695">
        <w:rPr>
          <w:rFonts w:ascii="Verdana" w:eastAsia="Calibri" w:hAnsi="Verdana" w:cs="Arial"/>
          <w:color w:val="000000" w:themeColor="text1"/>
        </w:rPr>
        <w:t xml:space="preserve">Este concepto tiene el alcance previsto en el artículo 28 del Código de Procedimiento Administrativo y de lo Contencioso Administrativo </w:t>
      </w:r>
      <w:r w:rsidRPr="001E5695">
        <w:rPr>
          <w:rFonts w:ascii="Verdana" w:eastAsia="Calibri" w:hAnsi="Verdana" w:cs="Arial"/>
          <w:color w:val="000000" w:themeColor="text1"/>
          <w:lang w:val="es-ES_tradnl"/>
        </w:rPr>
        <w:t>y las expresiones aquí utilizadas con mayúscula inicial deben ser entendidas con el significado que les otorga el artículo 2.2.1.1.1.3.1. del Decreto 1082 de 2015.</w:t>
      </w:r>
    </w:p>
    <w:p w14:paraId="56FB3B4F" w14:textId="77777777" w:rsidR="00501059" w:rsidRPr="001E5695" w:rsidRDefault="00501059" w:rsidP="00501059">
      <w:pPr>
        <w:spacing w:after="0" w:line="240" w:lineRule="auto"/>
        <w:rPr>
          <w:rFonts w:ascii="Verdana" w:eastAsia="Times New Roman" w:hAnsi="Verdana" w:cs="Arial"/>
          <w:color w:val="000000" w:themeColor="text1"/>
          <w:lang w:eastAsia="es-CO"/>
        </w:rPr>
      </w:pPr>
    </w:p>
    <w:p w14:paraId="7F1F1FD6" w14:textId="77777777" w:rsidR="00501059" w:rsidRPr="001E5695" w:rsidRDefault="00501059" w:rsidP="00501059">
      <w:pPr>
        <w:spacing w:after="0" w:line="240" w:lineRule="auto"/>
        <w:rPr>
          <w:rFonts w:ascii="Verdana" w:eastAsia="Times New Roman" w:hAnsi="Verdana" w:cs="Arial"/>
          <w:color w:val="000000" w:themeColor="text1"/>
          <w:lang w:eastAsia="es-CO"/>
        </w:rPr>
      </w:pPr>
    </w:p>
    <w:p w14:paraId="68154249" w14:textId="77777777" w:rsidR="00501059" w:rsidRPr="004407BC" w:rsidRDefault="00501059" w:rsidP="00501059">
      <w:pPr>
        <w:spacing w:after="0" w:line="276" w:lineRule="auto"/>
        <w:rPr>
          <w:rFonts w:ascii="Verdana" w:eastAsia="Calibri" w:hAnsi="Verdana" w:cs="Arial"/>
          <w:lang w:val="es-ES" w:eastAsia="es-CO"/>
        </w:rPr>
      </w:pPr>
      <w:r w:rsidRPr="004407BC">
        <w:rPr>
          <w:rFonts w:ascii="Verdana" w:eastAsia="Times New Roman" w:hAnsi="Verdana" w:cs="Arial"/>
          <w:lang w:val="es-ES" w:eastAsia="es-CO"/>
        </w:rPr>
        <w:t>Atentamente,</w:t>
      </w:r>
      <w:r w:rsidRPr="004407BC">
        <w:rPr>
          <w:rFonts w:ascii="Verdana" w:eastAsia="Calibri" w:hAnsi="Verdana" w:cs="Arial"/>
          <w:lang w:val="es-ES" w:eastAsia="es-CO"/>
        </w:rPr>
        <w:t xml:space="preserve"> </w:t>
      </w:r>
    </w:p>
    <w:p w14:paraId="129CD9F1" w14:textId="77777777" w:rsidR="00501059" w:rsidRPr="004407BC" w:rsidRDefault="00501059" w:rsidP="00501059">
      <w:pPr>
        <w:autoSpaceDE w:val="0"/>
        <w:autoSpaceDN w:val="0"/>
        <w:adjustRightInd w:val="0"/>
        <w:spacing w:after="0" w:line="276" w:lineRule="auto"/>
        <w:rPr>
          <w:rFonts w:ascii="Verdana" w:eastAsia="Calibri" w:hAnsi="Verdana" w:cs="Arial"/>
          <w:noProof/>
          <w:sz w:val="20"/>
          <w:szCs w:val="20"/>
        </w:rPr>
      </w:pPr>
    </w:p>
    <w:p w14:paraId="2661A9DA" w14:textId="79F916E9" w:rsidR="00501059" w:rsidRPr="004407BC" w:rsidRDefault="008E6356" w:rsidP="00501059">
      <w:pPr>
        <w:spacing w:after="0" w:line="252" w:lineRule="auto"/>
        <w:jc w:val="center"/>
        <w:rPr>
          <w:rFonts w:ascii="Verdana" w:eastAsia="Times New Roman" w:hAnsi="Verdana" w:cs="Arial"/>
          <w:lang w:eastAsia="es-ES"/>
        </w:rPr>
      </w:pPr>
      <w:r>
        <w:rPr>
          <w:noProof/>
        </w:rPr>
        <w:drawing>
          <wp:inline distT="0" distB="0" distL="0" distR="0" wp14:anchorId="63F0F31C" wp14:editId="2DAB6CCA">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p w14:paraId="0BBDC59F" w14:textId="77777777" w:rsidR="00501059" w:rsidRPr="004407BC" w:rsidRDefault="00501059" w:rsidP="00501059">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501059" w:rsidRPr="004407BC" w14:paraId="27D121B7" w14:textId="77777777" w:rsidTr="007D2EE7">
        <w:trPr>
          <w:trHeight w:val="322"/>
        </w:trPr>
        <w:tc>
          <w:tcPr>
            <w:tcW w:w="733" w:type="dxa"/>
            <w:tcBorders>
              <w:top w:val="nil"/>
              <w:left w:val="nil"/>
              <w:bottom w:val="nil"/>
              <w:right w:val="nil"/>
            </w:tcBorders>
            <w:vAlign w:val="center"/>
            <w:hideMark/>
          </w:tcPr>
          <w:p w14:paraId="0A532BCC" w14:textId="77777777" w:rsidR="00501059" w:rsidRPr="004407BC" w:rsidRDefault="00501059" w:rsidP="007D2EE7">
            <w:pPr>
              <w:spacing w:after="0" w:line="240" w:lineRule="auto"/>
              <w:textAlignment w:val="baseline"/>
              <w:rPr>
                <w:rFonts w:ascii="Verdana" w:eastAsia="Times New Roman" w:hAnsi="Verdana" w:cs="Times New Roman"/>
                <w:sz w:val="16"/>
                <w:szCs w:val="16"/>
                <w:lang w:eastAsia="es-CO"/>
              </w:rPr>
            </w:pPr>
            <w:r w:rsidRPr="004407BC">
              <w:rPr>
                <w:rFonts w:ascii="Verdana" w:eastAsia="Times New Roman" w:hAnsi="Verdana" w:cs="Times New Roman"/>
                <w:sz w:val="16"/>
                <w:szCs w:val="16"/>
                <w:lang w:val="es-MX" w:eastAsia="es-CO"/>
              </w:rPr>
              <w:lastRenderedPageBreak/>
              <w:t>Elaboró:         </w:t>
            </w:r>
            <w:r w:rsidRPr="004407B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3C3EC14" w14:textId="77777777" w:rsidR="00501059" w:rsidRPr="004407BC" w:rsidRDefault="00501059" w:rsidP="007D2EE7">
            <w:pPr>
              <w:spacing w:after="0" w:line="252" w:lineRule="auto"/>
              <w:rPr>
                <w:rFonts w:ascii="Verdana" w:eastAsia="Times New Roman" w:hAnsi="Verdana" w:cs="Arial"/>
                <w:sz w:val="16"/>
                <w:szCs w:val="16"/>
                <w:lang w:val="es-ES_tradnl" w:eastAsia="es-ES"/>
              </w:rPr>
            </w:pPr>
            <w:r w:rsidRPr="004407BC">
              <w:rPr>
                <w:rFonts w:ascii="Verdana" w:eastAsia="Times New Roman" w:hAnsi="Verdana" w:cs="Arial"/>
                <w:sz w:val="16"/>
                <w:szCs w:val="16"/>
                <w:lang w:val="es-ES_tradnl" w:eastAsia="es-ES"/>
              </w:rPr>
              <w:t>Ximena Ríos López</w:t>
            </w:r>
          </w:p>
          <w:p w14:paraId="7E44933A" w14:textId="77777777" w:rsidR="00501059" w:rsidRPr="004407BC" w:rsidRDefault="00501059" w:rsidP="007D2EE7">
            <w:pPr>
              <w:autoSpaceDE w:val="0"/>
              <w:autoSpaceDN w:val="0"/>
              <w:adjustRightInd w:val="0"/>
              <w:spacing w:after="0" w:line="276" w:lineRule="auto"/>
              <w:rPr>
                <w:rFonts w:ascii="Verdana" w:eastAsia="Calibri" w:hAnsi="Verdana" w:cs="Arial"/>
              </w:rPr>
            </w:pPr>
            <w:r w:rsidRPr="004407BC">
              <w:rPr>
                <w:rFonts w:ascii="Verdana" w:eastAsia="Times New Roman" w:hAnsi="Verdana" w:cs="Arial"/>
                <w:sz w:val="16"/>
                <w:szCs w:val="16"/>
                <w:lang w:eastAsia="es-ES"/>
              </w:rPr>
              <w:t>Gestor T1-11 de la Subdirección de Gestión Contractual</w:t>
            </w:r>
          </w:p>
        </w:tc>
      </w:tr>
      <w:tr w:rsidR="00501059" w:rsidRPr="004407BC" w14:paraId="45039A8B" w14:textId="77777777" w:rsidTr="007D2EE7">
        <w:trPr>
          <w:trHeight w:val="322"/>
        </w:trPr>
        <w:tc>
          <w:tcPr>
            <w:tcW w:w="733" w:type="dxa"/>
            <w:tcBorders>
              <w:top w:val="nil"/>
              <w:left w:val="nil"/>
              <w:bottom w:val="nil"/>
              <w:right w:val="nil"/>
            </w:tcBorders>
            <w:vAlign w:val="center"/>
            <w:hideMark/>
          </w:tcPr>
          <w:p w14:paraId="1D0736E2" w14:textId="77777777" w:rsidR="00501059" w:rsidRPr="004407BC" w:rsidRDefault="00501059" w:rsidP="007D2EE7">
            <w:pPr>
              <w:spacing w:after="0" w:line="240" w:lineRule="auto"/>
              <w:textAlignment w:val="baseline"/>
              <w:rPr>
                <w:rFonts w:ascii="Verdana" w:eastAsia="Times New Roman" w:hAnsi="Verdana" w:cs="Times New Roman"/>
                <w:sz w:val="16"/>
                <w:szCs w:val="16"/>
                <w:lang w:eastAsia="es-CO"/>
              </w:rPr>
            </w:pPr>
            <w:r w:rsidRPr="004407BC">
              <w:rPr>
                <w:rFonts w:ascii="Verdana" w:eastAsia="Times New Roman" w:hAnsi="Verdana" w:cs="Times New Roman"/>
                <w:sz w:val="16"/>
                <w:szCs w:val="16"/>
                <w:lang w:val="es-MX" w:eastAsia="es-CO"/>
              </w:rPr>
              <w:t>Revisó:</w:t>
            </w:r>
            <w:r w:rsidRPr="004407B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8D147EE" w14:textId="77777777" w:rsidR="00501059" w:rsidRPr="004407BC" w:rsidRDefault="00501059" w:rsidP="007D2EE7">
            <w:pPr>
              <w:spacing w:after="0" w:line="252"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Adriana López</w:t>
            </w:r>
          </w:p>
          <w:p w14:paraId="4FC14868" w14:textId="77777777" w:rsidR="00501059" w:rsidRPr="004407BC" w:rsidRDefault="00501059" w:rsidP="007D2EE7">
            <w:pPr>
              <w:autoSpaceDE w:val="0"/>
              <w:autoSpaceDN w:val="0"/>
              <w:adjustRightInd w:val="0"/>
              <w:spacing w:after="0" w:line="276" w:lineRule="auto"/>
              <w:rPr>
                <w:rFonts w:ascii="Verdana" w:eastAsia="Calibri" w:hAnsi="Verdana" w:cs="Arial"/>
              </w:rPr>
            </w:pPr>
            <w:r w:rsidRPr="004407BC">
              <w:rPr>
                <w:rFonts w:ascii="Verdana" w:eastAsia="Times New Roman" w:hAnsi="Verdana" w:cs="Arial"/>
                <w:sz w:val="16"/>
                <w:szCs w:val="16"/>
                <w:lang w:eastAsia="es-ES"/>
              </w:rPr>
              <w:t>Contratista de la Subdirección de Gestión Contractual</w:t>
            </w:r>
          </w:p>
        </w:tc>
      </w:tr>
      <w:tr w:rsidR="00501059" w:rsidRPr="004407BC" w14:paraId="1824DFE6" w14:textId="77777777" w:rsidTr="007D2EE7">
        <w:trPr>
          <w:trHeight w:val="307"/>
        </w:trPr>
        <w:tc>
          <w:tcPr>
            <w:tcW w:w="733" w:type="dxa"/>
            <w:tcBorders>
              <w:top w:val="nil"/>
              <w:left w:val="nil"/>
              <w:bottom w:val="nil"/>
              <w:right w:val="nil"/>
            </w:tcBorders>
            <w:vAlign w:val="center"/>
            <w:hideMark/>
          </w:tcPr>
          <w:p w14:paraId="364C9B64" w14:textId="77777777" w:rsidR="00501059" w:rsidRPr="004407BC" w:rsidRDefault="00501059" w:rsidP="007D2EE7">
            <w:pPr>
              <w:spacing w:after="0" w:line="240" w:lineRule="auto"/>
              <w:textAlignment w:val="baseline"/>
              <w:rPr>
                <w:rFonts w:ascii="Verdana" w:eastAsia="Times New Roman" w:hAnsi="Verdana" w:cs="Times New Roman"/>
                <w:sz w:val="16"/>
                <w:szCs w:val="16"/>
                <w:lang w:eastAsia="es-CO"/>
              </w:rPr>
            </w:pPr>
            <w:r w:rsidRPr="004407BC">
              <w:rPr>
                <w:rFonts w:ascii="Verdana" w:eastAsia="Times New Roman" w:hAnsi="Verdana" w:cs="Times New Roman"/>
                <w:sz w:val="16"/>
                <w:szCs w:val="16"/>
                <w:lang w:val="es-MX" w:eastAsia="es-CO"/>
              </w:rPr>
              <w:t>Aprobó:</w:t>
            </w:r>
            <w:r w:rsidRPr="004407B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3F21D73" w14:textId="77777777" w:rsidR="00501059" w:rsidRPr="004407BC" w:rsidRDefault="00501059" w:rsidP="007D2EE7">
            <w:pPr>
              <w:spacing w:after="0" w:line="252" w:lineRule="auto"/>
              <w:rPr>
                <w:rFonts w:ascii="Verdana" w:eastAsia="Times New Roman" w:hAnsi="Verdana" w:cs="Arial"/>
                <w:sz w:val="16"/>
                <w:szCs w:val="16"/>
                <w:lang w:eastAsia="es-ES"/>
              </w:rPr>
            </w:pPr>
            <w:r w:rsidRPr="004407BC">
              <w:rPr>
                <w:rFonts w:ascii="Verdana" w:eastAsia="Times New Roman" w:hAnsi="Verdana" w:cs="Arial"/>
                <w:sz w:val="16"/>
                <w:szCs w:val="16"/>
                <w:lang w:eastAsia="es-ES"/>
              </w:rPr>
              <w:t>Carolina Quintero Gacharná</w:t>
            </w:r>
          </w:p>
          <w:p w14:paraId="6A60A19C" w14:textId="77777777" w:rsidR="00501059" w:rsidRPr="004407BC" w:rsidRDefault="00501059" w:rsidP="007D2EE7">
            <w:pPr>
              <w:spacing w:after="0" w:line="252" w:lineRule="auto"/>
              <w:rPr>
                <w:rFonts w:ascii="Verdana" w:eastAsia="Times New Roman" w:hAnsi="Verdana" w:cs="Arial"/>
                <w:sz w:val="16"/>
                <w:szCs w:val="16"/>
                <w:lang w:eastAsia="es-ES"/>
              </w:rPr>
            </w:pPr>
            <w:r w:rsidRPr="004407BC">
              <w:rPr>
                <w:rFonts w:ascii="Verdana" w:eastAsia="Times New Roman" w:hAnsi="Verdana" w:cs="Arial"/>
                <w:sz w:val="16"/>
                <w:szCs w:val="16"/>
                <w:lang w:eastAsia="es-ES"/>
              </w:rPr>
              <w:t>Subdirectora de Gestión Contractual ANCP – CCE</w:t>
            </w:r>
          </w:p>
        </w:tc>
      </w:tr>
    </w:tbl>
    <w:p w14:paraId="59AE488E" w14:textId="14BC90E7" w:rsidR="00501059" w:rsidRPr="004407BC" w:rsidRDefault="00501059" w:rsidP="00501059">
      <w:pPr>
        <w:widowControl w:val="0"/>
        <w:autoSpaceDE w:val="0"/>
        <w:autoSpaceDN w:val="0"/>
        <w:spacing w:after="120" w:line="276" w:lineRule="auto"/>
        <w:jc w:val="both"/>
        <w:rPr>
          <w:rFonts w:ascii="Verdana" w:eastAsia="Calibri" w:hAnsi="Verdana" w:cs="Arial"/>
          <w:color w:val="000000" w:themeColor="text1"/>
          <w:shd w:val="clear" w:color="auto" w:fill="FFFFFF"/>
        </w:rPr>
      </w:pPr>
    </w:p>
    <w:p w14:paraId="0E224CCD" w14:textId="77777777" w:rsidR="00501059" w:rsidRPr="004407BC" w:rsidRDefault="00501059" w:rsidP="00501059">
      <w:pPr>
        <w:widowControl w:val="0"/>
        <w:autoSpaceDE w:val="0"/>
        <w:autoSpaceDN w:val="0"/>
        <w:spacing w:after="0" w:line="276" w:lineRule="auto"/>
        <w:jc w:val="both"/>
        <w:rPr>
          <w:rFonts w:ascii="Verdana" w:eastAsia="Calibri" w:hAnsi="Verdana" w:cs="Arial"/>
        </w:rPr>
      </w:pPr>
    </w:p>
    <w:p w14:paraId="54E90673" w14:textId="77777777" w:rsidR="00501059" w:rsidRDefault="00501059" w:rsidP="00501059">
      <w:pPr>
        <w:shd w:val="clear" w:color="auto" w:fill="FFFFFF" w:themeFill="background1"/>
        <w:spacing w:after="0" w:line="276" w:lineRule="auto"/>
        <w:jc w:val="both"/>
        <w:rPr>
          <w:rFonts w:ascii="Verdana" w:hAnsi="Verdana"/>
          <w:color w:val="000000" w:themeColor="text1"/>
        </w:rPr>
      </w:pPr>
    </w:p>
    <w:p w14:paraId="0AA9498A" w14:textId="77777777" w:rsidR="00501059" w:rsidRPr="00F47E0F" w:rsidRDefault="00501059" w:rsidP="00501059"/>
    <w:p w14:paraId="1B76EBDB" w14:textId="77777777" w:rsidR="00501059" w:rsidRPr="00F47E0F" w:rsidRDefault="00501059" w:rsidP="00501059"/>
    <w:p w14:paraId="0F293BF4" w14:textId="00A2DEE9" w:rsidR="00127233" w:rsidRPr="00C97F88" w:rsidRDefault="00127233" w:rsidP="00C97F88"/>
    <w:sectPr w:rsidR="00127233" w:rsidRPr="00C97F8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ABD58" w14:textId="77777777" w:rsidR="00937E27" w:rsidRDefault="00937E27" w:rsidP="004A1847">
      <w:pPr>
        <w:spacing w:after="0" w:line="240" w:lineRule="auto"/>
      </w:pPr>
      <w:r>
        <w:separator/>
      </w:r>
    </w:p>
  </w:endnote>
  <w:endnote w:type="continuationSeparator" w:id="0">
    <w:p w14:paraId="2A102BEC" w14:textId="77777777" w:rsidR="00937E27" w:rsidRDefault="00937E27" w:rsidP="004A1847">
      <w:pPr>
        <w:spacing w:after="0" w:line="240" w:lineRule="auto"/>
      </w:pPr>
      <w:r>
        <w:continuationSeparator/>
      </w:r>
    </w:p>
  </w:endnote>
  <w:endnote w:type="continuationNotice" w:id="1">
    <w:p w14:paraId="2CE0327E" w14:textId="77777777" w:rsidR="00937E27" w:rsidRDefault="00937E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4323B" w14:textId="77777777" w:rsidR="00937E27" w:rsidRDefault="00937E27" w:rsidP="004A1847">
      <w:pPr>
        <w:spacing w:after="0" w:line="240" w:lineRule="auto"/>
      </w:pPr>
      <w:r>
        <w:separator/>
      </w:r>
    </w:p>
  </w:footnote>
  <w:footnote w:type="continuationSeparator" w:id="0">
    <w:p w14:paraId="238E22B0" w14:textId="77777777" w:rsidR="00937E27" w:rsidRDefault="00937E27" w:rsidP="004A1847">
      <w:pPr>
        <w:spacing w:after="0" w:line="240" w:lineRule="auto"/>
      </w:pPr>
      <w:r>
        <w:continuationSeparator/>
      </w:r>
    </w:p>
  </w:footnote>
  <w:footnote w:type="continuationNotice" w:id="1">
    <w:p w14:paraId="012E9B01" w14:textId="77777777" w:rsidR="00937E27" w:rsidRDefault="00937E27">
      <w:pPr>
        <w:spacing w:after="0" w:line="240" w:lineRule="auto"/>
      </w:pPr>
    </w:p>
  </w:footnote>
  <w:footnote w:id="2">
    <w:p w14:paraId="1E10E6D0" w14:textId="77777777" w:rsidR="00484327" w:rsidRPr="001B7B03" w:rsidRDefault="00484327" w:rsidP="00484327">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1474 de 2011 “</w:t>
      </w:r>
      <w:r w:rsidRPr="001B7B03">
        <w:rPr>
          <w:rStyle w:val="Fuerte"/>
          <w:rFonts w:ascii="Verdana" w:hAnsi="Verdana" w:cs="Arial"/>
          <w:b w:val="0"/>
          <w:color w:val="000000"/>
          <w:sz w:val="16"/>
          <w:szCs w:val="16"/>
        </w:rPr>
        <w:t>Artículo 93.</w:t>
      </w:r>
      <w:r w:rsidRPr="001B7B03">
        <w:rPr>
          <w:rStyle w:val="nfasis"/>
          <w:rFonts w:ascii="Verdana" w:eastAsia="Arial" w:hAnsi="Verdana" w:cs="Arial"/>
          <w:color w:val="000000"/>
          <w:sz w:val="16"/>
          <w:szCs w:val="16"/>
        </w:rPr>
        <w:t> Del régimen contractual de las Empresas Industriales y Comerciales del Estado, las Sociedades de Economía Mixta, sus filiales y empresas con participación mayoritaria del Estado.</w:t>
      </w:r>
      <w:r w:rsidRPr="001B7B03">
        <w:rPr>
          <w:rFonts w:ascii="Verdana" w:hAnsi="Verdana" w:cs="Arial"/>
          <w:color w:val="000000"/>
          <w:sz w:val="16"/>
          <w:szCs w:val="16"/>
        </w:rPr>
        <w:t> Modifíquese el artículo 14 de la Ley 1150 de 2007, el cual quedará así:   </w:t>
      </w:r>
      <w:r w:rsidRPr="001B7B03">
        <w:rPr>
          <w:rFonts w:ascii="Verdana" w:hAnsi="Verdana" w:cs="Arial"/>
          <w:color w:val="000000"/>
          <w:sz w:val="16"/>
          <w:szCs w:val="16"/>
        </w:rPr>
        <w:tab/>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 </w:t>
      </w:r>
    </w:p>
    <w:p w14:paraId="0973834C" w14:textId="77777777" w:rsidR="00484327" w:rsidRPr="001B7B03" w:rsidRDefault="00484327" w:rsidP="00484327">
      <w:pPr>
        <w:pStyle w:val="Textonotapie"/>
        <w:jc w:val="both"/>
        <w:rPr>
          <w:rFonts w:ascii="Verdana" w:hAnsi="Verdana" w:cs="Arial"/>
          <w:sz w:val="16"/>
          <w:szCs w:val="16"/>
        </w:rPr>
      </w:pPr>
    </w:p>
  </w:footnote>
  <w:footnote w:id="3">
    <w:p w14:paraId="2F80A3E5" w14:textId="77777777" w:rsidR="00484327" w:rsidRPr="001B7B03" w:rsidRDefault="00484327" w:rsidP="00484327">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489 de 1998 «</w:t>
      </w:r>
      <w:r w:rsidRPr="001B7B03">
        <w:rPr>
          <w:rStyle w:val="Fuerte"/>
          <w:rFonts w:ascii="Verdana" w:hAnsi="Verdana" w:cs="Arial"/>
          <w:b w:val="0"/>
          <w:color w:val="000000"/>
          <w:sz w:val="16"/>
          <w:szCs w:val="16"/>
        </w:rPr>
        <w:t>Artículo 85.</w:t>
      </w:r>
      <w:r w:rsidRPr="001B7B03">
        <w:rPr>
          <w:rStyle w:val="Fuerte"/>
          <w:rFonts w:ascii="Verdana" w:hAnsi="Verdana" w:cs="Arial"/>
          <w:color w:val="000000"/>
          <w:sz w:val="16"/>
          <w:szCs w:val="16"/>
        </w:rPr>
        <w:t xml:space="preserve"> </w:t>
      </w:r>
      <w:r w:rsidRPr="001B7B03">
        <w:rPr>
          <w:rStyle w:val="nfasis"/>
          <w:rFonts w:ascii="Verdana" w:eastAsia="Arial" w:hAnsi="Verdana" w:cs="Arial"/>
          <w:color w:val="000000"/>
          <w:sz w:val="16"/>
          <w:szCs w:val="16"/>
        </w:rPr>
        <w:t>Empresas industriales y comerciales del Estado. </w:t>
      </w:r>
      <w:r w:rsidRPr="001B7B03">
        <w:rPr>
          <w:rFonts w:ascii="Verdana" w:hAnsi="Verdana" w:cs="Arial"/>
          <w:color w:val="000000"/>
          <w:sz w:val="16"/>
          <w:szCs w:val="16"/>
        </w:rPr>
        <w:t>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751C6540"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“a) Personería jurídica; </w:t>
      </w:r>
    </w:p>
    <w:p w14:paraId="5D653904"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“b) Autonomía administrativa y financiera; </w:t>
      </w:r>
    </w:p>
    <w:p w14:paraId="0F493688"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06BDBE5A"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“El capital de las empresas industriales y comerciales del Estado podrá estar representado en cuotas o acciones de igual valor nominal. </w:t>
      </w:r>
    </w:p>
    <w:p w14:paraId="383C25FD"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“A las empresas industriales y comerciales del Estado y a las sociedades de economía mixta se les aplicará en lo pertinente los artículos 19, numerales 2°, 4°, 5°, 6°, 12, 13, 17, 27, numerales 2°, 3°, 4°, 5°, y 7°, y 183 de la Ley 142 de 1994. </w:t>
      </w:r>
    </w:p>
    <w:p w14:paraId="768A2396" w14:textId="77777777" w:rsidR="00484327" w:rsidRPr="001B7B03" w:rsidRDefault="00484327" w:rsidP="00484327">
      <w:pPr>
        <w:pStyle w:val="NormalWeb"/>
        <w:spacing w:before="0" w:beforeAutospacing="0" w:after="0" w:afterAutospacing="0"/>
        <w:ind w:firstLine="708"/>
        <w:jc w:val="both"/>
        <w:rPr>
          <w:rFonts w:ascii="Verdana" w:hAnsi="Verdana" w:cs="Arial"/>
          <w:color w:val="000000"/>
          <w:sz w:val="16"/>
          <w:szCs w:val="16"/>
        </w:rPr>
      </w:pPr>
      <w:r w:rsidRPr="001B7B03">
        <w:rPr>
          <w:rFonts w:ascii="Verdana" w:hAnsi="Verdana" w:cs="Arial"/>
          <w:color w:val="000000"/>
          <w:sz w:val="16"/>
          <w:szCs w:val="16"/>
        </w:rPr>
        <w:t>“</w:t>
      </w:r>
      <w:r w:rsidRPr="001B7B03">
        <w:rPr>
          <w:rStyle w:val="Fuerte"/>
          <w:rFonts w:ascii="Verdana" w:hAnsi="Verdana" w:cs="Arial"/>
          <w:b w:val="0"/>
          <w:color w:val="000000"/>
          <w:sz w:val="16"/>
          <w:szCs w:val="16"/>
        </w:rPr>
        <w:t>Parágrafo</w:t>
      </w:r>
      <w:r w:rsidRPr="001B7B03">
        <w:rPr>
          <w:rStyle w:val="Fuerte"/>
          <w:rFonts w:ascii="Verdana" w:hAnsi="Verdana" w:cs="Arial"/>
          <w:color w:val="000000"/>
          <w:sz w:val="16"/>
          <w:szCs w:val="16"/>
        </w:rPr>
        <w:t>.</w:t>
      </w:r>
      <w:r w:rsidRPr="001B7B03">
        <w:rPr>
          <w:rFonts w:ascii="Verdana" w:hAnsi="Verdana" w:cs="Arial"/>
          <w:color w:val="000000"/>
          <w:sz w:val="16"/>
          <w:szCs w:val="16"/>
        </w:rPr>
        <w:t> Las disposiciones legales que protegen el secreto industrial y la información comercial se aplicarán a aquellos secretos e informaciones de esa naturaleza que desarrollen y posean las empresas industriales y comerciales del Estado». </w:t>
      </w:r>
    </w:p>
    <w:p w14:paraId="2C84390A" w14:textId="77777777" w:rsidR="00484327" w:rsidRPr="001B7B03" w:rsidRDefault="00484327" w:rsidP="00484327">
      <w:pPr>
        <w:pStyle w:val="Textonotapie"/>
        <w:jc w:val="both"/>
        <w:rPr>
          <w:rFonts w:ascii="Verdana" w:hAnsi="Verdana" w:cs="Arial"/>
          <w:sz w:val="16"/>
          <w:szCs w:val="16"/>
        </w:rPr>
      </w:pPr>
    </w:p>
  </w:footnote>
  <w:footnote w:id="4">
    <w:p w14:paraId="678CFEBC" w14:textId="77777777" w:rsidR="00484327" w:rsidRPr="001B7B03" w:rsidRDefault="00484327" w:rsidP="00484327">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489 de 1998 «</w:t>
      </w:r>
      <w:r w:rsidRPr="001B7B03">
        <w:rPr>
          <w:rStyle w:val="Fuerte"/>
          <w:rFonts w:ascii="Verdana" w:hAnsi="Verdana" w:cs="Arial"/>
          <w:b w:val="0"/>
          <w:color w:val="000000"/>
          <w:sz w:val="16"/>
          <w:szCs w:val="16"/>
        </w:rPr>
        <w:t>Artículo 68.</w:t>
      </w:r>
      <w:r w:rsidRPr="001B7B03">
        <w:rPr>
          <w:rStyle w:val="Fuerte"/>
          <w:rFonts w:ascii="Verdana" w:hAnsi="Verdana" w:cs="Arial"/>
          <w:color w:val="000000"/>
          <w:sz w:val="16"/>
          <w:szCs w:val="16"/>
        </w:rPr>
        <w:t xml:space="preserve"> </w:t>
      </w:r>
      <w:r w:rsidRPr="001B7B03">
        <w:rPr>
          <w:rStyle w:val="nfasis"/>
          <w:rFonts w:ascii="Verdana" w:eastAsia="Arial" w:hAnsi="Verdana" w:cs="Arial"/>
          <w:color w:val="000000"/>
          <w:sz w:val="16"/>
          <w:szCs w:val="16"/>
        </w:rPr>
        <w:t>Entidades descentralizadas. </w:t>
      </w:r>
      <w:r w:rsidRPr="001B7B03">
        <w:rPr>
          <w:rFonts w:ascii="Verdana" w:hAnsi="Verdana" w:cs="Arial"/>
          <w:color w:val="000000"/>
          <w:sz w:val="16"/>
          <w:szCs w:val="16"/>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271564CA"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“Como órganos del Estado aun cuando gozan de autonomía administrativa están sujetas al control político y a la suprema dirección del órgano de la administración al cual están adscritas. </w:t>
      </w:r>
    </w:p>
    <w:p w14:paraId="7AC861D6"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“Las entidades descentralizadas se sujetan a las reglas señaladas en la Constitución Política, en la presente ley, en las leyes que las creen y determinen su estructura orgánica y a sus estatutos internos. </w:t>
      </w:r>
    </w:p>
    <w:p w14:paraId="745E4161"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“Los organismos y entidades descentralizados, sujetos a regímenes especiales por mandato de la Constitución Política, se someterán a las disposiciones que para ellos establezca la respectiva ley. </w:t>
      </w:r>
    </w:p>
    <w:p w14:paraId="5EFF2324"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r>
      <w:r w:rsidRPr="001B7B03">
        <w:rPr>
          <w:rStyle w:val="Fuerte"/>
          <w:rFonts w:ascii="Verdana" w:hAnsi="Verdana" w:cs="Arial"/>
          <w:b w:val="0"/>
          <w:color w:val="000000"/>
          <w:sz w:val="16"/>
          <w:szCs w:val="16"/>
        </w:rPr>
        <w:t>“Parágrafo 1°.</w:t>
      </w:r>
      <w:r w:rsidRPr="001B7B03">
        <w:rPr>
          <w:rFonts w:ascii="Verdana" w:hAnsi="Verdana" w:cs="Arial"/>
          <w:color w:val="000000"/>
          <w:sz w:val="16"/>
          <w:szCs w:val="16"/>
        </w:rPr>
        <w:t> De conformidad con el inciso segundo del artículo 210 de la Constitución Política, el régimen jurídico aquí previsto para las entidades descentralizadas es aplicable a las de las entidades territoriales sin perjuicio de las competencias asignadas por la Constitución y la ley a las autoridades del orden territorial. </w:t>
      </w:r>
    </w:p>
    <w:p w14:paraId="7CF4147C" w14:textId="77777777" w:rsidR="00484327" w:rsidRPr="001B7B03" w:rsidRDefault="00484327" w:rsidP="00484327">
      <w:pPr>
        <w:pStyle w:val="Textonotapie"/>
        <w:jc w:val="both"/>
        <w:rPr>
          <w:rFonts w:ascii="Verdana" w:hAnsi="Verdana" w:cs="Arial"/>
          <w:sz w:val="16"/>
          <w:szCs w:val="16"/>
        </w:rPr>
      </w:pPr>
    </w:p>
  </w:footnote>
  <w:footnote w:id="5">
    <w:p w14:paraId="3AC2D547" w14:textId="77777777" w:rsidR="00484327" w:rsidRPr="001B7B03" w:rsidRDefault="00484327" w:rsidP="00484327">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1122 de 2007. “</w:t>
      </w:r>
      <w:r w:rsidRPr="001B7B03">
        <w:rPr>
          <w:rStyle w:val="Fuerte"/>
          <w:rFonts w:ascii="Verdana" w:hAnsi="Verdana" w:cs="Arial"/>
          <w:b w:val="0"/>
          <w:color w:val="000000"/>
          <w:sz w:val="16"/>
          <w:szCs w:val="16"/>
        </w:rPr>
        <w:t>Artículo 45.</w:t>
      </w:r>
      <w:r w:rsidRPr="001B7B03">
        <w:rPr>
          <w:rStyle w:val="Fuerte"/>
          <w:rFonts w:ascii="Verdana" w:hAnsi="Verdana" w:cs="Arial"/>
          <w:color w:val="000000"/>
          <w:sz w:val="16"/>
          <w:szCs w:val="16"/>
        </w:rPr>
        <w:t xml:space="preserve"> </w:t>
      </w:r>
      <w:r w:rsidRPr="001B7B03">
        <w:rPr>
          <w:rStyle w:val="nfasis"/>
          <w:rFonts w:ascii="Verdana" w:eastAsia="Arial" w:hAnsi="Verdana" w:cs="Arial"/>
          <w:color w:val="000000"/>
          <w:sz w:val="16"/>
          <w:szCs w:val="16"/>
        </w:rPr>
        <w:t>Régimen de contratación de EPS públicas. </w:t>
      </w:r>
      <w:r w:rsidRPr="001B7B03">
        <w:rPr>
          <w:rFonts w:ascii="Verdana" w:hAnsi="Verdana" w:cs="Arial"/>
          <w:color w:val="000000"/>
          <w:sz w:val="16"/>
          <w:szCs w:val="16"/>
        </w:rPr>
        <w:t>Las Empresas promotoras de Salud del Régimen Subsidiado y Contributivo Públicas tendrán el mismo régimen de contratación que las Empresas Sociales del Estado”. </w:t>
      </w:r>
    </w:p>
    <w:p w14:paraId="5F7CE4ED" w14:textId="77777777" w:rsidR="00484327" w:rsidRPr="001B7B03" w:rsidRDefault="00484327" w:rsidP="00484327">
      <w:pPr>
        <w:pStyle w:val="NormalWeb"/>
        <w:spacing w:before="0" w:beforeAutospacing="0" w:after="0" w:afterAutospacing="0"/>
        <w:jc w:val="both"/>
        <w:rPr>
          <w:rFonts w:ascii="Verdana" w:hAnsi="Verdana" w:cs="Arial"/>
          <w:sz w:val="16"/>
          <w:szCs w:val="16"/>
        </w:rPr>
      </w:pPr>
      <w:r w:rsidRPr="001B7B03">
        <w:rPr>
          <w:rFonts w:ascii="Verdana" w:hAnsi="Verdana" w:cs="Arial"/>
          <w:color w:val="000000"/>
          <w:sz w:val="16"/>
          <w:szCs w:val="16"/>
        </w:rPr>
        <w:t>  </w:t>
      </w:r>
    </w:p>
  </w:footnote>
  <w:footnote w:id="6">
    <w:p w14:paraId="556733A9" w14:textId="77777777" w:rsidR="00484327" w:rsidRPr="001B7B03" w:rsidRDefault="00484327" w:rsidP="00484327">
      <w:pPr>
        <w:pStyle w:val="Textonotapie"/>
        <w:ind w:firstLine="708"/>
        <w:jc w:val="both"/>
        <w:rPr>
          <w:rFonts w:ascii="Verdana" w:hAnsi="Verdana" w:cs="Arial"/>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100 de 1993 «Artículo 195. Régimen jurídico. Las Empresas Sociales de Salud se someterán al siguiente régimen jurídico: </w:t>
      </w:r>
    </w:p>
    <w:p w14:paraId="7335B2E2" w14:textId="77777777" w:rsidR="00484327" w:rsidRPr="001B7B03" w:rsidRDefault="00484327" w:rsidP="00484327">
      <w:pPr>
        <w:pStyle w:val="Textonotapie"/>
        <w:ind w:firstLine="708"/>
        <w:jc w:val="both"/>
        <w:rPr>
          <w:rFonts w:ascii="Verdana" w:hAnsi="Verdana" w:cs="Arial"/>
          <w:sz w:val="16"/>
          <w:szCs w:val="16"/>
        </w:rPr>
      </w:pPr>
      <w:r w:rsidRPr="001B7B03">
        <w:rPr>
          <w:rFonts w:ascii="Verdana" w:hAnsi="Verdana" w:cs="Arial"/>
          <w:sz w:val="16"/>
          <w:szCs w:val="16"/>
        </w:rPr>
        <w:t>[…]</w:t>
      </w:r>
    </w:p>
    <w:p w14:paraId="6E1C75CB" w14:textId="77777777" w:rsidR="00484327" w:rsidRPr="001B7B03" w:rsidRDefault="00484327" w:rsidP="00484327">
      <w:pPr>
        <w:pStyle w:val="Textonotapie"/>
        <w:ind w:firstLine="708"/>
        <w:jc w:val="both"/>
        <w:rPr>
          <w:rFonts w:ascii="Verdana" w:hAnsi="Verdana" w:cs="Arial"/>
          <w:sz w:val="16"/>
          <w:szCs w:val="16"/>
        </w:rPr>
      </w:pPr>
      <w:r w:rsidRPr="001B7B03">
        <w:rPr>
          <w:rFonts w:ascii="Verdana" w:hAnsi="Verdana" w:cs="Arial"/>
          <w:sz w:val="16"/>
          <w:szCs w:val="16"/>
        </w:rPr>
        <w:t>“6. En materia contractual se regirá por el derecho privado, pero podrá discrecionalmente utilizar las cláusulas exorbitantes previstas en el Estatuto General de Contratación de la Administración Pública”.</w:t>
      </w:r>
    </w:p>
    <w:p w14:paraId="54DFE9F3" w14:textId="77777777" w:rsidR="00484327" w:rsidRPr="001B7B03" w:rsidRDefault="00484327" w:rsidP="00484327">
      <w:pPr>
        <w:pStyle w:val="Textonotapie"/>
        <w:ind w:firstLine="708"/>
        <w:jc w:val="both"/>
        <w:rPr>
          <w:rFonts w:ascii="Verdana" w:hAnsi="Verdana" w:cs="Arial"/>
          <w:sz w:val="16"/>
          <w:szCs w:val="16"/>
        </w:rPr>
      </w:pPr>
      <w:r w:rsidRPr="001B7B03">
        <w:rPr>
          <w:rFonts w:ascii="Verdana" w:hAnsi="Verdana" w:cs="Arial"/>
          <w:sz w:val="16"/>
          <w:szCs w:val="16"/>
        </w:rPr>
        <w:t xml:space="preserve"> </w:t>
      </w:r>
    </w:p>
  </w:footnote>
  <w:footnote w:id="7">
    <w:p w14:paraId="2D1EFD33" w14:textId="77777777" w:rsidR="00484327" w:rsidRPr="001B7B03" w:rsidRDefault="00484327" w:rsidP="00484327">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489 de 1998 “</w:t>
      </w:r>
      <w:r w:rsidRPr="001B7B03">
        <w:rPr>
          <w:rStyle w:val="Fuerte"/>
          <w:rFonts w:ascii="Verdana" w:hAnsi="Verdana" w:cs="Arial"/>
          <w:b w:val="0"/>
          <w:color w:val="000000"/>
          <w:sz w:val="16"/>
          <w:szCs w:val="16"/>
        </w:rPr>
        <w:t>Artículo 97.</w:t>
      </w:r>
      <w:r w:rsidRPr="001B7B03">
        <w:rPr>
          <w:rStyle w:val="nfasis"/>
          <w:rFonts w:ascii="Verdana" w:eastAsia="Arial" w:hAnsi="Verdana" w:cs="Arial"/>
          <w:color w:val="000000"/>
          <w:sz w:val="16"/>
          <w:szCs w:val="16"/>
        </w:rPr>
        <w:t xml:space="preserve"> Sociedades de economía mixta. </w:t>
      </w:r>
      <w:r w:rsidRPr="001B7B03">
        <w:rPr>
          <w:rFonts w:ascii="Verdana" w:hAnsi="Verdana" w:cs="Arial"/>
          <w:color w:val="000000"/>
          <w:sz w:val="16"/>
          <w:szCs w:val="16"/>
        </w:rPr>
        <w:t>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 </w:t>
      </w:r>
    </w:p>
    <w:p w14:paraId="18E452EA" w14:textId="77777777" w:rsidR="00484327" w:rsidRPr="001B7B03" w:rsidRDefault="00484327" w:rsidP="00484327">
      <w:pPr>
        <w:pStyle w:val="NormalWeb"/>
        <w:spacing w:before="0" w:beforeAutospacing="0" w:after="0" w:afterAutospacing="0"/>
        <w:ind w:firstLine="708"/>
        <w:jc w:val="both"/>
        <w:rPr>
          <w:rFonts w:ascii="Verdana" w:hAnsi="Verdana" w:cs="Arial"/>
          <w:color w:val="000000"/>
          <w:sz w:val="16"/>
          <w:szCs w:val="16"/>
        </w:rPr>
      </w:pPr>
      <w:r w:rsidRPr="001B7B03">
        <w:rPr>
          <w:rFonts w:ascii="Verdana" w:hAnsi="Verdana" w:cs="Arial"/>
          <w:color w:val="000000"/>
          <w:sz w:val="16"/>
          <w:szCs w:val="16"/>
        </w:rPr>
        <w:t>“Las inversiones temporales de carácter financiero no afectan su naturaleza jurídica ni su régimen. </w:t>
      </w:r>
    </w:p>
    <w:p w14:paraId="0A4D9621"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w:t>
      </w:r>
      <w:r w:rsidRPr="001B7B03">
        <w:rPr>
          <w:rStyle w:val="Fuerte"/>
          <w:rFonts w:ascii="Verdana" w:hAnsi="Verdana" w:cs="Arial"/>
          <w:b w:val="0"/>
          <w:color w:val="000000"/>
          <w:sz w:val="16"/>
          <w:szCs w:val="16"/>
        </w:rPr>
        <w:t>Parágrafo.</w:t>
      </w:r>
      <w:r w:rsidRPr="001B7B03">
        <w:rPr>
          <w:rFonts w:ascii="Verdana" w:hAnsi="Verdana" w:cs="Arial"/>
          <w:b/>
          <w:color w:val="000000"/>
          <w:sz w:val="16"/>
          <w:szCs w:val="16"/>
        </w:rPr>
        <w:t> </w:t>
      </w:r>
      <w:r w:rsidRPr="001B7B03">
        <w:rPr>
          <w:rFonts w:ascii="Verdana" w:hAnsi="Verdana" w:cs="Arial"/>
          <w:color w:val="000000"/>
          <w:sz w:val="16"/>
          <w:szCs w:val="16"/>
        </w:rPr>
        <w:t>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w:t>
      </w:r>
    </w:p>
    <w:p w14:paraId="5D852F87" w14:textId="77777777" w:rsidR="00484327" w:rsidRPr="001B7B03" w:rsidRDefault="00484327" w:rsidP="00484327">
      <w:pPr>
        <w:pStyle w:val="Textonotapie"/>
        <w:ind w:firstLine="708"/>
        <w:jc w:val="both"/>
        <w:rPr>
          <w:rFonts w:ascii="Verdana" w:hAnsi="Verdana" w:cs="Arial"/>
          <w:sz w:val="16"/>
          <w:szCs w:val="16"/>
        </w:rPr>
      </w:pPr>
      <w:r w:rsidRPr="001B7B03">
        <w:rPr>
          <w:rFonts w:ascii="Verdana" w:hAnsi="Verdana" w:cs="Arial"/>
          <w:sz w:val="16"/>
          <w:szCs w:val="16"/>
        </w:rPr>
        <w:t xml:space="preserve"> </w:t>
      </w:r>
    </w:p>
  </w:footnote>
  <w:footnote w:id="8">
    <w:p w14:paraId="597D2914" w14:textId="77777777" w:rsidR="00484327" w:rsidRPr="001B7B03" w:rsidRDefault="00484327" w:rsidP="00484327">
      <w:pPr>
        <w:pStyle w:val="Textonotapie"/>
        <w:ind w:firstLine="708"/>
        <w:jc w:val="both"/>
        <w:rPr>
          <w:rFonts w:ascii="Verdana" w:hAnsi="Verdana" w:cs="Arial"/>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21 de 1982 “</w:t>
      </w:r>
      <w:r w:rsidRPr="001B7B03">
        <w:rPr>
          <w:rFonts w:ascii="Verdana" w:hAnsi="Verdana" w:cs="Arial"/>
          <w:color w:val="000000"/>
          <w:sz w:val="16"/>
          <w:szCs w:val="16"/>
        </w:rPr>
        <w:t>Artículo 39. Las Cajas de Compensación Familiar son personas jurídicas de derecho privado sin ánimo de lucro, organizadas como corporaciones en la forma prevista en el Código Civil, cumplen funciones de seguridad social y se hallan sometidas al control y vigilancia del Estado en la forma establecida por la ley”. </w:t>
      </w:r>
    </w:p>
  </w:footnote>
  <w:footnote w:id="9">
    <w:p w14:paraId="319DD8B5" w14:textId="77777777" w:rsidR="00484327" w:rsidRPr="001B7B03" w:rsidRDefault="00484327" w:rsidP="00484327">
      <w:pPr>
        <w:pStyle w:val="Textonotapie"/>
        <w:jc w:val="both"/>
        <w:rPr>
          <w:rFonts w:ascii="Verdana" w:hAnsi="Verdana" w:cs="Arial"/>
          <w:sz w:val="16"/>
          <w:szCs w:val="16"/>
        </w:rPr>
      </w:pPr>
    </w:p>
    <w:p w14:paraId="0F8F5593" w14:textId="77777777" w:rsidR="00484327" w:rsidRPr="001B7B03" w:rsidRDefault="00484327" w:rsidP="00484327">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454 de 1998 «</w:t>
      </w:r>
      <w:r w:rsidRPr="001B7B03">
        <w:rPr>
          <w:rStyle w:val="Fuerte"/>
          <w:rFonts w:ascii="Verdana" w:hAnsi="Verdana" w:cs="Arial"/>
          <w:b w:val="0"/>
          <w:color w:val="000000"/>
          <w:sz w:val="16"/>
          <w:szCs w:val="16"/>
        </w:rPr>
        <w:t>Artículo 6</w:t>
      </w:r>
      <w:r w:rsidRPr="001B7B03">
        <w:rPr>
          <w:rStyle w:val="Fuerte"/>
          <w:rFonts w:ascii="Verdana" w:hAnsi="Verdana" w:cs="Arial"/>
          <w:color w:val="000000"/>
          <w:sz w:val="16"/>
          <w:szCs w:val="16"/>
        </w:rPr>
        <w:t xml:space="preserve">°. </w:t>
      </w:r>
      <w:r w:rsidRPr="001B7B03">
        <w:rPr>
          <w:rStyle w:val="nfasis"/>
          <w:rFonts w:ascii="Verdana" w:eastAsia="Arial" w:hAnsi="Verdana" w:cs="Arial"/>
          <w:color w:val="000000"/>
          <w:sz w:val="16"/>
          <w:szCs w:val="16"/>
        </w:rPr>
        <w:t>Características de las organizaciones de Economía Solidaria. </w:t>
      </w:r>
      <w:r w:rsidRPr="001B7B03">
        <w:rPr>
          <w:rFonts w:ascii="Verdana" w:hAnsi="Verdana" w:cs="Arial"/>
          <w:color w:val="000000"/>
          <w:sz w:val="16"/>
          <w:szCs w:val="16"/>
        </w:rPr>
        <w:t>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 </w:t>
      </w:r>
    </w:p>
    <w:p w14:paraId="08D29643"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“1. Estar organizada como empresa que contemple en su objeto social, el ejercicio de una actividad socioeconómica, tendiente a satisfacer necesidades de sus asociados y el desarrollo de obras de servicio comunitario. </w:t>
      </w:r>
    </w:p>
    <w:p w14:paraId="11DB421D"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“2. Tener establecido un vínculo asociativo, fundado en los principios y fines contemplados en la presente ley. </w:t>
      </w:r>
    </w:p>
    <w:p w14:paraId="238407BC"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“3. Tener incluido en sus estatutos o reglas básicas de funcionamiento la ausencia de ánimo de lucro, movida por la solidaridad, el servicio social o comunitario. </w:t>
      </w:r>
    </w:p>
    <w:p w14:paraId="1B298FCA"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p>
    <w:p w14:paraId="247DFFB7" w14:textId="77777777" w:rsidR="00484327" w:rsidRPr="001B7B03" w:rsidRDefault="00484327" w:rsidP="00484327">
      <w:pPr>
        <w:pStyle w:val="NormalWeb"/>
        <w:spacing w:before="0" w:beforeAutospacing="0" w:after="0" w:afterAutospacing="0"/>
        <w:ind w:firstLine="708"/>
        <w:jc w:val="both"/>
        <w:rPr>
          <w:rFonts w:ascii="Verdana" w:hAnsi="Verdana" w:cs="Arial"/>
          <w:color w:val="000000"/>
          <w:sz w:val="16"/>
          <w:szCs w:val="16"/>
        </w:rPr>
      </w:pPr>
      <w:r w:rsidRPr="001B7B03">
        <w:rPr>
          <w:rFonts w:ascii="Verdana" w:hAnsi="Verdana" w:cs="Arial"/>
          <w:color w:val="000000"/>
          <w:sz w:val="16"/>
          <w:szCs w:val="16"/>
        </w:rPr>
        <w:t>4. Garantizar la igualdad de derechos y obligaciones de sus miembros sin consideración a sus aportes. </w:t>
      </w:r>
    </w:p>
    <w:p w14:paraId="10C7E653"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5. Establecer en sus estatutos un monto mínimo de aportes sociales no reducibles, debidamente pagados, durante su existencia. </w:t>
      </w:r>
    </w:p>
    <w:p w14:paraId="5FDBC5A2"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6. Integrarse social y económicamente, sin perjuicio de sus vínculos con otras entidades sin ánimo de lucro que tengan por fin promover el desarrollo integral del ser humano. </w:t>
      </w:r>
    </w:p>
    <w:p w14:paraId="0D39BCA2"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r>
      <w:r w:rsidRPr="001B7B03">
        <w:rPr>
          <w:rStyle w:val="Fuerte"/>
          <w:rFonts w:ascii="Verdana" w:hAnsi="Verdana" w:cs="Arial"/>
          <w:b w:val="0"/>
          <w:color w:val="000000"/>
          <w:sz w:val="16"/>
          <w:szCs w:val="16"/>
        </w:rPr>
        <w:t>Parágrafo 1°.</w:t>
      </w:r>
      <w:r w:rsidRPr="001B7B03">
        <w:rPr>
          <w:rFonts w:ascii="Verdana" w:hAnsi="Verdana" w:cs="Arial"/>
          <w:color w:val="000000"/>
          <w:sz w:val="16"/>
          <w:szCs w:val="16"/>
        </w:rPr>
        <w:t> En todo caso, las organizaciones de la economía solidaria deberán cumplir con los siguientes principios económicos: </w:t>
      </w:r>
    </w:p>
    <w:p w14:paraId="7B065216"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1. Establecer la irrepartibilidad de las reservas sociales y, en caso de liquidación, la del remanente patrimonial. </w:t>
      </w:r>
    </w:p>
    <w:p w14:paraId="3C8821E2" w14:textId="77777777" w:rsidR="00484327" w:rsidRPr="001B7B03" w:rsidRDefault="00484327" w:rsidP="00484327">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 </w:t>
      </w:r>
    </w:p>
    <w:p w14:paraId="4D88B9BC" w14:textId="77777777" w:rsidR="00484327" w:rsidRPr="001B7B03" w:rsidRDefault="00484327" w:rsidP="00484327">
      <w:pPr>
        <w:pStyle w:val="NormalWeb"/>
        <w:spacing w:before="0" w:beforeAutospacing="0" w:after="0" w:afterAutospacing="0"/>
        <w:jc w:val="both"/>
        <w:rPr>
          <w:rFonts w:ascii="Verdana" w:hAnsi="Verdana" w:cs="Arial"/>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r>
      <w:r w:rsidRPr="001B7B03">
        <w:rPr>
          <w:rStyle w:val="Fuerte"/>
          <w:rFonts w:ascii="Verdana" w:hAnsi="Verdana" w:cs="Arial"/>
          <w:b w:val="0"/>
          <w:color w:val="000000"/>
          <w:sz w:val="16"/>
          <w:szCs w:val="16"/>
        </w:rPr>
        <w:t>Parágrafo 2°.</w:t>
      </w:r>
      <w:r w:rsidRPr="001B7B03">
        <w:rPr>
          <w:rFonts w:ascii="Verdana" w:hAnsi="Verdana" w:cs="Arial"/>
          <w:b/>
          <w:color w:val="000000"/>
          <w:sz w:val="16"/>
          <w:szCs w:val="16"/>
        </w:rPr>
        <w:t> </w:t>
      </w:r>
      <w:r w:rsidRPr="001B7B03">
        <w:rPr>
          <w:rFonts w:ascii="Verdana" w:hAnsi="Verdana" w:cs="Arial"/>
          <w:color w:val="000000"/>
          <w:sz w:val="16"/>
          <w:szCs w:val="16"/>
        </w:rPr>
        <w:t>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 </w:t>
      </w:r>
    </w:p>
  </w:footnote>
  <w:footnote w:id="10">
    <w:p w14:paraId="114A4AF3" w14:textId="77777777" w:rsidR="00484327" w:rsidRPr="001B7B03" w:rsidRDefault="00484327" w:rsidP="00484327">
      <w:pPr>
        <w:pStyle w:val="Textonotapie"/>
        <w:ind w:firstLine="708"/>
        <w:jc w:val="both"/>
        <w:rPr>
          <w:rFonts w:ascii="Verdana" w:hAnsi="Verdana" w:cs="Arial"/>
          <w:sz w:val="16"/>
          <w:szCs w:val="16"/>
        </w:rPr>
      </w:pPr>
    </w:p>
    <w:p w14:paraId="6A2A0419" w14:textId="77777777" w:rsidR="00484327" w:rsidRPr="001B7B03" w:rsidRDefault="00484327" w:rsidP="00484327">
      <w:pPr>
        <w:pStyle w:val="Textonotapie"/>
        <w:ind w:firstLine="708"/>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rPr>
        <w:t xml:space="preserve"> </w:t>
      </w:r>
      <w:bookmarkStart w:id="2" w:name="8"/>
      <w:bookmarkEnd w:id="2"/>
      <w:r w:rsidRPr="001B7B03">
        <w:rPr>
          <w:rFonts w:ascii="Verdana" w:eastAsia="Times New Roman" w:hAnsi="Verdana" w:cs="Arial"/>
          <w:color w:val="000000"/>
          <w:sz w:val="16"/>
          <w:szCs w:val="16"/>
          <w:lang w:val="es-CO" w:eastAsia="es-CO"/>
        </w:rPr>
        <w:t xml:space="preserve">Ley 100 de 1993, </w:t>
      </w:r>
      <w:r w:rsidRPr="001B7B03">
        <w:rPr>
          <w:rFonts w:ascii="Verdana" w:hAnsi="Verdana" w:cs="Arial"/>
          <w:sz w:val="16"/>
          <w:szCs w:val="16"/>
        </w:rPr>
        <w:t>A</w:t>
      </w:r>
      <w:r w:rsidRPr="001B7B03">
        <w:rPr>
          <w:rFonts w:ascii="Verdana" w:eastAsia="Times New Roman" w:hAnsi="Verdana" w:cs="Arial"/>
          <w:color w:val="000000"/>
          <w:sz w:val="16"/>
          <w:szCs w:val="16"/>
          <w:lang w:val="es-CO" w:eastAsia="es-CO"/>
        </w:rPr>
        <w:t>rtículo</w:t>
      </w:r>
      <w:r w:rsidRPr="001B7B03">
        <w:rPr>
          <w:rFonts w:ascii="Verdana" w:eastAsia="Times New Roman" w:hAnsi="Verdana" w:cs="Arial"/>
          <w:b/>
          <w:color w:val="000000"/>
          <w:sz w:val="16"/>
          <w:szCs w:val="16"/>
          <w:lang w:val="es-CO" w:eastAsia="es-CO"/>
        </w:rPr>
        <w:t> </w:t>
      </w:r>
      <w:r w:rsidRPr="001B7B03">
        <w:rPr>
          <w:rFonts w:ascii="Verdana" w:eastAsia="Times New Roman" w:hAnsi="Verdana" w:cs="Arial"/>
          <w:color w:val="000000"/>
          <w:sz w:val="16"/>
          <w:szCs w:val="16"/>
          <w:lang w:val="es-CO" w:eastAsia="es-CO"/>
        </w:rPr>
        <w:t>8</w:t>
      </w:r>
      <w:r w:rsidRPr="001B7B03">
        <w:rPr>
          <w:rFonts w:ascii="Verdana" w:eastAsia="Times New Roman" w:hAnsi="Verdana" w:cs="Arial"/>
          <w:b/>
          <w:color w:val="000000"/>
          <w:sz w:val="16"/>
          <w:szCs w:val="16"/>
          <w:lang w:val="es-CO" w:eastAsia="es-CO"/>
        </w:rPr>
        <w:t>.</w:t>
      </w:r>
      <w:r w:rsidRPr="001B7B03">
        <w:rPr>
          <w:rFonts w:ascii="Verdana" w:eastAsia="Times New Roman" w:hAnsi="Verdana" w:cs="Arial"/>
          <w:color w:val="000000"/>
          <w:sz w:val="16"/>
          <w:szCs w:val="16"/>
          <w:lang w:val="es-CO" w:eastAsia="es-CO"/>
        </w:rPr>
        <w:t> Conformación del Sistema de Seguridad Social Integral. El Sistema de Seguridad Social Integral es el conjunto armónico de entidades públicas y privadas, normas y procedimientos y está conformado por los regímenes generales establecidos para pensiones, salud, riesgos profesionales y los servicios sociales complementarios que se definen en la presente</w:t>
      </w:r>
      <w:bookmarkStart w:id="3" w:name="LPHit20"/>
      <w:bookmarkEnd w:id="3"/>
      <w:r w:rsidRPr="001B7B03">
        <w:rPr>
          <w:rFonts w:ascii="Verdana" w:eastAsia="Times New Roman" w:hAnsi="Verdana" w:cs="Arial"/>
          <w:color w:val="000000"/>
          <w:sz w:val="16"/>
          <w:szCs w:val="16"/>
          <w:lang w:val="es-CO" w:eastAsia="es-CO"/>
        </w:rPr>
        <w:t> Ley</w:t>
      </w:r>
    </w:p>
  </w:footnote>
  <w:footnote w:id="11">
    <w:p w14:paraId="68EC1948" w14:textId="77777777" w:rsidR="00484327" w:rsidRPr="001B7B03" w:rsidRDefault="00484327" w:rsidP="00484327">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lang w:val="es-ES"/>
        </w:rPr>
        <w:t xml:space="preserve"> Ley 691 de 2001, «mediante la cual se reglamenta la participación de los Grupos Étnicos en el Sistema General de Seguridad Social en Colombia», artículos 1, 14 y 15. El artículo 14 habilita a las autoridades de los pueblos indígenas para crear administradoras que afilien a su población al régimen subsidiado, y el artículo 15 somete a estas entidades a la inspección y vigilancia de la Superintendencia Nacional de Salud.</w:t>
      </w:r>
    </w:p>
  </w:footnote>
  <w:footnote w:id="12">
    <w:p w14:paraId="4492D611" w14:textId="77777777" w:rsidR="00484327" w:rsidRPr="001B7B03" w:rsidRDefault="00484327" w:rsidP="00484327">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lang w:val="es-ES"/>
        </w:rPr>
        <w:t xml:space="preserve"> Decreto 1088 de 1993, «por el cual se regula la creación de las asociaciones de Cabildos y/o Autoridades Tradicionales Indígenas», artículo 2. El artículo 3 asigna a estas asociaciones, entre sus objetos, el fomento de proyectos de salud en coordinación con las autoridades competentes.</w:t>
      </w:r>
    </w:p>
  </w:footnote>
  <w:footnote w:id="13">
    <w:p w14:paraId="502B2E21" w14:textId="77777777" w:rsidR="00484327" w:rsidRPr="001B7B03" w:rsidRDefault="00484327" w:rsidP="00484327">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lang w:val="es-ES"/>
        </w:rPr>
        <w:t xml:space="preserve"> CONSEJO DE ESTADO. Sala de Consulta y Servicio Civil. Concepto del 18 de junio de 2025, radicación 11001-03-06-000-2025-00041-00 (2539). C.P. John Jairo Morales Alzate. Sobre el carácter parafiscal y la destinación específica de los recursos del Sistema General de Seguridad Social en Salud, la jurisprudencia constitucional es uniforme [verificar y citar, p. ej., Corte Constitucional, Sentencias C-824 de 2004 y C-262 de 2013].</w:t>
      </w:r>
    </w:p>
  </w:footnote>
  <w:footnote w:id="14">
    <w:p w14:paraId="23958DAB" w14:textId="77777777" w:rsidR="00484327" w:rsidRPr="001B7B03" w:rsidRDefault="00484327" w:rsidP="00484327">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rPr>
        <w:t xml:space="preserve"> </w:t>
      </w:r>
      <w:r w:rsidRPr="001B7B03">
        <w:rPr>
          <w:rFonts w:ascii="Verdana" w:hAnsi="Verdana" w:cs="Arial"/>
          <w:sz w:val="16"/>
          <w:szCs w:val="16"/>
          <w:lang w:val="es-ES"/>
        </w:rPr>
        <w:t>BOBBIO, Norberto. Democracia y secreto. México: Fondo de Cultura Económica, 2013. p. 27.</w:t>
      </w:r>
    </w:p>
  </w:footnote>
  <w:footnote w:id="15">
    <w:p w14:paraId="3B689F41"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Corte Constitucional. Sentencia C- 341 del 4 de junio de 2014. M. P. Mauricio González Cuervo.</w:t>
      </w:r>
    </w:p>
    <w:p w14:paraId="37B25B0D" w14:textId="77777777" w:rsidR="00484327" w:rsidRPr="001B7B03" w:rsidRDefault="00484327" w:rsidP="00484327">
      <w:pPr>
        <w:pStyle w:val="Textonotapie"/>
        <w:ind w:firstLine="709"/>
        <w:jc w:val="both"/>
        <w:rPr>
          <w:rFonts w:ascii="Verdana" w:hAnsi="Verdana" w:cs="Arial"/>
          <w:color w:val="000000" w:themeColor="text1"/>
          <w:sz w:val="16"/>
          <w:szCs w:val="16"/>
        </w:rPr>
      </w:pPr>
    </w:p>
  </w:footnote>
  <w:footnote w:id="16">
    <w:p w14:paraId="505BE4C7"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0648513"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“Lo anterior, sin perjuicio de las publicaciones previstas en el numeral 3 del artículo 30 de la Ley 80 de 1993.</w:t>
      </w:r>
    </w:p>
    <w:p w14:paraId="5B52217D"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78DB8E5A"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w:t>
      </w:r>
    </w:p>
    <w:p w14:paraId="19F0F9A6"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4CA61EF5" w14:textId="77777777" w:rsidR="00484327" w:rsidRPr="001B7B03" w:rsidRDefault="00484327" w:rsidP="00484327">
      <w:pPr>
        <w:pStyle w:val="Textonotapie"/>
        <w:ind w:firstLine="709"/>
        <w:jc w:val="both"/>
        <w:rPr>
          <w:rFonts w:ascii="Verdana" w:hAnsi="Verdana" w:cs="Arial"/>
          <w:color w:val="000000" w:themeColor="text1"/>
          <w:sz w:val="16"/>
          <w:szCs w:val="16"/>
          <w:lang w:val="es-CO"/>
        </w:rPr>
      </w:pPr>
    </w:p>
  </w:footnote>
  <w:footnote w:id="17">
    <w:p w14:paraId="1BFE8C0D"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F4F898B" w14:textId="77777777" w:rsidR="00484327" w:rsidRPr="001B7B03" w:rsidRDefault="00484327" w:rsidP="00484327">
      <w:pPr>
        <w:pStyle w:val="Textonotapie"/>
        <w:ind w:firstLine="709"/>
        <w:jc w:val="both"/>
        <w:rPr>
          <w:rFonts w:ascii="Verdana" w:hAnsi="Verdana" w:cs="Arial"/>
          <w:color w:val="000000" w:themeColor="text1"/>
          <w:sz w:val="16"/>
          <w:szCs w:val="16"/>
          <w:lang w:val="es-CO"/>
        </w:rPr>
      </w:pPr>
    </w:p>
  </w:footnote>
  <w:footnote w:id="18">
    <w:p w14:paraId="795C6386"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6862F733"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7B2528B" w14:textId="77777777" w:rsidR="00484327" w:rsidRPr="001B7B03" w:rsidRDefault="00484327" w:rsidP="00484327">
      <w:pPr>
        <w:pStyle w:val="Textonotapie"/>
        <w:ind w:firstLine="709"/>
        <w:jc w:val="both"/>
        <w:rPr>
          <w:rFonts w:ascii="Verdana" w:hAnsi="Verdana" w:cs="Arial"/>
          <w:color w:val="000000" w:themeColor="text1"/>
          <w:sz w:val="16"/>
          <w:szCs w:val="16"/>
          <w:lang w:val="es-CO"/>
        </w:rPr>
      </w:pPr>
    </w:p>
  </w:footnote>
  <w:footnote w:id="19">
    <w:p w14:paraId="4F15715E"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Fonts w:ascii="Verdana" w:eastAsia="Times New Roman" w:hAnsi="Verdana" w:cs="Arial"/>
          <w:color w:val="000000" w:themeColor="text1"/>
          <w:sz w:val="16"/>
          <w:szCs w:val="16"/>
          <w:vertAlign w:val="superscript"/>
          <w:lang w:val="es-ES" w:eastAsia="es-ES"/>
        </w:rPr>
        <w:footnoteRef/>
      </w:r>
      <w:r w:rsidRPr="001B7B03">
        <w:rPr>
          <w:rFonts w:ascii="Verdana" w:eastAsia="Times New Roman" w:hAnsi="Verdana" w:cs="Arial"/>
          <w:color w:val="000000" w:themeColor="text1"/>
          <w:sz w:val="16"/>
          <w:szCs w:val="16"/>
          <w:vertAlign w:val="superscript"/>
          <w:lang w:val="es-ES" w:eastAsia="es-ES"/>
        </w:rPr>
        <w:t xml:space="preserve"> </w:t>
      </w:r>
      <w:r w:rsidRPr="001B7B03">
        <w:rPr>
          <w:rFonts w:ascii="Verdana" w:eastAsia="Times New Roman" w:hAnsi="Verdana" w:cs="Arial"/>
          <w:color w:val="000000" w:themeColor="text1"/>
          <w:sz w:val="16"/>
          <w:szCs w:val="16"/>
          <w:lang w:val="es-ES" w:eastAsia="es-ES"/>
        </w:rPr>
        <w:t>“</w:t>
      </w:r>
      <w:r w:rsidRPr="001B7B03">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4AAF8F2" w14:textId="77777777" w:rsidR="00484327" w:rsidRPr="001B7B03" w:rsidRDefault="00484327" w:rsidP="00484327">
      <w:pPr>
        <w:pStyle w:val="Textonotapie"/>
        <w:ind w:firstLine="709"/>
        <w:jc w:val="both"/>
        <w:rPr>
          <w:rFonts w:ascii="Verdana" w:eastAsia="Times New Roman" w:hAnsi="Verdana" w:cs="Arial"/>
          <w:color w:val="000000" w:themeColor="text1"/>
          <w:sz w:val="16"/>
          <w:szCs w:val="16"/>
          <w:lang w:val="es-ES" w:eastAsia="es-ES"/>
        </w:rPr>
      </w:pPr>
      <w:r w:rsidRPr="001B7B03">
        <w:rPr>
          <w:rFonts w:ascii="Verdana" w:hAnsi="Verdana" w:cs="Arial"/>
          <w:color w:val="000000" w:themeColor="text1"/>
          <w:sz w:val="16"/>
          <w:szCs w:val="16"/>
        </w:rPr>
        <w:t>[…].</w:t>
      </w:r>
    </w:p>
    <w:p w14:paraId="2E1D0E91" w14:textId="77777777" w:rsidR="00484327" w:rsidRPr="001B7B03" w:rsidRDefault="00484327" w:rsidP="00484327">
      <w:pPr>
        <w:pStyle w:val="Textonotapie"/>
        <w:ind w:firstLine="709"/>
        <w:jc w:val="both"/>
        <w:rPr>
          <w:rFonts w:ascii="Verdana" w:eastAsia="Times New Roman" w:hAnsi="Verdana" w:cs="Arial"/>
          <w:color w:val="000000" w:themeColor="text1"/>
          <w:sz w:val="16"/>
          <w:szCs w:val="16"/>
          <w:lang w:val="es-ES" w:eastAsia="es-ES"/>
        </w:rPr>
      </w:pPr>
      <w:r w:rsidRPr="001B7B03">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20">
    <w:p w14:paraId="2BC4A26D"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C</w:t>
      </w:r>
      <w:r w:rsidRPr="001B7B03">
        <w:rPr>
          <w:rFonts w:ascii="Verdana" w:eastAsia="Times New Roman" w:hAnsi="Verdana" w:cs="Arial"/>
          <w:color w:val="000000" w:themeColor="text1"/>
          <w:sz w:val="16"/>
          <w:szCs w:val="16"/>
          <w:lang w:val="es-ES" w:eastAsia="es-ES"/>
        </w:rPr>
        <w:t xml:space="preserve">orte Constitucional. Sentencia C‒274 de 9 de mayo de 2013. M.P. María Victoria Calle Correa. </w:t>
      </w:r>
    </w:p>
    <w:p w14:paraId="3197E998" w14:textId="77777777" w:rsidR="00484327" w:rsidRPr="001B7B03" w:rsidRDefault="00484327" w:rsidP="00484327">
      <w:pPr>
        <w:pStyle w:val="Textonotapie"/>
        <w:ind w:firstLine="709"/>
        <w:jc w:val="both"/>
        <w:rPr>
          <w:rFonts w:ascii="Verdana" w:hAnsi="Verdana" w:cs="Arial"/>
          <w:color w:val="000000" w:themeColor="text1"/>
          <w:sz w:val="16"/>
          <w:szCs w:val="16"/>
          <w:lang w:val="es-CO"/>
        </w:rPr>
      </w:pPr>
    </w:p>
  </w:footnote>
  <w:footnote w:id="21">
    <w:p w14:paraId="2BE93653"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CD5DA48" w14:textId="77777777" w:rsidR="00484327" w:rsidRPr="001B7B03" w:rsidRDefault="00484327" w:rsidP="00484327">
      <w:pPr>
        <w:pStyle w:val="Textonotapie"/>
        <w:ind w:firstLine="709"/>
        <w:jc w:val="both"/>
        <w:rPr>
          <w:rFonts w:ascii="Verdana" w:hAnsi="Verdana" w:cs="Arial"/>
          <w:color w:val="000000" w:themeColor="text1"/>
          <w:sz w:val="16"/>
          <w:szCs w:val="16"/>
          <w:lang w:val="es-CO"/>
        </w:rPr>
      </w:pPr>
    </w:p>
  </w:footnote>
  <w:footnote w:id="22">
    <w:p w14:paraId="2323C49D" w14:textId="77777777" w:rsidR="00484327" w:rsidRPr="001B7B03" w:rsidRDefault="00484327" w:rsidP="00484327">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rPr>
        <w:t xml:space="preserve"> </w:t>
      </w:r>
      <w:r w:rsidRPr="001B7B03">
        <w:rPr>
          <w:rFonts w:ascii="Verdana" w:hAnsi="Verdana" w:cs="Arial"/>
          <w:color w:val="000000" w:themeColor="text1"/>
          <w:sz w:val="16"/>
          <w:szCs w:val="16"/>
          <w:lang w:val="es-ES"/>
        </w:rPr>
        <w:t>Consejero Ponente: Jaime Orlando Santofimio Gamboa.</w:t>
      </w:r>
    </w:p>
  </w:footnote>
  <w:footnote w:id="23">
    <w:p w14:paraId="2E3A8750" w14:textId="77777777" w:rsidR="00484327" w:rsidRPr="001B7B03" w:rsidRDefault="00484327" w:rsidP="00484327">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Consejo de Estado. Sección Tercera. Subsección C. Auto del 14 de agosto de 2017. Exp. 58.820. C.P. Jaime Orlando Santofimio Gamboa. </w:t>
      </w:r>
    </w:p>
    <w:p w14:paraId="1665DE75" w14:textId="77777777" w:rsidR="00484327" w:rsidRPr="001B7B03" w:rsidRDefault="00484327" w:rsidP="00484327">
      <w:pPr>
        <w:pStyle w:val="Textonotapie"/>
        <w:ind w:firstLine="709"/>
        <w:jc w:val="both"/>
        <w:rPr>
          <w:rFonts w:ascii="Verdana" w:hAnsi="Verdana" w:cs="Arial"/>
          <w:color w:val="000000" w:themeColor="text1"/>
          <w:sz w:val="16"/>
          <w:szCs w:val="16"/>
          <w:lang w:val="es-CO"/>
        </w:rPr>
      </w:pPr>
    </w:p>
  </w:footnote>
  <w:footnote w:id="24">
    <w:p w14:paraId="5D13F28A" w14:textId="7C15CD3E" w:rsidR="00484327" w:rsidRPr="001B7B03" w:rsidRDefault="00484327" w:rsidP="00484327">
      <w:pPr>
        <w:pStyle w:val="Textonotapie"/>
        <w:ind w:firstLine="709"/>
        <w:jc w:val="both"/>
        <w:rPr>
          <w:rFonts w:ascii="Verdana" w:hAnsi="Verdana" w:cs="Arial"/>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Ibíd. </w:t>
      </w:r>
    </w:p>
  </w:footnote>
  <w:footnote w:id="25">
    <w:p w14:paraId="614C6F46" w14:textId="77777777" w:rsidR="00484327" w:rsidRPr="001B7B03" w:rsidRDefault="00484327" w:rsidP="00484327">
      <w:pPr>
        <w:pStyle w:val="Textonotapie"/>
        <w:ind w:firstLine="708"/>
        <w:jc w:val="both"/>
        <w:rPr>
          <w:rFonts w:ascii="Verdana" w:hAnsi="Verdana" w:cs="Arial"/>
          <w:sz w:val="16"/>
          <w:szCs w:val="16"/>
          <w:lang w:val="es-CO"/>
        </w:rPr>
      </w:pPr>
      <w:r w:rsidRPr="001B7B03">
        <w:rPr>
          <w:rStyle w:val="Refdenotaalpie"/>
          <w:rFonts w:ascii="Verdana" w:hAnsi="Verdana"/>
          <w:sz w:val="16"/>
          <w:szCs w:val="16"/>
        </w:rPr>
        <w:footnoteRef/>
      </w:r>
      <w:r w:rsidRPr="001B7B03">
        <w:rPr>
          <w:rFonts w:ascii="Verdana" w:hAnsi="Verdana"/>
          <w:sz w:val="16"/>
          <w:szCs w:val="16"/>
        </w:rPr>
        <w:t xml:space="preserve"> </w:t>
      </w:r>
      <w:r w:rsidRPr="001B7B03">
        <w:rPr>
          <w:rFonts w:ascii="Verdana" w:hAnsi="Verdana" w:cs="Arial"/>
          <w:sz w:val="16"/>
          <w:szCs w:val="16"/>
        </w:rPr>
        <w:t xml:space="preserve">En relación con este aspecto, también resulta relevante la Circular Externa 002 del 17 de marzo de 2022, de la Agencia Nacional de Contratación Pública – Colombia Compra Eficiente, disponible en: </w:t>
      </w:r>
      <w:hyperlink r:id="rId1" w:history="1">
        <w:r w:rsidRPr="001B7B03">
          <w:rPr>
            <w:rStyle w:val="Hipervnculo"/>
            <w:rFonts w:ascii="Verdana" w:hAnsi="Verdana" w:cs="Arial"/>
            <w:sz w:val="16"/>
            <w:szCs w:val="16"/>
          </w:rPr>
          <w:t>https://www.colombiacompra.gov.co/circulares</w:t>
        </w:r>
      </w:hyperlink>
      <w:r w:rsidRPr="001B7B03">
        <w:rPr>
          <w:rFonts w:ascii="Verdana" w:hAnsi="Verdana" w:cs="Arial"/>
          <w:sz w:val="16"/>
          <w:szCs w:val="16"/>
        </w:rPr>
        <w:t xml:space="preserve">. </w:t>
      </w:r>
    </w:p>
  </w:footnote>
  <w:footnote w:id="26">
    <w:p w14:paraId="1599F76A"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Style w:val="Refdenotaalpie"/>
          <w:rFonts w:ascii="Verdana" w:hAnsi="Verdana" w:cs="Arial"/>
          <w:sz w:val="16"/>
          <w:szCs w:val="16"/>
        </w:rPr>
        <w:footnoteRef/>
      </w:r>
      <w:r w:rsidRPr="00691CE1">
        <w:rPr>
          <w:rFonts w:ascii="Verdana" w:hAnsi="Verdana" w:cs="Arial"/>
          <w:sz w:val="16"/>
          <w:szCs w:val="16"/>
        </w:rPr>
        <w:t xml:space="preserve"> Ley 80 de 1993 “Artículo 24. Del principio de transparencia. En virtud de este principio: </w:t>
      </w:r>
    </w:p>
    <w:p w14:paraId="4EB566DD"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w:t>
      </w:r>
    </w:p>
    <w:p w14:paraId="2037FF75"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4o. Las autoridades expedirán a costa de aquellas personas que demuestren interés legítimo, copias de las actuaciones y propuestas recibidas, respetando la reserva de que gocen legalmente las patentes, procedimientos y privilegios”.</w:t>
      </w:r>
    </w:p>
    <w:p w14:paraId="1F4FF6CF" w14:textId="77777777" w:rsidR="00501059" w:rsidRPr="00691CE1" w:rsidRDefault="00501059" w:rsidP="00501059">
      <w:pPr>
        <w:pStyle w:val="Textonotapie"/>
        <w:ind w:firstLine="708"/>
        <w:contextualSpacing/>
        <w:jc w:val="both"/>
        <w:rPr>
          <w:rFonts w:ascii="Verdana" w:hAnsi="Verdana" w:cs="Arial"/>
          <w:sz w:val="16"/>
          <w:szCs w:val="16"/>
          <w:lang w:val="es-CO"/>
        </w:rPr>
      </w:pPr>
    </w:p>
  </w:footnote>
  <w:footnote w:id="27">
    <w:p w14:paraId="59BC2BBB"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Style w:val="Refdenotaalpie"/>
          <w:rFonts w:ascii="Verdana" w:hAnsi="Verdana" w:cs="Arial"/>
          <w:sz w:val="16"/>
          <w:szCs w:val="16"/>
        </w:rPr>
        <w:footnoteRef/>
      </w:r>
      <w:r w:rsidRPr="00691CE1">
        <w:rPr>
          <w:rFonts w:ascii="Verdana" w:hAnsi="Verdana" w:cs="Arial"/>
          <w:sz w:val="16"/>
          <w:szCs w:val="16"/>
        </w:rPr>
        <w:t xml:space="preserve">  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28">
    <w:p w14:paraId="22E6782E"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Style w:val="Refdenotaalpie"/>
          <w:rFonts w:ascii="Verdana" w:hAnsi="Verdana" w:cs="Arial"/>
          <w:sz w:val="16"/>
          <w:szCs w:val="16"/>
        </w:rPr>
        <w:footnoteRef/>
      </w:r>
      <w:r w:rsidRPr="00691CE1">
        <w:rPr>
          <w:rFonts w:ascii="Verdana" w:hAnsi="Verdana" w:cs="Arial"/>
          <w:sz w:val="16"/>
          <w:szCs w:val="16"/>
        </w:rPr>
        <w:t xml:space="preserve"> MATALLANA CAMACHO Ernesto. Manual de Contratación de la Administración Pública. Reforma a la Ley 80 de 1993. Universidad Externado de Colombia, Cuarta edición, 2015, pp 139.</w:t>
      </w:r>
    </w:p>
  </w:footnote>
  <w:footnote w:id="29">
    <w:p w14:paraId="7E9D4EFB" w14:textId="77777777" w:rsidR="00501059" w:rsidRPr="00691CE1" w:rsidRDefault="00501059" w:rsidP="00501059">
      <w:pPr>
        <w:pStyle w:val="Textonotapie"/>
        <w:ind w:firstLine="708"/>
        <w:contextualSpacing/>
        <w:jc w:val="both"/>
        <w:rPr>
          <w:rFonts w:ascii="Verdana" w:hAnsi="Verdana" w:cs="Arial"/>
          <w:sz w:val="16"/>
          <w:szCs w:val="16"/>
        </w:rPr>
      </w:pPr>
    </w:p>
    <w:p w14:paraId="73EBDDF4"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Style w:val="Refdenotaalpie"/>
          <w:rFonts w:ascii="Verdana" w:hAnsi="Verdana" w:cs="Arial"/>
          <w:sz w:val="16"/>
          <w:szCs w:val="16"/>
        </w:rPr>
        <w:footnoteRef/>
      </w:r>
      <w:r w:rsidRPr="00691CE1">
        <w:rPr>
          <w:rFonts w:ascii="Verdana" w:hAnsi="Verdana"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3AAED3B3"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 xml:space="preserve">1. Los relacionados con la defensa o seguridad nacionales.  </w:t>
      </w:r>
    </w:p>
    <w:p w14:paraId="5FFC4FD2"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 xml:space="preserve">2. Las instrucciones en materia diplomática o sobre negociaciones reservadas.  </w:t>
      </w:r>
    </w:p>
    <w:p w14:paraId="6D8F044D"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22A4F616"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D816410"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 xml:space="preserve">5. Los datos referentes a la información financiera y comercial, en los términos de la Ley Estatutaria 1266 de 2008.  </w:t>
      </w:r>
    </w:p>
    <w:p w14:paraId="57E88AE2"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 xml:space="preserve">6. Los protegidos por el secreto comercial o industrial, así como los planes estratégicos de las empresas públicas de servicios públicos.  </w:t>
      </w:r>
    </w:p>
    <w:p w14:paraId="0F24EE79"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 xml:space="preserve">7. Los amparados por el secreto profesional.  </w:t>
      </w:r>
    </w:p>
    <w:p w14:paraId="16DD60CA"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 xml:space="preserve">8. Los datos genéticos humanos.  </w:t>
      </w:r>
    </w:p>
    <w:p w14:paraId="45D6EE23"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30">
    <w:p w14:paraId="617A9CDD" w14:textId="77777777" w:rsidR="00501059" w:rsidRPr="00691CE1" w:rsidRDefault="00501059" w:rsidP="00501059">
      <w:pPr>
        <w:pStyle w:val="Textonotapie"/>
        <w:ind w:firstLine="708"/>
        <w:contextualSpacing/>
        <w:jc w:val="both"/>
        <w:rPr>
          <w:rFonts w:ascii="Verdana" w:hAnsi="Verdana" w:cs="Arial"/>
          <w:sz w:val="16"/>
          <w:szCs w:val="16"/>
        </w:rPr>
      </w:pPr>
    </w:p>
    <w:p w14:paraId="37E0B68F" w14:textId="77777777" w:rsidR="00501059" w:rsidRPr="00691CE1" w:rsidRDefault="00501059" w:rsidP="00501059">
      <w:pPr>
        <w:pStyle w:val="Textonotapie"/>
        <w:ind w:firstLine="708"/>
        <w:contextualSpacing/>
        <w:jc w:val="both"/>
        <w:rPr>
          <w:rFonts w:ascii="Verdana" w:eastAsia="Calibri" w:hAnsi="Verdana" w:cs="Arial"/>
          <w:sz w:val="16"/>
          <w:szCs w:val="16"/>
        </w:rPr>
      </w:pPr>
      <w:r w:rsidRPr="00691CE1">
        <w:rPr>
          <w:rStyle w:val="Refdenotaalpie"/>
          <w:rFonts w:ascii="Verdana" w:hAnsi="Verdana" w:cs="Arial"/>
          <w:sz w:val="16"/>
          <w:szCs w:val="16"/>
        </w:rPr>
        <w:footnoteRef/>
      </w:r>
      <w:r w:rsidRPr="00691CE1">
        <w:rPr>
          <w:rFonts w:ascii="Verdana" w:hAnsi="Verdana" w:cs="Arial"/>
          <w:sz w:val="16"/>
          <w:szCs w:val="16"/>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691CE1">
        <w:rPr>
          <w:rFonts w:ascii="Verdana" w:eastAsia="Calibri" w:hAnsi="Verdana" w:cs="Arial"/>
          <w:sz w:val="16"/>
          <w:szCs w:val="16"/>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31">
    <w:p w14:paraId="42C8517C"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Style w:val="Refdenotaalpie"/>
          <w:rFonts w:ascii="Verdana" w:hAnsi="Verdana" w:cs="Arial"/>
          <w:sz w:val="16"/>
          <w:szCs w:val="16"/>
        </w:rPr>
        <w:footnoteRef/>
      </w:r>
      <w:r w:rsidRPr="00691CE1">
        <w:rPr>
          <w:rFonts w:ascii="Verdana" w:hAnsi="Verdana" w:cs="Arial"/>
          <w:sz w:val="16"/>
          <w:szCs w:val="16"/>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19EACB1B" w14:textId="77777777" w:rsidR="00501059" w:rsidRPr="00691CE1" w:rsidRDefault="00501059" w:rsidP="00501059">
      <w:pPr>
        <w:pStyle w:val="Textonotapie"/>
        <w:ind w:firstLine="708"/>
        <w:contextualSpacing/>
        <w:jc w:val="both"/>
        <w:rPr>
          <w:rFonts w:ascii="Verdana" w:hAnsi="Verdana" w:cs="Arial"/>
          <w:sz w:val="16"/>
          <w:szCs w:val="16"/>
        </w:rPr>
      </w:pPr>
      <w:r w:rsidRPr="00691CE1">
        <w:rPr>
          <w:rFonts w:ascii="Verdana" w:hAnsi="Verdana" w:cs="Arial"/>
          <w:sz w:val="16"/>
          <w:szCs w:val="16"/>
        </w:rPr>
        <w:t>Ninguna autoridad pública puede negarse a indicar si un documento obra o no en su poder o negar la divulgación de un documento, salvo que el daño causado al interés protegido sea mayor al interés público de obtener acceso a la información.</w:t>
      </w:r>
    </w:p>
    <w:p w14:paraId="5F7E821B" w14:textId="77777777" w:rsidR="00501059" w:rsidRPr="00691CE1" w:rsidRDefault="00501059" w:rsidP="00501059">
      <w:pPr>
        <w:pStyle w:val="Textonotapie"/>
        <w:ind w:firstLine="708"/>
        <w:contextualSpacing/>
        <w:jc w:val="both"/>
        <w:rPr>
          <w:rFonts w:ascii="Verdana" w:hAnsi="Verdana" w:cs="Arial"/>
          <w:sz w:val="16"/>
          <w:szCs w:val="16"/>
          <w:lang w:val="es-CO"/>
        </w:rPr>
      </w:pPr>
      <w:r w:rsidRPr="00691CE1">
        <w:rPr>
          <w:rFonts w:ascii="Verdana" w:hAnsi="Verdana" w:cs="Arial"/>
          <w:sz w:val="16"/>
          <w:szCs w:val="16"/>
        </w:rPr>
        <w:t>Las excepciones de acceso a la información contenidas en la presente ley no aplican en casos de violación de derechos humanos o delitos de lesa humanidad, y en todo caso deberán protegerse los derechos de las víctimas de dichas violaciones”.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0.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479"/>
    <w:rsid w:val="000167D0"/>
    <w:rsid w:val="00016F78"/>
    <w:rsid w:val="00026347"/>
    <w:rsid w:val="00046945"/>
    <w:rsid w:val="000607AA"/>
    <w:rsid w:val="00061B2A"/>
    <w:rsid w:val="00082362"/>
    <w:rsid w:val="000A683E"/>
    <w:rsid w:val="000B19B9"/>
    <w:rsid w:val="000C749C"/>
    <w:rsid w:val="000D0334"/>
    <w:rsid w:val="000D5DA7"/>
    <w:rsid w:val="000F6486"/>
    <w:rsid w:val="00116940"/>
    <w:rsid w:val="00123E98"/>
    <w:rsid w:val="00125105"/>
    <w:rsid w:val="00127233"/>
    <w:rsid w:val="00132910"/>
    <w:rsid w:val="00137E29"/>
    <w:rsid w:val="0015699B"/>
    <w:rsid w:val="00180BEE"/>
    <w:rsid w:val="001A33BF"/>
    <w:rsid w:val="001D3BB1"/>
    <w:rsid w:val="001E4177"/>
    <w:rsid w:val="001F0B24"/>
    <w:rsid w:val="001F189E"/>
    <w:rsid w:val="001F7DC6"/>
    <w:rsid w:val="002030B9"/>
    <w:rsid w:val="0022400B"/>
    <w:rsid w:val="00234FED"/>
    <w:rsid w:val="002421BB"/>
    <w:rsid w:val="00250A47"/>
    <w:rsid w:val="0025796E"/>
    <w:rsid w:val="002610A4"/>
    <w:rsid w:val="002707A2"/>
    <w:rsid w:val="002951A0"/>
    <w:rsid w:val="002962BC"/>
    <w:rsid w:val="002A093D"/>
    <w:rsid w:val="002A0DD0"/>
    <w:rsid w:val="002A49AC"/>
    <w:rsid w:val="002A64FD"/>
    <w:rsid w:val="002C1BE9"/>
    <w:rsid w:val="002C7A84"/>
    <w:rsid w:val="002E2BF8"/>
    <w:rsid w:val="002E4FD9"/>
    <w:rsid w:val="002F3879"/>
    <w:rsid w:val="0030657A"/>
    <w:rsid w:val="00306EC3"/>
    <w:rsid w:val="0031434A"/>
    <w:rsid w:val="00322A85"/>
    <w:rsid w:val="00324168"/>
    <w:rsid w:val="00330834"/>
    <w:rsid w:val="003448F4"/>
    <w:rsid w:val="00374F5E"/>
    <w:rsid w:val="00375D6D"/>
    <w:rsid w:val="00375DBB"/>
    <w:rsid w:val="00377E3E"/>
    <w:rsid w:val="003824F7"/>
    <w:rsid w:val="00387ED9"/>
    <w:rsid w:val="003923E6"/>
    <w:rsid w:val="003A779E"/>
    <w:rsid w:val="003C051C"/>
    <w:rsid w:val="003C39BA"/>
    <w:rsid w:val="003D0F4D"/>
    <w:rsid w:val="003D5B0D"/>
    <w:rsid w:val="003D6543"/>
    <w:rsid w:val="003E0499"/>
    <w:rsid w:val="003E4F80"/>
    <w:rsid w:val="003E6439"/>
    <w:rsid w:val="003F3941"/>
    <w:rsid w:val="0040116E"/>
    <w:rsid w:val="00403EE4"/>
    <w:rsid w:val="00406575"/>
    <w:rsid w:val="00414C74"/>
    <w:rsid w:val="0042722E"/>
    <w:rsid w:val="0044253C"/>
    <w:rsid w:val="0044528D"/>
    <w:rsid w:val="00450013"/>
    <w:rsid w:val="00466E39"/>
    <w:rsid w:val="00484327"/>
    <w:rsid w:val="004A1847"/>
    <w:rsid w:val="004A22E7"/>
    <w:rsid w:val="004A278E"/>
    <w:rsid w:val="004A305D"/>
    <w:rsid w:val="004C5AF0"/>
    <w:rsid w:val="004E4C91"/>
    <w:rsid w:val="004F21C4"/>
    <w:rsid w:val="004F685F"/>
    <w:rsid w:val="00501059"/>
    <w:rsid w:val="00537B40"/>
    <w:rsid w:val="00540DD7"/>
    <w:rsid w:val="0055382A"/>
    <w:rsid w:val="005566E8"/>
    <w:rsid w:val="0056139A"/>
    <w:rsid w:val="00574867"/>
    <w:rsid w:val="00591460"/>
    <w:rsid w:val="005A65E0"/>
    <w:rsid w:val="005C3777"/>
    <w:rsid w:val="005C5CDC"/>
    <w:rsid w:val="005D476C"/>
    <w:rsid w:val="006200BF"/>
    <w:rsid w:val="006219F8"/>
    <w:rsid w:val="006302F7"/>
    <w:rsid w:val="0063265C"/>
    <w:rsid w:val="00646B9F"/>
    <w:rsid w:val="00665D70"/>
    <w:rsid w:val="006900D9"/>
    <w:rsid w:val="006A48ED"/>
    <w:rsid w:val="006A583F"/>
    <w:rsid w:val="00706C16"/>
    <w:rsid w:val="00710C0F"/>
    <w:rsid w:val="0072254C"/>
    <w:rsid w:val="007340C3"/>
    <w:rsid w:val="0075235A"/>
    <w:rsid w:val="00756841"/>
    <w:rsid w:val="00763B4C"/>
    <w:rsid w:val="007649AB"/>
    <w:rsid w:val="00771D0C"/>
    <w:rsid w:val="007833AC"/>
    <w:rsid w:val="00787067"/>
    <w:rsid w:val="007A16FC"/>
    <w:rsid w:val="007B268C"/>
    <w:rsid w:val="007B7171"/>
    <w:rsid w:val="007C0C0F"/>
    <w:rsid w:val="007C3DC2"/>
    <w:rsid w:val="007D34ED"/>
    <w:rsid w:val="007D7265"/>
    <w:rsid w:val="007E5497"/>
    <w:rsid w:val="00806F5F"/>
    <w:rsid w:val="00813019"/>
    <w:rsid w:val="00820278"/>
    <w:rsid w:val="008258C9"/>
    <w:rsid w:val="008304AA"/>
    <w:rsid w:val="00844AE9"/>
    <w:rsid w:val="00847CEB"/>
    <w:rsid w:val="008563BC"/>
    <w:rsid w:val="00866E5D"/>
    <w:rsid w:val="00867F95"/>
    <w:rsid w:val="00874629"/>
    <w:rsid w:val="008843B6"/>
    <w:rsid w:val="00891928"/>
    <w:rsid w:val="00895C15"/>
    <w:rsid w:val="008A446D"/>
    <w:rsid w:val="008B25F1"/>
    <w:rsid w:val="008C3070"/>
    <w:rsid w:val="008D180B"/>
    <w:rsid w:val="008E6356"/>
    <w:rsid w:val="008F0EA7"/>
    <w:rsid w:val="008F67DA"/>
    <w:rsid w:val="00923EEF"/>
    <w:rsid w:val="00937D90"/>
    <w:rsid w:val="00937E27"/>
    <w:rsid w:val="009419BC"/>
    <w:rsid w:val="009419F9"/>
    <w:rsid w:val="009451AB"/>
    <w:rsid w:val="0095685E"/>
    <w:rsid w:val="00961B09"/>
    <w:rsid w:val="00965334"/>
    <w:rsid w:val="0097093E"/>
    <w:rsid w:val="00984FDE"/>
    <w:rsid w:val="00990690"/>
    <w:rsid w:val="009A0CC6"/>
    <w:rsid w:val="009A0DFA"/>
    <w:rsid w:val="009A1C6F"/>
    <w:rsid w:val="009B2D26"/>
    <w:rsid w:val="009B7720"/>
    <w:rsid w:val="009B79FE"/>
    <w:rsid w:val="009C69F7"/>
    <w:rsid w:val="009C71FA"/>
    <w:rsid w:val="009C72E7"/>
    <w:rsid w:val="009C7F78"/>
    <w:rsid w:val="009C7F7E"/>
    <w:rsid w:val="009D3058"/>
    <w:rsid w:val="009E18CE"/>
    <w:rsid w:val="009F0E1D"/>
    <w:rsid w:val="009F3A13"/>
    <w:rsid w:val="00A122D3"/>
    <w:rsid w:val="00A14468"/>
    <w:rsid w:val="00A17F13"/>
    <w:rsid w:val="00A17FF8"/>
    <w:rsid w:val="00A20739"/>
    <w:rsid w:val="00A23AF9"/>
    <w:rsid w:val="00A33C78"/>
    <w:rsid w:val="00A4704A"/>
    <w:rsid w:val="00A952B2"/>
    <w:rsid w:val="00A954CF"/>
    <w:rsid w:val="00AB0ADB"/>
    <w:rsid w:val="00AB291D"/>
    <w:rsid w:val="00AC0002"/>
    <w:rsid w:val="00B00C0E"/>
    <w:rsid w:val="00B01B1A"/>
    <w:rsid w:val="00B0381D"/>
    <w:rsid w:val="00B14D9B"/>
    <w:rsid w:val="00B44A47"/>
    <w:rsid w:val="00B70D10"/>
    <w:rsid w:val="00B72CD3"/>
    <w:rsid w:val="00B72FFF"/>
    <w:rsid w:val="00B805F8"/>
    <w:rsid w:val="00BC3D36"/>
    <w:rsid w:val="00BD1295"/>
    <w:rsid w:val="00BD54A6"/>
    <w:rsid w:val="00BD7435"/>
    <w:rsid w:val="00BD7F72"/>
    <w:rsid w:val="00BF7425"/>
    <w:rsid w:val="00C0211B"/>
    <w:rsid w:val="00C04FB3"/>
    <w:rsid w:val="00C11D8B"/>
    <w:rsid w:val="00C15139"/>
    <w:rsid w:val="00C330EB"/>
    <w:rsid w:val="00C50D69"/>
    <w:rsid w:val="00C5365C"/>
    <w:rsid w:val="00C754BE"/>
    <w:rsid w:val="00C76B1C"/>
    <w:rsid w:val="00C776FE"/>
    <w:rsid w:val="00C81D3C"/>
    <w:rsid w:val="00C925AC"/>
    <w:rsid w:val="00C97F88"/>
    <w:rsid w:val="00CA20C6"/>
    <w:rsid w:val="00CB6357"/>
    <w:rsid w:val="00CC1B26"/>
    <w:rsid w:val="00CD7B7A"/>
    <w:rsid w:val="00D361FD"/>
    <w:rsid w:val="00D36B8E"/>
    <w:rsid w:val="00D36B93"/>
    <w:rsid w:val="00D423A2"/>
    <w:rsid w:val="00D43272"/>
    <w:rsid w:val="00D44E26"/>
    <w:rsid w:val="00D520D8"/>
    <w:rsid w:val="00D63AC2"/>
    <w:rsid w:val="00D7383B"/>
    <w:rsid w:val="00D7788A"/>
    <w:rsid w:val="00D813C5"/>
    <w:rsid w:val="00D819CF"/>
    <w:rsid w:val="00D85546"/>
    <w:rsid w:val="00DA231B"/>
    <w:rsid w:val="00DB3664"/>
    <w:rsid w:val="00DC39FC"/>
    <w:rsid w:val="00DD35EF"/>
    <w:rsid w:val="00DD5713"/>
    <w:rsid w:val="00DE7092"/>
    <w:rsid w:val="00DF5254"/>
    <w:rsid w:val="00E02524"/>
    <w:rsid w:val="00E15DDB"/>
    <w:rsid w:val="00E16408"/>
    <w:rsid w:val="00E20894"/>
    <w:rsid w:val="00E245AB"/>
    <w:rsid w:val="00E2764C"/>
    <w:rsid w:val="00E27F2E"/>
    <w:rsid w:val="00E311D9"/>
    <w:rsid w:val="00E35D70"/>
    <w:rsid w:val="00E4299F"/>
    <w:rsid w:val="00E50AFE"/>
    <w:rsid w:val="00E75C92"/>
    <w:rsid w:val="00E771DC"/>
    <w:rsid w:val="00E8772A"/>
    <w:rsid w:val="00E90F6B"/>
    <w:rsid w:val="00E92C27"/>
    <w:rsid w:val="00EA0E3D"/>
    <w:rsid w:val="00EA6DF6"/>
    <w:rsid w:val="00EC38A7"/>
    <w:rsid w:val="00EE1AA8"/>
    <w:rsid w:val="00EE1DA8"/>
    <w:rsid w:val="00EE2A35"/>
    <w:rsid w:val="00F23FEA"/>
    <w:rsid w:val="00F31EDC"/>
    <w:rsid w:val="00F36393"/>
    <w:rsid w:val="00F462B3"/>
    <w:rsid w:val="00F5664F"/>
    <w:rsid w:val="00F666C4"/>
    <w:rsid w:val="00F74330"/>
    <w:rsid w:val="00F74E54"/>
    <w:rsid w:val="00F76AFC"/>
    <w:rsid w:val="00F85B8F"/>
    <w:rsid w:val="00FA47C0"/>
    <w:rsid w:val="00FB0F2C"/>
    <w:rsid w:val="00FB5DD1"/>
    <w:rsid w:val="00FC2B5D"/>
    <w:rsid w:val="00FD4C2E"/>
    <w:rsid w:val="00FE6B85"/>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01059"/>
    <w:pPr>
      <w:spacing w:line="240" w:lineRule="exact"/>
    </w:pPr>
    <w:rPr>
      <w:vertAlign w:val="superscript"/>
    </w:rPr>
  </w:style>
  <w:style w:type="character" w:customStyle="1" w:styleId="NormalWebCar">
    <w:name w:val="Normal (Web) Car"/>
    <w:link w:val="NormalWeb"/>
    <w:uiPriority w:val="99"/>
    <w:rsid w:val="00501059"/>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501059"/>
    <w:rPr>
      <w:b/>
      <w:bCs/>
    </w:rPr>
  </w:style>
  <w:style w:type="character" w:styleId="nfasis">
    <w:name w:val="Emphasis"/>
    <w:basedOn w:val="Fuentedeprrafopredeter"/>
    <w:uiPriority w:val="20"/>
    <w:qFormat/>
    <w:rsid w:val="00501059"/>
    <w:rPr>
      <w:i/>
      <w:i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1059"/>
    <w:rPr>
      <w:rFonts w:ascii="Geomanist Light" w:hAnsi="Geomanist Light"/>
      <w:lang w:val="es-ES"/>
    </w:rPr>
  </w:style>
  <w:style w:type="character" w:styleId="Refdecomentario">
    <w:name w:val="annotation reference"/>
    <w:basedOn w:val="Fuentedeprrafopredeter"/>
    <w:uiPriority w:val="99"/>
    <w:semiHidden/>
    <w:unhideWhenUsed/>
    <w:rsid w:val="00F74330"/>
    <w:rPr>
      <w:sz w:val="16"/>
      <w:szCs w:val="16"/>
    </w:rPr>
  </w:style>
  <w:style w:type="paragraph" w:styleId="Textocomentario">
    <w:name w:val="annotation text"/>
    <w:basedOn w:val="Normal"/>
    <w:link w:val="TextocomentarioCar"/>
    <w:uiPriority w:val="99"/>
    <w:unhideWhenUsed/>
    <w:rsid w:val="00F74330"/>
    <w:pPr>
      <w:spacing w:line="240" w:lineRule="auto"/>
    </w:pPr>
    <w:rPr>
      <w:sz w:val="20"/>
      <w:szCs w:val="20"/>
    </w:rPr>
  </w:style>
  <w:style w:type="character" w:customStyle="1" w:styleId="TextocomentarioCar">
    <w:name w:val="Texto comentario Car"/>
    <w:basedOn w:val="Fuentedeprrafopredeter"/>
    <w:link w:val="Textocomentario"/>
    <w:uiPriority w:val="99"/>
    <w:rsid w:val="00F74330"/>
    <w:rPr>
      <w:sz w:val="20"/>
      <w:szCs w:val="20"/>
    </w:rPr>
  </w:style>
  <w:style w:type="paragraph" w:styleId="Asuntodelcomentario">
    <w:name w:val="annotation subject"/>
    <w:basedOn w:val="Textocomentario"/>
    <w:next w:val="Textocomentario"/>
    <w:link w:val="AsuntodelcomentarioCar"/>
    <w:uiPriority w:val="99"/>
    <w:semiHidden/>
    <w:unhideWhenUsed/>
    <w:rsid w:val="00F74330"/>
    <w:rPr>
      <w:b/>
      <w:bCs/>
    </w:rPr>
  </w:style>
  <w:style w:type="character" w:customStyle="1" w:styleId="AsuntodelcomentarioCar">
    <w:name w:val="Asunto del comentario Car"/>
    <w:basedOn w:val="TextocomentarioCar"/>
    <w:link w:val="Asuntodelcomentario"/>
    <w:uiPriority w:val="99"/>
    <w:semiHidden/>
    <w:rsid w:val="00F743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ircular%2Fcircular-externa-003-de-2026&amp;data=05%7C02%7Cximena.rios%40colombiacompra.gov.co%7C7128555136e04fa6887d08dee99e1b50%7C7b09041e245149d08cb179d5e3d8c1be%7C0%7C0%7C639205062450563347%7CUnknown%7CTWFpbGZsb3d8eyJFbXB0eU1hcGkiOnRydWUsIlYiOiIwLjAuMDAwMCIsIlAiOiJXaW4zMiIsIkFOIjoiTWFpbCIsIldUIjoyfQ%3D%3D%7C0%7C%7C%7C&amp;sdata=tosoK34OMgJQcSayY6AWxgpMG1zlr0nJO8iR5nyvlYo%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archivos%2Fmanual%2Fguia-de-garantias-en-procesos-de-contratacion&amp;data=05%7C02%7Cximena.rios%40colombiacompra.gov.co%7C7128555136e04fa6887d08dee99e1b50%7C7b09041e245149d08cb179d5e3d8c1be%7C0%7C0%7C639205062450539116%7CUnknown%7CTWFpbGZsb3d8eyJFbXB0eU1hcGkiOnRydWUsIlYiOiIwLjAuMDAwMCIsIlAiOiJXaW4zMiIsIkFOIjoiTWFpbCIsIldUIjoyfQ%3D%3D%7C0%7C%7C%7C&amp;sdata=CfPCOpuJcdBVx4A4Es00qhtHeb0EXqpLtjJ3sidG7qc%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ximena.rios%40colombiacompra.gov.co%7C7128555136e04fa6887d08dee99e1b50%7C7b09041e245149d08cb179d5e3d8c1be%7C0%7C0%7C639205062450600483%7CUnknown%7CTWFpbGZsb3d8eyJFbXB0eU1hcGkiOnRydWUsIlYiOiIwLjAuMDAwMCIsIlAiOiJXaW4zMiIsIkFOIjoiTWFpbCIsIldUIjoyfQ%3D%3D%7C0%7C%7C%7C&amp;sdata=uYs%2B3QwtSZHgVJvlXP%2BmhySC1Jrm7vHXFmaHOtfNQ14%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2-de-2026&amp;data=05%7C02%7Cximena.rios%40colombiacompra.gov.co%7C7128555136e04fa6887d08dee99e1b50%7C7b09041e245149d08cb179d5e3d8c1be%7C0%7C0%7C639205062450582020%7CUnknown%7CTWFpbGZsb3d8eyJFbXB0eU1hcGkiOnRydWUsIlYiOiIwLjAuMDAwMCIsIlAiOiJXaW4zMiIsIkFOIjoiTWFpbCIsIldUIjoyfQ%3D%3D%7C0%7C%7C%7C&amp;sdata=rcNHkjlfUnBT10qBN9hOC13nRPZK9MU4FLtUNXV3C%2F0%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BEE54B2-1678-4F20-B38D-75BEBCD5AAAB}"/>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32</Pages>
  <Words>10204</Words>
  <Characters>56125</Characters>
  <Application>Microsoft Office Word</Application>
  <DocSecurity>0</DocSecurity>
  <Lines>467</Lines>
  <Paragraphs>132</Paragraphs>
  <ScaleCrop>false</ScaleCrop>
  <Company/>
  <LinksUpToDate>false</LinksUpToDate>
  <CharactersWithSpaces>66197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cp:revision>
  <cp:lastPrinted>2023-01-10T21:18:00Z</cp:lastPrinted>
  <dcterms:created xsi:type="dcterms:W3CDTF">2026-10-14T20:40:00Z</dcterms:created>
  <dcterms:modified xsi:type="dcterms:W3CDTF">2026-10-14T21:11:00Z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