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2BEE5" w14:textId="77777777" w:rsidR="0046227F" w:rsidRPr="0046227F" w:rsidRDefault="00EC1F38" w:rsidP="005F67C1">
      <w:pPr>
        <w:spacing w:after="0" w:line="240" w:lineRule="auto"/>
        <w:jc w:val="both"/>
        <w:rPr>
          <w:rFonts w:ascii="Verdana" w:eastAsia="Verdana" w:hAnsi="Verdana" w:cs="Verdana"/>
          <w:b/>
          <w:bCs/>
          <w:lang w:val="es-ES"/>
        </w:rPr>
      </w:pPr>
      <w:bookmarkStart w:id="0" w:name="_Hlk143780582"/>
      <w:r w:rsidRPr="0046227F">
        <w:rPr>
          <w:rFonts w:ascii="Verdana" w:eastAsia="Verdana" w:hAnsi="Verdana" w:cs="Verdana"/>
          <w:b/>
          <w:bCs/>
          <w:lang w:val="es-ES"/>
        </w:rPr>
        <w:t>ORGANISMOS INTERNACIONALES – Concepto</w:t>
      </w:r>
    </w:p>
    <w:p w14:paraId="78241116" w14:textId="77777777" w:rsidR="00F3515A" w:rsidRPr="00F3515A" w:rsidRDefault="00F3515A" w:rsidP="005F67C1">
      <w:pPr>
        <w:spacing w:after="0" w:line="240" w:lineRule="auto"/>
        <w:jc w:val="both"/>
        <w:rPr>
          <w:rFonts w:ascii="Verdana" w:eastAsia="Verdana" w:hAnsi="Verdana" w:cs="Verdana"/>
          <w:sz w:val="20"/>
          <w:szCs w:val="20"/>
          <w:lang w:val="es-ES"/>
        </w:rPr>
      </w:pPr>
    </w:p>
    <w:p w14:paraId="44159047" w14:textId="1A95BE3E" w:rsidR="00F3515A" w:rsidRPr="00F3515A" w:rsidRDefault="00F3515A" w:rsidP="005F67C1">
      <w:pPr>
        <w:spacing w:after="0" w:line="240" w:lineRule="auto"/>
        <w:jc w:val="both"/>
        <w:rPr>
          <w:rFonts w:ascii="Verdana" w:eastAsia="Verdana" w:hAnsi="Verdana" w:cs="Verdana"/>
          <w:sz w:val="20"/>
          <w:szCs w:val="20"/>
          <w:lang w:val="es-ES"/>
        </w:rPr>
      </w:pPr>
      <w:r w:rsidRPr="00F3515A">
        <w:rPr>
          <w:rFonts w:ascii="Verdana" w:eastAsia="Verdana" w:hAnsi="Verdana" w:cs="Verdana"/>
          <w:sz w:val="20"/>
          <w:szCs w:val="20"/>
          <w:lang w:val="es-ES"/>
        </w:rPr>
        <w:t xml:space="preserve">Frente al alcance de dicha disposición, es necesario aclarar que por </w:t>
      </w:r>
      <w:r w:rsidRPr="00F3515A">
        <w:rPr>
          <w:rFonts w:ascii="Verdana" w:eastAsia="Verdana" w:hAnsi="Verdana" w:cs="Verdana"/>
          <w:i/>
          <w:iCs/>
          <w:sz w:val="20"/>
          <w:szCs w:val="20"/>
          <w:lang w:val="es-ES"/>
        </w:rPr>
        <w:t>organismo internacional</w:t>
      </w:r>
      <w:r w:rsidRPr="00F3515A">
        <w:rPr>
          <w:rFonts w:ascii="Verdana" w:eastAsia="Verdana" w:hAnsi="Verdana" w:cs="Verdana"/>
          <w:sz w:val="20"/>
          <w:szCs w:val="20"/>
          <w:lang w:val="es-ES"/>
        </w:rPr>
        <w:t xml:space="preserve">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417DF24E" w14:textId="77777777" w:rsidR="0046227F" w:rsidRPr="0046227F" w:rsidRDefault="0046227F" w:rsidP="005F67C1">
      <w:pPr>
        <w:spacing w:after="0" w:line="240" w:lineRule="auto"/>
        <w:jc w:val="both"/>
        <w:rPr>
          <w:rFonts w:ascii="Verdana" w:eastAsia="Verdana" w:hAnsi="Verdana" w:cs="Verdana"/>
          <w:b/>
          <w:bCs/>
          <w:lang w:val="es-ES"/>
        </w:rPr>
      </w:pPr>
    </w:p>
    <w:p w14:paraId="57895497" w14:textId="62F08DD4" w:rsidR="00EC1F38"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RÉGIMEN CONTRACTUAL – Ley 1150 de 2007 – Artículo 20</w:t>
      </w:r>
    </w:p>
    <w:p w14:paraId="05B2DC31" w14:textId="77777777" w:rsidR="00EC1F38" w:rsidRPr="0081794A" w:rsidRDefault="00EC1F38" w:rsidP="005F67C1">
      <w:pPr>
        <w:spacing w:after="0" w:line="240" w:lineRule="auto"/>
        <w:jc w:val="both"/>
        <w:rPr>
          <w:rFonts w:ascii="Verdana" w:eastAsia="Verdana" w:hAnsi="Verdana" w:cs="Verdana"/>
          <w:sz w:val="20"/>
          <w:szCs w:val="20"/>
          <w:lang w:val="es-ES"/>
        </w:rPr>
      </w:pPr>
    </w:p>
    <w:p w14:paraId="2774EAB3" w14:textId="77777777" w:rsidR="0081794A" w:rsidRPr="0081794A" w:rsidRDefault="0081794A" w:rsidP="005F67C1">
      <w:pPr>
        <w:spacing w:after="0" w:line="240" w:lineRule="auto"/>
        <w:jc w:val="both"/>
        <w:rPr>
          <w:rFonts w:ascii="Verdana" w:eastAsia="Verdana" w:hAnsi="Verdana" w:cs="Verdana"/>
          <w:sz w:val="20"/>
          <w:szCs w:val="20"/>
          <w:lang w:val="es-ES"/>
        </w:rPr>
      </w:pPr>
      <w:r w:rsidRPr="0081794A">
        <w:rPr>
          <w:rFonts w:ascii="Verdana" w:eastAsia="Verdana" w:hAnsi="Verdana" w:cs="Verdana"/>
          <w:sz w:val="20"/>
          <w:szCs w:val="20"/>
          <w:lang w:val="es-ES"/>
        </w:rPr>
        <w:t xml:space="preserve">De esta manera, el artículo 20 de la Ley 1150 de 2007 estableció́ el régimen aplicable a los contratos que celebren las Entidades Estatales con este tipo de organismos. En el </w:t>
      </w:r>
      <w:r w:rsidRPr="0081794A">
        <w:rPr>
          <w:rFonts w:ascii="Verdana" w:eastAsia="Verdana" w:hAnsi="Verdana" w:cs="Verdana"/>
          <w:i/>
          <w:iCs/>
          <w:sz w:val="20"/>
          <w:szCs w:val="20"/>
          <w:lang w:val="es-ES"/>
        </w:rPr>
        <w:t>inciso primero</w:t>
      </w:r>
      <w:r w:rsidRPr="0081794A">
        <w:rPr>
          <w:rFonts w:ascii="Verdana" w:eastAsia="Verdana" w:hAnsi="Verdana" w:cs="Verdana"/>
          <w:sz w:val="20"/>
          <w:szCs w:val="20"/>
          <w:lang w:val="es-ES"/>
        </w:rPr>
        <w:t xml:space="preserve">, el artículo dispone que el régimen aplicable podrá́ depender del porcentaje de participación que el organismo internacional tenga frente a la </w:t>
      </w:r>
      <w:r w:rsidRPr="0081794A">
        <w:rPr>
          <w:rFonts w:ascii="Verdana" w:eastAsia="Verdana" w:hAnsi="Verdana" w:cs="Verdana"/>
          <w:i/>
          <w:iCs/>
          <w:sz w:val="20"/>
          <w:szCs w:val="20"/>
          <w:lang w:val="es-ES"/>
        </w:rPr>
        <w:t xml:space="preserve">financiación </w:t>
      </w:r>
      <w:r w:rsidRPr="0081794A">
        <w:rPr>
          <w:rFonts w:ascii="Verdana" w:eastAsia="Verdana" w:hAnsi="Verdana" w:cs="Verdana"/>
          <w:sz w:val="20"/>
          <w:szCs w:val="20"/>
          <w:lang w:val="es-ES"/>
        </w:rPr>
        <w:t xml:space="preserve">de los contratos. Así́, el artículo 20 de la citada norma señala que cuando los </w:t>
      </w:r>
      <w:r w:rsidRPr="0081794A">
        <w:rPr>
          <w:rFonts w:ascii="Verdana" w:eastAsia="Verdana" w:hAnsi="Verdana" w:cs="Verdana"/>
          <w:i/>
          <w:iCs/>
          <w:sz w:val="20"/>
          <w:szCs w:val="20"/>
          <w:lang w:val="es-ES"/>
        </w:rPr>
        <w:t xml:space="preserve">organismos de cooperación, asistencia o ayudas internacionales </w:t>
      </w:r>
      <w:r w:rsidRPr="0081794A">
        <w:rPr>
          <w:rFonts w:ascii="Verdana" w:eastAsia="Verdana" w:hAnsi="Verdana" w:cs="Verdana"/>
          <w:sz w:val="20"/>
          <w:szCs w:val="20"/>
          <w:lang w:val="es-ES"/>
        </w:rPr>
        <w:t xml:space="preserve">financien los contratos o convenios en su totalidad o en sumas iguales o superiores al cincuenta por ciento (50%), la contratación </w:t>
      </w:r>
      <w:r w:rsidRPr="0081794A">
        <w:rPr>
          <w:rFonts w:ascii="Verdana" w:eastAsia="Verdana" w:hAnsi="Verdana" w:cs="Verdana"/>
          <w:i/>
          <w:iCs/>
          <w:sz w:val="20"/>
          <w:szCs w:val="20"/>
          <w:lang w:val="es-ES"/>
        </w:rPr>
        <w:t xml:space="preserve">podrá́ </w:t>
      </w:r>
      <w:r w:rsidRPr="0081794A">
        <w:rPr>
          <w:rFonts w:ascii="Verdana" w:eastAsia="Verdana" w:hAnsi="Verdana" w:cs="Verdana"/>
          <w:sz w:val="20"/>
          <w:szCs w:val="20"/>
          <w:lang w:val="es-ES"/>
        </w:rPr>
        <w:t xml:space="preserve">someterse a los reglamentos de tales entidades. En estos supuestos, la norma establece la potestad discrecional de elegir el régimen contractual aplicable, pues la literalidad del inciso señala que “podrán” someterse a los reglamentos de tales entidades. En caso contrario, cuando la entidad contratante determine o establezca que los aportes del organismo internacional son inferiores al porcentaje señalado, el contrato o convenio </w:t>
      </w:r>
      <w:r w:rsidRPr="0081794A">
        <w:rPr>
          <w:rFonts w:ascii="Verdana" w:eastAsia="Verdana" w:hAnsi="Verdana" w:cs="Verdana"/>
          <w:i/>
          <w:iCs/>
          <w:sz w:val="20"/>
          <w:szCs w:val="20"/>
          <w:lang w:val="es-ES"/>
        </w:rPr>
        <w:t xml:space="preserve">debe </w:t>
      </w:r>
      <w:r w:rsidRPr="0081794A">
        <w:rPr>
          <w:rFonts w:ascii="Verdana" w:eastAsia="Verdana" w:hAnsi="Verdana" w:cs="Verdana"/>
          <w:sz w:val="20"/>
          <w:szCs w:val="20"/>
          <w:lang w:val="es-ES"/>
        </w:rPr>
        <w:t xml:space="preserve">someterse al EGCAP. </w:t>
      </w:r>
    </w:p>
    <w:p w14:paraId="74C5D6E2" w14:textId="77777777" w:rsidR="0081794A" w:rsidRPr="0081794A" w:rsidRDefault="0081794A" w:rsidP="005F67C1">
      <w:pPr>
        <w:spacing w:after="0" w:line="240" w:lineRule="auto"/>
        <w:jc w:val="both"/>
        <w:rPr>
          <w:rFonts w:ascii="Verdana" w:eastAsia="Verdana" w:hAnsi="Verdana" w:cs="Verdana"/>
          <w:sz w:val="20"/>
          <w:szCs w:val="20"/>
          <w:lang w:val="es-ES"/>
        </w:rPr>
      </w:pPr>
    </w:p>
    <w:p w14:paraId="4B5C946B" w14:textId="43294796" w:rsidR="0081794A" w:rsidRPr="0081794A" w:rsidRDefault="0081794A" w:rsidP="005F67C1">
      <w:pPr>
        <w:spacing w:after="0" w:line="240" w:lineRule="auto"/>
        <w:jc w:val="both"/>
        <w:rPr>
          <w:rFonts w:ascii="Verdana" w:eastAsia="Verdana" w:hAnsi="Verdana" w:cs="Verdana"/>
          <w:sz w:val="20"/>
          <w:szCs w:val="20"/>
          <w:lang w:val="es-ES"/>
        </w:rPr>
      </w:pPr>
      <w:r w:rsidRPr="0081794A">
        <w:rPr>
          <w:rFonts w:ascii="Verdana" w:eastAsia="Verdana" w:hAnsi="Verdana" w:cs="Verdana"/>
          <w:sz w:val="20"/>
          <w:szCs w:val="20"/>
          <w:lang w:val="es-ES"/>
        </w:rPr>
        <w:t xml:space="preserve">Conviene mencionar que dentro de la ejecución del contrato o convenio pueden presentarse situaciones en las que el porcentaje de los aportes sea modificado en virtud de una adición o por la no ejecución en los términos pactados. Previendo este escenario, el artículo 2.2.1.2.4.4.1 del Decreto 1082 de 2015 dispuso que se deberán modificar los contratos o convenios para que se rijan por las normas del sistema de compras y contratación </w:t>
      </w:r>
      <w:proofErr w:type="spellStart"/>
      <w:r w:rsidRPr="0081794A">
        <w:rPr>
          <w:rFonts w:ascii="Verdana" w:eastAsia="Verdana" w:hAnsi="Verdana" w:cs="Verdana"/>
          <w:sz w:val="20"/>
          <w:szCs w:val="20"/>
          <w:lang w:val="es-ES"/>
        </w:rPr>
        <w:t>pública</w:t>
      </w:r>
      <w:proofErr w:type="spellEnd"/>
      <w:r w:rsidRPr="0081794A">
        <w:rPr>
          <w:rFonts w:ascii="Verdana" w:eastAsia="Verdana" w:hAnsi="Verdana" w:cs="Verdana"/>
          <w:sz w:val="20"/>
          <w:szCs w:val="20"/>
          <w:lang w:val="es-ES"/>
        </w:rPr>
        <w:t xml:space="preserve"> si el aporte de recursos públicos es superior al cincuenta por ciento (50%) del total, por las normas internas del organismo de cooperación si el aporte es inferior.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 </w:t>
      </w:r>
    </w:p>
    <w:p w14:paraId="162101DB" w14:textId="77777777" w:rsidR="00EC1F38" w:rsidRPr="0046227F" w:rsidRDefault="00EC1F38" w:rsidP="005F67C1">
      <w:pPr>
        <w:spacing w:after="0" w:line="240" w:lineRule="auto"/>
        <w:jc w:val="both"/>
        <w:rPr>
          <w:rFonts w:ascii="Verdana" w:eastAsia="Verdana" w:hAnsi="Verdana" w:cs="Verdana"/>
          <w:b/>
          <w:bCs/>
          <w:lang w:val="es-ES"/>
        </w:rPr>
      </w:pPr>
    </w:p>
    <w:p w14:paraId="078DAFA3" w14:textId="77777777" w:rsidR="00EC1F38"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 xml:space="preserve">SISTEMA NACIONAL DE COOPERACIÓN INTERNACIONAL – Decreto 603 de 2022 – Alcance – Recursos financieros </w:t>
      </w:r>
    </w:p>
    <w:p w14:paraId="13D55EFA" w14:textId="77777777" w:rsidR="00EC1F38" w:rsidRPr="00C97F13" w:rsidRDefault="00EC1F38" w:rsidP="005F67C1">
      <w:pPr>
        <w:spacing w:after="0" w:line="240" w:lineRule="auto"/>
        <w:jc w:val="both"/>
        <w:rPr>
          <w:rFonts w:ascii="Verdana" w:eastAsia="Verdana" w:hAnsi="Verdana" w:cs="Verdana"/>
          <w:sz w:val="20"/>
          <w:szCs w:val="20"/>
          <w:lang w:val="es-ES"/>
        </w:rPr>
      </w:pPr>
    </w:p>
    <w:p w14:paraId="4A21AEEC" w14:textId="16F627D6" w:rsidR="00C97F13" w:rsidRDefault="00C97F13" w:rsidP="005F67C1">
      <w:pPr>
        <w:spacing w:after="0" w:line="240" w:lineRule="auto"/>
        <w:jc w:val="both"/>
        <w:rPr>
          <w:rFonts w:ascii="Verdana" w:eastAsia="Verdana" w:hAnsi="Verdana" w:cs="Verdana"/>
          <w:sz w:val="20"/>
          <w:szCs w:val="20"/>
          <w:lang w:val="es-ES"/>
        </w:rPr>
      </w:pPr>
      <w:r w:rsidRPr="00C97F13">
        <w:rPr>
          <w:rFonts w:ascii="Verdana" w:eastAsia="Verdana" w:hAnsi="Verdana" w:cs="Verdana"/>
          <w:sz w:val="20"/>
          <w:szCs w:val="20"/>
          <w:lang w:val="es-ES"/>
        </w:rPr>
        <w:lastRenderedPageBreak/>
        <w:t>De esta manera, conforme al marco general del Sistema Nacional de Cooperación internacional regulado en el Decreto 603 de 2022 y teniendo en cuenta la definición de cooperación financiera señalada, es viable colegir que cuando el artículo 2.2.8.3.4 del Decreto 1067 de 2015 adicionado por el Decreto 603 de 2022 alude a “recursos financieros” hace referencia a la asignación de recursos líquidos o en efectivo. Lo anterior se complementa con lo señalado por la</w:t>
      </w:r>
      <w:r w:rsidRPr="00C97F13">
        <w:rPr>
          <w:rFonts w:ascii="Verdana" w:eastAsia="Verdana" w:hAnsi="Verdana" w:cs="Verdana"/>
          <w:sz w:val="20"/>
          <w:szCs w:val="20"/>
        </w:rPr>
        <w:t xml:space="preserve"> Agencia Presidencial de Cooperación Internacional de Colombia, que en su función de gestionar, orientar y coordinar técnicamente la cooperación internacional pública, privada, técnica y financiera no </w:t>
      </w:r>
      <w:r w:rsidRPr="00C97F13">
        <w:rPr>
          <w:rFonts w:ascii="Verdana" w:eastAsia="Verdana" w:hAnsi="Verdana" w:cs="Verdana"/>
          <w:sz w:val="20"/>
          <w:szCs w:val="20"/>
          <w:lang w:val="es-ES"/>
        </w:rPr>
        <w:t>reembolsable, indicó que los recursos de cooperación internacional deben ser únicamente financieros y no técnicos, ni en especie.</w:t>
      </w:r>
    </w:p>
    <w:p w14:paraId="7E5B671A" w14:textId="77777777" w:rsidR="00C97F13" w:rsidRPr="00C97F13" w:rsidRDefault="00C97F13" w:rsidP="005F67C1">
      <w:pPr>
        <w:spacing w:after="0" w:line="240" w:lineRule="auto"/>
        <w:jc w:val="both"/>
        <w:rPr>
          <w:rFonts w:ascii="Verdana" w:eastAsia="Verdana" w:hAnsi="Verdana" w:cs="Verdana"/>
          <w:sz w:val="20"/>
          <w:szCs w:val="20"/>
          <w:lang w:val="es-ES"/>
        </w:rPr>
      </w:pPr>
    </w:p>
    <w:p w14:paraId="09405FF1" w14:textId="77777777" w:rsidR="00C97F13" w:rsidRDefault="00C97F13" w:rsidP="005F67C1">
      <w:pPr>
        <w:spacing w:after="0" w:line="240" w:lineRule="auto"/>
        <w:jc w:val="both"/>
        <w:rPr>
          <w:rFonts w:ascii="Verdana" w:eastAsia="Verdana" w:hAnsi="Verdana" w:cs="Verdana"/>
          <w:sz w:val="20"/>
          <w:szCs w:val="20"/>
        </w:rPr>
      </w:pPr>
      <w:r w:rsidRPr="00C97F13">
        <w:rPr>
          <w:rFonts w:ascii="Verdana" w:eastAsia="Verdana" w:hAnsi="Verdana" w:cs="Verdana"/>
          <w:sz w:val="20"/>
          <w:szCs w:val="20"/>
          <w:lang w:val="es-ES"/>
        </w:rPr>
        <w:t xml:space="preserve"> De ahí que, pueda afirmarse que los recursos técnicos o en especie en el marco de la cooperación internacional</w:t>
      </w:r>
      <w:r w:rsidRPr="00C97F13">
        <w:rPr>
          <w:rFonts w:ascii="Verdana" w:eastAsia="Verdana" w:hAnsi="Verdana" w:cs="Verdana"/>
          <w:sz w:val="20"/>
          <w:szCs w:val="20"/>
        </w:rPr>
        <w:t xml:space="preserve"> no están incluidos en la noción de recursos financieros y, por el contrario, se distinguen. Por tanto, de acuerdo con el contexto expuesto se concluye que el concepto de recursos financieros al que alude el artículo 2.2.8.3.4 del Decreto 603 de 2022 no incluye los recursos técnicos o en especie, ni los bienes o servicios puestos a disposición de la ejecución del convenio como parte de la participación del socio de cooperación internacional, pues se reitera, hace referencia a sumas líquida de dinero. </w:t>
      </w:r>
    </w:p>
    <w:p w14:paraId="7B0261E0" w14:textId="77777777" w:rsidR="00C97F13" w:rsidRPr="00C97F13" w:rsidRDefault="00C97F13" w:rsidP="005F67C1">
      <w:pPr>
        <w:spacing w:after="0" w:line="240" w:lineRule="auto"/>
        <w:jc w:val="both"/>
        <w:rPr>
          <w:rFonts w:ascii="Verdana" w:eastAsia="Verdana" w:hAnsi="Verdana" w:cs="Verdana"/>
          <w:sz w:val="20"/>
          <w:szCs w:val="20"/>
        </w:rPr>
      </w:pPr>
    </w:p>
    <w:p w14:paraId="05AD499E" w14:textId="77777777" w:rsidR="00C97F13" w:rsidRPr="00C97F13" w:rsidRDefault="00C97F13" w:rsidP="005F67C1">
      <w:pPr>
        <w:spacing w:after="0" w:line="240" w:lineRule="auto"/>
        <w:jc w:val="both"/>
        <w:rPr>
          <w:rFonts w:ascii="Verdana" w:eastAsia="Verdana" w:hAnsi="Verdana" w:cs="Verdana"/>
          <w:sz w:val="20"/>
          <w:szCs w:val="20"/>
        </w:rPr>
      </w:pPr>
      <w:r w:rsidRPr="00C97F13">
        <w:rPr>
          <w:rFonts w:ascii="Verdana" w:eastAsia="Verdana" w:hAnsi="Verdana" w:cs="Verdana"/>
          <w:sz w:val="20"/>
          <w:szCs w:val="20"/>
        </w:rPr>
        <w:t>Si se contrasta esta conclusión, con lo dispuesto en el parágrafo tercero del artículo 20 de la Ley 1150 de 2007 y con el artículo 2.2.1.2.4.4.1 del Decreto 1082 de 2015, se encuentra que, a diferencia de tales disposiciones, para efectos del cálculo del umbral establecido en el artículo 2.2.8.3.4 del Decreto 603 de 2022 no resultan relevantes los aportes en especie. Esto dado que esta última disposición es clara al señalar que solo resulta aplicable a recursos financieros, mientras que el parágrafo tercero del artículo 20 de la Ley 1150 de 2007, referido señala que los aportes en especie deben ser monetizados.</w:t>
      </w:r>
    </w:p>
    <w:p w14:paraId="2969060F" w14:textId="77777777" w:rsidR="00EC1F38" w:rsidRPr="00C97F13" w:rsidRDefault="00EC1F38" w:rsidP="005F67C1">
      <w:pPr>
        <w:spacing w:after="0" w:line="240" w:lineRule="auto"/>
        <w:jc w:val="both"/>
        <w:rPr>
          <w:rFonts w:ascii="Verdana" w:eastAsia="Verdana" w:hAnsi="Verdana" w:cs="Verdana"/>
          <w:b/>
          <w:bCs/>
        </w:rPr>
      </w:pPr>
    </w:p>
    <w:p w14:paraId="4E939EBF" w14:textId="77777777" w:rsidR="0046227F"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 xml:space="preserve">SOCIOS DE COOPERACIÓN INTERNACIONAL ‒ Interpretación amplia </w:t>
      </w:r>
    </w:p>
    <w:p w14:paraId="30E30328" w14:textId="77777777" w:rsidR="0046227F" w:rsidRPr="00AB3499" w:rsidRDefault="0046227F" w:rsidP="005F67C1">
      <w:pPr>
        <w:spacing w:after="0" w:line="240" w:lineRule="auto"/>
        <w:jc w:val="both"/>
        <w:rPr>
          <w:rFonts w:ascii="Verdana" w:eastAsia="Verdana" w:hAnsi="Verdana" w:cs="Verdana"/>
          <w:sz w:val="20"/>
          <w:szCs w:val="20"/>
          <w:lang w:val="es-ES"/>
        </w:rPr>
      </w:pPr>
    </w:p>
    <w:p w14:paraId="0F604288" w14:textId="77777777" w:rsidR="00AB3499" w:rsidRDefault="00AB3499" w:rsidP="005F67C1">
      <w:pPr>
        <w:spacing w:after="0" w:line="240" w:lineRule="auto"/>
        <w:jc w:val="both"/>
        <w:rPr>
          <w:rFonts w:ascii="Verdana" w:eastAsia="Verdana" w:hAnsi="Verdana" w:cs="Verdana"/>
          <w:sz w:val="20"/>
          <w:szCs w:val="20"/>
        </w:rPr>
      </w:pPr>
      <w:r w:rsidRPr="00AB3499">
        <w:rPr>
          <w:rFonts w:ascii="Verdana" w:eastAsia="Verdana" w:hAnsi="Verdana" w:cs="Verdana"/>
          <w:sz w:val="20"/>
          <w:szCs w:val="20"/>
        </w:rPr>
        <w:t>En contraste, el artículo 2.2.8.3.4 del Decreto 1067 de 2015 adicionado por el Decreto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p>
    <w:p w14:paraId="69BDADDB" w14:textId="77777777" w:rsidR="00AB3499" w:rsidRPr="00AB3499" w:rsidRDefault="00AB3499" w:rsidP="005F67C1">
      <w:pPr>
        <w:spacing w:after="0" w:line="240" w:lineRule="auto"/>
        <w:jc w:val="both"/>
        <w:rPr>
          <w:rFonts w:ascii="Verdana" w:eastAsia="Verdana" w:hAnsi="Verdana" w:cs="Verdana"/>
          <w:sz w:val="20"/>
          <w:szCs w:val="20"/>
        </w:rPr>
      </w:pPr>
    </w:p>
    <w:p w14:paraId="763668CD" w14:textId="2A32900B" w:rsidR="0046227F" w:rsidRPr="007D5892" w:rsidRDefault="00AB3499" w:rsidP="005F67C1">
      <w:pPr>
        <w:spacing w:after="0" w:line="240" w:lineRule="auto"/>
        <w:jc w:val="both"/>
        <w:rPr>
          <w:rFonts w:ascii="Verdana" w:eastAsia="Verdana" w:hAnsi="Verdana" w:cs="Verdana"/>
          <w:sz w:val="20"/>
          <w:szCs w:val="20"/>
        </w:rPr>
      </w:pPr>
      <w:r w:rsidRPr="00AB3499">
        <w:rPr>
          <w:rFonts w:ascii="Verdana" w:eastAsia="Verdana" w:hAnsi="Verdana" w:cs="Verdana"/>
          <w:sz w:val="20"/>
          <w:szCs w:val="20"/>
        </w:rPr>
        <w:t xml:space="preserve">Por consiguiente, en el marco de un proyecto, programa y/o iniciativa de cooperación internacional que será implementada por un socio de cooperación internacional e involucre recursos del Presupuesto General de la Nación, se 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artículo </w:t>
      </w:r>
      <w:r w:rsidRPr="00AB3499">
        <w:rPr>
          <w:rFonts w:ascii="Verdana" w:eastAsia="Verdana" w:hAnsi="Verdana" w:cs="Verdana"/>
          <w:sz w:val="20"/>
          <w:szCs w:val="20"/>
        </w:rPr>
        <w:lastRenderedPageBreak/>
        <w:t xml:space="preserve">2.2.8.3.4 del Decreto 1067 de 2015 adicionado por el Decreto 603 de 2022 respecto del aporte de los recursos y los estados financieros. Así, es deber de las entidades públicas valorar en cada caso particular la definición del instrumento jurídico que corresponda al proyecto de cooperación internacional de cara a las normas nacionales aplicables, sin perjuicio de la aplicación de los tratados internacionales que hacen parte del bloque de constitucionalidad.    </w:t>
      </w:r>
    </w:p>
    <w:p w14:paraId="0A9061E8" w14:textId="77777777" w:rsidR="0046227F" w:rsidRPr="0046227F" w:rsidRDefault="0046227F" w:rsidP="005F67C1">
      <w:pPr>
        <w:spacing w:after="0" w:line="240" w:lineRule="auto"/>
        <w:jc w:val="both"/>
        <w:rPr>
          <w:rFonts w:ascii="Verdana" w:eastAsia="Verdana" w:hAnsi="Verdana" w:cs="Verdana"/>
          <w:b/>
          <w:bCs/>
          <w:lang w:val="es-ES"/>
        </w:rPr>
      </w:pPr>
    </w:p>
    <w:p w14:paraId="5620473E" w14:textId="77777777" w:rsidR="0046227F"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CONTRATO DE PRESTACIÓN DE SERVICIOS PROFESIONALES – Alcance</w:t>
      </w:r>
    </w:p>
    <w:p w14:paraId="55A7FCF5" w14:textId="77777777" w:rsidR="0046227F" w:rsidRDefault="0046227F" w:rsidP="005F67C1">
      <w:pPr>
        <w:spacing w:after="0" w:line="240" w:lineRule="auto"/>
        <w:jc w:val="both"/>
        <w:rPr>
          <w:rFonts w:ascii="Verdana" w:eastAsia="Verdana" w:hAnsi="Verdana" w:cs="Verdana"/>
          <w:b/>
          <w:bCs/>
        </w:rPr>
      </w:pPr>
    </w:p>
    <w:p w14:paraId="6E40B986" w14:textId="77777777" w:rsidR="008962D4" w:rsidRDefault="008962D4" w:rsidP="005F67C1">
      <w:pPr>
        <w:spacing w:after="0" w:line="240" w:lineRule="auto"/>
        <w:jc w:val="both"/>
        <w:rPr>
          <w:rFonts w:ascii="Verdana" w:eastAsia="Verdana" w:hAnsi="Verdana" w:cs="Verdana"/>
          <w:sz w:val="20"/>
          <w:szCs w:val="20"/>
        </w:rPr>
      </w:pPr>
      <w:r w:rsidRPr="008962D4">
        <w:rPr>
          <w:rFonts w:ascii="Verdana" w:eastAsia="Verdana" w:hAnsi="Verdana" w:cs="Verdana"/>
          <w:sz w:val="20"/>
          <w:szCs w:val="20"/>
        </w:rPr>
        <w:t>En efecto, es procedente señalar que, los contratos de prestación de servicios profesionales pueden celebrarse con organismos internacionales, siempre que se respeten las características propias de esta tipología contractual que se expusieron a continuación. Tal como lo señaló el Consejo de Estado en la sentencia de unificación jurisprudencial del 2 de diciembre de 2013 ya precitada, su objeto está determinado por el desarrollo de actividades intangibles e identificables que implican un esfuerzo intelectivo cualificado, orientado a satisfacer necesidades de gestión administrativa o de funcionamiento de las entidades estatales.</w:t>
      </w:r>
    </w:p>
    <w:p w14:paraId="168ABD77" w14:textId="77777777" w:rsidR="008962D4" w:rsidRPr="008962D4" w:rsidRDefault="008962D4" w:rsidP="005F67C1">
      <w:pPr>
        <w:spacing w:after="0" w:line="240" w:lineRule="auto"/>
        <w:jc w:val="both"/>
        <w:rPr>
          <w:rFonts w:ascii="Verdana" w:eastAsia="Verdana" w:hAnsi="Verdana" w:cs="Verdana"/>
          <w:sz w:val="20"/>
          <w:szCs w:val="20"/>
        </w:rPr>
      </w:pPr>
    </w:p>
    <w:p w14:paraId="441A3893" w14:textId="77777777" w:rsidR="008962D4" w:rsidRDefault="008962D4" w:rsidP="005F67C1">
      <w:pPr>
        <w:spacing w:after="0" w:line="240" w:lineRule="auto"/>
        <w:jc w:val="both"/>
        <w:rPr>
          <w:rFonts w:ascii="Verdana" w:eastAsia="Verdana" w:hAnsi="Verdana" w:cs="Verdana"/>
          <w:sz w:val="20"/>
          <w:szCs w:val="20"/>
        </w:rPr>
      </w:pPr>
      <w:r w:rsidRPr="008962D4">
        <w:rPr>
          <w:rFonts w:ascii="Verdana" w:eastAsia="Verdana" w:hAnsi="Verdana" w:cs="Verdana"/>
          <w:sz w:val="20"/>
          <w:szCs w:val="20"/>
        </w:rPr>
        <w:t>En este sentido, cuando una entidad estatal vincula a un organismo internacional mediante un contrato de prestación de servicios profesionales, debe asegurarse de que el objeto contractual consista en la aportación de conocimientos especializados y en la ejecución de actividades que requieran un saber profesional, sin que implique la delegación de la administración o gerencia de recursos públicos. La relación jurídica se configura como una prestación remunerada, en la que el organismo internacional actúa como contratista y no como gestor de fondos estatales.</w:t>
      </w:r>
    </w:p>
    <w:p w14:paraId="242E18AA" w14:textId="77777777" w:rsidR="008962D4" w:rsidRPr="008962D4" w:rsidRDefault="008962D4" w:rsidP="005F67C1">
      <w:pPr>
        <w:spacing w:after="0" w:line="240" w:lineRule="auto"/>
        <w:jc w:val="both"/>
        <w:rPr>
          <w:rFonts w:ascii="Verdana" w:eastAsia="Verdana" w:hAnsi="Verdana" w:cs="Verdana"/>
          <w:sz w:val="20"/>
          <w:szCs w:val="20"/>
        </w:rPr>
      </w:pPr>
    </w:p>
    <w:p w14:paraId="3CF932A6" w14:textId="77777777" w:rsidR="008962D4" w:rsidRPr="008962D4" w:rsidRDefault="008962D4" w:rsidP="005F67C1">
      <w:pPr>
        <w:spacing w:after="0" w:line="240" w:lineRule="auto"/>
        <w:jc w:val="both"/>
        <w:rPr>
          <w:rFonts w:ascii="Verdana" w:eastAsia="Verdana" w:hAnsi="Verdana" w:cs="Verdana"/>
          <w:sz w:val="20"/>
          <w:szCs w:val="20"/>
        </w:rPr>
      </w:pPr>
      <w:r w:rsidRPr="008962D4">
        <w:rPr>
          <w:rFonts w:ascii="Verdana" w:eastAsia="Verdana" w:hAnsi="Verdana" w:cs="Verdana"/>
          <w:sz w:val="20"/>
          <w:szCs w:val="20"/>
        </w:rPr>
        <w:t>En cuanto a la acreditación de la idoneidad y experiencia del organismo internacional, el artículo 2.2.1.2.1.4.9 del Decreto 1082 de 2015 exige que la entidad verifique la idoneidad o experiencia requerida y relacionada con el área de que se trate. Bajo esa exigencia, las competencias institucionales atribuidas al organismo mediante sus instrumentos constitutivos, su experiencia especializada, su participación en la expedición de estándares internacionales y las capacidades técnicas desarrolladas en ejercicio de su mandato pueden valorarse como elementos idóneos para acreditar su experiencia y especialización, siempre que guarden relación directa con el objeto contractual. Tal verificación no reemplaza la justificación de la causal ni la demostración de que el objeto corresponde materialmente a un servicio profesional y no a una prestación propia de la consultoría.</w:t>
      </w:r>
    </w:p>
    <w:p w14:paraId="5073318C" w14:textId="77777777" w:rsidR="008962D4" w:rsidRPr="00EF659B" w:rsidRDefault="008962D4" w:rsidP="005F67C1">
      <w:pPr>
        <w:spacing w:after="0" w:line="240" w:lineRule="auto"/>
        <w:jc w:val="both"/>
        <w:rPr>
          <w:rFonts w:ascii="Verdana" w:eastAsia="Verdana" w:hAnsi="Verdana" w:cs="Verdana"/>
          <w:b/>
          <w:bCs/>
        </w:rPr>
      </w:pPr>
    </w:p>
    <w:p w14:paraId="025B8B72" w14:textId="77777777" w:rsidR="0046227F"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 xml:space="preserve">CONTRATO DE CONSULTORÍA – Alcance – Definición </w:t>
      </w:r>
    </w:p>
    <w:p w14:paraId="04C84C29" w14:textId="77777777" w:rsidR="0046227F" w:rsidRPr="00D44CCF" w:rsidRDefault="0046227F" w:rsidP="005F67C1">
      <w:pPr>
        <w:spacing w:after="0" w:line="240" w:lineRule="auto"/>
        <w:jc w:val="both"/>
        <w:rPr>
          <w:rFonts w:ascii="Verdana" w:eastAsia="Verdana" w:hAnsi="Verdana" w:cs="Verdana"/>
          <w:sz w:val="20"/>
          <w:szCs w:val="20"/>
          <w:lang w:val="es-ES"/>
        </w:rPr>
      </w:pPr>
    </w:p>
    <w:p w14:paraId="504B72E5" w14:textId="2FC5F035" w:rsidR="00D44CCF" w:rsidRPr="00D44CCF" w:rsidRDefault="00D44CCF" w:rsidP="005F67C1">
      <w:pPr>
        <w:spacing w:after="0" w:line="240" w:lineRule="auto"/>
        <w:jc w:val="both"/>
        <w:rPr>
          <w:rFonts w:ascii="Verdana" w:eastAsia="Verdana" w:hAnsi="Verdana" w:cs="Verdana"/>
          <w:sz w:val="20"/>
          <w:szCs w:val="20"/>
          <w:lang w:val="es-ES_tradnl"/>
        </w:rPr>
      </w:pPr>
      <w:r w:rsidRPr="00D44CCF">
        <w:rPr>
          <w:rFonts w:ascii="Verdana" w:eastAsia="Verdana" w:hAnsi="Verdana" w:cs="Verdana"/>
          <w:sz w:val="20"/>
          <w:szCs w:val="20"/>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D44CCF">
        <w:rPr>
          <w:rFonts w:ascii="Verdana" w:eastAsia="Verdana" w:hAnsi="Verdana" w:cs="Verdana"/>
          <w:sz w:val="20"/>
          <w:szCs w:val="20"/>
        </w:rPr>
        <w:t xml:space="preserve">actividades </w:t>
      </w:r>
      <w:r w:rsidRPr="00D44CCF">
        <w:rPr>
          <w:rFonts w:ascii="Verdana" w:eastAsia="Verdana" w:hAnsi="Verdana" w:cs="Verdana"/>
          <w:sz w:val="20"/>
          <w:szCs w:val="20"/>
        </w:rPr>
        <w:lastRenderedPageBreak/>
        <w:t xml:space="preserve">de colaboración y apoyo a la gestión de la entidad dirigidas al cumplimiento de las funciones asignadas a esta, de carácter temporal, excepcional u ocasional, siempre que no haya suficiente personal de planta o que, </w:t>
      </w:r>
      <w:r w:rsidRPr="00D44CCF">
        <w:rPr>
          <w:rFonts w:ascii="Verdana" w:eastAsia="Verdana" w:hAnsi="Verdana" w:cs="Verdana"/>
          <w:sz w:val="20"/>
          <w:szCs w:val="20"/>
          <w:lang w:val="es-ES_tradnl"/>
        </w:rPr>
        <w:t>existiendo, está sobrecargado de trabajo, o</w:t>
      </w:r>
      <w:r w:rsidRPr="00D44CCF">
        <w:rPr>
          <w:rFonts w:ascii="Verdana" w:eastAsia="Verdana" w:hAnsi="Verdana" w:cs="Verdana"/>
          <w:sz w:val="20"/>
          <w:szCs w:val="20"/>
        </w:rPr>
        <w:t xml:space="preserve"> que sean actividades que requieran conocimientos especializados, según lo prescrito en el artículo 32.3. de la Ley 80 de 1993. </w:t>
      </w:r>
    </w:p>
    <w:p w14:paraId="2045F6BC" w14:textId="77777777" w:rsidR="00D44CCF" w:rsidRDefault="00D44CCF" w:rsidP="005F67C1">
      <w:pPr>
        <w:spacing w:after="0" w:line="240" w:lineRule="auto"/>
        <w:jc w:val="both"/>
        <w:rPr>
          <w:rFonts w:ascii="Verdana" w:eastAsia="Verdana" w:hAnsi="Verdana" w:cs="Verdana"/>
          <w:b/>
          <w:bCs/>
          <w:lang w:val="es-ES"/>
        </w:rPr>
      </w:pPr>
    </w:p>
    <w:p w14:paraId="32051BD1" w14:textId="04392B7C" w:rsidR="0046227F"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 xml:space="preserve">CONTRATO DE CONSULTORÍA – Diferencias – Contrato de prestación de servicios profesionales </w:t>
      </w:r>
    </w:p>
    <w:p w14:paraId="22CBA389" w14:textId="77777777" w:rsidR="00D44CCF" w:rsidRPr="00D44CCF" w:rsidRDefault="00D44CCF" w:rsidP="005F67C1">
      <w:pPr>
        <w:spacing w:after="0" w:line="240" w:lineRule="auto"/>
        <w:jc w:val="both"/>
        <w:rPr>
          <w:rFonts w:ascii="Verdana" w:eastAsia="Verdana" w:hAnsi="Verdana" w:cs="Verdana"/>
          <w:sz w:val="20"/>
          <w:szCs w:val="20"/>
        </w:rPr>
      </w:pPr>
    </w:p>
    <w:p w14:paraId="794D8845" w14:textId="77777777" w:rsidR="00D44CCF" w:rsidRPr="00D44CCF" w:rsidRDefault="00D44CCF" w:rsidP="005F67C1">
      <w:pPr>
        <w:spacing w:after="0" w:line="240" w:lineRule="auto"/>
        <w:jc w:val="both"/>
        <w:rPr>
          <w:rFonts w:ascii="Verdana" w:eastAsia="Verdana" w:hAnsi="Verdana" w:cs="Verdana"/>
          <w:sz w:val="20"/>
          <w:szCs w:val="20"/>
          <w:lang w:val="es-ES"/>
        </w:rPr>
      </w:pPr>
      <w:r w:rsidRPr="00D44CCF">
        <w:rPr>
          <w:rFonts w:ascii="Verdana" w:eastAsia="Verdana" w:hAnsi="Verdana" w:cs="Verdana"/>
          <w:sz w:val="20"/>
          <w:szCs w:val="20"/>
        </w:rPr>
        <w:t xml:space="preserve">En este sentido, </w:t>
      </w:r>
      <w:r w:rsidRPr="00D44CCF">
        <w:rPr>
          <w:rFonts w:ascii="Verdana" w:eastAsia="Verdana" w:hAnsi="Verdana" w:cs="Verdana"/>
          <w:sz w:val="20"/>
          <w:szCs w:val="20"/>
          <w:lang w:val="es-ES_tradnl"/>
        </w:rPr>
        <w:t xml:space="preserve">la característica principal para identificar los contratos estatales de consultoría es el carácter técnico –especializado–, frente a otro tipo de contratos estatales, como el de prestación de servicios, como se señaló previamente, la cual constituye el eje de las actividades descritas en el artículo 32.2 de la Ley 80 de 1993. Teniendo en cuenta las normas legales y reglamentarias aplicables al tema, </w:t>
      </w:r>
      <w:r w:rsidRPr="00D44CCF">
        <w:rPr>
          <w:rFonts w:ascii="Verdana" w:eastAsia="Verdana" w:hAnsi="Verdana" w:cs="Verdana"/>
          <w:sz w:val="20"/>
          <w:szCs w:val="20"/>
          <w:lang w:val="es-ES"/>
        </w:rPr>
        <w:t>la ejecución de esas actividades de consultoría se fundamenta en que se requieren para evaluar</w:t>
      </w:r>
      <w:r w:rsidRPr="00D44CCF">
        <w:rPr>
          <w:rFonts w:ascii="Verdana" w:eastAsia="Verdana" w:hAnsi="Verdana" w:cs="Verdana"/>
          <w:sz w:val="20"/>
          <w:szCs w:val="20"/>
          <w:lang w:val="es-ES_tradnl"/>
        </w:rPr>
        <w:t xml:space="preserve">, </w:t>
      </w:r>
      <w:r w:rsidRPr="00D44CCF">
        <w:rPr>
          <w:rFonts w:ascii="Verdana" w:eastAsia="Verdana" w:hAnsi="Verdana" w:cs="Verdana"/>
          <w:sz w:val="20"/>
          <w:szCs w:val="20"/>
          <w:lang w:val="es-ES"/>
        </w:rPr>
        <w:t>analizar, examinar o diagnosticar la prefactibilidad o la factibilidad de proyectos de inversión o proyectos específicos. Esto significa que la consultoría tiene como objeto la ejecución de proyectos de complejidad técnica o que giran en torno a estos asuntos, bajo el amparo de asesorías técnicas de coordinación, de control o supervisión, así como de interventoría, gerencia, dirección o programación de obras o proyectos, cuestiones que incluyen la elaboración de los diseños, planos, anteproyectos, proyectos, entre otros.</w:t>
      </w:r>
    </w:p>
    <w:p w14:paraId="2F5E25E4" w14:textId="77777777" w:rsidR="0046227F" w:rsidRPr="00D44CCF" w:rsidRDefault="0046227F" w:rsidP="005F67C1">
      <w:pPr>
        <w:spacing w:after="0" w:line="240" w:lineRule="auto"/>
        <w:jc w:val="both"/>
        <w:rPr>
          <w:rFonts w:ascii="Verdana" w:eastAsia="Verdana" w:hAnsi="Verdana" w:cs="Verdana"/>
          <w:sz w:val="20"/>
          <w:szCs w:val="20"/>
          <w:lang w:val="es-ES"/>
        </w:rPr>
      </w:pPr>
    </w:p>
    <w:p w14:paraId="1D00B833" w14:textId="77777777" w:rsidR="0046227F" w:rsidRPr="0046227F" w:rsidRDefault="00EC1F38" w:rsidP="005F67C1">
      <w:pPr>
        <w:spacing w:after="0" w:line="240" w:lineRule="auto"/>
        <w:jc w:val="both"/>
        <w:rPr>
          <w:rFonts w:ascii="Verdana" w:eastAsia="Verdana" w:hAnsi="Verdana" w:cs="Verdana"/>
          <w:b/>
          <w:bCs/>
          <w:lang w:val="es-ES"/>
        </w:rPr>
      </w:pPr>
      <w:r w:rsidRPr="0046227F">
        <w:rPr>
          <w:rFonts w:ascii="Verdana" w:eastAsia="Verdana" w:hAnsi="Verdana" w:cs="Verdana"/>
          <w:b/>
          <w:bCs/>
          <w:lang w:val="es-ES"/>
        </w:rPr>
        <w:t xml:space="preserve">NO EXISTENCIA DE PLURALIDAD DE OFERENTES – Características – Condiciones </w:t>
      </w:r>
    </w:p>
    <w:p w14:paraId="1079B32F" w14:textId="77777777" w:rsidR="00D359CA" w:rsidRPr="00D359CA" w:rsidRDefault="00D359CA" w:rsidP="005F67C1">
      <w:pPr>
        <w:spacing w:after="0" w:line="240" w:lineRule="auto"/>
        <w:jc w:val="both"/>
        <w:rPr>
          <w:rFonts w:ascii="Verdana" w:eastAsia="Verdana" w:hAnsi="Verdana" w:cs="Verdana"/>
          <w:sz w:val="20"/>
          <w:szCs w:val="20"/>
          <w:lang w:val="es-ES"/>
        </w:rPr>
      </w:pPr>
    </w:p>
    <w:p w14:paraId="27DBCB2C" w14:textId="77777777" w:rsidR="00D359CA" w:rsidRPr="00D359CA" w:rsidRDefault="00D359CA" w:rsidP="005F67C1">
      <w:pPr>
        <w:spacing w:after="0" w:line="240" w:lineRule="auto"/>
        <w:jc w:val="both"/>
        <w:rPr>
          <w:rFonts w:ascii="Verdana" w:eastAsia="Verdana" w:hAnsi="Verdana" w:cs="Verdana"/>
          <w:sz w:val="20"/>
          <w:szCs w:val="20"/>
        </w:rPr>
      </w:pPr>
      <w:r w:rsidRPr="00D359CA">
        <w:rPr>
          <w:rFonts w:ascii="Verdana" w:eastAsia="Verdana" w:hAnsi="Verdana" w:cs="Verdana"/>
          <w:sz w:val="20"/>
          <w:szCs w:val="20"/>
        </w:rPr>
        <w:t xml:space="preserve">La norma consagra dos (2) hipótesis. </w:t>
      </w:r>
      <w:r w:rsidRPr="00D359CA">
        <w:rPr>
          <w:rFonts w:ascii="Verdana" w:eastAsia="Verdana" w:hAnsi="Verdana" w:cs="Verdana"/>
          <w:i/>
          <w:iCs/>
          <w:sz w:val="20"/>
          <w:szCs w:val="20"/>
        </w:rPr>
        <w:t>En primer lugar</w:t>
      </w:r>
      <w:r w:rsidRPr="00D359CA">
        <w:rPr>
          <w:rFonts w:ascii="Verdana" w:eastAsia="Verdana" w:hAnsi="Verdana" w:cs="Verdana"/>
          <w:sz w:val="20"/>
          <w:szCs w:val="20"/>
        </w:rPr>
        <w:t>,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en una situación de derecho que impida que otra lo haga de forma igual o similar. Para la doctrina, en ausencia de una barrera de entrada –como la que se concreta con los derechos de propiedad industrial o de autor– es necesario aplicar el principio de concurrencia. Por ello, explica que es posible la contratación directa con el oferente que es titular de una marca o privilegio, agregando que:</w:t>
      </w:r>
    </w:p>
    <w:p w14:paraId="360E1A32" w14:textId="77777777" w:rsidR="00D359CA" w:rsidRPr="00D359CA" w:rsidRDefault="00D359CA" w:rsidP="005F67C1">
      <w:pPr>
        <w:spacing w:after="0" w:line="240" w:lineRule="auto"/>
        <w:jc w:val="both"/>
        <w:rPr>
          <w:rFonts w:ascii="Verdana" w:eastAsia="Verdana" w:hAnsi="Verdana" w:cs="Verdana"/>
          <w:sz w:val="20"/>
          <w:szCs w:val="20"/>
        </w:rPr>
      </w:pPr>
    </w:p>
    <w:p w14:paraId="560FC761" w14:textId="77777777" w:rsidR="00D359CA" w:rsidRPr="00D359CA" w:rsidRDefault="00D359CA" w:rsidP="005F67C1">
      <w:pPr>
        <w:spacing w:after="0" w:line="240" w:lineRule="auto"/>
        <w:jc w:val="both"/>
        <w:rPr>
          <w:rFonts w:ascii="Verdana" w:eastAsia="Verdana" w:hAnsi="Verdana" w:cs="Verdana"/>
          <w:sz w:val="20"/>
          <w:szCs w:val="20"/>
        </w:rPr>
      </w:pPr>
      <w:r w:rsidRPr="00D359CA">
        <w:rPr>
          <w:rFonts w:ascii="Verdana" w:eastAsia="Verdana" w:hAnsi="Verdana" w:cs="Verdana"/>
          <w:i/>
          <w:iCs/>
          <w:sz w:val="20"/>
          <w:szCs w:val="20"/>
        </w:rPr>
        <w:t>En segundo lugar</w:t>
      </w:r>
      <w:r w:rsidRPr="00D359CA">
        <w:rPr>
          <w:rFonts w:ascii="Verdana" w:eastAsia="Verdana" w:hAnsi="Verdana" w:cs="Verdana"/>
          <w:sz w:val="20"/>
          <w:szCs w:val="20"/>
        </w:rPr>
        <w:t xml:space="preserve">,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3660BE90" w14:textId="77777777" w:rsidR="00D359CA" w:rsidRPr="00D359CA" w:rsidRDefault="00D359CA" w:rsidP="005F67C1">
      <w:pPr>
        <w:spacing w:after="0" w:line="240" w:lineRule="auto"/>
        <w:jc w:val="both"/>
        <w:rPr>
          <w:rFonts w:ascii="Verdana" w:eastAsia="Verdana" w:hAnsi="Verdana" w:cs="Verdana"/>
          <w:sz w:val="20"/>
          <w:szCs w:val="20"/>
        </w:rPr>
      </w:pPr>
    </w:p>
    <w:p w14:paraId="387B6A7D" w14:textId="77777777" w:rsidR="00D359CA" w:rsidRPr="00D359CA" w:rsidRDefault="00D359CA" w:rsidP="005F67C1">
      <w:pPr>
        <w:spacing w:after="0" w:line="240" w:lineRule="auto"/>
        <w:jc w:val="both"/>
        <w:rPr>
          <w:rFonts w:ascii="Verdana" w:eastAsia="Verdana" w:hAnsi="Verdana" w:cs="Verdana"/>
          <w:sz w:val="20"/>
          <w:szCs w:val="20"/>
        </w:rPr>
      </w:pPr>
      <w:r w:rsidRPr="00D359CA">
        <w:rPr>
          <w:rFonts w:ascii="Verdana" w:eastAsia="Verdana" w:hAnsi="Verdana" w:cs="Verdana"/>
          <w:sz w:val="20"/>
          <w:szCs w:val="20"/>
        </w:rPr>
        <w:lastRenderedPageBreak/>
        <w:t>Fuera de las hipótesis de exclusividad previstas en la Ley 1150 de 2007 y el Decreto 1082 de 2015, la contratación con organismos internacionales debe sujetarse a los principios de concurrencia y selección objetiva, aplicando las modalidades ordinarias del Estatuto General de Contratación de la Administración Pública. Esto implica que la entidad estatal debe garantizar procesos abiertos y competitivos, en los que se promueva la participación de múltiples oferentes y se asegure la transparencia en la selección, salvo que concurran las condiciones específicas que habilitan la contratación directa. De este modo, se evita que la causal de contratación directa se convierta en un mecanismo de excepción injustificada y se preserva la integridad del sistema de compras públicas. La relación contractual con organismos internacionales, en ausencia de exclusividad jurídica o territorial, debe regirse por las reglas generales o, en su caso, por las disposiciones especiales del artículo 20 de la Ley 1150 de 2007, asegurando que se respeten los principios de igualdad, responsabilidad y eficiencia que orientan la contratación estatal.</w:t>
      </w:r>
    </w:p>
    <w:p w14:paraId="6E293481" w14:textId="77777777" w:rsidR="0046227F" w:rsidRPr="00D359CA" w:rsidRDefault="0046227F" w:rsidP="005F67C1">
      <w:pPr>
        <w:spacing w:after="0" w:line="240" w:lineRule="auto"/>
        <w:jc w:val="both"/>
        <w:rPr>
          <w:rFonts w:ascii="Verdana" w:eastAsia="Verdana" w:hAnsi="Verdana" w:cs="Verdana"/>
          <w:b/>
          <w:bCs/>
        </w:rPr>
      </w:pPr>
    </w:p>
    <w:p w14:paraId="15D5FDED" w14:textId="77777777" w:rsidR="0046227F" w:rsidRPr="0046227F" w:rsidRDefault="00EC1F38" w:rsidP="005F67C1">
      <w:pPr>
        <w:spacing w:after="0" w:line="240" w:lineRule="auto"/>
        <w:jc w:val="both"/>
        <w:rPr>
          <w:rFonts w:ascii="Verdana" w:eastAsia="Verdana" w:hAnsi="Verdana" w:cs="Verdana"/>
          <w:b/>
          <w:bCs/>
        </w:rPr>
      </w:pPr>
      <w:r w:rsidRPr="0046227F">
        <w:rPr>
          <w:rFonts w:ascii="Verdana" w:eastAsia="Verdana" w:hAnsi="Verdana" w:cs="Verdana"/>
          <w:b/>
          <w:bCs/>
          <w:lang w:val="es-ES"/>
        </w:rPr>
        <w:t xml:space="preserve">PRECIO - </w:t>
      </w:r>
      <w:r w:rsidRPr="0046227F">
        <w:rPr>
          <w:rFonts w:ascii="Verdana" w:eastAsia="Verdana" w:hAnsi="Verdana" w:cs="Verdana"/>
          <w:b/>
          <w:bCs/>
        </w:rPr>
        <w:t xml:space="preserve">Lump </w:t>
      </w:r>
      <w:proofErr w:type="gramStart"/>
      <w:r w:rsidRPr="0046227F">
        <w:rPr>
          <w:rFonts w:ascii="Verdana" w:eastAsia="Verdana" w:hAnsi="Verdana" w:cs="Verdana"/>
          <w:b/>
          <w:bCs/>
        </w:rPr>
        <w:t>Sum</w:t>
      </w:r>
      <w:proofErr w:type="gramEnd"/>
      <w:r w:rsidRPr="0046227F">
        <w:rPr>
          <w:rFonts w:ascii="Verdana" w:eastAsia="Verdana" w:hAnsi="Verdana" w:cs="Verdana"/>
          <w:b/>
          <w:bCs/>
        </w:rPr>
        <w:t xml:space="preserve"> </w:t>
      </w:r>
      <w:proofErr w:type="spellStart"/>
      <w:r w:rsidRPr="0046227F">
        <w:rPr>
          <w:rFonts w:ascii="Verdana" w:eastAsia="Verdana" w:hAnsi="Verdana" w:cs="Verdana"/>
          <w:b/>
          <w:bCs/>
        </w:rPr>
        <w:t>Agreement</w:t>
      </w:r>
      <w:proofErr w:type="spellEnd"/>
      <w:r w:rsidRPr="0046227F">
        <w:rPr>
          <w:rFonts w:ascii="Verdana" w:eastAsia="Verdana" w:hAnsi="Verdana" w:cs="Verdana"/>
          <w:b/>
          <w:bCs/>
        </w:rPr>
        <w:t xml:space="preserve"> – Características – Condiciones – Precio Global </w:t>
      </w:r>
    </w:p>
    <w:p w14:paraId="06F9A073" w14:textId="77777777" w:rsidR="0046227F" w:rsidRPr="00BB0B20" w:rsidRDefault="0046227F" w:rsidP="005F67C1">
      <w:pPr>
        <w:spacing w:after="0" w:line="240" w:lineRule="auto"/>
        <w:jc w:val="both"/>
        <w:rPr>
          <w:rFonts w:ascii="Verdana" w:eastAsia="Verdana" w:hAnsi="Verdana" w:cs="Verdana"/>
          <w:sz w:val="20"/>
          <w:szCs w:val="20"/>
        </w:rPr>
      </w:pPr>
    </w:p>
    <w:p w14:paraId="4379434A" w14:textId="77777777" w:rsidR="00BB0B20" w:rsidRDefault="00BB0B20" w:rsidP="005F67C1">
      <w:pPr>
        <w:spacing w:after="0" w:line="240" w:lineRule="auto"/>
        <w:jc w:val="both"/>
        <w:rPr>
          <w:rFonts w:ascii="Verdana" w:eastAsia="Verdana" w:hAnsi="Verdana" w:cs="Verdana"/>
          <w:sz w:val="20"/>
          <w:szCs w:val="20"/>
        </w:rPr>
      </w:pPr>
      <w:r w:rsidRPr="00BB0B20">
        <w:rPr>
          <w:rFonts w:ascii="Verdana" w:eastAsia="Verdana" w:hAnsi="Verdana" w:cs="Verdana"/>
          <w:sz w:val="20"/>
          <w:szCs w:val="20"/>
        </w:rPr>
        <w:t>En este estudio, el término “</w:t>
      </w:r>
      <w:r w:rsidRPr="00BB0B20">
        <w:rPr>
          <w:rFonts w:ascii="Verdana" w:eastAsia="Verdana" w:hAnsi="Verdana" w:cs="Verdana"/>
          <w:i/>
          <w:iCs/>
          <w:sz w:val="20"/>
          <w:szCs w:val="20"/>
        </w:rPr>
        <w:t xml:space="preserve">Lump </w:t>
      </w:r>
      <w:proofErr w:type="gramStart"/>
      <w:r w:rsidRPr="00BB0B20">
        <w:rPr>
          <w:rFonts w:ascii="Verdana" w:eastAsia="Verdana" w:hAnsi="Verdana" w:cs="Verdana"/>
          <w:i/>
          <w:iCs/>
          <w:sz w:val="20"/>
          <w:szCs w:val="20"/>
        </w:rPr>
        <w:t>Sum</w:t>
      </w:r>
      <w:proofErr w:type="gramEnd"/>
      <w:r w:rsidRPr="00BB0B20">
        <w:rPr>
          <w:rFonts w:ascii="Verdana" w:eastAsia="Verdana" w:hAnsi="Verdana" w:cs="Verdana"/>
          <w:i/>
          <w:iCs/>
          <w:sz w:val="20"/>
          <w:szCs w:val="20"/>
        </w:rPr>
        <w:t xml:space="preserve"> </w:t>
      </w:r>
      <w:proofErr w:type="spellStart"/>
      <w:r w:rsidRPr="00BB0B20">
        <w:rPr>
          <w:rFonts w:ascii="Verdana" w:eastAsia="Verdana" w:hAnsi="Verdana" w:cs="Verdana"/>
          <w:i/>
          <w:iCs/>
          <w:sz w:val="20"/>
          <w:szCs w:val="20"/>
        </w:rPr>
        <w:t>Agreement</w:t>
      </w:r>
      <w:proofErr w:type="spellEnd"/>
      <w:r w:rsidRPr="00BB0B20">
        <w:rPr>
          <w:rFonts w:ascii="Verdana" w:eastAsia="Verdana" w:hAnsi="Verdana" w:cs="Verdana"/>
          <w:i/>
          <w:iCs/>
          <w:sz w:val="20"/>
          <w:szCs w:val="20"/>
        </w:rPr>
        <w:t>”</w:t>
      </w:r>
      <w:r w:rsidRPr="00BB0B20">
        <w:rPr>
          <w:rFonts w:ascii="Verdana" w:eastAsia="Verdana" w:hAnsi="Verdana" w:cs="Verdana"/>
          <w:sz w:val="20"/>
          <w:szCs w:val="20"/>
        </w:rPr>
        <w:t xml:space="preserve"> se emplea para designar un acuerdo de remuneración global por un alcance previamente definido. No obstante, sin una minuta específica no puede atribuirse un contenido uniforme a ese rótulo ni considerarse como una categoría contractual autónoma en Colombia. Una suma fija puede corresponder tanto al precio de un estudio técnico como al presupuesto de un encargo que implique ejecución de recursos; la distinción radica en el contenido obligacional que se estipule. </w:t>
      </w:r>
    </w:p>
    <w:p w14:paraId="32213307" w14:textId="77777777" w:rsidR="00BB0B20" w:rsidRPr="00BB0B20" w:rsidRDefault="00BB0B20" w:rsidP="005F67C1">
      <w:pPr>
        <w:spacing w:after="0" w:line="240" w:lineRule="auto"/>
        <w:jc w:val="both"/>
        <w:rPr>
          <w:rFonts w:ascii="Verdana" w:eastAsia="Verdana" w:hAnsi="Verdana" w:cs="Verdana"/>
          <w:sz w:val="20"/>
          <w:szCs w:val="20"/>
        </w:rPr>
      </w:pPr>
    </w:p>
    <w:p w14:paraId="1E174E05" w14:textId="77777777" w:rsidR="00BB0B20" w:rsidRPr="00BB0B20" w:rsidRDefault="00BB0B20" w:rsidP="005F67C1">
      <w:pPr>
        <w:spacing w:after="0" w:line="240" w:lineRule="auto"/>
        <w:jc w:val="both"/>
        <w:rPr>
          <w:rFonts w:ascii="Verdana" w:eastAsia="Verdana" w:hAnsi="Verdana" w:cs="Verdana"/>
          <w:sz w:val="20"/>
          <w:szCs w:val="20"/>
        </w:rPr>
      </w:pPr>
      <w:r w:rsidRPr="00BB0B20">
        <w:rPr>
          <w:rFonts w:ascii="Verdana" w:eastAsia="Verdana" w:hAnsi="Verdana" w:cs="Verdana"/>
          <w:sz w:val="20"/>
          <w:szCs w:val="20"/>
        </w:rPr>
        <w:t xml:space="preserve">En este sentido, puede señalarse que la expresión </w:t>
      </w:r>
      <w:r w:rsidRPr="00BB0B20">
        <w:rPr>
          <w:rFonts w:ascii="Verdana" w:eastAsia="Verdana" w:hAnsi="Verdana" w:cs="Verdana"/>
          <w:i/>
          <w:iCs/>
          <w:sz w:val="20"/>
          <w:szCs w:val="20"/>
        </w:rPr>
        <w:t xml:space="preserve">“Lump </w:t>
      </w:r>
      <w:proofErr w:type="gramStart"/>
      <w:r w:rsidRPr="00BB0B20">
        <w:rPr>
          <w:rFonts w:ascii="Verdana" w:eastAsia="Verdana" w:hAnsi="Verdana" w:cs="Verdana"/>
          <w:i/>
          <w:iCs/>
          <w:sz w:val="20"/>
          <w:szCs w:val="20"/>
        </w:rPr>
        <w:t>Sum</w:t>
      </w:r>
      <w:proofErr w:type="gramEnd"/>
      <w:r w:rsidRPr="00BB0B20">
        <w:rPr>
          <w:rFonts w:ascii="Verdana" w:eastAsia="Verdana" w:hAnsi="Verdana" w:cs="Verdana"/>
          <w:i/>
          <w:iCs/>
          <w:sz w:val="20"/>
          <w:szCs w:val="20"/>
        </w:rPr>
        <w:t xml:space="preserve"> </w:t>
      </w:r>
      <w:proofErr w:type="spellStart"/>
      <w:r w:rsidRPr="00BB0B20">
        <w:rPr>
          <w:rFonts w:ascii="Verdana" w:eastAsia="Verdana" w:hAnsi="Verdana" w:cs="Verdana"/>
          <w:i/>
          <w:iCs/>
          <w:sz w:val="20"/>
          <w:szCs w:val="20"/>
        </w:rPr>
        <w:t>Agreement</w:t>
      </w:r>
      <w:proofErr w:type="spellEnd"/>
      <w:r w:rsidRPr="00BB0B20">
        <w:rPr>
          <w:rFonts w:ascii="Verdana" w:eastAsia="Verdana" w:hAnsi="Verdana" w:cs="Verdana"/>
          <w:i/>
          <w:iCs/>
          <w:sz w:val="20"/>
          <w:szCs w:val="20"/>
        </w:rPr>
        <w:t>”</w:t>
      </w:r>
      <w:r w:rsidRPr="00BB0B20">
        <w:rPr>
          <w:rFonts w:ascii="Verdana" w:eastAsia="Verdana" w:hAnsi="Verdana" w:cs="Verdana"/>
          <w:sz w:val="20"/>
          <w:szCs w:val="20"/>
        </w:rPr>
        <w:t xml:space="preserve"> no corresponde a un tipo contractual autónomo, sino a una modalidad de determinación del precio que las partes acuerdan en ejercicio de la autonomía de la voluntad. Se trata de un esquema de remuneración global y fija, pactado de manera anticipada, que se asocia a un alcance definido y a entregables verificables. Así pues, la denominación no crea una categoría jurídica independiente dentro del derecho colombiano, pues el contrato sigue siendo de prestación de servicios, de obra, de consultoría o de suministro, según el contenido obligacional que se pacte. Lo que caracteriza al </w:t>
      </w:r>
      <w:proofErr w:type="spellStart"/>
      <w:r w:rsidRPr="00BB0B20">
        <w:rPr>
          <w:rFonts w:ascii="Verdana" w:eastAsia="Verdana" w:hAnsi="Verdana" w:cs="Verdana"/>
          <w:i/>
          <w:iCs/>
          <w:sz w:val="20"/>
          <w:szCs w:val="20"/>
        </w:rPr>
        <w:t>lump</w:t>
      </w:r>
      <w:proofErr w:type="spellEnd"/>
      <w:r w:rsidRPr="00BB0B20">
        <w:rPr>
          <w:rFonts w:ascii="Verdana" w:eastAsia="Verdana" w:hAnsi="Verdana" w:cs="Verdana"/>
          <w:i/>
          <w:iCs/>
          <w:sz w:val="20"/>
          <w:szCs w:val="20"/>
        </w:rPr>
        <w:t xml:space="preserve"> sum</w:t>
      </w:r>
      <w:r w:rsidRPr="00BB0B20">
        <w:rPr>
          <w:rFonts w:ascii="Verdana" w:eastAsia="Verdana" w:hAnsi="Verdana" w:cs="Verdana"/>
          <w:sz w:val="20"/>
          <w:szCs w:val="20"/>
        </w:rPr>
        <w:t xml:space="preserve"> es la forma de estipulación del precio: un valor único e invariable, que no depende de la medición de cantidades ejecutadas ni de ajustes posteriores, salvo que las partes acuerden modificaciones contractuales conforme al régimen aplicable.</w:t>
      </w:r>
    </w:p>
    <w:p w14:paraId="0C32DAEB" w14:textId="77777777" w:rsidR="0046227F" w:rsidRPr="0046227F" w:rsidRDefault="0046227F" w:rsidP="005F67C1">
      <w:pPr>
        <w:spacing w:after="0" w:line="240" w:lineRule="auto"/>
        <w:jc w:val="both"/>
        <w:rPr>
          <w:rFonts w:ascii="Verdana" w:eastAsia="Verdana" w:hAnsi="Verdana" w:cs="Verdana"/>
          <w:b/>
          <w:bCs/>
        </w:rPr>
      </w:pPr>
    </w:p>
    <w:p w14:paraId="1A12018A" w14:textId="1745EC92" w:rsidR="00EC1F38" w:rsidRPr="0046227F" w:rsidRDefault="00EC1F38" w:rsidP="005F67C1">
      <w:pPr>
        <w:spacing w:after="0" w:line="240" w:lineRule="auto"/>
        <w:jc w:val="both"/>
        <w:rPr>
          <w:rFonts w:ascii="Verdana" w:eastAsia="Verdana" w:hAnsi="Verdana" w:cs="Verdana"/>
          <w:b/>
          <w:bCs/>
        </w:rPr>
      </w:pPr>
      <w:r w:rsidRPr="0046227F">
        <w:rPr>
          <w:rFonts w:ascii="Verdana" w:eastAsia="Verdana" w:hAnsi="Verdana" w:cs="Verdana"/>
          <w:b/>
          <w:bCs/>
        </w:rPr>
        <w:t>GERENCIA DE RECURSOS – Prohibición – Inciso tercero – Artículo 20 – Ley 1150 de 2007</w:t>
      </w:r>
    </w:p>
    <w:p w14:paraId="6E4D8409" w14:textId="77777777" w:rsidR="00EC1F38" w:rsidRPr="00D47697" w:rsidRDefault="00EC1F38" w:rsidP="005F67C1">
      <w:pPr>
        <w:spacing w:after="0" w:line="240" w:lineRule="auto"/>
        <w:jc w:val="both"/>
        <w:rPr>
          <w:rFonts w:ascii="Verdana" w:eastAsia="Verdana" w:hAnsi="Verdana" w:cs="Verdana"/>
          <w:sz w:val="20"/>
          <w:szCs w:val="20"/>
        </w:rPr>
      </w:pPr>
    </w:p>
    <w:p w14:paraId="0EACC8F7" w14:textId="77777777" w:rsidR="00D47697" w:rsidRDefault="00D47697" w:rsidP="005F67C1">
      <w:pPr>
        <w:spacing w:after="0" w:line="240" w:lineRule="auto"/>
        <w:jc w:val="both"/>
        <w:rPr>
          <w:rFonts w:ascii="Verdana" w:eastAsia="Verdana" w:hAnsi="Verdana" w:cs="Verdana"/>
          <w:sz w:val="20"/>
          <w:szCs w:val="20"/>
        </w:rPr>
      </w:pPr>
      <w:r w:rsidRPr="00D47697">
        <w:rPr>
          <w:rFonts w:ascii="Verdana" w:eastAsia="Verdana" w:hAnsi="Verdana" w:cs="Verdana"/>
          <w:sz w:val="20"/>
          <w:szCs w:val="20"/>
        </w:rPr>
        <w:t xml:space="preserve">Por el contrario, entregar una bolsa de recursos para que el organismo internacional seleccione proveedores, pague obligaciones del programa y cobre una comisión de gestión, plantea una operación materialmente distinta. Aunque el documento anuncie </w:t>
      </w:r>
      <w:r w:rsidRPr="00D47697">
        <w:rPr>
          <w:rFonts w:ascii="Verdana" w:eastAsia="Verdana" w:hAnsi="Verdana" w:cs="Verdana"/>
          <w:sz w:val="20"/>
          <w:szCs w:val="20"/>
        </w:rPr>
        <w:lastRenderedPageBreak/>
        <w:t>un valor global, en realidad se estaría trasladando la administración o gerencia de recursos públicos, supuesto prohibido por el inciso tercero del artículo 20 de la Ley 1150 de 2007, que dispone: “Las entidades estatales no podrán celebrar contratos o convenios para la administración o gerencia de sus recursos propios o de aquellos que les asignen los presupuestos públicos, con organismos de cooperación, asistencia o ayuda internacional”. Así pues, lo fundamental está en analizar el contenido obligacional y la forma de ejecución, más allá de la denominación formal del contrato.</w:t>
      </w:r>
    </w:p>
    <w:p w14:paraId="03D39C55" w14:textId="77777777" w:rsidR="00D47697" w:rsidRPr="00D47697" w:rsidRDefault="00D47697" w:rsidP="005F67C1">
      <w:pPr>
        <w:spacing w:after="0" w:line="240" w:lineRule="auto"/>
        <w:jc w:val="both"/>
        <w:rPr>
          <w:rFonts w:ascii="Verdana" w:eastAsia="Verdana" w:hAnsi="Verdana" w:cs="Verdana"/>
          <w:sz w:val="20"/>
          <w:szCs w:val="20"/>
        </w:rPr>
      </w:pPr>
    </w:p>
    <w:p w14:paraId="15A65ED6" w14:textId="77777777" w:rsidR="00D47697" w:rsidRDefault="00D47697" w:rsidP="005F67C1">
      <w:pPr>
        <w:spacing w:after="0" w:line="240" w:lineRule="auto"/>
        <w:jc w:val="both"/>
        <w:rPr>
          <w:rFonts w:ascii="Verdana" w:eastAsia="Verdana" w:hAnsi="Verdana" w:cs="Verdana"/>
          <w:sz w:val="20"/>
          <w:szCs w:val="20"/>
        </w:rPr>
      </w:pPr>
      <w:r w:rsidRPr="00D47697">
        <w:rPr>
          <w:rFonts w:ascii="Verdana" w:eastAsia="Verdana" w:hAnsi="Verdana" w:cs="Verdana"/>
          <w:sz w:val="20"/>
          <w:szCs w:val="20"/>
        </w:rPr>
        <w:t xml:space="preserve">En este escenario, es importante señalar el concepto C-822 de 2026 de esta Agencia, la cual precisa que la asistencia técnica y la transferencia de conocimientos para fortalecer capacidades permiten identificar organismos de cooperación. Por tanto, una agencia que materialmente desempeñe ese papel no debe tratarse genéricamente como persona extranjera de derecho público para eludir las condiciones del inciso primero. La elección de reglamentos exige clasificar correctamente al sujeto y a la operación. </w:t>
      </w:r>
    </w:p>
    <w:p w14:paraId="58AE67B6" w14:textId="77777777" w:rsidR="00D47697" w:rsidRPr="00D47697" w:rsidRDefault="00D47697" w:rsidP="005F67C1">
      <w:pPr>
        <w:spacing w:after="0" w:line="240" w:lineRule="auto"/>
        <w:jc w:val="both"/>
        <w:rPr>
          <w:rFonts w:ascii="Verdana" w:eastAsia="Verdana" w:hAnsi="Verdana" w:cs="Verdana"/>
          <w:sz w:val="20"/>
          <w:szCs w:val="20"/>
        </w:rPr>
      </w:pPr>
    </w:p>
    <w:p w14:paraId="2A90E693" w14:textId="77777777" w:rsidR="00D47697" w:rsidRPr="00D47697" w:rsidRDefault="00D47697" w:rsidP="005F67C1">
      <w:pPr>
        <w:spacing w:after="0" w:line="240" w:lineRule="auto"/>
        <w:jc w:val="both"/>
        <w:rPr>
          <w:rFonts w:ascii="Verdana" w:eastAsia="Verdana" w:hAnsi="Verdana" w:cs="Verdana"/>
          <w:sz w:val="20"/>
          <w:szCs w:val="20"/>
        </w:rPr>
      </w:pPr>
      <w:r w:rsidRPr="00D47697">
        <w:rPr>
          <w:rFonts w:ascii="Verdana" w:eastAsia="Verdana" w:hAnsi="Verdana" w:cs="Verdana"/>
          <w:sz w:val="20"/>
          <w:szCs w:val="20"/>
        </w:rPr>
        <w:t>En tal sentido, la prohibición de administrar recursos públicos constituye un límite esencial e insoslayable dentro del régimen de contratación estatal. Esta regla se erige como una garantía de transparencia y de preservación de la función administrativa, en la medida en que impide que terceros —sean organismos internacionales, entidades de cooperación— asuman la gestión directa de fondos públicos o de recursos propios de las entidades estatales.</w:t>
      </w:r>
    </w:p>
    <w:p w14:paraId="629104A1" w14:textId="77777777" w:rsidR="00EC1F38" w:rsidRDefault="00EC1F38" w:rsidP="009637A2">
      <w:pPr>
        <w:spacing w:after="0"/>
        <w:rPr>
          <w:rFonts w:ascii="Verdana" w:eastAsia="Verdana" w:hAnsi="Verdana" w:cs="Verdana"/>
        </w:rPr>
      </w:pPr>
    </w:p>
    <w:p w14:paraId="2DE1F66E" w14:textId="77777777" w:rsidR="00D47697" w:rsidRDefault="00D47697" w:rsidP="009637A2">
      <w:pPr>
        <w:spacing w:after="0"/>
        <w:rPr>
          <w:rFonts w:ascii="Verdana" w:eastAsia="Verdana" w:hAnsi="Verdana" w:cs="Verdana"/>
        </w:rPr>
      </w:pPr>
    </w:p>
    <w:p w14:paraId="301DEC4E" w14:textId="77777777" w:rsidR="00D47697" w:rsidRDefault="00D47697" w:rsidP="009637A2">
      <w:pPr>
        <w:spacing w:after="0"/>
        <w:rPr>
          <w:rFonts w:ascii="Verdana" w:eastAsia="Verdana" w:hAnsi="Verdana" w:cs="Verdana"/>
        </w:rPr>
      </w:pPr>
    </w:p>
    <w:p w14:paraId="07991C07" w14:textId="77777777" w:rsidR="00D47697" w:rsidRDefault="00D47697" w:rsidP="009637A2">
      <w:pPr>
        <w:spacing w:after="0"/>
        <w:rPr>
          <w:rFonts w:ascii="Verdana" w:eastAsia="Verdana" w:hAnsi="Verdana" w:cs="Verdana"/>
        </w:rPr>
      </w:pPr>
    </w:p>
    <w:p w14:paraId="5DEB1370" w14:textId="77777777" w:rsidR="00D47697" w:rsidRDefault="00D47697" w:rsidP="009637A2">
      <w:pPr>
        <w:spacing w:after="0"/>
        <w:rPr>
          <w:rFonts w:ascii="Verdana" w:eastAsia="Verdana" w:hAnsi="Verdana" w:cs="Verdana"/>
        </w:rPr>
      </w:pPr>
    </w:p>
    <w:p w14:paraId="5222565F" w14:textId="77777777" w:rsidR="00D47697" w:rsidRDefault="00D47697" w:rsidP="009637A2">
      <w:pPr>
        <w:spacing w:after="0"/>
        <w:rPr>
          <w:rFonts w:ascii="Verdana" w:eastAsia="Verdana" w:hAnsi="Verdana" w:cs="Verdana"/>
        </w:rPr>
      </w:pPr>
    </w:p>
    <w:p w14:paraId="78D41BEF" w14:textId="77777777" w:rsidR="00D47697" w:rsidRDefault="00D47697" w:rsidP="009637A2">
      <w:pPr>
        <w:spacing w:after="0"/>
        <w:rPr>
          <w:rFonts w:ascii="Verdana" w:eastAsia="Verdana" w:hAnsi="Verdana" w:cs="Verdana"/>
        </w:rPr>
      </w:pPr>
    </w:p>
    <w:p w14:paraId="55EC026D" w14:textId="77777777" w:rsidR="00D47697" w:rsidRDefault="00D47697" w:rsidP="009637A2">
      <w:pPr>
        <w:spacing w:after="0"/>
        <w:rPr>
          <w:rFonts w:ascii="Verdana" w:eastAsia="Verdana" w:hAnsi="Verdana" w:cs="Verdana"/>
        </w:rPr>
      </w:pPr>
    </w:p>
    <w:p w14:paraId="7EFA1702" w14:textId="77777777" w:rsidR="00D47697" w:rsidRDefault="00D47697" w:rsidP="009637A2">
      <w:pPr>
        <w:spacing w:after="0"/>
        <w:rPr>
          <w:rFonts w:ascii="Verdana" w:eastAsia="Verdana" w:hAnsi="Verdana" w:cs="Verdana"/>
        </w:rPr>
      </w:pPr>
    </w:p>
    <w:p w14:paraId="639C0A20" w14:textId="77777777" w:rsidR="00D47697" w:rsidRDefault="00D47697" w:rsidP="009637A2">
      <w:pPr>
        <w:spacing w:after="0"/>
        <w:rPr>
          <w:rFonts w:ascii="Verdana" w:eastAsia="Verdana" w:hAnsi="Verdana" w:cs="Verdana"/>
        </w:rPr>
      </w:pPr>
    </w:p>
    <w:p w14:paraId="6EEB4664" w14:textId="77777777" w:rsidR="00D47697" w:rsidRDefault="00D47697" w:rsidP="009637A2">
      <w:pPr>
        <w:spacing w:after="0"/>
        <w:rPr>
          <w:rFonts w:ascii="Verdana" w:eastAsia="Verdana" w:hAnsi="Verdana" w:cs="Verdana"/>
        </w:rPr>
      </w:pPr>
    </w:p>
    <w:p w14:paraId="1BD45AEB" w14:textId="77777777" w:rsidR="00D47697" w:rsidRDefault="00D47697" w:rsidP="009637A2">
      <w:pPr>
        <w:spacing w:after="0"/>
        <w:rPr>
          <w:rFonts w:ascii="Verdana" w:eastAsia="Verdana" w:hAnsi="Verdana" w:cs="Verdana"/>
        </w:rPr>
      </w:pPr>
    </w:p>
    <w:p w14:paraId="61947EF0" w14:textId="77777777" w:rsidR="00D47697" w:rsidRDefault="00D47697" w:rsidP="009637A2">
      <w:pPr>
        <w:spacing w:after="0"/>
        <w:rPr>
          <w:rFonts w:ascii="Verdana" w:eastAsia="Verdana" w:hAnsi="Verdana" w:cs="Verdana"/>
        </w:rPr>
      </w:pPr>
    </w:p>
    <w:p w14:paraId="7DFEFB99" w14:textId="77777777" w:rsidR="00D47697" w:rsidRDefault="00D47697" w:rsidP="009637A2">
      <w:pPr>
        <w:spacing w:after="0"/>
        <w:rPr>
          <w:rFonts w:ascii="Verdana" w:eastAsia="Verdana" w:hAnsi="Verdana" w:cs="Verdana"/>
        </w:rPr>
      </w:pPr>
    </w:p>
    <w:p w14:paraId="3A646552" w14:textId="77777777" w:rsidR="00D47697" w:rsidRDefault="00D47697" w:rsidP="009637A2">
      <w:pPr>
        <w:spacing w:after="0"/>
        <w:rPr>
          <w:rFonts w:ascii="Verdana" w:eastAsia="Verdana" w:hAnsi="Verdana" w:cs="Verdana"/>
        </w:rPr>
      </w:pPr>
    </w:p>
    <w:p w14:paraId="00B797D8" w14:textId="77777777" w:rsidR="00D47697" w:rsidRDefault="00D47697" w:rsidP="009637A2">
      <w:pPr>
        <w:spacing w:after="0"/>
        <w:rPr>
          <w:rFonts w:ascii="Verdana" w:eastAsia="Verdana" w:hAnsi="Verdana" w:cs="Verdana"/>
        </w:rPr>
      </w:pPr>
    </w:p>
    <w:p w14:paraId="70ED181B" w14:textId="77777777" w:rsidR="00D47697" w:rsidRDefault="00D47697" w:rsidP="009637A2">
      <w:pPr>
        <w:spacing w:after="0"/>
        <w:rPr>
          <w:rFonts w:ascii="Verdana" w:eastAsia="Verdana" w:hAnsi="Verdana" w:cs="Verdana"/>
        </w:rPr>
      </w:pPr>
    </w:p>
    <w:p w14:paraId="159FE076" w14:textId="77777777" w:rsidR="00D47697" w:rsidRDefault="00D47697" w:rsidP="009637A2">
      <w:pPr>
        <w:spacing w:after="0"/>
        <w:rPr>
          <w:rFonts w:ascii="Verdana" w:eastAsia="Verdana" w:hAnsi="Verdana" w:cs="Verdana"/>
        </w:rPr>
      </w:pPr>
    </w:p>
    <w:p w14:paraId="1B73D1AF" w14:textId="77777777" w:rsidR="00D47697" w:rsidRDefault="00D47697" w:rsidP="009637A2">
      <w:pPr>
        <w:spacing w:after="0"/>
        <w:rPr>
          <w:rFonts w:ascii="Verdana" w:eastAsia="Verdana" w:hAnsi="Verdana" w:cs="Verdana"/>
        </w:rPr>
      </w:pPr>
    </w:p>
    <w:p w14:paraId="4676F48A" w14:textId="3F72DE8B" w:rsidR="009637A2" w:rsidRPr="006B33D3" w:rsidRDefault="000C6B8F" w:rsidP="009637A2">
      <w:pPr>
        <w:spacing w:after="0"/>
        <w:rPr>
          <w:rFonts w:ascii="Verdana" w:hAnsi="Verdana"/>
        </w:rPr>
      </w:pPr>
      <w:r w:rsidRPr="000C6B8F">
        <w:rPr>
          <w:noProof/>
        </w:rPr>
        <w:lastRenderedPageBreak/>
        <w:drawing>
          <wp:anchor distT="0" distB="0" distL="114300" distR="114300" simplePos="0" relativeHeight="251660288" behindDoc="0" locked="0" layoutInCell="1" allowOverlap="1" wp14:anchorId="70C2899F" wp14:editId="2EE1F473">
            <wp:simplePos x="0" y="0"/>
            <wp:positionH relativeFrom="column">
              <wp:posOffset>2707005</wp:posOffset>
            </wp:positionH>
            <wp:positionV relativeFrom="paragraph">
              <wp:posOffset>236220</wp:posOffset>
            </wp:positionV>
            <wp:extent cx="2857500" cy="791210"/>
            <wp:effectExtent l="0" t="0" r="0" b="8890"/>
            <wp:wrapSquare wrapText="bothSides"/>
            <wp:docPr id="17908182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791210"/>
                    </a:xfrm>
                    <a:prstGeom prst="rect">
                      <a:avLst/>
                    </a:prstGeom>
                    <a:noFill/>
                    <a:ln>
                      <a:noFill/>
                    </a:ln>
                  </pic:spPr>
                </pic:pic>
              </a:graphicData>
            </a:graphic>
          </wp:anchor>
        </w:drawing>
      </w:r>
      <w:r w:rsidR="009637A2" w:rsidRPr="006B33D3">
        <w:rPr>
          <w:rFonts w:ascii="Verdana" w:eastAsia="Verdana" w:hAnsi="Verdana" w:cs="Verdana"/>
        </w:rPr>
        <w:t xml:space="preserve">Bogotá D.C., </w:t>
      </w:r>
      <w:r w:rsidR="00FD2053">
        <w:rPr>
          <w:rFonts w:ascii="Verdana" w:eastAsia="Verdana" w:hAnsi="Verdana" w:cs="Verdana"/>
        </w:rPr>
        <w:t>2</w:t>
      </w:r>
      <w:r w:rsidR="00B66623">
        <w:rPr>
          <w:rFonts w:ascii="Verdana" w:eastAsia="Verdana" w:hAnsi="Verdana" w:cs="Verdana"/>
        </w:rPr>
        <w:t>0</w:t>
      </w:r>
      <w:r w:rsidR="00FD2053">
        <w:rPr>
          <w:rFonts w:ascii="Verdana" w:eastAsia="Verdana" w:hAnsi="Verdana" w:cs="Verdana"/>
        </w:rPr>
        <w:t xml:space="preserve"> de octubre de 2026</w:t>
      </w:r>
      <w:r w:rsidR="009637A2" w:rsidRPr="006B33D3">
        <w:tab/>
      </w:r>
      <w:r w:rsidR="009637A2" w:rsidRPr="006B33D3">
        <w:br/>
      </w:r>
      <w:r w:rsidR="009637A2" w:rsidRPr="006B33D3">
        <w:tab/>
      </w:r>
    </w:p>
    <w:p w14:paraId="5C903975" w14:textId="77777777" w:rsidR="009637A2" w:rsidRPr="006B33D3" w:rsidRDefault="009637A2" w:rsidP="009637A2">
      <w:pPr>
        <w:spacing w:after="0" w:line="240" w:lineRule="auto"/>
        <w:rPr>
          <w:rFonts w:ascii="Verdana" w:hAnsi="Verdana"/>
        </w:rPr>
      </w:pPr>
    </w:p>
    <w:p w14:paraId="23F929DA" w14:textId="77777777" w:rsidR="009637A2" w:rsidRPr="006B33D3" w:rsidRDefault="009637A2" w:rsidP="009637A2">
      <w:pPr>
        <w:spacing w:after="0" w:line="240" w:lineRule="auto"/>
        <w:rPr>
          <w:rFonts w:ascii="Verdana" w:eastAsia="Calibri" w:hAnsi="Verdana" w:cs="Times New Roman"/>
          <w:lang w:val="es-MX"/>
        </w:rPr>
      </w:pPr>
      <w:r w:rsidRPr="006B33D3">
        <w:rPr>
          <w:rFonts w:ascii="Verdana" w:eastAsia="Calibri" w:hAnsi="Verdana" w:cs="Times New Roman"/>
          <w:lang w:val="es-MX"/>
        </w:rPr>
        <w:t>Señor</w:t>
      </w:r>
    </w:p>
    <w:p w14:paraId="28C75CB3" w14:textId="77777777" w:rsidR="009637A2" w:rsidRPr="006B33D3" w:rsidRDefault="009637A2" w:rsidP="009637A2">
      <w:pPr>
        <w:spacing w:after="0" w:line="240" w:lineRule="auto"/>
        <w:rPr>
          <w:rFonts w:ascii="Verdana" w:eastAsia="Calibri" w:hAnsi="Verdana" w:cs="Times New Roman"/>
          <w:b/>
        </w:rPr>
      </w:pPr>
      <w:r w:rsidRPr="006B33D3">
        <w:rPr>
          <w:rFonts w:ascii="Verdana" w:eastAsia="Calibri" w:hAnsi="Verdana" w:cs="Times New Roman"/>
          <w:b/>
        </w:rPr>
        <w:t xml:space="preserve">Javier Norberto Forero Rojas </w:t>
      </w:r>
    </w:p>
    <w:p w14:paraId="033C03F7" w14:textId="77777777" w:rsidR="009637A2" w:rsidRPr="006B33D3" w:rsidRDefault="009637A2" w:rsidP="009637A2">
      <w:pPr>
        <w:spacing w:after="0" w:line="240" w:lineRule="auto"/>
        <w:rPr>
          <w:rFonts w:ascii="Verdana" w:hAnsi="Verdana"/>
        </w:rPr>
      </w:pPr>
      <w:hyperlink r:id="rId12" w:history="1">
        <w:r w:rsidRPr="006B33D3">
          <w:rPr>
            <w:rStyle w:val="Hipervnculo"/>
            <w:rFonts w:ascii="Verdana" w:hAnsi="Verdana"/>
          </w:rPr>
          <w:t>javier.forero@aerocivil.gov.co</w:t>
        </w:r>
      </w:hyperlink>
    </w:p>
    <w:p w14:paraId="3070D267" w14:textId="77777777" w:rsidR="009637A2" w:rsidRPr="006B33D3" w:rsidRDefault="009637A2" w:rsidP="009637A2">
      <w:pPr>
        <w:spacing w:after="0" w:line="240" w:lineRule="auto"/>
        <w:rPr>
          <w:rFonts w:ascii="Verdana" w:hAnsi="Verdana"/>
        </w:rPr>
      </w:pPr>
      <w:r w:rsidRPr="006B33D3">
        <w:rPr>
          <w:rFonts w:ascii="Verdana" w:hAnsi="Verdana"/>
        </w:rPr>
        <w:t>Bogotá D.C.</w:t>
      </w:r>
      <w:r w:rsidRPr="006B33D3">
        <w:rPr>
          <w:rFonts w:ascii="Verdana" w:eastAsia="Calibri" w:hAnsi="Verdana" w:cs="Times New Roman"/>
          <w:bCs/>
        </w:rPr>
        <w:t xml:space="preserve"> </w:t>
      </w:r>
    </w:p>
    <w:p w14:paraId="734491AF" w14:textId="77777777" w:rsidR="009637A2" w:rsidRPr="006B33D3" w:rsidRDefault="009637A2" w:rsidP="009637A2">
      <w:pPr>
        <w:spacing w:after="0" w:line="240" w:lineRule="auto"/>
        <w:rPr>
          <w:rFonts w:ascii="Verdana" w:eastAsia="Calibri" w:hAnsi="Verdana" w:cs="Times New Roman"/>
        </w:rPr>
      </w:pPr>
    </w:p>
    <w:p w14:paraId="2895D65E" w14:textId="77777777" w:rsidR="009637A2" w:rsidRPr="006B33D3" w:rsidRDefault="009637A2" w:rsidP="009637A2">
      <w:pPr>
        <w:spacing w:after="0" w:line="240" w:lineRule="auto"/>
        <w:rPr>
          <w:rFonts w:ascii="Verdana" w:eastAsia="Calibri" w:hAnsi="Verdana" w:cs="Times New Roman"/>
        </w:rPr>
      </w:pPr>
    </w:p>
    <w:p w14:paraId="174DAE4A" w14:textId="0A481CAD" w:rsidR="009637A2" w:rsidRPr="006B33D3" w:rsidRDefault="009637A2" w:rsidP="009637A2">
      <w:pPr>
        <w:spacing w:after="0" w:line="240" w:lineRule="auto"/>
        <w:rPr>
          <w:rFonts w:ascii="Verdana" w:eastAsia="Calibri" w:hAnsi="Verdana" w:cs="Times New Roman"/>
          <w:b/>
          <w:bCs/>
          <w:lang w:val="es-ES"/>
        </w:rPr>
      </w:pPr>
      <w:r w:rsidRPr="006B33D3">
        <w:rPr>
          <w:rFonts w:ascii="Verdana" w:eastAsia="Calibri" w:hAnsi="Verdana" w:cs="Times New Roman"/>
          <w:b/>
          <w:bCs/>
          <w:lang w:val="es-ES"/>
        </w:rPr>
        <w:t xml:space="preserve">                                    Concepto C</w:t>
      </w:r>
      <w:r w:rsidR="005B0656">
        <w:rPr>
          <w:rFonts w:ascii="Verdana" w:eastAsia="Calibri" w:hAnsi="Verdana" w:cs="Times New Roman"/>
          <w:b/>
          <w:bCs/>
          <w:lang w:val="es-ES"/>
        </w:rPr>
        <w:t>-</w:t>
      </w:r>
      <w:r w:rsidRPr="006B33D3">
        <w:rPr>
          <w:rFonts w:ascii="Verdana" w:eastAsia="Calibri" w:hAnsi="Verdana" w:cs="Times New Roman"/>
          <w:b/>
          <w:bCs/>
          <w:lang w:val="es-ES"/>
        </w:rPr>
        <w:t>1425 de 2026</w:t>
      </w:r>
    </w:p>
    <w:p w14:paraId="1A241411" w14:textId="77777777" w:rsidR="009637A2" w:rsidRPr="006B33D3" w:rsidRDefault="009637A2" w:rsidP="009637A2">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9637A2" w:rsidRPr="006B33D3" w14:paraId="1C9ADFDB" w14:textId="77777777" w:rsidTr="00672DA8">
        <w:trPr>
          <w:trHeight w:val="645"/>
        </w:trPr>
        <w:tc>
          <w:tcPr>
            <w:tcW w:w="2685" w:type="dxa"/>
            <w:hideMark/>
          </w:tcPr>
          <w:p w14:paraId="75229914" w14:textId="77777777" w:rsidR="009637A2" w:rsidRPr="006B33D3" w:rsidRDefault="009637A2" w:rsidP="00672DA8">
            <w:pPr>
              <w:rPr>
                <w:rFonts w:ascii="Verdana" w:hAnsi="Verdana"/>
                <w:b/>
                <w:bCs/>
                <w:lang w:val="es-ES"/>
              </w:rPr>
            </w:pPr>
            <w:r w:rsidRPr="006B33D3">
              <w:rPr>
                <w:rFonts w:ascii="Verdana" w:hAnsi="Verdana"/>
                <w:b/>
                <w:bCs/>
                <w:lang w:val="es-ES_tradnl"/>
              </w:rPr>
              <w:t xml:space="preserve">Temas:                  </w:t>
            </w:r>
          </w:p>
        </w:tc>
        <w:tc>
          <w:tcPr>
            <w:tcW w:w="6241" w:type="dxa"/>
            <w:hideMark/>
          </w:tcPr>
          <w:p w14:paraId="4B578A5A" w14:textId="2F2DC4A4" w:rsidR="009637A2" w:rsidRPr="006B33D3" w:rsidRDefault="009637A2" w:rsidP="00672DA8">
            <w:pPr>
              <w:spacing w:line="276" w:lineRule="auto"/>
              <w:jc w:val="both"/>
              <w:rPr>
                <w:rFonts w:ascii="Verdana" w:hAnsi="Verdana" w:cs="Arial"/>
                <w:bCs/>
                <w:lang w:val="es-ES" w:eastAsia="es-ES"/>
              </w:rPr>
            </w:pPr>
            <w:r w:rsidRPr="006B33D3">
              <w:rPr>
                <w:rFonts w:ascii="Verdana" w:hAnsi="Verdana" w:cs="Arial"/>
                <w:color w:val="000000" w:themeColor="text1"/>
                <w:lang w:val="es-ES" w:eastAsia="es-ES"/>
              </w:rPr>
              <w:t xml:space="preserve">ORGANISMOS INTERNACIONALES – Concepto / RÉGIMEN CONTRACTUAL – Ley 1150 de 2007 – Artículo 20 / SISTEMA NACIONAL DE COOPERACIÓN INTERNACIONAL – Decreto 603 de 2022 – Alcance – Recursos financieros / SOCIOS DE COOPERACIÓN INTERNACIONAL ‒ Interpretación amplia / CONTRATO DE PRESTACIÓN DE SERVICIOS PROFESIONALES – Alcance / CONTRATO DE CONSULTORÍA – Alcance – Definición / CONTRATO DE CONSULTORÍA – Diferencias – Contrato de prestación de servicios profesionales / NO EXISTENCIA DE PLURALIDAD DE OFERENTES – Características – Condiciones / PRECIO - </w:t>
            </w:r>
            <w:r w:rsidRPr="006B33D3">
              <w:rPr>
                <w:rFonts w:ascii="Verdana" w:hAnsi="Verdana" w:cs="Arial"/>
                <w:bCs/>
                <w:color w:val="000000" w:themeColor="text1"/>
                <w:lang w:eastAsia="es-ES"/>
              </w:rPr>
              <w:t xml:space="preserve">Lump Sum </w:t>
            </w:r>
            <w:proofErr w:type="spellStart"/>
            <w:r w:rsidRPr="006B33D3">
              <w:rPr>
                <w:rFonts w:ascii="Verdana" w:hAnsi="Verdana" w:cs="Arial"/>
                <w:bCs/>
                <w:color w:val="000000" w:themeColor="text1"/>
                <w:lang w:eastAsia="es-ES"/>
              </w:rPr>
              <w:t>Agreement</w:t>
            </w:r>
            <w:proofErr w:type="spellEnd"/>
            <w:r w:rsidRPr="006B33D3">
              <w:rPr>
                <w:rFonts w:ascii="Verdana" w:hAnsi="Verdana" w:cs="Arial"/>
                <w:bCs/>
                <w:color w:val="000000" w:themeColor="text1"/>
                <w:lang w:eastAsia="es-ES"/>
              </w:rPr>
              <w:t xml:space="preserve"> – Características – Condiciones – Precio Global / GERENCIA DE RECURSOS – Prohibición – Inciso tercero – Artículo 20 – Ley 1150 de 2007. </w:t>
            </w:r>
            <w:r w:rsidRPr="006B33D3">
              <w:rPr>
                <w:rFonts w:ascii="Verdana" w:hAnsi="Verdana" w:cs="Arial"/>
                <w:color w:val="000000" w:themeColor="text1"/>
                <w:lang w:val="es-ES" w:eastAsia="es-ES"/>
              </w:rPr>
              <w:t xml:space="preserve"> </w:t>
            </w:r>
          </w:p>
        </w:tc>
        <w:tc>
          <w:tcPr>
            <w:tcW w:w="6237" w:type="dxa"/>
          </w:tcPr>
          <w:p w14:paraId="786382B9" w14:textId="77777777" w:rsidR="009637A2" w:rsidRPr="006B33D3" w:rsidRDefault="009637A2" w:rsidP="00672DA8">
            <w:pPr>
              <w:rPr>
                <w:rFonts w:ascii="Verdana" w:hAnsi="Verdana"/>
                <w:lang w:val="es-ES"/>
              </w:rPr>
            </w:pPr>
          </w:p>
        </w:tc>
      </w:tr>
      <w:tr w:rsidR="009637A2" w:rsidRPr="006B33D3" w14:paraId="59822F75" w14:textId="77777777" w:rsidTr="00672DA8">
        <w:tc>
          <w:tcPr>
            <w:tcW w:w="2685" w:type="dxa"/>
          </w:tcPr>
          <w:p w14:paraId="7C8A96B8" w14:textId="77777777" w:rsidR="009637A2" w:rsidRPr="006B33D3" w:rsidRDefault="009637A2" w:rsidP="00672DA8">
            <w:pPr>
              <w:rPr>
                <w:rFonts w:ascii="Verdana" w:hAnsi="Verdana"/>
                <w:b/>
                <w:bCs/>
                <w:lang w:val="es-ES_tradnl"/>
              </w:rPr>
            </w:pPr>
          </w:p>
          <w:p w14:paraId="6BC4F997" w14:textId="77777777" w:rsidR="009637A2" w:rsidRPr="006B33D3" w:rsidRDefault="009637A2" w:rsidP="00672DA8">
            <w:pPr>
              <w:rPr>
                <w:rFonts w:ascii="Verdana" w:hAnsi="Verdana"/>
                <w:b/>
                <w:bCs/>
                <w:lang w:val="es-ES_tradnl"/>
              </w:rPr>
            </w:pPr>
            <w:r w:rsidRPr="006B33D3">
              <w:rPr>
                <w:rFonts w:ascii="Verdana" w:hAnsi="Verdana"/>
                <w:b/>
                <w:bCs/>
                <w:lang w:val="es-ES_tradnl"/>
              </w:rPr>
              <w:t xml:space="preserve">Radicación:               </w:t>
            </w:r>
          </w:p>
        </w:tc>
        <w:tc>
          <w:tcPr>
            <w:tcW w:w="6241" w:type="dxa"/>
          </w:tcPr>
          <w:p w14:paraId="7EA813A8" w14:textId="77777777" w:rsidR="009637A2" w:rsidRPr="006B33D3" w:rsidRDefault="009637A2" w:rsidP="00672DA8">
            <w:pPr>
              <w:spacing w:line="276" w:lineRule="auto"/>
              <w:jc w:val="both"/>
              <w:rPr>
                <w:rFonts w:ascii="Verdana" w:hAnsi="Verdana"/>
                <w:lang w:val="es-ES_tradnl"/>
              </w:rPr>
            </w:pPr>
          </w:p>
          <w:p w14:paraId="11071356" w14:textId="77777777" w:rsidR="009637A2" w:rsidRPr="006B33D3" w:rsidRDefault="009637A2" w:rsidP="00672DA8">
            <w:pPr>
              <w:spacing w:line="276" w:lineRule="auto"/>
              <w:jc w:val="both"/>
              <w:rPr>
                <w:rFonts w:ascii="Verdana" w:hAnsi="Verdana"/>
                <w:lang w:val="es-ES_tradnl"/>
              </w:rPr>
            </w:pPr>
            <w:r w:rsidRPr="006B33D3">
              <w:rPr>
                <w:rFonts w:ascii="Verdana" w:hAnsi="Verdana"/>
                <w:lang w:val="es-ES_tradnl"/>
              </w:rPr>
              <w:t xml:space="preserve">Respuesta a consulta con radicado </w:t>
            </w:r>
            <w:r w:rsidRPr="006B33D3">
              <w:rPr>
                <w:rFonts w:ascii="Verdana" w:hAnsi="Verdana"/>
              </w:rPr>
              <w:t>1_2026_09_10_012059</w:t>
            </w:r>
          </w:p>
          <w:p w14:paraId="577D9518" w14:textId="77777777" w:rsidR="009637A2" w:rsidRPr="006B33D3" w:rsidRDefault="009637A2" w:rsidP="00672DA8">
            <w:pPr>
              <w:spacing w:line="276" w:lineRule="auto"/>
              <w:jc w:val="both"/>
              <w:rPr>
                <w:rFonts w:ascii="Verdana" w:hAnsi="Verdana"/>
              </w:rPr>
            </w:pPr>
          </w:p>
          <w:p w14:paraId="07CDA52B" w14:textId="77777777" w:rsidR="009637A2" w:rsidRPr="006B33D3" w:rsidRDefault="009637A2" w:rsidP="00672DA8">
            <w:pPr>
              <w:spacing w:line="276" w:lineRule="auto"/>
              <w:jc w:val="both"/>
              <w:rPr>
                <w:rFonts w:ascii="Verdana" w:hAnsi="Verdana"/>
              </w:rPr>
            </w:pPr>
          </w:p>
        </w:tc>
        <w:tc>
          <w:tcPr>
            <w:tcW w:w="6237" w:type="dxa"/>
          </w:tcPr>
          <w:p w14:paraId="7746283A" w14:textId="77777777" w:rsidR="009637A2" w:rsidRPr="006B33D3" w:rsidRDefault="009637A2" w:rsidP="00672DA8">
            <w:pPr>
              <w:rPr>
                <w:rFonts w:ascii="Verdana" w:hAnsi="Verdana"/>
              </w:rPr>
            </w:pPr>
          </w:p>
        </w:tc>
      </w:tr>
    </w:tbl>
    <w:p w14:paraId="7263750A" w14:textId="77777777" w:rsidR="009637A2" w:rsidRPr="006B33D3" w:rsidRDefault="009637A2" w:rsidP="009637A2">
      <w:pPr>
        <w:spacing w:after="0" w:line="256" w:lineRule="auto"/>
        <w:rPr>
          <w:rFonts w:ascii="Verdana" w:eastAsia="Calibri" w:hAnsi="Verdana" w:cs="Times New Roman"/>
          <w:lang w:val="es-ES"/>
        </w:rPr>
      </w:pPr>
      <w:r w:rsidRPr="006B33D3">
        <w:rPr>
          <w:rFonts w:ascii="Verdana" w:eastAsia="Calibri" w:hAnsi="Verdana" w:cs="Times New Roman"/>
          <w:lang w:val="es-ES"/>
        </w:rPr>
        <w:t xml:space="preserve">Estimado Señor Forero: </w:t>
      </w:r>
    </w:p>
    <w:p w14:paraId="6C8E0328" w14:textId="77777777" w:rsidR="009637A2" w:rsidRPr="006B33D3" w:rsidRDefault="009637A2" w:rsidP="009637A2">
      <w:pPr>
        <w:spacing w:after="0" w:line="276" w:lineRule="auto"/>
        <w:rPr>
          <w:rFonts w:ascii="Verdana" w:eastAsia="Calibri" w:hAnsi="Verdana" w:cs="Times New Roman"/>
          <w:lang w:val="es-ES"/>
        </w:rPr>
      </w:pPr>
    </w:p>
    <w:p w14:paraId="1F1BFF8F" w14:textId="77777777" w:rsidR="009637A2" w:rsidRPr="006B33D3" w:rsidRDefault="009637A2" w:rsidP="009637A2">
      <w:pPr>
        <w:spacing w:after="0" w:line="276" w:lineRule="auto"/>
        <w:jc w:val="both"/>
        <w:rPr>
          <w:rFonts w:ascii="Verdana" w:eastAsia="Calibri" w:hAnsi="Verdana" w:cs="Times New Roman"/>
          <w:bCs/>
          <w:lang w:val="es-ES" w:bidi="es-ES"/>
        </w:rPr>
      </w:pPr>
      <w:r w:rsidRPr="006B33D3">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6B33D3">
        <w:rPr>
          <w:rFonts w:ascii="Verdana" w:eastAsia="Calibri" w:hAnsi="Verdana" w:cs="Times New Roman"/>
          <w:bCs/>
          <w:lang w:bidi="es-ES"/>
        </w:rPr>
        <w:lastRenderedPageBreak/>
        <w:t>N°</w:t>
      </w:r>
      <w:proofErr w:type="spellEnd"/>
      <w:r w:rsidRPr="006B33D3">
        <w:rPr>
          <w:rFonts w:ascii="Verdana" w:eastAsia="Calibri" w:hAnsi="Verdana" w:cs="Times New Roman"/>
          <w:bCs/>
          <w:lang w:bidi="es-ES"/>
        </w:rPr>
        <w:t xml:space="preserve"> 469 del 2025 expedida por esta Agencia, </w:t>
      </w:r>
      <w:r w:rsidRPr="006B33D3">
        <w:rPr>
          <w:rFonts w:ascii="Verdana" w:eastAsia="Calibri" w:hAnsi="Verdana" w:cs="Times New Roman"/>
          <w:bCs/>
          <w:lang w:val="es-ES" w:bidi="es-ES"/>
        </w:rPr>
        <w:t xml:space="preserve">responde la solicitud de consulta del 10 de septiembre de 2026, en la cual manifiesta: </w:t>
      </w:r>
    </w:p>
    <w:p w14:paraId="1027C554" w14:textId="77777777" w:rsidR="009637A2" w:rsidRPr="006B33D3" w:rsidRDefault="009637A2" w:rsidP="009637A2">
      <w:pPr>
        <w:spacing w:after="0" w:line="276" w:lineRule="auto"/>
        <w:jc w:val="both"/>
        <w:rPr>
          <w:rFonts w:ascii="Verdana" w:eastAsia="Calibri" w:hAnsi="Verdana" w:cs="Times New Roman"/>
          <w:bCs/>
          <w:lang w:val="es-ES" w:bidi="es-ES"/>
        </w:rPr>
      </w:pPr>
    </w:p>
    <w:p w14:paraId="60C9D9B7"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w:t>
      </w:r>
    </w:p>
    <w:p w14:paraId="3AB23625"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61D3FC29"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
          <w:bCs/>
          <w:sz w:val="20"/>
          <w:szCs w:val="20"/>
          <w:lang w:bidi="es-ES"/>
        </w:rPr>
        <w:t xml:space="preserve">1. NATURALEZA DEL NEGOCIO JURÍDICO CELEBRADO CON UN ORGANISMO INTERNACIONAL </w:t>
      </w:r>
    </w:p>
    <w:p w14:paraId="1C7D9F1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1A4DFCCB"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¿Cuáles son los criterios jurídicos que debe aplicar una entidad estatal sometida al Estatuto General de Contratación de la Administración Pública para determinar si un instrumento suscrito con un organismo internacional especializado corresponde materialmente a un contrato estatal o a un convenio de cooperación</w:t>
      </w:r>
    </w:p>
    <w:p w14:paraId="3CE7C8B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En particular, cuando la entidad estatal aporta recursos presupuestales y el organismo internacional asume compromisos técnicos específicos asociados a un alcance, productos, entregables, cronograma y condiciones de aceptación, ¿debe prevalecer para la determinación de la naturaleza jurídica del negocio la existencia de prestaciones correlativas y contenido patrimonial o puede estructurarse un convenio de cooperación atendiendo la convergencia de finalidades institucionales de las partes?</w:t>
      </w:r>
    </w:p>
    <w:p w14:paraId="230D086D"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w:t>
      </w:r>
    </w:p>
    <w:p w14:paraId="46090A8D"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63E68B9A"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2. APORTES DEL ORGANISMO INTERNACIONAL Y EXISTENCIA DE UNA VERDADERA RELACIÓN DE COOPERACIÓN </w:t>
      </w:r>
    </w:p>
    <w:p w14:paraId="1E867E9F"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28B44DEA"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Para que un instrumento celebrado entre una entidad estatal y un organismo internacional pueda estructurarse jurídicamente como convenio de cooperación, ¿es indispensable que ambas partes efectúen aportes económicamente cuantificables?</w:t>
      </w:r>
    </w:p>
    <w:p w14:paraId="281DCDAB"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1A67F3C9"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En caso contrario, ¿pueden considerarse aportes de cooperación las capacidades institucionales, metodologías, conocimientos especializados, estándares internacionales, herramientas técnicas, propiedad intelectual, información, experiencia institucional, asistencia especializada y personal experto que un organismo internacional disponga para la ejecución conjunta del proyecto?</w:t>
      </w:r>
    </w:p>
    <w:p w14:paraId="2100379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w:t>
      </w:r>
    </w:p>
    <w:p w14:paraId="20627AD2" w14:textId="77777777" w:rsidR="009637A2" w:rsidRPr="006B33D3" w:rsidRDefault="009637A2" w:rsidP="009637A2">
      <w:pPr>
        <w:spacing w:after="0" w:line="240" w:lineRule="auto"/>
        <w:ind w:right="709"/>
        <w:jc w:val="both"/>
        <w:rPr>
          <w:rFonts w:ascii="Verdana" w:eastAsia="Calibri" w:hAnsi="Verdana" w:cs="Times New Roman"/>
          <w:bCs/>
          <w:sz w:val="20"/>
          <w:szCs w:val="20"/>
          <w:lang w:bidi="es-ES"/>
        </w:rPr>
      </w:pPr>
    </w:p>
    <w:p w14:paraId="7D0E9CA2"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
          <w:bCs/>
          <w:sz w:val="20"/>
          <w:szCs w:val="20"/>
          <w:lang w:bidi="es-ES"/>
        </w:rPr>
        <w:t xml:space="preserve">3. RÉGIMEN JURÍDICO APLICABLE DE CONFORMIDAD CON EL ARTÍCULO 20 DE LA LEY 1150 DE 2007 </w:t>
      </w:r>
    </w:p>
    <w:p w14:paraId="349BE498"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5B9D6ADE" w14:textId="77777777" w:rsidR="009637A2" w:rsidRPr="006B33D3" w:rsidRDefault="009637A2" w:rsidP="009637A2">
      <w:pPr>
        <w:spacing w:after="0" w:line="240" w:lineRule="auto"/>
        <w:ind w:left="709" w:right="709"/>
        <w:jc w:val="both"/>
        <w:rPr>
          <w:rFonts w:ascii="Verdana" w:eastAsia="Calibri" w:hAnsi="Verdana" w:cs="Times New Roman"/>
          <w:b/>
          <w:bCs/>
          <w:sz w:val="20"/>
          <w:szCs w:val="20"/>
          <w:lang w:bidi="es-ES"/>
        </w:rPr>
      </w:pPr>
      <w:r w:rsidRPr="006B33D3">
        <w:rPr>
          <w:rFonts w:ascii="Verdana" w:eastAsia="Calibri" w:hAnsi="Verdana" w:cs="Times New Roman"/>
          <w:bCs/>
          <w:sz w:val="20"/>
          <w:szCs w:val="20"/>
          <w:lang w:bidi="es-ES"/>
        </w:rPr>
        <w:t xml:space="preserve">Cuando una entidad estatal colombiana financia con recursos de su propio presupuesto la totalidad o más del cincuenta por ciento (50 %) del valor de un contrato o convenio celebrado con un organismo internacional de </w:t>
      </w:r>
      <w:r w:rsidRPr="006B33D3">
        <w:rPr>
          <w:rFonts w:ascii="Verdana" w:eastAsia="Calibri" w:hAnsi="Verdana" w:cs="Times New Roman"/>
          <w:bCs/>
          <w:sz w:val="20"/>
          <w:szCs w:val="20"/>
          <w:lang w:bidi="es-ES"/>
        </w:rPr>
        <w:lastRenderedPageBreak/>
        <w:t xml:space="preserve">cooperación, asistencia o ayuda internacional, </w:t>
      </w:r>
      <w:r w:rsidRPr="006B33D3">
        <w:rPr>
          <w:rFonts w:ascii="Verdana" w:eastAsia="Calibri" w:hAnsi="Verdana" w:cs="Times New Roman"/>
          <w:b/>
          <w:bCs/>
          <w:sz w:val="20"/>
          <w:szCs w:val="20"/>
          <w:lang w:bidi="es-ES"/>
        </w:rPr>
        <w:t>¿debe entenderse que el proceso de selección y el respectivo negocio jurídico quedan sometidos al Estatuto General de Contratación de la Administración Pública?</w:t>
      </w:r>
    </w:p>
    <w:p w14:paraId="4119A3B6" w14:textId="77777777" w:rsidR="009637A2" w:rsidRPr="006B33D3" w:rsidRDefault="009637A2" w:rsidP="009637A2">
      <w:pPr>
        <w:spacing w:after="0" w:line="240" w:lineRule="auto"/>
        <w:ind w:left="709" w:right="709"/>
        <w:jc w:val="both"/>
        <w:rPr>
          <w:rFonts w:ascii="Verdana" w:eastAsia="Calibri" w:hAnsi="Verdana" w:cs="Times New Roman"/>
          <w:b/>
          <w:bCs/>
          <w:sz w:val="20"/>
          <w:szCs w:val="20"/>
          <w:lang w:bidi="es-ES"/>
        </w:rPr>
      </w:pPr>
    </w:p>
    <w:p w14:paraId="0FAA4786"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En este supuesto, ¿el hecho de que el organismo internacional cuente con sus propios reglamentos, procedimientos de contratación y modelos contractuales permite que estos sean incorporados convencionalmente al negocio, o únicamente pueden aplicarse en aquellos aspectos compatibles con las disposiciones imperativas del régimen contractual colombiano? </w:t>
      </w:r>
    </w:p>
    <w:p w14:paraId="1286A152"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Adicionalmente, tratándose de una agencia especializada del Sistema de Naciones Unidas que desarrolla actividades de asistencia técnica y fortalecimiento institucional, ¿el análisis del régimen aplicable debe efectuarse prioritariamente bajo el inciso primero del artículo 20 de la Ley 1150 de 2007 y, por consiguiente, atendiendo al porcentaje de financiación proveniente del organismo internacional?</w:t>
      </w:r>
    </w:p>
    <w:p w14:paraId="51E77EC2"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38F6CC9E"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4. ARTÍCULO 20 DE LA LEY 1150 DE 2007 Y MODALIDAD DE SELECCIÓN </w:t>
      </w:r>
    </w:p>
    <w:p w14:paraId="6F1491B4"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03268B19"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¿El artículo 20 de la Ley 1150 de 2007 constituye una causal autónoma que habilita la contratación directa con organismos internacionales o su alcance se circunscribe a determinar cuál régimen contractual resulta aplicable al negocio? </w:t>
      </w:r>
    </w:p>
    <w:p w14:paraId="78B2F65A"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En consecuencia, cuando conforme al artículo 20 de la Ley 1150 de 2007 resulte aplicable el Estatuto General de Contratación de la Administración Pública, ¿debe la entidad determinar de manera independiente la modalidad de selección procedente conforme a las causales establecidas en el artículo 2 de la Ley 1150 de 2007?</w:t>
      </w:r>
    </w:p>
    <w:p w14:paraId="04A1C45A"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4CF6593B"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5. ASISTENCIA TÉCNICA ESPECIALIZADA Y CONTRATO DE PRESTACIÓN DE SERVICIOS PROFESIONALES </w:t>
      </w:r>
    </w:p>
    <w:p w14:paraId="21CA108A"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5FE94B62"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Cuando el objeto requerido por una entidad estatal consiste en asistencia técnica especializada, transferencia de conocimientos, fortalecimiento institucional, implementación de metodologías, acompañamiento técnico y desarrollo de productos especializados vinculados directamente con la administración o funcionamiento de la entidad, ¿resulta jurídicamente procedente estructurar el negocio como contrato de prestación de servicios profesionales y acudir a la contratación directa prevista en el literal h) del numeral 4 del artículo 2 de la Ley 1150 de 2007 y en el artículo 2.2.1.2.1.4.9 del Decreto 1082 de 2015? </w:t>
      </w:r>
    </w:p>
    <w:p w14:paraId="13FDD2DC"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¿La circunstancia de que el contratista sea un organismo internacional impide la aplicación de esta causal cuando tenga capacidad jurídica para </w:t>
      </w:r>
      <w:r w:rsidRPr="006B33D3">
        <w:rPr>
          <w:rFonts w:ascii="Verdana" w:eastAsia="Calibri" w:hAnsi="Verdana" w:cs="Times New Roman"/>
          <w:bCs/>
          <w:sz w:val="20"/>
          <w:szCs w:val="20"/>
          <w:lang w:bidi="es-ES"/>
        </w:rPr>
        <w:lastRenderedPageBreak/>
        <w:t xml:space="preserve">contratar y se encuentre acreditada su idoneidad y experiencia para ejecutar el objeto? </w:t>
      </w:r>
    </w:p>
    <w:p w14:paraId="0B8EF6C0"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Finalmente, para efectos de esta causal, ¿las competencias institucionales atribuidas al organismo internacional mediante sus instrumentos constitutivos, su experiencia especializada, su participación en la expedición de estándares internacionales y las capacidades técnicas desarrolladas en ejercicio de su mandato pueden ser consideradas elementos idóneos para acreditar su experiencia y especialización?</w:t>
      </w:r>
    </w:p>
    <w:p w14:paraId="069CD967"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p>
    <w:p w14:paraId="4A4CF9FE"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6. DIFERENCIACIÓN ENTRE SERVICIOS PROFESIONALES ESPECIALIZADOS Y CONSULTORÍA </w:t>
      </w:r>
    </w:p>
    <w:p w14:paraId="061F5A3F"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7BD5D59C"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¿Qué criterios debe aplicar una entidad estatal para distinguir entre un servicio profesional especializado susceptible de contratación directa y un contrato de consultoría que, por su naturaleza, debe ser precedido por concurso de méritos? </w:t>
      </w:r>
    </w:p>
    <w:p w14:paraId="5570C0C0"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En particular, cuando un organismo internacional presta asistencia técnica que comprende diagnósticos, análisis, transferencia metodológica, capacitación, acompañamiento en implementación y producción de documentos técnicos, ¿qué elemento debe considerarse preponderante para determinar si se configura una prestación de servicios profesionales o alguno de los supuestos de consultoría previstos en el numeral 2 del artículo 32 de la Ley 80 de 1993?</w:t>
      </w:r>
    </w:p>
    <w:p w14:paraId="619F61FC"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3A7EF164"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7. AUSENCIA DE PLURALIDAD DE OFERENTES </w:t>
      </w:r>
    </w:p>
    <w:p w14:paraId="32FF51EF"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07F7180B"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Para efectos de aplicar el literal g) del numeral 4 del artículo 2 de la Ley 1150 de 2007 y el artículo 2.2.1.2.1.4.8 del Decreto 1082 de 2015, ¿las competencias institucionales exclusivas conferidas a un organismo internacional mediante tratado, convenio constitutivo o instrumento de derecho internacional pueden configurar una situación jurídica de ausencia de pluralidad de oferentes? </w:t>
      </w:r>
    </w:p>
    <w:p w14:paraId="2D6205C9"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En particular, cuando existan operadores privados con capacidad material para desarrollar actividades semejantes, pero determinados productos, metodologías, certificaciones, validaciones, respaldos institucionales o resultados solamente puedan ser expedidos, reconocidos o desarrollados oficialmente por el organismo internacional competente en virtud de su mandato jurídico, ¿puede configurarse jurídicamente la inexistencia de pluralidad de oferentes? </w:t>
      </w:r>
    </w:p>
    <w:p w14:paraId="2484B4C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En caso afirmativo, ¿qué circunstancias y medios probatorios debe acreditar la entidad en los estudios y documentos previos? </w:t>
      </w:r>
    </w:p>
    <w:p w14:paraId="121912F0"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En caso contrario, ¿debe entenderse que las competencias institucionales o la especialidad técnica del organismo internacional constituyen factores de idoneidad, pero no permiten configurar la causal de contratación directa por ausencia de pluralidad cuando no se acredita titularidad de derechos </w:t>
      </w:r>
      <w:r w:rsidRPr="006B33D3">
        <w:rPr>
          <w:rFonts w:ascii="Verdana" w:eastAsia="Calibri" w:hAnsi="Verdana" w:cs="Times New Roman"/>
          <w:bCs/>
          <w:sz w:val="20"/>
          <w:szCs w:val="20"/>
          <w:lang w:bidi="es-ES"/>
        </w:rPr>
        <w:lastRenderedPageBreak/>
        <w:t>de propiedad industrial, derechos de autor o condición de proveedor exclusivo en el territorio nacional?</w:t>
      </w:r>
    </w:p>
    <w:p w14:paraId="66F83B54"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5C0903EB"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8. EXCLUSIVIDAD TÉCNICA E INSTITUCIONAL FRENTE A EXCLUSIVIDAD COMERCIAL </w:t>
      </w:r>
    </w:p>
    <w:p w14:paraId="60E8389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47D0F4F7"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¿Resulta jurídicamente procedente diferenciar, dentro del análisis de la inexistencia de pluralidad, entre una exclusividad de carácter comercial y una exclusividad de origen normativo o institucional derivada directamente del mandato conferido a un organismo internacional? </w:t>
      </w:r>
    </w:p>
    <w:p w14:paraId="36529354"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De resultar procedente esta distinción, ¿la exclusividad institucional puede asimilarse a una barrera jurídica de entrada para otros proveedores cuando el resultado requerido por la entidad solamente puede obtener reconocimiento institucional si es producido, validado o respaldado oficialmente por dicho organismo internacional?</w:t>
      </w:r>
    </w:p>
    <w:p w14:paraId="18EAD110"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p>
    <w:p w14:paraId="03631A99"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9. ALCANCE JURÍDICO DEL ESQUEMA “LUMP SUM” </w:t>
      </w:r>
    </w:p>
    <w:p w14:paraId="0C001383"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p>
    <w:p w14:paraId="79F93758"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Cuando el instrumento propuesto por un organismo internacional se denomina “Lump </w:t>
      </w:r>
      <w:proofErr w:type="gramStart"/>
      <w:r w:rsidRPr="006B33D3">
        <w:rPr>
          <w:rFonts w:ascii="Verdana" w:eastAsia="Calibri" w:hAnsi="Verdana" w:cs="Times New Roman"/>
          <w:bCs/>
          <w:sz w:val="20"/>
          <w:szCs w:val="20"/>
          <w:lang w:bidi="es-ES"/>
        </w:rPr>
        <w:t>Sum</w:t>
      </w:r>
      <w:proofErr w:type="gramEnd"/>
      <w:r w:rsidRPr="006B33D3">
        <w:rPr>
          <w:rFonts w:ascii="Verdana" w:eastAsia="Calibri" w:hAnsi="Verdana" w:cs="Times New Roman"/>
          <w:bCs/>
          <w:sz w:val="20"/>
          <w:szCs w:val="20"/>
          <w:lang w:bidi="es-ES"/>
        </w:rPr>
        <w:t xml:space="preserve"> </w:t>
      </w:r>
      <w:proofErr w:type="spellStart"/>
      <w:r w:rsidRPr="006B33D3">
        <w:rPr>
          <w:rFonts w:ascii="Verdana" w:eastAsia="Calibri" w:hAnsi="Verdana" w:cs="Times New Roman"/>
          <w:bCs/>
          <w:sz w:val="20"/>
          <w:szCs w:val="20"/>
          <w:lang w:bidi="es-ES"/>
        </w:rPr>
        <w:t>Agreement</w:t>
      </w:r>
      <w:proofErr w:type="spellEnd"/>
      <w:r w:rsidRPr="006B33D3">
        <w:rPr>
          <w:rFonts w:ascii="Verdana" w:eastAsia="Calibri" w:hAnsi="Verdana" w:cs="Times New Roman"/>
          <w:bCs/>
          <w:sz w:val="20"/>
          <w:szCs w:val="20"/>
          <w:lang w:bidi="es-ES"/>
        </w:rPr>
        <w:t xml:space="preserve">” y establece un valor global fijo asociado al cumplimiento y aceptación de determinados productos, resultados o entregables, ¿dicha expresión constituye una tipología contractual autónoma para efectos del derecho contractual colombiano o corresponde a un mecanismo de estructuración económica y determinación del precio? </w:t>
      </w:r>
    </w:p>
    <w:p w14:paraId="68CD11F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En caso de resultar aplicable el Estatuto General de Contratación, ¿debe la entidad estatal establecer primero la tipología y naturaleza jurídica del negocio atendiendo su objeto, obligaciones y prestaciones y, posteriormente, determinar si el precio puede estructurarse bajo una metodología global o “Lump </w:t>
      </w:r>
      <w:proofErr w:type="gramStart"/>
      <w:r w:rsidRPr="006B33D3">
        <w:rPr>
          <w:rFonts w:ascii="Verdana" w:eastAsia="Calibri" w:hAnsi="Verdana" w:cs="Times New Roman"/>
          <w:bCs/>
          <w:sz w:val="20"/>
          <w:szCs w:val="20"/>
          <w:lang w:bidi="es-ES"/>
        </w:rPr>
        <w:t>Sum</w:t>
      </w:r>
      <w:proofErr w:type="gramEnd"/>
      <w:r w:rsidRPr="006B33D3">
        <w:rPr>
          <w:rFonts w:ascii="Verdana" w:eastAsia="Calibri" w:hAnsi="Verdana" w:cs="Times New Roman"/>
          <w:bCs/>
          <w:sz w:val="20"/>
          <w:szCs w:val="20"/>
          <w:lang w:bidi="es-ES"/>
        </w:rPr>
        <w:t xml:space="preserve">”? </w:t>
      </w:r>
    </w:p>
    <w:p w14:paraId="1E383430"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Lo anterior teniendo en cuenta que la doctrina contractual reconoce que la forma de determinación del precio no necesariamente define la naturaleza del negocio jurídico y que dentro de la contratación pública existen diferentes mecanismos de remuneración, entre ellos el precio global.</w:t>
      </w:r>
    </w:p>
    <w:p w14:paraId="6D36D307"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 </w:t>
      </w:r>
    </w:p>
    <w:p w14:paraId="6B4A9938" w14:textId="77777777" w:rsidR="009637A2" w:rsidRPr="006B33D3" w:rsidRDefault="009637A2" w:rsidP="009637A2">
      <w:pPr>
        <w:spacing w:after="0" w:line="240" w:lineRule="auto"/>
        <w:ind w:left="709" w:right="709"/>
        <w:jc w:val="both"/>
        <w:rPr>
          <w:rFonts w:ascii="Verdana" w:eastAsia="Calibri" w:hAnsi="Verdana" w:cs="Times New Roman"/>
          <w:b/>
          <w:sz w:val="20"/>
          <w:szCs w:val="20"/>
          <w:lang w:bidi="es-ES"/>
        </w:rPr>
      </w:pPr>
      <w:r w:rsidRPr="006B33D3">
        <w:rPr>
          <w:rFonts w:ascii="Verdana" w:eastAsia="Calibri" w:hAnsi="Verdana" w:cs="Times New Roman"/>
          <w:b/>
          <w:sz w:val="20"/>
          <w:szCs w:val="20"/>
          <w:lang w:bidi="es-ES"/>
        </w:rPr>
        <w:t xml:space="preserve">10. PROHIBICIÓN DE ADMINISTRACIÓN O GERENCIA DE RECURSOS PÚBLICOS </w:t>
      </w:r>
    </w:p>
    <w:p w14:paraId="27E4E5EB"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1355237E"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¿Cuáles son los elementos jurídicos que permiten determinar si un negocio celebrado con un organismo internacional configura la administración o gerencia de recursos propios de la entidad estatal, supuesto prohibido por el inciso tercero del artículo 20 de la Ley 1150 de 2007? </w:t>
      </w:r>
    </w:p>
    <w:p w14:paraId="443F5850"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En particular, cuando la entidad estatal acuerda con un organismo internacional un precio global previamente establecido a cambio del </w:t>
      </w:r>
      <w:r w:rsidRPr="006B33D3">
        <w:rPr>
          <w:rFonts w:ascii="Verdana" w:eastAsia="Calibri" w:hAnsi="Verdana" w:cs="Times New Roman"/>
          <w:bCs/>
          <w:sz w:val="20"/>
          <w:szCs w:val="20"/>
          <w:lang w:bidi="es-ES"/>
        </w:rPr>
        <w:lastRenderedPageBreak/>
        <w:t xml:space="preserve">cumplimiento de un objeto técnico, productos y resultados definidos, ¿debe entenderse que existe una prestación contractual remunerada y no una administración o gerencia de recursos públicos? </w:t>
      </w:r>
    </w:p>
    <w:p w14:paraId="4D2BD01A"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Por el contrario, ¿qué características contractuales, financieras u operativas permitirían concluir que el negocio traslada al organismo internacional la administración o gerencia de los recursos públicos de la entidad?</w:t>
      </w:r>
    </w:p>
    <w:p w14:paraId="24DB4386"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w:t>
      </w:r>
    </w:p>
    <w:p w14:paraId="0ABA2980" w14:textId="77777777" w:rsidR="009637A2" w:rsidRPr="006B33D3" w:rsidRDefault="009637A2" w:rsidP="009637A2">
      <w:pPr>
        <w:spacing w:after="0" w:line="240" w:lineRule="auto"/>
        <w:ind w:left="709" w:right="709"/>
        <w:jc w:val="both"/>
        <w:rPr>
          <w:rFonts w:ascii="Verdana" w:eastAsia="Calibri" w:hAnsi="Verdana" w:cs="Times New Roman"/>
          <w:b/>
          <w:bCs/>
          <w:sz w:val="20"/>
          <w:szCs w:val="20"/>
          <w:lang w:bidi="es-ES"/>
        </w:rPr>
      </w:pPr>
      <w:r w:rsidRPr="006B33D3">
        <w:rPr>
          <w:rFonts w:ascii="Verdana" w:eastAsia="Calibri" w:hAnsi="Verdana" w:cs="Times New Roman"/>
          <w:b/>
          <w:bCs/>
          <w:sz w:val="20"/>
          <w:szCs w:val="20"/>
          <w:lang w:bidi="es-ES"/>
        </w:rPr>
        <w:t xml:space="preserve">11. UTILIZACIÓN DEL MODELO CONTRACTUAL DEL ORGANISMO INTERNACIONAL </w:t>
      </w:r>
    </w:p>
    <w:p w14:paraId="22D6C15C"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p>
    <w:p w14:paraId="23C4A032"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 xml:space="preserve">Cuando de conformidad con el artículo 20 de la Ley 1150 de 2007 el negocio deba someterse al Estatuto General de Contratación de la Administración Pública, ¿resulta jurídicamente admisible utilizar como base un modelo contractual elaborado por el organismo internacional, incluido un modelo “Lump </w:t>
      </w:r>
      <w:proofErr w:type="gramStart"/>
      <w:r w:rsidRPr="006B33D3">
        <w:rPr>
          <w:rFonts w:ascii="Verdana" w:eastAsia="Calibri" w:hAnsi="Verdana" w:cs="Times New Roman"/>
          <w:bCs/>
          <w:sz w:val="20"/>
          <w:szCs w:val="20"/>
          <w:lang w:bidi="es-ES"/>
        </w:rPr>
        <w:t>Sum</w:t>
      </w:r>
      <w:proofErr w:type="gramEnd"/>
      <w:r w:rsidRPr="006B33D3">
        <w:rPr>
          <w:rFonts w:ascii="Verdana" w:eastAsia="Calibri" w:hAnsi="Verdana" w:cs="Times New Roman"/>
          <w:bCs/>
          <w:sz w:val="20"/>
          <w:szCs w:val="20"/>
          <w:lang w:bidi="es-ES"/>
        </w:rPr>
        <w:t xml:space="preserve"> </w:t>
      </w:r>
      <w:proofErr w:type="spellStart"/>
      <w:r w:rsidRPr="006B33D3">
        <w:rPr>
          <w:rFonts w:ascii="Verdana" w:eastAsia="Calibri" w:hAnsi="Verdana" w:cs="Times New Roman"/>
          <w:bCs/>
          <w:sz w:val="20"/>
          <w:szCs w:val="20"/>
          <w:lang w:bidi="es-ES"/>
        </w:rPr>
        <w:t>Agreement</w:t>
      </w:r>
      <w:proofErr w:type="spellEnd"/>
      <w:r w:rsidRPr="006B33D3">
        <w:rPr>
          <w:rFonts w:ascii="Verdana" w:eastAsia="Calibri" w:hAnsi="Verdana" w:cs="Times New Roman"/>
          <w:bCs/>
          <w:sz w:val="20"/>
          <w:szCs w:val="20"/>
          <w:lang w:bidi="es-ES"/>
        </w:rPr>
        <w:t>”, siempre que sus estipulaciones sean armonizadas con las normas imperativas del ordenamiento colombiano?</w:t>
      </w:r>
    </w:p>
    <w:p w14:paraId="4942535D"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En caso afirmativo, ¿qué materias deben quedar sometidas necesariamente al ordenamiento contractual colombiano y cuáles pueden ser reguladas mediante las condiciones generales o procedimientos propios del organismo internacional en ejercicio de la autonomía de la voluntad?</w:t>
      </w:r>
    </w:p>
    <w:p w14:paraId="1084EF47" w14:textId="77777777" w:rsidR="009637A2" w:rsidRPr="006B33D3" w:rsidRDefault="009637A2" w:rsidP="009637A2">
      <w:pPr>
        <w:spacing w:after="0" w:line="240" w:lineRule="auto"/>
        <w:ind w:left="709" w:right="709"/>
        <w:jc w:val="both"/>
        <w:rPr>
          <w:rFonts w:ascii="Verdana" w:eastAsia="Calibri" w:hAnsi="Verdana" w:cs="Times New Roman"/>
          <w:bCs/>
          <w:sz w:val="20"/>
          <w:szCs w:val="20"/>
          <w:lang w:bidi="es-ES"/>
        </w:rPr>
      </w:pPr>
      <w:r w:rsidRPr="006B33D3">
        <w:rPr>
          <w:rFonts w:ascii="Verdana" w:eastAsia="Calibri" w:hAnsi="Verdana" w:cs="Times New Roman"/>
          <w:bCs/>
          <w:sz w:val="20"/>
          <w:szCs w:val="20"/>
          <w:lang w:bidi="es-ES"/>
        </w:rPr>
        <w:t>[…]</w:t>
      </w:r>
    </w:p>
    <w:p w14:paraId="56DC3E20" w14:textId="77777777" w:rsidR="009637A2" w:rsidRPr="006B33D3" w:rsidRDefault="009637A2" w:rsidP="009637A2">
      <w:pPr>
        <w:spacing w:after="0" w:line="276" w:lineRule="auto"/>
        <w:jc w:val="both"/>
        <w:rPr>
          <w:rFonts w:ascii="Verdana" w:eastAsia="Calibri" w:hAnsi="Verdana" w:cs="Times New Roman"/>
          <w:bCs/>
          <w:lang w:bidi="es-ES"/>
        </w:rPr>
      </w:pPr>
    </w:p>
    <w:p w14:paraId="5A482877" w14:textId="77777777" w:rsidR="009637A2" w:rsidRPr="006B33D3" w:rsidRDefault="009637A2" w:rsidP="009637A2">
      <w:pPr>
        <w:spacing w:after="120" w:line="276" w:lineRule="auto"/>
        <w:ind w:firstLine="709"/>
        <w:jc w:val="both"/>
        <w:rPr>
          <w:rFonts w:ascii="Verdana" w:eastAsia="Calibri" w:hAnsi="Verdana" w:cs="Times New Roman"/>
          <w:lang w:val="es-ES"/>
        </w:rPr>
      </w:pPr>
      <w:r w:rsidRPr="006B33D3">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D454B14" w14:textId="77777777" w:rsidR="009637A2" w:rsidRPr="006B33D3" w:rsidRDefault="009637A2" w:rsidP="009637A2">
      <w:pPr>
        <w:spacing w:after="0" w:line="276" w:lineRule="auto"/>
        <w:ind w:firstLine="708"/>
        <w:jc w:val="both"/>
        <w:rPr>
          <w:rFonts w:ascii="Verdana" w:eastAsia="Calibri" w:hAnsi="Verdana" w:cs="Times New Roman"/>
          <w:lang w:val="es-ES"/>
        </w:rPr>
      </w:pPr>
      <w:r w:rsidRPr="006B33D3">
        <w:rPr>
          <w:rFonts w:ascii="Verdana" w:eastAsia="Calibri" w:hAnsi="Verdana" w:cs="Times New Roman"/>
          <w:lang w:val="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65DFCAF" w14:textId="77777777" w:rsidR="009637A2" w:rsidRPr="006B33D3" w:rsidRDefault="009637A2" w:rsidP="009637A2">
      <w:pPr>
        <w:spacing w:after="0" w:line="276" w:lineRule="auto"/>
        <w:rPr>
          <w:rFonts w:ascii="Verdana" w:eastAsia="Calibri" w:hAnsi="Verdana" w:cs="Times New Roman"/>
          <w:lang w:val="es-ES"/>
        </w:rPr>
      </w:pPr>
    </w:p>
    <w:p w14:paraId="5EB384D0" w14:textId="77777777" w:rsidR="009637A2" w:rsidRPr="006B33D3" w:rsidRDefault="009637A2" w:rsidP="009637A2">
      <w:pPr>
        <w:numPr>
          <w:ilvl w:val="0"/>
          <w:numId w:val="16"/>
        </w:numPr>
        <w:spacing w:after="0" w:line="276" w:lineRule="auto"/>
        <w:rPr>
          <w:rFonts w:ascii="Verdana" w:eastAsia="Calibri" w:hAnsi="Verdana" w:cs="Times New Roman"/>
          <w:b/>
          <w:bCs/>
          <w:lang w:val="es-ES"/>
        </w:rPr>
      </w:pPr>
      <w:r w:rsidRPr="006B33D3">
        <w:rPr>
          <w:rFonts w:ascii="Verdana" w:eastAsia="Calibri" w:hAnsi="Verdana" w:cs="Times New Roman"/>
          <w:b/>
          <w:bCs/>
          <w:lang w:val="es-ES"/>
        </w:rPr>
        <w:t>Problema planteado:</w:t>
      </w:r>
    </w:p>
    <w:p w14:paraId="27FB0518" w14:textId="77777777" w:rsidR="009637A2" w:rsidRPr="006B33D3" w:rsidRDefault="009637A2" w:rsidP="009637A2">
      <w:pPr>
        <w:spacing w:after="0" w:line="276" w:lineRule="auto"/>
        <w:rPr>
          <w:rFonts w:ascii="Verdana" w:eastAsia="Calibri" w:hAnsi="Verdana" w:cs="Times New Roman"/>
        </w:rPr>
      </w:pPr>
    </w:p>
    <w:p w14:paraId="63FF21EA" w14:textId="77777777" w:rsidR="009637A2" w:rsidRPr="006B33D3" w:rsidRDefault="009637A2" w:rsidP="009637A2">
      <w:pPr>
        <w:spacing w:after="0" w:line="276" w:lineRule="auto"/>
        <w:jc w:val="both"/>
        <w:rPr>
          <w:rFonts w:ascii="Verdana" w:eastAsia="Calibri" w:hAnsi="Verdana" w:cs="Times New Roman"/>
        </w:rPr>
      </w:pPr>
      <w:r w:rsidRPr="006B33D3">
        <w:rPr>
          <w:rFonts w:ascii="Verdana" w:eastAsia="Calibri" w:hAnsi="Verdana" w:cs="Times New Roman"/>
        </w:rPr>
        <w:t xml:space="preserve">De acuerdo con el contenido de sus solicitudes, la Agencia procede a condensarlo y resolverlo en los siguientes problemas jurídicos: ¿De qué manera se determina, a partir del contenido material y la finalidad del instrumento celebrado con un organismo internacional, si corresponde a un contrato estatal o a un convenio de cooperación, y cuál es el régimen aplicable conforme al artículo 20 de la Ley 1150 de 2007, considerando la financiación y los supuestos especiales previstos?; </w:t>
      </w:r>
      <w:proofErr w:type="spellStart"/>
      <w:r w:rsidRPr="006B33D3">
        <w:rPr>
          <w:rFonts w:ascii="Verdana" w:eastAsia="Calibri" w:hAnsi="Verdana" w:cs="Times New Roman"/>
        </w:rPr>
        <w:t>ii</w:t>
      </w:r>
      <w:proofErr w:type="spellEnd"/>
      <w:r w:rsidRPr="006B33D3">
        <w:rPr>
          <w:rFonts w:ascii="Verdana" w:eastAsia="Calibri" w:hAnsi="Verdana" w:cs="Times New Roman"/>
        </w:rPr>
        <w:t xml:space="preserve">) ¿Qué condiciones deben reunir los aportes de las partes para sustentar la estructuración de un convenio de cooperación con un organismo internacional?; </w:t>
      </w:r>
      <w:proofErr w:type="spellStart"/>
      <w:r w:rsidRPr="006B33D3">
        <w:rPr>
          <w:rFonts w:ascii="Verdana" w:eastAsia="Calibri" w:hAnsi="Verdana" w:cs="Times New Roman"/>
        </w:rPr>
        <w:t>iii</w:t>
      </w:r>
      <w:proofErr w:type="spellEnd"/>
      <w:r w:rsidRPr="006B33D3">
        <w:rPr>
          <w:rFonts w:ascii="Verdana" w:eastAsia="Calibri" w:hAnsi="Verdana" w:cs="Times New Roman"/>
        </w:rPr>
        <w:t xml:space="preserve">) ¿Bajo qué condiciones la asistencia técnica especializada de un organismo internacional puede contratarse como prestación de servicios profesionales mediante la causal del literal h del numeral 4 del artículo 2 de la Ley 1150 de 2007 y el artículo 2.2.1.2.1.4.9 del Decreto 1082 de 2015?; </w:t>
      </w:r>
      <w:proofErr w:type="spellStart"/>
      <w:r w:rsidRPr="006B33D3">
        <w:rPr>
          <w:rFonts w:ascii="Verdana" w:eastAsia="Calibri" w:hAnsi="Verdana" w:cs="Times New Roman"/>
        </w:rPr>
        <w:t>iv</w:t>
      </w:r>
      <w:proofErr w:type="spellEnd"/>
      <w:r w:rsidRPr="006B33D3">
        <w:rPr>
          <w:rFonts w:ascii="Verdana" w:eastAsia="Calibri" w:hAnsi="Verdana" w:cs="Times New Roman"/>
        </w:rPr>
        <w:t xml:space="preserve">) ¿Qué criterios permiten distinguir la prestación de servicios profesionales de los supuestos de consultoría del numeral 2 del artículo 32 de la Ley 80 de 1993, y determinar la modalidad de selección que corresponda?; v) ¿En qué condiciones las competencias exclusivas de un organismo internacional pueden sustentar la contratación directa por inexistencia de pluralidad de oferentes conforme al literal g del numeral 4 del artículo 2 de la Ley 1150 de 2007 y al artículo 2.2.1.2.1.4.8 del Decreto 1082 de 2015?; vi) ¿En qué medida la utilización de modelos contractuales de organismos internacionales —como el </w:t>
      </w:r>
      <w:r w:rsidRPr="006B33D3">
        <w:rPr>
          <w:rFonts w:ascii="Verdana" w:eastAsia="Calibri" w:hAnsi="Verdana" w:cs="Times New Roman"/>
          <w:i/>
          <w:iCs/>
        </w:rPr>
        <w:t xml:space="preserve">Lump Sum </w:t>
      </w:r>
      <w:proofErr w:type="spellStart"/>
      <w:r w:rsidRPr="006B33D3">
        <w:rPr>
          <w:rFonts w:ascii="Verdana" w:eastAsia="Calibri" w:hAnsi="Verdana" w:cs="Times New Roman"/>
          <w:i/>
          <w:iCs/>
        </w:rPr>
        <w:t>Agreement</w:t>
      </w:r>
      <w:proofErr w:type="spellEnd"/>
      <w:r w:rsidRPr="006B33D3">
        <w:rPr>
          <w:rFonts w:ascii="Verdana" w:eastAsia="Calibri" w:hAnsi="Verdana" w:cs="Times New Roman"/>
        </w:rPr>
        <w:t xml:space="preserve"> con precio global fijo— resulta compatible con el régimen jurídico colombiano de contratación estatal, particularmente frente a la distinción entre la adquisición remunerada de prestaciones técnicas y la administración de recursos propios de la entidad?; </w:t>
      </w:r>
      <w:proofErr w:type="spellStart"/>
      <w:r w:rsidRPr="006B33D3">
        <w:rPr>
          <w:rFonts w:ascii="Verdana" w:eastAsia="Calibri" w:hAnsi="Verdana" w:cs="Times New Roman"/>
        </w:rPr>
        <w:t>vii</w:t>
      </w:r>
      <w:proofErr w:type="spellEnd"/>
      <w:r w:rsidRPr="006B33D3">
        <w:rPr>
          <w:rFonts w:ascii="Verdana" w:eastAsia="Calibri" w:hAnsi="Verdana" w:cs="Times New Roman"/>
        </w:rPr>
        <w:t xml:space="preserve">) ¿Qué elementos jurídicos permiten determinar si un negocio celebrado con un organismo internacional configura la administración o gerencia de recursos propios de la entidad estatal —supuesto prohibido por el inciso tercero del artículo 20 de la Ley 1150 de 2007— y, en particular, cómo debe calificarse la estipulación de un precio global fijo a cambio </w:t>
      </w:r>
      <w:r w:rsidRPr="006B33D3">
        <w:rPr>
          <w:rFonts w:ascii="Verdana" w:eastAsia="Calibri" w:hAnsi="Verdana" w:cs="Times New Roman"/>
        </w:rPr>
        <w:lastRenderedPageBreak/>
        <w:t>de productos y resultados técnicos definidos, frente a la distinción entre una prestación contractual remunerada y la transferencia de la administración o gerencia de los recursos públicos?</w:t>
      </w:r>
    </w:p>
    <w:p w14:paraId="4DC4F0B0" w14:textId="77777777" w:rsidR="009637A2" w:rsidRPr="006B33D3" w:rsidRDefault="009637A2" w:rsidP="009637A2">
      <w:pPr>
        <w:spacing w:after="0" w:line="276" w:lineRule="auto"/>
        <w:jc w:val="both"/>
        <w:rPr>
          <w:rFonts w:ascii="Verdana" w:eastAsia="Calibri" w:hAnsi="Verdana" w:cs="Times New Roman"/>
          <w:i/>
          <w:iCs/>
          <w:lang w:val="es-ES"/>
        </w:rPr>
      </w:pPr>
    </w:p>
    <w:p w14:paraId="1752723F" w14:textId="77777777" w:rsidR="009637A2" w:rsidRPr="006B33D3" w:rsidRDefault="009637A2" w:rsidP="009637A2">
      <w:pPr>
        <w:numPr>
          <w:ilvl w:val="0"/>
          <w:numId w:val="16"/>
        </w:numPr>
        <w:spacing w:after="0" w:line="276" w:lineRule="auto"/>
        <w:rPr>
          <w:rFonts w:ascii="Verdana" w:eastAsia="Calibri" w:hAnsi="Verdana" w:cs="Times New Roman"/>
          <w:b/>
          <w:bCs/>
          <w:lang w:val="es-ES"/>
        </w:rPr>
      </w:pPr>
      <w:r w:rsidRPr="006B33D3">
        <w:rPr>
          <w:rFonts w:ascii="Verdana" w:eastAsia="Calibri" w:hAnsi="Verdana" w:cs="Times New Roman"/>
          <w:b/>
          <w:bCs/>
          <w:lang w:val="es-ES"/>
        </w:rPr>
        <w:t>Respuestas:</w:t>
      </w:r>
    </w:p>
    <w:p w14:paraId="50F59A5A" w14:textId="77777777" w:rsidR="009637A2" w:rsidRPr="006B33D3" w:rsidRDefault="009637A2" w:rsidP="009637A2">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9637A2" w:rsidRPr="006B33D3" w14:paraId="0B63CD71" w14:textId="77777777" w:rsidTr="00672DA8">
        <w:trPr>
          <w:trHeight w:val="345"/>
          <w:jc w:val="center"/>
        </w:trPr>
        <w:tc>
          <w:tcPr>
            <w:tcW w:w="8784" w:type="dxa"/>
            <w:tcBorders>
              <w:bottom w:val="single" w:sz="4" w:space="0" w:color="auto"/>
            </w:tcBorders>
          </w:tcPr>
          <w:p w14:paraId="792F42C3" w14:textId="77777777" w:rsidR="009637A2" w:rsidRPr="006B33D3" w:rsidRDefault="009637A2" w:rsidP="00672DA8">
            <w:pPr>
              <w:spacing w:line="276" w:lineRule="auto"/>
              <w:jc w:val="both"/>
              <w:rPr>
                <w:rFonts w:ascii="Verdana" w:hAnsi="Verdana" w:cs="Arial"/>
                <w:lang w:eastAsia="es-ES"/>
              </w:rPr>
            </w:pPr>
            <w:r w:rsidRPr="006B33D3">
              <w:rPr>
                <w:rFonts w:ascii="Verdana" w:hAnsi="Verdana" w:cs="Arial"/>
                <w:lang w:eastAsia="es-ES"/>
              </w:rPr>
              <w:t xml:space="preserve">En relación con los problemas jurídicos de su consulta, se expresan lo siguiente: </w:t>
            </w:r>
          </w:p>
          <w:p w14:paraId="25212B67" w14:textId="77777777" w:rsidR="009637A2" w:rsidRPr="006B33D3" w:rsidRDefault="009637A2" w:rsidP="00672DA8">
            <w:pPr>
              <w:spacing w:line="276" w:lineRule="auto"/>
              <w:jc w:val="both"/>
              <w:rPr>
                <w:rFonts w:ascii="Verdana" w:eastAsia="Calibri" w:hAnsi="Verdana" w:cs="Arial"/>
              </w:rPr>
            </w:pPr>
          </w:p>
          <w:p w14:paraId="048ACBF0" w14:textId="77777777" w:rsidR="009637A2" w:rsidRPr="006B33D3" w:rsidRDefault="009637A2" w:rsidP="00672DA8">
            <w:pPr>
              <w:spacing w:after="120" w:line="276" w:lineRule="auto"/>
              <w:jc w:val="both"/>
              <w:rPr>
                <w:rFonts w:ascii="Verdana" w:eastAsia="Calibri" w:hAnsi="Verdana" w:cs="Arial"/>
              </w:rPr>
            </w:pPr>
            <w:r w:rsidRPr="006B33D3">
              <w:rPr>
                <w:rFonts w:ascii="Verdana" w:eastAsia="Calibri" w:hAnsi="Verdana" w:cs="Arial"/>
              </w:rPr>
              <w:t>i. En relación con el primer problema jurídico, se expresa que el artículo 20 de la Ley 1150 de 2007 definió el régimen aplicable a los contratos que celebren las Entidades Estatales con organismos multilaterales. En su inciso primero, la norma dispone que el régimen aplicable dependerá del porcentaje de participación que el organismo internacional tenga en la financiación de los contratos. Así, el artículo 20 prescribe que cuando los organismos de cooperación, asistencia o ayudas internacionales financien los contratos o convenios en su totalidad o en sumas iguales o superiores al cincuenta por ciento (50%), la contratación podrá someterse a los reglamentos de tales entidades. En estos supuestos, la norma establece la potestad discrecional de elegir el régimen contractual aplicable, pues la literalidad del inciso señala que “podrán someterse a los reglamentos de tales entidades”. En caso contrario, cuando la entidad contratante determine que los aportes del organismo internacional son inferiores al porcentaje señalado, el contrato o convenio deberá regirse por el EGCAP.</w:t>
            </w:r>
          </w:p>
          <w:p w14:paraId="5BBE6E88" w14:textId="77777777" w:rsidR="009637A2" w:rsidRPr="006B33D3" w:rsidRDefault="009637A2" w:rsidP="00672DA8">
            <w:pPr>
              <w:spacing w:after="120" w:line="276" w:lineRule="auto"/>
              <w:ind w:firstLine="709"/>
              <w:jc w:val="both"/>
              <w:rPr>
                <w:rFonts w:ascii="Verdana" w:eastAsia="Calibri" w:hAnsi="Verdana" w:cs="Arial"/>
              </w:rPr>
            </w:pPr>
            <w:r w:rsidRPr="006B33D3">
              <w:rPr>
                <w:rFonts w:ascii="Verdana" w:eastAsia="Calibri" w:hAnsi="Verdana" w:cs="Arial"/>
              </w:rPr>
              <w:t xml:space="preserve">Conviene mencionar que durante la ejecución del contrato o convenio pueden presentarse situaciones en las que el porcentaje de los aportes sea modificado en virtud de una adición o por la no ejecución en los términos pactados. Previendo este escenario, el artículo 2.2.1.2.4.4.1 del Decreto 1082 de 2015 dispuso que se deberán modificar los contratos o convenios para que se rijan por las normas del sistema de compras y contratación pública si el aporte de recursos públicos es superior al cincuenta por ciento (50%) del total, o por las normas internas del organismo de cooperación si el aporte es inferior. De esta manera, la entidad contratante debe realizar un monitoreo constante de los aportes de cada parte para establecer si corresponde ajustar el régimen </w:t>
            </w:r>
            <w:r w:rsidRPr="006B33D3">
              <w:rPr>
                <w:rFonts w:ascii="Verdana" w:eastAsia="Calibri" w:hAnsi="Verdana" w:cs="Arial"/>
              </w:rPr>
              <w:lastRenderedPageBreak/>
              <w:t xml:space="preserve">aplicable, en relación con los contratos regulados en el inciso primero del artículo 20 de la Ley 1150 de 2007. </w:t>
            </w:r>
          </w:p>
          <w:p w14:paraId="33A34806" w14:textId="77777777" w:rsidR="009637A2" w:rsidRPr="006B33D3" w:rsidRDefault="009637A2" w:rsidP="00672DA8">
            <w:pPr>
              <w:spacing w:after="120" w:line="276" w:lineRule="auto"/>
              <w:ind w:firstLine="709"/>
              <w:jc w:val="both"/>
              <w:rPr>
                <w:rFonts w:ascii="Verdana" w:eastAsia="Calibri" w:hAnsi="Verdana" w:cs="Arial"/>
              </w:rPr>
            </w:pPr>
            <w:r w:rsidRPr="006B33D3">
              <w:rPr>
                <w:rFonts w:ascii="Verdana" w:eastAsia="Calibri" w:hAnsi="Verdana" w:cs="Arial"/>
              </w:rPr>
              <w:t xml:space="preserve">Por otro lado, la norma establece criterios adicionales para determinar la posible aplicación de los reglamentos de los organismos internacionales. El inciso segundo determinó supuestos específicos que proceden dependiendo del objeto del convenio o contrato a celebrar. Asimismo, incluye otro relacionado con los organismos internacionales cuyos fondos financien los convenios o contratos. Cuando se configure cualquiera de estos casos, las entidades y los organismos pueden optar porque el acuerdo se someta a sus reglamentos: i) Contratos o convenios celebrados con personas extranjeras de derecho público u organismos de derecho internacional cuyo objeto sea el desarrollo de programas de promoción, prevención y atención en salud; </w:t>
            </w:r>
            <w:proofErr w:type="spellStart"/>
            <w:r w:rsidRPr="006B33D3">
              <w:rPr>
                <w:rFonts w:ascii="Verdana" w:eastAsia="Calibri" w:hAnsi="Verdana" w:cs="Arial"/>
              </w:rPr>
              <w:t>ii</w:t>
            </w:r>
            <w:proofErr w:type="spellEnd"/>
            <w:r w:rsidRPr="006B33D3">
              <w:rPr>
                <w:rFonts w:ascii="Verdana" w:eastAsia="Calibri" w:hAnsi="Verdana" w:cs="Arial"/>
              </w:rPr>
              <w:t xml:space="preserve">) Contratos y convenios necesarios para la operación de la Organización Internacional del Trabajo; </w:t>
            </w:r>
            <w:proofErr w:type="spellStart"/>
            <w:r w:rsidRPr="006B33D3">
              <w:rPr>
                <w:rFonts w:ascii="Verdana" w:eastAsia="Calibri" w:hAnsi="Verdana" w:cs="Arial"/>
              </w:rPr>
              <w:t>iii</w:t>
            </w:r>
            <w:proofErr w:type="spellEnd"/>
            <w:r w:rsidRPr="006B33D3">
              <w:rPr>
                <w:rFonts w:ascii="Verdana" w:eastAsia="Calibri" w:hAnsi="Verdana" w:cs="Arial"/>
              </w:rPr>
              <w:t xml:space="preserve">) Contratos y convenios que se ejecuten en desarrollo del sistema integrado de monitoreo de cultivos ilícitos; </w:t>
            </w:r>
            <w:proofErr w:type="spellStart"/>
            <w:r w:rsidRPr="006B33D3">
              <w:rPr>
                <w:rFonts w:ascii="Verdana" w:eastAsia="Calibri" w:hAnsi="Verdana" w:cs="Arial"/>
              </w:rPr>
              <w:t>iv</w:t>
            </w:r>
            <w:proofErr w:type="spellEnd"/>
            <w:r w:rsidRPr="006B33D3">
              <w:rPr>
                <w:rFonts w:ascii="Verdana" w:eastAsia="Calibri" w:hAnsi="Verdana" w:cs="Arial"/>
              </w:rPr>
              <w:t>) Contratos y convenios para la operación del Programa Mundial de Alimentos; v) Contratos y convenios para el desarrollo de programas de apoyo educativo a población desplazada y vulnerable adelantados por la Unesco y la OIM; vi) Los contratos o convenios financiados con fondos de organismos multilaterales de crédito y entes gubernamentales extranjeros.</w:t>
            </w:r>
          </w:p>
          <w:p w14:paraId="1A0EE83F" w14:textId="77777777" w:rsidR="009637A2" w:rsidRPr="006B33D3" w:rsidRDefault="009637A2" w:rsidP="00672DA8">
            <w:pPr>
              <w:spacing w:after="120" w:line="276" w:lineRule="auto"/>
              <w:ind w:firstLine="709"/>
              <w:jc w:val="both"/>
              <w:rPr>
                <w:rFonts w:ascii="Verdana" w:eastAsia="Calibri" w:hAnsi="Verdana" w:cs="Arial"/>
              </w:rPr>
            </w:pPr>
            <w:r w:rsidRPr="006B33D3">
              <w:rPr>
                <w:rFonts w:ascii="Verdana" w:eastAsia="Calibri" w:hAnsi="Verdana" w:cs="Arial"/>
              </w:rPr>
              <w:t xml:space="preserve">En los supuestos anteriores, independiente del monto o porcentaje de los aportes de cada parte, es posible optar por someter el contrato o convenio a los reglamentos de los organismos o al EGCAP. Es decir, cuando se configure cualquiera de los supuestos será posible elegir uno de estos regímenes. Al respecto, en el Concepto C-374 del 27 de julio de 2020, esta Agencia –después de analizar el artículo 20 de la Ley 1150 de 2007– concluyó que: “[…]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seis supuestos enlistados atrás, sin que resulte exigible algún porcentaje de incorporación de recursos. En todo caso, frente </w:t>
            </w:r>
            <w:r w:rsidRPr="006B33D3">
              <w:rPr>
                <w:rFonts w:ascii="Verdana" w:eastAsia="Calibri" w:hAnsi="Verdana" w:cs="Arial"/>
              </w:rPr>
              <w:lastRenderedPageBreak/>
              <w:t>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48F0791A" w14:textId="77777777" w:rsidR="009637A2" w:rsidRPr="006B33D3" w:rsidRDefault="009637A2" w:rsidP="00672DA8">
            <w:pPr>
              <w:spacing w:after="120" w:line="276" w:lineRule="auto"/>
              <w:ind w:firstLine="709"/>
              <w:jc w:val="both"/>
              <w:rPr>
                <w:rFonts w:ascii="Verdana" w:eastAsia="Calibri" w:hAnsi="Verdana" w:cs="Arial"/>
              </w:rPr>
            </w:pPr>
            <w:r w:rsidRPr="006B33D3">
              <w:rPr>
                <w:rFonts w:ascii="Verdana" w:eastAsia="Calibri" w:hAnsi="Verdana" w:cs="Arial"/>
              </w:rPr>
              <w:t>Ahora bien, tanto el inciso primero como el último supuesto del segundo inciso se refieren a la financiación del contrato o convenio con fondos de organismos internacionales. Sin embargo, en el primero, la regla alude a los contratos o convenios financiados con fondos de los organismos de cooperación, asistencia o ayudas internacionales. En contraste, la causal sexta o último supuesto del segundo inciso del artículo 20 alude a los contratos o convenios financiados con fondos de los organismos multilaterales de crédito y entes gubernamentales extranjeros. Como se observa, ambos supuestos se refieren a contratos o convenios que se financian con fondos de organismos internacionales, pero la regla para determinar el régimen de contratación aplicable será distinta dependiendo del sujeto que intervenga.</w:t>
            </w:r>
          </w:p>
          <w:p w14:paraId="4C62A779" w14:textId="77777777" w:rsidR="009637A2" w:rsidRPr="006B33D3" w:rsidRDefault="009637A2" w:rsidP="00672DA8">
            <w:pPr>
              <w:spacing w:line="276" w:lineRule="auto"/>
              <w:ind w:firstLine="709"/>
              <w:jc w:val="both"/>
              <w:rPr>
                <w:rFonts w:ascii="Verdana" w:eastAsia="Calibri" w:hAnsi="Verdana" w:cs="Arial"/>
              </w:rPr>
            </w:pPr>
            <w:r w:rsidRPr="006B33D3">
              <w:rPr>
                <w:rFonts w:ascii="Verdana" w:eastAsia="Calibri" w:hAnsi="Verdana" w:cs="Arial"/>
              </w:rPr>
              <w:t xml:space="preserve">Por último, es importante destacar que la identificación de los sujetos del inciso primero del artículo 20 de la Ley 1150 de 2007, el ordenamiento colombiano comprende como organismos de cooperación, asistencia o ayudas internacionales a todos aquellos socios de carácter internacional que brinden asistencia técnica y/o transferencia de conocimientos para crear y fortalecer las capacidades nacionales y locales, en los términos del Decreto 603 de 2022 “Por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del mismo”. Los organismos del Sistema de Naciones Unidas que actúen en este ámbito quedan comprendidos en ese supuesto, de modo que, para definir el régimen contractual aplicable, será determinante establecer el porcentaje de los fondos que aporten al convenio. En todo caso, el concepto excluyente entre sujetos implica que, aunque un organismo del Sistema ONU pudiera también calificar como ente gubernamental extranjero o persona extranjera de derecho público, la entidad estatal debe aplicar de manera prioritaria la regla del inciso primero cuando el organismo corresponda materialmente al ámbito de cooperación, asistencia o ayuda. Debe advertirse, además, que el artículo 20 </w:t>
            </w:r>
            <w:r w:rsidRPr="006B33D3">
              <w:rPr>
                <w:rFonts w:ascii="Verdana" w:eastAsia="Calibri" w:hAnsi="Verdana" w:cs="Arial"/>
              </w:rPr>
              <w:lastRenderedPageBreak/>
              <w:t>no constituye una causal autónoma de contratación directa, sino una norma que define el régimen aplicable; por ello, cuando corresponda el Estatuto General de Contratación de la Administración Pública, la entidad determinará la modalidad de selección que proceda según las causales del artículo 2 de la Ley 1150 de 2007.</w:t>
            </w:r>
          </w:p>
          <w:p w14:paraId="7FBF9C4D" w14:textId="77777777" w:rsidR="009637A2" w:rsidRPr="006B33D3" w:rsidRDefault="009637A2" w:rsidP="00672DA8">
            <w:pPr>
              <w:spacing w:line="278" w:lineRule="auto"/>
              <w:rPr>
                <w:rFonts w:ascii="Aptos" w:eastAsia="Aptos" w:hAnsi="Aptos" w:cs="Times New Roman"/>
                <w:kern w:val="2"/>
                <w:sz w:val="24"/>
                <w:szCs w:val="24"/>
                <w:lang w:val="es-ES"/>
                <w14:ligatures w14:val="standardContextual"/>
              </w:rPr>
            </w:pPr>
          </w:p>
          <w:p w14:paraId="74DC43E2" w14:textId="77777777" w:rsidR="009637A2" w:rsidRPr="006B33D3" w:rsidRDefault="009637A2" w:rsidP="00672DA8">
            <w:pPr>
              <w:spacing w:after="120" w:line="278" w:lineRule="auto"/>
              <w:jc w:val="both"/>
              <w:rPr>
                <w:rFonts w:ascii="Verdana" w:eastAsia="Aptos" w:hAnsi="Verdana" w:cs="Times New Roman"/>
                <w:kern w:val="2"/>
                <w14:ligatures w14:val="standardContextual"/>
              </w:rPr>
            </w:pPr>
            <w:proofErr w:type="spellStart"/>
            <w:r w:rsidRPr="006B33D3">
              <w:rPr>
                <w:rFonts w:ascii="Verdana" w:eastAsia="Aptos" w:hAnsi="Verdana" w:cs="Times New Roman"/>
                <w:kern w:val="2"/>
                <w14:ligatures w14:val="standardContextual"/>
              </w:rPr>
              <w:t>ii</w:t>
            </w:r>
            <w:proofErr w:type="spellEnd"/>
            <w:r w:rsidRPr="006B33D3">
              <w:rPr>
                <w:rFonts w:ascii="Verdana" w:eastAsia="Aptos" w:hAnsi="Verdana" w:cs="Times New Roman"/>
                <w:kern w:val="2"/>
                <w14:ligatures w14:val="standardContextual"/>
              </w:rPr>
              <w:t>. En referencia al segundo problema jurídico, se detalla que, los aportes de las partes en un convenio de cooperación con organismos internacionales deben responder a la finalidad asociativa de este tipo de instrumentos. En todo caso, los aportes deben ser claramente identificables y cuantificables, de manera que se garantice transparencia en la gestión y control fiscal. El parágrafo 3 del artículo 20 de la Ley 1150 de 2007 establece la obligación de cuantificar en moneda colombiana los aportes en especie realizados por los organismos internacionales, lo cual asegura que todos los recursos —tanto líquidos como en especie— se integren en un valor global verificable. Este requisito permite determinar con precisión el porcentaje de participación de cada parte y, en consecuencia, definir el régimen contractual aplicable. Sin embargo, debe tenerse en cuenta el artículo 2.2.8.3.4 del Decreto 1067 de 2015, adicionado por el Decreto 603 de 2022, exige que los socios de cooperación internacional que ejecuten programas, proyectos o iniciativas con recursos del Presupuesto General de la Nación aporten una contrapartida mínima del 30 % de su valor. Este aporte debe realizarse en dinero; los aportes en especie no se contabilizan para cumplir dicho requisito.</w:t>
            </w:r>
          </w:p>
          <w:p w14:paraId="41253681" w14:textId="77777777" w:rsidR="009637A2" w:rsidRPr="006B33D3" w:rsidRDefault="009637A2" w:rsidP="00672DA8">
            <w:pPr>
              <w:spacing w:after="120" w:line="278" w:lineRule="auto"/>
              <w:ind w:firstLine="709"/>
              <w:jc w:val="both"/>
              <w:rPr>
                <w:rFonts w:ascii="Verdana" w:eastAsia="Aptos" w:hAnsi="Verdana" w:cs="Times New Roman"/>
                <w:kern w:val="2"/>
                <w14:ligatures w14:val="standardContextual"/>
              </w:rPr>
            </w:pPr>
            <w:r w:rsidRPr="006B33D3">
              <w:rPr>
                <w:rFonts w:ascii="Verdana" w:eastAsia="Aptos" w:hAnsi="Verdana" w:cs="Times New Roman"/>
                <w:kern w:val="2"/>
                <w14:ligatures w14:val="standardContextual"/>
              </w:rPr>
              <w:t xml:space="preserve">Esta exigencia se diferencia de las reglas del artículo 20 de la Ley 1150 de 2007 y del Decreto 1082 de 2015, que permiten considerar aportes en especie, previamente cuantificados en moneda nacional, para determinar el régimen contractual aplicable. Por tanto, el aporte financiero mínimo del 30 % y el porcentaje que permite aplicar los reglamentos del organismo internacional cumplen propósitos jurídicos distintos. Cuando más del 40 % de la financiación provenga del Presupuesto Nacional, el socio cooperante debe presentar estados financieros detallados o un documento equivalente a la entidad nacional o territorial que lidere el proyecto. Esta obligación busca garantizar transparencia, seguimiento y rendición de cuentas, especialmente respecto de los recursos públicos destinados a la cooperación internacional. El cumplimiento de la contrapartida mínima no determina el régimen de </w:t>
            </w:r>
            <w:r w:rsidRPr="006B33D3">
              <w:rPr>
                <w:rFonts w:ascii="Verdana" w:eastAsia="Aptos" w:hAnsi="Verdana" w:cs="Times New Roman"/>
                <w:kern w:val="2"/>
                <w14:ligatures w14:val="standardContextual"/>
              </w:rPr>
              <w:lastRenderedPageBreak/>
              <w:t xml:space="preserve">contratación. Este continúa sujeto al artículo 20 de la Ley 1150 de 2007: en el supuesto de su inciso primero, una financiación del organismo internacional igual o superior al 50 % permite optar por sus reglamentos; si es inferior, corresponde aplicar el régimen colombiano, salvo que proceda otra hipótesis legal. </w:t>
            </w:r>
          </w:p>
          <w:p w14:paraId="4BA8C103" w14:textId="77777777" w:rsidR="009637A2" w:rsidRPr="006B33D3" w:rsidRDefault="009637A2" w:rsidP="00672DA8">
            <w:pPr>
              <w:spacing w:line="278" w:lineRule="auto"/>
              <w:ind w:firstLine="709"/>
              <w:jc w:val="both"/>
              <w:rPr>
                <w:rFonts w:ascii="Verdana" w:eastAsia="Aptos" w:hAnsi="Verdana" w:cs="Times New Roman"/>
                <w:kern w:val="2"/>
                <w14:ligatures w14:val="standardContextual"/>
              </w:rPr>
            </w:pPr>
            <w:r w:rsidRPr="006B33D3">
              <w:rPr>
                <w:rFonts w:ascii="Verdana" w:eastAsia="Aptos" w:hAnsi="Verdana" w:cs="Times New Roman"/>
                <w:kern w:val="2"/>
                <w14:ligatures w14:val="standardContextual"/>
              </w:rPr>
              <w:t>Por último, los aportes deben estar formalmente incorporados en el convenio, especificando su origen, naturaleza, valor y destinación. La entidad estatal contratante tiene la responsabilidad de realizar un seguimiento constante a la ejecución de los aportes, pues modificaciones en su monto —por adiciones— pueden alterar el régimen aplicable conforme al artículo 20 de la Ley 1150 de 2007 y al Decreto 1082 de 2015. En suma, la estructuración de un convenio de cooperación exige aportes transparentes, cuantificados y orientados a fines comunes, garantizando tanto la legalidad como la eficacia administrativa.</w:t>
            </w:r>
          </w:p>
          <w:p w14:paraId="24017B3D" w14:textId="77777777" w:rsidR="009637A2" w:rsidRPr="006B33D3" w:rsidRDefault="009637A2" w:rsidP="00672DA8">
            <w:pPr>
              <w:spacing w:line="278" w:lineRule="auto"/>
              <w:rPr>
                <w:rFonts w:ascii="Aptos" w:eastAsia="Aptos" w:hAnsi="Aptos" w:cs="Times New Roman"/>
                <w:kern w:val="2"/>
                <w:sz w:val="24"/>
                <w:szCs w:val="24"/>
                <w14:ligatures w14:val="standardContextual"/>
              </w:rPr>
            </w:pPr>
          </w:p>
          <w:p w14:paraId="67E1A342" w14:textId="77777777" w:rsidR="009637A2" w:rsidRPr="006B33D3" w:rsidRDefault="009637A2" w:rsidP="00672DA8">
            <w:pPr>
              <w:spacing w:after="120" w:line="276" w:lineRule="auto"/>
              <w:jc w:val="both"/>
              <w:rPr>
                <w:rFonts w:ascii="Verdana" w:eastAsia="Calibri" w:hAnsi="Verdana" w:cs="Arial"/>
                <w:color w:val="000000"/>
              </w:rPr>
            </w:pPr>
            <w:proofErr w:type="spellStart"/>
            <w:r w:rsidRPr="006B33D3">
              <w:rPr>
                <w:rFonts w:ascii="Verdana" w:eastAsia="Aptos" w:hAnsi="Verdana" w:cs="Times New Roman"/>
                <w:kern w:val="2"/>
                <w14:ligatures w14:val="standardContextual"/>
              </w:rPr>
              <w:t>iii</w:t>
            </w:r>
            <w:proofErr w:type="spellEnd"/>
            <w:r w:rsidRPr="006B33D3">
              <w:rPr>
                <w:rFonts w:ascii="Verdana" w:eastAsia="Aptos" w:hAnsi="Verdana" w:cs="Times New Roman"/>
                <w:kern w:val="2"/>
                <w14:ligatures w14:val="standardContextual"/>
              </w:rPr>
              <w:t>. En torno al tercer problema jurídico, se precisa que</w:t>
            </w:r>
            <w:r w:rsidRPr="006B33D3">
              <w:rPr>
                <w:rFonts w:ascii="Verdana" w:eastAsia="Calibri" w:hAnsi="Verdana" w:cs="Arial"/>
                <w:color w:val="000000"/>
              </w:rPr>
              <w:t>, es procedente señalar que, los contratos de prestación de servicios profesionales pueden celebrarse con organismos internacionales, siempre que se respeten las características propias de esta tipología contractual que se expusieron a continuación. Tal como lo señaló el Consejo de Estado en la sentencia de unificación jurisprudencial del 2 de diciembre de 2013 con Expediente 41.719, su objeto está determinado por el desarrollo de actividades intangibles e identificables que implican un esfuerzo intelectivo cualificado, orientado a satisfacer necesidades de gestión administrativa o de funcionamiento de las entidades estatales.</w:t>
            </w:r>
          </w:p>
          <w:p w14:paraId="5640FB7C" w14:textId="77777777" w:rsidR="009637A2" w:rsidRPr="006B33D3" w:rsidRDefault="009637A2" w:rsidP="00672DA8">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En este sentido, cuando una entidad estatal vincula a un organismo internacional mediante un contrato de prestación de servicios profesionales, debe asegurarse de que el objeto contractual consista en la aportación de conocimientos especializados y en la ejecución de actividades que requieran un saber profesional, sin que implique la delegación de la administración o gerencia de recursos públicos. La relación jurídica se configura como una prestación remunerada, en la que el organismo internacional actúa como contratista y no como gestor de fondos estatales.</w:t>
            </w:r>
          </w:p>
          <w:p w14:paraId="15FC9C17" w14:textId="77777777" w:rsidR="009637A2" w:rsidRPr="006B33D3" w:rsidRDefault="009637A2" w:rsidP="00672DA8">
            <w:pPr>
              <w:spacing w:line="276" w:lineRule="auto"/>
              <w:ind w:firstLine="709"/>
              <w:jc w:val="both"/>
              <w:rPr>
                <w:rFonts w:ascii="Verdana" w:eastAsia="Calibri" w:hAnsi="Verdana" w:cs="Arial"/>
                <w:color w:val="000000"/>
              </w:rPr>
            </w:pPr>
            <w:r w:rsidRPr="006B33D3">
              <w:rPr>
                <w:rFonts w:ascii="Verdana" w:eastAsia="Calibri" w:hAnsi="Verdana" w:cs="Arial"/>
                <w:color w:val="000000"/>
              </w:rPr>
              <w:lastRenderedPageBreak/>
              <w:t xml:space="preserve">Por lo tanto, la posibilidad de acudir a esta modalidad contractual con organismos internacionales está condicionada a que se cumplan las condiciones esenciales del contrato de prestación de servicios profesionales: objeto intangible, necesidad de conocimientos cualificados, vinculación de personas legalmente reconocidas como profesionales y remuneración por la actividad desarrollada. De este modo, se garantiza que la contratación se ajuste al Estatuto General de Contratación de la Administración Pública -EGCAP- y que no se incurra en el supuesto prohibido de administración o gerencia de recursos públicos previsto en el artículo 20 de la Ley 1150 de 2007. Ahora bien, será necesario diferenciarlo del contrato de consultoría que se explica a continuación. </w:t>
            </w:r>
          </w:p>
          <w:p w14:paraId="16FCE23E" w14:textId="77777777" w:rsidR="009637A2" w:rsidRPr="006B33D3" w:rsidRDefault="009637A2" w:rsidP="00672DA8">
            <w:pPr>
              <w:spacing w:line="276" w:lineRule="auto"/>
              <w:jc w:val="both"/>
              <w:rPr>
                <w:rFonts w:ascii="Verdana" w:eastAsia="Verdana" w:hAnsi="Verdana" w:cs="Verdana"/>
                <w:lang w:val="es-ES"/>
              </w:rPr>
            </w:pPr>
          </w:p>
          <w:p w14:paraId="7E802DBA" w14:textId="77777777" w:rsidR="009637A2" w:rsidRPr="006B33D3" w:rsidRDefault="009637A2" w:rsidP="00672DA8">
            <w:pPr>
              <w:spacing w:after="120" w:line="276" w:lineRule="auto"/>
              <w:jc w:val="both"/>
              <w:rPr>
                <w:rFonts w:ascii="Verdana" w:eastAsia="Calibri" w:hAnsi="Verdana" w:cs="Arial"/>
                <w:bCs/>
                <w:lang w:val="es-ES_tradnl" w:eastAsia="es-ES_tradnl"/>
              </w:rPr>
            </w:pPr>
            <w:proofErr w:type="spellStart"/>
            <w:r w:rsidRPr="006B33D3">
              <w:rPr>
                <w:rFonts w:ascii="Verdana" w:eastAsia="Verdana" w:hAnsi="Verdana" w:cs="Verdana"/>
                <w:lang w:val="es-ES"/>
              </w:rPr>
              <w:t>iv</w:t>
            </w:r>
            <w:proofErr w:type="spellEnd"/>
            <w:r w:rsidRPr="006B33D3">
              <w:rPr>
                <w:rFonts w:ascii="Verdana" w:eastAsia="Verdana" w:hAnsi="Verdana" w:cs="Verdana"/>
                <w:lang w:val="es-ES"/>
              </w:rPr>
              <w:t xml:space="preserve">. </w:t>
            </w:r>
            <w:r w:rsidRPr="006B33D3">
              <w:rPr>
                <w:rFonts w:ascii="Verdana" w:eastAsia="Calibri" w:hAnsi="Verdana" w:cs="Arial"/>
                <w:bCs/>
                <w:lang w:val="es-ES_tradnl" w:eastAsia="es-ES_tradnl"/>
              </w:rPr>
              <w:t xml:space="preserve">En relación con el cuarto problema jurídico, se señala que,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6B33D3">
              <w:rPr>
                <w:rFonts w:ascii="Verdana" w:eastAsia="Times New Roman" w:hAnsi="Verdana" w:cs="Arial"/>
                <w:lang w:eastAsia="es-ES_tradnl"/>
              </w:rPr>
              <w:t xml:space="preserve">actividades de colaboración y apoyo a la gestión de la entidad dirigidas al cumplimiento de las funciones asignadas a esta, de carácter temporal, excepcional u ocasional, siempre que no haya suficiente personal de planta o que, </w:t>
            </w:r>
            <w:r w:rsidRPr="006B33D3">
              <w:rPr>
                <w:rFonts w:ascii="Verdana" w:eastAsia="Times New Roman" w:hAnsi="Verdana" w:cs="Arial"/>
                <w:noProof/>
                <w:lang w:val="es-ES_tradnl" w:eastAsia="es-ES_tradnl"/>
              </w:rPr>
              <w:t>existiendo, está sobrecargado de trabajo, o</w:t>
            </w:r>
            <w:r w:rsidRPr="006B33D3">
              <w:rPr>
                <w:rFonts w:ascii="Verdana" w:eastAsia="Times New Roman" w:hAnsi="Verdana" w:cs="Arial"/>
                <w:lang w:eastAsia="es-ES_tradnl"/>
              </w:rPr>
              <w:t xml:space="preserve"> que sean actividades que requieran conocimientos especializados, según lo prescrito en el artículo 32.3. de la Ley 80 de 1993. Al respecto, el Consejo de Estado ha señalado la diferencia entre estos dos contratos con Expediente </w:t>
            </w:r>
            <w:r w:rsidRPr="006B33D3">
              <w:rPr>
                <w:rFonts w:ascii="Verdana" w:eastAsia="Times New Roman" w:hAnsi="Verdana" w:cs="Arial"/>
                <w:bCs/>
                <w:lang w:eastAsia="es-ES_tradnl"/>
              </w:rPr>
              <w:t xml:space="preserve">41719 </w:t>
            </w:r>
            <w:r w:rsidRPr="006B33D3">
              <w:rPr>
                <w:rFonts w:ascii="Verdana" w:eastAsia="Times New Roman" w:hAnsi="Verdana" w:cs="Arial"/>
                <w:lang w:eastAsia="es-ES_tradnl"/>
              </w:rPr>
              <w:t xml:space="preserve">de la siguiente manera: </w:t>
            </w:r>
            <w:r w:rsidRPr="006B33D3">
              <w:rPr>
                <w:rFonts w:ascii="Verdana" w:eastAsia="Calibri" w:hAnsi="Verdana" w:cs="Arial"/>
                <w:bCs/>
                <w:lang w:eastAsia="es-ES_tradnl"/>
              </w:rPr>
              <w:t>“</w:t>
            </w:r>
            <w:r w:rsidRPr="006B33D3">
              <w:rPr>
                <w:rFonts w:ascii="Verdana" w:eastAsia="Times New Roman" w:hAnsi="Verdana" w:cs="Arial"/>
                <w:lang w:val="es-ES_tradnl" w:eastAsia="es-ES_tradnl"/>
              </w:rPr>
              <w:t xml:space="preserve">[…]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w:t>
            </w:r>
            <w:r w:rsidRPr="006B33D3">
              <w:rPr>
                <w:rFonts w:ascii="Verdana" w:eastAsia="Times New Roman" w:hAnsi="Verdana" w:cs="Arial"/>
                <w:lang w:val="es-ES_tradnl" w:eastAsia="es-ES_tradnl"/>
              </w:rPr>
              <w:lastRenderedPageBreak/>
              <w:t>los referentes conceptuales que establece el numeral 3° del artículo 32 de la Ley 80 de 1993, conforme a la debida planeación contractual y en armonía con los criterios jurídicos que han sido decantados en el precedente de esta Corporación y en esta providencia”.</w:t>
            </w:r>
          </w:p>
          <w:p w14:paraId="1667242C" w14:textId="77777777" w:rsidR="009637A2" w:rsidRPr="006B33D3" w:rsidRDefault="009637A2" w:rsidP="00672DA8">
            <w:pPr>
              <w:spacing w:after="120" w:line="278" w:lineRule="auto"/>
              <w:ind w:firstLine="708"/>
              <w:jc w:val="both"/>
              <w:rPr>
                <w:rFonts w:ascii="Verdana" w:eastAsia="Calibri" w:hAnsi="Verdana" w:cs="Arial"/>
                <w:lang w:val="es-ES"/>
              </w:rPr>
            </w:pPr>
            <w:r w:rsidRPr="006B33D3">
              <w:rPr>
                <w:rFonts w:ascii="Verdana" w:eastAsia="Times New Roman" w:hAnsi="Verdana" w:cs="Arial"/>
                <w:lang w:eastAsia="es-ES_tradnl"/>
              </w:rPr>
              <w:t xml:space="preserve">En este sentido, </w:t>
            </w:r>
            <w:r w:rsidRPr="006B33D3">
              <w:rPr>
                <w:rFonts w:ascii="Verdana" w:eastAsia="Calibri" w:hAnsi="Verdana" w:cs="Arial"/>
                <w:bCs/>
                <w:lang w:val="es-ES_tradnl" w:eastAsia="es-ES_tradnl"/>
              </w:rPr>
              <w:t xml:space="preserve">la característica principal para identificar los contratos estatales de consultoría es el carácter técnico –especializado–, frente a otro tipo de contratos estatales, como el de prestación de servicios, como se señaló previamente, la cual constituye el eje de las actividades descritas en el artículo 32.2 de la Ley 80 de 1993. Teniendo en cuenta las normas legales y reglamentarias aplicables al tema, </w:t>
            </w:r>
            <w:r w:rsidRPr="006B33D3">
              <w:rPr>
                <w:rFonts w:ascii="Verdana" w:eastAsia="Calibri" w:hAnsi="Verdana" w:cs="Arial"/>
                <w:lang w:val="es-ES"/>
              </w:rPr>
              <w:t>la ejecución de esas actividades de consultoría se fundamenta en que se requieren para evaluar</w:t>
            </w:r>
            <w:r w:rsidRPr="006B33D3">
              <w:rPr>
                <w:rFonts w:ascii="Verdana" w:eastAsia="Calibri" w:hAnsi="Verdana" w:cs="Arial"/>
                <w:bCs/>
                <w:lang w:val="es-ES_tradnl" w:eastAsia="es-ES_tradnl"/>
              </w:rPr>
              <w:t xml:space="preserve">, </w:t>
            </w:r>
            <w:r w:rsidRPr="006B33D3">
              <w:rPr>
                <w:rFonts w:ascii="Verdana" w:eastAsia="Calibri" w:hAnsi="Verdana" w:cs="Arial"/>
                <w:lang w:val="es-ES"/>
              </w:rPr>
              <w:t>analizar, examinar o diagnosticar la prefactibilidad o la factibilidad de proyectos de inversión o proyectos específicos. Esto significa que la consultoría tiene como objeto la ejecución de proyectos de complejidad técnica o que giran en torno a estos asuntos, bajo el amparo de asesorías técnicas de coordinación, de control o supervisión, así como de interventoría, gerencia, dirección o programación de obras o proyectos, cuestiones que incluyen la elaboración de los diseños, planos, anteproyectos, proyectos, entre otros.</w:t>
            </w:r>
          </w:p>
          <w:p w14:paraId="0DE3592B" w14:textId="77777777" w:rsidR="009637A2" w:rsidRPr="006B33D3" w:rsidRDefault="009637A2" w:rsidP="00672DA8">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Al respecto, puede señalarse que es procedente un contrato de consultoría con un organismo internacional cuando el objeto consista en actividades técnicas de alta especialización, tales como estudios de diagnóstico, prefactibilidad o factibilidad, diseños, planos, proyectos, interventoría o gerencia de obra. Estas actividades, previstas en el artículo 32.2 de la Ley 80 de 1993, son de naturaleza estrictamente técnica y se diferencian de los contratos de prestación de servicios por su complejidad y por la necesidad de aplicar metodologías avanzadas para la ejecución de proyectos de inversión o programas específicos.</w:t>
            </w:r>
          </w:p>
          <w:p w14:paraId="65E08E67" w14:textId="77777777" w:rsidR="009637A2" w:rsidRPr="006B33D3" w:rsidRDefault="009637A2" w:rsidP="00672DA8">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 xml:space="preserve">La procedencia de este tipo de contratos con organismos internacionales se justifica en la medida en que dichas entidades suelen aportar experticia técnica, metodologías innovadoras y estándares internacionales que enriquecen la planeación y ejecución de proyectos estatales. Así, la vinculación de un organismo internacional como contratista de consultoría permite a la entidad estatal acceder a conocimientos especializados y buenas prácticas globales, garantizando mayor calidad en los </w:t>
            </w:r>
            <w:r w:rsidRPr="006B33D3">
              <w:rPr>
                <w:rFonts w:ascii="Verdana" w:eastAsia="Calibri" w:hAnsi="Verdana" w:cs="Arial"/>
                <w:color w:val="000000"/>
              </w:rPr>
              <w:lastRenderedPageBreak/>
              <w:t>estudios y diseños, así como en la supervisión y control de proyectos estratégicos.</w:t>
            </w:r>
          </w:p>
          <w:p w14:paraId="72C3DFB4" w14:textId="77777777" w:rsidR="009637A2" w:rsidRPr="006B33D3" w:rsidRDefault="009637A2" w:rsidP="00672DA8">
            <w:pPr>
              <w:spacing w:line="276" w:lineRule="auto"/>
              <w:ind w:firstLine="709"/>
              <w:jc w:val="both"/>
              <w:rPr>
                <w:rFonts w:ascii="Verdana" w:eastAsia="Calibri" w:hAnsi="Verdana" w:cs="Arial"/>
                <w:color w:val="000000"/>
              </w:rPr>
            </w:pPr>
            <w:r w:rsidRPr="006B33D3">
              <w:rPr>
                <w:rFonts w:ascii="Verdana" w:eastAsia="Calibri" w:hAnsi="Verdana" w:cs="Arial"/>
                <w:color w:val="000000"/>
              </w:rPr>
              <w:t>No obstante, la entidad estatal debe asegurarse de que el contrato conserve las características propias de la consultoría: objeto técnico claramente delimitado, remuneración por el servicio prestado y ausencia de delegación en la administración de recursos públicos. De esta manera, la contratación con organismos internacionales bajo la modalidad de consultoría se ajusta al Estatuto General de Contratación de la Administración Pública -EGCAP- y a las reglas especiales del artículo 20 de la Ley 1150 de 2007, sin incurrir en la prohibición de trasladar la gerencia o administración de fondos estatales.</w:t>
            </w:r>
          </w:p>
          <w:p w14:paraId="5F69F7DF" w14:textId="77777777" w:rsidR="009637A2" w:rsidRPr="006B33D3" w:rsidRDefault="009637A2" w:rsidP="00672DA8">
            <w:pPr>
              <w:spacing w:line="276" w:lineRule="auto"/>
              <w:jc w:val="both"/>
              <w:rPr>
                <w:rFonts w:ascii="Verdana" w:eastAsia="Calibri" w:hAnsi="Verdana" w:cs="Arial"/>
                <w:color w:val="000000"/>
              </w:rPr>
            </w:pPr>
          </w:p>
          <w:p w14:paraId="7F570D09" w14:textId="77777777" w:rsidR="009637A2" w:rsidRPr="006B33D3" w:rsidRDefault="009637A2" w:rsidP="00672DA8">
            <w:pPr>
              <w:spacing w:after="120" w:line="278" w:lineRule="auto"/>
              <w:jc w:val="both"/>
              <w:rPr>
                <w:rFonts w:ascii="Verdana" w:eastAsia="Aptos" w:hAnsi="Verdana" w:cs="Times New Roman"/>
                <w:kern w:val="2"/>
                <w14:ligatures w14:val="standardContextual"/>
              </w:rPr>
            </w:pPr>
            <w:r w:rsidRPr="006B33D3">
              <w:rPr>
                <w:rFonts w:ascii="Verdana" w:eastAsia="Calibri" w:hAnsi="Verdana" w:cs="Arial"/>
                <w:color w:val="000000"/>
              </w:rPr>
              <w:t xml:space="preserve">v. </w:t>
            </w:r>
            <w:r w:rsidRPr="006B33D3">
              <w:rPr>
                <w:rFonts w:ascii="Verdana" w:eastAsia="Aptos" w:hAnsi="Verdana" w:cs="Times New Roman"/>
                <w:kern w:val="2"/>
                <w14:ligatures w14:val="standardContextual"/>
              </w:rPr>
              <w:t>En relación con el quinto problema jurídico, se precisa que, la causal de contratación directa por ausencia de pluralidad de oferentes, prevista en la Ley 1150 de 2007 y desarrollada en el Decreto 1082 de 2015, no resulta aplicable de manera general a los organismos internacionales. Su procedencia está limitada a los dos supuestos expresamente previstos por la norma: cuando el oferente es titular de derechos de propiedad industrial o de autor que impiden la concurrencia de otros competidores, o cuando existe un proveedor exclusivo en el territorio nacional.</w:t>
            </w:r>
          </w:p>
          <w:p w14:paraId="499C091B" w14:textId="77777777" w:rsidR="009637A2" w:rsidRPr="006B33D3" w:rsidRDefault="009637A2" w:rsidP="00672DA8">
            <w:pPr>
              <w:spacing w:after="120" w:line="278" w:lineRule="auto"/>
              <w:ind w:firstLine="708"/>
              <w:jc w:val="both"/>
              <w:rPr>
                <w:rFonts w:ascii="Verdana" w:eastAsia="Aptos" w:hAnsi="Verdana" w:cs="Times New Roman"/>
                <w:kern w:val="2"/>
                <w14:ligatures w14:val="standardContextual"/>
              </w:rPr>
            </w:pPr>
            <w:r w:rsidRPr="006B33D3">
              <w:rPr>
                <w:rFonts w:ascii="Verdana" w:eastAsia="Aptos" w:hAnsi="Verdana" w:cs="Times New Roman"/>
                <w:kern w:val="2"/>
                <w14:ligatures w14:val="standardContextual"/>
              </w:rPr>
              <w:t>En el primer escenario, la exclusividad jurídica derivada de la propiedad intelectual constituye una barrera de entrada que justifica la contratación directa, pues solo el titular de la patente, marca o derecho de autor puede proveer el bien o servicio en condiciones idénticas. En el segundo, la exclusividad debe abarcar todo el territorio nacional y no limitarse a una región específica, ya que de lo contrario subsiste la posibilidad de concurrencia de otros proveedores en el mercado. En ambos casos, la entidad estatal debe acreditar estas circunstancias en los estudios previos, mediante los medios probatorios pertinentes.</w:t>
            </w:r>
          </w:p>
          <w:p w14:paraId="02162DF3" w14:textId="77777777" w:rsidR="009637A2" w:rsidRPr="006B33D3" w:rsidRDefault="009637A2" w:rsidP="00672DA8">
            <w:pPr>
              <w:spacing w:line="278" w:lineRule="auto"/>
              <w:ind w:firstLine="708"/>
              <w:jc w:val="both"/>
              <w:rPr>
                <w:rFonts w:ascii="Verdana" w:eastAsia="Aptos" w:hAnsi="Verdana" w:cs="Times New Roman"/>
                <w:kern w:val="2"/>
                <w14:ligatures w14:val="standardContextual"/>
              </w:rPr>
            </w:pPr>
            <w:r w:rsidRPr="006B33D3">
              <w:rPr>
                <w:rFonts w:ascii="Verdana" w:eastAsia="Aptos" w:hAnsi="Verdana" w:cs="Times New Roman"/>
                <w:kern w:val="2"/>
                <w14:ligatures w14:val="standardContextual"/>
              </w:rPr>
              <w:t xml:space="preserve">Fuera de estas hipótesis, la contratación con organismos internacionales debe regirse por los principios de concurrencia y selección objetiva, aplicando las modalidades ordinarias del Estatuto General de Contratación de la Administración Pública o, en su caso, las reglas del artículo 20 de la Ley 1150 de 2007. De este modo, se evita que la causal de </w:t>
            </w:r>
            <w:r w:rsidRPr="006B33D3">
              <w:rPr>
                <w:rFonts w:ascii="Verdana" w:eastAsia="Aptos" w:hAnsi="Verdana" w:cs="Times New Roman"/>
                <w:kern w:val="2"/>
                <w14:ligatures w14:val="standardContextual"/>
              </w:rPr>
              <w:lastRenderedPageBreak/>
              <w:t>contratación directa se convierta en un mecanismo de excepción injustificada y se garantiza que la relación contractual con organismos internacionales se ajuste a los principios de transparencia, igualdad y responsabilidad que rigen la contratación estatal. En consecuencia, la exclusividad meramente institucional o técnica derivada del mandato del organismo internacional no configura, por sí sola, esta causal; constituye, a lo sumo, un factor de idoneidad y experiencia, salvo que se acredite la titularidad de derechos de propiedad intelectual o la condición de proveedor exclusivo en el territorio nacional.</w:t>
            </w:r>
          </w:p>
          <w:p w14:paraId="27ED6E4A" w14:textId="77777777" w:rsidR="009637A2" w:rsidRPr="006B33D3" w:rsidRDefault="009637A2" w:rsidP="00672DA8">
            <w:pPr>
              <w:spacing w:line="278" w:lineRule="auto"/>
              <w:jc w:val="both"/>
              <w:rPr>
                <w:rFonts w:ascii="Verdana" w:eastAsia="Aptos" w:hAnsi="Verdana" w:cs="Times New Roman"/>
                <w:kern w:val="2"/>
                <w14:ligatures w14:val="standardContextual"/>
              </w:rPr>
            </w:pPr>
          </w:p>
          <w:p w14:paraId="5AACCA66" w14:textId="77777777" w:rsidR="009637A2" w:rsidRPr="006B33D3" w:rsidRDefault="009637A2" w:rsidP="00672DA8">
            <w:pPr>
              <w:spacing w:after="120" w:line="276" w:lineRule="auto"/>
              <w:jc w:val="both"/>
              <w:rPr>
                <w:rFonts w:ascii="Verdana" w:eastAsia="MS Mincho" w:hAnsi="Verdana" w:cs="Times New Roman"/>
                <w:color w:val="000000"/>
              </w:rPr>
            </w:pPr>
            <w:r w:rsidRPr="006B33D3">
              <w:rPr>
                <w:rFonts w:ascii="Verdana" w:eastAsia="Aptos" w:hAnsi="Verdana" w:cs="Times New Roman"/>
                <w:kern w:val="2"/>
                <w14:ligatures w14:val="standardContextual"/>
              </w:rPr>
              <w:t>vi. En relación con el sexto problema jurídico, se expresa que,</w:t>
            </w:r>
            <w:r w:rsidRPr="006B33D3">
              <w:rPr>
                <w:rFonts w:ascii="Verdana" w:eastAsia="MS Mincho" w:hAnsi="Verdana" w:cs="Times New Roman"/>
                <w:color w:val="000000"/>
              </w:rPr>
              <w:t xml:space="preserve"> el término “</w:t>
            </w:r>
            <w:r w:rsidRPr="006B33D3">
              <w:rPr>
                <w:rFonts w:ascii="Verdana" w:eastAsia="MS Mincho" w:hAnsi="Verdana" w:cs="Times New Roman"/>
                <w:i/>
                <w:iCs/>
                <w:color w:val="000000"/>
              </w:rPr>
              <w:t xml:space="preserve">Lump </w:t>
            </w:r>
            <w:proofErr w:type="gramStart"/>
            <w:r w:rsidRPr="006B33D3">
              <w:rPr>
                <w:rFonts w:ascii="Verdana" w:eastAsia="MS Mincho" w:hAnsi="Verdana" w:cs="Times New Roman"/>
                <w:i/>
                <w:iCs/>
                <w:color w:val="000000"/>
              </w:rPr>
              <w:t>Sum</w:t>
            </w:r>
            <w:proofErr w:type="gram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w:t>
            </w:r>
            <w:r w:rsidRPr="006B33D3">
              <w:rPr>
                <w:rFonts w:ascii="Verdana" w:eastAsia="MS Mincho" w:hAnsi="Verdana" w:cs="Times New Roman"/>
                <w:color w:val="000000"/>
              </w:rPr>
              <w:t xml:space="preserve"> se emplea para designar un acuerdo de remuneración global por un alcance previamente definido, de acuerdo con las consideraciones expuestas en el Concepto. En este sentido, puede señalarse que la expresión </w:t>
            </w:r>
            <w:r w:rsidRPr="006B33D3">
              <w:rPr>
                <w:rFonts w:ascii="Verdana" w:eastAsia="MS Mincho" w:hAnsi="Verdana" w:cs="Times New Roman"/>
                <w:i/>
                <w:iCs/>
                <w:color w:val="000000"/>
              </w:rPr>
              <w:t xml:space="preserve">“Lump </w:t>
            </w:r>
            <w:proofErr w:type="gramStart"/>
            <w:r w:rsidRPr="006B33D3">
              <w:rPr>
                <w:rFonts w:ascii="Verdana" w:eastAsia="MS Mincho" w:hAnsi="Verdana" w:cs="Times New Roman"/>
                <w:i/>
                <w:iCs/>
                <w:color w:val="000000"/>
              </w:rPr>
              <w:t>Sum</w:t>
            </w:r>
            <w:proofErr w:type="gram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w:t>
            </w:r>
            <w:r w:rsidRPr="006B33D3">
              <w:rPr>
                <w:rFonts w:ascii="Verdana" w:eastAsia="MS Mincho" w:hAnsi="Verdana" w:cs="Times New Roman"/>
                <w:color w:val="000000"/>
              </w:rPr>
              <w:t xml:space="preserve"> no corresponde a un tipo contractual autónomo, sino a una modalidad de determinación del precio que las partes acuerdan en ejercicio de la autonomía de la voluntad. Se trata de un esquema de remuneración global y fija, pactado de manera anticipada, que se asocia a un alcance definido y a entregables verificables. Así pues, la denominación no crea una categoría jurídica independiente dentro del derecho colombiano, pues el contrato sigue siendo de prestación de servicios, de obra, de consultoría o de suministro, según el contenido obligacional que se pacte. Lo que caracteriza al </w:t>
            </w:r>
            <w:proofErr w:type="spellStart"/>
            <w:r w:rsidRPr="006B33D3">
              <w:rPr>
                <w:rFonts w:ascii="Verdana" w:eastAsia="MS Mincho" w:hAnsi="Verdana" w:cs="Times New Roman"/>
                <w:i/>
                <w:iCs/>
                <w:color w:val="000000"/>
              </w:rPr>
              <w:t>lump</w:t>
            </w:r>
            <w:proofErr w:type="spellEnd"/>
            <w:r w:rsidRPr="006B33D3">
              <w:rPr>
                <w:rFonts w:ascii="Verdana" w:eastAsia="MS Mincho" w:hAnsi="Verdana" w:cs="Times New Roman"/>
                <w:i/>
                <w:iCs/>
                <w:color w:val="000000"/>
              </w:rPr>
              <w:t xml:space="preserve"> sum</w:t>
            </w:r>
            <w:r w:rsidRPr="006B33D3">
              <w:rPr>
                <w:rFonts w:ascii="Verdana" w:eastAsia="MS Mincho" w:hAnsi="Verdana" w:cs="Times New Roman"/>
                <w:color w:val="000000"/>
              </w:rPr>
              <w:t xml:space="preserve"> es la forma de estipulación del precio: un valor único e invariable, que no depende de la medición de cantidades ejecutadas ni de ajustes posteriores, salvo que las partes acuerden modificaciones contractuales conforme al régimen aplicable.</w:t>
            </w:r>
          </w:p>
          <w:p w14:paraId="31DDA0C5" w14:textId="77777777" w:rsidR="009637A2" w:rsidRPr="006B33D3" w:rsidRDefault="009637A2" w:rsidP="00672DA8">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este contexto, dicha categoría usada dentro del esquema de cooperación internacional se relaciona con un contrato cuyo </w:t>
            </w:r>
            <w:r w:rsidRPr="006B33D3">
              <w:rPr>
                <w:rFonts w:ascii="Verdana" w:eastAsia="MS Mincho" w:hAnsi="Verdana" w:cs="Times New Roman"/>
                <w:color w:val="000000"/>
                <w:lang w:val="es-ES"/>
              </w:rPr>
              <w:t>precio se pacta de forma global, sin que ello implique que la entidad contratante pueda impartir instrucciones sobre la forma en que la entidad contratista debe gastar cada peso, o imponer condiciones sobre la distribución interna de los costos o sobre la gestión administrativa interna de la entidad ejecutora. Aunque la entidad puede realizar requerimientos durante la ejecución, el alcance de esta potestad variará según la metodología o el modelo de negocio pactado.</w:t>
            </w:r>
          </w:p>
          <w:p w14:paraId="1E6D66C2" w14:textId="77777777" w:rsidR="009637A2" w:rsidRPr="006B33D3" w:rsidRDefault="009637A2" w:rsidP="00672DA8">
            <w:pPr>
              <w:spacing w:after="120" w:line="276" w:lineRule="auto"/>
              <w:ind w:firstLine="709"/>
              <w:jc w:val="both"/>
              <w:rPr>
                <w:rFonts w:ascii="Verdana" w:eastAsia="MS Mincho" w:hAnsi="Verdana" w:cs="Times New Roman"/>
                <w:color w:val="000000"/>
                <w:lang w:val="es-ES"/>
              </w:rPr>
            </w:pPr>
            <w:r w:rsidRPr="006B33D3">
              <w:rPr>
                <w:rFonts w:ascii="Verdana" w:eastAsia="MS Mincho" w:hAnsi="Verdana" w:cs="Times New Roman"/>
                <w:color w:val="000000"/>
                <w:lang w:val="es-ES"/>
              </w:rPr>
              <w:lastRenderedPageBreak/>
              <w:t xml:space="preserve">En efecto, en un contrato a precio global, la entidad puede adelantar acciones para exigir el cumplimiento técnico del objeto contractual por actividad, solicitar los entregables y productos pactados, hacer requerimientos ante potenciales incumplimientos o activar cláusulas contractuales; sin que implique que pueda adelantar acciones para determinar el detalle de cómo la entidad ejecutora debe administrar o gestionar internamente su presupuesto para cumplir con cada actividad, o impartir instrucciones sobre la organización interna de sus recursos, como designar proveedores, personal o equipos, o condicionar el pago a la aprobación de decisiones internas de gasto cuando esto no se deriva de lo acordado por las partes. </w:t>
            </w:r>
          </w:p>
          <w:p w14:paraId="660BD500" w14:textId="77777777" w:rsidR="009637A2" w:rsidRPr="006B33D3" w:rsidRDefault="009637A2" w:rsidP="00672DA8">
            <w:pPr>
              <w:spacing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lang w:val="es-ES"/>
              </w:rPr>
              <w:t xml:space="preserve">Así las cosas, </w:t>
            </w:r>
            <w:r w:rsidRPr="006B33D3">
              <w:rPr>
                <w:rFonts w:ascii="Verdana" w:eastAsia="MS Mincho" w:hAnsi="Verdana" w:cs="Times New Roman"/>
                <w:color w:val="000000"/>
              </w:rPr>
              <w:t xml:space="preserve">el </w:t>
            </w:r>
            <w:r w:rsidRPr="006B33D3">
              <w:rPr>
                <w:rFonts w:ascii="Verdana" w:eastAsia="MS Mincho" w:hAnsi="Verdana" w:cs="Times New Roman"/>
                <w:i/>
                <w:iCs/>
                <w:color w:val="000000"/>
              </w:rPr>
              <w:t xml:space="preserve">Lump </w:t>
            </w:r>
            <w:proofErr w:type="gramStart"/>
            <w:r w:rsidRPr="006B33D3">
              <w:rPr>
                <w:rFonts w:ascii="Verdana" w:eastAsia="MS Mincho" w:hAnsi="Verdana" w:cs="Times New Roman"/>
                <w:i/>
                <w:iCs/>
                <w:color w:val="000000"/>
              </w:rPr>
              <w:t>Sum</w:t>
            </w:r>
            <w:proofErr w:type="gram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 xml:space="preserve"> o cualquier mecanismo de remuneración</w:t>
            </w:r>
            <w:r w:rsidRPr="006B33D3">
              <w:rPr>
                <w:rFonts w:ascii="Verdana" w:eastAsia="MS Mincho" w:hAnsi="Verdana" w:cs="Times New Roman"/>
                <w:color w:val="000000"/>
              </w:rPr>
              <w:t xml:space="preserve"> puede resultar compatible con el derecho colombiano como mecanismo de fijación de precio para la adquisición de prestaciones técnicas reales. Dicha compatibilidad exige demostrar la existencia de una obligación sustancial de resultado, justificar el valor convenido y los riesgos asumidos, y observar el régimen de selección aplicable. No equivale, por tanto, a una habilitación general para contratar directamente ni para adoptar íntegramente las reglas del organismo internacional.</w:t>
            </w:r>
          </w:p>
          <w:p w14:paraId="6EF74780" w14:textId="77777777" w:rsidR="009637A2" w:rsidRPr="006B33D3" w:rsidRDefault="009637A2" w:rsidP="00672DA8">
            <w:pPr>
              <w:spacing w:line="276" w:lineRule="auto"/>
              <w:ind w:firstLine="709"/>
              <w:jc w:val="both"/>
              <w:rPr>
                <w:rFonts w:ascii="Verdana" w:eastAsia="MS Mincho" w:hAnsi="Verdana" w:cs="Times New Roman"/>
                <w:color w:val="000000"/>
                <w:lang w:val="es-ES"/>
              </w:rPr>
            </w:pPr>
          </w:p>
          <w:p w14:paraId="1F7EE5EC" w14:textId="77777777" w:rsidR="009637A2" w:rsidRPr="006B33D3" w:rsidRDefault="009637A2" w:rsidP="00672DA8">
            <w:pPr>
              <w:spacing w:after="120" w:line="276" w:lineRule="auto"/>
              <w:jc w:val="both"/>
              <w:rPr>
                <w:rFonts w:ascii="Verdana" w:eastAsia="MS Mincho" w:hAnsi="Verdana" w:cs="Times New Roman"/>
                <w:color w:val="000000"/>
              </w:rPr>
            </w:pPr>
            <w:proofErr w:type="spellStart"/>
            <w:r w:rsidRPr="006B33D3">
              <w:rPr>
                <w:rFonts w:ascii="Verdana" w:eastAsia="Aptos" w:hAnsi="Verdana" w:cs="Times New Roman"/>
                <w:kern w:val="2"/>
                <w14:ligatures w14:val="standardContextual"/>
              </w:rPr>
              <w:t>vii</w:t>
            </w:r>
            <w:proofErr w:type="spellEnd"/>
            <w:r w:rsidRPr="006B33D3">
              <w:rPr>
                <w:rFonts w:ascii="Verdana" w:eastAsia="Aptos" w:hAnsi="Verdana" w:cs="Times New Roman"/>
                <w:kern w:val="2"/>
                <w14:ligatures w14:val="standardContextual"/>
              </w:rPr>
              <w:t xml:space="preserve">. En torno al último problema jurídico, es pertinente señalar </w:t>
            </w:r>
            <w:r w:rsidRPr="006B33D3">
              <w:rPr>
                <w:rFonts w:ascii="Verdana" w:eastAsia="MS Mincho" w:hAnsi="Verdana" w:cs="Times New Roman"/>
                <w:color w:val="000000"/>
              </w:rPr>
              <w:t>que entregar una bolsa de recursos para que el organismo internacional seleccione proveedores, pague obligaciones del programa y cobre una comisión de gestión, plantea una operación materialmente distinta. Aunque el documento anuncie un valor global, en realidad se estaría trasladando la administración o gerencia de recursos públicos, supuesto prohibido por el inciso tercero del artículo 20 de la Ley 1150 de 2007, que dispone:</w:t>
            </w:r>
            <w:r w:rsidRPr="006B33D3">
              <w:rPr>
                <w:rFonts w:ascii="Verdana" w:hAnsi="Verdana" w:cs="Open Sans"/>
                <w:color w:val="4B4949"/>
              </w:rPr>
              <w:t xml:space="preserve"> “</w:t>
            </w:r>
            <w:r w:rsidRPr="006B33D3">
              <w:rPr>
                <w:rFonts w:ascii="Verdana" w:eastAsia="MS Mincho" w:hAnsi="Verdana" w:cs="Times New Roman"/>
                <w:color w:val="000000"/>
              </w:rPr>
              <w:t>Las entidades estatales no podrán celebrar contratos o convenios para la administración o gerencia de sus recursos propios o de aquellos que les asignen los presupuestos públicos, con organismos de cooperación, asistencia o ayuda internacional”. En este aspecto, lo fundamental está en analizar el contenido obligacional y la forma de ejecución, más allá de la denominación formal del contrato.</w:t>
            </w:r>
          </w:p>
          <w:p w14:paraId="62476247" w14:textId="77777777" w:rsidR="009637A2" w:rsidRPr="006B33D3" w:rsidRDefault="009637A2" w:rsidP="00672DA8">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este escenario, es importante señalar el concepto C-822 de 2026 de esta Agencia, la cual precisa que la asistencia técnica y la transferencia de conocimientos para fortalecer capacidades permiten identificar organismos de cooperación. Por tanto, una agencia que materialmente desempeñe ese papel </w:t>
            </w:r>
            <w:r w:rsidRPr="006B33D3">
              <w:rPr>
                <w:rFonts w:ascii="Verdana" w:eastAsia="MS Mincho" w:hAnsi="Verdana" w:cs="Times New Roman"/>
                <w:color w:val="000000"/>
              </w:rPr>
              <w:lastRenderedPageBreak/>
              <w:t>no debe tratarse genéricamente como persona extranjera de derecho público para eludir las condiciones del inciso primero. La elección de reglamentos exige clasificar correctamente al sujeto y a la operación. En esta línea, la prohibición de administrar recursos públicos continúa siendo un límite esencial. En efecto, la Agencia ha reiterado que la habilitación para emplear reglamentos de organismos internacionales no legitima la posibilidad de administrar o gerenciar los recursos propios de las entidades estatales ni aquellos que provienen de presupuestos públicos, pues desconocería lo dispuesto en el inciso tercero del artículo 20 de la Ley 1150 de 2007.</w:t>
            </w:r>
          </w:p>
          <w:p w14:paraId="67922BEF" w14:textId="77777777" w:rsidR="009637A2" w:rsidRPr="006B33D3" w:rsidRDefault="009637A2" w:rsidP="00672DA8">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Ahora bien, si el negocio tiene como objeto efectivo la administración o gerencia de recursos propios o presupuestales mediante un organismo de cooperación, asistencia o ayuda internacional, se configura la prohibición del artículo 20. Ni denominar los desembolsos como precio, ni fijar una suma global, ni incorporar productos accesorios transforma la naturaleza de dicho objeto. Esta conclusión surge de una interpretación sistemática de las normas y de lo expuesto en las consideraciones de este concepto.</w:t>
            </w:r>
          </w:p>
          <w:p w14:paraId="6DAC7079" w14:textId="77777777" w:rsidR="009637A2" w:rsidRPr="006B33D3" w:rsidRDefault="009637A2" w:rsidP="00672DA8">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Para estructurar un convenio bajo esta modalidad deben definirse productos verificables y su aceptación técnica; precisar que los pagos remuneran obligaciones propias del contratista; asignar los costos ordinarios y establecer reglas claras para modificar el alcance; justificar el régimen de selección y los aportes exigibles; y garantizar la supervisión, la publicidad y el control fiscal. Así mismo, antes de aprobar una minuta concreta, resulta necesario revisar sus anexos financieros, las facultades conferidas para contratar terceros, la titularidad y disposición de los fondos, así como los acuerdos internacionales aplicables. En ese escenario, denominar los desembolsos como precio o incorporar productos e informes accesorios no transforma su naturaleza, pues debe prevalecer el examen de las obligaciones efectivas y de la operación financiera sobre su presentación formal, para determinar que no se incurriendo en la transgresión del inciso tercero del artículo 20 de la Ley 1150 de 2007. </w:t>
            </w:r>
          </w:p>
        </w:tc>
      </w:tr>
    </w:tbl>
    <w:p w14:paraId="0ECD28B8" w14:textId="77777777" w:rsidR="009637A2" w:rsidRPr="006B33D3" w:rsidRDefault="009637A2" w:rsidP="009637A2">
      <w:pPr>
        <w:spacing w:after="0" w:line="276" w:lineRule="auto"/>
        <w:jc w:val="both"/>
        <w:rPr>
          <w:rFonts w:ascii="Verdana" w:eastAsia="Calibri" w:hAnsi="Verdana" w:cs="Arial"/>
          <w:bCs/>
          <w:color w:val="000000" w:themeColor="text1"/>
        </w:rPr>
      </w:pPr>
      <w:bookmarkStart w:id="1" w:name="_Hlk78820161"/>
      <w:bookmarkStart w:id="2" w:name="_Hlk37703813"/>
    </w:p>
    <w:p w14:paraId="6F9FC4F3" w14:textId="77777777" w:rsidR="009637A2" w:rsidRPr="006B33D3" w:rsidRDefault="009637A2" w:rsidP="009637A2">
      <w:pPr>
        <w:numPr>
          <w:ilvl w:val="0"/>
          <w:numId w:val="16"/>
        </w:numPr>
        <w:tabs>
          <w:tab w:val="left" w:pos="2268"/>
        </w:tabs>
        <w:spacing w:after="0" w:line="276" w:lineRule="auto"/>
        <w:rPr>
          <w:rFonts w:ascii="Verdana" w:eastAsia="Calibri" w:hAnsi="Verdana" w:cs="Times New Roman"/>
          <w:b/>
          <w:bCs/>
          <w:lang w:val="es-ES"/>
        </w:rPr>
      </w:pPr>
      <w:r w:rsidRPr="006B33D3">
        <w:rPr>
          <w:rFonts w:ascii="Verdana" w:eastAsia="Calibri" w:hAnsi="Verdana" w:cs="Times New Roman"/>
          <w:b/>
          <w:bCs/>
          <w:lang w:val="es-ES"/>
        </w:rPr>
        <w:t>Razones de la respuesta:</w:t>
      </w:r>
    </w:p>
    <w:p w14:paraId="5F53A1A0" w14:textId="77777777" w:rsidR="009637A2" w:rsidRPr="006B33D3" w:rsidRDefault="009637A2" w:rsidP="009637A2">
      <w:pPr>
        <w:spacing w:after="0" w:line="276" w:lineRule="auto"/>
        <w:jc w:val="both"/>
        <w:rPr>
          <w:rFonts w:ascii="Verdana" w:eastAsia="Calibri" w:hAnsi="Verdana" w:cs="Arial"/>
          <w:lang w:val="es-ES"/>
        </w:rPr>
      </w:pPr>
    </w:p>
    <w:p w14:paraId="266C6100" w14:textId="77777777" w:rsidR="009637A2" w:rsidRPr="006B33D3" w:rsidRDefault="009637A2" w:rsidP="009637A2">
      <w:pPr>
        <w:spacing w:after="0" w:line="276" w:lineRule="auto"/>
        <w:jc w:val="both"/>
        <w:rPr>
          <w:rFonts w:ascii="Verdana" w:eastAsia="Calibri" w:hAnsi="Verdana" w:cs="Arial"/>
          <w:lang w:val="es-ES"/>
        </w:rPr>
      </w:pPr>
      <w:r w:rsidRPr="006B33D3">
        <w:rPr>
          <w:rFonts w:ascii="Verdana" w:eastAsia="Calibri" w:hAnsi="Verdana" w:cs="Arial"/>
          <w:lang w:val="es-ES"/>
        </w:rPr>
        <w:t>Lo anterior se sustenta en las siguientes consideraciones:</w:t>
      </w:r>
    </w:p>
    <w:bookmarkEnd w:id="1"/>
    <w:bookmarkEnd w:id="2"/>
    <w:p w14:paraId="26D209BA" w14:textId="77777777" w:rsidR="009637A2" w:rsidRPr="006B33D3" w:rsidRDefault="009637A2" w:rsidP="009637A2">
      <w:pPr>
        <w:spacing w:after="0" w:line="276" w:lineRule="auto"/>
        <w:jc w:val="both"/>
        <w:rPr>
          <w:rFonts w:ascii="Verdana" w:eastAsia="Calibri" w:hAnsi="Verdana" w:cs="Arial"/>
          <w:color w:val="000000" w:themeColor="text1"/>
          <w:lang w:val="es-ES"/>
        </w:rPr>
      </w:pPr>
    </w:p>
    <w:p w14:paraId="62CBFE68" w14:textId="77777777" w:rsidR="009637A2" w:rsidRPr="006B33D3" w:rsidRDefault="009637A2" w:rsidP="009637A2">
      <w:pPr>
        <w:spacing w:after="120" w:line="276" w:lineRule="auto"/>
        <w:jc w:val="both"/>
        <w:rPr>
          <w:rFonts w:ascii="Verdana" w:hAnsi="Verdana" w:cs="Arial"/>
          <w:lang w:val="es-ES"/>
        </w:rPr>
      </w:pPr>
      <w:bookmarkStart w:id="3" w:name="_Hlk99449041"/>
      <w:bookmarkStart w:id="4" w:name="_Hlk99449078"/>
      <w:r w:rsidRPr="006B33D3">
        <w:rPr>
          <w:rFonts w:ascii="Verdana" w:eastAsia="Calibri" w:hAnsi="Verdana" w:cs="Arial"/>
          <w:lang w:val="es-ES"/>
        </w:rPr>
        <w:t>i. El artículo 13 de la Ley 80 de 1993 establece la normatividad aplicable a los contratos que celebren las entidades referidas en el artículo segundo del estatuto. Como primer criterio, determina que los contratos que celebren se regirán por las disposiciones civiles y comerciales nacionales, sin perjuicio de la aplicación prevalente de las contenidas en el Estatuto General de Contratación de la Administración Pública –en adelante EGCAP–</w:t>
      </w:r>
      <w:r w:rsidRPr="006B33D3">
        <w:rPr>
          <w:rFonts w:ascii="Verdana" w:hAnsi="Verdana" w:cs="Arial"/>
          <w:vertAlign w:val="superscript"/>
          <w:lang w:val="es-ES"/>
        </w:rPr>
        <w:footnoteReference w:id="1"/>
      </w:r>
      <w:r w:rsidRPr="006B33D3">
        <w:rPr>
          <w:rFonts w:ascii="Verdana" w:eastAsia="Calibri" w:hAnsi="Verdana" w:cs="Arial"/>
          <w:lang w:val="es-ES"/>
        </w:rPr>
        <w:t xml:space="preserve">. Sin embargo, el segundo inciso permite que los contratos celebrados en el exterior se ejecuten de conformidad con las normas del país donde se hayan suscrito, salvo que deban </w:t>
      </w:r>
      <w:r w:rsidRPr="006B33D3">
        <w:rPr>
          <w:rFonts w:ascii="Verdana" w:hAnsi="Verdana" w:cs="Arial"/>
          <w:lang w:val="es-ES"/>
        </w:rPr>
        <w:t xml:space="preserve">cumplirse en Colombia, caso en el que se regirán por lo señalado respecto al inciso primero. Por último, el inciso tercero permite que los contratos que se celebren en Colombia, pero deban ejecutarse o cumplirse en el extranjero, se sometan a la ley extranjera. </w:t>
      </w:r>
      <w:bookmarkEnd w:id="3"/>
      <w:bookmarkEnd w:id="4"/>
      <w:r w:rsidRPr="006B33D3">
        <w:rPr>
          <w:rFonts w:ascii="Verdana" w:hAnsi="Verdana" w:cs="Arial"/>
          <w:lang w:val="es-ES"/>
        </w:rPr>
        <w:t>De esta manera, el artículo 13 permite que las Entidades Estatales no se rijan siempre por la</w:t>
      </w:r>
      <w:r w:rsidRPr="006B33D3">
        <w:rPr>
          <w:rFonts w:ascii="Verdana" w:eastAsia="Calibri" w:hAnsi="Verdana" w:cs="Arial"/>
          <w:lang w:val="es-ES"/>
        </w:rPr>
        <w:t xml:space="preserve"> normativa colombiana y que puedan aplicar la ley extranjera en algunos casos. </w:t>
      </w:r>
    </w:p>
    <w:p w14:paraId="46EBD3D1" w14:textId="77777777" w:rsidR="009637A2" w:rsidRPr="006B33D3" w:rsidRDefault="009637A2" w:rsidP="009637A2">
      <w:pPr>
        <w:spacing w:after="0" w:line="276" w:lineRule="auto"/>
        <w:ind w:firstLine="709"/>
        <w:jc w:val="both"/>
        <w:rPr>
          <w:rFonts w:ascii="Verdana" w:eastAsia="Calibri" w:hAnsi="Verdana" w:cs="Arial"/>
          <w:lang w:val="es-ES"/>
        </w:rPr>
      </w:pPr>
      <w:r w:rsidRPr="006B33D3">
        <w:rPr>
          <w:rFonts w:ascii="Verdana" w:eastAsia="Calibri" w:hAnsi="Verdana" w:cs="Arial"/>
          <w:lang w:val="es-ES"/>
        </w:rPr>
        <w:t>Además de los supuestos anteriores, el Consejo de Estado explica los siguientes escenarios, en los cuales el régimen jurídico puede ser diferente al derecho nacional, pese a tratarse de contratos sometidos, en principio, a la Ley 80 de 1993:</w:t>
      </w:r>
    </w:p>
    <w:p w14:paraId="6029D250" w14:textId="77777777" w:rsidR="009637A2" w:rsidRPr="006B33D3" w:rsidRDefault="009637A2" w:rsidP="009637A2">
      <w:pPr>
        <w:snapToGrid w:val="0"/>
        <w:ind w:firstLine="709"/>
        <w:contextualSpacing/>
        <w:jc w:val="both"/>
        <w:rPr>
          <w:rFonts w:ascii="Verdana" w:eastAsia="Calibri" w:hAnsi="Verdana" w:cs="Arial"/>
          <w:lang w:val="es-ES"/>
        </w:rPr>
      </w:pPr>
    </w:p>
    <w:p w14:paraId="3F763BA7" w14:textId="77777777" w:rsidR="009637A2" w:rsidRPr="006B33D3" w:rsidRDefault="009637A2" w:rsidP="009637A2">
      <w:pPr>
        <w:spacing w:after="0" w:line="240" w:lineRule="auto"/>
        <w:ind w:left="709" w:right="709"/>
        <w:contextualSpacing/>
        <w:jc w:val="both"/>
        <w:rPr>
          <w:rFonts w:ascii="Verdana" w:eastAsia="MS Mincho" w:hAnsi="Verdana" w:cs="Arial"/>
          <w:sz w:val="20"/>
          <w:szCs w:val="20"/>
          <w:lang w:val="es-ES" w:eastAsia="es-ES"/>
        </w:rPr>
      </w:pPr>
      <w:r w:rsidRPr="006B33D3">
        <w:rPr>
          <w:rFonts w:ascii="Verdana" w:eastAsia="MS Mincho" w:hAnsi="Verdana" w:cs="Arial"/>
          <w:sz w:val="20"/>
          <w:szCs w:val="20"/>
          <w:lang w:val="es-ES"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6B33D3">
        <w:rPr>
          <w:rFonts w:ascii="Verdana" w:eastAsia="MS Mincho" w:hAnsi="Verdana" w:cs="Arial"/>
          <w:sz w:val="20"/>
          <w:szCs w:val="20"/>
          <w:lang w:val="es-ES" w:eastAsia="es-ES"/>
        </w:rPr>
        <w:t>ii</w:t>
      </w:r>
      <w:proofErr w:type="spellEnd"/>
      <w:r w:rsidRPr="006B33D3">
        <w:rPr>
          <w:rFonts w:ascii="Verdana" w:eastAsia="MS Mincho" w:hAnsi="Verdana" w:cs="Arial"/>
          <w:sz w:val="20"/>
          <w:szCs w:val="20"/>
          <w:lang w:val="es-ES"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6B33D3">
        <w:rPr>
          <w:rFonts w:ascii="Verdana" w:eastAsia="MS Mincho" w:hAnsi="Verdana" w:cs="Arial"/>
          <w:sz w:val="20"/>
          <w:szCs w:val="20"/>
          <w:lang w:val="es-ES" w:eastAsia="es-ES"/>
        </w:rPr>
        <w:t>iii</w:t>
      </w:r>
      <w:proofErr w:type="spellEnd"/>
      <w:r w:rsidRPr="006B33D3">
        <w:rPr>
          <w:rFonts w:ascii="Verdana" w:eastAsia="MS Mincho" w:hAnsi="Verdana" w:cs="Arial"/>
          <w:sz w:val="20"/>
          <w:szCs w:val="20"/>
          <w:lang w:val="es-ES" w:eastAsia="es-ES"/>
        </w:rPr>
        <w:t xml:space="preserve">)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w:t>
      </w:r>
      <w:r w:rsidRPr="006B33D3">
        <w:rPr>
          <w:rFonts w:ascii="Verdana" w:eastAsia="MS Mincho" w:hAnsi="Verdana" w:cs="Arial"/>
          <w:sz w:val="20"/>
          <w:szCs w:val="20"/>
          <w:lang w:val="es-ES" w:eastAsia="es-ES"/>
        </w:rPr>
        <w:lastRenderedPageBreak/>
        <w:t>relacionado con procedimientos de formación y adjudicación y cláusulas especiales de ejecución, cumplimiento, pagos y ajustes’”</w:t>
      </w:r>
      <w:r w:rsidRPr="006B33D3">
        <w:rPr>
          <w:rFonts w:ascii="Verdana" w:hAnsi="Verdana" w:cs="Arial"/>
          <w:sz w:val="20"/>
          <w:szCs w:val="20"/>
          <w:vertAlign w:val="superscript"/>
          <w:lang w:val="es-ES"/>
        </w:rPr>
        <w:footnoteReference w:id="2"/>
      </w:r>
      <w:r w:rsidRPr="006B33D3">
        <w:rPr>
          <w:rFonts w:ascii="Verdana" w:eastAsia="MS Mincho" w:hAnsi="Verdana" w:cs="Arial"/>
          <w:sz w:val="20"/>
          <w:szCs w:val="20"/>
          <w:lang w:val="es-ES" w:eastAsia="es-ES"/>
        </w:rPr>
        <w:t xml:space="preserve">. </w:t>
      </w:r>
    </w:p>
    <w:p w14:paraId="35DB416C" w14:textId="77777777" w:rsidR="009637A2" w:rsidRPr="006B33D3" w:rsidRDefault="009637A2" w:rsidP="009637A2">
      <w:pPr>
        <w:spacing w:before="120" w:after="0" w:line="240" w:lineRule="auto"/>
        <w:ind w:left="851" w:right="709"/>
        <w:contextualSpacing/>
        <w:rPr>
          <w:rFonts w:ascii="Verdana" w:eastAsia="Calibri" w:hAnsi="Verdana" w:cs="Arial"/>
          <w:lang w:val="es-ES"/>
        </w:rPr>
      </w:pPr>
    </w:p>
    <w:p w14:paraId="37699836" w14:textId="77777777" w:rsidR="009637A2" w:rsidRPr="006B33D3" w:rsidRDefault="009637A2" w:rsidP="009637A2">
      <w:pPr>
        <w:spacing w:line="276" w:lineRule="auto"/>
        <w:ind w:firstLine="709"/>
        <w:jc w:val="both"/>
        <w:rPr>
          <w:rFonts w:ascii="Verdana" w:eastAsia="Calibri" w:hAnsi="Verdana" w:cs="Arial"/>
          <w:lang w:val="es-ES"/>
        </w:rPr>
      </w:pPr>
      <w:r w:rsidRPr="006B33D3">
        <w:rPr>
          <w:rFonts w:ascii="Verdana" w:eastAsia="Calibri" w:hAnsi="Verdana"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EGCAP</w:t>
      </w:r>
      <w:r w:rsidRPr="006B33D3">
        <w:rPr>
          <w:rFonts w:ascii="Verdana" w:eastAsia="Calibri" w:hAnsi="Verdana" w:cs="Arial"/>
          <w:vertAlign w:val="superscript"/>
          <w:lang w:val="es-ES"/>
        </w:rPr>
        <w:footnoteReference w:id="3"/>
      </w:r>
      <w:r w:rsidRPr="006B33D3">
        <w:rPr>
          <w:rFonts w:ascii="Verdana" w:eastAsia="Calibri" w:hAnsi="Verdana" w:cs="Arial"/>
          <w:lang w:val="es-ES"/>
        </w:rPr>
        <w:t xml:space="preserve">. Sin embargo, el artículo 20 de la Ley 1150 de 2007 modificó dicho inciso y estableció las reglas que actualmente rigen los contratos o convenios suscritos con </w:t>
      </w:r>
      <w:r w:rsidRPr="006B33D3">
        <w:rPr>
          <w:rFonts w:ascii="Verdana" w:eastAsia="Calibri" w:hAnsi="Verdana" w:cs="Arial"/>
          <w:i/>
          <w:iCs/>
          <w:lang w:val="es-ES"/>
        </w:rPr>
        <w:t>organismos internacionales</w:t>
      </w:r>
      <w:r w:rsidRPr="006B33D3">
        <w:rPr>
          <w:rFonts w:ascii="Verdana" w:eastAsia="Calibri" w:hAnsi="Verdana" w:cs="Arial"/>
          <w:lang w:val="es-ES"/>
        </w:rPr>
        <w:t>.</w:t>
      </w:r>
    </w:p>
    <w:p w14:paraId="6901307F" w14:textId="77777777" w:rsidR="009637A2" w:rsidRPr="006B33D3" w:rsidRDefault="009637A2" w:rsidP="009637A2">
      <w:pPr>
        <w:spacing w:before="120" w:after="120" w:line="276" w:lineRule="auto"/>
        <w:ind w:firstLine="709"/>
        <w:jc w:val="both"/>
        <w:rPr>
          <w:rFonts w:ascii="Verdana" w:hAnsi="Verdana" w:cs="Arial"/>
          <w:lang w:val="es-ES"/>
        </w:rPr>
      </w:pPr>
      <w:r w:rsidRPr="006B33D3">
        <w:rPr>
          <w:rFonts w:ascii="Verdana" w:hAnsi="Verdana" w:cs="Arial"/>
          <w:lang w:val="es-ES"/>
        </w:rPr>
        <w:t xml:space="preserve">Frente al alcance de dicha disposición, es necesario aclarar que por </w:t>
      </w:r>
      <w:r w:rsidRPr="006B33D3">
        <w:rPr>
          <w:rFonts w:ascii="Verdana" w:hAnsi="Verdana" w:cs="Arial"/>
          <w:i/>
          <w:iCs/>
          <w:lang w:val="es-ES"/>
        </w:rPr>
        <w:t>organismo internacional</w:t>
      </w:r>
      <w:r w:rsidRPr="006B33D3">
        <w:rPr>
          <w:rFonts w:ascii="Verdana" w:hAnsi="Verdana" w:cs="Arial"/>
          <w:lang w:val="es-ES"/>
        </w:rPr>
        <w:t xml:space="preserve">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w:t>
      </w:r>
      <w:r w:rsidRPr="006B33D3">
        <w:rPr>
          <w:rFonts w:ascii="Verdana" w:hAnsi="Verdana" w:cs="Arial"/>
          <w:vertAlign w:val="superscript"/>
          <w:lang w:val="es-ES"/>
        </w:rPr>
        <w:footnoteReference w:id="4"/>
      </w:r>
      <w:r w:rsidRPr="006B33D3">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6DAE7304" w14:textId="77777777" w:rsidR="009637A2" w:rsidRPr="006B33D3" w:rsidRDefault="009637A2" w:rsidP="009637A2">
      <w:pPr>
        <w:spacing w:before="120" w:after="120" w:line="276" w:lineRule="auto"/>
        <w:ind w:firstLine="709"/>
        <w:jc w:val="both"/>
        <w:rPr>
          <w:rFonts w:ascii="Verdana" w:hAnsi="Verdana" w:cs="Arial"/>
          <w:lang w:val="es-ES"/>
        </w:rPr>
      </w:pPr>
      <w:r w:rsidRPr="006B33D3">
        <w:rPr>
          <w:rFonts w:ascii="Verdana" w:hAnsi="Verdana" w:cs="Arial"/>
          <w:lang w:val="es-ES"/>
        </w:rPr>
        <w:t xml:space="preserve">De esta manera, el artículo 20 de la Ley 1150 de 2007 estableció́ el régimen aplicable a los contratos que celebren las Entidades Estatales con este tipo de organismos. En el </w:t>
      </w:r>
      <w:r w:rsidRPr="006B33D3">
        <w:rPr>
          <w:rFonts w:ascii="Verdana" w:hAnsi="Verdana" w:cs="Arial"/>
          <w:i/>
          <w:iCs/>
          <w:lang w:val="es-ES"/>
        </w:rPr>
        <w:t>inciso primero</w:t>
      </w:r>
      <w:r w:rsidRPr="006B33D3">
        <w:rPr>
          <w:rFonts w:ascii="Verdana" w:hAnsi="Verdana" w:cs="Arial"/>
          <w:lang w:val="es-ES"/>
        </w:rPr>
        <w:t xml:space="preserve">, el artículo dispone que el régimen aplicable podrá́ depender del porcentaje de participación que el organismo internacional tenga frente a la </w:t>
      </w:r>
      <w:r w:rsidRPr="006B33D3">
        <w:rPr>
          <w:rFonts w:ascii="Verdana" w:hAnsi="Verdana" w:cs="Arial"/>
          <w:i/>
          <w:iCs/>
          <w:lang w:val="es-ES"/>
        </w:rPr>
        <w:t xml:space="preserve">financiación </w:t>
      </w:r>
      <w:r w:rsidRPr="006B33D3">
        <w:rPr>
          <w:rFonts w:ascii="Verdana" w:hAnsi="Verdana" w:cs="Arial"/>
          <w:lang w:val="es-ES"/>
        </w:rPr>
        <w:t xml:space="preserve">de los contratos. Así́, el artículo 20 de la citada norma señala que cuando los </w:t>
      </w:r>
      <w:r w:rsidRPr="006B33D3">
        <w:rPr>
          <w:rFonts w:ascii="Verdana" w:hAnsi="Verdana" w:cs="Arial"/>
          <w:i/>
          <w:iCs/>
          <w:lang w:val="es-ES"/>
        </w:rPr>
        <w:t xml:space="preserve">organismos de cooperación, asistencia o ayudas internacionales </w:t>
      </w:r>
      <w:r w:rsidRPr="006B33D3">
        <w:rPr>
          <w:rFonts w:ascii="Verdana" w:hAnsi="Verdana" w:cs="Arial"/>
          <w:lang w:val="es-ES"/>
        </w:rPr>
        <w:t xml:space="preserve">financien los contratos o convenios en su totalidad o en sumas iguales o superiores al cincuenta por ciento (50%), la contratación </w:t>
      </w:r>
      <w:r w:rsidRPr="006B33D3">
        <w:rPr>
          <w:rFonts w:ascii="Verdana" w:hAnsi="Verdana" w:cs="Arial"/>
          <w:i/>
          <w:iCs/>
          <w:lang w:val="es-ES"/>
        </w:rPr>
        <w:t xml:space="preserve">podrá́ </w:t>
      </w:r>
      <w:r w:rsidRPr="006B33D3">
        <w:rPr>
          <w:rFonts w:ascii="Verdana" w:hAnsi="Verdana" w:cs="Arial"/>
          <w:lang w:val="es-ES"/>
        </w:rPr>
        <w:t xml:space="preserve">someterse a los reglamentos de tales entidades. En estos supuestos, la norma establece la potestad discrecional de elegir el régimen contractual aplicable, pues la literalidad del inciso señala que “podrán” someterse a los </w:t>
      </w:r>
      <w:r w:rsidRPr="006B33D3">
        <w:rPr>
          <w:rFonts w:ascii="Verdana" w:hAnsi="Verdana" w:cs="Arial"/>
          <w:lang w:val="es-ES"/>
        </w:rPr>
        <w:lastRenderedPageBreak/>
        <w:t xml:space="preserve">reglamentos de tales entidades. En caso contrario, cuando la entidad contratante determine o establezca que los aportes del organismo internacional son inferiores al porcentaje señalado, el contrato o convenio </w:t>
      </w:r>
      <w:r w:rsidRPr="006B33D3">
        <w:rPr>
          <w:rFonts w:ascii="Verdana" w:hAnsi="Verdana" w:cs="Arial"/>
          <w:i/>
          <w:iCs/>
          <w:lang w:val="es-ES"/>
        </w:rPr>
        <w:t xml:space="preserve">debe </w:t>
      </w:r>
      <w:r w:rsidRPr="006B33D3">
        <w:rPr>
          <w:rFonts w:ascii="Verdana" w:hAnsi="Verdana" w:cs="Arial"/>
          <w:lang w:val="es-ES"/>
        </w:rPr>
        <w:t xml:space="preserve">someterse al EGCAP. </w:t>
      </w:r>
    </w:p>
    <w:p w14:paraId="587F5C75"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 xml:space="preserve">Conviene mencionar que dentro de la ejecución del contrato o convenio pueden presentarse situaciones en las que el porcentaje de los aportes sea modificado en virtud de una adición o por la no ejecución en los términos pactados. Previendo este escenario, el artículo 2.2.1.2.4.4.1 del Decreto 1082 de 2015 dispuso que se deberán modificar los contratos o convenios para que se rijan por las normas del sistema de compras y contratación </w:t>
      </w:r>
      <w:proofErr w:type="spellStart"/>
      <w:r w:rsidRPr="006B33D3">
        <w:rPr>
          <w:rFonts w:ascii="Verdana" w:eastAsia="Calibri" w:hAnsi="Verdana" w:cs="Arial"/>
          <w:lang w:val="es-ES"/>
        </w:rPr>
        <w:t>pública</w:t>
      </w:r>
      <w:proofErr w:type="spellEnd"/>
      <w:r w:rsidRPr="006B33D3">
        <w:rPr>
          <w:rFonts w:ascii="Verdana" w:eastAsia="Calibri" w:hAnsi="Verdana" w:cs="Arial"/>
          <w:lang w:val="es-ES"/>
        </w:rPr>
        <w:t xml:space="preserve"> si el aporte de recursos públicos es superior al cincuenta por ciento (50%) del total, por las normas internas del organismo de cooperación si el aporte es inferior </w:t>
      </w:r>
      <w:r w:rsidRPr="006B33D3">
        <w:rPr>
          <w:rFonts w:ascii="Verdana" w:eastAsia="Calibri" w:hAnsi="Verdana" w:cs="Arial"/>
          <w:vertAlign w:val="superscript"/>
          <w:lang w:val="es-ES"/>
        </w:rPr>
        <w:footnoteReference w:id="5"/>
      </w:r>
      <w:r w:rsidRPr="006B33D3">
        <w:rPr>
          <w:rFonts w:ascii="Verdana" w:eastAsia="Calibri" w:hAnsi="Verdana" w:cs="Arial"/>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6B33D3">
        <w:rPr>
          <w:rFonts w:ascii="Verdana" w:hAnsi="Verdana" w:cs="Arial"/>
          <w:lang w:val="es-ES"/>
        </w:rPr>
        <w:t xml:space="preserve">. </w:t>
      </w:r>
    </w:p>
    <w:p w14:paraId="290AE606" w14:textId="77777777" w:rsidR="009637A2" w:rsidRPr="006B33D3" w:rsidRDefault="009637A2" w:rsidP="009637A2">
      <w:pPr>
        <w:spacing w:after="120" w:line="276" w:lineRule="auto"/>
        <w:ind w:firstLine="709"/>
        <w:jc w:val="both"/>
        <w:rPr>
          <w:rFonts w:ascii="Verdana" w:hAnsi="Verdana" w:cs="Arial"/>
          <w:lang w:val="es-ES"/>
        </w:rPr>
      </w:pPr>
      <w:r w:rsidRPr="006B33D3">
        <w:rPr>
          <w:rFonts w:ascii="Verdana" w:hAnsi="Verdana" w:cs="Arial"/>
          <w:color w:val="000000"/>
          <w:shd w:val="clear" w:color="auto" w:fill="FFFFFF"/>
          <w:lang w:val="es-ES"/>
        </w:rPr>
        <w:t xml:space="preserve">Adicionalmente, los contratos o convenios suscritos con </w:t>
      </w:r>
      <w:r w:rsidRPr="006B33D3">
        <w:rPr>
          <w:rFonts w:ascii="Verdana" w:hAnsi="Verdana" w:cs="Arial"/>
          <w:i/>
          <w:iCs/>
          <w:color w:val="000000"/>
          <w:shd w:val="clear" w:color="auto" w:fill="FFFFFF"/>
          <w:lang w:val="es-ES"/>
        </w:rPr>
        <w:t>organismos de cooperación, asistencia o ayudas internacionales</w:t>
      </w:r>
      <w:r w:rsidRPr="006B33D3">
        <w:rPr>
          <w:rFonts w:ascii="Verdana" w:hAnsi="Verdana" w:cs="Arial"/>
          <w:color w:val="000000"/>
          <w:shd w:val="clear" w:color="auto" w:fill="FFFFFF"/>
          <w:lang w:val="es-ES"/>
        </w:rPr>
        <w:t xml:space="preserve"> pueden financiarse con aportes en sumas liquidas de dinero o en especie. Esto, según lo establecido en el </w:t>
      </w:r>
      <w:r w:rsidRPr="006B33D3">
        <w:rPr>
          <w:rFonts w:ascii="Verdana" w:hAnsi="Verdana" w:cs="Arial"/>
          <w:color w:val="000000"/>
          <w:shd w:val="clear" w:color="auto" w:fill="FFFFFF"/>
          <w:lang w:val="es-ES"/>
        </w:rPr>
        <w:lastRenderedPageBreak/>
        <w:t xml:space="preserve">parágrafo 3 de la misma disposición, la cual establece la obligación de cuantificar en moneda colombiana los aportes en especie realizados por estos organismos. </w:t>
      </w:r>
    </w:p>
    <w:p w14:paraId="22272EC7" w14:textId="77777777" w:rsidR="009637A2" w:rsidRPr="006B33D3" w:rsidRDefault="009637A2" w:rsidP="009637A2">
      <w:pPr>
        <w:spacing w:before="120" w:after="0" w:line="276" w:lineRule="auto"/>
        <w:ind w:firstLine="709"/>
        <w:jc w:val="both"/>
        <w:rPr>
          <w:rFonts w:ascii="Verdana" w:eastAsia="Calibri" w:hAnsi="Verdana" w:cs="Arial"/>
          <w:lang w:val="es-ES"/>
        </w:rPr>
      </w:pPr>
      <w:r w:rsidRPr="006B33D3">
        <w:rPr>
          <w:rFonts w:ascii="Verdana" w:eastAsia="Calibri" w:hAnsi="Verdana" w:cs="Arial"/>
          <w:lang w:val="es-ES"/>
        </w:rPr>
        <w:t xml:space="preserve">Por otro lado, la norma establece criterios adicionales para determinar la posible aplicación de los reglamentos de los organismos internacionales. El </w:t>
      </w:r>
      <w:r w:rsidRPr="006B33D3">
        <w:rPr>
          <w:rFonts w:ascii="Verdana" w:eastAsia="Calibri" w:hAnsi="Verdana" w:cs="Arial"/>
          <w:i/>
          <w:iCs/>
          <w:lang w:val="es-ES"/>
        </w:rPr>
        <w:t>inciso segundo</w:t>
      </w:r>
      <w:r w:rsidRPr="006B33D3">
        <w:rPr>
          <w:rFonts w:ascii="Verdana" w:eastAsia="Calibri" w:hAnsi="Verdana" w:cs="Arial"/>
          <w:lang w:val="es-ES"/>
        </w:rPr>
        <w:t xml:space="preserve"> determinó supuestos específicos que proceden dependiendo del objeto del convenio o contrato a celebrar. Aunado a estos, incluye otro relacionado con los organismos internacionales cuyos fondos financien los convenios o contratos. Cuando se configure cualquiera de estos casos, las entidades y los organismos </w:t>
      </w:r>
      <w:r w:rsidRPr="006B33D3">
        <w:rPr>
          <w:rFonts w:ascii="Verdana" w:eastAsia="Calibri" w:hAnsi="Verdana" w:cs="Arial"/>
          <w:i/>
          <w:iCs/>
          <w:lang w:val="es-ES"/>
        </w:rPr>
        <w:t>pueden</w:t>
      </w:r>
      <w:r w:rsidRPr="006B33D3">
        <w:rPr>
          <w:rFonts w:ascii="Verdana" w:eastAsia="Calibri" w:hAnsi="Verdana" w:cs="Arial"/>
          <w:lang w:val="es-ES"/>
        </w:rPr>
        <w:t xml:space="preserve"> optar porque el acuerdo se someta a sus reglamentos: </w:t>
      </w:r>
    </w:p>
    <w:p w14:paraId="543A3D6B" w14:textId="77777777" w:rsidR="009637A2" w:rsidRPr="006B33D3" w:rsidRDefault="009637A2" w:rsidP="009637A2">
      <w:pPr>
        <w:spacing w:after="0" w:line="276" w:lineRule="auto"/>
        <w:ind w:firstLine="709"/>
        <w:jc w:val="both"/>
        <w:rPr>
          <w:rFonts w:ascii="Verdana" w:eastAsia="Calibri" w:hAnsi="Verdana" w:cs="Arial"/>
          <w:lang w:val="es-ES"/>
        </w:rPr>
      </w:pPr>
    </w:p>
    <w:p w14:paraId="59530364" w14:textId="77777777" w:rsidR="009637A2" w:rsidRPr="006B33D3" w:rsidRDefault="009637A2" w:rsidP="009637A2">
      <w:pPr>
        <w:numPr>
          <w:ilvl w:val="0"/>
          <w:numId w:val="28"/>
        </w:numPr>
        <w:spacing w:after="0" w:line="276" w:lineRule="auto"/>
        <w:ind w:right="709"/>
        <w:contextualSpacing/>
        <w:jc w:val="both"/>
        <w:rPr>
          <w:rFonts w:ascii="Verdana" w:hAnsi="Verdana" w:cs="Arial"/>
          <w:lang w:val="es-ES"/>
        </w:rPr>
      </w:pPr>
      <w:r w:rsidRPr="006B33D3">
        <w:rPr>
          <w:rFonts w:ascii="Verdana" w:hAnsi="Verdana" w:cs="Arial"/>
          <w:lang w:val="es-ES"/>
        </w:rPr>
        <w:t xml:space="preserve">Contratos o convenios celebrados con personas extranjeras de derecho público u organismos de derecho internacional cuyo objeto sea el desarrollo de programas de promoción, prevención y atención en salud </w:t>
      </w:r>
    </w:p>
    <w:p w14:paraId="60B60524" w14:textId="77777777" w:rsidR="009637A2" w:rsidRPr="006B33D3" w:rsidRDefault="009637A2" w:rsidP="009637A2">
      <w:pPr>
        <w:numPr>
          <w:ilvl w:val="0"/>
          <w:numId w:val="28"/>
        </w:numPr>
        <w:spacing w:after="0" w:line="276" w:lineRule="auto"/>
        <w:ind w:right="709"/>
        <w:contextualSpacing/>
        <w:jc w:val="both"/>
        <w:rPr>
          <w:rFonts w:ascii="Verdana" w:hAnsi="Verdana" w:cs="Arial"/>
          <w:lang w:val="es-ES"/>
        </w:rPr>
      </w:pPr>
      <w:r w:rsidRPr="006B33D3">
        <w:rPr>
          <w:rFonts w:ascii="Verdana" w:hAnsi="Verdana" w:cs="Arial"/>
          <w:lang w:val="es-ES"/>
        </w:rPr>
        <w:t>Contratos y convenios necesarios para la operación de la Organización Internacional del Trabajo.</w:t>
      </w:r>
    </w:p>
    <w:p w14:paraId="41F032E9" w14:textId="77777777" w:rsidR="009637A2" w:rsidRPr="006B33D3" w:rsidRDefault="009637A2" w:rsidP="009637A2">
      <w:pPr>
        <w:numPr>
          <w:ilvl w:val="0"/>
          <w:numId w:val="28"/>
        </w:numPr>
        <w:spacing w:after="0" w:line="276" w:lineRule="auto"/>
        <w:ind w:right="709"/>
        <w:contextualSpacing/>
        <w:jc w:val="both"/>
        <w:rPr>
          <w:rFonts w:ascii="Verdana" w:hAnsi="Verdana" w:cs="Arial"/>
          <w:lang w:val="es-ES"/>
        </w:rPr>
      </w:pPr>
      <w:r w:rsidRPr="006B33D3">
        <w:rPr>
          <w:rFonts w:ascii="Verdana" w:hAnsi="Verdana" w:cs="Arial"/>
          <w:lang w:val="es-ES"/>
        </w:rPr>
        <w:t>Contratos y convenios que se ejecuten en desarrollo del sistema integrado de monitoreo de cultivos ilícitos.</w:t>
      </w:r>
    </w:p>
    <w:p w14:paraId="36DDDFA6" w14:textId="77777777" w:rsidR="009637A2" w:rsidRPr="006B33D3" w:rsidRDefault="009637A2" w:rsidP="009637A2">
      <w:pPr>
        <w:numPr>
          <w:ilvl w:val="0"/>
          <w:numId w:val="28"/>
        </w:numPr>
        <w:spacing w:after="0" w:line="276" w:lineRule="auto"/>
        <w:ind w:right="709"/>
        <w:contextualSpacing/>
        <w:jc w:val="both"/>
        <w:rPr>
          <w:rFonts w:ascii="Verdana" w:hAnsi="Verdana" w:cs="Arial"/>
          <w:lang w:val="es-ES"/>
        </w:rPr>
      </w:pPr>
      <w:r w:rsidRPr="006B33D3">
        <w:rPr>
          <w:rFonts w:ascii="Verdana" w:hAnsi="Verdana" w:cs="Arial"/>
          <w:lang w:val="es-ES"/>
        </w:rPr>
        <w:t>Contratos y convenios para la operación del programa mundial de alimentos.</w:t>
      </w:r>
    </w:p>
    <w:p w14:paraId="78D9B652" w14:textId="77777777" w:rsidR="009637A2" w:rsidRPr="006B33D3" w:rsidRDefault="009637A2" w:rsidP="009637A2">
      <w:pPr>
        <w:numPr>
          <w:ilvl w:val="0"/>
          <w:numId w:val="28"/>
        </w:numPr>
        <w:spacing w:after="0" w:line="276" w:lineRule="auto"/>
        <w:ind w:right="709"/>
        <w:contextualSpacing/>
        <w:jc w:val="both"/>
        <w:rPr>
          <w:rFonts w:ascii="Verdana" w:hAnsi="Verdana" w:cs="Arial"/>
          <w:lang w:val="es-ES"/>
        </w:rPr>
      </w:pPr>
      <w:r w:rsidRPr="006B33D3">
        <w:rPr>
          <w:rFonts w:ascii="Verdana" w:hAnsi="Verdana" w:cs="Arial"/>
          <w:lang w:val="es-ES"/>
        </w:rPr>
        <w:t>Contratos y convenios para el desarrollo de programas de apoyo educativo a población desplazada y vulnerable adelantados por la Unesco y la OIM.</w:t>
      </w:r>
    </w:p>
    <w:p w14:paraId="533471E2" w14:textId="77777777" w:rsidR="009637A2" w:rsidRPr="006B33D3" w:rsidRDefault="009637A2" w:rsidP="009637A2">
      <w:pPr>
        <w:numPr>
          <w:ilvl w:val="0"/>
          <w:numId w:val="28"/>
        </w:numPr>
        <w:spacing w:after="0" w:line="276" w:lineRule="auto"/>
        <w:ind w:right="709"/>
        <w:contextualSpacing/>
        <w:jc w:val="both"/>
        <w:rPr>
          <w:rFonts w:ascii="Verdana" w:hAnsi="Verdana" w:cs="Arial"/>
          <w:lang w:val="es-ES"/>
        </w:rPr>
      </w:pPr>
      <w:r w:rsidRPr="006B33D3">
        <w:rPr>
          <w:rFonts w:ascii="Verdana" w:hAnsi="Verdana" w:cs="Arial"/>
          <w:lang w:val="es-ES"/>
        </w:rPr>
        <w:t xml:space="preserve">Los contratos o convenios financiados con fondos de los organismos multilaterales de crédito y entes gubernamentales extranjeros. </w:t>
      </w:r>
    </w:p>
    <w:p w14:paraId="1E01BBF4" w14:textId="77777777" w:rsidR="009637A2" w:rsidRPr="006B33D3" w:rsidRDefault="009637A2" w:rsidP="009637A2">
      <w:pPr>
        <w:spacing w:after="0"/>
        <w:ind w:left="1429"/>
        <w:contextualSpacing/>
        <w:rPr>
          <w:rFonts w:ascii="Verdana" w:hAnsi="Verdana" w:cs="Arial"/>
          <w:lang w:val="es-ES"/>
        </w:rPr>
      </w:pPr>
    </w:p>
    <w:p w14:paraId="439432BE" w14:textId="77777777" w:rsidR="009637A2" w:rsidRPr="006B33D3" w:rsidRDefault="009637A2" w:rsidP="009637A2">
      <w:pPr>
        <w:spacing w:after="0" w:line="276" w:lineRule="auto"/>
        <w:ind w:firstLine="709"/>
        <w:jc w:val="both"/>
        <w:rPr>
          <w:rFonts w:ascii="Verdana" w:eastAsia="Calibri" w:hAnsi="Verdana" w:cs="Arial"/>
          <w:lang w:val="es-ES"/>
        </w:rPr>
      </w:pPr>
      <w:bookmarkStart w:id="5" w:name="_Hlk148447946"/>
      <w:r w:rsidRPr="006B33D3">
        <w:rPr>
          <w:rFonts w:ascii="Verdana" w:eastAsia="Calibri" w:hAnsi="Verdana" w:cs="Arial"/>
          <w:lang w:val="es-ES"/>
        </w:rPr>
        <w:t>En los supuestos anteriores, independientemente del monto o porcentaje de los aportes de cada una de las partes, es posible optar por someter el contrato o convenio a los reglamentos de los organismos o al EGCAP. Es decir, cuando se configure cualquiera de los supuestos será posible</w:t>
      </w:r>
      <w:bookmarkEnd w:id="5"/>
      <w:r w:rsidRPr="006B33D3">
        <w:rPr>
          <w:rFonts w:ascii="Verdana" w:eastAsia="Calibri" w:hAnsi="Verdana" w:cs="Arial"/>
          <w:lang w:val="es-ES"/>
        </w:rPr>
        <w:t xml:space="preserve"> elegir uno de estos regímenes. Al respecto, en el Concepto C-374 del 27 de julio de 2020, esta Agencia –después de analizar el artículo 20 de la Ley 1150 de 2007– concluyó que:</w:t>
      </w:r>
    </w:p>
    <w:p w14:paraId="276B7838" w14:textId="77777777" w:rsidR="009637A2" w:rsidRPr="006B33D3" w:rsidRDefault="009637A2" w:rsidP="009637A2">
      <w:pPr>
        <w:spacing w:after="0" w:line="276" w:lineRule="auto"/>
        <w:ind w:firstLine="709"/>
        <w:jc w:val="both"/>
        <w:rPr>
          <w:rFonts w:ascii="Verdana" w:eastAsia="Calibri" w:hAnsi="Verdana" w:cs="Arial"/>
          <w:lang w:val="es-ES"/>
        </w:rPr>
      </w:pPr>
    </w:p>
    <w:p w14:paraId="60EFC3F9" w14:textId="77777777" w:rsidR="009637A2" w:rsidRPr="006B33D3" w:rsidRDefault="009637A2" w:rsidP="009637A2">
      <w:pPr>
        <w:spacing w:after="0" w:line="240" w:lineRule="auto"/>
        <w:ind w:left="709" w:right="709"/>
        <w:jc w:val="both"/>
        <w:rPr>
          <w:rFonts w:ascii="Verdana" w:eastAsia="Calibri" w:hAnsi="Verdana" w:cs="Arial"/>
          <w:sz w:val="20"/>
          <w:szCs w:val="20"/>
          <w:lang w:val="es-ES"/>
        </w:rPr>
      </w:pPr>
      <w:r w:rsidRPr="006B33D3">
        <w:rPr>
          <w:rFonts w:ascii="Verdana" w:eastAsia="Calibri" w:hAnsi="Verdana" w:cs="Arial"/>
          <w:sz w:val="20"/>
          <w:szCs w:val="20"/>
          <w:lang w:val="es-ES"/>
        </w:rPr>
        <w:lastRenderedPageBreak/>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693E1A2C" w14:textId="77777777" w:rsidR="009637A2" w:rsidRPr="006B33D3" w:rsidRDefault="009637A2" w:rsidP="009637A2">
      <w:pPr>
        <w:spacing w:after="0" w:line="276" w:lineRule="auto"/>
        <w:ind w:left="709" w:right="709"/>
        <w:jc w:val="both"/>
        <w:rPr>
          <w:rFonts w:ascii="Verdana" w:eastAsia="Calibri" w:hAnsi="Verdana" w:cs="Arial"/>
          <w:lang w:val="es-ES"/>
        </w:rPr>
      </w:pPr>
    </w:p>
    <w:p w14:paraId="0E7EE759"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 xml:space="preserve">Ahora bien, tanto el inciso primero como el último supuesto del segundo inciso se refieren a la financiación del contrato o convenio con fondos de organismos internacionales. Sin embargo, en el primero, la regla alude a los contratos o convenios financiados con fondos de </w:t>
      </w:r>
      <w:r w:rsidRPr="006B33D3">
        <w:rPr>
          <w:rFonts w:ascii="Verdana" w:eastAsia="Calibri" w:hAnsi="Verdana" w:cs="Arial"/>
          <w:i/>
          <w:iCs/>
          <w:lang w:val="es-ES"/>
        </w:rPr>
        <w:t>los organismos de cooperación, asistencia o ayudas internacionales</w:t>
      </w:r>
      <w:r w:rsidRPr="006B33D3">
        <w:rPr>
          <w:rFonts w:ascii="Verdana" w:eastAsia="Calibri" w:hAnsi="Verdana" w:cs="Arial"/>
          <w:lang w:val="es-ES"/>
        </w:rPr>
        <w:t xml:space="preserve">. En contraste, la causal sexta o último supuesto del segundo inciso del artículo 20 alude a los contratos o convenios financiados con fondos de los </w:t>
      </w:r>
      <w:r w:rsidRPr="006B33D3">
        <w:rPr>
          <w:rFonts w:ascii="Verdana" w:eastAsia="Calibri" w:hAnsi="Verdana" w:cs="Arial"/>
          <w:i/>
          <w:iCs/>
          <w:lang w:val="es-ES"/>
        </w:rPr>
        <w:t>organismos multilaterales de crédito y entes gubernamentales extranjeros</w:t>
      </w:r>
      <w:r w:rsidRPr="006B33D3">
        <w:rPr>
          <w:rFonts w:ascii="Verdana" w:eastAsia="Calibri" w:hAnsi="Verdana" w:cs="Arial"/>
          <w:lang w:val="es-ES"/>
        </w:rPr>
        <w:t>. Como se observa, ambos supuestos se refieren a contratos o convenios que se financian con fondos de organismos internacionales, pero la regla para determinar el régimen de contratación aplicable será distinta dependiendo del sujeto que intervenga.</w:t>
      </w:r>
    </w:p>
    <w:p w14:paraId="357E013F"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 xml:space="preserve">Cuando los fondos provienen de los </w:t>
      </w:r>
      <w:r w:rsidRPr="006B33D3">
        <w:rPr>
          <w:rFonts w:ascii="Verdana" w:eastAsia="Calibri" w:hAnsi="Verdana" w:cs="Arial"/>
          <w:i/>
          <w:iCs/>
          <w:lang w:val="es-ES"/>
        </w:rPr>
        <w:t>organismos de cooperación, asistencia o ayudas internacionales</w:t>
      </w:r>
      <w:r w:rsidRPr="006B33D3">
        <w:rPr>
          <w:rFonts w:ascii="Verdana" w:eastAsia="Calibri" w:hAnsi="Verdana" w:cs="Arial"/>
          <w:lang w:val="es-ES"/>
        </w:rPr>
        <w:t xml:space="preserve">, </w:t>
      </w:r>
      <w:proofErr w:type="spellStart"/>
      <w:r w:rsidRPr="006B33D3">
        <w:rPr>
          <w:rFonts w:ascii="Verdana" w:eastAsia="Calibri" w:hAnsi="Verdana" w:cs="Arial"/>
          <w:lang w:val="es-ES"/>
        </w:rPr>
        <w:t>sera</w:t>
      </w:r>
      <w:proofErr w:type="spellEnd"/>
      <w:r w:rsidRPr="006B33D3">
        <w:rPr>
          <w:rFonts w:ascii="Verdana" w:eastAsia="Calibri" w:hAnsi="Verdana" w:cs="Arial"/>
          <w:lang w:val="es-ES"/>
        </w:rPr>
        <w:t xml:space="preserve">́ importante determinar el porcentaje que financian o aportan, pues si sus aportes son inferiores al cincuenta por ciento (50%) el acuerdo se regirá́ necesariamente por EGCAP. Por el contrario, cuando se trate de los fondos de </w:t>
      </w:r>
      <w:r w:rsidRPr="006B33D3">
        <w:rPr>
          <w:rFonts w:ascii="Verdana" w:eastAsia="Calibri" w:hAnsi="Verdana" w:cs="Arial"/>
          <w:i/>
          <w:iCs/>
          <w:lang w:val="es-ES"/>
        </w:rPr>
        <w:t>organismos multilaterales de crédito y entes gubernamentales extranjeros</w:t>
      </w:r>
      <w:r w:rsidRPr="006B33D3">
        <w:rPr>
          <w:rFonts w:ascii="Verdana" w:eastAsia="Calibri" w:hAnsi="Verdana" w:cs="Arial"/>
          <w:lang w:val="es-ES"/>
        </w:rPr>
        <w:t xml:space="preserve">, las Entidades Estatales podrán elegir si aplican el EGCAP o los reglamentos de estos organismos, independientemente del porcentaje que financien o aporten. </w:t>
      </w:r>
    </w:p>
    <w:p w14:paraId="3E02A567"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 xml:space="preserve">Ahora bien, el artículo 20 de la Ley 1150 de 2007 no es una causal autónoma de contratación directa ni una modalidad de selección. Su función se limita a fijar el régimen jurídico aplicable al contrato o convenio celebrado con </w:t>
      </w:r>
      <w:r w:rsidRPr="006B33D3">
        <w:rPr>
          <w:rFonts w:ascii="Verdana" w:eastAsia="Calibri" w:hAnsi="Verdana" w:cs="Arial"/>
          <w:lang w:val="es-ES"/>
        </w:rPr>
        <w:lastRenderedPageBreak/>
        <w:t>el organismo internacional —esto es, si se somete a los reglamentos de aquel o al EGCAP—, sin que de él se derive, por sí solo, la facultad de escoger directamente al contratista. Por consiguiente, cuando con arreglo a esa norma resulte aplicable el Estatuto General de Contratación de la Administración Pública, la entidad deberá determinar de forma independiente la modalidad de selección procedente conforme a las causales del artículo 2 de la misma ley, pues la sujeción al Estatuto comprende también sus reglas sobre los procedimientos de selección.</w:t>
      </w:r>
    </w:p>
    <w:p w14:paraId="06904041" w14:textId="77777777" w:rsidR="009637A2" w:rsidRPr="006B33D3" w:rsidRDefault="009637A2" w:rsidP="009637A2">
      <w:pPr>
        <w:spacing w:after="0" w:line="276" w:lineRule="auto"/>
        <w:jc w:val="both"/>
        <w:rPr>
          <w:rFonts w:ascii="Verdana" w:hAnsi="Verdana" w:cs="Arial"/>
          <w:color w:val="000000" w:themeColor="text1"/>
          <w:lang w:val="es-ES_tradnl"/>
        </w:rPr>
      </w:pPr>
    </w:p>
    <w:p w14:paraId="66FDBD4D" w14:textId="77777777" w:rsidR="009637A2" w:rsidRPr="006B33D3" w:rsidRDefault="009637A2" w:rsidP="009637A2">
      <w:pPr>
        <w:spacing w:after="0" w:line="276" w:lineRule="auto"/>
        <w:jc w:val="both"/>
        <w:rPr>
          <w:rFonts w:ascii="Verdana" w:eastAsia="Calibri" w:hAnsi="Verdana" w:cs="Arial"/>
          <w:lang w:val="es-ES"/>
        </w:rPr>
      </w:pPr>
      <w:proofErr w:type="spellStart"/>
      <w:r w:rsidRPr="006B33D3">
        <w:rPr>
          <w:rFonts w:ascii="Verdana" w:hAnsi="Verdana" w:cs="Arial"/>
          <w:color w:val="000000" w:themeColor="text1"/>
          <w:lang w:val="es-ES_tradnl"/>
        </w:rPr>
        <w:t>ii</w:t>
      </w:r>
      <w:proofErr w:type="spellEnd"/>
      <w:r w:rsidRPr="006B33D3">
        <w:rPr>
          <w:rFonts w:ascii="Verdana" w:hAnsi="Verdana" w:cs="Arial"/>
          <w:color w:val="000000" w:themeColor="text1"/>
          <w:lang w:val="es-ES_tradnl"/>
        </w:rPr>
        <w:t xml:space="preserve">. </w:t>
      </w:r>
      <w:r w:rsidRPr="006B33D3">
        <w:rPr>
          <w:rFonts w:ascii="Verdana" w:eastAsia="Calibri" w:hAnsi="Verdana" w:cs="Arial"/>
          <w:lang w:val="es-ES_tradnl"/>
        </w:rPr>
        <w:t>E</w:t>
      </w:r>
      <w:r w:rsidRPr="006B33D3">
        <w:rPr>
          <w:rFonts w:ascii="Verdana" w:eastAsia="Calibri" w:hAnsi="Verdana" w:cs="Arial"/>
          <w:lang w:val="es-ES"/>
        </w:rPr>
        <w:t xml:space="preserve">l Decreto 603 de 2022, “Por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w:t>
      </w:r>
      <w:proofErr w:type="gramStart"/>
      <w:r w:rsidRPr="006B33D3">
        <w:rPr>
          <w:rFonts w:ascii="Verdana" w:eastAsia="Calibri" w:hAnsi="Verdana" w:cs="Arial"/>
          <w:lang w:val="es-ES"/>
        </w:rPr>
        <w:t>del mismo</w:t>
      </w:r>
      <w:proofErr w:type="gramEnd"/>
      <w:r w:rsidRPr="006B33D3">
        <w:rPr>
          <w:rFonts w:ascii="Verdana" w:eastAsia="Calibri" w:hAnsi="Verdana" w:cs="Arial"/>
          <w:lang w:val="es-ES"/>
        </w:rPr>
        <w:t xml:space="preserve">”, estableció algunos lineamientos para la cooperación internacional en Colombia. Específicamente, el artículo </w:t>
      </w:r>
      <w:r w:rsidRPr="006B33D3">
        <w:rPr>
          <w:rFonts w:ascii="Verdana" w:eastAsia="Calibri" w:hAnsi="Verdana" w:cs="Arial"/>
        </w:rPr>
        <w:t xml:space="preserve">2.2.8.3.4 </w:t>
      </w:r>
      <w:r w:rsidRPr="006B33D3">
        <w:rPr>
          <w:rFonts w:ascii="Verdana" w:eastAsia="Calibri" w:hAnsi="Verdana" w:cs="Arial"/>
          <w:i/>
          <w:iCs/>
        </w:rPr>
        <w:t xml:space="preserve">ibidem </w:t>
      </w:r>
      <w:r w:rsidRPr="006B33D3">
        <w:rPr>
          <w:rFonts w:ascii="Verdana" w:eastAsia="Calibri" w:hAnsi="Verdana" w:cs="Arial"/>
          <w:lang w:val="es-ES"/>
        </w:rPr>
        <w:t>que se refiere a la participación de los socios, estableció lo siguiente</w:t>
      </w:r>
      <w:r w:rsidRPr="006B33D3">
        <w:rPr>
          <w:rFonts w:ascii="Verdana" w:eastAsia="Calibri" w:hAnsi="Verdana" w:cs="Arial"/>
        </w:rPr>
        <w:t xml:space="preserve">: </w:t>
      </w:r>
    </w:p>
    <w:p w14:paraId="2F541BF3" w14:textId="77777777" w:rsidR="009637A2" w:rsidRPr="006B33D3" w:rsidRDefault="009637A2" w:rsidP="009637A2">
      <w:pPr>
        <w:spacing w:after="0" w:line="276" w:lineRule="auto"/>
        <w:ind w:left="709" w:right="616"/>
        <w:jc w:val="both"/>
        <w:rPr>
          <w:rFonts w:ascii="Verdana" w:eastAsia="Calibri" w:hAnsi="Verdana" w:cs="Arial"/>
          <w:sz w:val="20"/>
          <w:szCs w:val="20"/>
        </w:rPr>
      </w:pPr>
    </w:p>
    <w:p w14:paraId="48C0FF1C" w14:textId="77777777" w:rsidR="009637A2" w:rsidRPr="006B33D3" w:rsidRDefault="009637A2" w:rsidP="009637A2">
      <w:pPr>
        <w:spacing w:after="0" w:line="240" w:lineRule="auto"/>
        <w:ind w:left="709" w:right="618"/>
        <w:jc w:val="both"/>
        <w:rPr>
          <w:rFonts w:ascii="Verdana" w:eastAsia="Calibri" w:hAnsi="Verdana" w:cs="Arial"/>
          <w:sz w:val="20"/>
          <w:szCs w:val="20"/>
        </w:rPr>
      </w:pPr>
      <w:r w:rsidRPr="006B33D3">
        <w:rPr>
          <w:rFonts w:ascii="Verdana" w:eastAsia="Calibri" w:hAnsi="Verdana" w:cs="Arial"/>
          <w:sz w:val="20"/>
          <w:szCs w:val="20"/>
        </w:rPr>
        <w:t xml:space="preserve">“Artículo 2.2.8.3.4. Participación de los Socios de la cooperación Internacional. Todo proyecto, programa y/o iniciativa de cooperación internacional que sea implementada por un socio de cooperación internacional y que involucre recursos del Presupuesto General de la Nación, debe tener una contrapartida de </w:t>
      </w:r>
      <w:r w:rsidRPr="006B33D3">
        <w:rPr>
          <w:rFonts w:ascii="Verdana" w:eastAsia="Calibri" w:hAnsi="Verdana" w:cs="Arial"/>
          <w:i/>
          <w:sz w:val="20"/>
          <w:szCs w:val="20"/>
        </w:rPr>
        <w:t>recursos financieros</w:t>
      </w:r>
      <w:r w:rsidRPr="006B33D3">
        <w:rPr>
          <w:rFonts w:ascii="Verdana" w:eastAsia="Calibri" w:hAnsi="Verdana" w:cs="Arial"/>
          <w:sz w:val="20"/>
          <w:szCs w:val="20"/>
        </w:rPr>
        <w:t xml:space="preserve"> mínimo del 30%, del socio de cooperación internacional.</w:t>
      </w:r>
    </w:p>
    <w:p w14:paraId="2F07BA1A" w14:textId="77777777" w:rsidR="009637A2" w:rsidRPr="006B33D3" w:rsidRDefault="009637A2" w:rsidP="009637A2">
      <w:pPr>
        <w:spacing w:after="0" w:line="240" w:lineRule="auto"/>
        <w:ind w:left="709" w:right="618"/>
        <w:jc w:val="both"/>
        <w:rPr>
          <w:rFonts w:ascii="Verdana" w:eastAsia="Calibri" w:hAnsi="Verdana" w:cs="Arial"/>
          <w:sz w:val="20"/>
          <w:szCs w:val="20"/>
        </w:rPr>
      </w:pPr>
    </w:p>
    <w:p w14:paraId="567B449F" w14:textId="77777777" w:rsidR="009637A2" w:rsidRPr="006B33D3" w:rsidRDefault="009637A2" w:rsidP="009637A2">
      <w:pPr>
        <w:spacing w:after="0" w:line="240" w:lineRule="auto"/>
        <w:ind w:left="709" w:right="618"/>
        <w:jc w:val="both"/>
        <w:rPr>
          <w:rFonts w:ascii="Verdana" w:eastAsia="Calibri" w:hAnsi="Verdana" w:cs="Arial"/>
          <w:sz w:val="20"/>
          <w:szCs w:val="20"/>
        </w:rPr>
      </w:pPr>
      <w:r w:rsidRPr="006B33D3">
        <w:rPr>
          <w:rFonts w:ascii="Verdana" w:eastAsia="Calibri" w:hAnsi="Verdana" w:cs="Arial"/>
          <w:sz w:val="20"/>
          <w:szCs w:val="20"/>
        </w:rPr>
        <w:t xml:space="preserve">Parágrafo. Cuando más del 40% del financiamiento proviene del Presupuesto Nacional, el Socio de Cooperación internacional debe presentar estados financieros detallados o documento equivalente, a la entidad nacional o territorial líder del proyecto”. (Énfasis fuera del texto). </w:t>
      </w:r>
    </w:p>
    <w:p w14:paraId="5204650C" w14:textId="77777777" w:rsidR="009637A2" w:rsidRPr="006B33D3" w:rsidRDefault="009637A2" w:rsidP="009637A2">
      <w:pPr>
        <w:spacing w:after="0" w:line="276" w:lineRule="auto"/>
        <w:ind w:firstLine="709"/>
        <w:jc w:val="both"/>
        <w:rPr>
          <w:rFonts w:ascii="Verdana" w:eastAsia="Calibri" w:hAnsi="Verdana" w:cs="Arial"/>
        </w:rPr>
      </w:pPr>
    </w:p>
    <w:p w14:paraId="0DA55CAC"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rPr>
        <w:t xml:space="preserve">Según se evidencia, la norma señala los lineamientos para la ejecución de proyectos, programas o iniciativas de cooperación internacional en los que se involucren recursos del Presupuesto General de la Nación, precisando que los socios de cooperación internacional que pretendan ejecutar dichos proyectos deben aportar una contrapartida de mínimo el 30% de recursos financieros. De lo anterior entonces, se encuentra que esta norma reglamentó parcialmente la </w:t>
      </w:r>
      <w:r w:rsidRPr="006B33D3">
        <w:rPr>
          <w:rFonts w:ascii="Verdana" w:eastAsia="Calibri" w:hAnsi="Verdana" w:cs="Arial"/>
        </w:rPr>
        <w:lastRenderedPageBreak/>
        <w:t xml:space="preserve">Ley 1955 de 2019, “por el cual </w:t>
      </w:r>
      <w:r w:rsidRPr="006B33D3">
        <w:rPr>
          <w:rFonts w:ascii="Verdana" w:eastAsia="Calibri" w:hAnsi="Verdana" w:cs="Arial"/>
          <w:lang w:val="es-ES"/>
        </w:rPr>
        <w:t>se expide el Plan Nacional de Desarrollo 2018-2022 pacto por Colombia, pacto por la equidad”</w:t>
      </w:r>
      <w:r w:rsidRPr="006B33D3">
        <w:rPr>
          <w:rFonts w:ascii="Verdana" w:eastAsia="Calibri" w:hAnsi="Verdana" w:cs="Arial"/>
          <w:vertAlign w:val="superscript"/>
          <w:lang w:val="es-ES"/>
        </w:rPr>
        <w:footnoteReference w:id="6"/>
      </w:r>
      <w:r w:rsidRPr="006B33D3">
        <w:rPr>
          <w:rFonts w:ascii="Verdana" w:eastAsia="Calibri" w:hAnsi="Verdana" w:cs="Arial"/>
          <w:lang w:val="es-ES"/>
        </w:rPr>
        <w:t>.</w:t>
      </w:r>
    </w:p>
    <w:p w14:paraId="1BE0E7C3"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Al respecto, las Bases del Plan Nacional de Desarrollo 2018 – 2022 disponen que “El Gobierno nacional creará el Sistema Nacional de Cooperación Internacional como estrategia para la orientación y coordinación de las entidades del nivel nacional, departamental, distrital y municipal, así como del sector privado y no gubernamental, para alcanzar la mayor alineación, pertinencia y eficacia de la cooperación internacional no reembolsable y técnica, cuya secretaría técnica será ejercida por APC-Colombia. Las acciones desarrolladas en el marco de este sistema estarán articuladas con la agenda de política exterior”</w:t>
      </w:r>
      <w:r w:rsidRPr="006B33D3">
        <w:rPr>
          <w:rFonts w:ascii="Verdana" w:eastAsia="Calibri" w:hAnsi="Verdana" w:cs="Arial"/>
          <w:vertAlign w:val="superscript"/>
          <w:lang w:val="es-ES"/>
        </w:rPr>
        <w:footnoteReference w:id="7"/>
      </w:r>
      <w:r w:rsidRPr="006B33D3">
        <w:rPr>
          <w:rFonts w:ascii="Verdana" w:eastAsia="Calibri" w:hAnsi="Verdana" w:cs="Arial"/>
          <w:lang w:val="es-ES"/>
        </w:rPr>
        <w:t xml:space="preserve">. En este sentido, podemos afirmar que el Decreto 603 de 2022 desarrolla la Ley 1955 de 2019. </w:t>
      </w:r>
    </w:p>
    <w:p w14:paraId="1E27DCF0" w14:textId="77777777" w:rsidR="009637A2" w:rsidRPr="006B33D3" w:rsidRDefault="009637A2" w:rsidP="009637A2">
      <w:pPr>
        <w:spacing w:after="120" w:line="276" w:lineRule="auto"/>
        <w:ind w:firstLine="709"/>
        <w:jc w:val="both"/>
        <w:rPr>
          <w:rFonts w:ascii="Verdana" w:eastAsia="Calibri" w:hAnsi="Verdana" w:cs="Arial"/>
        </w:rPr>
      </w:pPr>
      <w:bookmarkStart w:id="6" w:name="_Hlk183771524"/>
      <w:r w:rsidRPr="006B33D3">
        <w:rPr>
          <w:rFonts w:ascii="Verdana" w:eastAsia="Calibri" w:hAnsi="Verdana" w:cs="Arial"/>
        </w:rPr>
        <w:t>Para el correcto entendimiento del artículo 2.2.8.3.4 del Decreto 1067 de 2015 adicionado por el Decreto 603 de 2022 es necesario reiterar el alcance del concepto “recursos financieros”, el cual ha sido expuesto en los distintos conceptos expedidos por esta Agencia sobre la materia. En efecto, el Estatuto General de Contratación de la Administración Pública no definió el concepto “recursos financieros”. No obstante, el programa “Gerencia de recursos físicos y financieros”</w:t>
      </w:r>
      <w:r w:rsidRPr="006B33D3">
        <w:rPr>
          <w:rFonts w:ascii="Verdana" w:eastAsia="Calibri" w:hAnsi="Verdana" w:cs="Arial"/>
          <w:vertAlign w:val="superscript"/>
        </w:rPr>
        <w:t xml:space="preserve"> </w:t>
      </w:r>
      <w:r w:rsidRPr="006B33D3">
        <w:rPr>
          <w:rFonts w:ascii="Verdana" w:eastAsia="Calibri" w:hAnsi="Verdana" w:cs="Arial"/>
        </w:rPr>
        <w:t>de la Escuela Superior de Administración Pública trae una aproximación a la definición de los recursos financieros del Estado, según el cual son “todos aquellos recursos económicos que le permiten al sector público desarrollar sus actividades.</w:t>
      </w:r>
      <w:bookmarkEnd w:id="6"/>
      <w:r w:rsidRPr="006B33D3">
        <w:rPr>
          <w:rFonts w:ascii="Verdana" w:eastAsia="Calibri" w:hAnsi="Verdana" w:cs="Arial"/>
        </w:rPr>
        <w:t xml:space="preserve"> El estudio de las operaciones propias para la consecución y administración de dichos recursos corresponde a las Finanzas Públicas” y precisa que estos recursos se clasifican, a su vez, en ingresos corrientes, contribuciones parafiscales y recursos de capital</w:t>
      </w:r>
      <w:r w:rsidRPr="006B33D3">
        <w:rPr>
          <w:rFonts w:ascii="Verdana" w:eastAsia="Calibri" w:hAnsi="Verdana" w:cs="Arial"/>
          <w:vertAlign w:val="superscript"/>
        </w:rPr>
        <w:footnoteReference w:id="8"/>
      </w:r>
      <w:r w:rsidRPr="006B33D3">
        <w:rPr>
          <w:rFonts w:ascii="Verdana" w:eastAsia="Calibri" w:hAnsi="Verdana" w:cs="Arial"/>
        </w:rPr>
        <w:t xml:space="preserve">. </w:t>
      </w:r>
    </w:p>
    <w:p w14:paraId="7A53A665"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rPr>
        <w:t xml:space="preserve">Estas tres categorías, a diferencia de lo señalado en relación con la definición de recursos financieros, fueron definidas por el legislador. De un lado, los ingresos corrientes corresponden a los “ingresos que recaudan los establecimientos por </w:t>
      </w:r>
      <w:r w:rsidRPr="006B33D3">
        <w:rPr>
          <w:rFonts w:ascii="Verdana" w:eastAsia="Calibri" w:hAnsi="Verdana" w:cs="Arial"/>
          <w:lang w:val="es-ES"/>
        </w:rPr>
        <w:t xml:space="preserve">bienes y servicios y los tributos que reciben por norma </w:t>
      </w:r>
      <w:r w:rsidRPr="006B33D3">
        <w:rPr>
          <w:rFonts w:ascii="Verdana" w:eastAsia="Calibri" w:hAnsi="Verdana" w:cs="Arial"/>
          <w:lang w:val="es-ES"/>
        </w:rPr>
        <w:lastRenderedPageBreak/>
        <w:t>legal”</w:t>
      </w:r>
      <w:r w:rsidRPr="006B33D3">
        <w:rPr>
          <w:rFonts w:ascii="Verdana" w:eastAsia="Calibri" w:hAnsi="Verdana" w:cs="Arial"/>
          <w:vertAlign w:val="superscript"/>
          <w:lang w:val="es-ES"/>
        </w:rPr>
        <w:footnoteReference w:id="9"/>
      </w:r>
      <w:r w:rsidRPr="006B33D3">
        <w:rPr>
          <w:rFonts w:ascii="Verdana" w:eastAsia="Calibri" w:hAnsi="Verdana" w:cs="Arial"/>
          <w:lang w:val="es-ES"/>
        </w:rPr>
        <w:t>. El artículo 27 del Decreto 111 de 1996 señala que se clasifican en ingresos tributarios y no tributarios. Entendiendo por tributarios los impuestos y por no tributarios las tasas y multas</w:t>
      </w:r>
      <w:r w:rsidRPr="006B33D3">
        <w:rPr>
          <w:rFonts w:ascii="Verdana" w:eastAsia="Calibri" w:hAnsi="Verdana" w:cs="Arial"/>
          <w:vertAlign w:val="superscript"/>
          <w:lang w:val="es-ES"/>
        </w:rPr>
        <w:footnoteReference w:id="10"/>
      </w:r>
      <w:r w:rsidRPr="006B33D3">
        <w:rPr>
          <w:rFonts w:ascii="Verdana" w:eastAsia="Calibri" w:hAnsi="Verdana" w:cs="Arial"/>
          <w:vertAlign w:val="superscript"/>
          <w:lang w:val="es-ES"/>
        </w:rPr>
        <w:t>.</w:t>
      </w:r>
      <w:r w:rsidRPr="006B33D3">
        <w:rPr>
          <w:rFonts w:ascii="Verdana" w:eastAsia="Calibri" w:hAnsi="Verdana" w:cs="Arial"/>
          <w:lang w:val="es-ES"/>
        </w:rPr>
        <w:t xml:space="preserve"> </w:t>
      </w:r>
    </w:p>
    <w:p w14:paraId="76236E45"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 xml:space="preserve"> Por su parte, las contribuciones parafiscales son “una institución intermedia entre la tasa administrativa y el impuesto. Se trata de pagos que deben hacer los usuarios de ciertos organismos públicos o semipúblicos para asegurar el financiamiento de estas entidades de manera autónoma”</w:t>
      </w:r>
      <w:r w:rsidRPr="006B33D3">
        <w:rPr>
          <w:rFonts w:ascii="Verdana" w:eastAsia="Calibri" w:hAnsi="Verdana" w:cs="Arial"/>
          <w:vertAlign w:val="superscript"/>
          <w:lang w:val="es-ES"/>
        </w:rPr>
        <w:footnoteReference w:id="11"/>
      </w:r>
      <w:r w:rsidRPr="006B33D3">
        <w:rPr>
          <w:rFonts w:ascii="Verdana" w:eastAsia="Calibri" w:hAnsi="Verdana" w:cs="Arial"/>
          <w:lang w:val="es-ES"/>
        </w:rPr>
        <w:t>. El artículo 28 del Decreto 111 de 1996, las define como los gravámenes obligatorios definidos en la Ley, utilizados para beneficio de un sector específico que afectan al grupo social y económico del referido sector</w:t>
      </w:r>
      <w:r w:rsidRPr="006B33D3">
        <w:rPr>
          <w:rFonts w:ascii="Verdana" w:eastAsia="Calibri" w:hAnsi="Verdana" w:cs="Arial"/>
          <w:vertAlign w:val="superscript"/>
          <w:lang w:val="es-ES"/>
        </w:rPr>
        <w:footnoteReference w:id="12"/>
      </w:r>
      <w:r w:rsidRPr="006B33D3">
        <w:rPr>
          <w:rFonts w:ascii="Verdana" w:eastAsia="Calibri" w:hAnsi="Verdana" w:cs="Arial"/>
          <w:lang w:val="es-ES"/>
        </w:rPr>
        <w:t>.</w:t>
      </w:r>
    </w:p>
    <w:p w14:paraId="484A3764"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Los recursos de capital son “los recursos que se obtienen del crédito interno, del crédito externo, los que se generan como recursos del balance, los rendimientos financieros, las donaciones y otros recursos esporádicos”</w:t>
      </w:r>
      <w:r w:rsidRPr="006B33D3">
        <w:rPr>
          <w:rFonts w:ascii="Verdana" w:eastAsia="Calibri" w:hAnsi="Verdana" w:cs="Arial"/>
          <w:vertAlign w:val="superscript"/>
          <w:lang w:val="es-ES"/>
        </w:rPr>
        <w:footnoteReference w:id="13"/>
      </w:r>
      <w:r w:rsidRPr="006B33D3">
        <w:rPr>
          <w:rFonts w:ascii="Verdana" w:eastAsia="Calibri" w:hAnsi="Verdana" w:cs="Arial"/>
          <w:lang w:val="es-ES"/>
        </w:rPr>
        <w:t xml:space="preserve">. El artículo 31 del referido Decreto señala que comprenden “los recursos del balance, los recursos del crédito interno y externo con vencimiento mayor a un año de acuerdo con los cupos autorizados por el Congreso de la República, los rendimientos financieros, el diferencial cambiario originado por la monetización de los desembolsos del crédito externo y de las inversiones en moneda extranjera, las donaciones, el excedente financiero de los establecimientos públicos del orden nacional y de las empresas industriales y comerciales del Estado del orden nacional, y de las sociedades de economía mixta con el régimen de aquéllas, sin perjuicio de la autonomía que la Constitución y la ley les otorga, </w:t>
      </w:r>
      <w:r w:rsidRPr="006B33D3">
        <w:rPr>
          <w:rFonts w:ascii="Verdana" w:eastAsia="Calibri" w:hAnsi="Verdana" w:cs="Arial"/>
          <w:lang w:val="es-ES"/>
        </w:rPr>
        <w:lastRenderedPageBreak/>
        <w:t>y las utilidades del Banco de la República, descontadas las reservas de estabilización cambiaria y monetaria”</w:t>
      </w:r>
      <w:r w:rsidRPr="006B33D3">
        <w:rPr>
          <w:rFonts w:ascii="Verdana" w:eastAsia="Calibri" w:hAnsi="Verdana" w:cs="Arial"/>
          <w:vertAlign w:val="superscript"/>
          <w:lang w:val="es-ES"/>
        </w:rPr>
        <w:footnoteReference w:id="14"/>
      </w:r>
      <w:r w:rsidRPr="006B33D3">
        <w:rPr>
          <w:rFonts w:ascii="Verdana" w:eastAsia="Calibri" w:hAnsi="Verdana" w:cs="Arial"/>
          <w:lang w:val="es-ES"/>
        </w:rPr>
        <w:t>.</w:t>
      </w:r>
    </w:p>
    <w:p w14:paraId="623BC793"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 xml:space="preserve">Además, el Estatuto Orgánico del Presupuesto dispone que las tipologías referidas componen el presupuesto de rentas del presupuesto general de la Nación. En los términos del literal a) del artículo 11 del Decreto 111 de 1996, este “[…] contendrá la estimación de los ingresos corrientes de la Nación; de las contribuciones parafiscales cuando sean administradas por un órgano que haga parte del presupuesto, de los fondos especiales, los recursos de capital y los ingresos de los establecimientos públicos del orden nacional”. </w:t>
      </w:r>
    </w:p>
    <w:p w14:paraId="2A6440D9"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De las aproximaciones conceptuales anteriores, se encuentra que los ingresos corrientes, las contribuciones parafiscales y los recursos de capital hacen parte del presupuesto de rentas del presupuesto general de la nación, de manera que constituyen partidas dinerarias.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w:t>
      </w:r>
    </w:p>
    <w:p w14:paraId="631894A1" w14:textId="77777777" w:rsidR="009637A2" w:rsidRPr="006B33D3" w:rsidRDefault="009637A2" w:rsidP="009637A2">
      <w:pPr>
        <w:spacing w:after="0" w:line="276" w:lineRule="auto"/>
        <w:ind w:firstLine="709"/>
        <w:jc w:val="both"/>
        <w:rPr>
          <w:rFonts w:ascii="Verdana" w:eastAsia="Calibri" w:hAnsi="Verdana" w:cs="Arial"/>
        </w:rPr>
      </w:pPr>
      <w:r w:rsidRPr="006B33D3">
        <w:rPr>
          <w:rFonts w:ascii="Verdana" w:eastAsia="Calibri" w:hAnsi="Verdana" w:cs="Arial"/>
          <w:lang w:val="es-ES"/>
        </w:rPr>
        <w:t xml:space="preserve">Aunado a lo anterior, es preciso tener en cuenta el documento denominado </w:t>
      </w:r>
      <w:bookmarkStart w:id="7" w:name="_Hlk183091451"/>
      <w:r w:rsidRPr="006B33D3">
        <w:rPr>
          <w:rFonts w:ascii="Verdana" w:eastAsia="Calibri" w:hAnsi="Verdana" w:cs="Arial"/>
          <w:lang w:val="es-ES"/>
        </w:rPr>
        <w:t>“</w:t>
      </w:r>
      <w:r w:rsidRPr="006B33D3">
        <w:rPr>
          <w:rFonts w:ascii="Verdana" w:eastAsia="Calibri" w:hAnsi="Verdana" w:cs="Arial"/>
        </w:rPr>
        <w:t>Herramientas normativas de la cooperación internacional en Colombia” expedido por la Agencia Presidencial de Cooperación Internacional de Colombia</w:t>
      </w:r>
      <w:bookmarkEnd w:id="7"/>
      <w:r w:rsidRPr="006B33D3">
        <w:rPr>
          <w:rFonts w:ascii="Verdana" w:eastAsia="Calibri" w:hAnsi="Verdana" w:cs="Arial"/>
        </w:rPr>
        <w:t>, que establece el marco normativo general de la cooperación internacional no reembolsable, así como de la contratación que se lleva a cabo en el marco de la cooperación internacional técnica y financiera no reembolsable</w:t>
      </w:r>
      <w:r w:rsidRPr="006B33D3">
        <w:rPr>
          <w:rFonts w:ascii="Verdana" w:eastAsia="Calibri" w:hAnsi="Verdana" w:cs="Arial"/>
          <w:vertAlign w:val="superscript"/>
        </w:rPr>
        <w:footnoteReference w:id="15"/>
      </w:r>
      <w:r w:rsidRPr="006B33D3">
        <w:rPr>
          <w:rFonts w:ascii="Verdana" w:eastAsia="Calibri" w:hAnsi="Verdana" w:cs="Arial"/>
        </w:rPr>
        <w:t>. El numeral 4.2 señala dentro de los tipos de cooperación internacional la cooperación financiera definida así:</w:t>
      </w:r>
    </w:p>
    <w:p w14:paraId="410ACF7C" w14:textId="77777777" w:rsidR="009637A2" w:rsidRPr="006B33D3" w:rsidRDefault="009637A2" w:rsidP="009637A2">
      <w:pPr>
        <w:spacing w:after="0" w:line="276" w:lineRule="auto"/>
        <w:ind w:firstLine="709"/>
        <w:jc w:val="both"/>
        <w:rPr>
          <w:rFonts w:ascii="Verdana" w:eastAsia="Calibri" w:hAnsi="Verdana" w:cs="Arial"/>
        </w:rPr>
      </w:pPr>
    </w:p>
    <w:p w14:paraId="56C6B092" w14:textId="77777777" w:rsidR="009637A2" w:rsidRPr="006B33D3" w:rsidRDefault="009637A2" w:rsidP="009637A2">
      <w:pPr>
        <w:spacing w:after="0" w:line="240" w:lineRule="auto"/>
        <w:ind w:left="709" w:right="618"/>
        <w:jc w:val="both"/>
        <w:rPr>
          <w:rFonts w:ascii="Verdana" w:eastAsia="Calibri" w:hAnsi="Verdana" w:cs="Arial"/>
          <w:sz w:val="21"/>
          <w:szCs w:val="21"/>
        </w:rPr>
      </w:pPr>
      <w:r w:rsidRPr="006B33D3">
        <w:rPr>
          <w:rFonts w:ascii="Verdana" w:eastAsia="Calibri" w:hAnsi="Verdana" w:cs="Arial"/>
          <w:sz w:val="21"/>
          <w:szCs w:val="21"/>
        </w:rPr>
        <w:t>Es la ofrecida por algunas fuentes, mediante la asignación de</w:t>
      </w:r>
      <w:r w:rsidRPr="006B33D3">
        <w:rPr>
          <w:rFonts w:ascii="Verdana" w:eastAsia="Calibri" w:hAnsi="Verdana" w:cs="Arial"/>
          <w:i/>
          <w:iCs/>
          <w:sz w:val="21"/>
          <w:szCs w:val="21"/>
        </w:rPr>
        <w:t xml:space="preserve"> recursos financieros</w:t>
      </w:r>
      <w:r w:rsidRPr="006B33D3">
        <w:rPr>
          <w:rFonts w:ascii="Verdana" w:eastAsia="Calibri" w:hAnsi="Verdana" w:cs="Arial"/>
          <w:sz w:val="21"/>
          <w:szCs w:val="21"/>
        </w:rPr>
        <w:t xml:space="preserve">, con el objeto de apoyar proyectos de desarrollo. Se divide en: </w:t>
      </w:r>
    </w:p>
    <w:p w14:paraId="1F70B9CB" w14:textId="77777777" w:rsidR="009637A2" w:rsidRPr="006B33D3" w:rsidRDefault="009637A2" w:rsidP="009637A2">
      <w:pPr>
        <w:spacing w:after="0" w:line="240" w:lineRule="auto"/>
        <w:ind w:left="709" w:right="618"/>
        <w:jc w:val="both"/>
        <w:rPr>
          <w:rFonts w:ascii="Verdana" w:eastAsia="Calibri" w:hAnsi="Verdana" w:cs="Arial"/>
          <w:sz w:val="21"/>
          <w:szCs w:val="21"/>
        </w:rPr>
      </w:pPr>
    </w:p>
    <w:p w14:paraId="429451AD" w14:textId="77777777" w:rsidR="009637A2" w:rsidRPr="006B33D3" w:rsidRDefault="009637A2" w:rsidP="009637A2">
      <w:pPr>
        <w:spacing w:after="0" w:line="240" w:lineRule="auto"/>
        <w:ind w:left="709" w:right="618"/>
        <w:jc w:val="both"/>
        <w:rPr>
          <w:rFonts w:ascii="Verdana" w:eastAsia="Calibri" w:hAnsi="Verdana" w:cs="Arial"/>
          <w:sz w:val="21"/>
          <w:szCs w:val="21"/>
        </w:rPr>
      </w:pPr>
      <w:r w:rsidRPr="006B33D3">
        <w:rPr>
          <w:rFonts w:ascii="Verdana" w:eastAsia="Calibri" w:hAnsi="Verdana" w:cs="Arial"/>
          <w:sz w:val="21"/>
          <w:szCs w:val="21"/>
        </w:rPr>
        <w:t xml:space="preserve">• Reembolsable: consiste en créditos blandos y se desarrolla bajo condiciones de interés y de tiempo más favorables. </w:t>
      </w:r>
    </w:p>
    <w:p w14:paraId="4F0E24C6" w14:textId="77777777" w:rsidR="009637A2" w:rsidRPr="006B33D3" w:rsidRDefault="009637A2" w:rsidP="009637A2">
      <w:pPr>
        <w:spacing w:after="0" w:line="240" w:lineRule="auto"/>
        <w:ind w:left="709" w:right="618"/>
        <w:jc w:val="both"/>
        <w:rPr>
          <w:rFonts w:ascii="Verdana" w:eastAsia="Calibri" w:hAnsi="Verdana" w:cs="Arial"/>
          <w:sz w:val="21"/>
          <w:szCs w:val="21"/>
        </w:rPr>
      </w:pPr>
    </w:p>
    <w:p w14:paraId="6CA5B258" w14:textId="77777777" w:rsidR="009637A2" w:rsidRPr="006B33D3" w:rsidRDefault="009637A2" w:rsidP="009637A2">
      <w:pPr>
        <w:spacing w:after="0" w:line="240" w:lineRule="auto"/>
        <w:ind w:left="709" w:right="618"/>
        <w:jc w:val="both"/>
        <w:rPr>
          <w:rFonts w:ascii="Verdana" w:eastAsia="Calibri" w:hAnsi="Verdana" w:cs="Arial"/>
          <w:sz w:val="21"/>
          <w:szCs w:val="21"/>
        </w:rPr>
      </w:pPr>
      <w:r w:rsidRPr="006B33D3">
        <w:rPr>
          <w:rFonts w:ascii="Verdana" w:eastAsia="Calibri" w:hAnsi="Verdana" w:cs="Arial"/>
          <w:sz w:val="21"/>
          <w:szCs w:val="21"/>
        </w:rPr>
        <w:lastRenderedPageBreak/>
        <w:t xml:space="preserve">• No reembolsable: es la cooperación ofrecida por algunas fuentes, mediante la </w:t>
      </w:r>
      <w:r w:rsidRPr="006B33D3">
        <w:rPr>
          <w:rFonts w:ascii="Verdana" w:eastAsia="Calibri" w:hAnsi="Verdana" w:cs="Arial"/>
          <w:i/>
          <w:iCs/>
          <w:sz w:val="21"/>
          <w:szCs w:val="21"/>
        </w:rPr>
        <w:t>asignación de recursos en efectivo</w:t>
      </w:r>
      <w:r w:rsidRPr="006B33D3">
        <w:rPr>
          <w:rFonts w:ascii="Verdana" w:eastAsia="Calibri" w:hAnsi="Verdana" w:cs="Arial"/>
          <w:sz w:val="21"/>
          <w:szCs w:val="21"/>
        </w:rPr>
        <w:t>, con el objeto de apoyar proyectos o actividades de desarrollo. También puede estar destinada a la adquisición de materiales y equipos o la financiación de estudios. (Énfasis por fuera de texto).</w:t>
      </w:r>
    </w:p>
    <w:p w14:paraId="2BB7C1D2" w14:textId="77777777" w:rsidR="009637A2" w:rsidRPr="006B33D3" w:rsidRDefault="009637A2" w:rsidP="009637A2">
      <w:pPr>
        <w:spacing w:after="0" w:line="240" w:lineRule="auto"/>
        <w:ind w:left="709" w:right="618"/>
        <w:jc w:val="both"/>
        <w:rPr>
          <w:rFonts w:ascii="Verdana" w:eastAsia="Calibri" w:hAnsi="Verdana" w:cs="Arial"/>
          <w:sz w:val="21"/>
          <w:szCs w:val="21"/>
        </w:rPr>
      </w:pPr>
    </w:p>
    <w:p w14:paraId="439365D6"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rPr>
        <w:t>De lo anterior, se evidencia que la definición de recursos financieros enmarcada en la cooperación internacional únicamente se refiere a los recursos rembolsables, como serían los créditos, y a los no reembolsables, como son los recursos en efectivo con el objeto de apoyar el proyecto adquirir materiales y equipos o financiación de estudios. Nótese que no se refiere en esta definición a recursos técnicos o en especie</w:t>
      </w:r>
      <w:r w:rsidRPr="006B33D3">
        <w:rPr>
          <w:rFonts w:ascii="Verdana" w:eastAsia="Calibri" w:hAnsi="Verdana" w:cs="Arial"/>
          <w:lang w:val="es-ES"/>
        </w:rPr>
        <w:t>. De hecho, este documento en su parte introductoria al referirse a la Ayuda Oficial al Desarrollo (AOD) que recibe Colombia en el marco de la cooperación internacional distingue estos tres recursos al indicar que “La AOD es entendida como los recursos financieros, técnicos o en especie canalizados a países que figuran en la lista de países receptores”</w:t>
      </w:r>
      <w:r w:rsidRPr="006B33D3">
        <w:rPr>
          <w:rFonts w:ascii="Verdana" w:eastAsia="Calibri" w:hAnsi="Verdana" w:cs="Arial"/>
          <w:vertAlign w:val="superscript"/>
          <w:lang w:val="es-ES"/>
        </w:rPr>
        <w:footnoteReference w:id="16"/>
      </w:r>
      <w:r w:rsidRPr="006B33D3">
        <w:rPr>
          <w:rFonts w:ascii="Verdana" w:eastAsia="Calibri" w:hAnsi="Verdana" w:cs="Arial"/>
          <w:lang w:val="es-ES"/>
        </w:rPr>
        <w:t>.</w:t>
      </w:r>
    </w:p>
    <w:p w14:paraId="08B6A6B3" w14:textId="77777777" w:rsidR="009637A2" w:rsidRPr="006B33D3" w:rsidRDefault="009637A2" w:rsidP="009637A2">
      <w:pPr>
        <w:spacing w:after="120" w:line="276" w:lineRule="auto"/>
        <w:ind w:firstLine="709"/>
        <w:jc w:val="both"/>
        <w:rPr>
          <w:rFonts w:ascii="Verdana" w:eastAsia="Calibri" w:hAnsi="Verdana" w:cs="Arial"/>
          <w:lang w:val="es-ES"/>
        </w:rPr>
      </w:pPr>
      <w:r w:rsidRPr="006B33D3">
        <w:rPr>
          <w:rFonts w:ascii="Verdana" w:eastAsia="Calibri" w:hAnsi="Verdana" w:cs="Arial"/>
          <w:lang w:val="es-ES"/>
        </w:rPr>
        <w:t>Adicionalmente, es pertinente resaltar que según lo indica la</w:t>
      </w:r>
      <w:bookmarkStart w:id="8" w:name="_Hlk183034154"/>
      <w:r w:rsidRPr="006B33D3">
        <w:rPr>
          <w:rFonts w:ascii="Verdana" w:eastAsia="Calibri" w:hAnsi="Verdana" w:cs="Arial"/>
          <w:lang w:val="es-ES"/>
        </w:rPr>
        <w:t xml:space="preserve"> Agencia Presidencial de </w:t>
      </w:r>
      <w:bookmarkStart w:id="9" w:name="_Hlk183032038"/>
      <w:r w:rsidRPr="006B33D3">
        <w:rPr>
          <w:rFonts w:ascii="Verdana" w:eastAsia="Calibri" w:hAnsi="Verdana" w:cs="Arial"/>
          <w:lang w:val="es-ES"/>
        </w:rPr>
        <w:t xml:space="preserve">Cooperación Internacional </w:t>
      </w:r>
      <w:bookmarkEnd w:id="9"/>
      <w:r w:rsidRPr="006B33D3">
        <w:rPr>
          <w:rFonts w:ascii="Verdana" w:eastAsia="Calibri" w:hAnsi="Verdana" w:cs="Arial"/>
          <w:lang w:val="es-ES"/>
        </w:rPr>
        <w:t>de Colombia</w:t>
      </w:r>
      <w:bookmarkEnd w:id="8"/>
      <w:r w:rsidRPr="006B33D3">
        <w:rPr>
          <w:rFonts w:ascii="Verdana" w:eastAsia="Calibri" w:hAnsi="Verdana" w:cs="Arial"/>
          <w:lang w:val="es-ES"/>
        </w:rPr>
        <w:t xml:space="preserve">, el objetivo principal del </w:t>
      </w:r>
      <w:bookmarkStart w:id="10" w:name="_Hlk183033574"/>
      <w:r w:rsidRPr="006B33D3">
        <w:rPr>
          <w:rFonts w:ascii="Verdana" w:eastAsia="Calibri" w:hAnsi="Verdana" w:cs="Arial"/>
          <w:lang w:val="es-ES"/>
        </w:rPr>
        <w:t xml:space="preserve">Sistema Nacional de Cooperación internacional </w:t>
      </w:r>
      <w:bookmarkEnd w:id="10"/>
      <w:r w:rsidRPr="006B33D3">
        <w:rPr>
          <w:rFonts w:ascii="Verdana" w:eastAsia="Calibri" w:hAnsi="Verdana" w:cs="Arial"/>
          <w:lang w:val="es-ES"/>
        </w:rPr>
        <w:t>“será que la gestión de la cooperación no reembolsable contribuya al logro de los objetivos de política exterior del país y esté alineada a las prioridades de desarrollo del Gobierno nacional”</w:t>
      </w:r>
      <w:r w:rsidRPr="006B33D3">
        <w:rPr>
          <w:vertAlign w:val="superscript"/>
          <w:lang w:val="es-ES"/>
        </w:rPr>
        <w:footnoteReference w:id="17"/>
      </w:r>
      <w:r w:rsidRPr="006B33D3">
        <w:rPr>
          <w:rFonts w:ascii="Verdana" w:eastAsia="Calibri" w:hAnsi="Verdana" w:cs="Arial"/>
          <w:lang w:val="es-ES"/>
        </w:rPr>
        <w:t xml:space="preserve">. Es decir, la cooperación no rembolsable es una noción inherente al objetivo del Sistema Nacional de Cooperación internacional regulado en el Decreto 603 de 2022, por lo que es plausible señalar que para el entendimiento de este Decreto puede acudirse a las definiciones expuestas. </w:t>
      </w:r>
    </w:p>
    <w:p w14:paraId="6225E057" w14:textId="77777777" w:rsidR="009637A2" w:rsidRPr="006B33D3" w:rsidRDefault="009637A2" w:rsidP="009637A2">
      <w:pPr>
        <w:spacing w:after="120" w:line="276" w:lineRule="auto"/>
        <w:ind w:firstLine="709"/>
        <w:jc w:val="both"/>
        <w:rPr>
          <w:rFonts w:ascii="Verdana" w:eastAsia="Calibri" w:hAnsi="Verdana" w:cs="Arial"/>
          <w:lang w:val="es-ES"/>
        </w:rPr>
      </w:pPr>
      <w:bookmarkStart w:id="11" w:name="_Hlk183771810"/>
      <w:r w:rsidRPr="006B33D3">
        <w:rPr>
          <w:rFonts w:ascii="Verdana" w:eastAsia="Calibri" w:hAnsi="Verdana" w:cs="Arial"/>
          <w:lang w:val="es-ES"/>
        </w:rPr>
        <w:t>De esta manera, conforme al marco general del Sistema Nacional de Cooperación internacional regulado en el Decreto 603 de 2022 y teniendo en cuenta la definición de cooperación financiera señalada, es viable colegir que cuando el artículo 2.2.8.3.4 del Decreto 1067 de 2015 adicionado por el Decreto 603 de 2022 alude a “recursos financieros” hace referencia a la asignación de recursos líquidos o en efectivo. Lo anterior se complementa con lo señalado por la</w:t>
      </w:r>
      <w:r w:rsidRPr="006B33D3">
        <w:rPr>
          <w:rFonts w:ascii="Verdana" w:eastAsia="Calibri" w:hAnsi="Verdana" w:cs="Arial"/>
          <w:sz w:val="21"/>
          <w:szCs w:val="21"/>
        </w:rPr>
        <w:t xml:space="preserve"> </w:t>
      </w:r>
      <w:r w:rsidRPr="006B33D3">
        <w:rPr>
          <w:rFonts w:ascii="Verdana" w:eastAsia="Calibri" w:hAnsi="Verdana" w:cs="Arial"/>
        </w:rPr>
        <w:t xml:space="preserve">Agencia Presidencial de Cooperación Internacional de Colombia, que en su función de gestionar, orientar y coordinar técnicamente la cooperación </w:t>
      </w:r>
      <w:r w:rsidRPr="006B33D3">
        <w:rPr>
          <w:rFonts w:ascii="Verdana" w:eastAsia="Calibri" w:hAnsi="Verdana" w:cs="Arial"/>
        </w:rPr>
        <w:lastRenderedPageBreak/>
        <w:t xml:space="preserve">internacional pública, privada, técnica y financiera no </w:t>
      </w:r>
      <w:r w:rsidRPr="006B33D3">
        <w:rPr>
          <w:rFonts w:ascii="Verdana" w:eastAsia="Calibri" w:hAnsi="Verdana" w:cs="Arial"/>
          <w:lang w:val="es-ES"/>
        </w:rPr>
        <w:t>reembolsable, indicó que los recursos de cooperación internacional deben ser únicamente financieros y no técnicos, ni en especie</w:t>
      </w:r>
      <w:bookmarkEnd w:id="11"/>
      <w:r w:rsidRPr="006B33D3">
        <w:rPr>
          <w:vertAlign w:val="superscript"/>
          <w:lang w:val="es-ES"/>
        </w:rPr>
        <w:footnoteReference w:id="18"/>
      </w:r>
      <w:r w:rsidRPr="006B33D3">
        <w:rPr>
          <w:rFonts w:ascii="Verdana" w:eastAsia="Calibri" w:hAnsi="Verdana" w:cs="Arial"/>
          <w:lang w:val="es-ES"/>
        </w:rPr>
        <w:t>.</w:t>
      </w:r>
    </w:p>
    <w:p w14:paraId="621C561A"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lang w:val="es-ES"/>
        </w:rPr>
        <w:t xml:space="preserve"> De ahí que, pueda afirmarse que los recursos técnicos o en especie en el marco de la cooperación internacional</w:t>
      </w:r>
      <w:r w:rsidRPr="006B33D3">
        <w:rPr>
          <w:rFonts w:ascii="Verdana" w:eastAsia="Calibri" w:hAnsi="Verdana" w:cs="Arial"/>
        </w:rPr>
        <w:t xml:space="preserve"> no están incluidos en la noción de recursos financieros y, por el contrario, se distinguen. Por tanto, de acuerdo con el contexto expuesto se concluye que el concepto de recursos financieros al que alude el artículo 2.2.8.3.4 del Decreto 603 de 2022 no incluye los recursos técnicos o en especie, ni los bienes o servicios puestos a disposición de la ejecución del convenio como parte de la participación del socio de cooperación internacional, pues se reitera, hace referencia a sumas líquida de dinero. </w:t>
      </w:r>
    </w:p>
    <w:p w14:paraId="741FFDE2"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Si se contrasta esta conclusión, con lo dispuesto en el parágrafo tercero del artículo 20 de la Ley 1150 de 2007 y con el artículo 2.2.1.2.4.4.1 del Decreto 1082 de 2015, se encuentra que, a diferencia de tales disposiciones, para efectos del cálculo del umbral establecido en el artículo 2.2.8.3.4 del Decreto 603 de 2022 no resultan relevantes los aportes en especie. Esto dado que esta última disposición es clara al señalar que solo resulta aplicable a recursos financieros, mientras que el parágrafo tercero del artículo 20 de la Ley 1150 de 2007, referido señala que los aportes en especie deben ser monetizados.</w:t>
      </w:r>
    </w:p>
    <w:p w14:paraId="0A5BAA29"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 xml:space="preserve">Así las cosas, el artículo 2.2.8.3.4 del Decreto 1067 de 2015 que adiciona el Decreto 603 de 2022 reglamentó parcialmente lo establecido en la Ley 1955 de 2019, “por el cual se expide el Plan Nacional de Desarrollo 2018-2022 pacto por Colombia, pacto por la equidad”. Por lo demás,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w:t>
      </w:r>
    </w:p>
    <w:p w14:paraId="799B9F76"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 xml:space="preserve">Además, el parágrafo del artículo en estudio señaló que cuando más del 40% del financiamiento proviene del Presupuesto Nacional, el Socio de </w:t>
      </w:r>
      <w:r w:rsidRPr="006B33D3">
        <w:rPr>
          <w:rFonts w:ascii="Verdana" w:eastAsia="Calibri" w:hAnsi="Verdana" w:cs="Arial"/>
        </w:rPr>
        <w:lastRenderedPageBreak/>
        <w:t xml:space="preserve">Cooperación internacional debe presentar estados financieros detallados o documento equivalente, a la entidad nacional o territorial líder del proyecto. Al respecto, de la lectura de las consideraciones del Decreto se resalta que la adopción de este se efectúa “con el fin de establecer el Sistema Nacional de Cooperación Internacional de Colombia, el cual ha sido concebido como un mecanismo de coordinación de actores, que favorece el cumplimiento de los objetivos de política exterior, la priorización acertada de demandas y ofertas de cooperación internacional, la gestión pertinente, </w:t>
      </w:r>
      <w:r w:rsidRPr="006B33D3">
        <w:rPr>
          <w:rFonts w:ascii="Verdana" w:eastAsia="Calibri" w:hAnsi="Verdana" w:cs="Arial"/>
          <w:i/>
          <w:iCs/>
        </w:rPr>
        <w:t xml:space="preserve">así como la transparencia en la información y la rendición de cuentas mutua”. </w:t>
      </w:r>
      <w:r w:rsidRPr="006B33D3">
        <w:rPr>
          <w:rFonts w:ascii="Verdana" w:eastAsia="Calibri" w:hAnsi="Verdana" w:cs="Arial"/>
        </w:rPr>
        <w:t>(Énfasis por fuera de texto).</w:t>
      </w:r>
    </w:p>
    <w:p w14:paraId="62417763"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 xml:space="preserve">Así las cosas, se puede decir que el propósito de solicitar los estados financiero está ligado al objeto de la creación del Sistema Nacional de Cooperación Internacional de Colombia orientado a la articulación y coordinación de las acciones de cooperación internacional que recibe y ofrece el país en un marco de transparencia y rendición de cuentas entre los cooperantes, máxime cuando se entregan recursos públicos para la implementación de proyectos. </w:t>
      </w:r>
    </w:p>
    <w:p w14:paraId="048E052F"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 xml:space="preserve">En este orden de ideas, las entidades estatales, en ejercicio de la autonomía de la voluntad, pueden suscribir convenios de cooperación internacional que involucre recursos del Presupuesto General de la Nación, y cuando el proyecto sea implementado por el socio de cooperación internacional, este deberá aportar en dinero el 30% del valor del proyecto, pues el reglamento, como se indicó, estableció un umbral para que las entidades estatales puedan realizar proyectos, iniciativas o programas financiados con presupuesto general de la Nación en convenio con organismos internacionales. Además, cuando se cumplan los requisitos del parágrafo del artículo 2.2.8.3.4 del Decreto 603 de 2022 la norma impone la presentación de estados financieros del socio de cooperación internacional. </w:t>
      </w:r>
    </w:p>
    <w:p w14:paraId="576984FC" w14:textId="77777777" w:rsidR="009637A2" w:rsidRPr="006B33D3" w:rsidRDefault="009637A2" w:rsidP="009637A2">
      <w:pPr>
        <w:spacing w:after="120" w:line="276" w:lineRule="auto"/>
        <w:ind w:firstLine="709"/>
        <w:jc w:val="both"/>
        <w:rPr>
          <w:rFonts w:ascii="Verdana" w:eastAsia="Calibri" w:hAnsi="Verdana" w:cs="Arial"/>
          <w:lang w:val="es-ES_tradnl"/>
        </w:rPr>
      </w:pPr>
      <w:r w:rsidRPr="006B33D3">
        <w:rPr>
          <w:rFonts w:ascii="Verdana" w:eastAsia="Calibri" w:hAnsi="Verdana" w:cs="Arial"/>
        </w:rPr>
        <w:t xml:space="preserve">En este contexto, reiterando lo dicho por esta Agencia, lo anterior en ningún momento afecta las reglas sobre el régimen de contratación que le sea aplicable al convenio financiados con presupuesto general de la Nación, esto es, si está sometido al Estatuto General de la Administración Pública o al régimen de contratación con el que contratan el organismo cooperante, pues ello aún se rige por las reglas de los establecido en el artículo 20 de la Ley 1150 de 2007 y en el </w:t>
      </w:r>
      <w:r w:rsidRPr="006B33D3">
        <w:rPr>
          <w:rFonts w:ascii="Verdana" w:eastAsia="Calibri" w:hAnsi="Verdana" w:cs="Arial"/>
          <w:lang w:val="es-ES_tradnl"/>
        </w:rPr>
        <w:t xml:space="preserve">artículo 2.2.1.2.4.4.1 del Decreto 1082 de 2015. </w:t>
      </w:r>
    </w:p>
    <w:p w14:paraId="061F9822"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lang w:val="es-ES_tradnl"/>
        </w:rPr>
        <w:lastRenderedPageBreak/>
        <w:t xml:space="preserve">Desde esta perspectiva, el </w:t>
      </w:r>
      <w:r w:rsidRPr="006B33D3">
        <w:rPr>
          <w:rFonts w:ascii="Verdana" w:eastAsia="Calibri" w:hAnsi="Verdana" w:cs="Arial"/>
        </w:rPr>
        <w:t>artículo 2.2.8.3.4 del Decreto 1067 de 2015 adicionado por el Decreto 603 de 2022</w:t>
      </w:r>
      <w:r w:rsidRPr="006B33D3">
        <w:rPr>
          <w:rFonts w:ascii="Verdana" w:eastAsia="Calibri" w:hAnsi="Verdana" w:cs="Arial"/>
          <w:lang w:val="es-ES_tradnl"/>
        </w:rPr>
        <w:t xml:space="preserve"> se complementa con las reglas precitadas</w:t>
      </w:r>
      <w:r w:rsidRPr="006B33D3">
        <w:rPr>
          <w:rFonts w:ascii="Verdana" w:eastAsia="Calibri" w:hAnsi="Verdana" w:cs="Arial"/>
        </w:rPr>
        <w:t>. En efecto, mientras las primeras definen el marco jurídico aplicable, el Decreto 603 de 2022 define los aportes mínimos en recursos financieros del organismo internacional cuando hay inversión de recursos del presupuesto general de la Nación. De hecho, el instrumento jurídico para materializar la cooperación internacional es el artículo 20 de la Ley 1150 de 2007, de manera que “la concreción de esa cooperación dependerá de una parte del porcentaje del monto de recursos que aporte el cooperante internacional (y si se trata aportes en especie, de la cuantificación de dicho aporte), Cuando esta sea mayor al 50% del monto total, el instrumento jurídico podrá regirse por las normas del cooperante internacional y en caso de que no sea superior, deberá acogerse al Estatuto de contratación de Colombia”</w:t>
      </w:r>
      <w:r w:rsidRPr="006B33D3">
        <w:rPr>
          <w:rFonts w:ascii="Verdana" w:eastAsia="Calibri" w:hAnsi="Verdana" w:cs="Arial"/>
          <w:vertAlign w:val="superscript"/>
        </w:rPr>
        <w:footnoteReference w:id="19"/>
      </w:r>
      <w:r w:rsidRPr="006B33D3">
        <w:rPr>
          <w:rFonts w:ascii="Verdana" w:eastAsia="Calibri" w:hAnsi="Verdana" w:cs="Arial"/>
        </w:rPr>
        <w:t>.</w:t>
      </w:r>
    </w:p>
    <w:p w14:paraId="051C0900"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De esta manera, el artículo 20 de la Ley 1150 de 2007 define el régimen contractual de los convenios suscritos con “organismos de cooperación, asistencia o ayudas internacionales” en los porcentajes del inciso primero, con “</w:t>
      </w:r>
      <w:bookmarkStart w:id="12" w:name="_Hlk148443677"/>
      <w:r w:rsidRPr="006B33D3">
        <w:rPr>
          <w:rFonts w:ascii="Verdana" w:eastAsia="Calibri" w:hAnsi="Verdana" w:cs="Arial"/>
        </w:rPr>
        <w:t>personas extranjeras de derecho público</w:t>
      </w:r>
      <w:bookmarkEnd w:id="12"/>
      <w:r w:rsidRPr="006B33D3">
        <w:rPr>
          <w:rFonts w:ascii="Verdana" w:eastAsia="Calibri" w:hAnsi="Verdana" w:cs="Arial"/>
        </w:rPr>
        <w:t xml:space="preserve">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la norma citada. </w:t>
      </w:r>
    </w:p>
    <w:p w14:paraId="1F9204C4"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En contraste, el artículo 2.2.8.3.4 del Decreto 1067 de 2015 adicionado por el Decreto 603 de 2022 se refiere, en sentido amplio, a los “Socios de Cooperación internacional”,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p>
    <w:p w14:paraId="3FCD9CC8" w14:textId="77777777" w:rsidR="009637A2" w:rsidRPr="006B33D3" w:rsidRDefault="009637A2" w:rsidP="009637A2">
      <w:pPr>
        <w:spacing w:after="120" w:line="276" w:lineRule="auto"/>
        <w:ind w:firstLine="709"/>
        <w:jc w:val="both"/>
        <w:rPr>
          <w:rFonts w:ascii="Verdana" w:eastAsia="Calibri" w:hAnsi="Verdana" w:cs="Arial"/>
        </w:rPr>
      </w:pPr>
      <w:r w:rsidRPr="006B33D3">
        <w:rPr>
          <w:rFonts w:ascii="Verdana" w:eastAsia="Calibri" w:hAnsi="Verdana" w:cs="Arial"/>
        </w:rPr>
        <w:t xml:space="preserve">Por consiguiente, en el marco de un proyecto, programa y/o iniciativa de cooperación internacional que será implementada por un socio de cooperación internacional e involucre recursos del Presupuesto General de la Nación, se </w:t>
      </w:r>
      <w:r w:rsidRPr="006B33D3">
        <w:rPr>
          <w:rFonts w:ascii="Verdana" w:eastAsia="Calibri" w:hAnsi="Verdana" w:cs="Arial"/>
        </w:rPr>
        <w:lastRenderedPageBreak/>
        <w:t xml:space="preserve">deberá analizar el régimen de contratación aplicable de acuerdo con las reglas establecidas en artículo 20 de la Ley 1150 de 2007. De esta manera, en cualquiera de los supuestos señalados en este artículo la entidad definirá si se aplica el reglamento del organismo internacional o el EGCAP con base dichas reglas, pero en todo caso deberá tener en cuenta lo regulado en el artículo 2.2.8.3.4 del Decreto 1067 de 2015 adicionado por el Decreto 603 de 2022 respecto del aporte de los recursos y los estados financieros. Así, es deber de las entidades públicas valorar en cada caso particular la definición del instrumento jurídico que corresponda al proyecto de cooperación internacional de cara a las normas nacionales aplicables, sin perjuicio de la aplicación de los tratados internacionales que hacen parte del bloque de constitucionalidad.    </w:t>
      </w:r>
    </w:p>
    <w:p w14:paraId="4E048CBB" w14:textId="77777777" w:rsidR="009637A2" w:rsidRPr="006B33D3" w:rsidRDefault="009637A2" w:rsidP="009637A2">
      <w:pPr>
        <w:widowControl w:val="0"/>
        <w:autoSpaceDE w:val="0"/>
        <w:autoSpaceDN w:val="0"/>
        <w:spacing w:after="0" w:line="276" w:lineRule="auto"/>
        <w:jc w:val="both"/>
        <w:rPr>
          <w:rFonts w:ascii="Verdana" w:eastAsia="Verdana" w:hAnsi="Verdana" w:cs="Verdana"/>
          <w:lang w:val="es-ES"/>
        </w:rPr>
      </w:pPr>
    </w:p>
    <w:p w14:paraId="1F97C73D" w14:textId="77777777" w:rsidR="009637A2" w:rsidRPr="006B33D3" w:rsidRDefault="009637A2" w:rsidP="009637A2">
      <w:pPr>
        <w:spacing w:after="120" w:line="276" w:lineRule="auto"/>
        <w:jc w:val="both"/>
        <w:rPr>
          <w:rFonts w:ascii="Verdana" w:eastAsia="Verdana" w:hAnsi="Verdana" w:cs="Verdana"/>
        </w:rPr>
      </w:pPr>
      <w:proofErr w:type="spellStart"/>
      <w:r w:rsidRPr="006B33D3">
        <w:rPr>
          <w:rFonts w:ascii="Verdana" w:eastAsia="Verdana" w:hAnsi="Verdana" w:cs="Verdana"/>
          <w:lang w:val="es-ES"/>
        </w:rPr>
        <w:t>iii</w:t>
      </w:r>
      <w:proofErr w:type="spellEnd"/>
      <w:r w:rsidRPr="006B33D3">
        <w:rPr>
          <w:rFonts w:ascii="Verdana" w:eastAsia="Verdana" w:hAnsi="Verdana" w:cs="Verdana"/>
          <w:lang w:val="es-ES"/>
        </w:rPr>
        <w:t xml:space="preserve">. </w:t>
      </w:r>
      <w:r w:rsidRPr="006B33D3">
        <w:rPr>
          <w:rFonts w:ascii="Verdana" w:eastAsia="Verdana" w:hAnsi="Verdana" w:cs="Verdana"/>
        </w:rPr>
        <w:t xml:space="preserve">En el caso de que se aplique el régimen del Estatuto General de Contratación de la Administración Pública -EGCAP- y no los reglamentos internacionales, conforme a lo señalado en las consideraciones previas, la entidad estatal debe observar las reglas del EGCAP de manera integral, lo que implica tanto la aplicación de las modalidades de selección como la definición de los tipos contractuales previstos en la ley. En este contexto, la aplicación del régimen general supone que la contratación se someta a los procedimientos de selección establecidos —licitación pública, selección abreviada, concurso de méritos o contratación directa, según corresponda—, garantizando los principios de transparencia, igualdad y responsabilidad. </w:t>
      </w:r>
    </w:p>
    <w:p w14:paraId="1CC338D1" w14:textId="77777777" w:rsidR="009637A2" w:rsidRPr="006B33D3" w:rsidRDefault="009637A2" w:rsidP="009637A2">
      <w:pPr>
        <w:spacing w:after="0" w:line="276" w:lineRule="auto"/>
        <w:ind w:firstLine="708"/>
        <w:jc w:val="both"/>
        <w:rPr>
          <w:rFonts w:ascii="Verdana" w:eastAsia="Verdana" w:hAnsi="Verdana" w:cs="Verdana"/>
        </w:rPr>
      </w:pPr>
      <w:r w:rsidRPr="006B33D3">
        <w:rPr>
          <w:rFonts w:ascii="Verdana" w:eastAsia="Verdana" w:hAnsi="Verdana" w:cs="Verdana"/>
        </w:rPr>
        <w:t xml:space="preserve">De igual forma, dentro de los tipos contractuales previstos en el EGCAP, resulta posible acudir a la institución del contrato de prestación de servicios profesionales, siempre que se cumplan las condiciones legales y se justifique la necesidad de vincular expertos para el desarrollo de las actividades objeto del convenio o contrato. Para ello, debe precisarse que es </w:t>
      </w:r>
      <w:r w:rsidRPr="006B33D3">
        <w:rPr>
          <w:rFonts w:ascii="Verdana" w:eastAsia="Calibri" w:hAnsi="Verdana" w:cs="Arial"/>
          <w:color w:val="000000"/>
        </w:rPr>
        <w:t>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0867729C" w14:textId="77777777" w:rsidR="009637A2" w:rsidRPr="006B33D3" w:rsidRDefault="009637A2" w:rsidP="009637A2">
      <w:pPr>
        <w:spacing w:after="0" w:line="276" w:lineRule="auto"/>
        <w:jc w:val="both"/>
        <w:rPr>
          <w:rFonts w:ascii="Verdana" w:eastAsia="Calibri" w:hAnsi="Verdana" w:cs="Arial"/>
          <w:color w:val="000000"/>
        </w:rPr>
      </w:pPr>
    </w:p>
    <w:p w14:paraId="03A4857F"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 xml:space="preserve">Son contratos de prestación de servicios los que celebren las entidades estatales para desarrollar actividades relacionadas con la administración o funcionamiento de la entidad. Estos contratos sólo </w:t>
      </w:r>
      <w:r w:rsidRPr="006B33D3">
        <w:rPr>
          <w:rFonts w:ascii="Verdana" w:eastAsia="Calibri" w:hAnsi="Verdana" w:cs="Arial"/>
          <w:color w:val="000000"/>
          <w:sz w:val="21"/>
          <w:szCs w:val="21"/>
        </w:rPr>
        <w:lastRenderedPageBreak/>
        <w:t>podrán celebrarse con personas naturales cuando dichas actividades no puedan realizarse con personal de planta o requieran conocimientos especializados.</w:t>
      </w:r>
    </w:p>
    <w:p w14:paraId="59A1FCCD"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366C2FFF"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En ningún caso estos contratos generan relación laboral ni prestaciones sociales y se celebrarán por el término estrictamente indispensable.</w:t>
      </w:r>
    </w:p>
    <w:p w14:paraId="6F7A1636" w14:textId="77777777" w:rsidR="009637A2" w:rsidRPr="006B33D3" w:rsidRDefault="009637A2" w:rsidP="009637A2">
      <w:pPr>
        <w:tabs>
          <w:tab w:val="left" w:pos="284"/>
        </w:tabs>
        <w:spacing w:after="0" w:line="276" w:lineRule="auto"/>
        <w:contextualSpacing/>
        <w:jc w:val="both"/>
        <w:rPr>
          <w:rFonts w:ascii="Verdana" w:eastAsia="Calibri" w:hAnsi="Verdana" w:cs="Arial"/>
          <w:b/>
          <w:color w:val="000000"/>
        </w:rPr>
      </w:pPr>
    </w:p>
    <w:p w14:paraId="39B307E2"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De otro lado, la celebración de dicho contrato debe efectuarse mediante la modalidad de la contratación directa. Así lo prevé el artículo 2, numeral 4º, literal h) de la Ley 1150 de 2007, que dispone:</w:t>
      </w:r>
    </w:p>
    <w:p w14:paraId="24424318" w14:textId="77777777" w:rsidR="009637A2" w:rsidRPr="006B33D3" w:rsidRDefault="009637A2" w:rsidP="009637A2">
      <w:pPr>
        <w:spacing w:after="0" w:line="276" w:lineRule="auto"/>
        <w:ind w:firstLine="709"/>
        <w:jc w:val="both"/>
        <w:rPr>
          <w:rFonts w:ascii="Verdana" w:eastAsia="Calibri" w:hAnsi="Verdana" w:cs="Arial"/>
          <w:color w:val="000000"/>
        </w:rPr>
      </w:pPr>
    </w:p>
    <w:p w14:paraId="1D14A8F7"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w:t>
      </w:r>
    </w:p>
    <w:p w14:paraId="3CA2DCE1"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 xml:space="preserve">Contratación directa. La modalidad de selección de contratación </w:t>
      </w:r>
      <w:proofErr w:type="gramStart"/>
      <w:r w:rsidRPr="006B33D3">
        <w:rPr>
          <w:rFonts w:ascii="Verdana" w:eastAsia="Calibri" w:hAnsi="Verdana" w:cs="Arial"/>
          <w:color w:val="000000"/>
          <w:sz w:val="21"/>
          <w:szCs w:val="21"/>
        </w:rPr>
        <w:t>directa,</w:t>
      </w:r>
      <w:proofErr w:type="gramEnd"/>
      <w:r w:rsidRPr="006B33D3">
        <w:rPr>
          <w:rFonts w:ascii="Verdana" w:eastAsia="Calibri" w:hAnsi="Verdana" w:cs="Arial"/>
          <w:color w:val="000000"/>
          <w:sz w:val="21"/>
          <w:szCs w:val="21"/>
        </w:rPr>
        <w:t xml:space="preserve"> solamente procederá en los siguientes casos:</w:t>
      </w:r>
    </w:p>
    <w:p w14:paraId="4F0072B6"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5F3D9B30"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w:t>
      </w:r>
    </w:p>
    <w:p w14:paraId="59776FEE"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h) Para la prestación de servicios profesionales y de apoyo a la gestión, o para la ejecución de trabajos artísticos que sólo puedan encomendarse a determinadas personas naturales;</w:t>
      </w:r>
    </w:p>
    <w:p w14:paraId="560DE217" w14:textId="77777777" w:rsidR="009637A2" w:rsidRPr="006B33D3" w:rsidRDefault="009637A2" w:rsidP="009637A2">
      <w:pPr>
        <w:spacing w:after="0" w:line="240" w:lineRule="auto"/>
        <w:ind w:right="709"/>
        <w:jc w:val="both"/>
        <w:rPr>
          <w:rFonts w:ascii="Verdana" w:eastAsia="Calibri" w:hAnsi="Verdana" w:cs="Arial"/>
          <w:color w:val="000000"/>
        </w:rPr>
      </w:pPr>
    </w:p>
    <w:p w14:paraId="6DA76405"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49B50196"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400AB561"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t xml:space="preserve">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w:t>
      </w:r>
      <w:r w:rsidRPr="006B33D3">
        <w:rPr>
          <w:rFonts w:ascii="Verdana" w:eastAsia="Calibri" w:hAnsi="Verdana" w:cs="Arial"/>
          <w:color w:val="000000"/>
        </w:rPr>
        <w:lastRenderedPageBreak/>
        <w:t>especializado en la materia, y que, por esta razón, sea necesario contratar los servicios de una persona natural que posea conocimiento y experiencia en el tema.</w:t>
      </w:r>
    </w:p>
    <w:p w14:paraId="75DD1490"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t>c) Si bien se celebran para obtener la prestación personal de un servicio, se diferencian del contrato de trabajo</w:t>
      </w:r>
      <w:r w:rsidRPr="006B33D3">
        <w:rPr>
          <w:rStyle w:val="Refdenotaalpie"/>
          <w:rFonts w:ascii="Verdana" w:eastAsia="Calibri" w:hAnsi="Verdana" w:cs="Arial"/>
          <w:color w:val="000000"/>
        </w:rPr>
        <w:footnoteReference w:id="20"/>
      </w:r>
      <w:r w:rsidRPr="006B33D3">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6B33D3">
        <w:rPr>
          <w:rFonts w:ascii="Verdana" w:eastAsia="Calibri" w:hAnsi="Verdana" w:cs="Arial"/>
          <w:i/>
          <w:color w:val="000000"/>
        </w:rPr>
        <w:t>subordinación y dependencia</w:t>
      </w:r>
      <w:r w:rsidRPr="006B33D3">
        <w:rPr>
          <w:rFonts w:ascii="Verdana" w:eastAsia="Calibri" w:hAnsi="Verdana" w:cs="Arial"/>
          <w:iCs/>
          <w:color w:val="000000"/>
        </w:rPr>
        <w:t>,</w:t>
      </w:r>
      <w:r w:rsidRPr="006B33D3">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6B33D3">
        <w:rPr>
          <w:rFonts w:ascii="Verdana" w:eastAsia="Calibri" w:hAnsi="Verdana" w:cs="Arial"/>
          <w:i/>
          <w:color w:val="000000"/>
        </w:rPr>
        <w:t>no pueden</w:t>
      </w:r>
      <w:r w:rsidRPr="006B33D3">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6B33D3">
        <w:rPr>
          <w:rFonts w:ascii="Verdana" w:eastAsia="Calibri" w:hAnsi="Verdana" w:cs="Arial"/>
          <w:i/>
          <w:color w:val="000000"/>
        </w:rPr>
        <w:t>contrato realidad</w:t>
      </w:r>
      <w:r w:rsidRPr="006B33D3">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B33D3">
        <w:rPr>
          <w:rStyle w:val="Refdenotaalpie"/>
          <w:rFonts w:ascii="Verdana" w:eastAsia="Calibri" w:hAnsi="Verdana" w:cs="Arial"/>
          <w:color w:val="000000"/>
        </w:rPr>
        <w:footnoteReference w:id="21"/>
      </w:r>
      <w:r w:rsidRPr="006B33D3">
        <w:rPr>
          <w:rFonts w:ascii="Verdana" w:eastAsia="Calibri" w:hAnsi="Verdana" w:cs="Arial"/>
          <w:color w:val="000000"/>
        </w:rPr>
        <w:t xml:space="preserve">. En esta misma línea, la Corte Constitucional en el control de constitucionalidad a un aparte del artículo 2° del Decreto Ley 2400 de 1968 modificado por el Decreto Ley 3074 de </w:t>
      </w:r>
      <w:r w:rsidRPr="006B33D3">
        <w:rPr>
          <w:rFonts w:ascii="Verdana" w:eastAsia="Calibri" w:hAnsi="Verdana" w:cs="Arial"/>
          <w:color w:val="000000"/>
        </w:rPr>
        <w:lastRenderedPageBreak/>
        <w:t>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6B33D3">
        <w:rPr>
          <w:rFonts w:ascii="Verdana" w:eastAsia="Calibri" w:hAnsi="Verdana" w:cs="Arial"/>
          <w:color w:val="000000"/>
          <w:vertAlign w:val="superscript"/>
        </w:rPr>
        <w:footnoteReference w:id="22"/>
      </w:r>
      <w:r w:rsidRPr="006B33D3">
        <w:rPr>
          <w:rFonts w:ascii="Verdana" w:eastAsia="Calibri" w:hAnsi="Verdana" w:cs="Arial"/>
          <w:color w:val="000000"/>
        </w:rPr>
        <w:t xml:space="preserve">. De modo que, bajo la perspectiva indicada, se podría invocar la presunción de la existencia de una relación laboral; siendo contrario a uno de los aspectos más relevantes del contrato de prestación de servicio, la autonomía e independencia en la ejecución </w:t>
      </w:r>
      <w:proofErr w:type="gramStart"/>
      <w:r w:rsidRPr="006B33D3">
        <w:rPr>
          <w:rFonts w:ascii="Verdana" w:eastAsia="Calibri" w:hAnsi="Verdana" w:cs="Arial"/>
          <w:color w:val="000000"/>
        </w:rPr>
        <w:t>del mismo</w:t>
      </w:r>
      <w:proofErr w:type="gramEnd"/>
      <w:r w:rsidRPr="006B33D3">
        <w:rPr>
          <w:rFonts w:ascii="Verdana" w:eastAsia="Calibri" w:hAnsi="Verdana" w:cs="Arial"/>
          <w:color w:val="000000"/>
        </w:rPr>
        <w:t>.</w:t>
      </w:r>
    </w:p>
    <w:p w14:paraId="3D6ADFB5"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d) Deben ser temporales. Así lo señaló la Corte Constitucional en la misma providencia a la que se aludió previamente, expresando que:</w:t>
      </w:r>
    </w:p>
    <w:p w14:paraId="48150549" w14:textId="77777777" w:rsidR="009637A2" w:rsidRPr="006B33D3" w:rsidRDefault="009637A2" w:rsidP="009637A2">
      <w:pPr>
        <w:spacing w:after="0" w:line="276" w:lineRule="auto"/>
        <w:ind w:firstLine="709"/>
        <w:jc w:val="both"/>
        <w:rPr>
          <w:rFonts w:ascii="Verdana" w:eastAsia="Calibri" w:hAnsi="Verdana" w:cs="Arial"/>
          <w:color w:val="000000"/>
        </w:rPr>
      </w:pPr>
    </w:p>
    <w:p w14:paraId="697895E3"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6B33D3">
        <w:rPr>
          <w:rStyle w:val="Refdenotaalpie"/>
          <w:rFonts w:ascii="Verdana" w:eastAsia="Calibri" w:hAnsi="Verdana" w:cs="Arial"/>
          <w:color w:val="000000"/>
          <w:sz w:val="21"/>
          <w:szCs w:val="21"/>
        </w:rPr>
        <w:footnoteReference w:id="23"/>
      </w:r>
      <w:r w:rsidRPr="006B33D3">
        <w:rPr>
          <w:rFonts w:ascii="Verdana" w:eastAsia="Calibri" w:hAnsi="Verdana" w:cs="Arial"/>
          <w:color w:val="000000"/>
          <w:sz w:val="21"/>
          <w:szCs w:val="21"/>
        </w:rPr>
        <w:t>.</w:t>
      </w:r>
    </w:p>
    <w:p w14:paraId="521B1389" w14:textId="77777777" w:rsidR="009637A2" w:rsidRPr="006B33D3" w:rsidRDefault="009637A2" w:rsidP="009637A2">
      <w:pPr>
        <w:spacing w:after="0" w:line="276" w:lineRule="auto"/>
        <w:ind w:firstLine="709"/>
        <w:jc w:val="both"/>
        <w:rPr>
          <w:rFonts w:ascii="Verdana" w:eastAsia="Calibri" w:hAnsi="Verdana" w:cs="Arial"/>
          <w:color w:val="000000"/>
        </w:rPr>
      </w:pPr>
    </w:p>
    <w:p w14:paraId="73C94216"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 xml:space="preserve">e) Los contratos de prestación de servicios profesionales hacen parte del género denominado </w:t>
      </w:r>
      <w:r w:rsidRPr="006B33D3">
        <w:rPr>
          <w:rFonts w:ascii="Verdana" w:eastAsia="Calibri" w:hAnsi="Verdana" w:cs="Arial"/>
          <w:i/>
          <w:color w:val="000000"/>
        </w:rPr>
        <w:t>contratos de prestación de servicios</w:t>
      </w:r>
      <w:r w:rsidRPr="006B33D3">
        <w:rPr>
          <w:rFonts w:ascii="Verdana" w:eastAsia="Calibri" w:hAnsi="Verdana" w:cs="Arial"/>
          <w:color w:val="000000"/>
        </w:rPr>
        <w:t>,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2.2.1.2.1.4.9. del Decreto 1082 de 2015</w:t>
      </w:r>
      <w:r w:rsidRPr="006B33D3">
        <w:rPr>
          <w:rStyle w:val="Refdenotaalpie"/>
          <w:rFonts w:ascii="Verdana" w:eastAsia="Calibri" w:hAnsi="Verdana" w:cs="Arial"/>
          <w:color w:val="000000"/>
        </w:rPr>
        <w:footnoteReference w:id="24"/>
      </w:r>
      <w:r w:rsidRPr="006B33D3">
        <w:rPr>
          <w:rFonts w:ascii="Verdana" w:eastAsia="Calibri" w:hAnsi="Verdana" w:cs="Arial"/>
          <w:color w:val="000000"/>
        </w:rPr>
        <w:t xml:space="preserve">. La </w:t>
      </w:r>
      <w:r w:rsidRPr="006B33D3">
        <w:rPr>
          <w:rFonts w:ascii="Verdana" w:eastAsia="Calibri" w:hAnsi="Verdana" w:cs="Arial"/>
          <w:color w:val="000000"/>
        </w:rPr>
        <w:lastRenderedPageBreak/>
        <w:t xml:space="preserve">diferencia entre el contrato de prestación de servicios </w:t>
      </w:r>
      <w:r w:rsidRPr="006B33D3">
        <w:rPr>
          <w:rFonts w:ascii="Verdana" w:eastAsia="Calibri" w:hAnsi="Verdana" w:cs="Arial"/>
          <w:i/>
          <w:color w:val="000000"/>
        </w:rPr>
        <w:t>profesionales</w:t>
      </w:r>
      <w:r w:rsidRPr="006B33D3">
        <w:rPr>
          <w:rFonts w:ascii="Verdana" w:eastAsia="Calibri" w:hAnsi="Verdana" w:cs="Arial"/>
          <w:color w:val="000000"/>
        </w:rPr>
        <w:t xml:space="preserve"> con las otras dos especies del género en el cual se </w:t>
      </w:r>
      <w:proofErr w:type="gramStart"/>
      <w:r w:rsidRPr="006B33D3">
        <w:rPr>
          <w:rFonts w:ascii="Verdana" w:eastAsia="Calibri" w:hAnsi="Verdana" w:cs="Arial"/>
          <w:color w:val="000000"/>
        </w:rPr>
        <w:t>ubican,</w:t>
      </w:r>
      <w:proofErr w:type="gramEnd"/>
      <w:r w:rsidRPr="006B33D3">
        <w:rPr>
          <w:rFonts w:ascii="Verdana" w:eastAsia="Calibri" w:hAnsi="Verdana" w:cs="Arial"/>
          <w:color w:val="000000"/>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0AF94599" w14:textId="77777777" w:rsidR="009637A2" w:rsidRPr="006B33D3" w:rsidRDefault="009637A2" w:rsidP="009637A2">
      <w:pPr>
        <w:spacing w:after="0" w:line="276" w:lineRule="auto"/>
        <w:ind w:firstLine="709"/>
        <w:jc w:val="both"/>
        <w:rPr>
          <w:rFonts w:ascii="Verdana" w:eastAsia="Calibri" w:hAnsi="Verdana" w:cs="Arial"/>
          <w:color w:val="000000"/>
        </w:rPr>
      </w:pPr>
    </w:p>
    <w:p w14:paraId="17EFBEF3"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6B33D3">
        <w:rPr>
          <w:rStyle w:val="Refdenotaalpie"/>
          <w:rFonts w:ascii="Verdana" w:eastAsia="Calibri" w:hAnsi="Verdana" w:cs="Arial"/>
          <w:color w:val="000000"/>
          <w:sz w:val="21"/>
          <w:szCs w:val="21"/>
        </w:rPr>
        <w:footnoteReference w:id="25"/>
      </w:r>
      <w:r w:rsidRPr="006B33D3">
        <w:rPr>
          <w:rFonts w:ascii="Verdana" w:eastAsia="Calibri" w:hAnsi="Verdana" w:cs="Arial"/>
          <w:color w:val="000000"/>
          <w:sz w:val="21"/>
          <w:szCs w:val="21"/>
        </w:rPr>
        <w:t>.</w:t>
      </w:r>
    </w:p>
    <w:p w14:paraId="637D24E0" w14:textId="77777777" w:rsidR="009637A2" w:rsidRPr="006B33D3" w:rsidRDefault="009637A2" w:rsidP="009637A2">
      <w:pPr>
        <w:spacing w:after="0" w:line="276" w:lineRule="auto"/>
        <w:ind w:firstLine="709"/>
        <w:jc w:val="both"/>
        <w:rPr>
          <w:rFonts w:ascii="Verdana" w:eastAsia="Calibri" w:hAnsi="Verdana" w:cs="Arial"/>
          <w:color w:val="000000"/>
        </w:rPr>
      </w:pPr>
    </w:p>
    <w:p w14:paraId="52FC92D8"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Objeto que, según la sentencia que se cita, se diferencia del objeto del contrato de prestación de servicios de apoyo a la gestión, porque en este:</w:t>
      </w:r>
    </w:p>
    <w:p w14:paraId="3E9A50C5" w14:textId="77777777" w:rsidR="009637A2" w:rsidRPr="006B33D3" w:rsidRDefault="009637A2" w:rsidP="009637A2">
      <w:pPr>
        <w:spacing w:after="0" w:line="276" w:lineRule="auto"/>
        <w:ind w:firstLine="709"/>
        <w:jc w:val="both"/>
        <w:rPr>
          <w:rFonts w:ascii="Verdana" w:eastAsia="Calibri" w:hAnsi="Verdana" w:cs="Arial"/>
          <w:color w:val="000000"/>
        </w:rPr>
      </w:pPr>
    </w:p>
    <w:p w14:paraId="41196969"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6EDC4CE"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6AA3B646"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 xml:space="preserve">Aunque también se caracteriza por el desempeño de actividad intelectiva, ésta </w:t>
      </w:r>
      <w:proofErr w:type="gramStart"/>
      <w:r w:rsidRPr="006B33D3">
        <w:rPr>
          <w:rFonts w:ascii="Verdana" w:eastAsia="Calibri" w:hAnsi="Verdana" w:cs="Arial"/>
          <w:color w:val="000000"/>
          <w:sz w:val="21"/>
          <w:szCs w:val="21"/>
        </w:rPr>
        <w:t>se enmarca dentro de</w:t>
      </w:r>
      <w:proofErr w:type="gramEnd"/>
      <w:r w:rsidRPr="006B33D3">
        <w:rPr>
          <w:rFonts w:ascii="Verdana" w:eastAsia="Calibri" w:hAnsi="Verdana" w:cs="Arial"/>
          <w:color w:val="000000"/>
          <w:sz w:val="21"/>
          <w:szCs w:val="21"/>
        </w:rPr>
        <w:t xml:space="preserve"> un saber propiamente técnico; igualmente involucra actividades en donde prima el esfuerzo físico o mecánico, en donde no se requiere de personal profesional.</w:t>
      </w:r>
    </w:p>
    <w:p w14:paraId="25949869"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50A7CD15"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50738FC5"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 xml:space="preserve">Dentro de su objeto contractual pueden tener lugar actividades operativas, logísticas o asistenciales, siempre que satisfaga los </w:t>
      </w:r>
      <w:r w:rsidRPr="006B33D3">
        <w:rPr>
          <w:rFonts w:ascii="Verdana" w:eastAsia="Calibri" w:hAnsi="Verdana" w:cs="Arial"/>
          <w:color w:val="000000"/>
          <w:sz w:val="21"/>
          <w:szCs w:val="21"/>
        </w:rPr>
        <w:lastRenderedPageBreak/>
        <w:t>requisitos antes mencionados y sea acorde con las necesidades de la Administración y el principio de planeación</w:t>
      </w:r>
      <w:r w:rsidRPr="006B33D3">
        <w:rPr>
          <w:rStyle w:val="Refdenotaalpie"/>
          <w:rFonts w:ascii="Verdana" w:eastAsia="Calibri" w:hAnsi="Verdana" w:cs="Arial"/>
          <w:color w:val="000000"/>
          <w:sz w:val="21"/>
          <w:szCs w:val="21"/>
        </w:rPr>
        <w:footnoteReference w:id="26"/>
      </w:r>
      <w:r w:rsidRPr="006B33D3">
        <w:rPr>
          <w:rFonts w:ascii="Verdana" w:eastAsia="Calibri" w:hAnsi="Verdana" w:cs="Arial"/>
          <w:color w:val="000000"/>
          <w:sz w:val="21"/>
          <w:szCs w:val="21"/>
        </w:rPr>
        <w:t>.</w:t>
      </w:r>
    </w:p>
    <w:p w14:paraId="7C5F5D0B" w14:textId="77777777" w:rsidR="009637A2" w:rsidRPr="006B33D3" w:rsidRDefault="009637A2" w:rsidP="009637A2">
      <w:pPr>
        <w:spacing w:after="0" w:line="276" w:lineRule="auto"/>
        <w:ind w:firstLine="709"/>
        <w:jc w:val="both"/>
        <w:rPr>
          <w:rFonts w:ascii="Verdana" w:eastAsia="Calibri" w:hAnsi="Verdana" w:cs="Arial"/>
          <w:color w:val="000000"/>
        </w:rPr>
      </w:pPr>
    </w:p>
    <w:p w14:paraId="71815F16"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En relación con el contrato de para la ejecución de trabajos artísticos que solo pueden encomendarse a determinadas personas naturales, señala el mencionado fallo que:</w:t>
      </w:r>
    </w:p>
    <w:p w14:paraId="0B29C502"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5C77947F"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r w:rsidRPr="006B33D3">
        <w:rPr>
          <w:rFonts w:ascii="Verdana" w:eastAsia="Calibri" w:hAnsi="Verdana" w:cs="Arial"/>
          <w:color w:val="000000"/>
          <w:sz w:val="21"/>
          <w:szCs w:val="21"/>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Pr="006B33D3">
        <w:rPr>
          <w:rFonts w:ascii="Verdana" w:eastAsia="Calibri" w:hAnsi="Verdana" w:cs="Arial"/>
          <w:color w:val="000000"/>
          <w:sz w:val="21"/>
          <w:szCs w:val="21"/>
        </w:rPr>
        <w:t>persona reconocidas</w:t>
      </w:r>
      <w:proofErr w:type="gramEnd"/>
      <w:r w:rsidRPr="006B33D3">
        <w:rPr>
          <w:rFonts w:ascii="Verdana" w:eastAsia="Calibri" w:hAnsi="Verdana" w:cs="Arial"/>
          <w:color w:val="000000"/>
          <w:sz w:val="21"/>
          <w:szCs w:val="21"/>
        </w:rPr>
        <w:t xml:space="preserve"> como realizador o productor de arte o trabajos artísticos</w:t>
      </w:r>
      <w:r w:rsidRPr="006B33D3">
        <w:rPr>
          <w:rStyle w:val="Refdenotaalpie"/>
          <w:rFonts w:ascii="Verdana" w:eastAsia="Calibri" w:hAnsi="Verdana" w:cs="Arial"/>
          <w:color w:val="000000"/>
          <w:sz w:val="21"/>
          <w:szCs w:val="21"/>
        </w:rPr>
        <w:footnoteReference w:id="27"/>
      </w:r>
      <w:r w:rsidRPr="006B33D3">
        <w:rPr>
          <w:rFonts w:ascii="Verdana" w:eastAsia="Calibri" w:hAnsi="Verdana" w:cs="Arial"/>
          <w:color w:val="000000"/>
          <w:sz w:val="21"/>
          <w:szCs w:val="21"/>
        </w:rPr>
        <w:t>.</w:t>
      </w:r>
    </w:p>
    <w:p w14:paraId="7288C3DF"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03CF25E5"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f)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6B33D3">
        <w:rPr>
          <w:rStyle w:val="Refdenotaalpie"/>
          <w:rFonts w:ascii="Verdana" w:eastAsia="Calibri" w:hAnsi="Verdana" w:cs="Arial"/>
          <w:color w:val="000000"/>
        </w:rPr>
        <w:footnoteReference w:id="28"/>
      </w:r>
      <w:r w:rsidRPr="006B33D3">
        <w:rPr>
          <w:rFonts w:ascii="Verdana" w:eastAsia="Calibri" w:hAnsi="Verdana" w:cs="Arial"/>
          <w:color w:val="000000"/>
        </w:rPr>
        <w:t xml:space="preserve">. Pero, tampoco puede suscribirse un contrato de prestación de servicios profesionales para que el contratista ejecute labores que </w:t>
      </w:r>
      <w:proofErr w:type="gramStart"/>
      <w:r w:rsidRPr="006B33D3">
        <w:rPr>
          <w:rFonts w:ascii="Verdana" w:eastAsia="Calibri" w:hAnsi="Verdana" w:cs="Arial"/>
          <w:color w:val="000000"/>
        </w:rPr>
        <w:t>se enmarcan dentro de</w:t>
      </w:r>
      <w:proofErr w:type="gramEnd"/>
      <w:r w:rsidRPr="006B33D3">
        <w:rPr>
          <w:rFonts w:ascii="Verdana" w:eastAsia="Calibri" w:hAnsi="Verdana" w:cs="Arial"/>
          <w:color w:val="000000"/>
        </w:rPr>
        <w:t xml:space="preserve"> los otros contratos tipificados en el artículo 32 de la Ley 80 de 1993, como, por ejemplo, para que el contratista de prestación de servicios construya una obra.</w:t>
      </w:r>
    </w:p>
    <w:p w14:paraId="3CED7A9D"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lastRenderedPageBreak/>
        <w:t>g) Para su celebración no se requiere la expedición del acto administrativo de justificación de la contratación directa</w:t>
      </w:r>
      <w:r w:rsidRPr="006B33D3">
        <w:rPr>
          <w:rStyle w:val="Refdenotaalpie"/>
          <w:rFonts w:ascii="Verdana" w:eastAsia="Calibri" w:hAnsi="Verdana" w:cs="Arial"/>
          <w:color w:val="000000"/>
        </w:rPr>
        <w:footnoteReference w:id="29"/>
      </w:r>
      <w:r w:rsidRPr="006B33D3">
        <w:rPr>
          <w:rFonts w:ascii="Verdana" w:eastAsia="Calibri" w:hAnsi="Verdana" w:cs="Arial"/>
          <w:color w:val="000000"/>
        </w:rPr>
        <w:t xml:space="preserve">. </w:t>
      </w:r>
    </w:p>
    <w:p w14:paraId="7D85AA41"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t>h) Admiten el pacto de cláusulas excepcionales. Es decir, en los contratos de prestación de servicios profesionales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6B33D3">
        <w:rPr>
          <w:rStyle w:val="Refdenotaalpie"/>
          <w:rFonts w:ascii="Verdana" w:eastAsia="Calibri" w:hAnsi="Verdana" w:cs="Arial"/>
          <w:color w:val="000000"/>
        </w:rPr>
        <w:footnoteReference w:id="30"/>
      </w:r>
      <w:r w:rsidRPr="006B33D3">
        <w:rPr>
          <w:rFonts w:ascii="Verdana" w:eastAsia="Calibri" w:hAnsi="Verdana" w:cs="Arial"/>
          <w:color w:val="000000"/>
        </w:rPr>
        <w:t>.</w:t>
      </w:r>
    </w:p>
    <w:p w14:paraId="0BE17BEC"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t>i) En ellos no es obligatoria la liquidación, pues así lo estableció el artículo 217 del Decreto 019 de 2012, que modificó el artículo 60 de la Ley 80 de 1993</w:t>
      </w:r>
      <w:r w:rsidRPr="006B33D3">
        <w:rPr>
          <w:rStyle w:val="Refdenotaalpie"/>
          <w:rFonts w:ascii="Verdana" w:eastAsia="Calibri" w:hAnsi="Verdana" w:cs="Arial"/>
          <w:color w:val="000000"/>
        </w:rPr>
        <w:footnoteReference w:id="31"/>
      </w:r>
      <w:r w:rsidRPr="006B33D3">
        <w:rPr>
          <w:rFonts w:ascii="Verdana" w:eastAsia="Calibri" w:hAnsi="Verdana" w:cs="Arial"/>
          <w:color w:val="000000"/>
        </w:rPr>
        <w:t>.</w:t>
      </w:r>
    </w:p>
    <w:p w14:paraId="645BCD65" w14:textId="77777777" w:rsidR="009637A2" w:rsidRPr="006B33D3" w:rsidRDefault="009637A2" w:rsidP="009637A2">
      <w:pPr>
        <w:spacing w:before="120" w:after="120" w:line="276" w:lineRule="auto"/>
        <w:ind w:firstLine="709"/>
        <w:jc w:val="both"/>
        <w:rPr>
          <w:rFonts w:ascii="Verdana" w:eastAsia="Calibri" w:hAnsi="Verdana" w:cs="Arial"/>
          <w:color w:val="000000"/>
        </w:rPr>
      </w:pPr>
      <w:r w:rsidRPr="006B33D3">
        <w:rPr>
          <w:rFonts w:ascii="Verdana" w:eastAsia="Calibri" w:hAnsi="Verdana" w:cs="Arial"/>
          <w:color w:val="000000"/>
        </w:rPr>
        <w:t>j) Para su celebración no se requiere inscripción en el Registro Único de Proponentes (RUP), según lo prevé el artículo 6 de la Ley 1150 de 2007</w:t>
      </w:r>
      <w:r w:rsidRPr="006B33D3">
        <w:rPr>
          <w:rStyle w:val="Refdenotaalpie"/>
          <w:rFonts w:ascii="Verdana" w:eastAsia="Calibri" w:hAnsi="Verdana" w:cs="Arial"/>
          <w:color w:val="000000"/>
        </w:rPr>
        <w:footnoteReference w:id="32"/>
      </w:r>
      <w:r w:rsidRPr="006B33D3">
        <w:rPr>
          <w:rFonts w:ascii="Verdana" w:eastAsia="Calibri" w:hAnsi="Verdana" w:cs="Arial"/>
          <w:color w:val="000000"/>
        </w:rPr>
        <w:t>.</w:t>
      </w:r>
    </w:p>
    <w:p w14:paraId="30E39287"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lastRenderedPageBreak/>
        <w:t>k) En ellos no son necesarias las garantías</w:t>
      </w:r>
      <w:r w:rsidRPr="006B33D3">
        <w:rPr>
          <w:rStyle w:val="Refdenotaalpie"/>
          <w:rFonts w:ascii="Verdana" w:eastAsia="Calibri" w:hAnsi="Verdana" w:cs="Arial"/>
          <w:color w:val="000000"/>
        </w:rPr>
        <w:footnoteReference w:id="33"/>
      </w:r>
      <w:r w:rsidRPr="006B33D3">
        <w:rPr>
          <w:rFonts w:ascii="Verdana" w:eastAsia="Calibri" w:hAnsi="Verdana" w:cs="Arial"/>
          <w:color w:val="000000"/>
        </w:rPr>
        <w:t>.</w:t>
      </w:r>
    </w:p>
    <w:p w14:paraId="25792208" w14:textId="77777777" w:rsidR="009637A2" w:rsidRPr="006B33D3" w:rsidRDefault="009637A2" w:rsidP="009637A2">
      <w:pPr>
        <w:spacing w:after="0" w:line="240" w:lineRule="auto"/>
        <w:ind w:left="709" w:right="709"/>
        <w:jc w:val="both"/>
        <w:rPr>
          <w:rFonts w:ascii="Verdana" w:eastAsia="Calibri" w:hAnsi="Verdana" w:cs="Arial"/>
          <w:color w:val="000000"/>
          <w:sz w:val="21"/>
          <w:szCs w:val="21"/>
        </w:rPr>
      </w:pPr>
    </w:p>
    <w:p w14:paraId="331B5058" w14:textId="77777777" w:rsidR="009637A2" w:rsidRPr="006B33D3" w:rsidRDefault="009637A2" w:rsidP="009637A2">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En efecto, es procedente señalar que, los contratos de prestación de servicios profesionales pueden celebrarse con organismos internacionales, siempre que se respeten las características propias de esta tipología contractual que se expusieron a continuación. Tal como lo señaló el Consejo de Estado en la sentencia de unificación jurisprudencial del 2 de diciembre de 2013 ya precitada, su objeto está determinado por el desarrollo de actividades intangibles e identificables que implican un esfuerzo intelectivo cualificado, orientado a satisfacer necesidades de gestión administrativa o de funcionamiento de las entidades estatales.</w:t>
      </w:r>
    </w:p>
    <w:p w14:paraId="39E605BA" w14:textId="77777777" w:rsidR="009637A2" w:rsidRPr="006B33D3" w:rsidRDefault="009637A2" w:rsidP="009637A2">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En este sentido, cuando una entidad estatal vincula a un organismo internacional mediante un contrato de prestación de servicios profesionales, debe asegurarse de que el objeto contractual consista en la aportación de conocimientos especializados y en la ejecución de actividades que requieran un saber profesional, sin que implique la delegación de la administración o gerencia de recursos públicos. La relación jurídica se configura como una prestación remunerada, en la que el organismo internacional actúa como contratista y no como gestor de fondos estatales.</w:t>
      </w:r>
    </w:p>
    <w:p w14:paraId="48768E88" w14:textId="77777777" w:rsidR="009637A2" w:rsidRPr="006B33D3" w:rsidRDefault="009637A2" w:rsidP="009637A2">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 xml:space="preserve">En cuanto a la acreditación de la idoneidad y experiencia del organismo internacional, el artículo 2.2.1.2.1.4.9 del Decreto 1082 de 2015 exige que la entidad verifique la idoneidad o experiencia requerida y relacionada con el área de que se trate. Bajo esa exigencia, las competencias institucionales atribuidas al organismo mediante sus instrumentos constitutivos, su experiencia especializada, su participación en la expedición de estándares internacionales y las capacidades técnicas desarrolladas en ejercicio de su mandato pueden </w:t>
      </w:r>
      <w:r w:rsidRPr="006B33D3">
        <w:rPr>
          <w:rFonts w:ascii="Verdana" w:eastAsia="Calibri" w:hAnsi="Verdana" w:cs="Arial"/>
          <w:color w:val="000000"/>
        </w:rPr>
        <w:lastRenderedPageBreak/>
        <w:t>valorarse como elementos idóneos para acreditar su experiencia y especialización, siempre que guarden relación directa con el objeto contractual. Tal verificación no reemplaza la justificación de la causal ni la demostración de que el objeto corresponde materialmente a un servicio profesional y no a una prestación propia de la consultoría.</w:t>
      </w:r>
    </w:p>
    <w:p w14:paraId="0746C8B5"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 xml:space="preserve">Por lo tanto, la posibilidad de acudir a esta modalidad contractual con organismos internacionales está condicionada a que se cumplan las notas esenciales del contrato de prestación de servicios profesionales: objeto intangible, necesidad de conocimientos cualificados, vinculación de personas legalmente reconocidas como profesionales y remuneración por la actividad desarrollada. De esta manera, se garantiza que la contratación se ajuste al Estatuto General de Contratación de la Administración Pública -EGCAP- y que no se incurra en el supuesto prohibido de administración o gerencia de recursos públicos previsto en el artículo 20 de la Ley 1150 de 2007. Ahora bien, será necesario diferenciarlo del contrato de consultoría que se explica a continuación. </w:t>
      </w:r>
    </w:p>
    <w:p w14:paraId="418E7E4D" w14:textId="77777777" w:rsidR="009637A2" w:rsidRPr="006B33D3" w:rsidRDefault="009637A2" w:rsidP="009637A2">
      <w:pPr>
        <w:spacing w:after="0" w:line="276" w:lineRule="auto"/>
        <w:jc w:val="both"/>
        <w:rPr>
          <w:rFonts w:ascii="Verdana" w:eastAsia="Calibri" w:hAnsi="Verdana" w:cs="Arial"/>
          <w:color w:val="000000"/>
        </w:rPr>
      </w:pPr>
    </w:p>
    <w:p w14:paraId="129032CE" w14:textId="77777777" w:rsidR="009637A2" w:rsidRPr="006B33D3" w:rsidRDefault="009637A2" w:rsidP="009637A2">
      <w:pPr>
        <w:spacing w:after="0" w:line="276" w:lineRule="auto"/>
        <w:jc w:val="both"/>
        <w:rPr>
          <w:rFonts w:ascii="Verdana" w:eastAsia="Calibri" w:hAnsi="Verdana" w:cs="Arial"/>
          <w:bCs/>
          <w:lang w:val="es-ES_tradnl" w:eastAsia="es-ES_tradnl"/>
        </w:rPr>
      </w:pPr>
      <w:proofErr w:type="spellStart"/>
      <w:r w:rsidRPr="006B33D3">
        <w:rPr>
          <w:rFonts w:ascii="Verdana" w:eastAsia="Calibri" w:hAnsi="Verdana" w:cs="Arial"/>
          <w:color w:val="000000"/>
        </w:rPr>
        <w:t>iv</w:t>
      </w:r>
      <w:proofErr w:type="spellEnd"/>
      <w:r w:rsidRPr="006B33D3">
        <w:rPr>
          <w:rFonts w:ascii="Verdana" w:eastAsia="Calibri" w:hAnsi="Verdana" w:cs="Arial"/>
          <w:color w:val="000000"/>
        </w:rPr>
        <w:t xml:space="preserve">. </w:t>
      </w:r>
      <w:r w:rsidRPr="006B33D3">
        <w:rPr>
          <w:rFonts w:ascii="Verdana" w:eastAsia="Calibri" w:hAnsi="Verdana" w:cs="Arial"/>
          <w:bCs/>
          <w:lang w:val="es-ES_tradnl" w:eastAsia="es-ES_tradnl"/>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6B33D3">
        <w:rPr>
          <w:rFonts w:ascii="Verdana" w:eastAsia="Calibri" w:hAnsi="Verdana" w:cs="Arial"/>
          <w:vertAlign w:val="superscript"/>
          <w:lang w:eastAsia="es-ES_tradnl"/>
        </w:rPr>
        <w:footnoteReference w:id="34"/>
      </w:r>
      <w:r w:rsidRPr="006B33D3">
        <w:rPr>
          <w:rFonts w:ascii="Verdana" w:eastAsia="Calibri" w:hAnsi="Verdana" w:cs="Arial"/>
          <w:bCs/>
          <w:lang w:val="es-ES_tradnl" w:eastAsia="es-ES_tradnl"/>
        </w:rPr>
        <w:t>. Al respecto, la Sección Tercera del Consejo de Estado en Sentencia de Unificación con radicado 41.719 señaló frente al contrato de consultoría lo siguiente:</w:t>
      </w:r>
    </w:p>
    <w:p w14:paraId="40F9D2B7" w14:textId="77777777" w:rsidR="009637A2" w:rsidRPr="006B33D3" w:rsidRDefault="009637A2" w:rsidP="009637A2">
      <w:pPr>
        <w:spacing w:after="0" w:line="276" w:lineRule="auto"/>
        <w:jc w:val="both"/>
        <w:rPr>
          <w:rFonts w:ascii="Verdana" w:eastAsia="Calibri" w:hAnsi="Verdana" w:cs="Arial"/>
          <w:bCs/>
          <w:lang w:val="es-ES_tradnl" w:eastAsia="es-ES_tradnl"/>
        </w:rPr>
      </w:pPr>
    </w:p>
    <w:p w14:paraId="4B159411" w14:textId="77777777" w:rsidR="009637A2" w:rsidRPr="006B33D3" w:rsidRDefault="009637A2" w:rsidP="009637A2">
      <w:pPr>
        <w:spacing w:after="0" w:line="240" w:lineRule="auto"/>
        <w:ind w:left="709" w:right="709"/>
        <w:jc w:val="both"/>
        <w:rPr>
          <w:rFonts w:ascii="Verdana" w:eastAsia="Times New Roman" w:hAnsi="Verdana" w:cs="Arial"/>
          <w:sz w:val="20"/>
          <w:szCs w:val="20"/>
          <w:lang w:eastAsia="es-ES_tradnl"/>
        </w:rPr>
      </w:pPr>
      <w:r w:rsidRPr="006B33D3">
        <w:rPr>
          <w:rFonts w:ascii="Verdana" w:eastAsia="Times New Roman" w:hAnsi="Verdana" w:cs="Arial"/>
          <w:sz w:val="20"/>
          <w:szCs w:val="20"/>
          <w:lang w:eastAsia="es-ES_tradnl"/>
        </w:rPr>
        <w:lastRenderedPageBreak/>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15DE24FF" w14:textId="77777777" w:rsidR="009637A2" w:rsidRPr="006B33D3" w:rsidRDefault="009637A2" w:rsidP="009637A2">
      <w:pPr>
        <w:spacing w:after="0" w:line="240" w:lineRule="auto"/>
        <w:ind w:left="709" w:right="709"/>
        <w:jc w:val="both"/>
        <w:rPr>
          <w:rFonts w:ascii="Verdana" w:eastAsia="Times New Roman" w:hAnsi="Verdana" w:cs="Arial"/>
          <w:sz w:val="20"/>
          <w:szCs w:val="20"/>
          <w:lang w:eastAsia="es-ES_tradnl"/>
        </w:rPr>
      </w:pPr>
    </w:p>
    <w:p w14:paraId="063E15CB" w14:textId="77777777" w:rsidR="009637A2" w:rsidRPr="006B33D3" w:rsidRDefault="009637A2" w:rsidP="009637A2">
      <w:pPr>
        <w:spacing w:after="0" w:line="240" w:lineRule="auto"/>
        <w:ind w:left="709" w:right="709"/>
        <w:jc w:val="both"/>
        <w:rPr>
          <w:rFonts w:ascii="Verdana" w:eastAsia="Calibri" w:hAnsi="Verdana" w:cs="Arial"/>
          <w:bCs/>
          <w:sz w:val="20"/>
          <w:szCs w:val="20"/>
          <w:lang w:val="es-ES_tradnl" w:eastAsia="es-ES_tradnl"/>
        </w:rPr>
      </w:pPr>
      <w:r w:rsidRPr="006B33D3">
        <w:rPr>
          <w:rFonts w:ascii="Verdana" w:eastAsia="Times New Roman" w:hAnsi="Verdana" w:cs="Arial"/>
          <w:sz w:val="20"/>
          <w:szCs w:val="20"/>
          <w:lang w:eastAsia="es-ES_tradnl"/>
        </w:rPr>
        <w:t>Además de estos objetos contractuales, se incluyen allí aquellos que las demás disposiciones legales especiales (y reglamentarias) establezcan</w:t>
      </w:r>
      <w:r w:rsidRPr="006B33D3">
        <w:rPr>
          <w:rFonts w:ascii="Verdana" w:eastAsia="Times New Roman" w:hAnsi="Verdana" w:cs="Arial"/>
          <w:sz w:val="20"/>
          <w:szCs w:val="20"/>
          <w:vertAlign w:val="superscript"/>
          <w:lang w:eastAsia="es-ES_tradnl"/>
        </w:rPr>
        <w:footnoteReference w:id="35"/>
      </w:r>
      <w:r w:rsidRPr="006B33D3">
        <w:rPr>
          <w:rFonts w:ascii="Verdana" w:eastAsia="Times New Roman" w:hAnsi="Verdana" w:cs="Arial"/>
          <w:sz w:val="20"/>
          <w:szCs w:val="20"/>
          <w:lang w:eastAsia="es-ES_tradnl"/>
        </w:rPr>
        <w:t>.</w:t>
      </w:r>
    </w:p>
    <w:p w14:paraId="16D6C758" w14:textId="77777777" w:rsidR="009637A2" w:rsidRPr="006B33D3" w:rsidRDefault="009637A2" w:rsidP="009637A2">
      <w:pPr>
        <w:spacing w:after="0" w:line="276" w:lineRule="auto"/>
        <w:ind w:right="709"/>
        <w:jc w:val="both"/>
        <w:rPr>
          <w:rFonts w:ascii="Verdana" w:eastAsia="Calibri" w:hAnsi="Verdana" w:cs="Arial"/>
          <w:bCs/>
          <w:sz w:val="21"/>
          <w:szCs w:val="21"/>
          <w:lang w:val="es-ES_tradnl" w:eastAsia="es-ES_tradnl"/>
        </w:rPr>
      </w:pPr>
    </w:p>
    <w:p w14:paraId="48AA3018" w14:textId="77777777" w:rsidR="009637A2" w:rsidRPr="006B33D3" w:rsidRDefault="009637A2" w:rsidP="009637A2">
      <w:pPr>
        <w:spacing w:after="0" w:line="276" w:lineRule="auto"/>
        <w:jc w:val="both"/>
        <w:rPr>
          <w:rFonts w:ascii="Verdana" w:eastAsia="Calibri" w:hAnsi="Verdana" w:cs="Arial"/>
          <w:bCs/>
          <w:szCs w:val="24"/>
          <w:lang w:val="es-ES_tradnl" w:eastAsia="es-ES_tradnl"/>
        </w:rPr>
      </w:pPr>
      <w:r w:rsidRPr="006B33D3">
        <w:rPr>
          <w:rFonts w:ascii="Verdana" w:eastAsia="Calibri" w:hAnsi="Verdana" w:cs="Arial"/>
          <w:bCs/>
          <w:szCs w:val="24"/>
          <w:lang w:val="es-ES_tradnl" w:eastAsia="es-ES_tradnl"/>
        </w:rPr>
        <w:tab/>
        <w:t>La doctrina expresa que el artículo 32.2. no establece una definición de contrato de consultoría, sino que, simplemente, enuncia una serie de actividades que pueden hacer parte de este tipo contractual</w:t>
      </w:r>
      <w:r w:rsidRPr="006B33D3">
        <w:rPr>
          <w:rFonts w:ascii="Verdana" w:eastAsia="Calibri" w:hAnsi="Verdana" w:cs="Arial"/>
          <w:sz w:val="24"/>
          <w:szCs w:val="24"/>
          <w:vertAlign w:val="superscript"/>
          <w:lang w:eastAsia="es-ES_tradnl"/>
        </w:rPr>
        <w:footnoteReference w:id="36"/>
      </w:r>
      <w:r w:rsidRPr="006B33D3">
        <w:rPr>
          <w:rFonts w:ascii="Verdana" w:eastAsia="Calibri" w:hAnsi="Verdana" w:cs="Arial"/>
          <w:bCs/>
          <w:szCs w:val="24"/>
          <w:lang w:val="es-ES_tradnl" w:eastAsia="es-ES_tradnl"/>
        </w:rPr>
        <w:t xml:space="preserve">. Es decir, no hay un concepto propio de consultoría dentro de la Ley 80 de 1993, pero sí se establecen elementos o actividades que configuran este tipo de contratos. Al respecto, el Consejo de Estado expresa: </w:t>
      </w:r>
    </w:p>
    <w:p w14:paraId="4403DA3E" w14:textId="77777777" w:rsidR="009637A2" w:rsidRPr="006B33D3" w:rsidRDefault="009637A2" w:rsidP="009637A2">
      <w:pPr>
        <w:spacing w:after="0" w:line="276" w:lineRule="auto"/>
        <w:jc w:val="both"/>
        <w:rPr>
          <w:rFonts w:ascii="Verdana" w:eastAsia="Calibri" w:hAnsi="Verdana" w:cs="Arial"/>
          <w:bCs/>
          <w:szCs w:val="24"/>
          <w:lang w:val="es-ES_tradnl" w:eastAsia="es-ES_tradnl"/>
        </w:rPr>
      </w:pPr>
    </w:p>
    <w:p w14:paraId="62D847F9" w14:textId="77777777" w:rsidR="009637A2" w:rsidRPr="006B33D3" w:rsidRDefault="009637A2" w:rsidP="009637A2">
      <w:pPr>
        <w:spacing w:after="0" w:line="240" w:lineRule="auto"/>
        <w:ind w:left="709" w:right="709"/>
        <w:jc w:val="both"/>
        <w:rPr>
          <w:rFonts w:ascii="Verdana" w:eastAsia="Times New Roman" w:hAnsi="Verdana" w:cs="Arial"/>
          <w:iCs/>
          <w:sz w:val="20"/>
          <w:szCs w:val="20"/>
          <w:lang w:val="es-MX" w:eastAsia="es-ES"/>
        </w:rPr>
      </w:pPr>
      <w:r w:rsidRPr="006B33D3">
        <w:rPr>
          <w:rFonts w:ascii="Verdana" w:eastAsia="Times New Roman" w:hAnsi="Verdana" w:cs="Arial"/>
          <w:iCs/>
          <w:sz w:val="20"/>
          <w:szCs w:val="20"/>
          <w:lang w:val="es-MX" w:eastAsia="es-ES"/>
        </w:rPr>
        <w:t>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6B33D3">
        <w:rPr>
          <w:rFonts w:ascii="Verdana" w:eastAsia="Times New Roman" w:hAnsi="Verdana" w:cs="Arial"/>
          <w:sz w:val="20"/>
          <w:szCs w:val="20"/>
          <w:vertAlign w:val="superscript"/>
          <w:lang w:eastAsia="es-ES_tradnl"/>
        </w:rPr>
        <w:footnoteReference w:id="37"/>
      </w:r>
      <w:r w:rsidRPr="006B33D3">
        <w:rPr>
          <w:rFonts w:ascii="Verdana" w:eastAsia="Times New Roman" w:hAnsi="Verdana" w:cs="Arial"/>
          <w:iCs/>
          <w:sz w:val="20"/>
          <w:szCs w:val="20"/>
          <w:lang w:val="es-MX" w:eastAsia="es-ES"/>
        </w:rPr>
        <w:t>.</w:t>
      </w:r>
    </w:p>
    <w:p w14:paraId="1E4E184A" w14:textId="77777777" w:rsidR="009637A2" w:rsidRPr="006B33D3" w:rsidRDefault="009637A2" w:rsidP="009637A2">
      <w:pPr>
        <w:spacing w:after="0" w:line="276" w:lineRule="auto"/>
        <w:jc w:val="both"/>
        <w:rPr>
          <w:rFonts w:ascii="Verdana" w:eastAsia="Calibri" w:hAnsi="Verdana" w:cs="Arial"/>
          <w:bCs/>
          <w:szCs w:val="24"/>
          <w:lang w:val="es-MX" w:eastAsia="es-ES_tradnl"/>
        </w:rPr>
      </w:pPr>
    </w:p>
    <w:p w14:paraId="350699E3" w14:textId="77777777" w:rsidR="009637A2" w:rsidRPr="006B33D3" w:rsidRDefault="009637A2" w:rsidP="009637A2">
      <w:pPr>
        <w:spacing w:after="0" w:line="276" w:lineRule="auto"/>
        <w:jc w:val="both"/>
        <w:rPr>
          <w:rFonts w:ascii="Verdana" w:eastAsia="Calibri" w:hAnsi="Verdana" w:cs="Arial"/>
          <w:bCs/>
          <w:lang w:val="es-ES_tradnl" w:eastAsia="es-ES_tradnl"/>
        </w:rPr>
      </w:pPr>
      <w:r w:rsidRPr="006B33D3">
        <w:rPr>
          <w:rFonts w:ascii="Verdana" w:eastAsia="Calibri" w:hAnsi="Verdana" w:cs="Arial"/>
          <w:bCs/>
          <w:szCs w:val="24"/>
          <w:lang w:val="es-ES_tradnl" w:eastAsia="es-ES_tradnl"/>
        </w:rPr>
        <w:lastRenderedPageBreak/>
        <w:tab/>
      </w:r>
      <w:r w:rsidRPr="006B33D3">
        <w:rPr>
          <w:rFonts w:ascii="Verdana" w:eastAsia="Calibri" w:hAnsi="Verdana" w:cs="Arial"/>
          <w:bCs/>
          <w:lang w:val="es-ES_tradnl" w:eastAsia="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6B33D3">
        <w:rPr>
          <w:rFonts w:ascii="Verdana" w:eastAsia="Times New Roman" w:hAnsi="Verdana" w:cs="Arial"/>
          <w:lang w:eastAsia="es-ES_tradnl"/>
        </w:rPr>
        <w:t xml:space="preserve">actividades de colaboración y apoyo a la gestión de la entidad dirigidas al cumplimiento de las funciones asignadas a esta, de carácter temporal, excepcional u ocasional, siempre que no haya suficiente personal de planta o que, </w:t>
      </w:r>
      <w:r w:rsidRPr="006B33D3">
        <w:rPr>
          <w:rFonts w:ascii="Verdana" w:eastAsia="Times New Roman" w:hAnsi="Verdana" w:cs="Arial"/>
          <w:noProof/>
          <w:lang w:val="es-ES_tradnl" w:eastAsia="es-ES_tradnl"/>
        </w:rPr>
        <w:t>existiendo, está sobrecargado de trabajo, o</w:t>
      </w:r>
      <w:r w:rsidRPr="006B33D3">
        <w:rPr>
          <w:rFonts w:ascii="Verdana" w:eastAsia="Times New Roman" w:hAnsi="Verdana" w:cs="Arial"/>
          <w:lang w:eastAsia="es-ES_tradnl"/>
        </w:rPr>
        <w:t xml:space="preserve"> que sean actividades que requieran conocimientos especializados, según lo prescrito en el artículo 32.3. de la Ley 80 de 1993. Al respecto, el Consejo de Estado ha señalado la diferencia entre estos dos contratos, de la siguiente manera: </w:t>
      </w:r>
    </w:p>
    <w:p w14:paraId="594A6C7C" w14:textId="77777777" w:rsidR="009637A2" w:rsidRPr="006B33D3" w:rsidRDefault="009637A2" w:rsidP="009637A2">
      <w:pPr>
        <w:spacing w:after="0" w:line="276" w:lineRule="auto"/>
        <w:ind w:right="102" w:firstLine="709"/>
        <w:jc w:val="both"/>
        <w:rPr>
          <w:rFonts w:ascii="Verdana" w:eastAsia="MS Mincho" w:hAnsi="Verdana" w:cs="Arial"/>
          <w:lang w:eastAsia="es-CO"/>
        </w:rPr>
      </w:pPr>
    </w:p>
    <w:p w14:paraId="1730B4C7" w14:textId="77777777" w:rsidR="009637A2" w:rsidRPr="006B33D3" w:rsidRDefault="009637A2" w:rsidP="009637A2">
      <w:pPr>
        <w:spacing w:after="0" w:line="240" w:lineRule="auto"/>
        <w:ind w:left="709" w:right="709"/>
        <w:jc w:val="both"/>
        <w:rPr>
          <w:rFonts w:ascii="Verdana" w:eastAsia="Times New Roman" w:hAnsi="Verdana" w:cs="Arial"/>
          <w:sz w:val="20"/>
          <w:szCs w:val="20"/>
          <w:lang w:val="es-ES_tradnl" w:eastAsia="es-ES_tradnl"/>
        </w:rPr>
      </w:pPr>
      <w:r w:rsidRPr="006B33D3">
        <w:rPr>
          <w:rFonts w:ascii="Verdana" w:eastAsia="Times New Roman" w:hAnsi="Verdana" w:cs="Arial"/>
          <w:sz w:val="20"/>
          <w:szCs w:val="20"/>
          <w:lang w:val="es-ES_tradnl" w:eastAsia="es-ES_tradnl"/>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6B33D3">
        <w:rPr>
          <w:rFonts w:ascii="Verdana" w:eastAsia="Times New Roman" w:hAnsi="Verdana" w:cs="Arial"/>
          <w:sz w:val="20"/>
          <w:szCs w:val="20"/>
          <w:vertAlign w:val="superscript"/>
          <w:lang w:eastAsia="es-ES_tradnl"/>
        </w:rPr>
        <w:footnoteReference w:id="38"/>
      </w:r>
      <w:r w:rsidRPr="006B33D3">
        <w:rPr>
          <w:rFonts w:ascii="Verdana" w:eastAsia="Times New Roman" w:hAnsi="Verdana" w:cs="Arial"/>
          <w:sz w:val="20"/>
          <w:szCs w:val="20"/>
          <w:lang w:val="es-ES_tradnl" w:eastAsia="es-ES_tradnl"/>
        </w:rPr>
        <w:t>.</w:t>
      </w:r>
    </w:p>
    <w:p w14:paraId="42940711" w14:textId="77777777" w:rsidR="009637A2" w:rsidRPr="006B33D3" w:rsidRDefault="009637A2" w:rsidP="009637A2">
      <w:pPr>
        <w:spacing w:after="0" w:line="276" w:lineRule="auto"/>
        <w:ind w:right="102" w:firstLine="709"/>
        <w:jc w:val="both"/>
        <w:rPr>
          <w:rFonts w:ascii="Verdana" w:eastAsia="MS Mincho" w:hAnsi="Verdana" w:cs="Arial"/>
          <w:sz w:val="20"/>
          <w:szCs w:val="20"/>
          <w:lang w:eastAsia="es-CO"/>
        </w:rPr>
      </w:pPr>
    </w:p>
    <w:p w14:paraId="43DFE9AC" w14:textId="77777777" w:rsidR="009637A2" w:rsidRPr="006B33D3" w:rsidRDefault="009637A2" w:rsidP="009637A2">
      <w:pPr>
        <w:spacing w:after="0" w:line="276" w:lineRule="auto"/>
        <w:ind w:firstLine="709"/>
        <w:jc w:val="both"/>
        <w:rPr>
          <w:rFonts w:ascii="Verdana" w:eastAsia="Calibri" w:hAnsi="Verdana" w:cs="Arial"/>
          <w:lang w:val="es-ES"/>
        </w:rPr>
      </w:pPr>
      <w:r w:rsidRPr="006B33D3">
        <w:rPr>
          <w:rFonts w:ascii="Verdana" w:eastAsia="Times New Roman" w:hAnsi="Verdana" w:cs="Arial"/>
          <w:lang w:eastAsia="es-ES_tradnl"/>
        </w:rPr>
        <w:t xml:space="preserve">En este sentido, </w:t>
      </w:r>
      <w:r w:rsidRPr="006B33D3">
        <w:rPr>
          <w:rFonts w:ascii="Verdana" w:eastAsia="Calibri" w:hAnsi="Verdana" w:cs="Arial"/>
          <w:bCs/>
          <w:lang w:val="es-ES_tradnl" w:eastAsia="es-ES_tradnl"/>
        </w:rPr>
        <w:t xml:space="preserve">la característica principal para identificar los contratos estatales de consultoría es el carácter técnico –especializado–, frente a otro tipo de contratos estatales, como el de prestación de servicios, como se señaló previamente, la cual constituye el eje de las actividades descritas en el artículo 32.2 de la Ley 80 de 1993. Teniendo en cuenta las normas legales y reglamentarias aplicables al tema, </w:t>
      </w:r>
      <w:r w:rsidRPr="006B33D3">
        <w:rPr>
          <w:rFonts w:ascii="Verdana" w:eastAsia="Calibri" w:hAnsi="Verdana" w:cs="Arial"/>
          <w:lang w:val="es-ES"/>
        </w:rPr>
        <w:t xml:space="preserve">la ejecución de esas actividades de </w:t>
      </w:r>
      <w:r w:rsidRPr="006B33D3">
        <w:rPr>
          <w:rFonts w:ascii="Verdana" w:eastAsia="Calibri" w:hAnsi="Verdana" w:cs="Arial"/>
          <w:lang w:val="es-ES"/>
        </w:rPr>
        <w:lastRenderedPageBreak/>
        <w:t>consultoría se fundamenta en que se requieren para evaluar</w:t>
      </w:r>
      <w:r w:rsidRPr="006B33D3">
        <w:rPr>
          <w:rFonts w:ascii="Verdana" w:eastAsia="Calibri" w:hAnsi="Verdana" w:cs="Arial"/>
          <w:bCs/>
          <w:lang w:val="es-ES_tradnl" w:eastAsia="es-ES_tradnl"/>
        </w:rPr>
        <w:t xml:space="preserve">, </w:t>
      </w:r>
      <w:r w:rsidRPr="006B33D3">
        <w:rPr>
          <w:rFonts w:ascii="Verdana" w:eastAsia="Calibri" w:hAnsi="Verdana" w:cs="Arial"/>
          <w:lang w:val="es-ES"/>
        </w:rPr>
        <w:t>analizar, examinar o diagnosticar la prefactibilidad o la factibilidad de proyectos de inversión o proyectos específicos. Esto significa que la consultoría tiene como objeto la ejecución de proyectos de complejidad técnica o que giran en torno a estos asuntos, bajo el amparo de asesorías técnicas de coordinación, de control o supervisión, así como de interventoría, gerencia, dirección o programación de obras o proyectos, cuestiones que incluyen la elaboración de los diseños, planos, anteproyectos, proyectos, entre otros. Al respecto, el Consejo de Estado señaló:</w:t>
      </w:r>
    </w:p>
    <w:p w14:paraId="001444CE" w14:textId="77777777" w:rsidR="009637A2" w:rsidRPr="006B33D3" w:rsidRDefault="009637A2" w:rsidP="009637A2">
      <w:pPr>
        <w:spacing w:after="0" w:line="276" w:lineRule="auto"/>
        <w:jc w:val="both"/>
        <w:rPr>
          <w:rFonts w:ascii="Verdana" w:eastAsia="Calibri" w:hAnsi="Verdana" w:cs="Arial"/>
          <w:sz w:val="20"/>
          <w:szCs w:val="20"/>
          <w:lang w:val="es-ES"/>
        </w:rPr>
      </w:pPr>
    </w:p>
    <w:p w14:paraId="24A033BB" w14:textId="77777777" w:rsidR="009637A2" w:rsidRPr="006B33D3" w:rsidRDefault="009637A2" w:rsidP="009637A2">
      <w:pPr>
        <w:spacing w:after="0" w:line="240" w:lineRule="auto"/>
        <w:ind w:left="709" w:right="709"/>
        <w:jc w:val="both"/>
        <w:rPr>
          <w:rFonts w:ascii="Verdana" w:eastAsia="Calibri" w:hAnsi="Verdana" w:cs="Arial"/>
          <w:sz w:val="20"/>
          <w:szCs w:val="20"/>
          <w:lang w:val="es-ES"/>
        </w:rPr>
      </w:pPr>
      <w:r w:rsidRPr="006B33D3">
        <w:rPr>
          <w:rFonts w:ascii="Verdana" w:eastAsia="Calibri" w:hAnsi="Verdana" w:cs="Arial"/>
          <w:sz w:val="20"/>
          <w:szCs w:val="20"/>
        </w:rPr>
        <w:t xml:space="preserve">[…] se desprende que la característica fundamental o básica que servirá para identificar los contratos estatales de </w:t>
      </w:r>
      <w:r w:rsidRPr="006B33D3">
        <w:rPr>
          <w:rFonts w:ascii="Verdana" w:eastAsia="Calibri" w:hAnsi="Verdana" w:cs="Arial"/>
          <w:i/>
          <w:sz w:val="20"/>
          <w:szCs w:val="20"/>
        </w:rPr>
        <w:t>consultoría</w:t>
      </w:r>
      <w:r w:rsidRPr="006B33D3">
        <w:rPr>
          <w:rFonts w:ascii="Verdana" w:eastAsia="Calibri" w:hAnsi="Verdana" w:cs="Arial"/>
          <w:sz w:val="20"/>
          <w:szCs w:val="20"/>
        </w:rPr>
        <w:t xml:space="preserve"> será la índole </w:t>
      </w:r>
      <w:r w:rsidRPr="006B33D3">
        <w:rPr>
          <w:rFonts w:ascii="Verdana" w:eastAsia="Calibri" w:hAnsi="Verdana" w:cs="Arial"/>
          <w:sz w:val="20"/>
          <w:szCs w:val="20"/>
          <w:u w:val="single"/>
        </w:rPr>
        <w:t>técnica</w:t>
      </w:r>
      <w:r w:rsidRPr="006B33D3">
        <w:rPr>
          <w:rFonts w:ascii="Verdana" w:eastAsia="Calibri" w:hAnsi="Verdana" w:cs="Arial"/>
          <w:sz w:val="20"/>
          <w:szCs w:val="20"/>
        </w:rPr>
        <w:t xml:space="preserve"> de su contenido, la cual constituye el </w:t>
      </w:r>
      <w:r w:rsidRPr="006B33D3">
        <w:rPr>
          <w:rFonts w:ascii="Verdana" w:eastAsia="Calibri" w:hAnsi="Verdana" w:cs="Arial"/>
          <w:i/>
          <w:sz w:val="20"/>
          <w:szCs w:val="20"/>
        </w:rPr>
        <w:t>“común denominador”</w:t>
      </w:r>
      <w:r w:rsidRPr="006B33D3">
        <w:rPr>
          <w:rFonts w:ascii="Verdana" w:eastAsia="Calibri" w:hAnsi="Verdana" w:cs="Arial"/>
          <w:sz w:val="20"/>
          <w:szCs w:val="20"/>
        </w:rPr>
        <w:t xml:space="preserve"> de todas las actividades descritas como posibles integrantes de su objeto, consideración que se robustece si se tiene presente que, según lo señala la propia norma legal, el desarrollo y la ejecución de esas actividades generalmente se requiere y se justifica en cuanto las mismas han de servir para evaluar, para analizar, para examinar, para diagnosticar la prefactibilidad o la factibilidad de </w:t>
      </w:r>
      <w:r w:rsidRPr="006B33D3">
        <w:rPr>
          <w:rFonts w:ascii="Verdana" w:eastAsia="Calibri" w:hAnsi="Verdana" w:cs="Arial"/>
          <w:i/>
          <w:sz w:val="20"/>
          <w:szCs w:val="20"/>
        </w:rPr>
        <w:t>proyectos de inversión</w:t>
      </w:r>
      <w:r w:rsidRPr="006B33D3">
        <w:rPr>
          <w:rFonts w:ascii="Verdana" w:eastAsia="Calibri" w:hAnsi="Verdana" w:cs="Arial"/>
          <w:sz w:val="20"/>
          <w:szCs w:val="20"/>
        </w:rPr>
        <w:t xml:space="preserve"> o </w:t>
      </w:r>
      <w:r w:rsidRPr="006B33D3">
        <w:rPr>
          <w:rFonts w:ascii="Verdana" w:eastAsia="Calibri" w:hAnsi="Verdana" w:cs="Arial"/>
          <w:i/>
          <w:sz w:val="20"/>
          <w:szCs w:val="20"/>
        </w:rPr>
        <w:t>proyectos específicos</w:t>
      </w:r>
      <w:r w:rsidRPr="006B33D3">
        <w:rPr>
          <w:rFonts w:ascii="Verdana" w:eastAsia="Calibri" w:hAnsi="Verdana" w:cs="Arial"/>
          <w:sz w:val="20"/>
          <w:szCs w:val="20"/>
        </w:rPr>
        <w:t xml:space="preserve">, esto es que la </w:t>
      </w:r>
      <w:r w:rsidRPr="006B33D3">
        <w:rPr>
          <w:rFonts w:ascii="Verdana" w:eastAsia="Calibri" w:hAnsi="Verdana" w:cs="Arial"/>
          <w:i/>
          <w:sz w:val="20"/>
          <w:szCs w:val="20"/>
        </w:rPr>
        <w:t xml:space="preserve">consultoría </w:t>
      </w:r>
      <w:r w:rsidRPr="006B33D3">
        <w:rPr>
          <w:rFonts w:ascii="Verdana" w:eastAsia="Calibri" w:hAnsi="Verdana" w:cs="Arial"/>
          <w:sz w:val="20"/>
          <w:szCs w:val="20"/>
        </w:rPr>
        <w:t>tiene como objeto de análisis la ejecución de proyectos o de obras que por esencia son de relativa complejidad técnica o que giran en rededor de los mismos, bajo la modalidad de asesorías técnicas de coordinación, de control o supervisión, así como de interventoría, gerencia, dirección o programación de tales obras o proyectos, cuestión que naturalmente incluye la elaboración de los diseños, planos, anteproyectos y proyectos correspondientes</w:t>
      </w:r>
      <w:r w:rsidRPr="006B33D3">
        <w:rPr>
          <w:rFonts w:ascii="Verdana" w:eastAsia="Calibri" w:hAnsi="Verdana" w:cs="Arial"/>
          <w:sz w:val="20"/>
          <w:szCs w:val="20"/>
          <w:vertAlign w:val="superscript"/>
          <w:lang w:eastAsia="es-ES_tradnl"/>
        </w:rPr>
        <w:footnoteReference w:id="39"/>
      </w:r>
      <w:r w:rsidRPr="006B33D3">
        <w:rPr>
          <w:rFonts w:ascii="Verdana" w:eastAsia="Calibri" w:hAnsi="Verdana" w:cs="Arial"/>
          <w:sz w:val="20"/>
          <w:szCs w:val="20"/>
        </w:rPr>
        <w:t xml:space="preserve"> (énfasis dentro del texto). </w:t>
      </w:r>
    </w:p>
    <w:p w14:paraId="30ED5CCF" w14:textId="77777777" w:rsidR="009637A2" w:rsidRPr="006B33D3" w:rsidRDefault="009637A2" w:rsidP="009637A2">
      <w:pPr>
        <w:spacing w:after="0" w:line="276" w:lineRule="auto"/>
        <w:jc w:val="both"/>
        <w:rPr>
          <w:rFonts w:ascii="Verdana" w:eastAsia="Calibri" w:hAnsi="Verdana" w:cs="Arial"/>
          <w:lang w:val="es-ES"/>
        </w:rPr>
      </w:pPr>
    </w:p>
    <w:p w14:paraId="1D0E4A71" w14:textId="77777777" w:rsidR="009637A2" w:rsidRPr="006B33D3" w:rsidRDefault="009637A2" w:rsidP="009637A2">
      <w:pPr>
        <w:spacing w:after="0" w:line="276" w:lineRule="auto"/>
        <w:jc w:val="both"/>
        <w:rPr>
          <w:rFonts w:ascii="Verdana" w:eastAsia="Calibri" w:hAnsi="Verdana" w:cs="Arial"/>
          <w:bCs/>
          <w:lang w:val="es-ES_tradnl" w:eastAsia="es-ES_tradnl"/>
        </w:rPr>
      </w:pPr>
      <w:r w:rsidRPr="006B33D3">
        <w:rPr>
          <w:rFonts w:ascii="Verdana" w:eastAsia="Calibri" w:hAnsi="Verdana" w:cs="Arial"/>
          <w:bCs/>
          <w:lang w:val="es-ES_tradnl" w:eastAsia="es-ES_tradnl"/>
        </w:rPr>
        <w:tab/>
        <w:t xml:space="preserve">De acuerdo con lo señalado en la jurisprudencia citada, la consultoría tiene dentro de sus objetos el análisis de ejecución de proyectos altamente técnicos, que se efectúa bajo la modalidad de asesorías técnicas de coordinación, de control o de supervisión. Para explicar qué se entiende por asesoría, se acude al Diccionario </w:t>
      </w:r>
      <w:proofErr w:type="spellStart"/>
      <w:r w:rsidRPr="006B33D3">
        <w:rPr>
          <w:rFonts w:ascii="Verdana" w:eastAsia="Calibri" w:hAnsi="Verdana" w:cs="Arial"/>
          <w:bCs/>
          <w:lang w:val="es-ES_tradnl" w:eastAsia="es-ES_tradnl"/>
        </w:rPr>
        <w:t>Panhispanico</w:t>
      </w:r>
      <w:proofErr w:type="spellEnd"/>
      <w:r w:rsidRPr="006B33D3">
        <w:rPr>
          <w:rFonts w:ascii="Verdana" w:eastAsia="Calibri" w:hAnsi="Verdana" w:cs="Arial"/>
          <w:bCs/>
          <w:lang w:val="es-ES_tradnl" w:eastAsia="es-ES_tradnl"/>
        </w:rPr>
        <w:t xml:space="preserve"> de Español Jurídico, que la define como: </w:t>
      </w:r>
      <w:r w:rsidRPr="006B33D3">
        <w:rPr>
          <w:rFonts w:ascii="Verdana" w:eastAsia="Times New Roman" w:hAnsi="Verdana" w:cs="Arial"/>
          <w:lang w:val="es-ES" w:eastAsia="es-ES_tradnl"/>
        </w:rPr>
        <w:t>“</w:t>
      </w:r>
      <w:r w:rsidRPr="006B33D3">
        <w:rPr>
          <w:rFonts w:ascii="Verdana" w:eastAsia="Calibri" w:hAnsi="Verdana" w:cs="Arial"/>
          <w:bCs/>
          <w:lang w:val="es-ES_tradnl" w:eastAsia="es-ES_tradnl"/>
        </w:rPr>
        <w:t xml:space="preserve">1. </w:t>
      </w:r>
      <w:proofErr w:type="spellStart"/>
      <w:r w:rsidRPr="006B33D3">
        <w:rPr>
          <w:rFonts w:ascii="Verdana" w:eastAsia="Calibri" w:hAnsi="Verdana" w:cs="Arial"/>
          <w:bCs/>
          <w:lang w:val="es-ES_tradnl" w:eastAsia="es-ES_tradnl"/>
        </w:rPr>
        <w:t>Civ</w:t>
      </w:r>
      <w:proofErr w:type="spellEnd"/>
      <w:r w:rsidRPr="006B33D3">
        <w:rPr>
          <w:rFonts w:ascii="Verdana" w:eastAsia="Calibri" w:hAnsi="Verdana" w:cs="Arial"/>
          <w:bCs/>
          <w:lang w:val="es-ES_tradnl" w:eastAsia="es-ES_tradnl"/>
        </w:rPr>
        <w:t xml:space="preserve">. </w:t>
      </w:r>
      <w:r w:rsidRPr="006B33D3">
        <w:rPr>
          <w:rFonts w:ascii="Verdana" w:eastAsia="Calibri" w:hAnsi="Verdana" w:cs="Arial"/>
          <w:bCs/>
          <w:lang w:val="es-ES_tradnl" w:eastAsia="es-ES_tradnl"/>
        </w:rPr>
        <w:lastRenderedPageBreak/>
        <w:t xml:space="preserve">Servicio profesional de información y consejo en materia especializada (jurídica, fiscal, técnica, cultural, laboral, contable, etc.); 2. </w:t>
      </w:r>
      <w:proofErr w:type="spellStart"/>
      <w:r w:rsidRPr="006B33D3">
        <w:rPr>
          <w:rFonts w:ascii="Verdana" w:eastAsia="Calibri" w:hAnsi="Verdana" w:cs="Arial"/>
          <w:bCs/>
          <w:lang w:val="es-ES_tradnl" w:eastAsia="es-ES_tradnl"/>
        </w:rPr>
        <w:t>Civ</w:t>
      </w:r>
      <w:proofErr w:type="spellEnd"/>
      <w:r w:rsidRPr="006B33D3">
        <w:rPr>
          <w:rFonts w:ascii="Verdana" w:eastAsia="Calibri" w:hAnsi="Verdana" w:cs="Arial"/>
          <w:bCs/>
          <w:lang w:val="es-ES_tradnl" w:eastAsia="es-ES_tradnl"/>
        </w:rPr>
        <w:t xml:space="preserve">. Establecimiento dedicado a la prestación profesional de asesoría; 3. </w:t>
      </w:r>
      <w:proofErr w:type="spellStart"/>
      <w:r w:rsidRPr="006B33D3">
        <w:rPr>
          <w:rFonts w:ascii="Verdana" w:eastAsia="Calibri" w:hAnsi="Verdana" w:cs="Arial"/>
          <w:bCs/>
          <w:lang w:val="es-ES_tradnl" w:eastAsia="es-ES_tradnl"/>
        </w:rPr>
        <w:t>Civ</w:t>
      </w:r>
      <w:proofErr w:type="spellEnd"/>
      <w:r w:rsidRPr="006B33D3">
        <w:rPr>
          <w:rFonts w:ascii="Verdana" w:eastAsia="Calibri" w:hAnsi="Verdana" w:cs="Arial"/>
          <w:bCs/>
          <w:lang w:val="es-ES_tradnl" w:eastAsia="es-ES_tradnl"/>
        </w:rPr>
        <w:t>. Órgano administrativo o empresarial encargado de la función de asesoramiento de un área especializada. […]</w:t>
      </w:r>
      <w:r w:rsidRPr="006B33D3">
        <w:rPr>
          <w:rFonts w:ascii="Verdana" w:eastAsia="Times New Roman" w:hAnsi="Verdana" w:cs="Arial"/>
          <w:lang w:val="es-ES" w:eastAsia="es-ES_tradnl"/>
        </w:rPr>
        <w:t>”</w:t>
      </w:r>
      <w:r w:rsidRPr="006B33D3">
        <w:rPr>
          <w:rFonts w:ascii="Verdana" w:eastAsia="Calibri" w:hAnsi="Verdana" w:cs="Arial"/>
          <w:vertAlign w:val="superscript"/>
          <w:lang w:eastAsia="es-ES_tradnl"/>
        </w:rPr>
        <w:footnoteReference w:id="40"/>
      </w:r>
      <w:r w:rsidRPr="006B33D3">
        <w:rPr>
          <w:rFonts w:ascii="Verdana" w:eastAsia="Calibri" w:hAnsi="Verdana" w:cs="Arial"/>
          <w:bCs/>
          <w:lang w:val="es-ES_tradnl" w:eastAsia="es-ES_tradnl"/>
        </w:rPr>
        <w:t>. Así mismo, la doctrina ha señalado frente a este tema lo siguiente:</w:t>
      </w:r>
    </w:p>
    <w:p w14:paraId="484A9157" w14:textId="77777777" w:rsidR="009637A2" w:rsidRPr="006B33D3" w:rsidRDefault="009637A2" w:rsidP="009637A2">
      <w:pPr>
        <w:spacing w:after="0" w:line="276" w:lineRule="auto"/>
        <w:jc w:val="both"/>
        <w:rPr>
          <w:rFonts w:ascii="Verdana" w:eastAsia="Calibri" w:hAnsi="Verdana" w:cs="Arial"/>
          <w:bCs/>
          <w:lang w:val="es-ES_tradnl" w:eastAsia="es-ES_tradnl"/>
        </w:rPr>
      </w:pPr>
    </w:p>
    <w:p w14:paraId="6FB68A99" w14:textId="77777777" w:rsidR="009637A2" w:rsidRPr="006B33D3" w:rsidRDefault="009637A2" w:rsidP="009637A2">
      <w:pPr>
        <w:autoSpaceDE w:val="0"/>
        <w:autoSpaceDN w:val="0"/>
        <w:adjustRightInd w:val="0"/>
        <w:spacing w:after="0" w:line="240" w:lineRule="auto"/>
        <w:ind w:left="709" w:right="709"/>
        <w:jc w:val="both"/>
        <w:rPr>
          <w:rFonts w:ascii="Verdana" w:eastAsia="Calibri" w:hAnsi="Verdana" w:cs="Arial"/>
          <w:sz w:val="20"/>
          <w:szCs w:val="20"/>
          <w:lang w:val="es-ES"/>
        </w:rPr>
      </w:pPr>
      <w:r w:rsidRPr="006B33D3">
        <w:rPr>
          <w:rFonts w:ascii="Verdana" w:eastAsia="Calibri" w:hAnsi="Verdana" w:cs="Arial"/>
          <w:sz w:val="20"/>
          <w:szCs w:val="20"/>
          <w:lang w:val="es-ES"/>
        </w:rPr>
        <w:t>[…] con base en el contrato de consultoría se pueden contratar los estudios de prefactibilidad o factibilidad para programas o proyectos específicos, los cuales sirven para determinar la viabilidad de un proyecto de inversión; y de paso, las asesorías técnicas que pueden ser 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6B33D3">
        <w:rPr>
          <w:rFonts w:ascii="Verdana" w:eastAsia="Calibri" w:hAnsi="Verdana" w:cs="Arial"/>
          <w:sz w:val="20"/>
          <w:szCs w:val="20"/>
          <w:vertAlign w:val="superscript"/>
          <w:lang w:eastAsia="es-ES_tradnl"/>
        </w:rPr>
        <w:footnoteReference w:id="41"/>
      </w:r>
      <w:r w:rsidRPr="006B33D3">
        <w:rPr>
          <w:rFonts w:ascii="Verdana" w:eastAsia="Calibri" w:hAnsi="Verdana" w:cs="Arial"/>
          <w:sz w:val="20"/>
          <w:szCs w:val="20"/>
          <w:lang w:val="es-ES"/>
        </w:rPr>
        <w:t>.</w:t>
      </w:r>
    </w:p>
    <w:p w14:paraId="48F0012C" w14:textId="77777777" w:rsidR="009637A2" w:rsidRPr="006B33D3" w:rsidRDefault="009637A2" w:rsidP="009637A2">
      <w:pPr>
        <w:autoSpaceDE w:val="0"/>
        <w:autoSpaceDN w:val="0"/>
        <w:adjustRightInd w:val="0"/>
        <w:spacing w:after="0" w:line="240" w:lineRule="auto"/>
        <w:jc w:val="both"/>
        <w:rPr>
          <w:rFonts w:ascii="Verdana" w:eastAsia="Calibri" w:hAnsi="Verdana" w:cs="Arial"/>
          <w:lang w:val="es-ES"/>
        </w:rPr>
      </w:pPr>
    </w:p>
    <w:p w14:paraId="3A69DCE9" w14:textId="77777777" w:rsidR="009637A2" w:rsidRPr="006B33D3" w:rsidRDefault="009637A2" w:rsidP="009637A2">
      <w:pPr>
        <w:spacing w:after="120" w:line="276" w:lineRule="auto"/>
        <w:ind w:firstLine="708"/>
        <w:jc w:val="both"/>
        <w:rPr>
          <w:rFonts w:ascii="Verdana" w:eastAsia="Calibri" w:hAnsi="Verdana" w:cs="Arial"/>
          <w:lang w:val="es-ES"/>
        </w:rPr>
      </w:pPr>
      <w:r w:rsidRPr="006B33D3">
        <w:rPr>
          <w:rFonts w:ascii="Verdana" w:eastAsia="Calibri" w:hAnsi="Verdana" w:cs="Arial"/>
          <w:bCs/>
          <w:lang w:val="es-ES_tradnl" w:eastAsia="es-ES_tradnl"/>
        </w:rPr>
        <w:t xml:space="preserve">A partir de las definiciones y lo expuesto por la doctrina, puede resaltarse que la asesoría está relacionada con un servicio profesional especializado en proyectos altamente técnicos dentro de la entidad, las cuales podrán ser de coordinación, control y supervisión, dependiendo de los proyectos que se estén ejecutando. En estos términos, estas actividades están determinadas por la evaluación, análisis, examen, diagnóstico de prefactibilidad o la factibilidad de los proyectos </w:t>
      </w:r>
      <w:r w:rsidRPr="006B33D3">
        <w:rPr>
          <w:rFonts w:ascii="Verdana" w:eastAsia="Calibri" w:hAnsi="Verdana" w:cs="Arial"/>
          <w:lang w:val="es-ES"/>
        </w:rPr>
        <w:t xml:space="preserve">de inversión o proyectos específicos. De este modo, la asesoría de control y de supervisión está relacionada con actividades de análisis, diagnóstico, evaluación, entre otras actividades; mientras la asesoría técnica de coordinación se vincula con actividades de examen, entre otras. </w:t>
      </w:r>
    </w:p>
    <w:p w14:paraId="0A4CAE04" w14:textId="77777777" w:rsidR="009637A2" w:rsidRPr="006B33D3" w:rsidRDefault="009637A2" w:rsidP="009637A2">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 xml:space="preserve">De acuerdo con la explicación precedente, puede señalarse que es procedente un contrato de consultoría con un organismo internacional cuando el objeto consista en actividades técnicas de alta especialización, tales como estudios de diagnóstico, prefactibilidad o factibilidad, diseños, planos, proyectos, interventoría o gerencia de obra. Estas actividades, previstas en el artículo 32.2 de la Ley 80 de 1993, son de naturaleza estrictamente técnica y se diferencian de los contratos de prestación de servicios por su complejidad y por la necesidad </w:t>
      </w:r>
      <w:r w:rsidRPr="006B33D3">
        <w:rPr>
          <w:rFonts w:ascii="Verdana" w:eastAsia="Calibri" w:hAnsi="Verdana" w:cs="Arial"/>
          <w:color w:val="000000"/>
        </w:rPr>
        <w:lastRenderedPageBreak/>
        <w:t>de aplicar metodologías avanzadas para la ejecución de proyectos de inversión o programas específicos.</w:t>
      </w:r>
    </w:p>
    <w:p w14:paraId="3ABC7AFD" w14:textId="77777777" w:rsidR="009637A2" w:rsidRPr="006B33D3" w:rsidRDefault="009637A2" w:rsidP="009637A2">
      <w:pPr>
        <w:spacing w:after="120" w:line="276" w:lineRule="auto"/>
        <w:ind w:firstLine="709"/>
        <w:jc w:val="both"/>
        <w:rPr>
          <w:rFonts w:ascii="Verdana" w:eastAsia="Calibri" w:hAnsi="Verdana" w:cs="Arial"/>
          <w:color w:val="000000"/>
        </w:rPr>
      </w:pPr>
      <w:r w:rsidRPr="006B33D3">
        <w:rPr>
          <w:rFonts w:ascii="Verdana" w:eastAsia="Calibri" w:hAnsi="Verdana" w:cs="Arial"/>
          <w:color w:val="000000"/>
        </w:rPr>
        <w:t>La procedencia de este tipo de contratos con organismos internacionales se justifica en la medida en que dichas entidades suelen aportar experticia técnica, metodologías innovadoras y estándares internacionales que enriquecen la planeación y ejecución de proyectos estatales. Así, la vinculación de un organismo internacional como contratista de consultoría permite a la entidad estatal acceder a conocimientos especializados y buenas prácticas globales, garantizando mayor calidad en los estudios y diseños, así como en la supervisión y control de proyectos estratégicos.</w:t>
      </w:r>
    </w:p>
    <w:p w14:paraId="6BC703D7" w14:textId="77777777" w:rsidR="009637A2" w:rsidRPr="006B33D3" w:rsidRDefault="009637A2" w:rsidP="009637A2">
      <w:pPr>
        <w:spacing w:after="0" w:line="276" w:lineRule="auto"/>
        <w:ind w:firstLine="709"/>
        <w:jc w:val="both"/>
        <w:rPr>
          <w:rFonts w:ascii="Verdana" w:eastAsia="Calibri" w:hAnsi="Verdana" w:cs="Arial"/>
          <w:color w:val="000000"/>
        </w:rPr>
      </w:pPr>
      <w:r w:rsidRPr="006B33D3">
        <w:rPr>
          <w:rFonts w:ascii="Verdana" w:eastAsia="Calibri" w:hAnsi="Verdana" w:cs="Arial"/>
          <w:color w:val="000000"/>
        </w:rPr>
        <w:t>No obstante, la entidad estatal debe asegurarse de que el contrato conserve las características propias de la consultoría: objeto técnico claramente delimitado, remuneración por el servicio prestado y ausencia de delegación en la administración de recursos públicos. De esta manera, la contratación con organismos internacionales bajo la modalidad de consultoría se ajusta al Estatuto General de Contratación de la Administración Pública -EGCAP- y a las reglas especiales del artículo 20 de la Ley 1150 de 2007, sin incurrir en la prohibición de trasladar la gerencia o administración de fondos estatales.</w:t>
      </w:r>
    </w:p>
    <w:p w14:paraId="4CEB3755" w14:textId="77777777" w:rsidR="009637A2" w:rsidRPr="006B33D3" w:rsidRDefault="009637A2" w:rsidP="009637A2">
      <w:pPr>
        <w:spacing w:after="0" w:line="276" w:lineRule="auto"/>
        <w:ind w:firstLine="709"/>
        <w:jc w:val="both"/>
        <w:rPr>
          <w:rFonts w:ascii="Verdana" w:eastAsia="Calibri" w:hAnsi="Verdana" w:cs="Arial"/>
          <w:color w:val="000000"/>
        </w:rPr>
      </w:pPr>
    </w:p>
    <w:p w14:paraId="76B684D4" w14:textId="77777777" w:rsidR="009637A2" w:rsidRPr="006B33D3" w:rsidRDefault="009637A2" w:rsidP="009637A2">
      <w:pPr>
        <w:spacing w:after="120" w:line="276" w:lineRule="auto"/>
        <w:jc w:val="both"/>
        <w:rPr>
          <w:rFonts w:ascii="Verdana" w:hAnsi="Verdana" w:cs="Arial"/>
          <w:color w:val="000000" w:themeColor="text1"/>
        </w:rPr>
      </w:pPr>
      <w:r w:rsidRPr="006B33D3">
        <w:rPr>
          <w:rFonts w:ascii="Verdana" w:eastAsia="Calibri" w:hAnsi="Verdana" w:cs="Arial"/>
          <w:bCs/>
          <w:color w:val="000000" w:themeColor="text1"/>
        </w:rPr>
        <w:t xml:space="preserve">v. </w:t>
      </w:r>
      <w:r w:rsidRPr="006B33D3">
        <w:rPr>
          <w:rFonts w:ascii="Verdana" w:hAnsi="Verdana" w:cs="Arial"/>
          <w:color w:val="000000" w:themeColor="text1"/>
        </w:rPr>
        <w:t>Aunque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p>
    <w:p w14:paraId="5312A7C2" w14:textId="77777777" w:rsidR="009637A2" w:rsidRPr="006B33D3" w:rsidRDefault="009637A2" w:rsidP="009637A2">
      <w:pPr>
        <w:spacing w:after="120" w:line="276" w:lineRule="auto"/>
        <w:jc w:val="both"/>
        <w:rPr>
          <w:rFonts w:ascii="Verdana" w:eastAsia="Calibri" w:hAnsi="Verdana" w:cs="Arial"/>
          <w:color w:val="000000" w:themeColor="text1"/>
        </w:rPr>
      </w:pPr>
      <w:r w:rsidRPr="006B33D3">
        <w:rPr>
          <w:rFonts w:ascii="Verdana" w:hAnsi="Verdana" w:cs="Arial"/>
          <w:color w:val="000000" w:themeColor="text1"/>
        </w:rPr>
        <w:tab/>
        <w:t xml:space="preserve">Cuando se interpreta aisladamente, la causal constituye un </w:t>
      </w:r>
      <w:r w:rsidRPr="006B33D3">
        <w:rPr>
          <w:rFonts w:ascii="Verdana" w:hAnsi="Verdana" w:cs="Arial"/>
          <w:i/>
          <w:iCs/>
          <w:color w:val="000000" w:themeColor="text1"/>
        </w:rPr>
        <w:t>concepto jurídico indeterminado</w:t>
      </w:r>
      <w:r w:rsidRPr="006B33D3">
        <w:rPr>
          <w:rFonts w:ascii="Verdana" w:hAnsi="Verdana" w:cs="Arial"/>
          <w:color w:val="000000" w:themeColor="text1"/>
        </w:rPr>
        <w:t xml:space="preserve">. Lo anterior en la medida que debe precisarse su contenido </w:t>
      </w:r>
      <w:proofErr w:type="gramStart"/>
      <w:r w:rsidRPr="006B33D3">
        <w:rPr>
          <w:rFonts w:ascii="Verdana" w:hAnsi="Verdana" w:cs="Arial"/>
          <w:color w:val="000000" w:themeColor="text1"/>
        </w:rPr>
        <w:t>de acuerdo a</w:t>
      </w:r>
      <w:proofErr w:type="gramEnd"/>
      <w:r w:rsidRPr="006B33D3">
        <w:rPr>
          <w:rFonts w:ascii="Verdana" w:hAnsi="Verdana" w:cs="Arial"/>
          <w:color w:val="000000" w:themeColor="text1"/>
        </w:rPr>
        <w:t xml:space="preserve"> las circunstancias, pues confiere una cierta facultad de apreciación interpretativa por la amplitud y abstracción del concepto</w:t>
      </w:r>
      <w:r w:rsidRPr="006B33D3">
        <w:rPr>
          <w:rStyle w:val="Refdenotaalpie"/>
          <w:rFonts w:ascii="Verdana" w:eastAsia="Calibri" w:hAnsi="Verdana" w:cs="Arial"/>
        </w:rPr>
        <w:footnoteReference w:id="42"/>
      </w:r>
      <w:r w:rsidRPr="006B33D3">
        <w:rPr>
          <w:rFonts w:ascii="Verdana" w:hAnsi="Verdana" w:cs="Arial"/>
          <w:color w:val="000000" w:themeColor="text1"/>
        </w:rPr>
        <w:t xml:space="preserve">. Sin </w:t>
      </w:r>
      <w:r w:rsidRPr="006B33D3">
        <w:rPr>
          <w:rFonts w:ascii="Verdana" w:hAnsi="Verdana" w:cs="Arial"/>
          <w:color w:val="000000" w:themeColor="text1"/>
        </w:rPr>
        <w:lastRenderedPageBreak/>
        <w:t xml:space="preserve">embargo, teniendo en cuenta la competencia del artículo 189.11 superior para la debida ejecución de la ley, nada obsta para que el reglamento determine los casos en que no existe pluralidad de oferentes, </w:t>
      </w:r>
      <w:proofErr w:type="gramStart"/>
      <w:r w:rsidRPr="006B33D3">
        <w:rPr>
          <w:rFonts w:ascii="Verdana" w:hAnsi="Verdana" w:cs="Arial"/>
          <w:color w:val="000000" w:themeColor="text1"/>
        </w:rPr>
        <w:t>pues</w:t>
      </w:r>
      <w:proofErr w:type="gramEnd"/>
      <w:r w:rsidRPr="006B33D3">
        <w:rPr>
          <w:rFonts w:ascii="Verdana" w:hAnsi="Verdana" w:cs="Arial"/>
          <w:color w:val="000000" w:themeColor="text1"/>
        </w:rPr>
        <w:t xml:space="preserve"> </w:t>
      </w:r>
      <w:r w:rsidRPr="006B33D3">
        <w:rPr>
          <w:rFonts w:ascii="Verdana" w:eastAsia="Calibri" w:hAnsi="Verdana" w:cs="Arial"/>
          <w:color w:val="000000" w:themeColor="text1"/>
        </w:rPr>
        <w:t xml:space="preserve">aunque el artículo 28 del Código Civil dispone que las palabras se entenderán en su sentido natural y obvio, es decir, de acuerdo con su sentido general, la norma también dispone que cuando se definan expresamente para ciertas materias, se les dará en éstas su significado legal. </w:t>
      </w:r>
    </w:p>
    <w:p w14:paraId="0DBAA94D" w14:textId="77777777" w:rsidR="009637A2" w:rsidRPr="006B33D3" w:rsidRDefault="009637A2" w:rsidP="009637A2">
      <w:pPr>
        <w:spacing w:after="120" w:line="276" w:lineRule="auto"/>
        <w:ind w:firstLine="708"/>
        <w:jc w:val="both"/>
        <w:rPr>
          <w:rFonts w:ascii="Verdana" w:eastAsia="Calibri" w:hAnsi="Verdana" w:cs="Arial"/>
          <w:color w:val="000000" w:themeColor="text1"/>
        </w:rPr>
      </w:pPr>
      <w:r w:rsidRPr="006B33D3">
        <w:rPr>
          <w:rFonts w:ascii="Verdana" w:eastAsia="Calibri" w:hAnsi="Verdana" w:cs="Arial"/>
          <w:color w:val="000000" w:themeColor="text1"/>
        </w:rPr>
        <w:t xml:space="preserve">Históricamente, reglamentando la causal de contratación directa prevista en el derogado numeral 1, literal j), del artículo 24 de la Ley 80 de 1993, el derogado Decreto 855 de 1994, en el artículo 12, dispuso la contratación directa cuando la licitación o concurso se declaran desiertos por la ausencia de proponentes, por el incumplimiento de los requisitos del pliego por quienes se presentan y, en general, por la falta de voluntad de participación; además, definía la ausencia de pluralidad de ofertes cuando i) no existe más de una (1) persona inscrita en el registro único de proponentes –RUP– en los contratos que requieren el cumplimiento de este requisito o </w:t>
      </w:r>
      <w:proofErr w:type="spellStart"/>
      <w:r w:rsidRPr="006B33D3">
        <w:rPr>
          <w:rFonts w:ascii="Verdana" w:eastAsia="Calibri" w:hAnsi="Verdana" w:cs="Arial"/>
          <w:color w:val="000000" w:themeColor="text1"/>
        </w:rPr>
        <w:t>ii</w:t>
      </w:r>
      <w:proofErr w:type="spellEnd"/>
      <w:r w:rsidRPr="006B33D3">
        <w:rPr>
          <w:rFonts w:ascii="Verdana" w:eastAsia="Calibri" w:hAnsi="Verdana" w:cs="Arial"/>
          <w:color w:val="000000" w:themeColor="text1"/>
        </w:rPr>
        <w:t>) solo existe un proveedor el bien o el servicio por ser titular de los derechos de propiedad industrial o de los derechos de autor, o por ser, de acuerdo con la ley, su proveedor exclusivo</w:t>
      </w:r>
      <w:r w:rsidRPr="006B33D3">
        <w:rPr>
          <w:rStyle w:val="Refdenotaalpie"/>
          <w:rFonts w:ascii="Verdana" w:eastAsia="Calibri" w:hAnsi="Verdana" w:cs="Arial"/>
          <w:color w:val="000000" w:themeColor="text1"/>
        </w:rPr>
        <w:footnoteReference w:id="43"/>
      </w:r>
      <w:r w:rsidRPr="006B33D3">
        <w:rPr>
          <w:rFonts w:ascii="Verdana" w:eastAsia="Calibri" w:hAnsi="Verdana" w:cs="Arial"/>
          <w:color w:val="000000" w:themeColor="text1"/>
        </w:rPr>
        <w:t>.</w:t>
      </w:r>
    </w:p>
    <w:p w14:paraId="4CFDB10F" w14:textId="77777777" w:rsidR="009637A2" w:rsidRPr="006B33D3" w:rsidRDefault="009637A2" w:rsidP="009637A2">
      <w:pPr>
        <w:spacing w:after="120" w:line="276" w:lineRule="auto"/>
        <w:ind w:firstLine="708"/>
        <w:jc w:val="both"/>
        <w:rPr>
          <w:rFonts w:ascii="Verdana" w:eastAsia="Calibri" w:hAnsi="Verdana" w:cs="Arial"/>
          <w:color w:val="000000" w:themeColor="text1"/>
        </w:rPr>
      </w:pPr>
      <w:r w:rsidRPr="006B33D3">
        <w:rPr>
          <w:rFonts w:ascii="Verdana" w:eastAsia="Calibri" w:hAnsi="Verdana" w:cs="Arial"/>
          <w:color w:val="000000" w:themeColor="text1"/>
        </w:rPr>
        <w:t xml:space="preserve">La falta de voluntad de participación y la inexistencia de pluralidad de oferentes son dos (2) eventos distintos. Aunque ambos suponen un conocimiento del mercado en el que los proponentes desarrollan sus actividades, en el segundo escenario no es posible adelantar un proceso de selección abierto, </w:t>
      </w:r>
      <w:r w:rsidRPr="006B33D3">
        <w:rPr>
          <w:rFonts w:ascii="Verdana" w:eastAsia="Calibri" w:hAnsi="Verdana" w:cs="Arial"/>
          <w:color w:val="000000" w:themeColor="text1"/>
        </w:rPr>
        <w:lastRenderedPageBreak/>
        <w:t xml:space="preserve">pues no existe concurrencia de participantes. En esta medida, conservando lo dispuesto en el citado artículo 12, parágrafo 2, del Decreto 855 de 1994, tanto el artículo 17 del Decreto 2170 de 2002 como el artículo 81 del Decreto 2474 de 2008 limitaron la falta de pluralidad de oferentes en los casos donde i) no existe más de una (1) persona inscrita en el RUP o </w:t>
      </w:r>
      <w:proofErr w:type="spellStart"/>
      <w:r w:rsidRPr="006B33D3">
        <w:rPr>
          <w:rFonts w:ascii="Verdana" w:eastAsia="Calibri" w:hAnsi="Verdana" w:cs="Arial"/>
          <w:color w:val="000000" w:themeColor="text1"/>
        </w:rPr>
        <w:t>ii</w:t>
      </w:r>
      <w:proofErr w:type="spellEnd"/>
      <w:r w:rsidRPr="006B33D3">
        <w:rPr>
          <w:rFonts w:ascii="Verdana" w:eastAsia="Calibri" w:hAnsi="Verdana" w:cs="Arial"/>
          <w:color w:val="000000" w:themeColor="text1"/>
        </w:rPr>
        <w:t>) solo existe un proveedor del bien o el servicio por ser titular de los derechos de propiedad industrial o de los derechos de autor, o por ser proveedor exclusivo de acuerdo con la ley.</w:t>
      </w:r>
    </w:p>
    <w:p w14:paraId="3B7E6E3B" w14:textId="77777777" w:rsidR="009637A2" w:rsidRPr="006B33D3" w:rsidRDefault="009637A2" w:rsidP="009637A2">
      <w:pPr>
        <w:spacing w:after="120" w:line="276" w:lineRule="auto"/>
        <w:ind w:firstLine="709"/>
        <w:jc w:val="both"/>
        <w:rPr>
          <w:rFonts w:ascii="Verdana" w:eastAsia="Calibri" w:hAnsi="Verdana" w:cs="Arial"/>
          <w:color w:val="000000" w:themeColor="text1"/>
        </w:rPr>
      </w:pPr>
      <w:r w:rsidRPr="006B33D3">
        <w:rPr>
          <w:rFonts w:ascii="Verdana" w:eastAsia="Calibri" w:hAnsi="Verdana" w:cs="Arial"/>
          <w:color w:val="000000" w:themeColor="text1"/>
        </w:rPr>
        <w:t xml:space="preserve">Continuando con la evolución histórica, el contenido del derogado Decreto 2474 de 2008 era más acorde con los procedimientos de selección del artículo 2 de la Ley 1150 de 2007, ya que –conforme al numeral 2, literal d)– cuando se declara desierta una licitación pública, no es procedente la contratación directa sino la selección abreviada. Incluso aunque la orientación del párrafo precedente también se conservó en el artículo 3.4.2.4.1 del Decreto 734 de 2012, el artículo 80 del Decreto 1510 de 2013 eliminó la ausencia de pluralidad de oferentes cuando no existe más de una (1) persona inscrita en el RUP, así como la expresión “de acuerdo con la ley” al tratar los proveedores exclusivos. </w:t>
      </w:r>
    </w:p>
    <w:p w14:paraId="7C57A8D8" w14:textId="77777777" w:rsidR="009637A2" w:rsidRPr="006B33D3" w:rsidRDefault="009637A2" w:rsidP="009637A2">
      <w:pPr>
        <w:spacing w:after="0" w:line="276" w:lineRule="auto"/>
        <w:ind w:firstLine="708"/>
        <w:jc w:val="both"/>
        <w:rPr>
          <w:rFonts w:ascii="Verdana" w:eastAsia="Calibri" w:hAnsi="Verdana" w:cs="Arial"/>
          <w:color w:val="000000" w:themeColor="text1"/>
        </w:rPr>
      </w:pPr>
      <w:r w:rsidRPr="006B33D3">
        <w:rPr>
          <w:rFonts w:ascii="Verdana" w:eastAsia="Calibri" w:hAnsi="Verdana" w:cs="Arial"/>
          <w:color w:val="000000" w:themeColor="text1"/>
        </w:rPr>
        <w:t>En la actualidad, la norma vigente para interpretar el alcance de la causal de contratación directa dispuesta en el artículo 2, numeral 4, literal g), de la Ley 1150 de 2007 está compilada en el artículo 2.2.1.2.1.4.8 del Decreto 1082 de 2015, el cual dispone lo siguiente:</w:t>
      </w:r>
    </w:p>
    <w:p w14:paraId="49F55763" w14:textId="77777777" w:rsidR="009637A2" w:rsidRPr="006B33D3" w:rsidRDefault="009637A2" w:rsidP="009637A2">
      <w:pPr>
        <w:spacing w:after="0" w:line="276" w:lineRule="auto"/>
        <w:ind w:firstLine="708"/>
        <w:jc w:val="both"/>
        <w:rPr>
          <w:rFonts w:ascii="Verdana" w:eastAsia="Calibri" w:hAnsi="Verdana" w:cs="Arial"/>
          <w:color w:val="000000" w:themeColor="text1"/>
        </w:rPr>
      </w:pPr>
    </w:p>
    <w:p w14:paraId="6426409D" w14:textId="77777777" w:rsidR="009637A2" w:rsidRPr="006B33D3" w:rsidRDefault="009637A2" w:rsidP="009637A2">
      <w:pPr>
        <w:spacing w:after="0" w:line="240" w:lineRule="auto"/>
        <w:ind w:left="709" w:right="709"/>
        <w:jc w:val="both"/>
        <w:rPr>
          <w:rFonts w:ascii="Verdana" w:eastAsia="Calibri" w:hAnsi="Verdana" w:cs="Arial"/>
          <w:color w:val="000000" w:themeColor="text1"/>
          <w:sz w:val="20"/>
          <w:szCs w:val="20"/>
        </w:rPr>
      </w:pPr>
      <w:r w:rsidRPr="006B33D3">
        <w:rPr>
          <w:rFonts w:ascii="Verdana" w:eastAsia="Calibri" w:hAnsi="Verdana" w:cs="Arial"/>
          <w:color w:val="000000" w:themeColor="text1"/>
          <w:sz w:val="20"/>
          <w:szCs w:val="20"/>
        </w:rPr>
        <w:t xml:space="preserve">“Artículo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2A89A419" w14:textId="77777777" w:rsidR="009637A2" w:rsidRPr="006B33D3" w:rsidRDefault="009637A2" w:rsidP="009637A2">
      <w:pPr>
        <w:spacing w:after="0" w:line="276" w:lineRule="auto"/>
        <w:ind w:left="709" w:right="709"/>
        <w:jc w:val="both"/>
        <w:rPr>
          <w:rFonts w:ascii="Verdana" w:eastAsia="Calibri" w:hAnsi="Verdana" w:cs="Arial"/>
          <w:color w:val="000000" w:themeColor="text1"/>
        </w:rPr>
      </w:pPr>
    </w:p>
    <w:p w14:paraId="7D691D7B" w14:textId="77777777" w:rsidR="009637A2" w:rsidRPr="006B33D3" w:rsidRDefault="009637A2" w:rsidP="009637A2">
      <w:pPr>
        <w:spacing w:after="0" w:line="276" w:lineRule="auto"/>
        <w:ind w:firstLine="708"/>
        <w:jc w:val="both"/>
        <w:rPr>
          <w:rFonts w:ascii="Verdana" w:eastAsia="Calibri" w:hAnsi="Verdana" w:cs="Arial"/>
          <w:color w:val="000000" w:themeColor="text1"/>
        </w:rPr>
      </w:pPr>
      <w:bookmarkStart w:id="14" w:name="_Hlk45532127"/>
      <w:r w:rsidRPr="006B33D3">
        <w:rPr>
          <w:rFonts w:ascii="Verdana" w:eastAsia="Calibri" w:hAnsi="Verdana" w:cs="Arial"/>
          <w:color w:val="000000" w:themeColor="text1"/>
        </w:rPr>
        <w:t xml:space="preserve">La norma consagra dos (2) hipótesis. </w:t>
      </w:r>
      <w:r w:rsidRPr="006B33D3">
        <w:rPr>
          <w:rFonts w:ascii="Verdana" w:eastAsia="Calibri" w:hAnsi="Verdana" w:cs="Arial"/>
          <w:i/>
          <w:iCs/>
          <w:color w:val="000000" w:themeColor="text1"/>
        </w:rPr>
        <w:t>En primer lugar</w:t>
      </w:r>
      <w:r w:rsidRPr="006B33D3">
        <w:rPr>
          <w:rFonts w:ascii="Verdana" w:eastAsia="Calibri" w:hAnsi="Verdana" w:cs="Arial"/>
          <w:color w:val="000000" w:themeColor="text1"/>
        </w:rPr>
        <w:t xml:space="preserve">, </w:t>
      </w:r>
      <w:bookmarkStart w:id="15" w:name="_Hlk45627093"/>
      <w:r w:rsidRPr="006B33D3">
        <w:rPr>
          <w:rFonts w:ascii="Verdana" w:eastAsia="Calibri" w:hAnsi="Verdana" w:cs="Arial"/>
          <w:color w:val="000000" w:themeColor="text1"/>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en una situación de derecho que impida que otra lo haga de forma igual o similar. </w:t>
      </w:r>
      <w:bookmarkStart w:id="16" w:name="_Hlk45635593"/>
      <w:r w:rsidRPr="006B33D3">
        <w:rPr>
          <w:rFonts w:ascii="Verdana" w:eastAsia="Calibri" w:hAnsi="Verdana" w:cs="Arial"/>
          <w:color w:val="000000" w:themeColor="text1"/>
        </w:rPr>
        <w:t xml:space="preserve">Para la doctrina, en ausencia de una barrera de entrada –como la que se concreta con los derechos de </w:t>
      </w:r>
      <w:r w:rsidRPr="006B33D3">
        <w:rPr>
          <w:rFonts w:ascii="Verdana" w:eastAsia="Calibri" w:hAnsi="Verdana" w:cs="Arial"/>
          <w:color w:val="000000" w:themeColor="text1"/>
        </w:rPr>
        <w:lastRenderedPageBreak/>
        <w:t>propiedad industrial o de autor– es necesario aplicar el principio de concurrencia</w:t>
      </w:r>
      <w:bookmarkEnd w:id="15"/>
      <w:bookmarkEnd w:id="16"/>
      <w:r w:rsidRPr="006B33D3">
        <w:rPr>
          <w:rFonts w:ascii="Verdana" w:eastAsia="Calibri" w:hAnsi="Verdana" w:cs="Arial"/>
          <w:color w:val="000000" w:themeColor="text1"/>
        </w:rPr>
        <w:t>.</w:t>
      </w:r>
      <w:bookmarkEnd w:id="14"/>
      <w:r w:rsidRPr="006B33D3">
        <w:rPr>
          <w:rFonts w:ascii="Verdana" w:eastAsia="Calibri" w:hAnsi="Verdana" w:cs="Arial"/>
          <w:color w:val="000000" w:themeColor="text1"/>
        </w:rPr>
        <w:t xml:space="preserve"> Por ello, explica que es posible la contratación directa con el oferente que es titular de una marca o privilegio, agregando que:</w:t>
      </w:r>
    </w:p>
    <w:p w14:paraId="449D060C" w14:textId="77777777" w:rsidR="009637A2" w:rsidRPr="006B33D3" w:rsidRDefault="009637A2" w:rsidP="009637A2">
      <w:pPr>
        <w:spacing w:after="0" w:line="276" w:lineRule="auto"/>
        <w:ind w:firstLine="708"/>
        <w:jc w:val="both"/>
        <w:rPr>
          <w:rFonts w:ascii="Verdana" w:eastAsia="Calibri" w:hAnsi="Verdana" w:cs="Arial"/>
          <w:color w:val="000000" w:themeColor="text1"/>
        </w:rPr>
      </w:pPr>
    </w:p>
    <w:p w14:paraId="56FDD8B1" w14:textId="77777777" w:rsidR="009637A2" w:rsidRPr="006B33D3" w:rsidRDefault="009637A2" w:rsidP="009637A2">
      <w:pPr>
        <w:spacing w:after="0" w:line="240" w:lineRule="auto"/>
        <w:ind w:left="709" w:right="709"/>
        <w:jc w:val="both"/>
        <w:rPr>
          <w:rFonts w:ascii="Verdana" w:eastAsia="Calibri" w:hAnsi="Verdana" w:cs="Arial"/>
          <w:color w:val="000000" w:themeColor="text1"/>
          <w:sz w:val="20"/>
          <w:szCs w:val="20"/>
        </w:rPr>
      </w:pPr>
      <w:r w:rsidRPr="006B33D3">
        <w:rPr>
          <w:rFonts w:ascii="Verdana" w:eastAsia="Calibri" w:hAnsi="Verdana" w:cs="Arial"/>
          <w:color w:val="000000" w:themeColor="text1"/>
          <w:sz w:val="20"/>
          <w:szCs w:val="20"/>
        </w:rPr>
        <w:t>“La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Desde luego no habría pluralidad de concurrentes, ni puja que hiciera posible el cumplimiento de las finalidades básicas perseguidas por la licitación”</w:t>
      </w:r>
      <w:r w:rsidRPr="006B33D3">
        <w:rPr>
          <w:rStyle w:val="Refdenotaalpie"/>
          <w:rFonts w:ascii="Verdana" w:eastAsia="Calibri" w:hAnsi="Verdana" w:cs="Arial"/>
          <w:color w:val="000000" w:themeColor="text1"/>
          <w:sz w:val="20"/>
          <w:szCs w:val="20"/>
        </w:rPr>
        <w:footnoteReference w:id="44"/>
      </w:r>
      <w:r w:rsidRPr="006B33D3">
        <w:rPr>
          <w:rFonts w:ascii="Verdana" w:eastAsia="Calibri" w:hAnsi="Verdana" w:cs="Arial"/>
          <w:color w:val="000000" w:themeColor="text1"/>
          <w:sz w:val="20"/>
          <w:szCs w:val="20"/>
        </w:rPr>
        <w:t>.</w:t>
      </w:r>
    </w:p>
    <w:p w14:paraId="636EF270" w14:textId="77777777" w:rsidR="009637A2" w:rsidRPr="006B33D3" w:rsidRDefault="009637A2" w:rsidP="009637A2">
      <w:pPr>
        <w:spacing w:after="0" w:line="276" w:lineRule="auto"/>
        <w:ind w:left="709" w:right="709"/>
        <w:jc w:val="both"/>
        <w:rPr>
          <w:rFonts w:ascii="Verdana" w:eastAsia="Calibri" w:hAnsi="Verdana" w:cs="Arial"/>
          <w:color w:val="000000" w:themeColor="text1"/>
        </w:rPr>
      </w:pPr>
    </w:p>
    <w:p w14:paraId="3257A15C" w14:textId="77777777" w:rsidR="009637A2" w:rsidRPr="006B33D3" w:rsidRDefault="009637A2" w:rsidP="009637A2">
      <w:pPr>
        <w:spacing w:after="120" w:line="276" w:lineRule="auto"/>
        <w:ind w:firstLine="708"/>
        <w:jc w:val="both"/>
        <w:rPr>
          <w:rFonts w:ascii="Verdana" w:eastAsia="Calibri" w:hAnsi="Verdana" w:cs="Arial"/>
          <w:color w:val="000000" w:themeColor="text1"/>
        </w:rPr>
      </w:pPr>
      <w:bookmarkStart w:id="17" w:name="_Hlk45532434"/>
      <w:r w:rsidRPr="006B33D3">
        <w:rPr>
          <w:rFonts w:ascii="Verdana" w:eastAsia="Calibri" w:hAnsi="Verdana" w:cs="Arial"/>
          <w:i/>
          <w:iCs/>
          <w:color w:val="000000" w:themeColor="text1"/>
        </w:rPr>
        <w:t>En segundo lugar</w:t>
      </w:r>
      <w:r w:rsidRPr="006B33D3">
        <w:rPr>
          <w:rFonts w:ascii="Verdana" w:eastAsia="Calibri" w:hAnsi="Verdana" w:cs="Arial"/>
          <w:color w:val="000000" w:themeColor="text1"/>
        </w:rPr>
        <w:t xml:space="preserve">, </w:t>
      </w:r>
      <w:bookmarkStart w:id="18" w:name="_Hlk45635630"/>
      <w:bookmarkStart w:id="19" w:name="_Hlk45627184"/>
      <w:r w:rsidRPr="006B33D3">
        <w:rPr>
          <w:rFonts w:ascii="Verdana" w:eastAsia="Calibri" w:hAnsi="Verdana" w:cs="Arial"/>
          <w:color w:val="000000" w:themeColor="text1"/>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18"/>
      <w:r w:rsidRPr="006B33D3">
        <w:rPr>
          <w:rFonts w:ascii="Verdana" w:eastAsia="Calibri" w:hAnsi="Verdana" w:cs="Arial"/>
          <w:color w:val="000000" w:themeColor="text1"/>
        </w:rPr>
        <w:t xml:space="preserve">. </w:t>
      </w:r>
    </w:p>
    <w:p w14:paraId="66D604C3" w14:textId="77777777" w:rsidR="009637A2" w:rsidRPr="006B33D3" w:rsidRDefault="009637A2" w:rsidP="009637A2">
      <w:pPr>
        <w:spacing w:after="120" w:line="276" w:lineRule="auto"/>
        <w:ind w:firstLine="709"/>
        <w:jc w:val="both"/>
        <w:rPr>
          <w:rFonts w:ascii="Verdana" w:eastAsia="Calibri" w:hAnsi="Verdana" w:cs="Arial"/>
          <w:color w:val="000000" w:themeColor="text1"/>
        </w:rPr>
      </w:pPr>
      <w:bookmarkStart w:id="20" w:name="_Hlk45635661"/>
      <w:r w:rsidRPr="006B33D3">
        <w:rPr>
          <w:rFonts w:ascii="Verdana" w:eastAsia="Calibri" w:hAnsi="Verdana" w:cs="Arial"/>
          <w:color w:val="000000" w:themeColor="text1"/>
        </w:rPr>
        <w:t>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20"/>
      <w:r w:rsidRPr="006B33D3">
        <w:rPr>
          <w:rFonts w:ascii="Verdana" w:eastAsia="Calibri" w:hAnsi="Verdana" w:cs="Arial"/>
          <w:color w:val="000000" w:themeColor="text1"/>
        </w:rPr>
        <w:t>.</w:t>
      </w:r>
      <w:bookmarkEnd w:id="19"/>
      <w:r w:rsidRPr="006B33D3">
        <w:rPr>
          <w:rFonts w:ascii="Verdana" w:eastAsia="Calibri" w:hAnsi="Verdana" w:cs="Arial"/>
          <w:color w:val="000000" w:themeColor="text1"/>
        </w:rPr>
        <w:t xml:space="preserve"> </w:t>
      </w:r>
      <w:bookmarkEnd w:id="17"/>
      <w:r w:rsidRPr="006B33D3">
        <w:rPr>
          <w:rFonts w:ascii="Verdana" w:eastAsia="Calibri" w:hAnsi="Verdana" w:cs="Arial"/>
          <w:color w:val="000000" w:themeColor="text1"/>
        </w:rPr>
        <w:t xml:space="preserve"> </w:t>
      </w:r>
    </w:p>
    <w:p w14:paraId="3B818B7A" w14:textId="77777777" w:rsidR="009637A2" w:rsidRPr="006B33D3" w:rsidRDefault="009637A2" w:rsidP="009637A2">
      <w:pPr>
        <w:spacing w:after="120" w:line="276" w:lineRule="auto"/>
        <w:ind w:firstLine="709"/>
        <w:jc w:val="both"/>
        <w:rPr>
          <w:rFonts w:ascii="Verdana" w:eastAsia="Calibri" w:hAnsi="Verdana" w:cs="Arial"/>
          <w:color w:val="000000" w:themeColor="text1"/>
          <w:lang w:val="es-ES_tradnl"/>
        </w:rPr>
      </w:pPr>
      <w:r w:rsidRPr="006B33D3">
        <w:rPr>
          <w:rFonts w:ascii="Verdana" w:eastAsia="Calibri" w:hAnsi="Verdana" w:cs="Arial"/>
          <w:color w:val="000000" w:themeColor="text1"/>
          <w:lang w:val="es-ES_tradnl"/>
        </w:rPr>
        <w:t xml:space="preserve">Ni el artículo 2, numeral 4, literal g) de la Ley 1150 de 2007, ni el artículo 2.2.1.2.1.4.8. del Decreto 1082 de 2015, establecen una tarifa legal para acreditar la exclusividad en el territorio nacional, pues las normas no prevén un </w:t>
      </w:r>
      <w:r w:rsidRPr="006B33D3">
        <w:rPr>
          <w:rFonts w:ascii="Verdana" w:eastAsia="Calibri" w:hAnsi="Verdana" w:cs="Arial"/>
          <w:color w:val="000000" w:themeColor="text1"/>
          <w:lang w:val="es-ES_tradnl"/>
        </w:rPr>
        <w:lastRenderedPageBreak/>
        <w:t>medio probatorio específico como el único que tenga valor de convicción para las Entidades Estatales en la etapa precontractual. Lo que señala la citada disposición reglamentaria es que “Estas circunstancias deben constar en el estudio previo que soporta la contratación”. En otras palabras, la Entidad Estatal debe hacer un análisis riguroso en la etapa de planeación, para determinar si un proveedor es o no exclusivo en el territorio nacional, pudiendo servirse de los medios probatorios que considere pertinentes y conducentes</w:t>
      </w:r>
      <w:r w:rsidRPr="006B33D3">
        <w:rPr>
          <w:rFonts w:ascii="Verdana" w:eastAsia="Calibri" w:hAnsi="Verdana" w:cs="Arial"/>
          <w:color w:val="000000" w:themeColor="text1"/>
          <w:vertAlign w:val="superscript"/>
          <w:lang w:val="es-ES_tradnl"/>
        </w:rPr>
        <w:footnoteReference w:id="45"/>
      </w:r>
      <w:r w:rsidRPr="006B33D3">
        <w:rPr>
          <w:rFonts w:ascii="Verdana" w:eastAsia="Calibri" w:hAnsi="Verdana" w:cs="Arial"/>
          <w:color w:val="000000" w:themeColor="text1"/>
          <w:lang w:val="es-ES_tradnl"/>
        </w:rPr>
        <w:t>.</w:t>
      </w:r>
    </w:p>
    <w:p w14:paraId="73D08A9A" w14:textId="77777777" w:rsidR="009637A2" w:rsidRPr="006B33D3" w:rsidRDefault="009637A2" w:rsidP="009637A2">
      <w:pPr>
        <w:spacing w:after="120" w:line="276" w:lineRule="auto"/>
        <w:ind w:firstLine="709"/>
        <w:jc w:val="both"/>
        <w:rPr>
          <w:rFonts w:ascii="Verdana" w:eastAsia="Calibri" w:hAnsi="Verdana" w:cs="Arial"/>
          <w:color w:val="000000" w:themeColor="text1"/>
        </w:rPr>
      </w:pPr>
      <w:r w:rsidRPr="006B33D3">
        <w:rPr>
          <w:rFonts w:ascii="Verdana" w:eastAsia="Calibri" w:hAnsi="Verdana" w:cs="Arial"/>
          <w:color w:val="000000" w:themeColor="text1"/>
        </w:rPr>
        <w:t>Las dos hipótesis anteriores son taxativas y de interpretación restrictiva, en cuanto constituyen excepciones al principio de concurrencia. Por ello, la exclusividad de origen normativo o institucional —la que deriva del mandato, las competencias o los instrumentos constitutivos de un organismo internacional— no se asimila a ninguna de ellas y, por sí sola, no configura la ausencia de pluralidad de oferentes. Esa exclusividad solo habilitaría la contratación directa si se tradujera en la titularidad de derechos de propiedad industrial o de autor sobre el bien o servicio requerido, o en la condición de proveedor exclusivo en el territorio nacional. De no acreditarse alguno de esos supuestos, las competencias o la especialidad técnica del organismo valen como factores de idoneidad y experiencia para ejecutar el objeto, mas no como causal de contratación directa, pues admitir lo contrario convertiría la especialización técnica en una barrera jurídica de entrada no prevista por el legislador.</w:t>
      </w:r>
    </w:p>
    <w:p w14:paraId="22623A7F" w14:textId="77777777" w:rsidR="009637A2" w:rsidRPr="006B33D3" w:rsidRDefault="009637A2" w:rsidP="009637A2">
      <w:pPr>
        <w:spacing w:after="0" w:line="276" w:lineRule="auto"/>
        <w:ind w:firstLine="709"/>
        <w:jc w:val="both"/>
        <w:rPr>
          <w:rFonts w:ascii="Verdana" w:eastAsia="Calibri" w:hAnsi="Verdana" w:cs="Arial"/>
          <w:color w:val="000000" w:themeColor="text1"/>
        </w:rPr>
      </w:pPr>
      <w:r w:rsidRPr="006B33D3">
        <w:rPr>
          <w:rFonts w:ascii="Verdana" w:eastAsia="Calibri" w:hAnsi="Verdana" w:cs="Arial"/>
          <w:color w:val="000000" w:themeColor="text1"/>
        </w:rPr>
        <w:t xml:space="preserve">Fuera de las hipótesis de exclusividad previstas en la Ley 1150 de 2007 y el Decreto 1082 de 2015, la contratación con organismos internacionales debe sujetarse a los principios de concurrencia y selección objetiva, aplicando las modalidades ordinarias del Estatuto General de Contratación de la Administración Pública. Esto implica que la entidad estatal debe garantizar procesos abiertos y competitivos, en los que se promueva la participación de múltiples oferentes y se asegure la transparencia en la selección, salvo que concurran las condiciones específicas que habilitan la contratación directa. De este modo, se evita que la causal de contratación directa se convierta en un mecanismo de excepción injustificada y se preserva la integridad del sistema de compras públicas. La relación contractual con organismos internacionales, en </w:t>
      </w:r>
      <w:r w:rsidRPr="006B33D3">
        <w:rPr>
          <w:rFonts w:ascii="Verdana" w:eastAsia="Calibri" w:hAnsi="Verdana" w:cs="Arial"/>
          <w:color w:val="000000" w:themeColor="text1"/>
        </w:rPr>
        <w:lastRenderedPageBreak/>
        <w:t>ausencia de exclusividad jurídica o territorial, debe regirse por las reglas generales o, en su caso, por las disposiciones especiales del artículo 20 de la Ley 1150 de 2007, asegurando que se respeten los principios de igualdad, responsabilidad y eficiencia que orientan la contratación estatal.</w:t>
      </w:r>
    </w:p>
    <w:p w14:paraId="2D6ADA0D" w14:textId="77777777" w:rsidR="009637A2" w:rsidRPr="006B33D3" w:rsidRDefault="009637A2" w:rsidP="009637A2">
      <w:pPr>
        <w:spacing w:after="0" w:line="276" w:lineRule="auto"/>
        <w:jc w:val="both"/>
        <w:rPr>
          <w:rFonts w:ascii="Verdana" w:eastAsia="Calibri" w:hAnsi="Verdana" w:cs="Arial"/>
          <w:color w:val="000000" w:themeColor="text1"/>
          <w:lang w:val="es-ES_tradnl"/>
        </w:rPr>
      </w:pPr>
    </w:p>
    <w:p w14:paraId="773BFC3C" w14:textId="77777777" w:rsidR="009637A2" w:rsidRPr="006B33D3" w:rsidRDefault="009637A2" w:rsidP="009637A2">
      <w:pPr>
        <w:spacing w:after="0" w:line="276" w:lineRule="auto"/>
        <w:jc w:val="both"/>
        <w:rPr>
          <w:rFonts w:ascii="Verdana" w:eastAsia="MS Mincho" w:hAnsi="Verdana" w:cs="Times New Roman"/>
          <w:color w:val="000000"/>
        </w:rPr>
      </w:pPr>
      <w:r w:rsidRPr="006B33D3">
        <w:rPr>
          <w:rFonts w:ascii="Verdana" w:eastAsia="Calibri" w:hAnsi="Verdana" w:cs="Arial"/>
          <w:color w:val="000000" w:themeColor="text1"/>
          <w:lang w:val="es-ES_tradnl"/>
        </w:rPr>
        <w:t xml:space="preserve">vi. </w:t>
      </w:r>
      <w:r w:rsidRPr="006B33D3">
        <w:rPr>
          <w:rFonts w:ascii="Verdana" w:eastAsia="MS Mincho" w:hAnsi="Verdana" w:cs="Times New Roman"/>
          <w:color w:val="000000"/>
        </w:rPr>
        <w:t>El Banco Mundial reconoce los contratos “</w:t>
      </w:r>
      <w:proofErr w:type="spellStart"/>
      <w:r w:rsidRPr="006B33D3">
        <w:rPr>
          <w:rFonts w:ascii="Verdana" w:eastAsia="MS Mincho" w:hAnsi="Verdana" w:cs="Times New Roman"/>
          <w:i/>
          <w:iCs/>
          <w:color w:val="000000"/>
        </w:rPr>
        <w:t>lump</w:t>
      </w:r>
      <w:proofErr w:type="spellEnd"/>
      <w:r w:rsidRPr="006B33D3">
        <w:rPr>
          <w:rFonts w:ascii="Verdana" w:eastAsia="MS Mincho" w:hAnsi="Verdana" w:cs="Times New Roman"/>
          <w:i/>
          <w:iCs/>
          <w:color w:val="000000"/>
        </w:rPr>
        <w:t xml:space="preserve"> sum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w:t>
      </w:r>
      <w:r w:rsidRPr="006B33D3">
        <w:rPr>
          <w:rFonts w:ascii="Verdana" w:eastAsia="MS Mincho" w:hAnsi="Verdana" w:cs="Times New Roman"/>
          <w:color w:val="000000"/>
        </w:rPr>
        <w:t xml:space="preserve"> como acuerdos en los que se pacta un alcance definido por un importe fijo, con pagos vinculados a hitos verificables. En su Anexo VIII, numerales 3.2 y 3.3 de las </w:t>
      </w:r>
      <w:proofErr w:type="spellStart"/>
      <w:r w:rsidRPr="006B33D3">
        <w:rPr>
          <w:rFonts w:ascii="Verdana" w:eastAsia="MS Mincho" w:hAnsi="Verdana" w:cs="Times New Roman"/>
          <w:i/>
          <w:iCs/>
          <w:color w:val="000000"/>
        </w:rPr>
        <w:t>Procurement</w:t>
      </w:r>
      <w:proofErr w:type="spell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Regulations</w:t>
      </w:r>
      <w:proofErr w:type="spellEnd"/>
      <w:r w:rsidRPr="006B33D3">
        <w:rPr>
          <w:rFonts w:ascii="Verdana" w:eastAsia="MS Mincho" w:hAnsi="Verdana" w:cs="Times New Roman"/>
          <w:color w:val="000000"/>
        </w:rPr>
        <w:t>, se precisa que este tipo de contratos son apropiados cuando el alcance puede delimitarse con claridad y asociarse a entregables identificables. Esta referencia se usa como parámetro comparado, pero no implica que sus disposiciones sean aplicables a operaciones bajo el sistema de compras públicas en Colombia. En torno a esta modalidad, se expresa lo siguiente:</w:t>
      </w:r>
    </w:p>
    <w:p w14:paraId="53488FFE" w14:textId="77777777" w:rsidR="009637A2" w:rsidRPr="006B33D3" w:rsidRDefault="009637A2" w:rsidP="009637A2">
      <w:pPr>
        <w:spacing w:after="0" w:line="276" w:lineRule="auto"/>
        <w:jc w:val="both"/>
        <w:rPr>
          <w:rFonts w:ascii="Verdana" w:eastAsia="MS Mincho" w:hAnsi="Verdana" w:cs="Times New Roman"/>
          <w:color w:val="000000"/>
        </w:rPr>
      </w:pPr>
    </w:p>
    <w:p w14:paraId="21C8E967" w14:textId="77777777" w:rsidR="009637A2" w:rsidRPr="006B33D3" w:rsidRDefault="009637A2" w:rsidP="009637A2">
      <w:pPr>
        <w:spacing w:after="0" w:line="240" w:lineRule="auto"/>
        <w:ind w:left="709" w:right="709"/>
        <w:jc w:val="both"/>
        <w:rPr>
          <w:rFonts w:ascii="Verdana" w:eastAsia="MS Mincho" w:hAnsi="Verdana" w:cs="Times New Roman"/>
          <w:color w:val="000000"/>
          <w:sz w:val="20"/>
          <w:szCs w:val="20"/>
        </w:rPr>
      </w:pPr>
      <w:r w:rsidRPr="006B33D3">
        <w:rPr>
          <w:rFonts w:ascii="Verdana" w:eastAsia="MS Mincho" w:hAnsi="Verdana" w:cs="Times New Roman"/>
          <w:b/>
          <w:bCs/>
          <w:color w:val="000000"/>
          <w:sz w:val="20"/>
          <w:szCs w:val="20"/>
        </w:rPr>
        <w:t>Contratos de suma global (Lump-</w:t>
      </w:r>
      <w:proofErr w:type="gramStart"/>
      <w:r w:rsidRPr="006B33D3">
        <w:rPr>
          <w:rFonts w:ascii="Verdana" w:eastAsia="MS Mincho" w:hAnsi="Verdana" w:cs="Times New Roman"/>
          <w:b/>
          <w:bCs/>
          <w:color w:val="000000"/>
          <w:sz w:val="20"/>
          <w:szCs w:val="20"/>
        </w:rPr>
        <w:t>Sum</w:t>
      </w:r>
      <w:proofErr w:type="gramEnd"/>
      <w:r w:rsidRPr="006B33D3">
        <w:rPr>
          <w:rFonts w:ascii="Verdana" w:eastAsia="MS Mincho" w:hAnsi="Verdana" w:cs="Times New Roman"/>
          <w:b/>
          <w:bCs/>
          <w:color w:val="000000"/>
          <w:sz w:val="20"/>
          <w:szCs w:val="20"/>
        </w:rPr>
        <w:t xml:space="preserve"> </w:t>
      </w:r>
      <w:proofErr w:type="spellStart"/>
      <w:r w:rsidRPr="006B33D3">
        <w:rPr>
          <w:rFonts w:ascii="Verdana" w:eastAsia="MS Mincho" w:hAnsi="Verdana" w:cs="Times New Roman"/>
          <w:b/>
          <w:bCs/>
          <w:color w:val="000000"/>
          <w:sz w:val="20"/>
          <w:szCs w:val="20"/>
        </w:rPr>
        <w:t>Contracts</w:t>
      </w:r>
      <w:proofErr w:type="spellEnd"/>
      <w:r w:rsidRPr="006B33D3">
        <w:rPr>
          <w:rFonts w:ascii="Verdana" w:eastAsia="MS Mincho" w:hAnsi="Verdana" w:cs="Times New Roman"/>
          <w:b/>
          <w:bCs/>
          <w:color w:val="000000"/>
          <w:sz w:val="20"/>
          <w:szCs w:val="20"/>
        </w:rPr>
        <w:t>)</w:t>
      </w:r>
    </w:p>
    <w:p w14:paraId="33AEDE00" w14:textId="77777777" w:rsidR="009637A2" w:rsidRPr="006B33D3" w:rsidRDefault="009637A2" w:rsidP="009637A2">
      <w:pPr>
        <w:spacing w:after="0" w:line="240" w:lineRule="auto"/>
        <w:ind w:left="709" w:right="709"/>
        <w:jc w:val="both"/>
        <w:rPr>
          <w:rFonts w:ascii="Verdana" w:eastAsia="MS Mincho" w:hAnsi="Verdana" w:cs="Times New Roman"/>
          <w:color w:val="000000"/>
          <w:sz w:val="20"/>
          <w:szCs w:val="20"/>
        </w:rPr>
      </w:pPr>
      <w:r w:rsidRPr="006B33D3">
        <w:rPr>
          <w:rFonts w:ascii="Verdana" w:eastAsia="MS Mincho" w:hAnsi="Verdana" w:cs="Times New Roman"/>
          <w:b/>
          <w:bCs/>
          <w:color w:val="000000"/>
          <w:sz w:val="20"/>
          <w:szCs w:val="20"/>
        </w:rPr>
        <w:t>3.2</w:t>
      </w:r>
      <w:r w:rsidRPr="006B33D3">
        <w:rPr>
          <w:rFonts w:ascii="Verdana" w:eastAsia="MS Mincho" w:hAnsi="Verdana" w:cs="Times New Roman"/>
          <w:color w:val="000000"/>
          <w:sz w:val="20"/>
          <w:szCs w:val="20"/>
        </w:rPr>
        <w:t xml:space="preserve"> Bajo un contrato de suma global, el contratista o consultor se compromete a ejecutar el alcance de los servicios por un monto fijo. Los porcentajes o valores de pago pueden estar vinculados a la culminación de hitos contractuales o determinarse como un porcentaje del valor del trabajo a realizar.</w:t>
      </w:r>
    </w:p>
    <w:p w14:paraId="568767B6" w14:textId="77777777" w:rsidR="009637A2" w:rsidRPr="006B33D3" w:rsidRDefault="009637A2" w:rsidP="009637A2">
      <w:pPr>
        <w:spacing w:after="0" w:line="240" w:lineRule="auto"/>
        <w:ind w:left="709" w:right="709"/>
        <w:jc w:val="both"/>
        <w:rPr>
          <w:rFonts w:ascii="Verdana" w:eastAsia="MS Mincho" w:hAnsi="Verdana" w:cs="Times New Roman"/>
          <w:color w:val="000000"/>
          <w:sz w:val="20"/>
          <w:szCs w:val="20"/>
        </w:rPr>
      </w:pPr>
      <w:r w:rsidRPr="006B33D3">
        <w:rPr>
          <w:rFonts w:ascii="Verdana" w:eastAsia="MS Mincho" w:hAnsi="Verdana" w:cs="Times New Roman"/>
          <w:b/>
          <w:bCs/>
          <w:color w:val="000000"/>
          <w:sz w:val="20"/>
          <w:szCs w:val="20"/>
        </w:rPr>
        <w:t>3.3</w:t>
      </w:r>
      <w:r w:rsidRPr="006B33D3">
        <w:rPr>
          <w:rFonts w:ascii="Verdana" w:eastAsia="MS Mincho" w:hAnsi="Verdana" w:cs="Times New Roman"/>
          <w:color w:val="000000"/>
          <w:sz w:val="20"/>
          <w:szCs w:val="20"/>
        </w:rPr>
        <w:t xml:space="preserve"> Los contratos de suma global pueden ser apropiados cuando: a. el alcance de la actividad de adquisición puede especificarse de manera clara y precisa y vincularse a pagos por hitos en el momento de la selección (por ejemplo, obras civiles simples, servicios de consultoría con entregables claramente identificables); y b. el contratista es responsable de entregar las obras terminadas, la planta o soluciones de tecnología de la información preconstruidas, como en los contratos </w:t>
      </w:r>
      <w:r w:rsidRPr="006B33D3">
        <w:rPr>
          <w:rFonts w:ascii="Verdana" w:eastAsia="MS Mincho" w:hAnsi="Verdana" w:cs="Times New Roman"/>
          <w:i/>
          <w:iCs/>
          <w:color w:val="000000"/>
          <w:sz w:val="20"/>
          <w:szCs w:val="20"/>
        </w:rPr>
        <w:t>llave en mano</w:t>
      </w:r>
      <w:r w:rsidRPr="006B33D3">
        <w:rPr>
          <w:rFonts w:ascii="Verdana" w:eastAsia="MS Mincho" w:hAnsi="Verdana" w:cs="Times New Roman"/>
          <w:color w:val="000000"/>
          <w:sz w:val="20"/>
          <w:szCs w:val="20"/>
        </w:rPr>
        <w:t>, y puede ser remunerado sobre una base de suma global conforme a los hitos contractuales</w:t>
      </w:r>
      <w:r w:rsidRPr="006B33D3">
        <w:rPr>
          <w:rStyle w:val="Refdenotaalpie"/>
          <w:rFonts w:ascii="Verdana" w:eastAsia="MS Mincho" w:hAnsi="Verdana" w:cs="Times New Roman"/>
          <w:color w:val="000000"/>
          <w:sz w:val="20"/>
          <w:szCs w:val="20"/>
        </w:rPr>
        <w:footnoteReference w:id="46"/>
      </w:r>
      <w:r w:rsidRPr="006B33D3">
        <w:rPr>
          <w:rFonts w:ascii="Verdana" w:eastAsia="MS Mincho" w:hAnsi="Verdana" w:cs="Times New Roman"/>
          <w:color w:val="000000"/>
          <w:sz w:val="20"/>
          <w:szCs w:val="20"/>
        </w:rPr>
        <w:t xml:space="preserve"> (Texto traducido)</w:t>
      </w:r>
    </w:p>
    <w:p w14:paraId="23A2966C" w14:textId="77777777" w:rsidR="009637A2" w:rsidRPr="006B33D3" w:rsidRDefault="009637A2" w:rsidP="009637A2">
      <w:pPr>
        <w:spacing w:after="0" w:line="276" w:lineRule="auto"/>
        <w:jc w:val="both"/>
        <w:rPr>
          <w:rFonts w:ascii="Verdana" w:eastAsia="MS Mincho" w:hAnsi="Verdana" w:cs="Times New Roman"/>
          <w:color w:val="000000"/>
        </w:rPr>
      </w:pPr>
    </w:p>
    <w:p w14:paraId="2F7176E4"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En este estudio, el término “</w:t>
      </w:r>
      <w:r w:rsidRPr="006B33D3">
        <w:rPr>
          <w:rFonts w:ascii="Verdana" w:eastAsia="MS Mincho" w:hAnsi="Verdana" w:cs="Times New Roman"/>
          <w:i/>
          <w:iCs/>
          <w:color w:val="000000"/>
        </w:rPr>
        <w:t xml:space="preserve">Lump </w:t>
      </w:r>
      <w:proofErr w:type="gramStart"/>
      <w:r w:rsidRPr="006B33D3">
        <w:rPr>
          <w:rFonts w:ascii="Verdana" w:eastAsia="MS Mincho" w:hAnsi="Verdana" w:cs="Times New Roman"/>
          <w:i/>
          <w:iCs/>
          <w:color w:val="000000"/>
        </w:rPr>
        <w:t>Sum</w:t>
      </w:r>
      <w:proofErr w:type="gram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w:t>
      </w:r>
      <w:r w:rsidRPr="006B33D3">
        <w:rPr>
          <w:rFonts w:ascii="Verdana" w:eastAsia="MS Mincho" w:hAnsi="Verdana" w:cs="Times New Roman"/>
          <w:color w:val="000000"/>
        </w:rPr>
        <w:t xml:space="preserve"> se emplea para designar un acuerdo de remuneración global por un alcance previamente definido. No obstante, sin una minuta específica no puede atribuirse un contenido uniforme a ese rótulo ni considerarse como una categoría contractual autónoma en Colombia. Una suma fija puede corresponder tanto al precio de un </w:t>
      </w:r>
      <w:r w:rsidRPr="006B33D3">
        <w:rPr>
          <w:rFonts w:ascii="Verdana" w:eastAsia="MS Mincho" w:hAnsi="Verdana" w:cs="Times New Roman"/>
          <w:color w:val="000000"/>
        </w:rPr>
        <w:lastRenderedPageBreak/>
        <w:t xml:space="preserve">estudio técnico como al presupuesto de un encargo que implique ejecución de recursos; la distinción radica en el contenido obligacional que se estipule. </w:t>
      </w:r>
    </w:p>
    <w:p w14:paraId="2EEAD183"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este sentido, puede señalarse que la expresión </w:t>
      </w:r>
      <w:r w:rsidRPr="006B33D3">
        <w:rPr>
          <w:rFonts w:ascii="Verdana" w:eastAsia="MS Mincho" w:hAnsi="Verdana" w:cs="Times New Roman"/>
          <w:i/>
          <w:iCs/>
          <w:color w:val="000000"/>
        </w:rPr>
        <w:t xml:space="preserve">“Lump </w:t>
      </w:r>
      <w:proofErr w:type="gramStart"/>
      <w:r w:rsidRPr="006B33D3">
        <w:rPr>
          <w:rFonts w:ascii="Verdana" w:eastAsia="MS Mincho" w:hAnsi="Verdana" w:cs="Times New Roman"/>
          <w:i/>
          <w:iCs/>
          <w:color w:val="000000"/>
        </w:rPr>
        <w:t>Sum</w:t>
      </w:r>
      <w:proofErr w:type="gram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w:t>
      </w:r>
      <w:r w:rsidRPr="006B33D3">
        <w:rPr>
          <w:rFonts w:ascii="Verdana" w:eastAsia="MS Mincho" w:hAnsi="Verdana" w:cs="Times New Roman"/>
          <w:color w:val="000000"/>
        </w:rPr>
        <w:t xml:space="preserve"> no corresponde a un tipo contractual autónomo, sino a una modalidad de determinación del precio que las partes acuerdan en ejercicio de la autonomía de la voluntad. Se trata de un esquema de remuneración global y fija, pactado de manera anticipada, que se asocia a un alcance definido y a entregables verificables. Así pues, la denominación no crea una categoría jurídica independiente dentro del derecho colombiano, pues el contrato sigue siendo de prestación de servicios, de obra, de consultoría o de suministro, según el contenido obligacional que se pacte. Lo que caracteriza al </w:t>
      </w:r>
      <w:proofErr w:type="spellStart"/>
      <w:r w:rsidRPr="006B33D3">
        <w:rPr>
          <w:rFonts w:ascii="Verdana" w:eastAsia="MS Mincho" w:hAnsi="Verdana" w:cs="Times New Roman"/>
          <w:i/>
          <w:iCs/>
          <w:color w:val="000000"/>
        </w:rPr>
        <w:t>lump</w:t>
      </w:r>
      <w:proofErr w:type="spellEnd"/>
      <w:r w:rsidRPr="006B33D3">
        <w:rPr>
          <w:rFonts w:ascii="Verdana" w:eastAsia="MS Mincho" w:hAnsi="Verdana" w:cs="Times New Roman"/>
          <w:i/>
          <w:iCs/>
          <w:color w:val="000000"/>
        </w:rPr>
        <w:t xml:space="preserve"> sum</w:t>
      </w:r>
      <w:r w:rsidRPr="006B33D3">
        <w:rPr>
          <w:rFonts w:ascii="Verdana" w:eastAsia="MS Mincho" w:hAnsi="Verdana" w:cs="Times New Roman"/>
          <w:color w:val="000000"/>
        </w:rPr>
        <w:t xml:space="preserve"> es la forma de estipulación del precio: un valor único e invariable, que no depende de la medición de cantidades ejecutadas ni de ajustes posteriores, salvo que las partes acuerden modificaciones contractuales conforme al régimen aplicable.</w:t>
      </w:r>
    </w:p>
    <w:p w14:paraId="0174496A"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este contexto, dicha categoría usada dentro del esquema de cooperación internacional se relaciona con un contrato cuyo </w:t>
      </w:r>
      <w:r w:rsidRPr="006B33D3">
        <w:rPr>
          <w:rFonts w:ascii="Verdana" w:eastAsia="MS Mincho" w:hAnsi="Verdana" w:cs="Times New Roman"/>
          <w:color w:val="000000"/>
          <w:lang w:val="es-ES"/>
        </w:rPr>
        <w:t>precio se pacta de forma global, sin que ello implique que la entidad contratante pueda impartir instrucciones sobre la forma en que la entidad contratista debe gastar cada peso, o imponer condiciones sobre la distribución interna de los costos o sobre la gestión administrativa interna de la entidad ejecutora. Aunque la entidad puede realizar requerimientos durante la ejecución, el alcance de esta potestad variará según la metodología o el modelo de negocio pactado y, en todo caso, se limita a exigir al contratista la ejecución idónea y oportuna del objeto contratado.</w:t>
      </w:r>
    </w:p>
    <w:p w14:paraId="65310B2C" w14:textId="77777777" w:rsidR="009637A2" w:rsidRPr="006B33D3" w:rsidRDefault="009637A2" w:rsidP="009637A2">
      <w:pPr>
        <w:spacing w:after="120" w:line="276" w:lineRule="auto"/>
        <w:ind w:firstLine="709"/>
        <w:jc w:val="both"/>
        <w:rPr>
          <w:rFonts w:ascii="Verdana" w:eastAsia="MS Mincho" w:hAnsi="Verdana" w:cs="Times New Roman"/>
          <w:color w:val="000000"/>
          <w:lang w:val="es-ES"/>
        </w:rPr>
      </w:pPr>
      <w:r w:rsidRPr="006B33D3">
        <w:rPr>
          <w:rFonts w:ascii="Verdana" w:eastAsia="MS Mincho" w:hAnsi="Verdana" w:cs="Times New Roman"/>
          <w:color w:val="000000"/>
          <w:lang w:val="es-ES"/>
        </w:rPr>
        <w:t xml:space="preserve">En efecto, en un contrato a precio global, la entidad puede adelantar acciones para exigir el cumplimiento técnico del objeto contractual por actividad, solicitar los entregables y productos pactados, hacer requerimientos ante potenciales incumplimientos o activar cláusulas contractuales; sin que implique que pueda adelantar acciones para determinar el detalle de cómo la entidad ejecutora debe administrar o gestionar internamente su presupuesto para cumplir con cada actividad, o impartir instrucciones sobre la organización interna de sus recursos, como designar proveedores, personal o equipos, o condicionar el pago a la aprobación de decisiones internas de gasto cuando esto no se deriva de lo acordado por las partes. </w:t>
      </w:r>
      <w:r w:rsidRPr="006B33D3">
        <w:rPr>
          <w:rFonts w:ascii="Verdana" w:eastAsia="MS Mincho" w:hAnsi="Verdana" w:cs="Times New Roman"/>
          <w:color w:val="000000"/>
        </w:rPr>
        <w:t xml:space="preserve">Así pues, pagar una suma total por un diagnóstico, una metodología y una plataforma funcional, sujetos a aceptación técnica, es </w:t>
      </w:r>
      <w:r w:rsidRPr="006B33D3">
        <w:rPr>
          <w:rFonts w:ascii="Verdana" w:eastAsia="MS Mincho" w:hAnsi="Verdana" w:cs="Times New Roman"/>
          <w:color w:val="000000"/>
        </w:rPr>
        <w:lastRenderedPageBreak/>
        <w:t>plenamente compatible con una adquisición remunerada de servicios. En este caso, el organismo internacional actúa como contratista que entrega productos definidos a cambio de una contraprestación económica, sin que se configure la administración de recursos públicos.</w:t>
      </w:r>
    </w:p>
    <w:p w14:paraId="25868282"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Por el contrario, entregar una bolsa de recursos para que el organismo internacional seleccione proveedores, pague obligaciones del programa y cobre una comisión de gestión, plantea una operación materialmente distinta. Aunque el documento anuncie un valor global, en realidad se estaría trasladando la administración o gerencia de recursos públicos, supuesto prohibido por el inciso tercero del artículo 20 de la Ley 1150 de 2007, que dispone:</w:t>
      </w:r>
      <w:r w:rsidRPr="006B33D3">
        <w:rPr>
          <w:rFonts w:ascii="Verdana" w:hAnsi="Verdana" w:cs="Open Sans"/>
          <w:color w:val="4B4949"/>
        </w:rPr>
        <w:t xml:space="preserve"> “</w:t>
      </w:r>
      <w:r w:rsidRPr="006B33D3">
        <w:rPr>
          <w:rFonts w:ascii="Verdana" w:eastAsia="MS Mincho" w:hAnsi="Verdana" w:cs="Times New Roman"/>
          <w:color w:val="000000"/>
        </w:rPr>
        <w:t>Las entidades estatales no podrán celebrar contratos o convenios para la administración o gerencia de sus recursos propios o de aquellos que les asignen los presupuestos públicos, con organismos de cooperación, asistencia o ayuda internacional”. Así pues, lo fundamental está en analizar el contenido obligacional y la forma de ejecución, más allá de la denominación formal del contrato.</w:t>
      </w:r>
    </w:p>
    <w:p w14:paraId="34498D45"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este escenario, es importante señalar el concepto C-822 de 2026 de esta Agencia, la cual precisa que la asistencia técnica y la transferencia de conocimientos para fortalecer capacidades permiten identificar organismos de cooperación. Por tanto, una agencia que materialmente desempeñe ese papel no debe tratarse genéricamente como persona extranjera de derecho público para eludir las condiciones del inciso primero. La elección de reglamentos exige clasificar correctamente al sujeto y a la operación. </w:t>
      </w:r>
    </w:p>
    <w:p w14:paraId="04BD53F5" w14:textId="77777777" w:rsidR="009637A2" w:rsidRPr="006B33D3" w:rsidRDefault="009637A2" w:rsidP="009637A2">
      <w:pPr>
        <w:spacing w:after="120" w:line="276" w:lineRule="auto"/>
        <w:ind w:firstLine="709"/>
        <w:jc w:val="both"/>
        <w:rPr>
          <w:rFonts w:ascii="Verdana" w:eastAsia="MS Mincho" w:hAnsi="Verdana"/>
          <w:color w:val="000000"/>
        </w:rPr>
      </w:pPr>
      <w:r w:rsidRPr="006B33D3">
        <w:rPr>
          <w:rFonts w:ascii="Verdana" w:eastAsia="MS Mincho" w:hAnsi="Verdana"/>
          <w:color w:val="000000"/>
        </w:rPr>
        <w:t>En tal sentido, la prohibición de administrar recursos públicos constituye un límite esencial e insoslayable dentro del régimen de contratación estatal. Esta regla se erige como una garantía de transparencia y de preservación de la función administrativa, en la medida en que impide que terceros —sean organismos internacionales, entidades de cooperación— asuman la gestión directa de fondos públicos o de recursos propios de las entidades estatales.</w:t>
      </w:r>
    </w:p>
    <w:p w14:paraId="6E4A80D8"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La Agencia ha reiterado que la mera habilitación para aplicar reglamentos o estándares de organismos internacionales no puede interpretarse como una autorización para administrar o gerenciar recursos públicos. Tal entendimiento desbordaría el marco normativo colombiano y desconocería lo previsto en el inciso tercero del artículo 20 de la Ley 1150 de 2007, disposición que establece </w:t>
      </w:r>
      <w:r w:rsidRPr="006B33D3">
        <w:rPr>
          <w:rFonts w:ascii="Verdana" w:eastAsia="MS Mincho" w:hAnsi="Verdana" w:cs="Times New Roman"/>
          <w:color w:val="000000"/>
        </w:rPr>
        <w:lastRenderedPageBreak/>
        <w:t>de manera categórica la prohibición de delegar en organismos de cooperación, asistencia o ayuda internacional la administración de recursos presupuestales.</w:t>
      </w:r>
    </w:p>
    <w:p w14:paraId="3B3DCA11"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De acuerdo con la precisión anterior, es importante señalar que, el </w:t>
      </w:r>
      <w:r w:rsidRPr="006B33D3">
        <w:rPr>
          <w:rFonts w:ascii="Verdana" w:eastAsia="MS Mincho" w:hAnsi="Verdana" w:cs="Times New Roman"/>
          <w:i/>
          <w:iCs/>
          <w:color w:val="000000"/>
        </w:rPr>
        <w:t xml:space="preserve">Lump </w:t>
      </w:r>
      <w:proofErr w:type="gramStart"/>
      <w:r w:rsidRPr="006B33D3">
        <w:rPr>
          <w:rFonts w:ascii="Verdana" w:eastAsia="MS Mincho" w:hAnsi="Verdana" w:cs="Times New Roman"/>
          <w:i/>
          <w:iCs/>
          <w:color w:val="000000"/>
        </w:rPr>
        <w:t>Sum</w:t>
      </w:r>
      <w:proofErr w:type="gramEnd"/>
      <w:r w:rsidRPr="006B33D3">
        <w:rPr>
          <w:rFonts w:ascii="Verdana" w:eastAsia="MS Mincho" w:hAnsi="Verdana" w:cs="Times New Roman"/>
          <w:i/>
          <w:iCs/>
          <w:color w:val="000000"/>
        </w:rPr>
        <w:t xml:space="preserve"> </w:t>
      </w:r>
      <w:proofErr w:type="spellStart"/>
      <w:r w:rsidRPr="006B33D3">
        <w:rPr>
          <w:rFonts w:ascii="Verdana" w:eastAsia="MS Mincho" w:hAnsi="Verdana" w:cs="Times New Roman"/>
          <w:i/>
          <w:iCs/>
          <w:color w:val="000000"/>
        </w:rPr>
        <w:t>Agreement</w:t>
      </w:r>
      <w:proofErr w:type="spellEnd"/>
      <w:r w:rsidRPr="006B33D3">
        <w:rPr>
          <w:rFonts w:ascii="Verdana" w:eastAsia="MS Mincho" w:hAnsi="Verdana" w:cs="Times New Roman"/>
          <w:i/>
          <w:iCs/>
          <w:color w:val="000000"/>
        </w:rPr>
        <w:t>, en principio,</w:t>
      </w:r>
      <w:r w:rsidRPr="006B33D3">
        <w:rPr>
          <w:rFonts w:ascii="Verdana" w:eastAsia="MS Mincho" w:hAnsi="Verdana" w:cs="Times New Roman"/>
          <w:color w:val="000000"/>
        </w:rPr>
        <w:t xml:space="preserve"> puede resultar compatible con el derecho colombiano únicamente como mecanismo de fijación de precio para la adquisición de prestaciones técnicas reales. Dicha compatibilidad exige demostrar la existencia de una obligación sustancial de resultado, justificar el valor convenido y los riesgos asumidos, y observar el régimen de selección aplicable. No equivale, por tanto, a una habilitación general para contratar directamente ni para adoptar íntegramente las reglas del organismo internacional. Si el negocio tiene como objeto efectivo la administración o gerencia de recursos propios o presupuestales mediante un organismo de cooperación, asistencia o ayuda internacional, se configura la prohibición del artículo 20. En esta línea, ni denominar los desembolsos como precio, ni fijar una suma global, ni incorporar productos accesorios transforma la naturaleza de dicho objeto. </w:t>
      </w:r>
    </w:p>
    <w:p w14:paraId="4C7DC1B8"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otras palabras, para determinar si un negocio celebrado con un organismo internacional configura la administración o gerencia de recursos públicos prohibida por el inciso tercero del artículo 20 de la Ley 1150 de 2007, debe examinarse su contenido obligacional y su forma efectiva de ejecución. Lo decisivo es establecer si la entidad estatal adquiere una prestación técnica que el organismo asume bajo su responsabilidad o si le entrega recursos para que gestione su aplicación, contrate proveedores y pague obligaciones del programa. La denominación del instrumento y de sus desembolsos no define su naturaleza jurídica. </w:t>
      </w:r>
    </w:p>
    <w:p w14:paraId="0F7D9DFE"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Para efectuar esa calificación deben analizarse conjuntamente el objeto efectivo del negocio, la autonomía y exigibilidad de las prestaciones técnicas, el propósito económico de los desembolsos, la distribución de costos y riesgos y las facultades del organismo sobre los fondos. También deben revisarse las condiciones para contratar terceros, la responsabilidad frente a estos, el tratamiento de saldos y rendimientos y los mecanismos de aceptación de los productos. Estos elementos permiten identificar si los recursos constituyen una contraprestación por obligaciones propias del organismo o una provisión de fondos cuya administración se le encomienda.</w:t>
      </w:r>
    </w:p>
    <w:p w14:paraId="6122CD32"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lastRenderedPageBreak/>
        <w:t>En particular, la estipulación de un precio global fijo a cambio de productos y resultados técnicos definidos constituye un indicio de una prestación contractual remunerada cuando el organismo se obliga a entregar esos productos con condiciones verificables de calidad, alcance y oportunidad, y asume los costos ordinarios y los riesgos que contractualmente le correspondan. Bajo esa estructura, el precio remunera el cumplimiento de sus propias obligaciones. El uso de personal, la adquisición de insumos o la contratación de terceros como medios para ejecutarlas no configura, por sí sola, la administración o gerencia de recursos de la entidad estatal. No obstante, la fijación de una suma global no excluye la prohibición. Si aquella representa materialmente una bolsa de recursos destinada a financiar contrataciones y gastos del programa, cuya aplicación gestiona el organismo a cambio de una comisión, el negocio puede configurar la administración o gerencia prohibida. En ese escenario, denominar los desembolsos como precio o incorporar productos e informes accesorios no transforma su naturaleza, pues debe prevalecer el examen de las obligaciones efectivas y de la operación financiera sobre su presentación formal.</w:t>
      </w:r>
    </w:p>
    <w:p w14:paraId="0F26F2A6" w14:textId="77777777" w:rsidR="009637A2" w:rsidRPr="006B33D3" w:rsidRDefault="009637A2" w:rsidP="009637A2">
      <w:pPr>
        <w:spacing w:after="120" w:line="276" w:lineRule="auto"/>
        <w:ind w:firstLine="709"/>
        <w:jc w:val="both"/>
        <w:rPr>
          <w:rFonts w:ascii="Verdana" w:eastAsia="MS Mincho" w:hAnsi="Verdana" w:cs="Times New Roman"/>
          <w:color w:val="000000"/>
        </w:rPr>
      </w:pPr>
      <w:r w:rsidRPr="006B33D3">
        <w:rPr>
          <w:rFonts w:ascii="Verdana" w:eastAsia="MS Mincho" w:hAnsi="Verdana" w:cs="Times New Roman"/>
          <w:color w:val="000000"/>
        </w:rPr>
        <w:t xml:space="preserve">En consecuencia, el precio global fijo por productos técnicos definidos puede corresponder a una contraprestación contractual admisible frente a esta prohibición, siempre que esa estructura refleje la realidad del negocio y no encubra un encargo de administración de fondos públicos. Antes de aprobar la minuta deben contrastarse sus cláusulas con los anexos técnicos y financieros, las facultades para contratar terceros, la disposición de los recursos y los acuerdos internacionales aplicables. En este asunto, cobra relevancia el principio de planeación aplicable a cualquier tipo de contratación, como lo ha expresado el Concepto C-822 del 25 de junio de 2026. </w:t>
      </w:r>
    </w:p>
    <w:p w14:paraId="64378AF7" w14:textId="77777777" w:rsidR="009637A2" w:rsidRPr="006B33D3" w:rsidRDefault="009637A2" w:rsidP="009637A2">
      <w:pPr>
        <w:widowControl w:val="0"/>
        <w:autoSpaceDE w:val="0"/>
        <w:autoSpaceDN w:val="0"/>
        <w:spacing w:after="0" w:line="276" w:lineRule="auto"/>
        <w:jc w:val="both"/>
        <w:rPr>
          <w:rFonts w:ascii="Verdana" w:eastAsia="Verdana" w:hAnsi="Verdana" w:cs="Verdana"/>
        </w:rPr>
      </w:pPr>
    </w:p>
    <w:p w14:paraId="41DB1C91" w14:textId="77777777" w:rsidR="009637A2" w:rsidRPr="006B33D3" w:rsidRDefault="009637A2" w:rsidP="009637A2">
      <w:pPr>
        <w:spacing w:after="120" w:line="276" w:lineRule="auto"/>
        <w:jc w:val="both"/>
        <w:rPr>
          <w:rFonts w:ascii="Verdana" w:eastAsia="Calibri" w:hAnsi="Verdana" w:cs="Arial"/>
          <w:color w:val="000000" w:themeColor="text1"/>
          <w:lang w:val="es-ES"/>
        </w:rPr>
      </w:pPr>
      <w:proofErr w:type="spellStart"/>
      <w:r w:rsidRPr="006B33D3">
        <w:rPr>
          <w:rFonts w:ascii="Verdana" w:eastAsia="Calibri" w:hAnsi="Verdana" w:cs="Arial"/>
          <w:color w:val="000000" w:themeColor="text1"/>
          <w:lang w:val="es-ES"/>
        </w:rPr>
        <w:t>vii</w:t>
      </w:r>
      <w:proofErr w:type="spellEnd"/>
      <w:r w:rsidRPr="006B33D3">
        <w:rPr>
          <w:rFonts w:ascii="Verdana" w:eastAsia="Calibri" w:hAnsi="Verdana" w:cs="Arial"/>
          <w:color w:val="000000" w:themeColor="text1"/>
          <w:lang w:val="es-ES"/>
        </w:rPr>
        <w:t xml:space="preserve">. Al </w:t>
      </w:r>
      <w:r w:rsidRPr="006B33D3">
        <w:rPr>
          <w:rFonts w:ascii="Verdana" w:hAnsi="Verdana" w:cs="Arial"/>
          <w:lang w:val="es-ES_tradnl" w:eastAsia="es-ES"/>
        </w:rPr>
        <w:t xml:space="preserve">margen de la explicación precedente debe advertirse que el análisis requerido para resolver problemas específicos en torno a los convenios de cooperación internacional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6B33D3">
        <w:rPr>
          <w:rFonts w:ascii="Verdana" w:hAnsi="Verdana" w:cs="Arial"/>
          <w:lang w:val="es-ES_tradnl" w:eastAsia="es-ES"/>
        </w:rPr>
        <w:lastRenderedPageBreak/>
        <w:t>correspondiente y, en caso de conflicto, a las autoridades judiciales, fiscales y disciplinarias.</w:t>
      </w:r>
    </w:p>
    <w:p w14:paraId="0DE3C3AA" w14:textId="77777777" w:rsidR="009637A2" w:rsidRPr="006B33D3" w:rsidRDefault="009637A2" w:rsidP="009637A2">
      <w:pPr>
        <w:spacing w:after="0" w:line="276" w:lineRule="auto"/>
        <w:ind w:firstLine="709"/>
        <w:jc w:val="both"/>
        <w:rPr>
          <w:rFonts w:ascii="Verdana" w:hAnsi="Verdana" w:cs="Arial"/>
          <w:lang w:val="es-ES" w:eastAsia="es-ES"/>
        </w:rPr>
      </w:pPr>
      <w:r w:rsidRPr="006B33D3">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5D61431" w14:textId="77777777" w:rsidR="009637A2" w:rsidRPr="006B33D3" w:rsidRDefault="009637A2" w:rsidP="009637A2">
      <w:pPr>
        <w:spacing w:after="0" w:line="240" w:lineRule="auto"/>
        <w:jc w:val="both"/>
        <w:rPr>
          <w:rFonts w:ascii="Verdana" w:eastAsia="Calibri" w:hAnsi="Verdana" w:cs="Arial"/>
          <w:lang w:val="es-ES" w:eastAsia="es-MX"/>
        </w:rPr>
      </w:pPr>
    </w:p>
    <w:p w14:paraId="30D187EC" w14:textId="77777777" w:rsidR="009637A2" w:rsidRPr="006B33D3" w:rsidRDefault="009637A2" w:rsidP="009637A2">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6B33D3">
        <w:rPr>
          <w:rFonts w:ascii="Verdana" w:eastAsia="Century Gothic" w:hAnsi="Verdana" w:cs="Century Gothic"/>
          <w:b/>
          <w:bCs/>
          <w:lang w:val="es-ES"/>
        </w:rPr>
        <w:t>Referencias normativas:</w:t>
      </w:r>
    </w:p>
    <w:p w14:paraId="715846C4" w14:textId="77777777" w:rsidR="009637A2" w:rsidRPr="006B33D3" w:rsidRDefault="009637A2" w:rsidP="009637A2">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637A2" w:rsidRPr="006B33D3" w14:paraId="6E9BC010" w14:textId="77777777" w:rsidTr="00672DA8">
        <w:trPr>
          <w:trHeight w:val="870"/>
        </w:trPr>
        <w:tc>
          <w:tcPr>
            <w:tcW w:w="8647" w:type="dxa"/>
          </w:tcPr>
          <w:p w14:paraId="629FCBD5" w14:textId="77777777" w:rsidR="009637A2" w:rsidRPr="006B33D3" w:rsidRDefault="009637A2" w:rsidP="00672DA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B33D3">
              <w:rPr>
                <w:rFonts w:ascii="Verdana" w:hAnsi="Verdana" w:cs="Arial"/>
                <w:color w:val="000000" w:themeColor="text1"/>
              </w:rPr>
              <w:t>Ley 80 de 1993, artículo 13, 32.</w:t>
            </w:r>
          </w:p>
          <w:p w14:paraId="275B8352" w14:textId="77777777" w:rsidR="009637A2" w:rsidRPr="006B33D3" w:rsidRDefault="009637A2" w:rsidP="00672DA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B33D3">
              <w:rPr>
                <w:rFonts w:ascii="Verdana" w:hAnsi="Verdana" w:cs="Arial"/>
                <w:color w:val="000000" w:themeColor="text1"/>
              </w:rPr>
              <w:t>Ley 1150 de 2007, artículos 2 y 20.</w:t>
            </w:r>
          </w:p>
          <w:p w14:paraId="7CC9AB90" w14:textId="77777777" w:rsidR="009637A2" w:rsidRPr="006B33D3" w:rsidRDefault="009637A2" w:rsidP="00672DA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B33D3">
              <w:rPr>
                <w:rFonts w:ascii="Verdana" w:hAnsi="Verdana" w:cs="Arial"/>
                <w:color w:val="000000" w:themeColor="text1"/>
              </w:rPr>
              <w:t>Decreto 1082 de 2015, artículo 2.2.1.2.4.4.1.</w:t>
            </w:r>
          </w:p>
          <w:p w14:paraId="5FC7BE27" w14:textId="77777777" w:rsidR="009637A2" w:rsidRPr="006B33D3" w:rsidRDefault="009637A2" w:rsidP="00672DA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B33D3">
              <w:rPr>
                <w:rFonts w:ascii="Verdana" w:hAnsi="Verdana" w:cs="Arial"/>
                <w:color w:val="000000" w:themeColor="text1"/>
              </w:rPr>
              <w:t>Decreto 1067 de 2015, artículos 2.2.8.3.1., 2.2.8.3.2., 2.2.8.3.3., 2.2.8.3.4., 2.2.8.3.5. y 2.2.8.1.1.</w:t>
            </w:r>
          </w:p>
          <w:p w14:paraId="0CD6CE57" w14:textId="77777777" w:rsidR="009637A2" w:rsidRPr="006B33D3" w:rsidRDefault="009637A2" w:rsidP="00672DA8">
            <w:pPr>
              <w:pStyle w:val="Prrafodelista"/>
              <w:numPr>
                <w:ilvl w:val="0"/>
                <w:numId w:val="17"/>
              </w:numPr>
              <w:jc w:val="both"/>
              <w:rPr>
                <w:rFonts w:ascii="Verdana" w:hAnsi="Verdana" w:cs="Arial"/>
                <w:color w:val="000000" w:themeColor="text1"/>
              </w:rPr>
            </w:pPr>
            <w:r w:rsidRPr="006B33D3">
              <w:rPr>
                <w:rFonts w:ascii="Verdana" w:hAnsi="Verdana" w:cs="Arial"/>
                <w:color w:val="000000" w:themeColor="text1"/>
              </w:rPr>
              <w:t xml:space="preserve">Decreto 1082 de 2015, artículo 2.2.1.2.4.4.1., </w:t>
            </w:r>
            <w:r w:rsidRPr="006B33D3">
              <w:rPr>
                <w:rFonts w:ascii="Verdana" w:hAnsi="Verdana" w:cs="Arial"/>
                <w:color w:val="000000" w:themeColor="text1"/>
                <w:lang w:val="es-ES_tradnl"/>
              </w:rPr>
              <w:t xml:space="preserve">2.2.1.2.1.4.8., 2.2.1.2.1.4.9. </w:t>
            </w:r>
          </w:p>
          <w:p w14:paraId="27B68FDC" w14:textId="77777777" w:rsidR="009637A2" w:rsidRPr="006B33D3" w:rsidRDefault="009637A2" w:rsidP="00672DA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B33D3">
              <w:rPr>
                <w:rFonts w:ascii="Verdana" w:hAnsi="Verdana" w:cs="Arial"/>
                <w:color w:val="000000" w:themeColor="text1"/>
              </w:rPr>
              <w:t xml:space="preserve">Decreto 603 de 2022. </w:t>
            </w:r>
          </w:p>
          <w:p w14:paraId="21B9C3DD" w14:textId="77777777" w:rsidR="009637A2" w:rsidRPr="006B33D3" w:rsidRDefault="009637A2" w:rsidP="00672DA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6B33D3">
              <w:rPr>
                <w:rFonts w:ascii="Verdana" w:hAnsi="Verdana" w:cs="Arial"/>
                <w:color w:val="000000" w:themeColor="text1"/>
              </w:rPr>
              <w:t>Código Civil, artículo 27.</w:t>
            </w:r>
          </w:p>
        </w:tc>
      </w:tr>
    </w:tbl>
    <w:p w14:paraId="68240A4A" w14:textId="77777777" w:rsidR="009637A2" w:rsidRPr="006B33D3" w:rsidRDefault="009637A2" w:rsidP="009637A2">
      <w:pPr>
        <w:widowControl w:val="0"/>
        <w:autoSpaceDE w:val="0"/>
        <w:autoSpaceDN w:val="0"/>
        <w:spacing w:after="0" w:line="240" w:lineRule="auto"/>
        <w:jc w:val="both"/>
        <w:rPr>
          <w:rFonts w:ascii="Verdana" w:hAnsi="Verdana" w:cs="Arial"/>
        </w:rPr>
      </w:pPr>
    </w:p>
    <w:p w14:paraId="49ABA90D" w14:textId="77777777" w:rsidR="009637A2" w:rsidRPr="006B33D3" w:rsidRDefault="009637A2" w:rsidP="009637A2">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6B33D3">
        <w:rPr>
          <w:rFonts w:ascii="Verdana" w:eastAsia="Century Gothic" w:hAnsi="Verdana" w:cs="Century Gothic"/>
          <w:b/>
          <w:bCs/>
          <w:lang w:val="es-ES"/>
        </w:rPr>
        <w:t>Doctrina de la Agencia Nacional de Contratación Pública:</w:t>
      </w:r>
    </w:p>
    <w:p w14:paraId="59812E57" w14:textId="77777777" w:rsidR="009637A2" w:rsidRPr="006B33D3" w:rsidRDefault="009637A2" w:rsidP="009637A2">
      <w:pPr>
        <w:widowControl w:val="0"/>
        <w:autoSpaceDE w:val="0"/>
        <w:autoSpaceDN w:val="0"/>
        <w:spacing w:after="0" w:line="240" w:lineRule="auto"/>
        <w:jc w:val="both"/>
        <w:rPr>
          <w:rFonts w:ascii="Verdana" w:hAnsi="Verdana" w:cs="Arial"/>
        </w:rPr>
      </w:pPr>
    </w:p>
    <w:p w14:paraId="4BDB988C" w14:textId="77777777" w:rsidR="009637A2" w:rsidRPr="006B33D3" w:rsidRDefault="009637A2" w:rsidP="009637A2">
      <w:pPr>
        <w:widowControl w:val="0"/>
        <w:autoSpaceDE w:val="0"/>
        <w:autoSpaceDN w:val="0"/>
        <w:spacing w:after="0" w:line="276" w:lineRule="auto"/>
        <w:jc w:val="both"/>
        <w:rPr>
          <w:rFonts w:ascii="Verdana" w:hAnsi="Verdana" w:cs="Arial"/>
          <w:shd w:val="clear" w:color="auto" w:fill="FFFFFF"/>
          <w:lang w:val="es-ES"/>
        </w:rPr>
      </w:pPr>
      <w:r w:rsidRPr="006B33D3">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sobre la </w:t>
      </w:r>
      <w:r w:rsidRPr="006B33D3">
        <w:rPr>
          <w:rFonts w:ascii="Verdana" w:hAnsi="Verdana"/>
          <w:lang w:val="es-ES"/>
        </w:rPr>
        <w:t xml:space="preserve">contratación con organismos internacionales </w:t>
      </w:r>
      <w:r w:rsidRPr="006B33D3">
        <w:rPr>
          <w:rFonts w:ascii="Verdana" w:hAnsi="Verdana" w:cs="Arial"/>
          <w:shd w:val="clear" w:color="auto" w:fill="FFFFFF"/>
          <w:lang w:val="es-ES"/>
        </w:rPr>
        <w:t xml:space="preserve">en los conceptos C-185 del 13 de abril de 2020, C-374 del 23 de julio de 2020, C-680 del 18 de noviembre de 2020, C-771 de 13 de enero de 2021, C-781 del 19 de enero de 2021, C-377 del 28 de julio de 2021, C-049 de 8 de marzo de 2021 y C-461 de 19 de julio de 2021, C-367 de 25 de abril de 2022, C-461 de 2 de junio de 2022, C- 012 de 7 de marzo de 2023, C-039 de 29 de marzo de 2023, C-979 </w:t>
      </w:r>
      <w:r w:rsidRPr="006B33D3">
        <w:rPr>
          <w:rFonts w:ascii="Verdana" w:hAnsi="Verdana" w:cs="Arial"/>
          <w:shd w:val="clear" w:color="auto" w:fill="FFFFFF"/>
          <w:lang w:val="es-ES"/>
        </w:rPr>
        <w:lastRenderedPageBreak/>
        <w:t>del 30 de diciembre de 2024, C-390 del 6 de mayo de 2025, C-440 del 15 de mayo de 2025, C-702 del 08 de julio de 2025, C-578 del 22 de mayo de 2026, C-822 del 25 de junio de 2026, entre otros. Estos se encuentran disponibles para consulta en el Sistema de relatoría de la Agencia, al cual puede accederse</w:t>
      </w:r>
      <w:r w:rsidRPr="006B33D3">
        <w:rPr>
          <w:rFonts w:ascii="Verdana" w:hAnsi="Verdana" w:cs="Arial"/>
          <w:color w:val="000000" w:themeColor="text1"/>
          <w:shd w:val="clear" w:color="auto" w:fill="FFFFFF"/>
          <w:lang w:val="es-ES"/>
        </w:rPr>
        <w:t xml:space="preserve"> a </w:t>
      </w:r>
      <w:proofErr w:type="spellStart"/>
      <w:r w:rsidRPr="006B33D3">
        <w:rPr>
          <w:rFonts w:ascii="Verdana" w:hAnsi="Verdana" w:cs="Arial"/>
          <w:color w:val="000000" w:themeColor="text1"/>
          <w:shd w:val="clear" w:color="auto" w:fill="FFFFFF"/>
          <w:lang w:val="es-ES"/>
        </w:rPr>
        <w:t>través</w:t>
      </w:r>
      <w:proofErr w:type="spellEnd"/>
      <w:r w:rsidRPr="006B33D3">
        <w:rPr>
          <w:rFonts w:ascii="Verdana" w:hAnsi="Verdana" w:cs="Arial"/>
          <w:color w:val="000000" w:themeColor="text1"/>
          <w:shd w:val="clear" w:color="auto" w:fill="FFFFFF"/>
          <w:lang w:val="es-ES"/>
        </w:rPr>
        <w:t xml:space="preserve"> del siguiente enlace: </w:t>
      </w:r>
      <w:hyperlink r:id="rId13" w:history="1">
        <w:r w:rsidRPr="006B33D3">
          <w:rPr>
            <w:rStyle w:val="Hipervnculo"/>
            <w:rFonts w:ascii="Verdana" w:hAnsi="Verdana" w:cs="Arial"/>
            <w:shd w:val="clear" w:color="auto" w:fill="FFFFFF"/>
            <w:lang w:val="es-ES"/>
          </w:rPr>
          <w:t>https://relatoria.colombiacompra.gov.co/</w:t>
        </w:r>
      </w:hyperlink>
    </w:p>
    <w:p w14:paraId="4277FDA3" w14:textId="77777777" w:rsidR="009637A2" w:rsidRPr="006B33D3" w:rsidRDefault="009637A2" w:rsidP="009637A2">
      <w:pPr>
        <w:spacing w:after="0"/>
        <w:jc w:val="both"/>
        <w:rPr>
          <w:rFonts w:ascii="Verdana" w:hAnsi="Verdana"/>
        </w:rPr>
      </w:pPr>
    </w:p>
    <w:p w14:paraId="104A3AB2" w14:textId="77777777" w:rsidR="009637A2" w:rsidRPr="006B33D3" w:rsidRDefault="009637A2" w:rsidP="009637A2">
      <w:pPr>
        <w:spacing w:after="0" w:line="276" w:lineRule="auto"/>
        <w:jc w:val="both"/>
        <w:rPr>
          <w:rFonts w:ascii="Verdana" w:eastAsia="Calibri" w:hAnsi="Verdana" w:cs="Arial"/>
          <w:color w:val="000000"/>
          <w:lang w:eastAsia="es-ES_tradnl"/>
        </w:rPr>
      </w:pPr>
      <w:r w:rsidRPr="006B33D3">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B33D3">
        <w:rPr>
          <w:rFonts w:ascii="Verdana" w:eastAsia="Calibri" w:hAnsi="Verdana" w:cs="Arial"/>
          <w:b/>
          <w:bCs/>
          <w:color w:val="000000"/>
          <w:lang w:eastAsia="es-ES_tradnl"/>
        </w:rPr>
        <w:t>Guía para la Exigencia y Constitución de Garantías en los Procesos de Contratación</w:t>
      </w:r>
      <w:r w:rsidRPr="006B33D3">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https://www.colombiacompra.gov.co/archivos/manual/guia-de-garantias-en-procesos-de-contratacion" w:history="1">
        <w:r w:rsidRPr="006B33D3">
          <w:rPr>
            <w:rStyle w:val="Hipervnculo"/>
            <w:rFonts w:ascii="Verdana" w:eastAsia="Calibri" w:hAnsi="Verdana" w:cs="Arial"/>
            <w:lang w:eastAsia="es-ES_tradnl"/>
          </w:rPr>
          <w:t>https://www.colombiacompra.gov.co/archivos/manual/guia-de-garantias-en-procesos-de-contratacion</w:t>
        </w:r>
      </w:hyperlink>
    </w:p>
    <w:p w14:paraId="0ABA8866" w14:textId="77777777" w:rsidR="009637A2" w:rsidRPr="006B33D3" w:rsidRDefault="009637A2" w:rsidP="009637A2">
      <w:pPr>
        <w:spacing w:after="0" w:line="276" w:lineRule="auto"/>
        <w:jc w:val="both"/>
        <w:rPr>
          <w:rFonts w:ascii="Verdana" w:eastAsia="Calibri" w:hAnsi="Verdana" w:cs="Arial"/>
          <w:color w:val="000000"/>
          <w:lang w:eastAsia="es-ES_tradnl"/>
        </w:rPr>
      </w:pPr>
    </w:p>
    <w:p w14:paraId="310F5A57" w14:textId="77777777" w:rsidR="009637A2" w:rsidRPr="006B33D3" w:rsidRDefault="009637A2" w:rsidP="009637A2">
      <w:pPr>
        <w:spacing w:after="0" w:line="276" w:lineRule="auto"/>
        <w:jc w:val="both"/>
        <w:rPr>
          <w:rFonts w:ascii="Verdana" w:eastAsia="Calibri" w:hAnsi="Verdana" w:cs="Arial"/>
          <w:color w:val="000000"/>
          <w:lang w:eastAsia="es-ES_tradnl"/>
        </w:rPr>
      </w:pPr>
      <w:r w:rsidRPr="006B33D3">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6B33D3">
        <w:rPr>
          <w:rFonts w:ascii="Verdana" w:eastAsia="Calibri" w:hAnsi="Verdana" w:cs="Arial"/>
          <w:b/>
          <w:bCs/>
          <w:color w:val="000000"/>
          <w:lang w:eastAsia="es-ES_tradnl"/>
        </w:rPr>
        <w:t>Sistema Integral de Preferencias en favor de las personas con discapacidad</w:t>
      </w:r>
      <w:r w:rsidRPr="006B33D3">
        <w:rPr>
          <w:rFonts w:ascii="Verdana" w:eastAsia="Calibri" w:hAnsi="Verdana" w:cs="Arial"/>
          <w:color w:val="000000"/>
          <w:lang w:eastAsia="es-ES_tradnl"/>
        </w:rPr>
        <w:t>, en cumplimiento del artículo 13 de la Ley Estatutaria 1618 de 2013. Para orientar su aplicación, esta Agencia expidió la </w:t>
      </w:r>
      <w:r w:rsidRPr="006B33D3">
        <w:rPr>
          <w:rFonts w:ascii="Verdana" w:eastAsia="Calibri" w:hAnsi="Verdana" w:cs="Arial"/>
          <w:b/>
          <w:bCs/>
          <w:color w:val="000000"/>
          <w:lang w:eastAsia="es-ES_tradnl"/>
        </w:rPr>
        <w:t>Circular Externa 003 del 12 de mayo de 2026, </w:t>
      </w:r>
      <w:r w:rsidRPr="006B33D3">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https://www.colombiacompra.gov.co/archivos/circular/circular-externa-003-de-2026" w:history="1">
        <w:r w:rsidRPr="006B33D3">
          <w:rPr>
            <w:rStyle w:val="Hipervnculo"/>
            <w:rFonts w:ascii="Verdana" w:eastAsia="Calibri" w:hAnsi="Verdana" w:cs="Arial"/>
            <w:lang w:eastAsia="es-ES_tradnl"/>
          </w:rPr>
          <w:t>https://www.colombiacompra.gov.co/archivos/circular/circular-externa-003-de-2026</w:t>
        </w:r>
      </w:hyperlink>
    </w:p>
    <w:p w14:paraId="350998AB" w14:textId="77777777" w:rsidR="009637A2" w:rsidRPr="006B33D3" w:rsidRDefault="009637A2" w:rsidP="009637A2">
      <w:pPr>
        <w:spacing w:after="0" w:line="276" w:lineRule="auto"/>
        <w:jc w:val="both"/>
        <w:rPr>
          <w:rFonts w:ascii="Verdana" w:eastAsia="Calibri" w:hAnsi="Verdana" w:cs="Arial"/>
          <w:color w:val="000000"/>
          <w:lang w:eastAsia="es-ES_tradnl"/>
        </w:rPr>
      </w:pPr>
    </w:p>
    <w:p w14:paraId="4C32A286" w14:textId="77777777" w:rsidR="009637A2" w:rsidRPr="006B33D3" w:rsidRDefault="009637A2" w:rsidP="009637A2">
      <w:pPr>
        <w:spacing w:after="0" w:line="276" w:lineRule="auto"/>
        <w:jc w:val="both"/>
      </w:pPr>
      <w:r w:rsidRPr="006B33D3">
        <w:rPr>
          <w:rFonts w:ascii="Verdana" w:eastAsia="Calibri" w:hAnsi="Verdana" w:cs="Arial"/>
          <w:color w:val="000000"/>
          <w:lang w:eastAsia="es-ES_tradnl"/>
        </w:rPr>
        <w:t>Recuerda también que la</w:t>
      </w:r>
      <w:r w:rsidRPr="006B33D3">
        <w:rPr>
          <w:rFonts w:ascii="Verdana" w:eastAsia="Calibri" w:hAnsi="Verdana" w:cs="Arial"/>
          <w:b/>
          <w:bCs/>
          <w:color w:val="000000"/>
          <w:lang w:eastAsia="es-ES_tradnl"/>
        </w:rPr>
        <w:t> información sobre sanciones e inhabilidades </w:t>
      </w:r>
      <w:r w:rsidRPr="006B33D3">
        <w:rPr>
          <w:rFonts w:ascii="Verdana" w:eastAsia="Calibri" w:hAnsi="Verdana" w:cs="Arial"/>
          <w:color w:val="000000"/>
          <w:lang w:eastAsia="es-ES_tradnl"/>
        </w:rPr>
        <w:t>solo cumple su función preventiva si llega oportunamente a los registros públicos. Sobre este deber, esta Agencia expidió la </w:t>
      </w:r>
      <w:r w:rsidRPr="006B33D3">
        <w:rPr>
          <w:rFonts w:ascii="Verdana" w:eastAsia="Calibri" w:hAnsi="Verdana" w:cs="Arial"/>
          <w:b/>
          <w:bCs/>
          <w:color w:val="000000"/>
          <w:lang w:eastAsia="es-ES_tradnl"/>
        </w:rPr>
        <w:t>Circular Externa 002 del 5 de mayo de 2026,</w:t>
      </w:r>
      <w:r w:rsidRPr="006B33D3">
        <w:rPr>
          <w:rFonts w:ascii="Verdana" w:eastAsia="Calibri" w:hAnsi="Verdana" w:cs="Arial"/>
          <w:color w:val="000000"/>
          <w:lang w:eastAsia="es-ES_tradnl"/>
        </w:rPr>
        <w:t xml:space="preserve"> dirigida a todas las entidades del Estado sin distinción de su régimen contractual, en la que reitera la obligatoriedad de reportar caducidades, multas, sanciones, declaratorias de incumplimiento e inhabilidades ante las Cámaras de </w:t>
      </w:r>
      <w:r w:rsidRPr="006B33D3">
        <w:rPr>
          <w:rFonts w:ascii="Verdana" w:eastAsia="Calibri" w:hAnsi="Verdana" w:cs="Arial"/>
          <w:color w:val="000000"/>
          <w:lang w:eastAsia="es-ES_tradnl"/>
        </w:rPr>
        <w:lastRenderedPageBreak/>
        <w:t>Comercio, la Procuraduría General de la Nación y el SECOP, e indica los responsables, los portales dispuestos para el efecto y las consecuencias disciplinarias de omitir este deber. Consúltala aquí: </w:t>
      </w:r>
      <w:hyperlink r:id="rId16" w:tgtFrame="_blank" w:tooltip="https://www.colombiacompra.gov.co/archivos/circular/circular-externa-002-de-2026" w:history="1">
        <w:r w:rsidRPr="006B33D3">
          <w:rPr>
            <w:rStyle w:val="Hipervnculo"/>
            <w:rFonts w:ascii="Verdana" w:eastAsia="Calibri" w:hAnsi="Verdana" w:cs="Arial"/>
            <w:lang w:eastAsia="es-ES_tradnl"/>
          </w:rPr>
          <w:t>https://www.colombiacompra.gov.co/archivos/circular/circular-externa-002-de-2026</w:t>
        </w:r>
      </w:hyperlink>
    </w:p>
    <w:p w14:paraId="4D91D6AE" w14:textId="77777777" w:rsidR="009637A2" w:rsidRPr="006B33D3" w:rsidRDefault="009637A2" w:rsidP="009637A2">
      <w:pPr>
        <w:spacing w:after="0" w:line="276" w:lineRule="auto"/>
        <w:jc w:val="both"/>
        <w:rPr>
          <w:rFonts w:ascii="Verdana" w:eastAsia="Calibri" w:hAnsi="Verdana" w:cs="Arial"/>
          <w:color w:val="000000"/>
          <w:lang w:eastAsia="es-ES_tradnl"/>
        </w:rPr>
      </w:pPr>
    </w:p>
    <w:p w14:paraId="6EE5AF8B" w14:textId="77777777" w:rsidR="009637A2" w:rsidRPr="006B33D3" w:rsidRDefault="009637A2" w:rsidP="009637A2">
      <w:pPr>
        <w:spacing w:after="0" w:line="276" w:lineRule="auto"/>
        <w:jc w:val="both"/>
        <w:rPr>
          <w:rFonts w:ascii="Verdana" w:eastAsia="Calibri" w:hAnsi="Verdana" w:cs="Arial"/>
          <w:color w:val="000000"/>
          <w:lang w:eastAsia="es-ES_tradnl"/>
        </w:rPr>
      </w:pPr>
      <w:r w:rsidRPr="006B33D3">
        <w:rPr>
          <w:rFonts w:ascii="Verdana" w:eastAsia="Calibri" w:hAnsi="Verdana" w:cs="Arial"/>
          <w:color w:val="000000"/>
          <w:lang w:eastAsia="es-ES_tradnl"/>
        </w:rPr>
        <w:t>Finalmente, si quieres seguir de cerca la actividad de la Agencia, la tercera edición de 2026 del</w:t>
      </w:r>
      <w:r w:rsidRPr="006B33D3">
        <w:rPr>
          <w:rFonts w:ascii="Verdana" w:eastAsia="Calibri" w:hAnsi="Verdana" w:cs="Arial"/>
          <w:b/>
          <w:bCs/>
          <w:color w:val="000000"/>
          <w:lang w:eastAsia="es-ES_tradnl"/>
        </w:rPr>
        <w:t> Radar de la Compra Pública</w:t>
      </w:r>
      <w:r w:rsidRPr="006B33D3">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https://www.colombiacompra.gov.co/archivos/boletin/boletin-edicion-n-3-de-2026-radar-de-la-compra-publica" w:history="1">
        <w:r w:rsidRPr="006B33D3">
          <w:rPr>
            <w:rStyle w:val="Hipervnculo"/>
            <w:rFonts w:ascii="Verdana" w:eastAsia="Calibri" w:hAnsi="Verdana" w:cs="Arial"/>
            <w:lang w:eastAsia="es-ES_tradnl"/>
          </w:rPr>
          <w:t>https://www.colombiacompra.gov.co/archivos/boletin/boletin-edicion-n-3-de-2026-radar-de-la-compra-publica</w:t>
        </w:r>
      </w:hyperlink>
    </w:p>
    <w:p w14:paraId="7C8C5BA2" w14:textId="77777777" w:rsidR="009637A2" w:rsidRPr="006B33D3" w:rsidRDefault="009637A2" w:rsidP="009637A2">
      <w:pPr>
        <w:spacing w:after="0"/>
        <w:jc w:val="both"/>
        <w:rPr>
          <w:rFonts w:ascii="Verdana" w:hAnsi="Verdana"/>
        </w:rPr>
      </w:pPr>
    </w:p>
    <w:p w14:paraId="2FA444AC" w14:textId="77777777" w:rsidR="009637A2" w:rsidRPr="006B33D3" w:rsidRDefault="009637A2" w:rsidP="009637A2">
      <w:pPr>
        <w:spacing w:after="0"/>
        <w:jc w:val="both"/>
        <w:rPr>
          <w:rFonts w:ascii="Verdana" w:hAnsi="Verdana"/>
        </w:rPr>
      </w:pPr>
      <w:r w:rsidRPr="006B33D3">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BEB46D6" w14:textId="77777777" w:rsidR="009637A2" w:rsidRPr="006B33D3" w:rsidRDefault="009637A2" w:rsidP="009637A2">
      <w:pPr>
        <w:spacing w:after="0"/>
        <w:jc w:val="both"/>
        <w:rPr>
          <w:rFonts w:ascii="Verdana" w:hAnsi="Verdana"/>
        </w:rPr>
      </w:pPr>
    </w:p>
    <w:p w14:paraId="1C095D1B" w14:textId="77777777" w:rsidR="009637A2" w:rsidRPr="006B33D3" w:rsidRDefault="009637A2" w:rsidP="009637A2">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6B33D3">
        <w:rPr>
          <w:rFonts w:ascii="Verdana" w:eastAsia="Verdana" w:hAnsi="Verdana" w:cs="Verdana"/>
          <w:lang w:val="es-MX"/>
        </w:rPr>
        <w:t xml:space="preserve">Línea nacional gratuita o servicio a la ciudadanía (Mesa de servicio): </w:t>
      </w:r>
      <w:r w:rsidRPr="006B33D3">
        <w:rPr>
          <w:rStyle w:val="Hipervnculo"/>
          <w:rFonts w:ascii="Verdana" w:hAnsi="Verdana"/>
        </w:rPr>
        <w:t>01800 0520808</w:t>
      </w:r>
    </w:p>
    <w:p w14:paraId="2E4594B9" w14:textId="77777777" w:rsidR="009637A2" w:rsidRPr="006B33D3" w:rsidRDefault="009637A2" w:rsidP="009637A2">
      <w:pPr>
        <w:pStyle w:val="Prrafodelista"/>
        <w:numPr>
          <w:ilvl w:val="0"/>
          <w:numId w:val="15"/>
        </w:numPr>
        <w:spacing w:after="0"/>
        <w:rPr>
          <w:rFonts w:ascii="Verdana" w:eastAsia="Verdana" w:hAnsi="Verdana" w:cs="Verdana"/>
          <w:color w:val="4472C4" w:themeColor="accent1"/>
          <w:u w:val="single"/>
          <w:lang w:val="es-MX"/>
        </w:rPr>
      </w:pPr>
      <w:r w:rsidRPr="006B33D3">
        <w:rPr>
          <w:rFonts w:ascii="Verdana" w:eastAsia="Verdana" w:hAnsi="Verdana" w:cs="Verdana"/>
          <w:lang w:val="es-MX"/>
        </w:rPr>
        <w:t>Línea en Bogotá (Mesa de servicio</w:t>
      </w:r>
      <w:proofErr w:type="gramStart"/>
      <w:r w:rsidRPr="006B33D3">
        <w:rPr>
          <w:rFonts w:ascii="Verdana" w:eastAsia="Verdana" w:hAnsi="Verdana" w:cs="Verdana"/>
          <w:lang w:val="es-MX"/>
        </w:rPr>
        <w:t>):</w:t>
      </w:r>
      <w:r w:rsidRPr="006B33D3">
        <w:rPr>
          <w:rStyle w:val="Hipervnculo"/>
          <w:rFonts w:ascii="Verdana" w:hAnsi="Verdana"/>
        </w:rPr>
        <w:t>+</w:t>
      </w:r>
      <w:proofErr w:type="gramEnd"/>
      <w:r w:rsidRPr="006B33D3">
        <w:rPr>
          <w:rStyle w:val="Hipervnculo"/>
          <w:rFonts w:ascii="Verdana" w:hAnsi="Verdana"/>
        </w:rPr>
        <w:t>57 601 7456788</w:t>
      </w:r>
    </w:p>
    <w:p w14:paraId="3E6754B9" w14:textId="77777777" w:rsidR="009637A2" w:rsidRPr="006B33D3" w:rsidRDefault="009637A2" w:rsidP="009637A2">
      <w:pPr>
        <w:pStyle w:val="Prrafodelista"/>
        <w:numPr>
          <w:ilvl w:val="0"/>
          <w:numId w:val="15"/>
        </w:numPr>
        <w:spacing w:after="0"/>
        <w:rPr>
          <w:rFonts w:ascii="Verdana" w:eastAsia="Verdana" w:hAnsi="Verdana" w:cs="Verdana"/>
          <w:color w:val="0000FF"/>
          <w:u w:val="single"/>
          <w:lang w:val="es-MX"/>
        </w:rPr>
      </w:pPr>
      <w:r w:rsidRPr="006B33D3">
        <w:rPr>
          <w:rFonts w:ascii="Verdana" w:eastAsia="Verdana" w:hAnsi="Verdana" w:cs="Verdana"/>
          <w:lang w:val="es-MX"/>
        </w:rPr>
        <w:t xml:space="preserve">Correo de radicación de correspondencia: </w:t>
      </w:r>
      <w:hyperlink r:id="rId18">
        <w:r w:rsidRPr="006B33D3">
          <w:rPr>
            <w:rStyle w:val="Hipervnculo"/>
            <w:rFonts w:ascii="Verdana" w:eastAsia="Verdana" w:hAnsi="Verdana" w:cs="Verdana"/>
            <w:lang w:val="es-MX"/>
          </w:rPr>
          <w:t>ventanilladeradicacion@colombiacompra.gov.co</w:t>
        </w:r>
      </w:hyperlink>
    </w:p>
    <w:p w14:paraId="1D2A1D0B" w14:textId="77777777" w:rsidR="009637A2" w:rsidRPr="006B33D3" w:rsidRDefault="009637A2" w:rsidP="009637A2">
      <w:pPr>
        <w:pStyle w:val="Prrafodelista"/>
        <w:numPr>
          <w:ilvl w:val="0"/>
          <w:numId w:val="15"/>
        </w:numPr>
        <w:spacing w:after="0"/>
        <w:rPr>
          <w:rFonts w:ascii="Verdana" w:eastAsia="Verdana" w:hAnsi="Verdana" w:cs="Verdana"/>
          <w:color w:val="0000FF"/>
          <w:u w:val="single"/>
          <w:lang w:val="es-MX"/>
        </w:rPr>
      </w:pPr>
      <w:r w:rsidRPr="006B33D3">
        <w:rPr>
          <w:rFonts w:ascii="Verdana" w:eastAsia="Verdana" w:hAnsi="Verdana" w:cs="Verdana"/>
        </w:rPr>
        <w:t>Formulario web para</w:t>
      </w:r>
      <w:r w:rsidRPr="006B33D3">
        <w:rPr>
          <w:rFonts w:ascii="Verdana" w:eastAsia="Verdana" w:hAnsi="Verdana" w:cs="Verdana"/>
          <w:lang w:val="es"/>
        </w:rPr>
        <w:t xml:space="preserve"> PQRSD: </w:t>
      </w:r>
      <w:hyperlink r:id="rId19">
        <w:r w:rsidRPr="006B33D3">
          <w:rPr>
            <w:rStyle w:val="Hipervnculo"/>
            <w:rFonts w:ascii="Verdana" w:eastAsia="Verdana" w:hAnsi="Verdana" w:cs="Verdana"/>
            <w:lang w:val="es-MX"/>
          </w:rPr>
          <w:t>https://www.colombiacompra.gov.co/pqrsd/informacion-importante-antes-de-formular-una-pqrsd</w:t>
        </w:r>
      </w:hyperlink>
    </w:p>
    <w:p w14:paraId="73A8EEAF" w14:textId="77777777" w:rsidR="009637A2" w:rsidRPr="006B33D3" w:rsidRDefault="009637A2" w:rsidP="009637A2">
      <w:pPr>
        <w:spacing w:after="0" w:line="240" w:lineRule="auto"/>
        <w:ind w:left="720"/>
        <w:jc w:val="both"/>
        <w:rPr>
          <w:rFonts w:ascii="Verdana" w:hAnsi="Verdana"/>
        </w:rPr>
      </w:pPr>
    </w:p>
    <w:p w14:paraId="32D9988D" w14:textId="77777777" w:rsidR="009637A2" w:rsidRPr="006B33D3" w:rsidRDefault="009637A2" w:rsidP="009637A2">
      <w:pPr>
        <w:spacing w:after="0" w:line="240" w:lineRule="auto"/>
        <w:rPr>
          <w:rFonts w:ascii="Verdana" w:hAnsi="Verdana"/>
        </w:rPr>
      </w:pPr>
      <w:r w:rsidRPr="006B33D3">
        <w:rPr>
          <w:rFonts w:ascii="Verdana" w:hAnsi="Verdana"/>
        </w:rPr>
        <w:t xml:space="preserve">Evalúa el servicio que ofrece la Agencia por el canal de atención de PQRSD en el siguiente </w:t>
      </w:r>
      <w:proofErr w:type="gramStart"/>
      <w:r w:rsidRPr="006B33D3">
        <w:rPr>
          <w:rFonts w:ascii="Verdana" w:hAnsi="Verdana"/>
        </w:rPr>
        <w:t>enlace :</w:t>
      </w:r>
      <w:proofErr w:type="gramEnd"/>
      <w:hyperlink r:id="rId20" w:tgtFrame="_blank" w:tooltip="https://forms.office.com/r/pphywvs2sz" w:history="1">
        <w:r w:rsidRPr="006B33D3">
          <w:rPr>
            <w:rStyle w:val="Hipervnculo"/>
            <w:rFonts w:ascii="Verdana" w:hAnsi="Verdana"/>
          </w:rPr>
          <w:t>https://forms.office.com/r/pPHyWVs2SZ</w:t>
        </w:r>
      </w:hyperlink>
      <w:r w:rsidRPr="006B33D3">
        <w:rPr>
          <w:rFonts w:ascii="Verdana" w:hAnsi="Verdana"/>
        </w:rPr>
        <w:t xml:space="preserve"> .¡Ayúdanos a mejorar porque el compromiso es de todos!</w:t>
      </w:r>
    </w:p>
    <w:p w14:paraId="60BE1F21" w14:textId="77777777" w:rsidR="009637A2" w:rsidRPr="006B33D3" w:rsidRDefault="009637A2" w:rsidP="009637A2">
      <w:pPr>
        <w:spacing w:after="0" w:line="240" w:lineRule="auto"/>
        <w:rPr>
          <w:rFonts w:ascii="Verdana" w:hAnsi="Verdana"/>
        </w:rPr>
      </w:pPr>
    </w:p>
    <w:p w14:paraId="78BD20E2" w14:textId="77777777" w:rsidR="009637A2" w:rsidRPr="006B33D3" w:rsidRDefault="009637A2" w:rsidP="009637A2">
      <w:pPr>
        <w:spacing w:after="0" w:line="240" w:lineRule="auto"/>
        <w:jc w:val="both"/>
        <w:rPr>
          <w:rFonts w:ascii="Verdana" w:hAnsi="Verdana"/>
        </w:rPr>
      </w:pPr>
      <w:r w:rsidRPr="006B33D3">
        <w:rPr>
          <w:rFonts w:ascii="Verdana" w:hAnsi="Verdana"/>
        </w:rPr>
        <w:t xml:space="preserve">Por último, lo invitamos a seguirnos en las redes sociales en las cuales se difunde información institucional: </w:t>
      </w:r>
    </w:p>
    <w:p w14:paraId="0AA36D86" w14:textId="77777777" w:rsidR="009637A2" w:rsidRPr="006B33D3" w:rsidRDefault="009637A2" w:rsidP="009637A2">
      <w:pPr>
        <w:spacing w:after="0" w:line="240" w:lineRule="auto"/>
        <w:jc w:val="both"/>
        <w:rPr>
          <w:rFonts w:ascii="Verdana" w:hAnsi="Verdana"/>
        </w:rPr>
      </w:pPr>
    </w:p>
    <w:p w14:paraId="3AAD650D" w14:textId="77777777" w:rsidR="009637A2" w:rsidRPr="006B33D3" w:rsidRDefault="009637A2" w:rsidP="009637A2">
      <w:pPr>
        <w:spacing w:after="0" w:line="240" w:lineRule="auto"/>
        <w:jc w:val="both"/>
        <w:rPr>
          <w:rFonts w:ascii="Verdana" w:hAnsi="Verdana"/>
        </w:rPr>
      </w:pPr>
      <w:r w:rsidRPr="006B33D3">
        <w:rPr>
          <w:rFonts w:ascii="Verdana" w:hAnsi="Verdana"/>
        </w:rPr>
        <w:t xml:space="preserve">Twitter: </w:t>
      </w:r>
      <w:r w:rsidRPr="006B33D3">
        <w:rPr>
          <w:rStyle w:val="Hipervnculo"/>
          <w:rFonts w:ascii="Verdana" w:hAnsi="Verdana"/>
        </w:rPr>
        <w:t>@colombiacompra</w:t>
      </w:r>
      <w:r w:rsidRPr="006B33D3">
        <w:rPr>
          <w:rFonts w:ascii="Verdana" w:hAnsi="Verdana"/>
        </w:rPr>
        <w:t xml:space="preserve"> </w:t>
      </w:r>
    </w:p>
    <w:p w14:paraId="290A867B" w14:textId="77777777" w:rsidR="009637A2" w:rsidRPr="006B33D3" w:rsidRDefault="009637A2" w:rsidP="009637A2">
      <w:pPr>
        <w:spacing w:after="0" w:line="240" w:lineRule="auto"/>
        <w:jc w:val="both"/>
        <w:rPr>
          <w:rFonts w:ascii="Verdana" w:hAnsi="Verdana"/>
        </w:rPr>
      </w:pPr>
      <w:r w:rsidRPr="006B33D3">
        <w:rPr>
          <w:rFonts w:ascii="Verdana" w:hAnsi="Verdana"/>
        </w:rPr>
        <w:lastRenderedPageBreak/>
        <w:t xml:space="preserve">Facebook: </w:t>
      </w:r>
      <w:proofErr w:type="spellStart"/>
      <w:r w:rsidRPr="006B33D3">
        <w:rPr>
          <w:rStyle w:val="Hipervnculo"/>
          <w:rFonts w:ascii="Verdana" w:hAnsi="Verdana"/>
        </w:rPr>
        <w:t>ColombiaCompraEficiente</w:t>
      </w:r>
      <w:proofErr w:type="spellEnd"/>
    </w:p>
    <w:p w14:paraId="13D5DF99" w14:textId="77777777" w:rsidR="009637A2" w:rsidRPr="006B33D3" w:rsidRDefault="009637A2" w:rsidP="009637A2">
      <w:pPr>
        <w:spacing w:after="0" w:line="240" w:lineRule="auto"/>
        <w:jc w:val="both"/>
        <w:rPr>
          <w:rFonts w:ascii="Verdana" w:hAnsi="Verdana"/>
        </w:rPr>
      </w:pPr>
      <w:r w:rsidRPr="006B33D3">
        <w:rPr>
          <w:rFonts w:ascii="Verdana" w:hAnsi="Verdana"/>
        </w:rPr>
        <w:t xml:space="preserve">LinkedIn: </w:t>
      </w:r>
      <w:r w:rsidRPr="006B33D3">
        <w:rPr>
          <w:rStyle w:val="Hipervnculo"/>
          <w:rFonts w:ascii="Verdana" w:hAnsi="Verdana"/>
        </w:rPr>
        <w:t>Agencia Nacional de Contratación Pública - Colombia Compra Eficiente</w:t>
      </w:r>
      <w:r w:rsidRPr="006B33D3">
        <w:rPr>
          <w:rFonts w:ascii="Verdana" w:hAnsi="Verdana"/>
        </w:rPr>
        <w:t xml:space="preserve"> Instagram: </w:t>
      </w:r>
      <w:r w:rsidRPr="006B33D3">
        <w:rPr>
          <w:rStyle w:val="Hipervnculo"/>
          <w:rFonts w:ascii="Verdana" w:hAnsi="Verdana"/>
        </w:rPr>
        <w:t>@colombiacompraeficiente_cce</w:t>
      </w:r>
    </w:p>
    <w:p w14:paraId="0EEFABEE" w14:textId="77777777" w:rsidR="009637A2" w:rsidRPr="006B33D3" w:rsidRDefault="009637A2" w:rsidP="009637A2">
      <w:pPr>
        <w:spacing w:after="0" w:line="240" w:lineRule="auto"/>
        <w:jc w:val="both"/>
        <w:rPr>
          <w:rFonts w:ascii="Verdana" w:hAnsi="Verdana"/>
        </w:rPr>
      </w:pPr>
    </w:p>
    <w:p w14:paraId="1BA3778B" w14:textId="77777777" w:rsidR="009637A2" w:rsidRPr="006B33D3" w:rsidRDefault="009637A2" w:rsidP="009637A2">
      <w:pPr>
        <w:spacing w:after="0" w:line="256" w:lineRule="auto"/>
        <w:jc w:val="both"/>
        <w:rPr>
          <w:rFonts w:ascii="Verdana" w:eastAsia="Calibri" w:hAnsi="Verdana" w:cs="Times New Roman"/>
          <w:bCs/>
          <w:lang w:val="es-ES_tradnl"/>
        </w:rPr>
      </w:pPr>
      <w:r w:rsidRPr="006B33D3">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92DDE2B" w14:textId="77777777" w:rsidR="009637A2" w:rsidRPr="006B33D3" w:rsidRDefault="009637A2" w:rsidP="009637A2">
      <w:pPr>
        <w:widowControl w:val="0"/>
        <w:autoSpaceDE w:val="0"/>
        <w:autoSpaceDN w:val="0"/>
        <w:spacing w:after="0" w:line="276" w:lineRule="auto"/>
        <w:jc w:val="both"/>
        <w:rPr>
          <w:rFonts w:ascii="Verdana" w:hAnsi="Verdana" w:cs="Arial"/>
          <w:lang w:val="es-ES_tradnl"/>
        </w:rPr>
      </w:pPr>
    </w:p>
    <w:p w14:paraId="1FB10D30" w14:textId="77777777" w:rsidR="009637A2" w:rsidRPr="006B33D3" w:rsidRDefault="009637A2" w:rsidP="009637A2">
      <w:pPr>
        <w:spacing w:after="0" w:line="240" w:lineRule="auto"/>
        <w:rPr>
          <w:rFonts w:ascii="Verdana" w:hAnsi="Verdana" w:cs="Arial"/>
          <w:lang w:eastAsia="es-CO"/>
        </w:rPr>
      </w:pPr>
      <w:r w:rsidRPr="006B33D3">
        <w:rPr>
          <w:rFonts w:ascii="Verdana" w:eastAsia="Times New Roman" w:hAnsi="Verdana" w:cs="Arial"/>
          <w:lang w:eastAsia="es-CO"/>
        </w:rPr>
        <w:t>Atentamente,</w:t>
      </w:r>
      <w:r w:rsidRPr="006B33D3">
        <w:rPr>
          <w:rFonts w:ascii="Verdana" w:hAnsi="Verdana" w:cs="Arial"/>
          <w:lang w:eastAsia="es-CO"/>
        </w:rPr>
        <w:t xml:space="preserve"> </w:t>
      </w:r>
    </w:p>
    <w:p w14:paraId="66539DB0" w14:textId="1086703D" w:rsidR="009637A2" w:rsidRPr="006B33D3" w:rsidRDefault="009637A2" w:rsidP="009637A2">
      <w:pPr>
        <w:spacing w:after="0" w:line="240" w:lineRule="auto"/>
        <w:textAlignment w:val="baseline"/>
        <w:rPr>
          <w:rFonts w:ascii="Verdana" w:eastAsia="Verdana" w:hAnsi="Verdana" w:cs="Verdana"/>
          <w:lang w:eastAsia="es-CO"/>
        </w:rPr>
      </w:pPr>
    </w:p>
    <w:p w14:paraId="30D54C12" w14:textId="537F897F" w:rsidR="009637A2" w:rsidRPr="006B33D3" w:rsidRDefault="000A50E3" w:rsidP="009637A2">
      <w:pPr>
        <w:spacing w:after="0" w:line="240" w:lineRule="auto"/>
        <w:textAlignment w:val="baseline"/>
        <w:rPr>
          <w:rFonts w:ascii="Verdana" w:eastAsia="Verdana" w:hAnsi="Verdana" w:cs="Verdana"/>
          <w:lang w:eastAsia="es-CO"/>
        </w:rPr>
      </w:pPr>
      <w:r w:rsidRPr="000A50E3">
        <w:rPr>
          <w:rFonts w:ascii="Aptos" w:eastAsia="Aptos" w:hAnsi="Aptos" w:cs="Times New Roman"/>
          <w:noProof/>
          <w:kern w:val="2"/>
          <w14:ligatures w14:val="standardContextual"/>
        </w:rPr>
        <w:drawing>
          <wp:anchor distT="0" distB="0" distL="114300" distR="114300" simplePos="0" relativeHeight="251659264" behindDoc="1" locked="0" layoutInCell="1" allowOverlap="1" wp14:anchorId="428241C7" wp14:editId="3F3CFA4F">
            <wp:simplePos x="0" y="0"/>
            <wp:positionH relativeFrom="column">
              <wp:posOffset>1472565</wp:posOffset>
            </wp:positionH>
            <wp:positionV relativeFrom="paragraph">
              <wp:posOffset>141605</wp:posOffset>
            </wp:positionV>
            <wp:extent cx="2977515" cy="1120775"/>
            <wp:effectExtent l="0" t="0" r="0" b="3175"/>
            <wp:wrapSquare wrapText="bothSides"/>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7515" cy="1120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D40DEF" w14:textId="736A5807" w:rsidR="009637A2" w:rsidRPr="006B33D3" w:rsidRDefault="009637A2" w:rsidP="009637A2">
      <w:pPr>
        <w:spacing w:after="0" w:line="240" w:lineRule="auto"/>
        <w:textAlignment w:val="baseline"/>
        <w:rPr>
          <w:rFonts w:ascii="Verdana" w:eastAsia="Verdana" w:hAnsi="Verdana" w:cs="Verdana"/>
          <w:lang w:eastAsia="es-CO"/>
        </w:rPr>
      </w:pPr>
    </w:p>
    <w:p w14:paraId="3F273090" w14:textId="0F35FA9D" w:rsidR="009637A2" w:rsidRPr="006B33D3" w:rsidRDefault="009637A2" w:rsidP="009637A2">
      <w:pPr>
        <w:spacing w:after="0" w:line="240" w:lineRule="auto"/>
        <w:textAlignment w:val="baseline"/>
        <w:rPr>
          <w:rFonts w:ascii="Verdana" w:eastAsia="Verdana" w:hAnsi="Verdana" w:cs="Verdana"/>
          <w:lang w:eastAsia="es-CO"/>
        </w:rPr>
      </w:pPr>
    </w:p>
    <w:p w14:paraId="3DA60172" w14:textId="34F26E55" w:rsidR="009637A2" w:rsidRPr="006B33D3" w:rsidRDefault="009637A2" w:rsidP="009637A2">
      <w:pPr>
        <w:spacing w:after="0" w:line="256" w:lineRule="auto"/>
        <w:jc w:val="center"/>
        <w:rPr>
          <w:rFonts w:ascii="Century Gothic" w:eastAsia="Calibri" w:hAnsi="Century Gothic" w:cs="Times New Roman"/>
          <w:noProof/>
          <w:sz w:val="16"/>
          <w:szCs w:val="16"/>
        </w:rPr>
      </w:pPr>
    </w:p>
    <w:p w14:paraId="249240CB" w14:textId="77777777" w:rsidR="009637A2" w:rsidRDefault="009637A2" w:rsidP="009637A2">
      <w:pPr>
        <w:spacing w:after="0" w:line="256" w:lineRule="auto"/>
        <w:jc w:val="center"/>
        <w:rPr>
          <w:rFonts w:ascii="Century Gothic" w:eastAsia="Calibri" w:hAnsi="Century Gothic" w:cs="Times New Roman"/>
          <w:noProof/>
          <w:sz w:val="16"/>
          <w:szCs w:val="16"/>
        </w:rPr>
      </w:pPr>
    </w:p>
    <w:p w14:paraId="1F52180C" w14:textId="77777777" w:rsidR="000A50E3" w:rsidRDefault="000A50E3" w:rsidP="009637A2">
      <w:pPr>
        <w:spacing w:after="0" w:line="256" w:lineRule="auto"/>
        <w:jc w:val="center"/>
        <w:rPr>
          <w:rFonts w:ascii="Century Gothic" w:eastAsia="Calibri" w:hAnsi="Century Gothic" w:cs="Times New Roman"/>
          <w:noProof/>
          <w:sz w:val="16"/>
          <w:szCs w:val="16"/>
        </w:rPr>
      </w:pPr>
    </w:p>
    <w:p w14:paraId="7D9334EE" w14:textId="77777777" w:rsidR="000A50E3" w:rsidRDefault="000A50E3" w:rsidP="009637A2">
      <w:pPr>
        <w:spacing w:after="0" w:line="256" w:lineRule="auto"/>
        <w:jc w:val="center"/>
        <w:rPr>
          <w:rFonts w:ascii="Century Gothic" w:eastAsia="Calibri" w:hAnsi="Century Gothic" w:cs="Times New Roman"/>
          <w:noProof/>
          <w:sz w:val="16"/>
          <w:szCs w:val="16"/>
        </w:rPr>
      </w:pPr>
    </w:p>
    <w:p w14:paraId="48441347" w14:textId="77777777" w:rsidR="000A50E3" w:rsidRDefault="000A50E3" w:rsidP="009637A2">
      <w:pPr>
        <w:spacing w:after="0" w:line="256" w:lineRule="auto"/>
        <w:jc w:val="center"/>
        <w:rPr>
          <w:rFonts w:ascii="Century Gothic" w:eastAsia="Calibri" w:hAnsi="Century Gothic" w:cs="Times New Roman"/>
          <w:noProof/>
          <w:sz w:val="16"/>
          <w:szCs w:val="16"/>
        </w:rPr>
      </w:pPr>
    </w:p>
    <w:p w14:paraId="1DBDB51E" w14:textId="77777777" w:rsidR="000A50E3" w:rsidRDefault="000A50E3" w:rsidP="009637A2">
      <w:pPr>
        <w:spacing w:after="0" w:line="256" w:lineRule="auto"/>
        <w:jc w:val="center"/>
        <w:rPr>
          <w:rFonts w:ascii="Century Gothic" w:eastAsia="Calibri" w:hAnsi="Century Gothic" w:cs="Times New Roman"/>
          <w:noProof/>
          <w:sz w:val="16"/>
          <w:szCs w:val="16"/>
        </w:rPr>
      </w:pPr>
    </w:p>
    <w:p w14:paraId="4FBFAD64" w14:textId="77777777" w:rsidR="000A50E3" w:rsidRPr="006B33D3" w:rsidRDefault="000A50E3" w:rsidP="009637A2">
      <w:pPr>
        <w:spacing w:after="0" w:line="256" w:lineRule="auto"/>
        <w:jc w:val="center"/>
        <w:rPr>
          <w:rFonts w:ascii="Century Gothic" w:eastAsia="Calibri" w:hAnsi="Century Gothic" w:cs="Times New Roman"/>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637A2" w:rsidRPr="006B33D3" w14:paraId="22F1FF4F" w14:textId="77777777" w:rsidTr="00672DA8">
        <w:trPr>
          <w:trHeight w:val="409"/>
        </w:trPr>
        <w:tc>
          <w:tcPr>
            <w:tcW w:w="817" w:type="dxa"/>
            <w:tcBorders>
              <w:top w:val="nil"/>
              <w:left w:val="nil"/>
              <w:bottom w:val="nil"/>
              <w:right w:val="nil"/>
            </w:tcBorders>
            <w:vAlign w:val="center"/>
            <w:hideMark/>
          </w:tcPr>
          <w:p w14:paraId="19CC5F13"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50681FA3"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José Luis Sánchez Cardona</w:t>
            </w:r>
          </w:p>
          <w:p w14:paraId="459291D9"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Contratista de la Subdirección de Gestión Contractual</w:t>
            </w:r>
          </w:p>
        </w:tc>
      </w:tr>
      <w:tr w:rsidR="009637A2" w:rsidRPr="006B33D3" w14:paraId="30773A50" w14:textId="77777777" w:rsidTr="00672DA8">
        <w:trPr>
          <w:trHeight w:val="409"/>
        </w:trPr>
        <w:tc>
          <w:tcPr>
            <w:tcW w:w="817" w:type="dxa"/>
            <w:tcBorders>
              <w:top w:val="nil"/>
              <w:left w:val="nil"/>
              <w:bottom w:val="nil"/>
              <w:right w:val="nil"/>
            </w:tcBorders>
            <w:vAlign w:val="center"/>
            <w:hideMark/>
          </w:tcPr>
          <w:p w14:paraId="38DC4C7F"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766F72F5"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Alejandro R. Sarmiento Cantillo</w:t>
            </w:r>
          </w:p>
          <w:p w14:paraId="2C9A2481"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Gestor T1-15 de la Subdirección de Gestión Contractual </w:t>
            </w:r>
          </w:p>
        </w:tc>
      </w:tr>
      <w:tr w:rsidR="009637A2" w:rsidRPr="00E64A0F" w14:paraId="57A9F653" w14:textId="77777777" w:rsidTr="00672DA8">
        <w:trPr>
          <w:trHeight w:val="389"/>
        </w:trPr>
        <w:tc>
          <w:tcPr>
            <w:tcW w:w="817" w:type="dxa"/>
            <w:tcBorders>
              <w:top w:val="nil"/>
              <w:left w:val="nil"/>
              <w:bottom w:val="nil"/>
              <w:right w:val="nil"/>
            </w:tcBorders>
            <w:vAlign w:val="center"/>
            <w:hideMark/>
          </w:tcPr>
          <w:p w14:paraId="6904D38B"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79347C72" w14:textId="77777777" w:rsidR="009637A2" w:rsidRPr="006B33D3"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William Javier Murcia Acevedo</w:t>
            </w:r>
          </w:p>
          <w:p w14:paraId="6D971267" w14:textId="77777777" w:rsidR="009637A2" w:rsidRPr="00E64A0F" w:rsidRDefault="009637A2" w:rsidP="00672DA8">
            <w:pPr>
              <w:spacing w:after="0" w:line="256" w:lineRule="auto"/>
              <w:rPr>
                <w:rFonts w:ascii="Verdana" w:eastAsia="Calibri" w:hAnsi="Verdana" w:cs="Times New Roman"/>
                <w:sz w:val="16"/>
                <w:szCs w:val="16"/>
              </w:rPr>
            </w:pPr>
            <w:r w:rsidRPr="006B33D3">
              <w:rPr>
                <w:rFonts w:ascii="Verdana" w:eastAsia="Calibri" w:hAnsi="Verdana" w:cs="Times New Roman"/>
                <w:sz w:val="16"/>
                <w:szCs w:val="16"/>
              </w:rPr>
              <w:t>Subdirector de Gestión Contractual ANCP – CCE (E)</w:t>
            </w:r>
            <w:r>
              <w:rPr>
                <w:rFonts w:ascii="Verdana" w:eastAsia="Calibri" w:hAnsi="Verdana" w:cs="Times New Roman"/>
                <w:sz w:val="16"/>
                <w:szCs w:val="16"/>
              </w:rPr>
              <w:t xml:space="preserve"> </w:t>
            </w:r>
          </w:p>
        </w:tc>
      </w:tr>
      <w:bookmarkEnd w:id="0"/>
    </w:tbl>
    <w:p w14:paraId="2E5BA033" w14:textId="77777777" w:rsidR="009637A2" w:rsidRPr="000E2B93" w:rsidRDefault="009637A2" w:rsidP="009637A2">
      <w:pPr>
        <w:spacing w:after="0" w:line="240" w:lineRule="auto"/>
        <w:textAlignment w:val="baseline"/>
        <w:rPr>
          <w:rFonts w:ascii="Verdana" w:eastAsia="Verdana" w:hAnsi="Verdana" w:cs="Verdana"/>
          <w:lang w:eastAsia="es-CO"/>
        </w:rPr>
      </w:pPr>
    </w:p>
    <w:p w14:paraId="0C1D9A66" w14:textId="77777777" w:rsidR="009637A2" w:rsidRPr="00933149" w:rsidRDefault="009637A2" w:rsidP="009637A2"/>
    <w:p w14:paraId="63B2E43D" w14:textId="77777777" w:rsidR="001635CD" w:rsidRPr="009637A2" w:rsidRDefault="001635CD" w:rsidP="009637A2"/>
    <w:sectPr w:rsidR="001635CD" w:rsidRPr="009637A2"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2C6D2" w14:textId="77777777" w:rsidR="00F82C60" w:rsidRDefault="00F82C60" w:rsidP="004A1847">
      <w:pPr>
        <w:spacing w:after="0" w:line="240" w:lineRule="auto"/>
      </w:pPr>
      <w:r>
        <w:separator/>
      </w:r>
    </w:p>
  </w:endnote>
  <w:endnote w:type="continuationSeparator" w:id="0">
    <w:p w14:paraId="5D59E197" w14:textId="77777777" w:rsidR="00F82C60" w:rsidRDefault="00F82C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Nova">
    <w:charset w:val="00"/>
    <w:family w:val="swiss"/>
    <w:pitch w:val="variable"/>
    <w:sig w:usb0="0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2FA85F4B"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816DA">
      <w:rPr>
        <w:rFonts w:ascii="Verdana" w:eastAsia="Times New Roman" w:hAnsi="Verdana" w:cs="Times New Roman"/>
        <w:b/>
        <w:bCs/>
        <w:sz w:val="16"/>
        <w:szCs w:val="16"/>
        <w:lang w:val="es-ES"/>
      </w:rPr>
      <w:t xml:space="preserve">pág. </w:t>
    </w:r>
    <w:r w:rsidRPr="003816D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816DA">
      <w:rPr>
        <w:rFonts w:ascii="Verdana" w:eastAsia="Times New Roman" w:hAnsi="Verdana"/>
        <w:b/>
        <w:bCs/>
        <w:sz w:val="16"/>
        <w:szCs w:val="16"/>
      </w:rPr>
      <w:fldChar w:fldCharType="separate"/>
    </w:r>
    <w:r w:rsidR="00751DE8" w:rsidRPr="003816DA">
      <w:rPr>
        <w:rFonts w:ascii="Verdana" w:eastAsia="Times New Roman" w:hAnsi="Verdana"/>
        <w:b/>
        <w:bCs/>
        <w:noProof/>
        <w:sz w:val="16"/>
        <w:szCs w:val="16"/>
      </w:rPr>
      <w:t>19</w:t>
    </w:r>
    <w:r w:rsidRPr="003816D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3A82D" w14:textId="77777777" w:rsidR="00F82C60" w:rsidRDefault="00F82C60" w:rsidP="004A1847">
      <w:pPr>
        <w:spacing w:after="0" w:line="240" w:lineRule="auto"/>
      </w:pPr>
      <w:r>
        <w:separator/>
      </w:r>
    </w:p>
  </w:footnote>
  <w:footnote w:type="continuationSeparator" w:id="0">
    <w:p w14:paraId="5D7903E6" w14:textId="77777777" w:rsidR="00F82C60" w:rsidRDefault="00F82C60" w:rsidP="004A1847">
      <w:pPr>
        <w:spacing w:after="0" w:line="240" w:lineRule="auto"/>
      </w:pPr>
      <w:r>
        <w:continuationSeparator/>
      </w:r>
    </w:p>
  </w:footnote>
  <w:footnote w:id="1">
    <w:p w14:paraId="772828B0" w14:textId="77777777" w:rsidR="009637A2" w:rsidRPr="00A874F7" w:rsidRDefault="009637A2" w:rsidP="009637A2">
      <w:pPr>
        <w:pStyle w:val="NormalWeb"/>
        <w:spacing w:before="0" w:beforeAutospacing="0" w:after="0" w:afterAutospacing="0"/>
        <w:ind w:firstLine="709"/>
        <w:contextualSpacing/>
        <w:jc w:val="both"/>
        <w:rPr>
          <w:rFonts w:ascii="Verdana" w:hAnsi="Verdana" w:cs="Arial"/>
          <w:color w:val="000000" w:themeColor="text1"/>
          <w:sz w:val="14"/>
          <w:szCs w:val="14"/>
        </w:rPr>
      </w:pPr>
      <w:r w:rsidRPr="00A874F7">
        <w:rPr>
          <w:rStyle w:val="Refdenotaalpie"/>
          <w:rFonts w:ascii="Verdana" w:hAnsi="Verdana" w:cs="Arial"/>
          <w:sz w:val="14"/>
          <w:szCs w:val="14"/>
        </w:rPr>
        <w:footnoteRef/>
      </w:r>
      <w:r w:rsidRPr="00A874F7">
        <w:rPr>
          <w:rFonts w:ascii="Verdana" w:hAnsi="Verdana" w:cs="Arial"/>
          <w:color w:val="000000" w:themeColor="text1"/>
          <w:sz w:val="14"/>
          <w:szCs w:val="14"/>
        </w:rPr>
        <w:t xml:space="preserve"> Ley 80 de 1993: “Artículo 13. De la normatividad aplicable a los contratos estatales. Los contratos que celebren las entidades a que se refiere el artículo </w:t>
      </w:r>
      <w:hyperlink r:id="rId1" w:anchor="2" w:history="1">
        <w:r w:rsidRPr="00A874F7">
          <w:rPr>
            <w:rStyle w:val="Hipervnculo"/>
            <w:rFonts w:ascii="Verdana" w:hAnsi="Verdana" w:cs="Arial"/>
            <w:color w:val="000000" w:themeColor="text1"/>
            <w:sz w:val="14"/>
            <w:szCs w:val="14"/>
          </w:rPr>
          <w:t>2</w:t>
        </w:r>
      </w:hyperlink>
      <w:r w:rsidRPr="00A874F7">
        <w:rPr>
          <w:rFonts w:ascii="Verdana" w:hAnsi="Verdana" w:cs="Arial"/>
          <w:color w:val="000000" w:themeColor="text1"/>
          <w:sz w:val="14"/>
          <w:szCs w:val="14"/>
        </w:rPr>
        <w:t>o. del presente estatuto se regirán por las disposiciones comerciales y civiles pertinentes, salvo en las materias particularmente reguladas en esta ley.</w:t>
      </w:r>
    </w:p>
    <w:p w14:paraId="5AADD4E2" w14:textId="77777777" w:rsidR="009637A2" w:rsidRPr="00A874F7" w:rsidRDefault="009637A2" w:rsidP="009637A2">
      <w:pPr>
        <w:pStyle w:val="NormalWeb"/>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color w:val="000000" w:themeColor="text1"/>
          <w:sz w:val="14"/>
          <w:szCs w:val="14"/>
        </w:rPr>
        <w:t>Los contratos celebrados en el exterior se podrán regir en su ejecución por las reglas del país en donde se hayan suscrito, a menos que deban cumplirse en Colombia.</w:t>
      </w:r>
    </w:p>
    <w:p w14:paraId="59CCC023" w14:textId="77777777" w:rsidR="009637A2" w:rsidRPr="00A874F7" w:rsidRDefault="009637A2" w:rsidP="009637A2">
      <w:pPr>
        <w:pStyle w:val="NormalWeb"/>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color w:val="000000" w:themeColor="text1"/>
          <w:sz w:val="14"/>
          <w:szCs w:val="14"/>
        </w:rPr>
        <w:t>Los contratos que se celebren en Colombia y deban ejecutarse o cumplirse en el extranjero, podrán someterse a la ley extranjera”.</w:t>
      </w:r>
    </w:p>
  </w:footnote>
  <w:footnote w:id="2">
    <w:p w14:paraId="0B8B33FA" w14:textId="77777777" w:rsidR="009637A2" w:rsidRPr="00A874F7" w:rsidRDefault="009637A2" w:rsidP="009637A2">
      <w:pPr>
        <w:pStyle w:val="Textonotapie"/>
        <w:ind w:firstLine="709"/>
        <w:contextualSpacing/>
        <w:jc w:val="both"/>
        <w:rPr>
          <w:rFonts w:ascii="Verdana" w:hAnsi="Verdana" w:cs="Arial"/>
          <w:color w:val="000000" w:themeColor="text1"/>
          <w:sz w:val="14"/>
          <w:szCs w:val="14"/>
          <w:lang w:val="es-ES_tradnl"/>
        </w:rPr>
      </w:pPr>
      <w:r w:rsidRPr="00A874F7">
        <w:rPr>
          <w:rStyle w:val="Refdenotaalpie"/>
          <w:rFonts w:ascii="Verdana" w:hAnsi="Verdana" w:cs="Arial"/>
          <w:sz w:val="14"/>
          <w:szCs w:val="14"/>
        </w:rPr>
        <w:footnoteRef/>
      </w:r>
      <w:r w:rsidRPr="00A874F7">
        <w:rPr>
          <w:rFonts w:ascii="Verdana" w:hAnsi="Verdana" w:cs="Arial"/>
          <w:color w:val="000000" w:themeColor="text1"/>
          <w:sz w:val="14"/>
          <w:szCs w:val="14"/>
        </w:rPr>
        <w:t xml:space="preserve"> Consejo de Estado. Sección Tercera, Subsección C. Sentencia del 26 de noviembre de 2015. </w:t>
      </w:r>
      <w:r w:rsidRPr="00A874F7">
        <w:rPr>
          <w:rFonts w:ascii="Verdana" w:hAnsi="Verdana" w:cs="Arial"/>
          <w:color w:val="000000" w:themeColor="text1"/>
          <w:sz w:val="14"/>
          <w:szCs w:val="14"/>
          <w:lang w:val="es-ES_tradnl"/>
        </w:rPr>
        <w:t xml:space="preserve">Exp. </w:t>
      </w:r>
      <w:r w:rsidRPr="00A874F7">
        <w:rPr>
          <w:rFonts w:ascii="Verdana" w:hAnsi="Verdana" w:cs="Arial"/>
          <w:color w:val="000000" w:themeColor="text1"/>
          <w:sz w:val="14"/>
          <w:szCs w:val="14"/>
          <w:lang w:val="es-CO"/>
        </w:rPr>
        <w:t xml:space="preserve">54.069. C.P Jaime Orlando Santofimio Gamboa. </w:t>
      </w:r>
    </w:p>
  </w:footnote>
  <w:footnote w:id="3">
    <w:p w14:paraId="7655BAA9" w14:textId="77777777" w:rsidR="009637A2" w:rsidRPr="00A874F7" w:rsidRDefault="009637A2" w:rsidP="009637A2">
      <w:pPr>
        <w:pStyle w:val="Textonotapie"/>
        <w:ind w:firstLine="709"/>
        <w:contextualSpacing/>
        <w:jc w:val="both"/>
        <w:rPr>
          <w:rFonts w:ascii="Verdana" w:hAnsi="Verdana" w:cs="Arial"/>
          <w:color w:val="000000" w:themeColor="text1"/>
          <w:sz w:val="14"/>
          <w:szCs w:val="14"/>
          <w:lang w:eastAsia="es-CO"/>
        </w:rPr>
      </w:pPr>
      <w:r w:rsidRPr="00A874F7">
        <w:rPr>
          <w:rStyle w:val="Refdenotaalpie"/>
          <w:rFonts w:ascii="Verdana" w:hAnsi="Verdana" w:cs="Arial"/>
          <w:sz w:val="14"/>
          <w:szCs w:val="14"/>
        </w:rPr>
        <w:footnoteRef/>
      </w:r>
      <w:r w:rsidRPr="00A874F7">
        <w:rPr>
          <w:rFonts w:ascii="Verdana" w:hAnsi="Verdana" w:cs="Arial"/>
          <w:color w:val="000000" w:themeColor="text1"/>
          <w:sz w:val="14"/>
          <w:szCs w:val="14"/>
        </w:rPr>
        <w:t xml:space="preserve"> </w:t>
      </w:r>
      <w:r w:rsidRPr="00A874F7">
        <w:rPr>
          <w:rFonts w:ascii="Verdana" w:hAnsi="Verdana" w:cs="Arial"/>
          <w:color w:val="000000" w:themeColor="text1"/>
          <w:sz w:val="14"/>
          <w:szCs w:val="14"/>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4">
    <w:p w14:paraId="51E6D21D" w14:textId="77777777" w:rsidR="009637A2" w:rsidRPr="00A874F7" w:rsidRDefault="009637A2" w:rsidP="009637A2">
      <w:pPr>
        <w:pStyle w:val="Textonotapie"/>
        <w:ind w:firstLine="709"/>
        <w:contextualSpacing/>
        <w:jc w:val="both"/>
        <w:rPr>
          <w:rFonts w:ascii="Verdana" w:hAnsi="Verdana" w:cs="Arial"/>
          <w:color w:val="000000" w:themeColor="text1"/>
          <w:sz w:val="14"/>
          <w:szCs w:val="14"/>
          <w:lang w:val="es-CO"/>
        </w:rPr>
      </w:pPr>
      <w:r w:rsidRPr="00A874F7">
        <w:rPr>
          <w:rStyle w:val="Refdenotaalpie"/>
          <w:rFonts w:ascii="Verdana" w:hAnsi="Verdana" w:cs="Arial"/>
          <w:sz w:val="14"/>
          <w:szCs w:val="14"/>
        </w:rPr>
        <w:footnoteRef/>
      </w:r>
      <w:r w:rsidRPr="00A874F7">
        <w:rPr>
          <w:rFonts w:ascii="Verdana" w:hAnsi="Verdana" w:cs="Arial"/>
          <w:color w:val="000000" w:themeColor="text1"/>
          <w:sz w:val="14"/>
          <w:szCs w:val="14"/>
          <w:lang w:val="es-CO"/>
        </w:rPr>
        <w:t xml:space="preserve"> FIGUEROA U. Organismos internacionales. 2ª edición. Santiago de Chile: Editorial RIL editores, 2010.</w:t>
      </w:r>
    </w:p>
  </w:footnote>
  <w:footnote w:id="5">
    <w:p w14:paraId="1F1791F5" w14:textId="77777777" w:rsidR="009637A2" w:rsidRPr="00A874F7" w:rsidRDefault="009637A2" w:rsidP="009637A2">
      <w:pPr>
        <w:pStyle w:val="NormalWeb"/>
        <w:shd w:val="clear" w:color="auto" w:fill="FFFFFF"/>
        <w:spacing w:before="0" w:beforeAutospacing="0" w:after="0" w:afterAutospacing="0"/>
        <w:ind w:firstLine="709"/>
        <w:contextualSpacing/>
        <w:jc w:val="both"/>
        <w:rPr>
          <w:rFonts w:ascii="Verdana" w:hAnsi="Verdana" w:cs="Arial"/>
          <w:color w:val="000000" w:themeColor="text1"/>
          <w:sz w:val="14"/>
          <w:szCs w:val="14"/>
        </w:rPr>
      </w:pPr>
      <w:r w:rsidRPr="00A874F7">
        <w:rPr>
          <w:rStyle w:val="Refdenotaalpie"/>
          <w:rFonts w:ascii="Verdana" w:hAnsi="Verdana" w:cs="Arial"/>
          <w:sz w:val="14"/>
          <w:szCs w:val="14"/>
        </w:rPr>
        <w:footnoteRef/>
      </w:r>
      <w:r w:rsidRPr="00A874F7">
        <w:rPr>
          <w:rFonts w:ascii="Verdana" w:hAnsi="Verdana" w:cs="Arial"/>
          <w:color w:val="000000" w:themeColor="text1"/>
          <w:sz w:val="14"/>
          <w:szCs w:val="14"/>
        </w:rPr>
        <w:t xml:space="preserve"> Decreto 1082 de 2015. “Artículo </w:t>
      </w:r>
      <w:r w:rsidRPr="00A874F7">
        <w:rPr>
          <w:rStyle w:val="Fuerte"/>
          <w:rFonts w:ascii="Verdana" w:hAnsi="Verdana" w:cs="Arial"/>
          <w:b w:val="0"/>
          <w:bCs w:val="0"/>
          <w:color w:val="000000" w:themeColor="text1"/>
          <w:sz w:val="14"/>
          <w:szCs w:val="14"/>
        </w:rPr>
        <w:t>2.2.1.2.4.4.1.</w:t>
      </w:r>
      <w:r w:rsidRPr="00A874F7">
        <w:rPr>
          <w:rStyle w:val="Fuerte"/>
          <w:rFonts w:ascii="Verdana" w:hAnsi="Verdana" w:cs="Arial"/>
          <w:color w:val="000000" w:themeColor="text1"/>
          <w:sz w:val="14"/>
          <w:szCs w:val="14"/>
        </w:rPr>
        <w:t> </w:t>
      </w:r>
      <w:r w:rsidRPr="00A874F7">
        <w:rPr>
          <w:rStyle w:val="nfasis"/>
          <w:rFonts w:ascii="Verdana" w:hAnsi="Verdana" w:cs="Arial"/>
          <w:color w:val="000000" w:themeColor="text1"/>
          <w:sz w:val="14"/>
          <w:szCs w:val="14"/>
        </w:rPr>
        <w:t>Régimen aplicable a los contratos o convenios de cooperación Internacional. </w:t>
      </w:r>
      <w:r w:rsidRPr="00A874F7">
        <w:rPr>
          <w:rFonts w:ascii="Verdana" w:hAnsi="Verdana" w:cs="Arial"/>
          <w:color w:val="000000" w:themeColor="text1"/>
          <w:sz w:val="14"/>
          <w:szCs w:val="14"/>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66471B4D" w14:textId="77777777" w:rsidR="009637A2" w:rsidRPr="00A874F7" w:rsidRDefault="009637A2" w:rsidP="009637A2">
      <w:pPr>
        <w:pStyle w:val="NormalWeb"/>
        <w:shd w:val="clear" w:color="auto" w:fill="FFFFFF"/>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i/>
          <w:color w:val="000000" w:themeColor="text1"/>
          <w:sz w:val="14"/>
          <w:szCs w:val="14"/>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A874F7">
        <w:rPr>
          <w:rFonts w:ascii="Verdana" w:hAnsi="Verdana" w:cs="Arial"/>
          <w:color w:val="000000" w:themeColor="text1"/>
          <w:sz w:val="14"/>
          <w:szCs w:val="14"/>
        </w:rPr>
        <w:t>.</w:t>
      </w:r>
    </w:p>
    <w:p w14:paraId="50EF34C2" w14:textId="77777777" w:rsidR="009637A2" w:rsidRPr="00A874F7" w:rsidRDefault="009637A2" w:rsidP="009637A2">
      <w:pPr>
        <w:pStyle w:val="NormalWeb"/>
        <w:shd w:val="clear" w:color="auto" w:fill="FFFFFF"/>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color w:val="000000" w:themeColor="text1"/>
          <w:sz w:val="14"/>
          <w:szCs w:val="14"/>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03C7E3E0" w14:textId="77777777" w:rsidR="009637A2" w:rsidRPr="00A874F7" w:rsidRDefault="009637A2" w:rsidP="009637A2">
      <w:pPr>
        <w:pStyle w:val="NormalWeb"/>
        <w:shd w:val="clear" w:color="auto" w:fill="FFFFFF"/>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color w:val="000000" w:themeColor="text1"/>
          <w:sz w:val="14"/>
          <w:szCs w:val="14"/>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267DC358" w14:textId="77777777" w:rsidR="009637A2" w:rsidRPr="00A874F7" w:rsidRDefault="009637A2" w:rsidP="009637A2">
      <w:pPr>
        <w:pStyle w:val="NormalWeb"/>
        <w:shd w:val="clear" w:color="auto" w:fill="FFFFFF"/>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color w:val="000000" w:themeColor="text1"/>
          <w:sz w:val="14"/>
          <w:szCs w:val="14"/>
        </w:rPr>
        <w:t>Los contratos o convenios financiados con fondos de los organismos multilaterales de crédito, entes gubernamentales extranjeros o personas extranjeras de derecho público, así como aquellos a los que se refiere el inciso 2 del artículo 20 de la </w:t>
      </w:r>
      <w:r w:rsidRPr="00A874F7">
        <w:rPr>
          <w:rFonts w:ascii="Verdana" w:hAnsi="Verdana" w:cs="Arial"/>
          <w:sz w:val="14"/>
          <w:szCs w:val="14"/>
        </w:rPr>
        <w:t>Ley 1150 de 2007</w:t>
      </w:r>
      <w:r w:rsidRPr="00A874F7">
        <w:rPr>
          <w:rFonts w:ascii="Verdana" w:hAnsi="Verdana" w:cs="Arial"/>
          <w:color w:val="000000" w:themeColor="text1"/>
          <w:sz w:val="14"/>
          <w:szCs w:val="14"/>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r w:rsidRPr="00A874F7">
        <w:rPr>
          <w:rFonts w:ascii="Verdana" w:hAnsi="Verdana" w:cs="Arial"/>
          <w:sz w:val="14"/>
          <w:szCs w:val="14"/>
        </w:rPr>
        <w:t> Ley 1150 de 2007</w:t>
      </w:r>
      <w:r w:rsidRPr="00A874F7">
        <w:rPr>
          <w:rFonts w:ascii="Verdana" w:hAnsi="Verdana" w:cs="Arial"/>
          <w:color w:val="000000" w:themeColor="text1"/>
          <w:sz w:val="14"/>
          <w:szCs w:val="14"/>
        </w:rPr>
        <w:t>.</w:t>
      </w:r>
    </w:p>
    <w:p w14:paraId="41BBDEEF" w14:textId="77777777" w:rsidR="009637A2" w:rsidRPr="00A874F7" w:rsidRDefault="009637A2" w:rsidP="009637A2">
      <w:pPr>
        <w:pStyle w:val="NormalWeb"/>
        <w:shd w:val="clear" w:color="auto" w:fill="FFFFFF"/>
        <w:spacing w:before="0" w:beforeAutospacing="0" w:after="0" w:afterAutospacing="0"/>
        <w:ind w:firstLine="709"/>
        <w:contextualSpacing/>
        <w:jc w:val="both"/>
        <w:rPr>
          <w:rFonts w:ascii="Verdana" w:hAnsi="Verdana" w:cs="Arial"/>
          <w:color w:val="000000" w:themeColor="text1"/>
          <w:sz w:val="14"/>
          <w:szCs w:val="14"/>
        </w:rPr>
      </w:pPr>
      <w:r w:rsidRPr="00A874F7">
        <w:rPr>
          <w:rFonts w:ascii="Verdana" w:hAnsi="Verdana" w:cs="Arial"/>
          <w:color w:val="000000" w:themeColor="text1"/>
          <w:sz w:val="14"/>
          <w:szCs w:val="14"/>
        </w:rPr>
        <w:t>Los contratos con personas extranjeras de derecho público se deben celebrar y ejecutar según se acuerde entre las partes” (Énfasis fuera de texto).</w:t>
      </w:r>
    </w:p>
  </w:footnote>
  <w:footnote w:id="6">
    <w:p w14:paraId="5F645A1A" w14:textId="77777777" w:rsidR="009637A2" w:rsidRPr="000579E6" w:rsidRDefault="009637A2" w:rsidP="009637A2">
      <w:pPr>
        <w:pStyle w:val="Textonotapie"/>
        <w:ind w:firstLine="709"/>
        <w:jc w:val="both"/>
        <w:rPr>
          <w:rFonts w:ascii="Verdana" w:hAnsi="Verdana"/>
          <w:sz w:val="14"/>
          <w:szCs w:val="14"/>
          <w:lang w:val="es-ES"/>
        </w:rPr>
      </w:pPr>
      <w:r w:rsidRPr="000579E6">
        <w:rPr>
          <w:rStyle w:val="Refdenotaalpie"/>
          <w:rFonts w:ascii="Verdana" w:hAnsi="Verdana"/>
          <w:sz w:val="14"/>
          <w:szCs w:val="14"/>
        </w:rPr>
        <w:footnoteRef/>
      </w:r>
      <w:r w:rsidRPr="000579E6">
        <w:rPr>
          <w:rFonts w:ascii="Verdana" w:hAnsi="Verdana"/>
          <w:sz w:val="14"/>
          <w:szCs w:val="14"/>
        </w:rPr>
        <w:t xml:space="preserve"> </w:t>
      </w:r>
      <w:r w:rsidRPr="000579E6">
        <w:rPr>
          <w:rFonts w:ascii="Verdana" w:hAnsi="Verdana" w:cs="Arial"/>
          <w:sz w:val="14"/>
          <w:szCs w:val="14"/>
        </w:rPr>
        <w:t>De hecho, así lo establece la memoria justificativa del proyecto de decreto cuyo numeral 3.2 “Vigencia de la ley o norma reglamentada o desarrollada”, señala que “Con el presente proyecto de Decreto se desarrolla la Ley 1955 de 2019 Plan Nacional de Desarrollo (PND) 2018-2022 “Pacto por Colombia, Pacto por la Equidad”, la cual se encuentra vigente desde el 25 de mayo de 2020”.</w:t>
      </w:r>
    </w:p>
  </w:footnote>
  <w:footnote w:id="7">
    <w:p w14:paraId="27E18B23" w14:textId="77777777" w:rsidR="009637A2" w:rsidRPr="000579E6" w:rsidRDefault="009637A2" w:rsidP="009637A2">
      <w:pPr>
        <w:pStyle w:val="Textonotapie"/>
        <w:ind w:firstLine="708"/>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Cfr. </w:t>
      </w:r>
      <w:hyperlink r:id="rId2" w:history="1">
        <w:r w:rsidRPr="000579E6">
          <w:rPr>
            <w:rStyle w:val="Hipervnculo"/>
            <w:rFonts w:ascii="Verdana" w:hAnsi="Verdana" w:cs="Arial"/>
            <w:sz w:val="14"/>
            <w:szCs w:val="14"/>
          </w:rPr>
          <w:t>https://colaboracion.dnp.gov.co/CDT/portalDNP/PND-2023/PND_2018-2022/pdf/bases-pnd-2018-2022.pdf</w:t>
        </w:r>
      </w:hyperlink>
      <w:r w:rsidRPr="000579E6">
        <w:rPr>
          <w:rFonts w:ascii="Verdana" w:hAnsi="Verdana" w:cs="Arial"/>
          <w:sz w:val="14"/>
          <w:szCs w:val="14"/>
        </w:rPr>
        <w:t xml:space="preserve">. </w:t>
      </w:r>
    </w:p>
    <w:p w14:paraId="12A38294" w14:textId="77777777" w:rsidR="009637A2" w:rsidRPr="000579E6" w:rsidRDefault="009637A2" w:rsidP="009637A2">
      <w:pPr>
        <w:pStyle w:val="Textonotapie"/>
        <w:ind w:firstLine="708"/>
        <w:jc w:val="both"/>
        <w:rPr>
          <w:rFonts w:ascii="Verdana" w:hAnsi="Verdana" w:cs="Arial"/>
          <w:sz w:val="14"/>
          <w:szCs w:val="14"/>
        </w:rPr>
      </w:pPr>
      <w:r w:rsidRPr="000579E6">
        <w:rPr>
          <w:rFonts w:ascii="Verdana" w:hAnsi="Verdana" w:cs="Arial"/>
          <w:sz w:val="14"/>
          <w:szCs w:val="14"/>
        </w:rPr>
        <w:t>.</w:t>
      </w:r>
    </w:p>
  </w:footnote>
  <w:footnote w:id="8">
    <w:p w14:paraId="25D51879" w14:textId="77777777" w:rsidR="009637A2" w:rsidRPr="000579E6" w:rsidRDefault="009637A2" w:rsidP="009637A2">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Gerencia de Recursos Físicos y Financieros. Programa Administración pública territorial. Escuela Superior de Administración Pública. Bogotá. 2008. Pág. 22.</w:t>
      </w:r>
    </w:p>
  </w:footnote>
  <w:footnote w:id="9">
    <w:p w14:paraId="7B188FFA" w14:textId="77777777" w:rsidR="009637A2" w:rsidRPr="000579E6" w:rsidRDefault="009637A2" w:rsidP="009637A2">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ROMERO </w:t>
      </w:r>
      <w:r w:rsidRPr="000579E6">
        <w:rPr>
          <w:rFonts w:ascii="Verdana" w:hAnsi="Verdana" w:cs="Arial"/>
          <w:sz w:val="14"/>
          <w:szCs w:val="14"/>
        </w:rPr>
        <w:t xml:space="preserve">ROMERO, Enrique. </w:t>
      </w:r>
      <w:r w:rsidRPr="000579E6">
        <w:rPr>
          <w:rFonts w:ascii="Verdana" w:hAnsi="Verdana" w:cs="Arial"/>
          <w:i/>
          <w:sz w:val="14"/>
          <w:szCs w:val="14"/>
        </w:rPr>
        <w:t xml:space="preserve">Presupuesto Público y Contabilidad Gubernamental.ECOE ediciones. </w:t>
      </w:r>
      <w:r w:rsidRPr="000579E6">
        <w:rPr>
          <w:rFonts w:ascii="Verdana" w:hAnsi="Verdana" w:cs="Arial"/>
          <w:sz w:val="14"/>
          <w:szCs w:val="14"/>
        </w:rPr>
        <w:t xml:space="preserve">Quinta Edición. Bogotá. 2013. </w:t>
      </w:r>
    </w:p>
  </w:footnote>
  <w:footnote w:id="10">
    <w:p w14:paraId="78586899" w14:textId="77777777" w:rsidR="009637A2" w:rsidRPr="000579E6" w:rsidRDefault="009637A2" w:rsidP="009637A2">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27. Los ingresos corrientes se clasificarán en tributarios y no tributarios. Los ingresos tributarios se subclasificarán en impuestos directos e indirectos, y los ingresos no tributarios comprenderán las tasas y las multas (L. 38/89, art. 20; L. 179/94, art. 55, inc. 10, y arts. 67 y 71).</w:t>
      </w:r>
    </w:p>
  </w:footnote>
  <w:footnote w:id="11">
    <w:p w14:paraId="72B19C4E" w14:textId="77777777" w:rsidR="009637A2" w:rsidRPr="000579E6" w:rsidRDefault="009637A2" w:rsidP="009637A2">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RESTREPO, Juan Camilo. </w:t>
      </w:r>
      <w:r w:rsidRPr="000579E6">
        <w:rPr>
          <w:rFonts w:ascii="Verdana" w:hAnsi="Verdana" w:cs="Arial"/>
          <w:i/>
          <w:sz w:val="14"/>
          <w:szCs w:val="14"/>
        </w:rPr>
        <w:t>Hacienda Pública.</w:t>
      </w:r>
      <w:r w:rsidRPr="000579E6">
        <w:rPr>
          <w:rFonts w:ascii="Verdana" w:hAnsi="Verdana" w:cs="Arial"/>
          <w:sz w:val="14"/>
          <w:szCs w:val="14"/>
        </w:rPr>
        <w:t xml:space="preserve"> Ed. Universidad Externado de Colombia. Decimo primera Edición. Bogotá. 2020. </w:t>
      </w:r>
    </w:p>
  </w:footnote>
  <w:footnote w:id="12">
    <w:p w14:paraId="22C65DBD" w14:textId="77777777" w:rsidR="009637A2" w:rsidRPr="000579E6" w:rsidRDefault="009637A2" w:rsidP="009637A2">
      <w:pPr>
        <w:pStyle w:val="Textonotapie"/>
        <w:ind w:firstLine="709"/>
        <w:jc w:val="both"/>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mismo que los rendimientos y excedentes financieros que resulten al cierre del ejercicio contable.</w:t>
      </w:r>
    </w:p>
    <w:p w14:paraId="2F06E9D0" w14:textId="77777777" w:rsidR="009637A2" w:rsidRPr="000579E6" w:rsidRDefault="009637A2" w:rsidP="009637A2">
      <w:pPr>
        <w:pStyle w:val="Textonotapie"/>
        <w:ind w:firstLine="709"/>
        <w:jc w:val="both"/>
        <w:rPr>
          <w:rFonts w:ascii="Verdana" w:hAnsi="Verdana" w:cs="Arial"/>
          <w:sz w:val="14"/>
          <w:szCs w:val="14"/>
        </w:rPr>
      </w:pPr>
      <w:r w:rsidRPr="000579E6">
        <w:rPr>
          <w:rFonts w:ascii="Verdana" w:hAnsi="Verdana" w:cs="Arial"/>
          <w:sz w:val="14"/>
          <w:szCs w:val="14"/>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 (L. 179/94, art. 12; L. 225/95, art. 2)”.</w:t>
      </w:r>
    </w:p>
  </w:footnote>
  <w:footnote w:id="13">
    <w:p w14:paraId="37449559" w14:textId="77777777" w:rsidR="009637A2" w:rsidRPr="000579E6" w:rsidRDefault="009637A2" w:rsidP="009637A2">
      <w:pPr>
        <w:pStyle w:val="Textonotapie"/>
        <w:ind w:firstLine="709"/>
        <w:jc w:val="both"/>
        <w:rPr>
          <w:rFonts w:ascii="Verdana" w:hAnsi="Verdana" w:cs="Arial"/>
          <w:i/>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w:t>
      </w:r>
      <w:r w:rsidRPr="000579E6">
        <w:rPr>
          <w:rFonts w:ascii="Verdana" w:hAnsi="Verdana" w:cs="Arial"/>
          <w:i/>
          <w:sz w:val="14"/>
          <w:szCs w:val="14"/>
        </w:rPr>
        <w:t xml:space="preserve">Ibíd. </w:t>
      </w:r>
    </w:p>
  </w:footnote>
  <w:footnote w:id="14">
    <w:p w14:paraId="5D22476E" w14:textId="77777777" w:rsidR="009637A2" w:rsidRPr="000579E6" w:rsidRDefault="009637A2" w:rsidP="009637A2">
      <w:pPr>
        <w:pStyle w:val="Textonotapie"/>
        <w:ind w:firstLine="708"/>
        <w:rPr>
          <w:rFonts w:ascii="Verdana" w:hAnsi="Verdana" w:cs="Arial"/>
          <w:sz w:val="14"/>
          <w:szCs w:val="14"/>
        </w:rPr>
      </w:pPr>
      <w:r w:rsidRPr="000579E6">
        <w:rPr>
          <w:rStyle w:val="Refdenotaalpie"/>
          <w:rFonts w:ascii="Verdana" w:hAnsi="Verdana" w:cs="Arial"/>
          <w:sz w:val="14"/>
          <w:szCs w:val="14"/>
        </w:rPr>
        <w:footnoteRef/>
      </w:r>
      <w:r w:rsidRPr="000579E6">
        <w:rPr>
          <w:rFonts w:ascii="Verdana" w:hAnsi="Verdana" w:cs="Arial"/>
          <w:sz w:val="14"/>
          <w:szCs w:val="14"/>
        </w:rPr>
        <w:t xml:space="preserve"> Artículo 27 del Decreto 111 de 1996. </w:t>
      </w:r>
    </w:p>
  </w:footnote>
  <w:footnote w:id="15">
    <w:p w14:paraId="071B2779" w14:textId="77777777" w:rsidR="009637A2" w:rsidRPr="000579E6" w:rsidRDefault="009637A2" w:rsidP="009637A2">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Disponible en:  </w:t>
      </w:r>
      <w:hyperlink r:id="rId3"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16">
    <w:p w14:paraId="37C5FEA3" w14:textId="77777777" w:rsidR="009637A2" w:rsidRPr="000579E6" w:rsidRDefault="009637A2" w:rsidP="009637A2">
      <w:pPr>
        <w:pStyle w:val="Textonotapie"/>
        <w:ind w:firstLine="709"/>
        <w:rPr>
          <w:rFonts w:ascii="Verdana" w:hAnsi="Verdana"/>
          <w:sz w:val="14"/>
          <w:szCs w:val="14"/>
          <w:lang w:val="pt-BR"/>
        </w:rPr>
      </w:pPr>
      <w:r w:rsidRPr="000579E6">
        <w:rPr>
          <w:rStyle w:val="Refdenotaalpie"/>
          <w:rFonts w:ascii="Verdana" w:hAnsi="Verdana"/>
          <w:sz w:val="14"/>
          <w:szCs w:val="14"/>
        </w:rPr>
        <w:footnoteRef/>
      </w:r>
      <w:r w:rsidRPr="000579E6">
        <w:rPr>
          <w:rFonts w:ascii="Verdana" w:hAnsi="Verdana"/>
          <w:sz w:val="14"/>
          <w:szCs w:val="14"/>
          <w:lang w:val="pt-BR"/>
        </w:rPr>
        <w:t xml:space="preserve"> Ibidem, pág. 6 pie de página.</w:t>
      </w:r>
    </w:p>
  </w:footnote>
  <w:footnote w:id="17">
    <w:p w14:paraId="41C6771A" w14:textId="77777777" w:rsidR="009637A2" w:rsidRPr="000579E6" w:rsidRDefault="009637A2" w:rsidP="009637A2">
      <w:pPr>
        <w:pStyle w:val="Textonotapie"/>
        <w:ind w:firstLine="709"/>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Disponible en: </w:t>
      </w:r>
      <w:hyperlink r:id="rId4" w:history="1">
        <w:r w:rsidRPr="000579E6">
          <w:rPr>
            <w:rStyle w:val="Hipervnculo"/>
            <w:rFonts w:ascii="Verdana" w:hAnsi="Verdana"/>
            <w:sz w:val="14"/>
            <w:szCs w:val="14"/>
          </w:rPr>
          <w:t>https://www.apccolombia.gov.co/sistema-nacional-de-cooperacion-internacional</w:t>
        </w:r>
      </w:hyperlink>
      <w:r w:rsidRPr="000579E6">
        <w:rPr>
          <w:rFonts w:ascii="Verdana" w:hAnsi="Verdana"/>
          <w:sz w:val="14"/>
          <w:szCs w:val="14"/>
        </w:rPr>
        <w:t xml:space="preserve"> </w:t>
      </w:r>
    </w:p>
  </w:footnote>
  <w:footnote w:id="18">
    <w:p w14:paraId="75D3E9A6" w14:textId="77777777" w:rsidR="009637A2" w:rsidRPr="000579E6" w:rsidRDefault="009637A2" w:rsidP="009637A2">
      <w:pPr>
        <w:pStyle w:val="Textonotapie"/>
        <w:ind w:firstLine="708"/>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Así lo señaló en respuesta la pregunta ¿Los recursos de cooperación internacional pueden ser recursos financieros, técnicos o en especie? Disponible en: </w:t>
      </w:r>
      <w:hyperlink r:id="rId5" w:history="1">
        <w:r w:rsidRPr="000579E6">
          <w:rPr>
            <w:rStyle w:val="Hipervnculo"/>
            <w:rFonts w:ascii="Verdana" w:hAnsi="Verdana"/>
            <w:sz w:val="14"/>
            <w:szCs w:val="14"/>
          </w:rPr>
          <w:t>https://apccolombia.gov.co/preguntas-frecuentes</w:t>
        </w:r>
      </w:hyperlink>
      <w:r w:rsidRPr="000579E6">
        <w:rPr>
          <w:rFonts w:ascii="Verdana" w:hAnsi="Verdana"/>
          <w:sz w:val="14"/>
          <w:szCs w:val="14"/>
        </w:rPr>
        <w:t xml:space="preserve"> </w:t>
      </w:r>
    </w:p>
  </w:footnote>
  <w:footnote w:id="19">
    <w:p w14:paraId="5DB770E6" w14:textId="77777777" w:rsidR="009637A2" w:rsidRPr="000579E6" w:rsidRDefault="009637A2" w:rsidP="009637A2">
      <w:pPr>
        <w:pStyle w:val="Textonotapie"/>
        <w:ind w:firstLine="709"/>
        <w:jc w:val="both"/>
        <w:rPr>
          <w:rFonts w:ascii="Verdana" w:hAnsi="Verdana"/>
          <w:sz w:val="14"/>
          <w:szCs w:val="14"/>
          <w:lang w:val="es-CO"/>
        </w:rPr>
      </w:pPr>
      <w:r w:rsidRPr="000579E6">
        <w:rPr>
          <w:rStyle w:val="Refdenotaalpie"/>
          <w:rFonts w:ascii="Verdana" w:hAnsi="Verdana"/>
          <w:sz w:val="14"/>
          <w:szCs w:val="14"/>
        </w:rPr>
        <w:footnoteRef/>
      </w:r>
      <w:r w:rsidRPr="000579E6">
        <w:rPr>
          <w:rFonts w:ascii="Verdana" w:hAnsi="Verdana"/>
          <w:sz w:val="14"/>
          <w:szCs w:val="14"/>
        </w:rPr>
        <w:t xml:space="preserve"> “Herramientas normativas de la cooperación internacional en Colombia” expedido por la Agencia Presidencial de Cooperación Internacional de Colombia, pág. 41. Disponible en: </w:t>
      </w:r>
      <w:hyperlink r:id="rId6" w:history="1">
        <w:r w:rsidRPr="000579E6">
          <w:rPr>
            <w:rStyle w:val="Hipervnculo"/>
            <w:rFonts w:ascii="Verdana" w:hAnsi="Verdana"/>
            <w:sz w:val="14"/>
            <w:szCs w:val="14"/>
          </w:rPr>
          <w:t>https://www.apccolombia.gov.co/comunicaciones/publicaciones/herramientas-normativas-de-la-cooperacion-internacional-en-colombia</w:t>
        </w:r>
      </w:hyperlink>
      <w:r w:rsidRPr="000579E6">
        <w:rPr>
          <w:rFonts w:ascii="Verdana" w:hAnsi="Verdana"/>
          <w:sz w:val="14"/>
          <w:szCs w:val="14"/>
        </w:rPr>
        <w:t xml:space="preserve"> </w:t>
      </w:r>
    </w:p>
  </w:footnote>
  <w:footnote w:id="20">
    <w:p w14:paraId="61732176" w14:textId="77777777" w:rsidR="009637A2" w:rsidRPr="00D55A2A" w:rsidRDefault="009637A2" w:rsidP="009637A2">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8D79A04" w14:textId="77777777" w:rsidR="009637A2" w:rsidRPr="00D55A2A" w:rsidRDefault="009637A2" w:rsidP="009637A2">
      <w:pPr>
        <w:pStyle w:val="Textonotapie"/>
        <w:ind w:firstLine="709"/>
        <w:jc w:val="both"/>
        <w:rPr>
          <w:rFonts w:ascii="Verdana" w:hAnsi="Verdana" w:cs="Arial"/>
          <w:color w:val="000000"/>
          <w:sz w:val="16"/>
          <w:szCs w:val="16"/>
          <w:lang w:val="es-ES"/>
        </w:rPr>
      </w:pPr>
      <w:r w:rsidRPr="00D55A2A">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21">
    <w:p w14:paraId="223C3F61" w14:textId="77777777" w:rsidR="009637A2" w:rsidRPr="00D55A2A" w:rsidRDefault="009637A2" w:rsidP="009637A2">
      <w:pPr>
        <w:pStyle w:val="Textonotapie"/>
        <w:ind w:firstLine="708"/>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Corte Constitucional. Sentencia C-154 de 1997. Magistrado Ponente: Hernando Herrera Vergara.</w:t>
      </w:r>
    </w:p>
  </w:footnote>
  <w:footnote w:id="22">
    <w:p w14:paraId="7C58415A" w14:textId="77777777" w:rsidR="009637A2" w:rsidRPr="00516BAD" w:rsidRDefault="009637A2" w:rsidP="009637A2">
      <w:pPr>
        <w:spacing w:after="0"/>
        <w:ind w:firstLine="708"/>
        <w:jc w:val="both"/>
        <w:rPr>
          <w:rFonts w:ascii="Verdana" w:eastAsia="Arial Nova" w:hAnsi="Verdana" w:cs="Arial"/>
          <w:sz w:val="16"/>
          <w:szCs w:val="16"/>
          <w:lang w:val="es"/>
        </w:rPr>
      </w:pPr>
      <w:r w:rsidRPr="00D55A2A">
        <w:rPr>
          <w:rStyle w:val="Refdenotaalpie"/>
          <w:rFonts w:ascii="Verdana" w:hAnsi="Verdana" w:cs="Arial"/>
          <w:sz w:val="16"/>
          <w:szCs w:val="16"/>
        </w:rPr>
        <w:footnoteRef/>
      </w:r>
      <w:r w:rsidRPr="00D55A2A">
        <w:rPr>
          <w:rFonts w:ascii="Verdana" w:hAnsi="Verdana" w:cs="Arial"/>
          <w:sz w:val="16"/>
          <w:szCs w:val="16"/>
        </w:rPr>
        <w:t xml:space="preserve"> </w:t>
      </w:r>
      <w:r w:rsidRPr="00D55A2A">
        <w:rPr>
          <w:rFonts w:ascii="Verdana" w:eastAsia="Arial Nova" w:hAnsi="Verdana" w:cs="Arial"/>
          <w:sz w:val="16"/>
          <w:szCs w:val="16"/>
          <w:lang w:val="es"/>
        </w:rPr>
        <w:t xml:space="preserve">Corte Constitucional. Sentencia C-614 de 2009. M.P. Jorge Ignacio Pretelt Chaljub. </w:t>
      </w:r>
    </w:p>
  </w:footnote>
  <w:footnote w:id="23">
    <w:p w14:paraId="60D02715" w14:textId="77777777" w:rsidR="009637A2" w:rsidRPr="00516BAD" w:rsidRDefault="009637A2" w:rsidP="009637A2">
      <w:pPr>
        <w:pStyle w:val="Textonotapie"/>
        <w:ind w:firstLine="708"/>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Corte Constitucional. Sentencia C-154 de 1997. Magistrado Ponente: Hernando Herrera Vergara.</w:t>
      </w:r>
    </w:p>
  </w:footnote>
  <w:footnote w:id="24">
    <w:p w14:paraId="2C78478B" w14:textId="77777777" w:rsidR="009637A2" w:rsidRPr="00D55A2A" w:rsidRDefault="009637A2" w:rsidP="009637A2">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D5D5D17" w14:textId="77777777" w:rsidR="009637A2" w:rsidRPr="00D55A2A" w:rsidRDefault="009637A2" w:rsidP="009637A2">
      <w:pPr>
        <w:pStyle w:val="Textonotapie"/>
        <w:ind w:firstLine="708"/>
        <w:rPr>
          <w:rFonts w:ascii="Verdana" w:hAnsi="Verdana"/>
          <w:sz w:val="16"/>
          <w:szCs w:val="16"/>
          <w:lang w:val="es-ES"/>
        </w:rPr>
      </w:pPr>
    </w:p>
  </w:footnote>
  <w:footnote w:id="25">
    <w:p w14:paraId="21C8FAAC" w14:textId="77777777" w:rsidR="009637A2" w:rsidRPr="00D55A2A" w:rsidRDefault="009637A2" w:rsidP="009637A2">
      <w:pPr>
        <w:pStyle w:val="Textonotapie"/>
        <w:ind w:firstLine="709"/>
        <w:jc w:val="both"/>
        <w:rPr>
          <w:rFonts w:ascii="Verdana" w:hAnsi="Verdana" w:cs="Arial"/>
          <w:color w:val="000000"/>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cs="Arial"/>
          <w:color w:val="000000"/>
          <w:sz w:val="16"/>
          <w:szCs w:val="16"/>
          <w:lang w:val="es-ES"/>
        </w:rPr>
        <w:t xml:space="preserve">Consejo de Estado. Sección Tercera. Subsección C. Sentencia del 2 de diciembre de 2013. </w:t>
      </w:r>
      <w:r w:rsidRPr="00D55A2A">
        <w:rPr>
          <w:rFonts w:ascii="Verdana" w:hAnsi="Verdana" w:cs="Arial"/>
          <w:color w:val="000000"/>
          <w:sz w:val="16"/>
          <w:szCs w:val="16"/>
          <w:lang w:val="es-ES"/>
        </w:rPr>
        <w:t>Exp. 41719. Consejero Ponente: Jaime Orlando Santofimio Gamboa.</w:t>
      </w:r>
    </w:p>
    <w:p w14:paraId="36455E9E" w14:textId="77777777" w:rsidR="009637A2" w:rsidRPr="00D55A2A" w:rsidRDefault="009637A2" w:rsidP="009637A2">
      <w:pPr>
        <w:pStyle w:val="Textonotapie"/>
        <w:ind w:firstLine="708"/>
        <w:rPr>
          <w:rFonts w:ascii="Verdana" w:hAnsi="Verdana"/>
          <w:sz w:val="16"/>
          <w:szCs w:val="16"/>
          <w:lang w:val="es-ES"/>
        </w:rPr>
      </w:pPr>
    </w:p>
  </w:footnote>
  <w:footnote w:id="26">
    <w:p w14:paraId="1E4BADD7" w14:textId="77777777" w:rsidR="009637A2" w:rsidRPr="00D55A2A" w:rsidRDefault="009637A2" w:rsidP="009637A2">
      <w:pPr>
        <w:pStyle w:val="Textonotapie"/>
        <w:ind w:firstLine="708"/>
        <w:rPr>
          <w:rFonts w:ascii="Verdana" w:hAnsi="Verdana"/>
          <w:sz w:val="16"/>
          <w:szCs w:val="16"/>
          <w:lang w:val="es-ES"/>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sz w:val="16"/>
          <w:szCs w:val="16"/>
        </w:rPr>
        <w:t xml:space="preserve">Ibíd. </w:t>
      </w:r>
    </w:p>
  </w:footnote>
  <w:footnote w:id="27">
    <w:p w14:paraId="5858CDCC" w14:textId="77777777" w:rsidR="009637A2" w:rsidRPr="00D55A2A" w:rsidRDefault="009637A2" w:rsidP="009637A2">
      <w:pPr>
        <w:pStyle w:val="Textonotapie"/>
        <w:ind w:firstLine="708"/>
        <w:rPr>
          <w:rFonts w:ascii="Verdana" w:hAnsi="Verdana"/>
          <w:sz w:val="16"/>
          <w:szCs w:val="16"/>
        </w:rPr>
      </w:pPr>
      <w:r w:rsidRPr="00D55A2A">
        <w:rPr>
          <w:rStyle w:val="Refdenotaalpie"/>
          <w:rFonts w:ascii="Verdana" w:hAnsi="Verdana"/>
          <w:sz w:val="16"/>
          <w:szCs w:val="16"/>
        </w:rPr>
        <w:footnoteRef/>
      </w:r>
      <w:r w:rsidRPr="00D55A2A">
        <w:rPr>
          <w:rFonts w:ascii="Verdana" w:hAnsi="Verdana"/>
          <w:sz w:val="16"/>
          <w:szCs w:val="16"/>
        </w:rPr>
        <w:t xml:space="preserve"> </w:t>
      </w:r>
      <w:r w:rsidRPr="00D55A2A">
        <w:rPr>
          <w:rFonts w:ascii="Verdana" w:hAnsi="Verdana"/>
          <w:sz w:val="16"/>
          <w:szCs w:val="16"/>
        </w:rPr>
        <w:t xml:space="preserve">Ibíd. </w:t>
      </w:r>
    </w:p>
    <w:p w14:paraId="61DBE9E4" w14:textId="77777777" w:rsidR="009637A2" w:rsidRPr="00D55A2A" w:rsidRDefault="009637A2" w:rsidP="009637A2">
      <w:pPr>
        <w:pStyle w:val="Textonotapie"/>
        <w:ind w:firstLine="708"/>
        <w:rPr>
          <w:rFonts w:ascii="Verdana" w:hAnsi="Verdana"/>
          <w:sz w:val="16"/>
          <w:szCs w:val="16"/>
          <w:lang w:val="es-ES"/>
        </w:rPr>
      </w:pPr>
    </w:p>
  </w:footnote>
  <w:footnote w:id="28">
    <w:p w14:paraId="4CA8C76A"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Style w:val="Refdenotaalpie"/>
          <w:rFonts w:ascii="Verdana" w:hAnsi="Verdana"/>
          <w:sz w:val="16"/>
          <w:szCs w:val="16"/>
        </w:rPr>
        <w:footnoteRef/>
      </w:r>
      <w:r w:rsidRPr="00CF4267">
        <w:rPr>
          <w:rFonts w:ascii="Verdana" w:hAnsi="Verdana"/>
          <w:sz w:val="16"/>
          <w:szCs w:val="16"/>
        </w:rPr>
        <w:t xml:space="preserve"> </w:t>
      </w:r>
      <w:r w:rsidRPr="00CF4267">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1F70374"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7C4C39BA"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w:t>
      </w:r>
      <w:r w:rsidRPr="00CF4267">
        <w:rPr>
          <w:rFonts w:ascii="Verdana" w:hAnsi="Verdana" w:cs="Arial"/>
          <w:color w:val="000000"/>
          <w:sz w:val="16"/>
          <w:szCs w:val="16"/>
          <w:lang w:val="es-ES"/>
        </w:rPr>
        <w:t xml:space="preserve">enmarcarse dentro de los términos del respectivo contrato”. </w:t>
      </w:r>
    </w:p>
    <w:p w14:paraId="134F8472" w14:textId="77777777" w:rsidR="009637A2" w:rsidRPr="00CF4267" w:rsidRDefault="009637A2" w:rsidP="009637A2">
      <w:pPr>
        <w:pStyle w:val="Textonotapie"/>
        <w:ind w:firstLine="708"/>
        <w:rPr>
          <w:rFonts w:ascii="Verdana" w:hAnsi="Verdana"/>
          <w:sz w:val="16"/>
          <w:szCs w:val="16"/>
          <w:lang w:val="es-ES"/>
        </w:rPr>
      </w:pPr>
    </w:p>
  </w:footnote>
  <w:footnote w:id="29">
    <w:p w14:paraId="6C98B4CC"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Style w:val="Refdenotaalpie"/>
          <w:rFonts w:ascii="Verdana" w:hAnsi="Verdana"/>
          <w:sz w:val="16"/>
          <w:szCs w:val="16"/>
        </w:rPr>
        <w:footnoteRef/>
      </w:r>
      <w:r w:rsidRPr="00CF4267">
        <w:rPr>
          <w:rFonts w:ascii="Verdana" w:hAnsi="Verdana"/>
          <w:sz w:val="16"/>
          <w:szCs w:val="16"/>
        </w:rPr>
        <w:t xml:space="preserve"> </w:t>
      </w:r>
      <w:r w:rsidRPr="00CF4267">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395CD678"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1. La causal que invoca para contratar directamente.</w:t>
      </w:r>
    </w:p>
    <w:p w14:paraId="399C83D9"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2. El objeto del contrato.</w:t>
      </w:r>
    </w:p>
    <w:p w14:paraId="447AF5E5"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3. El presupuesto para la contratación y las condiciones que exigirá al contratista.</w:t>
      </w:r>
    </w:p>
    <w:p w14:paraId="3C3838C5"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4. El lugar en el cual los interesados pueden consultar los estudios y documentos previos.</w:t>
      </w:r>
    </w:p>
    <w:p w14:paraId="53E6AA98"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32B5891" w14:textId="77777777" w:rsidR="009637A2" w:rsidRPr="00CF4267" w:rsidRDefault="009637A2" w:rsidP="009637A2">
      <w:pPr>
        <w:pStyle w:val="Textonotapie"/>
        <w:ind w:firstLine="708"/>
        <w:rPr>
          <w:rFonts w:ascii="Verdana" w:hAnsi="Verdana"/>
          <w:sz w:val="16"/>
          <w:szCs w:val="16"/>
          <w:lang w:val="es-ES"/>
        </w:rPr>
      </w:pPr>
    </w:p>
  </w:footnote>
  <w:footnote w:id="30">
    <w:p w14:paraId="40F19A3A"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Style w:val="Refdenotaalpie"/>
          <w:rFonts w:ascii="Verdana" w:hAnsi="Verdana"/>
          <w:sz w:val="16"/>
          <w:szCs w:val="16"/>
        </w:rPr>
        <w:footnoteRef/>
      </w:r>
      <w:r w:rsidRPr="00CF4267">
        <w:rPr>
          <w:rFonts w:ascii="Verdana" w:hAnsi="Verdana"/>
          <w:sz w:val="16"/>
          <w:szCs w:val="16"/>
        </w:rPr>
        <w:t xml:space="preserve"> </w:t>
      </w:r>
      <w:r w:rsidRPr="00CF4267">
        <w:rPr>
          <w:rFonts w:ascii="Verdana" w:hAnsi="Verdana" w:cs="Arial"/>
          <w:color w:val="000000"/>
          <w:sz w:val="16"/>
          <w:szCs w:val="16"/>
          <w:lang w:val="es-ES"/>
        </w:rPr>
        <w:t>Esta norma expresa: “</w:t>
      </w:r>
      <w:r w:rsidRPr="00CF4267">
        <w:rPr>
          <w:rFonts w:ascii="Verdana" w:hAnsi="Verdana" w:cs="Arial"/>
          <w:color w:val="000000"/>
          <w:sz w:val="16"/>
          <w:szCs w:val="16"/>
        </w:rPr>
        <w:t>P</w:t>
      </w:r>
      <w:r w:rsidRPr="00CF4267">
        <w:rPr>
          <w:rFonts w:ascii="Verdana" w:hAnsi="Verdana" w:cs="Arial"/>
          <w:color w:val="000000"/>
          <w:sz w:val="16"/>
          <w:szCs w:val="16"/>
          <w:lang w:val="es-ES"/>
        </w:rPr>
        <w:t>ara el cumplimiento de los fines de la contratación, las entidades estatales al celebrar un contrato:</w:t>
      </w:r>
    </w:p>
    <w:p w14:paraId="0FB67DF6"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w:t>
      </w:r>
    </w:p>
    <w:p w14:paraId="670B0681"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D056F49"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Las entidades estatales podrán pactar estas cláusulas en los contratos de suministro y de prestación de servicios.</w:t>
      </w:r>
    </w:p>
    <w:p w14:paraId="448B16FD"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w:t>
      </w:r>
    </w:p>
    <w:p w14:paraId="26FDCF17" w14:textId="77777777" w:rsidR="009637A2" w:rsidRPr="00CF4267" w:rsidRDefault="009637A2" w:rsidP="009637A2">
      <w:pPr>
        <w:pStyle w:val="Textonotapie"/>
        <w:ind w:firstLine="708"/>
        <w:rPr>
          <w:rFonts w:ascii="Verdana" w:hAnsi="Verdana"/>
          <w:sz w:val="16"/>
          <w:szCs w:val="16"/>
        </w:rPr>
      </w:pPr>
    </w:p>
  </w:footnote>
  <w:footnote w:id="31">
    <w:p w14:paraId="71FE5D66" w14:textId="77777777" w:rsidR="009637A2" w:rsidRPr="00CF4267" w:rsidRDefault="009637A2" w:rsidP="009637A2">
      <w:pPr>
        <w:pStyle w:val="Textonotapie"/>
        <w:ind w:firstLine="708"/>
        <w:rPr>
          <w:rFonts w:ascii="Verdana" w:hAnsi="Verdana" w:cs="Arial"/>
          <w:color w:val="000000"/>
          <w:sz w:val="16"/>
          <w:szCs w:val="16"/>
          <w:lang w:val="es-ES"/>
        </w:rPr>
      </w:pPr>
      <w:r w:rsidRPr="00CF4267">
        <w:rPr>
          <w:rStyle w:val="Refdenotaalpie"/>
          <w:rFonts w:ascii="Verdana" w:hAnsi="Verdana"/>
          <w:sz w:val="16"/>
          <w:szCs w:val="16"/>
        </w:rPr>
        <w:footnoteRef/>
      </w:r>
      <w:r w:rsidRPr="00CF4267">
        <w:rPr>
          <w:rFonts w:ascii="Verdana" w:hAnsi="Verdana"/>
          <w:sz w:val="16"/>
          <w:szCs w:val="16"/>
        </w:rPr>
        <w:t xml:space="preserve"> </w:t>
      </w:r>
      <w:r w:rsidRPr="00CF4267">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46520D29" w14:textId="77777777" w:rsidR="009637A2" w:rsidRPr="00CF4267" w:rsidRDefault="009637A2" w:rsidP="009637A2">
      <w:pPr>
        <w:pStyle w:val="Textonotapie"/>
        <w:ind w:firstLine="708"/>
        <w:rPr>
          <w:rFonts w:ascii="Verdana" w:hAnsi="Verdana"/>
          <w:sz w:val="16"/>
          <w:szCs w:val="16"/>
        </w:rPr>
      </w:pPr>
    </w:p>
  </w:footnote>
  <w:footnote w:id="32">
    <w:p w14:paraId="54CFC884" w14:textId="77777777" w:rsidR="009637A2" w:rsidRPr="00CF4267" w:rsidRDefault="009637A2" w:rsidP="009637A2">
      <w:pPr>
        <w:pStyle w:val="Textonotapie"/>
        <w:ind w:firstLine="709"/>
        <w:jc w:val="both"/>
        <w:rPr>
          <w:rFonts w:ascii="Verdana" w:hAnsi="Verdana" w:cs="Arial"/>
          <w:color w:val="000000"/>
          <w:sz w:val="16"/>
          <w:szCs w:val="16"/>
        </w:rPr>
      </w:pPr>
      <w:r w:rsidRPr="00CF4267">
        <w:rPr>
          <w:rStyle w:val="Refdenotaalpie"/>
          <w:rFonts w:ascii="Verdana" w:hAnsi="Verdana"/>
          <w:sz w:val="16"/>
          <w:szCs w:val="16"/>
        </w:rPr>
        <w:footnoteRef/>
      </w:r>
      <w:r w:rsidRPr="00CF4267">
        <w:rPr>
          <w:rFonts w:ascii="Verdana" w:hAnsi="Verdana"/>
          <w:sz w:val="16"/>
          <w:szCs w:val="16"/>
        </w:rPr>
        <w:t xml:space="preserve"> </w:t>
      </w:r>
      <w:r w:rsidRPr="00CF4267">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24C5C00" w14:textId="77777777" w:rsidR="009637A2" w:rsidRPr="00CF4267" w:rsidRDefault="009637A2" w:rsidP="009637A2">
      <w:pPr>
        <w:pStyle w:val="Textonotapie"/>
        <w:ind w:firstLine="709"/>
        <w:jc w:val="both"/>
        <w:rPr>
          <w:rFonts w:ascii="Verdana" w:hAnsi="Verdana" w:cs="Arial"/>
          <w:color w:val="000000"/>
          <w:sz w:val="16"/>
          <w:szCs w:val="16"/>
        </w:rPr>
      </w:pPr>
      <w:r w:rsidRPr="00CF4267">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67242FF" w14:textId="77777777" w:rsidR="009637A2" w:rsidRPr="00CF4267" w:rsidRDefault="009637A2" w:rsidP="009637A2">
      <w:pPr>
        <w:pStyle w:val="Textonotapie"/>
        <w:ind w:firstLine="709"/>
        <w:jc w:val="both"/>
        <w:rPr>
          <w:rFonts w:ascii="Verdana" w:hAnsi="Verdana" w:cs="Arial"/>
          <w:color w:val="000000"/>
          <w:sz w:val="16"/>
          <w:szCs w:val="16"/>
        </w:rPr>
      </w:pPr>
      <w:r w:rsidRPr="00CF4267">
        <w:rPr>
          <w:rFonts w:ascii="Verdana" w:hAnsi="Verdana" w:cs="Arial"/>
          <w:color w:val="000000"/>
          <w:sz w:val="16"/>
          <w:szCs w:val="16"/>
        </w:rPr>
        <w:t>[…]”.</w:t>
      </w:r>
    </w:p>
    <w:p w14:paraId="6880DFB1" w14:textId="77777777" w:rsidR="009637A2" w:rsidRPr="00CF4267" w:rsidRDefault="009637A2" w:rsidP="009637A2">
      <w:pPr>
        <w:pStyle w:val="Textonotapie"/>
        <w:ind w:firstLine="708"/>
        <w:rPr>
          <w:rFonts w:ascii="Verdana" w:hAnsi="Verdana"/>
          <w:sz w:val="16"/>
          <w:szCs w:val="16"/>
        </w:rPr>
      </w:pPr>
    </w:p>
  </w:footnote>
  <w:footnote w:id="33">
    <w:p w14:paraId="331265D7"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Style w:val="Refdenotaalpie"/>
          <w:rFonts w:ascii="Verdana" w:hAnsi="Verdana"/>
          <w:sz w:val="16"/>
          <w:szCs w:val="16"/>
        </w:rPr>
        <w:footnoteRef/>
      </w:r>
      <w:r w:rsidRPr="00CF4267">
        <w:rPr>
          <w:rFonts w:ascii="Verdana" w:hAnsi="Verdana"/>
          <w:sz w:val="16"/>
          <w:szCs w:val="16"/>
        </w:rPr>
        <w:t xml:space="preserve"> </w:t>
      </w:r>
      <w:r w:rsidRPr="00CF4267">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63D9A918" w14:textId="77777777" w:rsidR="009637A2" w:rsidRPr="00CF4267" w:rsidRDefault="009637A2" w:rsidP="009637A2">
      <w:pPr>
        <w:pStyle w:val="Textonotapie"/>
        <w:ind w:firstLine="708"/>
        <w:rPr>
          <w:rFonts w:ascii="Verdana" w:hAnsi="Verdana"/>
          <w:sz w:val="16"/>
          <w:szCs w:val="16"/>
          <w:lang w:val="es-ES"/>
        </w:rPr>
      </w:pPr>
    </w:p>
  </w:footnote>
  <w:footnote w:id="34">
    <w:p w14:paraId="3038DC34"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Style w:val="Refdenotaalpie"/>
          <w:rFonts w:ascii="Verdana" w:hAnsi="Verdana" w:cs="Arial"/>
          <w:sz w:val="16"/>
          <w:szCs w:val="16"/>
        </w:rPr>
        <w:footnoteRef/>
      </w:r>
      <w:r w:rsidRPr="00CF4267">
        <w:rPr>
          <w:rFonts w:ascii="Verdana" w:hAnsi="Verdana" w:cs="Arial"/>
          <w:color w:val="000000"/>
          <w:sz w:val="16"/>
          <w:szCs w:val="16"/>
        </w:rPr>
        <w:t xml:space="preserve"> Según este artículo: </w:t>
      </w:r>
      <w:r w:rsidRPr="00CF4267">
        <w:rPr>
          <w:rFonts w:ascii="Verdana" w:hAnsi="Verdana" w:cs="Arial"/>
          <w:color w:val="000000"/>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064929B"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7D59045E" w14:textId="77777777" w:rsidR="009637A2" w:rsidRPr="00CF4267" w:rsidRDefault="009637A2" w:rsidP="009637A2">
      <w:pPr>
        <w:pStyle w:val="Textonotapie"/>
        <w:ind w:firstLine="709"/>
        <w:jc w:val="both"/>
        <w:rPr>
          <w:rFonts w:ascii="Verdana" w:hAnsi="Verdana" w:cs="Arial"/>
          <w:color w:val="000000"/>
          <w:sz w:val="16"/>
          <w:szCs w:val="16"/>
          <w:lang w:val="es-ES"/>
        </w:rPr>
      </w:pPr>
      <w:r w:rsidRPr="00CF4267">
        <w:rPr>
          <w:rFonts w:ascii="Verdana" w:hAnsi="Verdana" w:cs="Arial"/>
          <w:color w:val="000000"/>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5B0995F7" w14:textId="77777777" w:rsidR="009637A2" w:rsidRPr="00CF4267" w:rsidRDefault="009637A2" w:rsidP="009637A2">
      <w:pPr>
        <w:pStyle w:val="Textonotapie"/>
        <w:ind w:firstLine="709"/>
        <w:jc w:val="both"/>
        <w:rPr>
          <w:rFonts w:ascii="Verdana" w:hAnsi="Verdana" w:cs="Arial"/>
          <w:color w:val="000000"/>
          <w:sz w:val="16"/>
          <w:szCs w:val="16"/>
          <w:lang w:val="es-ES"/>
        </w:rPr>
      </w:pPr>
    </w:p>
  </w:footnote>
  <w:footnote w:id="35">
    <w:p w14:paraId="19CAFC79" w14:textId="77777777" w:rsidR="009637A2" w:rsidRPr="00CF4267" w:rsidRDefault="009637A2" w:rsidP="009637A2">
      <w:pPr>
        <w:pStyle w:val="Textonotapie"/>
        <w:ind w:firstLine="708"/>
        <w:jc w:val="both"/>
        <w:rPr>
          <w:rFonts w:ascii="Verdana" w:hAnsi="Verdana" w:cs="Arial"/>
          <w:bCs/>
          <w:sz w:val="16"/>
          <w:szCs w:val="16"/>
          <w:shd w:val="clear" w:color="auto" w:fill="FFFFFF"/>
        </w:rPr>
      </w:pPr>
      <w:r w:rsidRPr="00CF4267">
        <w:rPr>
          <w:rStyle w:val="Refdenotaalpie"/>
          <w:rFonts w:ascii="Verdana" w:hAnsi="Verdana" w:cs="Arial"/>
          <w:sz w:val="16"/>
          <w:szCs w:val="16"/>
        </w:rPr>
        <w:footnoteRef/>
      </w:r>
      <w:r w:rsidRPr="00CF4267">
        <w:rPr>
          <w:rFonts w:ascii="Verdana" w:hAnsi="Verdana" w:cs="Arial"/>
          <w:sz w:val="16"/>
          <w:szCs w:val="16"/>
        </w:rPr>
        <w:t xml:space="preserve"> CONSEJO DE ESTADO. Sección Tercera. Subsección C. Sentencia de Unificación del 2 de diciembre de 2013. Radicado. </w:t>
      </w:r>
      <w:r w:rsidRPr="00CF4267">
        <w:rPr>
          <w:rFonts w:ascii="Verdana" w:hAnsi="Verdana" w:cs="Arial"/>
          <w:bCs/>
          <w:sz w:val="16"/>
          <w:szCs w:val="16"/>
          <w:shd w:val="clear" w:color="auto" w:fill="FFFFFF"/>
        </w:rPr>
        <w:t>11001-03-26-000-2011-00039-00(41719). Magistrado Ponente: Jaime Orlando Santofimio Gamboa.</w:t>
      </w:r>
    </w:p>
    <w:p w14:paraId="1B447C56" w14:textId="77777777" w:rsidR="009637A2" w:rsidRPr="00CF4267" w:rsidRDefault="009637A2" w:rsidP="009637A2">
      <w:pPr>
        <w:pStyle w:val="Textonotapie"/>
        <w:ind w:firstLine="708"/>
        <w:jc w:val="both"/>
        <w:rPr>
          <w:rFonts w:ascii="Verdana" w:hAnsi="Verdana" w:cs="Arial"/>
          <w:sz w:val="16"/>
          <w:szCs w:val="16"/>
          <w:lang w:val="es-ES"/>
        </w:rPr>
      </w:pPr>
    </w:p>
  </w:footnote>
  <w:footnote w:id="36">
    <w:p w14:paraId="2D62A292" w14:textId="77777777" w:rsidR="009637A2" w:rsidRPr="00CF4267" w:rsidRDefault="009637A2" w:rsidP="009637A2">
      <w:pPr>
        <w:pStyle w:val="Textonotapie"/>
        <w:ind w:firstLine="708"/>
        <w:jc w:val="both"/>
        <w:rPr>
          <w:rFonts w:ascii="Verdana" w:hAnsi="Verdana" w:cs="Arial"/>
          <w:sz w:val="16"/>
          <w:szCs w:val="16"/>
        </w:rPr>
      </w:pPr>
      <w:r w:rsidRPr="00CF4267">
        <w:rPr>
          <w:rStyle w:val="Refdenotaalpie"/>
          <w:rFonts w:ascii="Verdana" w:hAnsi="Verdana" w:cs="Arial"/>
          <w:sz w:val="16"/>
          <w:szCs w:val="16"/>
        </w:rPr>
        <w:footnoteRef/>
      </w:r>
      <w:r w:rsidRPr="00CF4267">
        <w:rPr>
          <w:rFonts w:ascii="Verdana" w:hAnsi="Verdana" w:cs="Arial"/>
          <w:sz w:val="16"/>
          <w:szCs w:val="16"/>
        </w:rPr>
        <w:t xml:space="preserve"> DÁVILA VINUEZA, Guillermo. Régimen jurídico de la contratación estatal. Bogotá: Legis, 2016. p. 849. </w:t>
      </w:r>
    </w:p>
    <w:p w14:paraId="3C037EC6" w14:textId="77777777" w:rsidR="009637A2" w:rsidRPr="00CF4267" w:rsidRDefault="009637A2" w:rsidP="009637A2">
      <w:pPr>
        <w:pStyle w:val="Textonotapie"/>
        <w:ind w:firstLine="708"/>
        <w:jc w:val="both"/>
        <w:rPr>
          <w:rFonts w:ascii="Verdana" w:hAnsi="Verdana" w:cs="Arial"/>
          <w:sz w:val="16"/>
          <w:szCs w:val="16"/>
          <w:lang w:val="es-ES"/>
        </w:rPr>
      </w:pPr>
    </w:p>
  </w:footnote>
  <w:footnote w:id="37">
    <w:p w14:paraId="6D23538F" w14:textId="77777777" w:rsidR="009637A2" w:rsidRPr="00CF4267" w:rsidRDefault="009637A2" w:rsidP="009637A2">
      <w:pPr>
        <w:pStyle w:val="Textonotapie"/>
        <w:ind w:firstLine="708"/>
        <w:jc w:val="both"/>
        <w:rPr>
          <w:rFonts w:ascii="Verdana" w:hAnsi="Verdana" w:cs="Arial"/>
          <w:sz w:val="16"/>
          <w:szCs w:val="16"/>
          <w:lang w:val="es-ES"/>
        </w:rPr>
      </w:pPr>
      <w:r w:rsidRPr="00CF4267">
        <w:rPr>
          <w:rStyle w:val="Refdenotaalpie"/>
          <w:rFonts w:ascii="Verdana" w:hAnsi="Verdana" w:cs="Arial"/>
          <w:sz w:val="16"/>
          <w:szCs w:val="16"/>
        </w:rPr>
        <w:footnoteRef/>
      </w:r>
      <w:r w:rsidRPr="00CF4267">
        <w:rPr>
          <w:rFonts w:ascii="Verdana" w:hAnsi="Verdana" w:cs="Arial"/>
          <w:sz w:val="16"/>
          <w:szCs w:val="16"/>
        </w:rPr>
        <w:t xml:space="preserve"> CONSEJO DE ESTADO. Sección Tercera. Subsección C. Sentencia del 25 de abril del 2012. Radicado.</w:t>
      </w:r>
      <w:r w:rsidRPr="00CF4267">
        <w:rPr>
          <w:rFonts w:ascii="Verdana" w:hAnsi="Verdana" w:cs="Arial"/>
          <w:bCs/>
          <w:sz w:val="16"/>
          <w:szCs w:val="16"/>
          <w:shd w:val="clear" w:color="auto" w:fill="FFFFFF"/>
        </w:rPr>
        <w:t xml:space="preserve"> </w:t>
      </w:r>
      <w:r w:rsidRPr="00CF4267">
        <w:rPr>
          <w:rFonts w:ascii="Verdana" w:eastAsia="Times New Roman" w:hAnsi="Verdana" w:cs="Arial"/>
          <w:sz w:val="16"/>
          <w:szCs w:val="16"/>
          <w:lang w:val="es-ES" w:eastAsia="es-ES"/>
        </w:rPr>
        <w:t>52001-23-31-000-2000-00173-01(22167)</w:t>
      </w:r>
      <w:r w:rsidRPr="00CF4267">
        <w:rPr>
          <w:rFonts w:ascii="Verdana" w:hAnsi="Verdana" w:cs="Arial"/>
          <w:bCs/>
          <w:sz w:val="16"/>
          <w:szCs w:val="16"/>
          <w:shd w:val="clear" w:color="auto" w:fill="FFFFFF"/>
        </w:rPr>
        <w:t>. Magistrado Ponente: Jaime Orlando Santofimio Gamboa.</w:t>
      </w:r>
    </w:p>
  </w:footnote>
  <w:footnote w:id="38">
    <w:p w14:paraId="7F4988C9" w14:textId="77777777" w:rsidR="009637A2" w:rsidRPr="00CF4267" w:rsidRDefault="009637A2" w:rsidP="009637A2">
      <w:pPr>
        <w:pStyle w:val="Textonotapie"/>
        <w:ind w:firstLine="708"/>
        <w:jc w:val="both"/>
        <w:rPr>
          <w:rFonts w:ascii="Verdana" w:hAnsi="Verdana" w:cs="Arial"/>
          <w:bCs/>
          <w:sz w:val="16"/>
          <w:szCs w:val="16"/>
          <w:shd w:val="clear" w:color="auto" w:fill="FFFFFF"/>
        </w:rPr>
      </w:pPr>
      <w:r w:rsidRPr="00CF4267">
        <w:rPr>
          <w:rStyle w:val="Refdenotaalpie"/>
          <w:rFonts w:ascii="Verdana" w:hAnsi="Verdana" w:cs="Arial"/>
          <w:sz w:val="16"/>
          <w:szCs w:val="16"/>
        </w:rPr>
        <w:footnoteRef/>
      </w:r>
      <w:r w:rsidRPr="00CF4267">
        <w:rPr>
          <w:rFonts w:ascii="Verdana" w:hAnsi="Verdana" w:cs="Arial"/>
          <w:sz w:val="16"/>
          <w:szCs w:val="16"/>
        </w:rPr>
        <w:t xml:space="preserve"> CONSEJO DE ESTADO. Sección Tercera. Subsección C. Sentencia del 2 de diciembre de 2013. Radicado. </w:t>
      </w:r>
      <w:r w:rsidRPr="00CF4267">
        <w:rPr>
          <w:rFonts w:ascii="Verdana" w:hAnsi="Verdana" w:cs="Arial"/>
          <w:bCs/>
          <w:sz w:val="16"/>
          <w:szCs w:val="16"/>
          <w:shd w:val="clear" w:color="auto" w:fill="FFFFFF"/>
        </w:rPr>
        <w:t xml:space="preserve">11001-03-26-000-2011-00039-00(41719). Magistrado Ponente: Jaime Orlando Santofimio Gamboa. </w:t>
      </w:r>
    </w:p>
    <w:p w14:paraId="43118054" w14:textId="77777777" w:rsidR="009637A2" w:rsidRPr="00CF4267" w:rsidRDefault="009637A2" w:rsidP="009637A2">
      <w:pPr>
        <w:pStyle w:val="Textonotapie"/>
        <w:ind w:firstLine="708"/>
        <w:jc w:val="both"/>
        <w:rPr>
          <w:rFonts w:ascii="Verdana" w:hAnsi="Verdana" w:cs="Arial"/>
          <w:sz w:val="16"/>
          <w:szCs w:val="16"/>
        </w:rPr>
      </w:pPr>
    </w:p>
  </w:footnote>
  <w:footnote w:id="39">
    <w:p w14:paraId="1174F35B" w14:textId="77777777" w:rsidR="009637A2" w:rsidRPr="00CF4267" w:rsidRDefault="009637A2" w:rsidP="009637A2">
      <w:pPr>
        <w:pStyle w:val="Textonotapie"/>
        <w:ind w:firstLine="708"/>
        <w:jc w:val="both"/>
        <w:rPr>
          <w:rFonts w:ascii="Verdana" w:eastAsia="Calibri" w:hAnsi="Verdana" w:cs="Arial"/>
          <w:sz w:val="16"/>
          <w:szCs w:val="16"/>
          <w:lang w:val="es-CO"/>
        </w:rPr>
      </w:pPr>
      <w:r w:rsidRPr="00CF4267">
        <w:rPr>
          <w:rStyle w:val="Refdenotaalpie"/>
          <w:rFonts w:ascii="Verdana" w:hAnsi="Verdana" w:cs="Arial"/>
          <w:sz w:val="16"/>
          <w:szCs w:val="16"/>
        </w:rPr>
        <w:footnoteRef/>
      </w:r>
      <w:r w:rsidRPr="00CF4267">
        <w:rPr>
          <w:rFonts w:ascii="Verdana" w:hAnsi="Verdana" w:cs="Arial"/>
          <w:sz w:val="16"/>
          <w:szCs w:val="16"/>
        </w:rPr>
        <w:t xml:space="preserve"> CONSEJO DE ESTADO. Sección Tercera. Subsección A. Sentencia del 13 de febrero de 2013. Radicado: </w:t>
      </w:r>
      <w:r w:rsidRPr="00CF4267">
        <w:rPr>
          <w:rFonts w:ascii="Verdana" w:eastAsia="Calibri" w:hAnsi="Verdana" w:cs="Arial"/>
          <w:bCs/>
          <w:sz w:val="16"/>
          <w:szCs w:val="16"/>
          <w:lang w:val="es-CO"/>
        </w:rPr>
        <w:t>76001-23-31-000-1999-02622-01(24996). Magistrado Ponente: Mauricio Fajardo Gómez. En esta misma línea, el Consejo de Estado señaló:</w:t>
      </w:r>
      <w:r w:rsidRPr="00CF4267">
        <w:rPr>
          <w:rFonts w:ascii="Verdana" w:hAnsi="Verdana" w:cs="Arial"/>
          <w:sz w:val="16"/>
          <w:szCs w:val="16"/>
        </w:rPr>
        <w:t xml:space="preserve"> </w:t>
      </w:r>
      <w:r w:rsidRPr="00CF4267">
        <w:rPr>
          <w:rFonts w:ascii="Verdana" w:eastAsia="Calibri" w:hAnsi="Verdana" w:cs="Arial"/>
          <w:sz w:val="16"/>
          <w:szCs w:val="16"/>
          <w:lang w:val="es-CO"/>
        </w:rPr>
        <w:t>“En principio se puede establecer una diferencia sustancial entre estos dos tipos de contratos, pues, el de consultoría consiste, básicamente, en la realización de estudios, diseños y en la asesoría técnica al control y supervisión de proyectos, así como en la interventoría y en la gerencia y dirección de obras o proyectos, lo cual encierra una variedad muy amplia de actividades, todas ellas regidas por un común denominador de índole técnico y cargadas de un matiz especializado en la ejecución de este tipo de contratos</w:t>
      </w:r>
      <w:r w:rsidRPr="00CF4267">
        <w:rPr>
          <w:rFonts w:ascii="Verdana" w:hAnsi="Verdana" w:cs="Arial"/>
          <w:sz w:val="16"/>
          <w:szCs w:val="16"/>
          <w:lang w:val="es-ES"/>
        </w:rPr>
        <w:t>»</w:t>
      </w:r>
      <w:r w:rsidRPr="00CF4267">
        <w:rPr>
          <w:rFonts w:ascii="Verdana" w:eastAsia="Calibri" w:hAnsi="Verdana" w:cs="Arial"/>
          <w:sz w:val="16"/>
          <w:szCs w:val="16"/>
          <w:lang w:val="es-CO"/>
        </w:rPr>
        <w:t xml:space="preserve"> (CONSEJO DE ESTADO. Sección Tercera, Sentencia del 30 de noviembre de 2006, </w:t>
      </w:r>
      <w:r w:rsidRPr="00CF4267">
        <w:rPr>
          <w:rFonts w:ascii="Verdana" w:eastAsia="Calibri" w:hAnsi="Verdana" w:cs="Arial"/>
          <w:sz w:val="16"/>
          <w:szCs w:val="16"/>
          <w:lang w:val="es-CO"/>
        </w:rPr>
        <w:t>Exp. 30.832, C.P. Alier Eduardo Hernández Enríquez).</w:t>
      </w:r>
    </w:p>
    <w:p w14:paraId="4EA89F8F" w14:textId="77777777" w:rsidR="009637A2" w:rsidRPr="00347FA6" w:rsidRDefault="009637A2" w:rsidP="009637A2">
      <w:pPr>
        <w:pStyle w:val="Textonotapie"/>
        <w:ind w:firstLine="708"/>
        <w:jc w:val="both"/>
        <w:rPr>
          <w:rFonts w:ascii="Arial" w:hAnsi="Arial" w:cs="Arial"/>
          <w:sz w:val="19"/>
          <w:szCs w:val="19"/>
          <w:lang w:val="es-ES"/>
        </w:rPr>
      </w:pPr>
    </w:p>
  </w:footnote>
  <w:footnote w:id="40">
    <w:p w14:paraId="35FDFEF3" w14:textId="77777777" w:rsidR="009637A2" w:rsidRPr="007745E5" w:rsidRDefault="009637A2" w:rsidP="009637A2">
      <w:pPr>
        <w:pStyle w:val="Textonotapie"/>
        <w:ind w:firstLine="708"/>
        <w:rPr>
          <w:rFonts w:ascii="Arial" w:hAnsi="Arial" w:cs="Arial"/>
          <w:sz w:val="19"/>
          <w:szCs w:val="19"/>
        </w:rPr>
      </w:pPr>
      <w:r w:rsidRPr="00D40EE5">
        <w:rPr>
          <w:rStyle w:val="Refdenotaalpie"/>
          <w:rFonts w:ascii="Arial" w:hAnsi="Arial" w:cs="Arial"/>
          <w:sz w:val="19"/>
          <w:szCs w:val="19"/>
        </w:rPr>
        <w:footnoteRef/>
      </w:r>
      <w:r w:rsidRPr="00D8237D">
        <w:rPr>
          <w:rFonts w:ascii="Arial" w:hAnsi="Arial" w:cs="Arial"/>
          <w:sz w:val="19"/>
          <w:szCs w:val="19"/>
        </w:rPr>
        <w:t xml:space="preserve"> REAL ACADEMIA DE LA LENGUA ESPAÑOLA. Diccionario jurídico panhispánico de español jurídico. Disponible en línea: </w:t>
      </w:r>
      <w:hyperlink r:id="rId7" w:history="1">
        <w:r w:rsidRPr="00347FA6">
          <w:rPr>
            <w:rStyle w:val="Hipervnculo"/>
            <w:rFonts w:ascii="Arial" w:hAnsi="Arial" w:cs="Arial"/>
            <w:color w:val="auto"/>
            <w:sz w:val="19"/>
            <w:szCs w:val="19"/>
          </w:rPr>
          <w:t>https://dpej.rae.es/lema/asesor%C3%ADa</w:t>
        </w:r>
      </w:hyperlink>
      <w:r w:rsidRPr="00D8237D">
        <w:rPr>
          <w:rFonts w:ascii="Arial" w:hAnsi="Arial" w:cs="Arial"/>
          <w:sz w:val="19"/>
          <w:szCs w:val="19"/>
        </w:rPr>
        <w:t xml:space="preserve">. </w:t>
      </w:r>
    </w:p>
    <w:p w14:paraId="6C2A8D7C" w14:textId="77777777" w:rsidR="009637A2" w:rsidRPr="00347FA6" w:rsidRDefault="009637A2" w:rsidP="009637A2">
      <w:pPr>
        <w:pStyle w:val="Textonotapie"/>
        <w:ind w:firstLine="708"/>
        <w:rPr>
          <w:rFonts w:ascii="Arial" w:hAnsi="Arial" w:cs="Arial"/>
          <w:sz w:val="19"/>
          <w:szCs w:val="19"/>
          <w:lang w:val="es-ES"/>
        </w:rPr>
      </w:pPr>
    </w:p>
  </w:footnote>
  <w:footnote w:id="41">
    <w:p w14:paraId="3782CCC0" w14:textId="77777777" w:rsidR="009637A2" w:rsidRPr="00D40EE5" w:rsidRDefault="009637A2" w:rsidP="009637A2">
      <w:pPr>
        <w:pStyle w:val="Textonotapie"/>
        <w:ind w:firstLine="708"/>
        <w:jc w:val="both"/>
        <w:rPr>
          <w:rFonts w:ascii="Arial" w:hAnsi="Arial" w:cs="Arial"/>
          <w:sz w:val="19"/>
          <w:szCs w:val="19"/>
          <w:lang w:val="es-ES"/>
        </w:rPr>
      </w:pPr>
      <w:r w:rsidRPr="00D40EE5">
        <w:rPr>
          <w:rStyle w:val="Refdenotaalpie"/>
          <w:rFonts w:ascii="Arial" w:hAnsi="Arial" w:cs="Arial"/>
          <w:sz w:val="19"/>
          <w:szCs w:val="19"/>
        </w:rPr>
        <w:footnoteRef/>
      </w:r>
      <w:r w:rsidRPr="00D8237D">
        <w:rPr>
          <w:rFonts w:ascii="Arial" w:hAnsi="Arial" w:cs="Arial"/>
          <w:sz w:val="19"/>
          <w:szCs w:val="19"/>
        </w:rPr>
        <w:t xml:space="preserve"> MATALLANA CAMACHO, Ernesto. </w:t>
      </w:r>
      <w:r w:rsidRPr="007745E5">
        <w:rPr>
          <w:rFonts w:ascii="Arial" w:hAnsi="Arial" w:cs="Arial"/>
          <w:sz w:val="19"/>
          <w:szCs w:val="19"/>
        </w:rPr>
        <w:t>Manual de Contratación de la Administración Pública. Reforma de la Ley 80 de 1993. Bogotá: Universidad Externado de Colombia, 2015. p. 968.</w:t>
      </w:r>
    </w:p>
  </w:footnote>
  <w:footnote w:id="42">
    <w:p w14:paraId="2FF5C196" w14:textId="77777777" w:rsidR="009637A2" w:rsidRPr="002712EC" w:rsidRDefault="009637A2" w:rsidP="009637A2">
      <w:pPr>
        <w:pStyle w:val="Textonotapie"/>
        <w:ind w:firstLine="709"/>
        <w:jc w:val="both"/>
        <w:rPr>
          <w:rFonts w:ascii="Verdana" w:hAnsi="Verdana" w:cs="Arial"/>
          <w:sz w:val="16"/>
          <w:szCs w:val="16"/>
        </w:rPr>
      </w:pPr>
      <w:r w:rsidRPr="002712EC">
        <w:rPr>
          <w:rStyle w:val="Refdenotaalpie"/>
          <w:rFonts w:ascii="Verdana" w:hAnsi="Verdana" w:cs="Arial"/>
          <w:sz w:val="16"/>
          <w:szCs w:val="16"/>
        </w:rPr>
        <w:footnoteRef/>
      </w:r>
      <w:r w:rsidRPr="002712EC">
        <w:rPr>
          <w:rFonts w:ascii="Verdana" w:hAnsi="Verdana" w:cs="Arial"/>
          <w:sz w:val="16"/>
          <w:szCs w:val="16"/>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footnote>
  <w:footnote w:id="43">
    <w:p w14:paraId="0210572F" w14:textId="77777777" w:rsidR="009637A2" w:rsidRPr="002712EC" w:rsidRDefault="009637A2" w:rsidP="009637A2">
      <w:pPr>
        <w:pStyle w:val="Textonotapie"/>
        <w:ind w:firstLine="708"/>
        <w:jc w:val="both"/>
        <w:rPr>
          <w:rFonts w:ascii="Verdana" w:hAnsi="Verdana" w:cs="Arial"/>
          <w:sz w:val="16"/>
          <w:szCs w:val="16"/>
        </w:rPr>
      </w:pPr>
      <w:r w:rsidRPr="002712EC">
        <w:rPr>
          <w:rStyle w:val="Refdenotaalpie"/>
          <w:rFonts w:ascii="Verdana" w:hAnsi="Verdana" w:cs="Arial"/>
          <w:sz w:val="16"/>
          <w:szCs w:val="16"/>
        </w:rPr>
        <w:footnoteRef/>
      </w:r>
      <w:r w:rsidRPr="002712EC">
        <w:rPr>
          <w:rFonts w:ascii="Verdana" w:hAnsi="Verdana" w:cs="Arial"/>
          <w:sz w:val="16"/>
          <w:szCs w:val="16"/>
        </w:rPr>
        <w:t xml:space="preserve"> En lo pertinente, </w:t>
      </w:r>
      <w:bookmarkStart w:id="13" w:name="_Hlk45470939"/>
      <w:r w:rsidRPr="002712EC">
        <w:rPr>
          <w:rFonts w:ascii="Verdana" w:hAnsi="Verdana" w:cs="Arial"/>
          <w:sz w:val="16"/>
          <w:szCs w:val="16"/>
        </w:rPr>
        <w:t>el artículo 12 del derogado Decreto 855 de 1994</w:t>
      </w:r>
      <w:bookmarkEnd w:id="13"/>
      <w:r w:rsidRPr="002712EC">
        <w:rPr>
          <w:rFonts w:ascii="Verdana" w:hAnsi="Verdana" w:cs="Arial"/>
          <w:sz w:val="16"/>
          <w:szCs w:val="16"/>
        </w:rPr>
        <w:t xml:space="preserve"> dispuso que: “En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14:paraId="47ED68AF" w14:textId="77777777" w:rsidR="009637A2" w:rsidRPr="002712EC" w:rsidRDefault="009637A2" w:rsidP="009637A2">
      <w:pPr>
        <w:pStyle w:val="Textonotapie"/>
        <w:ind w:firstLine="708"/>
        <w:jc w:val="both"/>
        <w:rPr>
          <w:rFonts w:ascii="Verdana" w:hAnsi="Verdana" w:cs="Arial"/>
          <w:sz w:val="16"/>
          <w:szCs w:val="16"/>
        </w:rPr>
      </w:pPr>
      <w:r w:rsidRPr="002712EC">
        <w:rPr>
          <w:rFonts w:ascii="Verdana" w:hAnsi="Verdana" w:cs="Arial"/>
          <w:sz w:val="16"/>
          <w:szCs w:val="16"/>
        </w:rPr>
        <w:t>[…]</w:t>
      </w:r>
    </w:p>
    <w:p w14:paraId="79D5EDC5" w14:textId="77777777" w:rsidR="009637A2" w:rsidRPr="002712EC" w:rsidRDefault="009637A2" w:rsidP="009637A2">
      <w:pPr>
        <w:pStyle w:val="Textonotapie"/>
        <w:ind w:firstLine="708"/>
        <w:jc w:val="both"/>
        <w:rPr>
          <w:rFonts w:ascii="Verdana" w:hAnsi="Verdana" w:cs="Arial"/>
          <w:sz w:val="16"/>
          <w:szCs w:val="16"/>
        </w:rPr>
      </w:pPr>
      <w:r w:rsidRPr="002712EC">
        <w:rPr>
          <w:rFonts w:ascii="Verdana" w:hAnsi="Verdana" w:cs="Arial"/>
          <w:sz w:val="16"/>
          <w:szCs w:val="16"/>
        </w:rPr>
        <w:t>Parágrafo 2. Se considera que no existe pluralidad de oferentes:</w:t>
      </w:r>
    </w:p>
    <w:p w14:paraId="1F0F9A80" w14:textId="77777777" w:rsidR="009637A2" w:rsidRPr="002712EC" w:rsidRDefault="009637A2" w:rsidP="009637A2">
      <w:pPr>
        <w:pStyle w:val="Textonotapie"/>
        <w:ind w:firstLine="708"/>
        <w:jc w:val="both"/>
        <w:rPr>
          <w:rFonts w:ascii="Verdana" w:hAnsi="Verdana" w:cs="Arial"/>
          <w:sz w:val="16"/>
          <w:szCs w:val="16"/>
        </w:rPr>
      </w:pPr>
      <w:r w:rsidRPr="002712EC">
        <w:rPr>
          <w:rFonts w:ascii="Verdana" w:hAnsi="Verdana" w:cs="Arial"/>
          <w:sz w:val="16"/>
          <w:szCs w:val="16"/>
        </w:rPr>
        <w:t>a) Cuando no existiere más de una persona inscrita en el Registro de Proponentes, en aquellos contratos respecto de los cuales se requiere dicha inscripción conforme al artículo 22 de la Ley 80 de 1993,</w:t>
      </w:r>
    </w:p>
    <w:p w14:paraId="34A6E4C3" w14:textId="77777777" w:rsidR="009637A2" w:rsidRPr="002712EC" w:rsidRDefault="009637A2" w:rsidP="009637A2">
      <w:pPr>
        <w:pStyle w:val="Textonotapie"/>
        <w:ind w:firstLine="708"/>
        <w:jc w:val="both"/>
        <w:rPr>
          <w:rFonts w:ascii="Verdana" w:hAnsi="Verdana" w:cs="Arial"/>
          <w:sz w:val="16"/>
          <w:szCs w:val="16"/>
          <w:lang w:val="es-ES"/>
        </w:rPr>
      </w:pPr>
      <w:r w:rsidRPr="002712EC">
        <w:rPr>
          <w:rFonts w:ascii="Verdana" w:hAnsi="Verdana" w:cs="Arial"/>
          <w:sz w:val="16"/>
          <w:szCs w:val="16"/>
        </w:rPr>
        <w:t xml:space="preserve">b) Cuando solo exista una persona que pueda proveer el bien o el servicio por ser titular de los derechos de propiedad industrial o de los derechos de autor, o por ser, de acuerdo con la ley, su proveedor exclusivo”.  </w:t>
      </w:r>
    </w:p>
  </w:footnote>
  <w:footnote w:id="44">
    <w:p w14:paraId="01A2D287" w14:textId="77777777" w:rsidR="009637A2" w:rsidRPr="00910F48" w:rsidRDefault="009637A2" w:rsidP="009637A2">
      <w:pPr>
        <w:pStyle w:val="Textonotapie"/>
        <w:ind w:firstLine="708"/>
        <w:jc w:val="both"/>
        <w:rPr>
          <w:rFonts w:ascii="Verdana" w:hAnsi="Verdana" w:cs="Arial"/>
          <w:sz w:val="16"/>
          <w:szCs w:val="16"/>
        </w:rPr>
      </w:pPr>
      <w:r w:rsidRPr="002712EC">
        <w:rPr>
          <w:rStyle w:val="Refdenotaalpie"/>
          <w:rFonts w:ascii="Verdana" w:hAnsi="Verdana" w:cs="Arial"/>
          <w:sz w:val="16"/>
          <w:szCs w:val="16"/>
        </w:rPr>
        <w:footnoteRef/>
      </w:r>
      <w:r w:rsidRPr="002712EC">
        <w:rPr>
          <w:rFonts w:ascii="Verdana" w:hAnsi="Verdana" w:cs="Arial"/>
          <w:sz w:val="16"/>
          <w:szCs w:val="16"/>
        </w:rPr>
        <w:t xml:space="preserve"> DROMI, José Roberto. La licitación pública. Buenos Aires: Ciudad Argentina</w:t>
      </w:r>
      <w:r w:rsidRPr="00910F48">
        <w:rPr>
          <w:rFonts w:ascii="Verdana" w:hAnsi="Verdana" w:cs="Arial"/>
          <w:sz w:val="16"/>
          <w:szCs w:val="16"/>
        </w:rPr>
        <w:t xml:space="preserve">, 1980. pp. 173-174. Para el autor, la aplicación de la causal supone que: i) las prestaciones están amparadas legalmente por un derecho de marca; </w:t>
      </w:r>
      <w:r w:rsidRPr="00910F48">
        <w:rPr>
          <w:rFonts w:ascii="Verdana" w:hAnsi="Verdana" w:cs="Arial"/>
          <w:sz w:val="16"/>
          <w:szCs w:val="16"/>
        </w:rPr>
        <w:t>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w:t>
      </w:r>
      <w:r w:rsidRPr="00910F48">
        <w:rPr>
          <w:rFonts w:ascii="Verdana" w:hAnsi="Verdana" w:cs="Arial"/>
          <w:i/>
          <w:iCs/>
          <w:sz w:val="16"/>
          <w:szCs w:val="16"/>
        </w:rPr>
        <w:t>Ibidem</w:t>
      </w:r>
      <w:r w:rsidRPr="00910F48">
        <w:rPr>
          <w:rFonts w:ascii="Verdana" w:hAnsi="Verdana" w:cs="Arial"/>
          <w:sz w:val="16"/>
          <w:szCs w:val="16"/>
        </w:rPr>
        <w:t>., p. 174).</w:t>
      </w:r>
    </w:p>
  </w:footnote>
  <w:footnote w:id="45">
    <w:p w14:paraId="5E7335AB" w14:textId="77777777" w:rsidR="009637A2" w:rsidRDefault="009637A2" w:rsidP="009637A2">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Así lo ha reconocido la doctrina, al señalar que “La identificación acerca de la inexistencia de más de un proponente es el resultado de los estudios y análisis que debe efectuar la entidad durante la fase previa o preparatoria, tal como de manera expresa lo reconoce dicha norma” (DÁVILA VINUEZA, Luis Guillermo. Régimen jurídico de la contratación estatal. Bogotá: Legis, 2016, p. 506).</w:t>
      </w:r>
    </w:p>
    <w:p w14:paraId="04DEDCE8" w14:textId="77777777" w:rsidR="009637A2" w:rsidRDefault="009637A2" w:rsidP="009637A2">
      <w:pPr>
        <w:pStyle w:val="Textonotapie"/>
        <w:ind w:firstLine="709"/>
        <w:jc w:val="both"/>
        <w:rPr>
          <w:rFonts w:ascii="Verdana" w:hAnsi="Verdana" w:cs="Arial"/>
          <w:sz w:val="16"/>
          <w:szCs w:val="16"/>
          <w:lang w:val="es-ES"/>
        </w:rPr>
      </w:pPr>
    </w:p>
  </w:footnote>
  <w:footnote w:id="46">
    <w:p w14:paraId="74CD71EA" w14:textId="77777777" w:rsidR="009637A2" w:rsidRPr="00953CE6" w:rsidRDefault="009637A2" w:rsidP="009637A2">
      <w:pPr>
        <w:pStyle w:val="Textonotapie"/>
        <w:ind w:firstLine="708"/>
        <w:jc w:val="both"/>
        <w:rPr>
          <w:lang w:val="en-US"/>
        </w:rPr>
      </w:pPr>
      <w:r>
        <w:rPr>
          <w:rStyle w:val="Refdenotaalpie"/>
        </w:rPr>
        <w:footnoteRef/>
      </w:r>
      <w:r>
        <w:t xml:space="preserve"> </w:t>
      </w:r>
      <w:hyperlink r:id="rId8">
        <w:r w:rsidRPr="00347111">
          <w:rPr>
            <w:rStyle w:val="Hipervnculo"/>
            <w:rFonts w:ascii="Verdana" w:hAnsi="Verdana"/>
            <w:color w:val="auto"/>
            <w:u w:val="none"/>
            <w:lang w:val="es-CO"/>
          </w:rPr>
          <w:t xml:space="preserve">BANCO MUNDIAL. </w:t>
        </w:r>
        <w:r w:rsidRPr="00347111">
          <w:rPr>
            <w:rStyle w:val="Hipervnculo"/>
            <w:color w:val="auto"/>
            <w:u w:val="none"/>
            <w:lang w:val="en-US"/>
          </w:rPr>
          <w:t xml:space="preserve">Procurement Regulations for IPF Borrowers, 4.ª ed., </w:t>
        </w:r>
        <w:r w:rsidRPr="00347111">
          <w:rPr>
            <w:rStyle w:val="Hipervnculo"/>
            <w:color w:val="auto"/>
            <w:u w:val="none"/>
            <w:lang w:val="en-US"/>
          </w:rPr>
          <w:t>noviembre de 2020, Anexo VIII, 3.2 y 3.3, p. 81.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98D2816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5ADB7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FC8B6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1F6D0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C4423A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C51B2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4E5ED4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0A6F6513"/>
    <w:multiLevelType w:val="hybridMultilevel"/>
    <w:tmpl w:val="CB2C1542"/>
    <w:lvl w:ilvl="0" w:tplc="0409001B">
      <w:start w:val="1"/>
      <w:numFmt w:val="lowerRoman"/>
      <w:lvlText w:val="%1."/>
      <w:lvlJc w:val="righ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1"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1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30747F3D"/>
    <w:multiLevelType w:val="multilevel"/>
    <w:tmpl w:val="587AA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AF42D9"/>
    <w:multiLevelType w:val="multilevel"/>
    <w:tmpl w:val="77E0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431841B1"/>
    <w:multiLevelType w:val="multilevel"/>
    <w:tmpl w:val="E8082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A13F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36988686">
    <w:abstractNumId w:val="19"/>
  </w:num>
  <w:num w:numId="2" w16cid:durableId="1866360612">
    <w:abstractNumId w:val="9"/>
  </w:num>
  <w:num w:numId="3" w16cid:durableId="733894003">
    <w:abstractNumId w:val="17"/>
  </w:num>
  <w:num w:numId="4" w16cid:durableId="7687380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061166">
    <w:abstractNumId w:val="9"/>
  </w:num>
  <w:num w:numId="6" w16cid:durableId="460418535">
    <w:abstractNumId w:val="29"/>
  </w:num>
  <w:num w:numId="7" w16cid:durableId="1440294337">
    <w:abstractNumId w:val="18"/>
  </w:num>
  <w:num w:numId="8" w16cid:durableId="1509179071">
    <w:abstractNumId w:val="28"/>
  </w:num>
  <w:num w:numId="9" w16cid:durableId="877934192">
    <w:abstractNumId w:val="20"/>
  </w:num>
  <w:num w:numId="10" w16cid:durableId="1023702102">
    <w:abstractNumId w:val="27"/>
  </w:num>
  <w:num w:numId="11" w16cid:durableId="1154488893">
    <w:abstractNumId w:val="21"/>
  </w:num>
  <w:num w:numId="12" w16cid:durableId="1962148013">
    <w:abstractNumId w:val="7"/>
  </w:num>
  <w:num w:numId="13" w16cid:durableId="196814406">
    <w:abstractNumId w:val="13"/>
  </w:num>
  <w:num w:numId="14" w16cid:durableId="1655451965">
    <w:abstractNumId w:val="30"/>
  </w:num>
  <w:num w:numId="15" w16cid:durableId="1268079449">
    <w:abstractNumId w:val="26"/>
  </w:num>
  <w:num w:numId="16" w16cid:durableId="1617251933">
    <w:abstractNumId w:val="14"/>
  </w:num>
  <w:num w:numId="17" w16cid:durableId="1237589891">
    <w:abstractNumId w:val="23"/>
  </w:num>
  <w:num w:numId="18" w16cid:durableId="1845317037">
    <w:abstractNumId w:val="33"/>
  </w:num>
  <w:num w:numId="19" w16cid:durableId="211579820">
    <w:abstractNumId w:val="32"/>
  </w:num>
  <w:num w:numId="20" w16cid:durableId="1491561834">
    <w:abstractNumId w:val="8"/>
  </w:num>
  <w:num w:numId="21" w16cid:durableId="761101855">
    <w:abstractNumId w:val="12"/>
  </w:num>
  <w:num w:numId="22" w16cid:durableId="772701724">
    <w:abstractNumId w:val="15"/>
  </w:num>
  <w:num w:numId="23" w16cid:durableId="698891987">
    <w:abstractNumId w:val="11"/>
  </w:num>
  <w:num w:numId="24" w16cid:durableId="1024136789">
    <w:abstractNumId w:val="31"/>
  </w:num>
  <w:num w:numId="25" w16cid:durableId="399326362">
    <w:abstractNumId w:val="22"/>
  </w:num>
  <w:num w:numId="26" w16cid:durableId="435173475">
    <w:abstractNumId w:val="16"/>
  </w:num>
  <w:num w:numId="27" w16cid:durableId="2021813138">
    <w:abstractNumId w:val="24"/>
  </w:num>
  <w:num w:numId="28" w16cid:durableId="1237012584">
    <w:abstractNumId w:val="10"/>
  </w:num>
  <w:num w:numId="29" w16cid:durableId="58795538">
    <w:abstractNumId w:val="1"/>
  </w:num>
  <w:num w:numId="30" w16cid:durableId="771701839">
    <w:abstractNumId w:val="2"/>
  </w:num>
  <w:num w:numId="31" w16cid:durableId="1865315927">
    <w:abstractNumId w:val="4"/>
  </w:num>
  <w:num w:numId="32" w16cid:durableId="1770464713">
    <w:abstractNumId w:val="3"/>
  </w:num>
  <w:num w:numId="33" w16cid:durableId="1770391587">
    <w:abstractNumId w:val="6"/>
  </w:num>
  <w:num w:numId="34" w16cid:durableId="834223721">
    <w:abstractNumId w:val="0"/>
  </w:num>
  <w:num w:numId="35" w16cid:durableId="1125193179">
    <w:abstractNumId w:val="25"/>
  </w:num>
  <w:num w:numId="36" w16cid:durableId="379324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464"/>
    <w:rsid w:val="00002908"/>
    <w:rsid w:val="00005660"/>
    <w:rsid w:val="000063E0"/>
    <w:rsid w:val="000134D5"/>
    <w:rsid w:val="00013535"/>
    <w:rsid w:val="00015C36"/>
    <w:rsid w:val="00016F78"/>
    <w:rsid w:val="00021CF9"/>
    <w:rsid w:val="00024075"/>
    <w:rsid w:val="000254F6"/>
    <w:rsid w:val="00025C76"/>
    <w:rsid w:val="00027AF7"/>
    <w:rsid w:val="00032265"/>
    <w:rsid w:val="000353BD"/>
    <w:rsid w:val="0003586C"/>
    <w:rsid w:val="00037AC5"/>
    <w:rsid w:val="0004565A"/>
    <w:rsid w:val="0004637F"/>
    <w:rsid w:val="0004639A"/>
    <w:rsid w:val="00046945"/>
    <w:rsid w:val="000551BC"/>
    <w:rsid w:val="000616DE"/>
    <w:rsid w:val="00061B2A"/>
    <w:rsid w:val="00062B15"/>
    <w:rsid w:val="00067527"/>
    <w:rsid w:val="000711CF"/>
    <w:rsid w:val="00072E68"/>
    <w:rsid w:val="00076D52"/>
    <w:rsid w:val="00080B1D"/>
    <w:rsid w:val="00082362"/>
    <w:rsid w:val="000835D4"/>
    <w:rsid w:val="00084FC5"/>
    <w:rsid w:val="00085031"/>
    <w:rsid w:val="0009079C"/>
    <w:rsid w:val="0009473A"/>
    <w:rsid w:val="000A1514"/>
    <w:rsid w:val="000A1642"/>
    <w:rsid w:val="000A50E3"/>
    <w:rsid w:val="000A66E5"/>
    <w:rsid w:val="000A683E"/>
    <w:rsid w:val="000A7B8A"/>
    <w:rsid w:val="000B0FAA"/>
    <w:rsid w:val="000B19B9"/>
    <w:rsid w:val="000B27F0"/>
    <w:rsid w:val="000B3339"/>
    <w:rsid w:val="000B5230"/>
    <w:rsid w:val="000B7066"/>
    <w:rsid w:val="000B7537"/>
    <w:rsid w:val="000B7752"/>
    <w:rsid w:val="000C2A97"/>
    <w:rsid w:val="000C2C48"/>
    <w:rsid w:val="000C5A9E"/>
    <w:rsid w:val="000C5BF3"/>
    <w:rsid w:val="000C685C"/>
    <w:rsid w:val="000C6B8F"/>
    <w:rsid w:val="000D0334"/>
    <w:rsid w:val="000D1DC8"/>
    <w:rsid w:val="000D4734"/>
    <w:rsid w:val="000D5DA7"/>
    <w:rsid w:val="000E017F"/>
    <w:rsid w:val="000E2EBE"/>
    <w:rsid w:val="000E6E2C"/>
    <w:rsid w:val="000F01E9"/>
    <w:rsid w:val="000F078F"/>
    <w:rsid w:val="000F3444"/>
    <w:rsid w:val="000F3E03"/>
    <w:rsid w:val="000F512E"/>
    <w:rsid w:val="000F6486"/>
    <w:rsid w:val="000F6979"/>
    <w:rsid w:val="000F7FD4"/>
    <w:rsid w:val="001052CA"/>
    <w:rsid w:val="00105C57"/>
    <w:rsid w:val="00113AB3"/>
    <w:rsid w:val="001161CA"/>
    <w:rsid w:val="001168F2"/>
    <w:rsid w:val="00116940"/>
    <w:rsid w:val="00120BA0"/>
    <w:rsid w:val="00120D65"/>
    <w:rsid w:val="00125105"/>
    <w:rsid w:val="00127233"/>
    <w:rsid w:val="001328F3"/>
    <w:rsid w:val="001428DC"/>
    <w:rsid w:val="001449F2"/>
    <w:rsid w:val="001521B3"/>
    <w:rsid w:val="0015699B"/>
    <w:rsid w:val="001635CD"/>
    <w:rsid w:val="00165972"/>
    <w:rsid w:val="00165BD9"/>
    <w:rsid w:val="001674D3"/>
    <w:rsid w:val="00171640"/>
    <w:rsid w:val="00171AE0"/>
    <w:rsid w:val="00174D6E"/>
    <w:rsid w:val="00186B88"/>
    <w:rsid w:val="00187555"/>
    <w:rsid w:val="0019787F"/>
    <w:rsid w:val="001A33BF"/>
    <w:rsid w:val="001A5968"/>
    <w:rsid w:val="001C483F"/>
    <w:rsid w:val="001C5AE4"/>
    <w:rsid w:val="001C61B3"/>
    <w:rsid w:val="001D02CC"/>
    <w:rsid w:val="001D64AE"/>
    <w:rsid w:val="001E2E05"/>
    <w:rsid w:val="001E4177"/>
    <w:rsid w:val="001E5DE5"/>
    <w:rsid w:val="001F0B24"/>
    <w:rsid w:val="001F48E0"/>
    <w:rsid w:val="001F4CCA"/>
    <w:rsid w:val="001F5CAE"/>
    <w:rsid w:val="001F5DD0"/>
    <w:rsid w:val="001F7DC6"/>
    <w:rsid w:val="00205003"/>
    <w:rsid w:val="00207466"/>
    <w:rsid w:val="002104DA"/>
    <w:rsid w:val="00211527"/>
    <w:rsid w:val="00211E12"/>
    <w:rsid w:val="00212AD1"/>
    <w:rsid w:val="00217AAF"/>
    <w:rsid w:val="00217FCA"/>
    <w:rsid w:val="002209DE"/>
    <w:rsid w:val="0022400B"/>
    <w:rsid w:val="002333A4"/>
    <w:rsid w:val="0023515D"/>
    <w:rsid w:val="002377DD"/>
    <w:rsid w:val="002421BB"/>
    <w:rsid w:val="00253436"/>
    <w:rsid w:val="0025796E"/>
    <w:rsid w:val="00257E3E"/>
    <w:rsid w:val="0026457C"/>
    <w:rsid w:val="0026579C"/>
    <w:rsid w:val="002707A2"/>
    <w:rsid w:val="00271144"/>
    <w:rsid w:val="002712EC"/>
    <w:rsid w:val="00274DD7"/>
    <w:rsid w:val="00274F7F"/>
    <w:rsid w:val="00275482"/>
    <w:rsid w:val="00276077"/>
    <w:rsid w:val="002761A0"/>
    <w:rsid w:val="00276697"/>
    <w:rsid w:val="00277C07"/>
    <w:rsid w:val="00281FBF"/>
    <w:rsid w:val="00282E38"/>
    <w:rsid w:val="0028778F"/>
    <w:rsid w:val="002951A0"/>
    <w:rsid w:val="00295CBB"/>
    <w:rsid w:val="002962BC"/>
    <w:rsid w:val="002975A4"/>
    <w:rsid w:val="002A093D"/>
    <w:rsid w:val="002A0D56"/>
    <w:rsid w:val="002A0DD0"/>
    <w:rsid w:val="002A49AC"/>
    <w:rsid w:val="002A64FD"/>
    <w:rsid w:val="002B730F"/>
    <w:rsid w:val="002C1DEE"/>
    <w:rsid w:val="002C5ADF"/>
    <w:rsid w:val="002C5F4D"/>
    <w:rsid w:val="002C7A84"/>
    <w:rsid w:val="002D17BA"/>
    <w:rsid w:val="002D6053"/>
    <w:rsid w:val="002D66C5"/>
    <w:rsid w:val="002E05EF"/>
    <w:rsid w:val="002E1CC6"/>
    <w:rsid w:val="002E2BF8"/>
    <w:rsid w:val="002E47B6"/>
    <w:rsid w:val="002E4FD9"/>
    <w:rsid w:val="002F0847"/>
    <w:rsid w:val="002F09A1"/>
    <w:rsid w:val="002F3519"/>
    <w:rsid w:val="0030657A"/>
    <w:rsid w:val="003066B9"/>
    <w:rsid w:val="00310A44"/>
    <w:rsid w:val="003136DC"/>
    <w:rsid w:val="00314D50"/>
    <w:rsid w:val="003156BF"/>
    <w:rsid w:val="00316053"/>
    <w:rsid w:val="00322A85"/>
    <w:rsid w:val="00322C00"/>
    <w:rsid w:val="00322D77"/>
    <w:rsid w:val="00324168"/>
    <w:rsid w:val="00330834"/>
    <w:rsid w:val="0033190E"/>
    <w:rsid w:val="003332A8"/>
    <w:rsid w:val="003448F4"/>
    <w:rsid w:val="00346322"/>
    <w:rsid w:val="00347111"/>
    <w:rsid w:val="00347A44"/>
    <w:rsid w:val="00361ED9"/>
    <w:rsid w:val="00366DD0"/>
    <w:rsid w:val="00371C58"/>
    <w:rsid w:val="00372D33"/>
    <w:rsid w:val="00374205"/>
    <w:rsid w:val="00374F5E"/>
    <w:rsid w:val="003769E1"/>
    <w:rsid w:val="00377E3E"/>
    <w:rsid w:val="003807EA"/>
    <w:rsid w:val="003816DA"/>
    <w:rsid w:val="0038182F"/>
    <w:rsid w:val="00381BAB"/>
    <w:rsid w:val="00390EA3"/>
    <w:rsid w:val="00391D5A"/>
    <w:rsid w:val="00394C70"/>
    <w:rsid w:val="003A1CD2"/>
    <w:rsid w:val="003A779E"/>
    <w:rsid w:val="003B0DFC"/>
    <w:rsid w:val="003B7373"/>
    <w:rsid w:val="003C0ED7"/>
    <w:rsid w:val="003C1965"/>
    <w:rsid w:val="003C62A2"/>
    <w:rsid w:val="003D0F4D"/>
    <w:rsid w:val="003D494E"/>
    <w:rsid w:val="003D5B0D"/>
    <w:rsid w:val="003E0499"/>
    <w:rsid w:val="003E197E"/>
    <w:rsid w:val="003E4C37"/>
    <w:rsid w:val="003E4F80"/>
    <w:rsid w:val="003E6439"/>
    <w:rsid w:val="003F18C5"/>
    <w:rsid w:val="003F1FD8"/>
    <w:rsid w:val="003F3941"/>
    <w:rsid w:val="003F4F9E"/>
    <w:rsid w:val="00400A45"/>
    <w:rsid w:val="00400A50"/>
    <w:rsid w:val="00403EFA"/>
    <w:rsid w:val="00403F96"/>
    <w:rsid w:val="00406575"/>
    <w:rsid w:val="004140B3"/>
    <w:rsid w:val="00414C74"/>
    <w:rsid w:val="00422408"/>
    <w:rsid w:val="0042722E"/>
    <w:rsid w:val="00432D57"/>
    <w:rsid w:val="00435CF4"/>
    <w:rsid w:val="0044528D"/>
    <w:rsid w:val="00450592"/>
    <w:rsid w:val="00451137"/>
    <w:rsid w:val="00451843"/>
    <w:rsid w:val="004555EA"/>
    <w:rsid w:val="004561F8"/>
    <w:rsid w:val="00456A34"/>
    <w:rsid w:val="0045785F"/>
    <w:rsid w:val="0046227F"/>
    <w:rsid w:val="0046402C"/>
    <w:rsid w:val="00466E39"/>
    <w:rsid w:val="0047117A"/>
    <w:rsid w:val="004749FA"/>
    <w:rsid w:val="00476094"/>
    <w:rsid w:val="0047609B"/>
    <w:rsid w:val="0047695F"/>
    <w:rsid w:val="00481203"/>
    <w:rsid w:val="00481D29"/>
    <w:rsid w:val="00484E40"/>
    <w:rsid w:val="00486EF7"/>
    <w:rsid w:val="00487874"/>
    <w:rsid w:val="0048787A"/>
    <w:rsid w:val="00487FCC"/>
    <w:rsid w:val="00492C4A"/>
    <w:rsid w:val="00492D3F"/>
    <w:rsid w:val="004933F2"/>
    <w:rsid w:val="004936BB"/>
    <w:rsid w:val="00494F04"/>
    <w:rsid w:val="00497F27"/>
    <w:rsid w:val="004A0841"/>
    <w:rsid w:val="004A0A0B"/>
    <w:rsid w:val="004A0E5C"/>
    <w:rsid w:val="004A1847"/>
    <w:rsid w:val="004A305D"/>
    <w:rsid w:val="004A3708"/>
    <w:rsid w:val="004A3CC9"/>
    <w:rsid w:val="004B3DAC"/>
    <w:rsid w:val="004B4CB6"/>
    <w:rsid w:val="004B73B9"/>
    <w:rsid w:val="004C073B"/>
    <w:rsid w:val="004C0DBB"/>
    <w:rsid w:val="004C374D"/>
    <w:rsid w:val="004C4D54"/>
    <w:rsid w:val="004C76B2"/>
    <w:rsid w:val="004C7BA4"/>
    <w:rsid w:val="004D2B6F"/>
    <w:rsid w:val="004D35F2"/>
    <w:rsid w:val="004D3DD6"/>
    <w:rsid w:val="004D7167"/>
    <w:rsid w:val="004D75AF"/>
    <w:rsid w:val="004E2B92"/>
    <w:rsid w:val="004E4778"/>
    <w:rsid w:val="004F0219"/>
    <w:rsid w:val="004F21C4"/>
    <w:rsid w:val="004F5EF4"/>
    <w:rsid w:val="004F685F"/>
    <w:rsid w:val="005000A1"/>
    <w:rsid w:val="00506DA5"/>
    <w:rsid w:val="00507D32"/>
    <w:rsid w:val="005123A0"/>
    <w:rsid w:val="00513BF7"/>
    <w:rsid w:val="00516BAD"/>
    <w:rsid w:val="005170DD"/>
    <w:rsid w:val="00517955"/>
    <w:rsid w:val="005229DB"/>
    <w:rsid w:val="00524422"/>
    <w:rsid w:val="00527477"/>
    <w:rsid w:val="005337A6"/>
    <w:rsid w:val="00534886"/>
    <w:rsid w:val="00535796"/>
    <w:rsid w:val="005365D9"/>
    <w:rsid w:val="00536A0E"/>
    <w:rsid w:val="0055262A"/>
    <w:rsid w:val="00553040"/>
    <w:rsid w:val="005549E7"/>
    <w:rsid w:val="00555541"/>
    <w:rsid w:val="005566E8"/>
    <w:rsid w:val="00560892"/>
    <w:rsid w:val="00563503"/>
    <w:rsid w:val="00570B00"/>
    <w:rsid w:val="00572622"/>
    <w:rsid w:val="00572B9A"/>
    <w:rsid w:val="00573280"/>
    <w:rsid w:val="00574867"/>
    <w:rsid w:val="00577321"/>
    <w:rsid w:val="00590ED5"/>
    <w:rsid w:val="00591460"/>
    <w:rsid w:val="00592C94"/>
    <w:rsid w:val="00594F61"/>
    <w:rsid w:val="005972AF"/>
    <w:rsid w:val="005A2CAB"/>
    <w:rsid w:val="005A52A7"/>
    <w:rsid w:val="005A57A5"/>
    <w:rsid w:val="005A65E0"/>
    <w:rsid w:val="005A78CA"/>
    <w:rsid w:val="005B0656"/>
    <w:rsid w:val="005B0879"/>
    <w:rsid w:val="005B3CA1"/>
    <w:rsid w:val="005B532B"/>
    <w:rsid w:val="005C0355"/>
    <w:rsid w:val="005C0881"/>
    <w:rsid w:val="005C2E9C"/>
    <w:rsid w:val="005C3777"/>
    <w:rsid w:val="005C5CDC"/>
    <w:rsid w:val="005D2566"/>
    <w:rsid w:val="005D476C"/>
    <w:rsid w:val="005D551B"/>
    <w:rsid w:val="005E1906"/>
    <w:rsid w:val="005E4FEE"/>
    <w:rsid w:val="005F20A4"/>
    <w:rsid w:val="005F4CEC"/>
    <w:rsid w:val="005F572F"/>
    <w:rsid w:val="005F5C80"/>
    <w:rsid w:val="005F67C1"/>
    <w:rsid w:val="00600D92"/>
    <w:rsid w:val="00603C5B"/>
    <w:rsid w:val="00611CE6"/>
    <w:rsid w:val="006137E1"/>
    <w:rsid w:val="006152AD"/>
    <w:rsid w:val="00617200"/>
    <w:rsid w:val="00617781"/>
    <w:rsid w:val="00617E91"/>
    <w:rsid w:val="006200BF"/>
    <w:rsid w:val="0062143E"/>
    <w:rsid w:val="006219F8"/>
    <w:rsid w:val="00624A89"/>
    <w:rsid w:val="00624EEC"/>
    <w:rsid w:val="006302F7"/>
    <w:rsid w:val="0063390D"/>
    <w:rsid w:val="006358FA"/>
    <w:rsid w:val="00646B9F"/>
    <w:rsid w:val="00646F24"/>
    <w:rsid w:val="006547C3"/>
    <w:rsid w:val="00660C46"/>
    <w:rsid w:val="00662087"/>
    <w:rsid w:val="00663A04"/>
    <w:rsid w:val="0066540D"/>
    <w:rsid w:val="00665436"/>
    <w:rsid w:val="00665D70"/>
    <w:rsid w:val="00672499"/>
    <w:rsid w:val="00672E26"/>
    <w:rsid w:val="00674759"/>
    <w:rsid w:val="00684F67"/>
    <w:rsid w:val="0068758B"/>
    <w:rsid w:val="006900D9"/>
    <w:rsid w:val="0069569A"/>
    <w:rsid w:val="00696EE8"/>
    <w:rsid w:val="0069741A"/>
    <w:rsid w:val="006974C5"/>
    <w:rsid w:val="006A0F39"/>
    <w:rsid w:val="006A0FE2"/>
    <w:rsid w:val="006A2BE4"/>
    <w:rsid w:val="006A5801"/>
    <w:rsid w:val="006A7A62"/>
    <w:rsid w:val="006B0CEF"/>
    <w:rsid w:val="006B34E1"/>
    <w:rsid w:val="006B439F"/>
    <w:rsid w:val="006B4707"/>
    <w:rsid w:val="006D13BA"/>
    <w:rsid w:val="006D1D21"/>
    <w:rsid w:val="006D3FAF"/>
    <w:rsid w:val="006D591D"/>
    <w:rsid w:val="006D64EE"/>
    <w:rsid w:val="006E0DEA"/>
    <w:rsid w:val="006E21C9"/>
    <w:rsid w:val="006E3942"/>
    <w:rsid w:val="006E620A"/>
    <w:rsid w:val="006E7AEE"/>
    <w:rsid w:val="006F2238"/>
    <w:rsid w:val="006F4199"/>
    <w:rsid w:val="007009D7"/>
    <w:rsid w:val="007025D7"/>
    <w:rsid w:val="00702F86"/>
    <w:rsid w:val="007043DF"/>
    <w:rsid w:val="00706C16"/>
    <w:rsid w:val="00713502"/>
    <w:rsid w:val="0071354C"/>
    <w:rsid w:val="00714E1D"/>
    <w:rsid w:val="0071557C"/>
    <w:rsid w:val="00717ACC"/>
    <w:rsid w:val="00731F30"/>
    <w:rsid w:val="00732445"/>
    <w:rsid w:val="007340C3"/>
    <w:rsid w:val="00734265"/>
    <w:rsid w:val="0073510E"/>
    <w:rsid w:val="00736C7B"/>
    <w:rsid w:val="0074067E"/>
    <w:rsid w:val="007444DB"/>
    <w:rsid w:val="007458D3"/>
    <w:rsid w:val="00747641"/>
    <w:rsid w:val="00751DE8"/>
    <w:rsid w:val="0075235A"/>
    <w:rsid w:val="00752A92"/>
    <w:rsid w:val="00752CDB"/>
    <w:rsid w:val="0075557D"/>
    <w:rsid w:val="00756841"/>
    <w:rsid w:val="007626B7"/>
    <w:rsid w:val="007649AB"/>
    <w:rsid w:val="0076649B"/>
    <w:rsid w:val="00771AEF"/>
    <w:rsid w:val="00771D0C"/>
    <w:rsid w:val="007769C6"/>
    <w:rsid w:val="00782ED2"/>
    <w:rsid w:val="007833AC"/>
    <w:rsid w:val="00787387"/>
    <w:rsid w:val="00795041"/>
    <w:rsid w:val="00795086"/>
    <w:rsid w:val="00795EC8"/>
    <w:rsid w:val="007A037B"/>
    <w:rsid w:val="007A15F1"/>
    <w:rsid w:val="007A1830"/>
    <w:rsid w:val="007B0F2A"/>
    <w:rsid w:val="007B268C"/>
    <w:rsid w:val="007B3DF4"/>
    <w:rsid w:val="007B6218"/>
    <w:rsid w:val="007B7171"/>
    <w:rsid w:val="007C0C0F"/>
    <w:rsid w:val="007C1CA8"/>
    <w:rsid w:val="007C3DC2"/>
    <w:rsid w:val="007C4353"/>
    <w:rsid w:val="007D030B"/>
    <w:rsid w:val="007D3058"/>
    <w:rsid w:val="007D4B12"/>
    <w:rsid w:val="007D5892"/>
    <w:rsid w:val="007E2B83"/>
    <w:rsid w:val="007E43AC"/>
    <w:rsid w:val="007E5497"/>
    <w:rsid w:val="00803584"/>
    <w:rsid w:val="00804BCB"/>
    <w:rsid w:val="00806F5F"/>
    <w:rsid w:val="008103F6"/>
    <w:rsid w:val="0081794A"/>
    <w:rsid w:val="00820278"/>
    <w:rsid w:val="00820488"/>
    <w:rsid w:val="0082071A"/>
    <w:rsid w:val="008258C9"/>
    <w:rsid w:val="00826745"/>
    <w:rsid w:val="00826876"/>
    <w:rsid w:val="008279F1"/>
    <w:rsid w:val="00830893"/>
    <w:rsid w:val="008323D2"/>
    <w:rsid w:val="00833286"/>
    <w:rsid w:val="0083332D"/>
    <w:rsid w:val="008353FE"/>
    <w:rsid w:val="00836232"/>
    <w:rsid w:val="0083659F"/>
    <w:rsid w:val="008413BC"/>
    <w:rsid w:val="008416DF"/>
    <w:rsid w:val="00841E29"/>
    <w:rsid w:val="00844AE9"/>
    <w:rsid w:val="0084503A"/>
    <w:rsid w:val="008478E1"/>
    <w:rsid w:val="00854D43"/>
    <w:rsid w:val="0085545E"/>
    <w:rsid w:val="008640E5"/>
    <w:rsid w:val="008644E3"/>
    <w:rsid w:val="00865D1E"/>
    <w:rsid w:val="00867F95"/>
    <w:rsid w:val="00870CC8"/>
    <w:rsid w:val="00871AAC"/>
    <w:rsid w:val="00874515"/>
    <w:rsid w:val="00875356"/>
    <w:rsid w:val="00875874"/>
    <w:rsid w:val="0087607B"/>
    <w:rsid w:val="008843B6"/>
    <w:rsid w:val="008863A3"/>
    <w:rsid w:val="00886410"/>
    <w:rsid w:val="00886ACD"/>
    <w:rsid w:val="00891928"/>
    <w:rsid w:val="00891A0E"/>
    <w:rsid w:val="008962D4"/>
    <w:rsid w:val="0089671E"/>
    <w:rsid w:val="008A446D"/>
    <w:rsid w:val="008B0D0F"/>
    <w:rsid w:val="008B25F1"/>
    <w:rsid w:val="008B6ECC"/>
    <w:rsid w:val="008B7D9A"/>
    <w:rsid w:val="008C11FD"/>
    <w:rsid w:val="008C4DD5"/>
    <w:rsid w:val="008C517A"/>
    <w:rsid w:val="008C6AE5"/>
    <w:rsid w:val="008C78D2"/>
    <w:rsid w:val="008D1660"/>
    <w:rsid w:val="008D180B"/>
    <w:rsid w:val="008E3B09"/>
    <w:rsid w:val="008E425F"/>
    <w:rsid w:val="008E5D24"/>
    <w:rsid w:val="008E731F"/>
    <w:rsid w:val="008E7E4F"/>
    <w:rsid w:val="008F0EA7"/>
    <w:rsid w:val="008F17DC"/>
    <w:rsid w:val="008F4334"/>
    <w:rsid w:val="008F553F"/>
    <w:rsid w:val="008F6705"/>
    <w:rsid w:val="00901213"/>
    <w:rsid w:val="009037F6"/>
    <w:rsid w:val="009104B2"/>
    <w:rsid w:val="0091143C"/>
    <w:rsid w:val="00920817"/>
    <w:rsid w:val="00923EEF"/>
    <w:rsid w:val="00930706"/>
    <w:rsid w:val="00933E3F"/>
    <w:rsid w:val="00935633"/>
    <w:rsid w:val="009404FB"/>
    <w:rsid w:val="009413FB"/>
    <w:rsid w:val="009419F9"/>
    <w:rsid w:val="00942D6E"/>
    <w:rsid w:val="0094661D"/>
    <w:rsid w:val="009510F0"/>
    <w:rsid w:val="00952B82"/>
    <w:rsid w:val="00953CE6"/>
    <w:rsid w:val="0095685E"/>
    <w:rsid w:val="00961B09"/>
    <w:rsid w:val="00962682"/>
    <w:rsid w:val="009637A2"/>
    <w:rsid w:val="00963E12"/>
    <w:rsid w:val="00964321"/>
    <w:rsid w:val="00965334"/>
    <w:rsid w:val="009672FF"/>
    <w:rsid w:val="0097093E"/>
    <w:rsid w:val="009722DE"/>
    <w:rsid w:val="0097417F"/>
    <w:rsid w:val="00977D4A"/>
    <w:rsid w:val="00980DEF"/>
    <w:rsid w:val="00983D34"/>
    <w:rsid w:val="00984DB3"/>
    <w:rsid w:val="00987226"/>
    <w:rsid w:val="009904C7"/>
    <w:rsid w:val="00992E19"/>
    <w:rsid w:val="009A0486"/>
    <w:rsid w:val="009A0DFA"/>
    <w:rsid w:val="009A612C"/>
    <w:rsid w:val="009A6502"/>
    <w:rsid w:val="009A78FD"/>
    <w:rsid w:val="009B1AB8"/>
    <w:rsid w:val="009B2146"/>
    <w:rsid w:val="009B28B9"/>
    <w:rsid w:val="009B2D26"/>
    <w:rsid w:val="009B327D"/>
    <w:rsid w:val="009B4B7C"/>
    <w:rsid w:val="009C096F"/>
    <w:rsid w:val="009C71FA"/>
    <w:rsid w:val="009C72E7"/>
    <w:rsid w:val="009C7F7E"/>
    <w:rsid w:val="009D23F2"/>
    <w:rsid w:val="009D291F"/>
    <w:rsid w:val="009D3058"/>
    <w:rsid w:val="009E1F28"/>
    <w:rsid w:val="009E6924"/>
    <w:rsid w:val="009E7AED"/>
    <w:rsid w:val="009F0851"/>
    <w:rsid w:val="009F3A13"/>
    <w:rsid w:val="009F4B67"/>
    <w:rsid w:val="009F7A6E"/>
    <w:rsid w:val="00A000E0"/>
    <w:rsid w:val="00A0334B"/>
    <w:rsid w:val="00A0526C"/>
    <w:rsid w:val="00A1080B"/>
    <w:rsid w:val="00A10FDA"/>
    <w:rsid w:val="00A122D3"/>
    <w:rsid w:val="00A14468"/>
    <w:rsid w:val="00A14FD4"/>
    <w:rsid w:val="00A17F13"/>
    <w:rsid w:val="00A20739"/>
    <w:rsid w:val="00A23AF9"/>
    <w:rsid w:val="00A3077C"/>
    <w:rsid w:val="00A313B5"/>
    <w:rsid w:val="00A31A76"/>
    <w:rsid w:val="00A3273B"/>
    <w:rsid w:val="00A33C78"/>
    <w:rsid w:val="00A35B7E"/>
    <w:rsid w:val="00A35F58"/>
    <w:rsid w:val="00A36901"/>
    <w:rsid w:val="00A375A1"/>
    <w:rsid w:val="00A40833"/>
    <w:rsid w:val="00A41851"/>
    <w:rsid w:val="00A45181"/>
    <w:rsid w:val="00A45F6E"/>
    <w:rsid w:val="00A5163D"/>
    <w:rsid w:val="00A51B04"/>
    <w:rsid w:val="00A52429"/>
    <w:rsid w:val="00A53338"/>
    <w:rsid w:val="00A538E4"/>
    <w:rsid w:val="00A53C2C"/>
    <w:rsid w:val="00A5684A"/>
    <w:rsid w:val="00A6138D"/>
    <w:rsid w:val="00A63FBB"/>
    <w:rsid w:val="00A667B5"/>
    <w:rsid w:val="00A711CD"/>
    <w:rsid w:val="00A73F45"/>
    <w:rsid w:val="00A81AEF"/>
    <w:rsid w:val="00A81B28"/>
    <w:rsid w:val="00A83424"/>
    <w:rsid w:val="00A844D1"/>
    <w:rsid w:val="00A8776C"/>
    <w:rsid w:val="00A95D6C"/>
    <w:rsid w:val="00AA1E47"/>
    <w:rsid w:val="00AA597A"/>
    <w:rsid w:val="00AB0ADB"/>
    <w:rsid w:val="00AB3499"/>
    <w:rsid w:val="00AB436E"/>
    <w:rsid w:val="00AB78B3"/>
    <w:rsid w:val="00AC1230"/>
    <w:rsid w:val="00AC1FB2"/>
    <w:rsid w:val="00AD173A"/>
    <w:rsid w:val="00AD7D5F"/>
    <w:rsid w:val="00AE1F6E"/>
    <w:rsid w:val="00AE3513"/>
    <w:rsid w:val="00AE5769"/>
    <w:rsid w:val="00AE5DD2"/>
    <w:rsid w:val="00AE628E"/>
    <w:rsid w:val="00AF02BE"/>
    <w:rsid w:val="00AF5A10"/>
    <w:rsid w:val="00B00C0E"/>
    <w:rsid w:val="00B01B1A"/>
    <w:rsid w:val="00B04DA1"/>
    <w:rsid w:val="00B11075"/>
    <w:rsid w:val="00B17C5B"/>
    <w:rsid w:val="00B206B6"/>
    <w:rsid w:val="00B22E1F"/>
    <w:rsid w:val="00B23477"/>
    <w:rsid w:val="00B234CF"/>
    <w:rsid w:val="00B25FCB"/>
    <w:rsid w:val="00B260B6"/>
    <w:rsid w:val="00B27672"/>
    <w:rsid w:val="00B35656"/>
    <w:rsid w:val="00B35EEE"/>
    <w:rsid w:val="00B3777B"/>
    <w:rsid w:val="00B37EB5"/>
    <w:rsid w:val="00B44A47"/>
    <w:rsid w:val="00B451E0"/>
    <w:rsid w:val="00B476EA"/>
    <w:rsid w:val="00B54271"/>
    <w:rsid w:val="00B5550F"/>
    <w:rsid w:val="00B5553C"/>
    <w:rsid w:val="00B5655B"/>
    <w:rsid w:val="00B57757"/>
    <w:rsid w:val="00B6149C"/>
    <w:rsid w:val="00B63E6A"/>
    <w:rsid w:val="00B64484"/>
    <w:rsid w:val="00B66623"/>
    <w:rsid w:val="00B67165"/>
    <w:rsid w:val="00B71FD5"/>
    <w:rsid w:val="00B72CD3"/>
    <w:rsid w:val="00B72FFF"/>
    <w:rsid w:val="00B74092"/>
    <w:rsid w:val="00B849CF"/>
    <w:rsid w:val="00B920FF"/>
    <w:rsid w:val="00B9517D"/>
    <w:rsid w:val="00B958FC"/>
    <w:rsid w:val="00B95DAC"/>
    <w:rsid w:val="00B97D85"/>
    <w:rsid w:val="00BA1DA5"/>
    <w:rsid w:val="00BA2EB9"/>
    <w:rsid w:val="00BA6285"/>
    <w:rsid w:val="00BA703D"/>
    <w:rsid w:val="00BB080D"/>
    <w:rsid w:val="00BB0B20"/>
    <w:rsid w:val="00BC3D36"/>
    <w:rsid w:val="00BC5D42"/>
    <w:rsid w:val="00BC70CB"/>
    <w:rsid w:val="00BD13AC"/>
    <w:rsid w:val="00BD3E96"/>
    <w:rsid w:val="00BD54A6"/>
    <w:rsid w:val="00BD6C63"/>
    <w:rsid w:val="00BD7F72"/>
    <w:rsid w:val="00BF056C"/>
    <w:rsid w:val="00BF3B66"/>
    <w:rsid w:val="00BF5C08"/>
    <w:rsid w:val="00BF6677"/>
    <w:rsid w:val="00BF696E"/>
    <w:rsid w:val="00BF7425"/>
    <w:rsid w:val="00C00D71"/>
    <w:rsid w:val="00C0132E"/>
    <w:rsid w:val="00C01550"/>
    <w:rsid w:val="00C02C49"/>
    <w:rsid w:val="00C040A2"/>
    <w:rsid w:val="00C04FB3"/>
    <w:rsid w:val="00C11D8B"/>
    <w:rsid w:val="00C1350D"/>
    <w:rsid w:val="00C15AC7"/>
    <w:rsid w:val="00C2359C"/>
    <w:rsid w:val="00C251B0"/>
    <w:rsid w:val="00C25D98"/>
    <w:rsid w:val="00C26E65"/>
    <w:rsid w:val="00C330EB"/>
    <w:rsid w:val="00C333DA"/>
    <w:rsid w:val="00C339FB"/>
    <w:rsid w:val="00C369EA"/>
    <w:rsid w:val="00C419DF"/>
    <w:rsid w:val="00C41CA6"/>
    <w:rsid w:val="00C50D69"/>
    <w:rsid w:val="00C5365C"/>
    <w:rsid w:val="00C54BFF"/>
    <w:rsid w:val="00C56ABA"/>
    <w:rsid w:val="00C619D4"/>
    <w:rsid w:val="00C61D93"/>
    <w:rsid w:val="00C623D8"/>
    <w:rsid w:val="00C66D37"/>
    <w:rsid w:val="00C67DC6"/>
    <w:rsid w:val="00C754BE"/>
    <w:rsid w:val="00C76B1C"/>
    <w:rsid w:val="00C82667"/>
    <w:rsid w:val="00C84D51"/>
    <w:rsid w:val="00C90C96"/>
    <w:rsid w:val="00C925AC"/>
    <w:rsid w:val="00C94828"/>
    <w:rsid w:val="00C963BE"/>
    <w:rsid w:val="00C963DC"/>
    <w:rsid w:val="00C96B64"/>
    <w:rsid w:val="00C97F13"/>
    <w:rsid w:val="00CA2858"/>
    <w:rsid w:val="00CA4500"/>
    <w:rsid w:val="00CA4808"/>
    <w:rsid w:val="00CB02F1"/>
    <w:rsid w:val="00CB502B"/>
    <w:rsid w:val="00CB6238"/>
    <w:rsid w:val="00CB6357"/>
    <w:rsid w:val="00CC1B26"/>
    <w:rsid w:val="00CD4C85"/>
    <w:rsid w:val="00CD553F"/>
    <w:rsid w:val="00CD6278"/>
    <w:rsid w:val="00CD6C70"/>
    <w:rsid w:val="00CE031F"/>
    <w:rsid w:val="00CE3C1C"/>
    <w:rsid w:val="00CE4026"/>
    <w:rsid w:val="00CF39F8"/>
    <w:rsid w:val="00CF4267"/>
    <w:rsid w:val="00CF5163"/>
    <w:rsid w:val="00CF743A"/>
    <w:rsid w:val="00D04A89"/>
    <w:rsid w:val="00D06146"/>
    <w:rsid w:val="00D0699E"/>
    <w:rsid w:val="00D07C59"/>
    <w:rsid w:val="00D1210B"/>
    <w:rsid w:val="00D1657D"/>
    <w:rsid w:val="00D222C0"/>
    <w:rsid w:val="00D22D2B"/>
    <w:rsid w:val="00D334DD"/>
    <w:rsid w:val="00D345BA"/>
    <w:rsid w:val="00D34EA3"/>
    <w:rsid w:val="00D359CA"/>
    <w:rsid w:val="00D361FD"/>
    <w:rsid w:val="00D369A1"/>
    <w:rsid w:val="00D41051"/>
    <w:rsid w:val="00D410EB"/>
    <w:rsid w:val="00D423A2"/>
    <w:rsid w:val="00D44CCF"/>
    <w:rsid w:val="00D44E26"/>
    <w:rsid w:val="00D46B98"/>
    <w:rsid w:val="00D47697"/>
    <w:rsid w:val="00D51A5D"/>
    <w:rsid w:val="00D520D8"/>
    <w:rsid w:val="00D532D4"/>
    <w:rsid w:val="00D5423E"/>
    <w:rsid w:val="00D54375"/>
    <w:rsid w:val="00D556FC"/>
    <w:rsid w:val="00D56713"/>
    <w:rsid w:val="00D567E8"/>
    <w:rsid w:val="00D56F8A"/>
    <w:rsid w:val="00D61FBA"/>
    <w:rsid w:val="00D62B9C"/>
    <w:rsid w:val="00D63185"/>
    <w:rsid w:val="00D63AC2"/>
    <w:rsid w:val="00D64111"/>
    <w:rsid w:val="00D64717"/>
    <w:rsid w:val="00D64AFC"/>
    <w:rsid w:val="00D7383B"/>
    <w:rsid w:val="00D73DBD"/>
    <w:rsid w:val="00D7541C"/>
    <w:rsid w:val="00D7788A"/>
    <w:rsid w:val="00D85F06"/>
    <w:rsid w:val="00D921DA"/>
    <w:rsid w:val="00D936A2"/>
    <w:rsid w:val="00DA1236"/>
    <w:rsid w:val="00DA231B"/>
    <w:rsid w:val="00DA4FF5"/>
    <w:rsid w:val="00DA6484"/>
    <w:rsid w:val="00DB11E9"/>
    <w:rsid w:val="00DB13F4"/>
    <w:rsid w:val="00DB2DB5"/>
    <w:rsid w:val="00DB55DA"/>
    <w:rsid w:val="00DC0A0F"/>
    <w:rsid w:val="00DC39FC"/>
    <w:rsid w:val="00DC641D"/>
    <w:rsid w:val="00DC7CCB"/>
    <w:rsid w:val="00DD0A81"/>
    <w:rsid w:val="00DD474D"/>
    <w:rsid w:val="00DE2A84"/>
    <w:rsid w:val="00DE4331"/>
    <w:rsid w:val="00DE6624"/>
    <w:rsid w:val="00DE6EC3"/>
    <w:rsid w:val="00DE7716"/>
    <w:rsid w:val="00DF198F"/>
    <w:rsid w:val="00DF5254"/>
    <w:rsid w:val="00E014BF"/>
    <w:rsid w:val="00E02524"/>
    <w:rsid w:val="00E1159D"/>
    <w:rsid w:val="00E12AD3"/>
    <w:rsid w:val="00E1451E"/>
    <w:rsid w:val="00E16408"/>
    <w:rsid w:val="00E164DF"/>
    <w:rsid w:val="00E1751A"/>
    <w:rsid w:val="00E20894"/>
    <w:rsid w:val="00E245AB"/>
    <w:rsid w:val="00E27341"/>
    <w:rsid w:val="00E2764C"/>
    <w:rsid w:val="00E27F2E"/>
    <w:rsid w:val="00E31225"/>
    <w:rsid w:val="00E317FD"/>
    <w:rsid w:val="00E40E05"/>
    <w:rsid w:val="00E4174B"/>
    <w:rsid w:val="00E501E7"/>
    <w:rsid w:val="00E50AFE"/>
    <w:rsid w:val="00E520AD"/>
    <w:rsid w:val="00E538B2"/>
    <w:rsid w:val="00E556C0"/>
    <w:rsid w:val="00E577E2"/>
    <w:rsid w:val="00E615C4"/>
    <w:rsid w:val="00E62DB3"/>
    <w:rsid w:val="00E65BE7"/>
    <w:rsid w:val="00E71E1B"/>
    <w:rsid w:val="00E75C92"/>
    <w:rsid w:val="00E771DC"/>
    <w:rsid w:val="00E84D1F"/>
    <w:rsid w:val="00E8772A"/>
    <w:rsid w:val="00E90F6B"/>
    <w:rsid w:val="00E91AED"/>
    <w:rsid w:val="00E92C27"/>
    <w:rsid w:val="00E96956"/>
    <w:rsid w:val="00E96B5C"/>
    <w:rsid w:val="00EA0437"/>
    <w:rsid w:val="00EA0E3D"/>
    <w:rsid w:val="00EA255D"/>
    <w:rsid w:val="00EA2DC0"/>
    <w:rsid w:val="00EA426C"/>
    <w:rsid w:val="00EA6FBA"/>
    <w:rsid w:val="00EB224C"/>
    <w:rsid w:val="00EB7C99"/>
    <w:rsid w:val="00EC006D"/>
    <w:rsid w:val="00EC1332"/>
    <w:rsid w:val="00EC1F38"/>
    <w:rsid w:val="00EC297F"/>
    <w:rsid w:val="00EC2CE3"/>
    <w:rsid w:val="00EC38A7"/>
    <w:rsid w:val="00EC5208"/>
    <w:rsid w:val="00ED0D0A"/>
    <w:rsid w:val="00ED21CD"/>
    <w:rsid w:val="00ED4980"/>
    <w:rsid w:val="00ED53B2"/>
    <w:rsid w:val="00EE1AA8"/>
    <w:rsid w:val="00EE200B"/>
    <w:rsid w:val="00EE265D"/>
    <w:rsid w:val="00EE3D99"/>
    <w:rsid w:val="00EF0A18"/>
    <w:rsid w:val="00EF1D4F"/>
    <w:rsid w:val="00EF244B"/>
    <w:rsid w:val="00EF4E7D"/>
    <w:rsid w:val="00EF5E13"/>
    <w:rsid w:val="00EF647F"/>
    <w:rsid w:val="00EF659B"/>
    <w:rsid w:val="00F03314"/>
    <w:rsid w:val="00F0580C"/>
    <w:rsid w:val="00F15C49"/>
    <w:rsid w:val="00F174B5"/>
    <w:rsid w:val="00F21A6A"/>
    <w:rsid w:val="00F23FEA"/>
    <w:rsid w:val="00F245D4"/>
    <w:rsid w:val="00F26CAB"/>
    <w:rsid w:val="00F27B7B"/>
    <w:rsid w:val="00F3142A"/>
    <w:rsid w:val="00F31EDC"/>
    <w:rsid w:val="00F33EA4"/>
    <w:rsid w:val="00F34294"/>
    <w:rsid w:val="00F34732"/>
    <w:rsid w:val="00F3515A"/>
    <w:rsid w:val="00F35913"/>
    <w:rsid w:val="00F423E6"/>
    <w:rsid w:val="00F44284"/>
    <w:rsid w:val="00F462B3"/>
    <w:rsid w:val="00F53C8A"/>
    <w:rsid w:val="00F565AA"/>
    <w:rsid w:val="00F5664F"/>
    <w:rsid w:val="00F60B03"/>
    <w:rsid w:val="00F61B54"/>
    <w:rsid w:val="00F62401"/>
    <w:rsid w:val="00F64925"/>
    <w:rsid w:val="00F65ED4"/>
    <w:rsid w:val="00F666C4"/>
    <w:rsid w:val="00F76AFC"/>
    <w:rsid w:val="00F815B1"/>
    <w:rsid w:val="00F81BF0"/>
    <w:rsid w:val="00F82C60"/>
    <w:rsid w:val="00F82E88"/>
    <w:rsid w:val="00F86E11"/>
    <w:rsid w:val="00F86E3E"/>
    <w:rsid w:val="00F86F61"/>
    <w:rsid w:val="00F930C8"/>
    <w:rsid w:val="00F95C74"/>
    <w:rsid w:val="00FA47C0"/>
    <w:rsid w:val="00FA5FFD"/>
    <w:rsid w:val="00FA6287"/>
    <w:rsid w:val="00FB0E28"/>
    <w:rsid w:val="00FB27A3"/>
    <w:rsid w:val="00FB5DD1"/>
    <w:rsid w:val="00FB6FC2"/>
    <w:rsid w:val="00FC2B5D"/>
    <w:rsid w:val="00FC3DA4"/>
    <w:rsid w:val="00FC4411"/>
    <w:rsid w:val="00FC6DCD"/>
    <w:rsid w:val="00FC7AF4"/>
    <w:rsid w:val="00FD1DDC"/>
    <w:rsid w:val="00FD2053"/>
    <w:rsid w:val="00FD36A4"/>
    <w:rsid w:val="00FD3AD2"/>
    <w:rsid w:val="00FD59D3"/>
    <w:rsid w:val="00FD5B05"/>
    <w:rsid w:val="00FE1128"/>
    <w:rsid w:val="00FF1449"/>
    <w:rsid w:val="00FF227D"/>
    <w:rsid w:val="00FF339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563503"/>
    <w:rPr>
      <w:color w:val="605E5C"/>
      <w:shd w:val="clear" w:color="auto" w:fill="E1DFDD"/>
    </w:rPr>
  </w:style>
  <w:style w:type="character" w:customStyle="1" w:styleId="NormalWebCar">
    <w:name w:val="Normal (Web) Car"/>
    <w:link w:val="NormalWeb"/>
    <w:uiPriority w:val="99"/>
    <w:rsid w:val="004933F2"/>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4933F2"/>
    <w:rPr>
      <w:b/>
      <w:bCs/>
    </w:rPr>
  </w:style>
  <w:style w:type="character" w:styleId="nfasis">
    <w:name w:val="Emphasis"/>
    <w:basedOn w:val="Fuentedeprrafopredeter"/>
    <w:uiPriority w:val="20"/>
    <w:qFormat/>
    <w:rsid w:val="004933F2"/>
    <w:rPr>
      <w:i/>
      <w:iCs/>
    </w:rPr>
  </w:style>
  <w:style w:type="paragraph" w:customStyle="1" w:styleId="font-claude-response-body">
    <w:name w:val="font-claude-response-body"/>
    <w:basedOn w:val="Normal"/>
    <w:rsid w:val="00EB7C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javier.forero@aerocivil.gov.co" TargetMode="External"/><Relationship Id="rId17" Type="http://schemas.openxmlformats.org/officeDocument/2006/relationships/hyperlink" Target="https://www.colombiacompra.gov.co/archivos/boletin/boletin-edicion-n-3-de-2026-radar-de-la-compra-publi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circular/circular-externa-002-de-2026"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circular/circular-externa-003-de-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thedocs.worldbank.org/en/doc/178331533065871195-0290022020/original/ProcurementRegulations.pdf" TargetMode="External"/><Relationship Id="rId3" Type="http://schemas.openxmlformats.org/officeDocument/2006/relationships/hyperlink" Target="https://www.apccolombia.gov.co/comunicaciones/publicaciones/herramientas-normativas-de-la-cooperacion-internacional-en-colombia" TargetMode="External"/><Relationship Id="rId7" Type="http://schemas.openxmlformats.org/officeDocument/2006/relationships/hyperlink" Target="https://dpej.rae.es/lema/asesor%C3%ADa" TargetMode="External"/><Relationship Id="rId2" Type="http://schemas.openxmlformats.org/officeDocument/2006/relationships/hyperlink" Target="https://colaboracion.dnp.gov.co/CDT/portalDNP/PND-2023/PND_2018-2022/pdf/bases-pnd-2018-2022.pdf" TargetMode="External"/><Relationship Id="rId1" Type="http://schemas.openxmlformats.org/officeDocument/2006/relationships/hyperlink" Target="http://www.secretariasenado.gov.co/senado/basedoc/ley_0080_1993.html" TargetMode="External"/><Relationship Id="rId6" Type="http://schemas.openxmlformats.org/officeDocument/2006/relationships/hyperlink" Target="https://www.apccolombia.gov.co/comunicaciones/publicaciones/herramientas-normativas-de-la-cooperacion-internacional-en-colombia" TargetMode="External"/><Relationship Id="rId5" Type="http://schemas.openxmlformats.org/officeDocument/2006/relationships/hyperlink" Target="https://apccolombia.gov.co/preguntas-frecuentes" TargetMode="External"/><Relationship Id="rId4" Type="http://schemas.openxmlformats.org/officeDocument/2006/relationships/hyperlink" Target="https://www.apccolombia.gov.co/sistema-nacional-de-cooperacion-internacion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579576F-437E-4CC3-A6F5-DB8D3C779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64</Pages>
  <Words>21962</Words>
  <Characters>120792</Characters>
  <Application>Microsoft Office Word</Application>
  <DocSecurity>0</DocSecurity>
  <Lines>1006</Lines>
  <Paragraphs>284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30</cp:revision>
  <cp:lastPrinted>2023-01-10T21:18:00Z</cp:lastPrinted>
  <dcterms:created xsi:type="dcterms:W3CDTF">2026-10-20T20:07:00Z</dcterms:created>
  <dcterms:modified xsi:type="dcterms:W3CDTF">2026-10-21T14:47:00Z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