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B943" w14:textId="77777777" w:rsidR="00954AD2" w:rsidRDefault="00954AD2" w:rsidP="00EA255A">
      <w:pPr>
        <w:spacing w:after="0" w:line="240" w:lineRule="auto"/>
        <w:jc w:val="both"/>
        <w:rPr>
          <w:rFonts w:ascii="Verdana" w:hAnsi="Verdana" w:cs="Arial"/>
          <w:b/>
          <w:lang w:val="es-ES_tradnl" w:eastAsia="es-ES"/>
        </w:rPr>
      </w:pPr>
      <w:bookmarkStart w:id="0" w:name="_Hlk143780582"/>
    </w:p>
    <w:p w14:paraId="020F9584" w14:textId="2ECA011E" w:rsidR="00EA255A" w:rsidRPr="0047640A" w:rsidRDefault="00EA255A" w:rsidP="00EA255A">
      <w:pPr>
        <w:spacing w:after="0" w:line="240" w:lineRule="auto"/>
        <w:jc w:val="both"/>
        <w:rPr>
          <w:rFonts w:ascii="Verdana" w:hAnsi="Verdana" w:cs="Arial"/>
          <w:b/>
          <w:lang w:val="es-ES_tradnl" w:eastAsia="es-ES"/>
        </w:rPr>
      </w:pPr>
      <w:r w:rsidRPr="0047640A">
        <w:rPr>
          <w:rFonts w:ascii="Verdana" w:hAnsi="Verdana" w:cs="Arial"/>
          <w:b/>
          <w:lang w:val="es-ES_tradnl" w:eastAsia="es-ES"/>
        </w:rPr>
        <w:t xml:space="preserve">LIQUIDACIÓN DEL CONTRATO – Definición – Objetivo </w:t>
      </w:r>
    </w:p>
    <w:p w14:paraId="2AE7A040" w14:textId="77777777" w:rsidR="00EA255A" w:rsidRPr="0047640A" w:rsidRDefault="00EA255A" w:rsidP="00EA255A">
      <w:pPr>
        <w:spacing w:after="0" w:line="240" w:lineRule="auto"/>
        <w:jc w:val="both"/>
        <w:rPr>
          <w:rFonts w:ascii="Verdana" w:hAnsi="Verdana" w:cs="Arial"/>
          <w:b/>
          <w:sz w:val="16"/>
          <w:szCs w:val="16"/>
          <w:lang w:val="es-ES_tradnl" w:eastAsia="es-ES"/>
        </w:rPr>
      </w:pPr>
    </w:p>
    <w:p w14:paraId="12FB930B" w14:textId="77777777" w:rsidR="00EA255A" w:rsidRPr="00693380" w:rsidRDefault="00EA255A" w:rsidP="00EA255A">
      <w:pPr>
        <w:spacing w:after="0" w:line="240" w:lineRule="auto"/>
        <w:jc w:val="both"/>
        <w:rPr>
          <w:rFonts w:ascii="Verdana" w:hAnsi="Verdana" w:cs="Arial"/>
          <w:sz w:val="18"/>
          <w:szCs w:val="18"/>
          <w:lang w:val="es-ES"/>
        </w:rPr>
      </w:pPr>
      <w:r w:rsidRPr="00693380">
        <w:rPr>
          <w:rFonts w:ascii="Verdana" w:eastAsia="Calibri" w:hAnsi="Verdana" w:cs="Arial"/>
          <w:color w:val="000000"/>
          <w:sz w:val="20"/>
          <w:szCs w:val="20"/>
          <w:lang w:val="es-ES"/>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sidRPr="00693380">
        <w:rPr>
          <w:rFonts w:ascii="Verdana" w:hAnsi="Verdana" w:cs="Arial"/>
          <w:sz w:val="18"/>
          <w:szCs w:val="18"/>
          <w:lang w:val="es-ES"/>
        </w:rPr>
        <w:t>.</w:t>
      </w:r>
    </w:p>
    <w:p w14:paraId="5844C4AB" w14:textId="77777777" w:rsidR="00EA255A" w:rsidRPr="0047640A" w:rsidRDefault="00EA255A" w:rsidP="00EA255A">
      <w:pPr>
        <w:spacing w:after="0" w:line="240" w:lineRule="auto"/>
        <w:jc w:val="both"/>
        <w:rPr>
          <w:rFonts w:ascii="Verdana" w:hAnsi="Verdana" w:cs="Arial"/>
          <w:sz w:val="20"/>
          <w:szCs w:val="20"/>
          <w:lang w:val="es-ES_tradnl" w:eastAsia="es-ES"/>
        </w:rPr>
      </w:pPr>
    </w:p>
    <w:p w14:paraId="6139AC63" w14:textId="77777777" w:rsidR="00EA255A" w:rsidRPr="0047640A" w:rsidRDefault="00EA255A" w:rsidP="00EA255A">
      <w:pPr>
        <w:spacing w:after="0" w:line="240" w:lineRule="auto"/>
        <w:jc w:val="both"/>
        <w:rPr>
          <w:rFonts w:ascii="Verdana" w:hAnsi="Verdana" w:cs="Arial"/>
          <w:b/>
          <w:lang w:val="es-ES_tradnl" w:eastAsia="es-ES"/>
        </w:rPr>
      </w:pPr>
      <w:r w:rsidRPr="0047640A">
        <w:rPr>
          <w:rFonts w:ascii="Verdana" w:hAnsi="Verdana" w:cs="Arial"/>
          <w:b/>
          <w:lang w:val="es-ES_tradnl" w:eastAsia="es-ES"/>
        </w:rPr>
        <w:t xml:space="preserve">LIQUIDACIÓN DEL CONTRATO – Normativa </w:t>
      </w:r>
    </w:p>
    <w:p w14:paraId="7C972AC0" w14:textId="77777777" w:rsidR="00EA255A" w:rsidRPr="0047640A" w:rsidRDefault="00EA255A" w:rsidP="00EA255A">
      <w:pPr>
        <w:spacing w:after="0" w:line="240" w:lineRule="auto"/>
        <w:jc w:val="both"/>
        <w:rPr>
          <w:rFonts w:ascii="Verdana" w:hAnsi="Verdana" w:cs="Arial"/>
          <w:sz w:val="20"/>
          <w:szCs w:val="20"/>
          <w:lang w:val="es-ES_tradnl" w:eastAsia="es-ES"/>
        </w:rPr>
      </w:pPr>
    </w:p>
    <w:p w14:paraId="4E501151" w14:textId="77777777" w:rsidR="00EA255A" w:rsidRPr="0047640A" w:rsidRDefault="00EA255A" w:rsidP="00EA255A">
      <w:pPr>
        <w:spacing w:after="0" w:line="240" w:lineRule="auto"/>
        <w:jc w:val="both"/>
        <w:rPr>
          <w:rFonts w:ascii="Verdana" w:hAnsi="Verdana" w:cs="Arial"/>
          <w:sz w:val="20"/>
          <w:szCs w:val="20"/>
          <w:lang w:val="es-ES" w:eastAsia="es-ES"/>
        </w:rPr>
      </w:pPr>
      <w:r w:rsidRPr="0047640A">
        <w:rPr>
          <w:rFonts w:ascii="Verdana" w:hAnsi="Verdana" w:cs="Arial"/>
          <w:sz w:val="20"/>
          <w:szCs w:val="20"/>
          <w:lang w:val="es-ES" w:eastAsia="es-ES"/>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 contiene las reglas de tipo procedimental para liquidar los contratos estatales, […].</w:t>
      </w:r>
    </w:p>
    <w:p w14:paraId="70B53D25" w14:textId="77777777" w:rsidR="00EA255A" w:rsidRPr="0047640A" w:rsidRDefault="00EA255A" w:rsidP="00EA255A">
      <w:pPr>
        <w:spacing w:after="0" w:line="240" w:lineRule="auto"/>
        <w:jc w:val="both"/>
        <w:rPr>
          <w:rFonts w:ascii="Verdana" w:hAnsi="Verdana" w:cs="Arial"/>
          <w:b/>
          <w:lang w:val="es-ES_tradnl" w:eastAsia="es-ES"/>
        </w:rPr>
      </w:pPr>
    </w:p>
    <w:p w14:paraId="73F7A3C8" w14:textId="77777777" w:rsidR="00EA255A" w:rsidRPr="0047640A" w:rsidRDefault="00EA255A" w:rsidP="00EA255A">
      <w:pPr>
        <w:spacing w:after="0" w:line="240" w:lineRule="auto"/>
        <w:jc w:val="both"/>
        <w:rPr>
          <w:rFonts w:ascii="Verdana" w:hAnsi="Verdana" w:cs="Arial"/>
          <w:b/>
          <w:lang w:val="es-ES_tradnl" w:eastAsia="es-ES"/>
        </w:rPr>
      </w:pPr>
      <w:r w:rsidRPr="0047640A">
        <w:rPr>
          <w:rFonts w:ascii="Verdana" w:hAnsi="Verdana" w:cs="Arial"/>
          <w:b/>
          <w:lang w:val="es-ES_tradnl" w:eastAsia="es-ES"/>
        </w:rPr>
        <w:t>LIQUIDACIÓN DEL CONTRATO – Tipos – Bilateral – Unilateral – Judicial</w:t>
      </w:r>
    </w:p>
    <w:p w14:paraId="7E532CDC" w14:textId="77777777" w:rsidR="00EA255A" w:rsidRPr="0047640A" w:rsidRDefault="00EA255A" w:rsidP="00EA255A">
      <w:pPr>
        <w:spacing w:after="0" w:line="240" w:lineRule="auto"/>
        <w:jc w:val="both"/>
        <w:rPr>
          <w:rFonts w:ascii="Verdana" w:hAnsi="Verdana" w:cs="Arial"/>
          <w:b/>
          <w:lang w:val="es-ES_tradnl" w:eastAsia="es-ES"/>
        </w:rPr>
      </w:pPr>
    </w:p>
    <w:p w14:paraId="57ECE1D7" w14:textId="77777777" w:rsidR="00EA255A" w:rsidRPr="005F05A0" w:rsidRDefault="00EA255A" w:rsidP="00EA255A">
      <w:pPr>
        <w:spacing w:after="0" w:line="240" w:lineRule="auto"/>
        <w:jc w:val="both"/>
        <w:rPr>
          <w:rFonts w:ascii="Verdana" w:hAnsi="Verdana" w:cs="Arial"/>
          <w:sz w:val="20"/>
          <w:szCs w:val="20"/>
          <w:lang w:val="es-ES" w:eastAsia="es-ES"/>
        </w:rPr>
      </w:pPr>
      <w:r w:rsidRPr="0047640A">
        <w:rPr>
          <w:rFonts w:ascii="Verdana" w:hAnsi="Verdana" w:cs="Arial"/>
          <w:sz w:val="20"/>
          <w:szCs w:val="20"/>
          <w:lang w:val="es-ES" w:eastAsia="es-ES"/>
        </w:rPr>
        <w:t xml:space="preserve">En suma, de acuerdo con el artículo 11 de la Ley 1150 de 2007, existen tres tipos de liquidación: i) bilateral, </w:t>
      </w:r>
      <w:proofErr w:type="spellStart"/>
      <w:r w:rsidRPr="0047640A">
        <w:rPr>
          <w:rFonts w:ascii="Verdana" w:hAnsi="Verdana" w:cs="Arial"/>
          <w:sz w:val="20"/>
          <w:szCs w:val="20"/>
          <w:lang w:val="es-ES" w:eastAsia="es-ES"/>
        </w:rPr>
        <w:t>ii</w:t>
      </w:r>
      <w:proofErr w:type="spellEnd"/>
      <w:r w:rsidRPr="0047640A">
        <w:rPr>
          <w:rFonts w:ascii="Verdana" w:hAnsi="Verdana" w:cs="Arial"/>
          <w:sz w:val="20"/>
          <w:szCs w:val="20"/>
          <w:lang w:val="es-ES" w:eastAsia="es-ES"/>
        </w:rPr>
        <w:t xml:space="preserve">) unilateral y </w:t>
      </w:r>
      <w:proofErr w:type="spellStart"/>
      <w:r w:rsidRPr="0047640A">
        <w:rPr>
          <w:rFonts w:ascii="Verdana" w:hAnsi="Verdana" w:cs="Arial"/>
          <w:sz w:val="20"/>
          <w:szCs w:val="20"/>
          <w:lang w:val="es-ES" w:eastAsia="es-ES"/>
        </w:rPr>
        <w:t>iii</w:t>
      </w:r>
      <w:proofErr w:type="spellEnd"/>
      <w:r w:rsidRPr="0047640A">
        <w:rPr>
          <w:rFonts w:ascii="Verdana" w:hAnsi="Verdana" w:cs="Arial"/>
          <w:sz w:val="20"/>
          <w:szCs w:val="20"/>
          <w:lang w:val="es-ES" w:eastAsia="es-ES"/>
        </w:rPr>
        <w:t>) judicial. En términos generales, la primera, que puede ser total o parcial, debe hacerse en el término que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2 años contados a partir de los dos meses establecidos en la Ley para realizar la liquidación unilateral, de conformidad con el citado auto de unificación jurisprudencial del Consejo de Estado.</w:t>
      </w:r>
    </w:p>
    <w:p w14:paraId="35A0E0EE" w14:textId="77777777" w:rsidR="00EA255A" w:rsidRDefault="00EA255A" w:rsidP="00EA255A">
      <w:pPr>
        <w:spacing w:after="0" w:line="240" w:lineRule="auto"/>
        <w:jc w:val="both"/>
      </w:pPr>
    </w:p>
    <w:p w14:paraId="77E1CC8B" w14:textId="77777777" w:rsidR="00EA255A" w:rsidRDefault="00EA255A" w:rsidP="00EA255A">
      <w:pPr>
        <w:jc w:val="both"/>
        <w:rPr>
          <w:rFonts w:ascii="Verdana" w:eastAsia="Calibri" w:hAnsi="Verdana" w:cs="Arial"/>
          <w:b/>
        </w:rPr>
      </w:pPr>
      <w:r w:rsidRPr="00F0691A">
        <w:rPr>
          <w:rFonts w:ascii="Verdana" w:eastAsia="Calibri" w:hAnsi="Verdana" w:cs="Arial"/>
          <w:b/>
        </w:rPr>
        <w:t>PAGO ANTICIPADO Y/O ANTICIPO – Regulación normativa</w:t>
      </w:r>
    </w:p>
    <w:p w14:paraId="2C70F8A4" w14:textId="77777777" w:rsidR="00EA255A" w:rsidRPr="00F46748" w:rsidRDefault="00EA255A" w:rsidP="00EA255A">
      <w:pPr>
        <w:spacing w:line="240" w:lineRule="auto"/>
        <w:jc w:val="both"/>
        <w:rPr>
          <w:rFonts w:ascii="Verdana" w:hAnsi="Verdana" w:cs="Arial"/>
          <w:sz w:val="20"/>
          <w:szCs w:val="20"/>
        </w:rPr>
      </w:pPr>
      <w:r w:rsidRPr="00F46748">
        <w:rPr>
          <w:rFonts w:ascii="Verdana" w:hAnsi="Verdana" w:cs="Arial"/>
          <w:sz w:val="20"/>
          <w:szCs w:val="20"/>
        </w:rPr>
        <w:t xml:space="preserve">Conforme las disposiciones que regulan el régimen de contratación pública, las entidades estatales están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 La citada disposición, además de contener la facultad expresa mencionada, establece un límite a su ejercicio, pues el pago anticipado o la entrega del </w:t>
      </w:r>
      <w:r w:rsidRPr="00F46748">
        <w:rPr>
          <w:rFonts w:ascii="Verdana" w:hAnsi="Verdana" w:cs="Arial"/>
          <w:sz w:val="20"/>
          <w:szCs w:val="20"/>
        </w:rPr>
        <w:lastRenderedPageBreak/>
        <w:t>anticipo no podrá superar el cincuenta por ciento (50%) del valor o precio del negocio jurídico celebrado por la entidad estatal.</w:t>
      </w:r>
    </w:p>
    <w:p w14:paraId="04FF8712" w14:textId="77777777" w:rsidR="00EA255A" w:rsidRDefault="00EA255A" w:rsidP="00EA255A">
      <w:pPr>
        <w:jc w:val="both"/>
        <w:rPr>
          <w:rFonts w:ascii="Verdana" w:eastAsia="Calibri" w:hAnsi="Verdana" w:cs="Arial"/>
          <w:b/>
          <w:lang w:eastAsia="es-ES"/>
        </w:rPr>
      </w:pPr>
      <w:r w:rsidRPr="00F0691A">
        <w:rPr>
          <w:rFonts w:ascii="Verdana" w:eastAsia="Calibri" w:hAnsi="Verdana" w:cs="Arial"/>
          <w:b/>
          <w:lang w:eastAsia="es-ES"/>
        </w:rPr>
        <w:t>ANTICIPO – Definición jurisprudencial</w:t>
      </w:r>
    </w:p>
    <w:p w14:paraId="59ED68B2" w14:textId="77777777" w:rsidR="00EA255A" w:rsidRPr="00F46748" w:rsidRDefault="00EA255A" w:rsidP="00EA255A">
      <w:pPr>
        <w:tabs>
          <w:tab w:val="left" w:pos="0"/>
        </w:tabs>
        <w:spacing w:after="120" w:line="240" w:lineRule="auto"/>
        <w:jc w:val="both"/>
        <w:rPr>
          <w:rFonts w:ascii="Verdana" w:hAnsi="Verdana" w:cs="Arial"/>
          <w:sz w:val="20"/>
          <w:szCs w:val="20"/>
        </w:rPr>
      </w:pPr>
      <w:r w:rsidRPr="00F46748">
        <w:rPr>
          <w:rFonts w:ascii="Verdana" w:hAnsi="Verdana" w:cs="Arial"/>
          <w:sz w:val="20"/>
          <w:szCs w:val="20"/>
        </w:rPr>
        <w:t>Sobre la calidad de recurso público del anticipo, la jurisprudencia ha reiterado que “dicho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Pr>
          <w:sz w:val="20"/>
          <w:szCs w:val="20"/>
          <w:vertAlign w:val="superscript"/>
        </w:rPr>
        <w:t xml:space="preserve">. </w:t>
      </w:r>
      <w:r w:rsidRPr="00F46748">
        <w:rPr>
          <w:rFonts w:ascii="Verdana" w:hAnsi="Verdana" w:cs="Arial"/>
          <w:sz w:val="20"/>
          <w:szCs w:val="20"/>
        </w:rPr>
        <w:t xml:space="preserve"> Igualmente, explica que el anticipo, al facilitar al contratista la financiación de los bienes y servicios que se le han encargado, es un factor determinante para impulsar la ejecución del contrato</w:t>
      </w:r>
      <w:r>
        <w:rPr>
          <w:sz w:val="20"/>
          <w:szCs w:val="20"/>
          <w:vertAlign w:val="superscript"/>
        </w:rPr>
        <w:t>.</w:t>
      </w:r>
      <w:r w:rsidRPr="00F46748">
        <w:rPr>
          <w:rFonts w:ascii="Verdana" w:hAnsi="Verdana" w:cs="Arial"/>
          <w:sz w:val="20"/>
          <w:szCs w:val="20"/>
        </w:rPr>
        <w:t xml:space="preserve"> Este también es el entendimiento de la doctrina, que ha considerado el anticipo como un dinero entregado al contratista que debe cancelarse mediante descuentos parciales, siendo una práctica común que permite impulsar la ejecución del contrat</w:t>
      </w:r>
      <w:r>
        <w:rPr>
          <w:rFonts w:ascii="Verdana" w:hAnsi="Verdana" w:cs="Arial"/>
          <w:sz w:val="20"/>
          <w:szCs w:val="20"/>
        </w:rPr>
        <w:t>o.</w:t>
      </w:r>
    </w:p>
    <w:p w14:paraId="03D6667C" w14:textId="77777777" w:rsidR="00EA255A" w:rsidRPr="00F46748" w:rsidRDefault="00EA255A" w:rsidP="00EA255A">
      <w:pPr>
        <w:tabs>
          <w:tab w:val="left" w:pos="0"/>
        </w:tabs>
        <w:spacing w:after="120" w:line="240" w:lineRule="auto"/>
        <w:jc w:val="both"/>
        <w:rPr>
          <w:rFonts w:ascii="Verdana" w:hAnsi="Verdana" w:cs="Arial"/>
          <w:sz w:val="20"/>
          <w:szCs w:val="20"/>
        </w:rPr>
      </w:pPr>
      <w:r w:rsidRPr="00F46748">
        <w:rPr>
          <w:rFonts w:ascii="Verdana" w:hAnsi="Verdana" w:cs="Arial"/>
          <w:sz w:val="20"/>
          <w:szCs w:val="20"/>
        </w:rPr>
        <w:t>Así, de acuerdo con las consideraciones de la jurisprudencia y la doctrina, el anticipo es 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r w:rsidRPr="00F46748">
        <w:rPr>
          <w:rFonts w:ascii="Verdana" w:hAnsi="Verdana" w:cs="Times New Roman"/>
          <w:sz w:val="20"/>
          <w:szCs w:val="20"/>
          <w:lang w:eastAsia="es-CO"/>
        </w:rPr>
        <w:t xml:space="preserve"> </w:t>
      </w:r>
    </w:p>
    <w:p w14:paraId="53265326" w14:textId="77777777" w:rsidR="00EA255A" w:rsidRDefault="00EA255A" w:rsidP="00EA255A">
      <w:pPr>
        <w:jc w:val="both"/>
        <w:rPr>
          <w:rFonts w:ascii="Verdana" w:eastAsia="Calibri" w:hAnsi="Verdana" w:cs="Arial"/>
          <w:b/>
          <w:lang w:eastAsia="es-ES"/>
        </w:rPr>
      </w:pPr>
      <w:r w:rsidRPr="00F0691A">
        <w:rPr>
          <w:rFonts w:ascii="Verdana" w:eastAsia="Calibri" w:hAnsi="Verdana" w:cs="Arial"/>
          <w:b/>
          <w:lang w:eastAsia="es-ES"/>
        </w:rPr>
        <w:t>PAGO ANTICIPADO – Definición</w:t>
      </w:r>
    </w:p>
    <w:p w14:paraId="0050CA2D" w14:textId="77777777" w:rsidR="00EA255A" w:rsidRPr="00162108" w:rsidRDefault="00EA255A" w:rsidP="00EA255A">
      <w:pPr>
        <w:jc w:val="both"/>
        <w:rPr>
          <w:rFonts w:ascii="Verdana" w:eastAsia="Calibri" w:hAnsi="Verdana" w:cs="Arial"/>
          <w:b/>
          <w:sz w:val="20"/>
          <w:szCs w:val="20"/>
          <w:lang w:val="es-ES" w:eastAsia="es-ES"/>
        </w:rPr>
      </w:pPr>
      <w:r w:rsidRPr="00162108">
        <w:rPr>
          <w:rFonts w:ascii="Verdana" w:eastAsia="Calibri" w:hAnsi="Verdana" w:cs="Arial"/>
          <w:sz w:val="20"/>
          <w:szCs w:val="20"/>
          <w:lang w:val="es-ES"/>
        </w:rPr>
        <w:t xml:space="preserve">Teniendo en cuenta el alcance de los conceptos de pago anticipado y el anticipo, los mismos pueden ser definidos así: i) El pago anticipado es un pago efectivo del precio que se efectúa y se causa en forma anticipada. Por tanto, los recursos se integran al patrimonio del contratista desde su desembolso. </w:t>
      </w:r>
      <w:proofErr w:type="spellStart"/>
      <w:r w:rsidRPr="00162108">
        <w:rPr>
          <w:rFonts w:ascii="Verdana" w:eastAsia="Calibri" w:hAnsi="Verdana" w:cs="Arial"/>
          <w:sz w:val="20"/>
          <w:szCs w:val="20"/>
          <w:lang w:val="es-ES"/>
        </w:rPr>
        <w:t>ii</w:t>
      </w:r>
      <w:proofErr w:type="spellEnd"/>
      <w:r w:rsidRPr="00162108">
        <w:rPr>
          <w:rFonts w:ascii="Verdana" w:eastAsia="Calibri" w:hAnsi="Verdana" w:cs="Arial"/>
          <w:sz w:val="20"/>
          <w:szCs w:val="20"/>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r w:rsidRPr="00162108">
        <w:rPr>
          <w:rFonts w:ascii="Verdana" w:hAnsi="Verdana" w:cs="Arial"/>
          <w:sz w:val="20"/>
          <w:szCs w:val="20"/>
          <w:lang w:bidi="es-ES"/>
        </w:rPr>
        <w:t xml:space="preserve"> Al respecto, frente a estas dos instituciones expresa, la Sección Cuarta de Consejo de Estado, citando a la Sección Tercera: “El anticipo es el primer pago de los contratos de ejecución sucesiva que habrá de destinarse al cubrimiento de los costos iniciales, mientras que el pago anticipado corresponde a la retribución parcial que el contratista recibe en los contratos de ejecución sucesiva”.</w:t>
      </w:r>
    </w:p>
    <w:p w14:paraId="3668CD01" w14:textId="77777777" w:rsidR="00EA255A" w:rsidRPr="00A6187B" w:rsidRDefault="00EA255A" w:rsidP="00EA255A">
      <w:pPr>
        <w:spacing w:after="0" w:line="240" w:lineRule="auto"/>
        <w:jc w:val="both"/>
        <w:rPr>
          <w:rFonts w:ascii="Verdana" w:hAnsi="Verdana" w:cs="Arial"/>
          <w:b/>
          <w:lang w:val="es-MX" w:eastAsia="es-ES"/>
        </w:rPr>
      </w:pPr>
      <w:r w:rsidRPr="00A6187B">
        <w:rPr>
          <w:rFonts w:ascii="Verdana" w:hAnsi="Verdana" w:cs="Arial"/>
          <w:b/>
          <w:lang w:val="es-MX" w:eastAsia="es-ES"/>
        </w:rPr>
        <w:t xml:space="preserve">ARREGLO DIRECTO EN LA CONTRATACIÓN ESTATAL – Principio - Concepto – Alcances – Manifestaciones </w:t>
      </w:r>
    </w:p>
    <w:p w14:paraId="6D8D8318" w14:textId="77777777" w:rsidR="00EA255A" w:rsidRDefault="00EA255A" w:rsidP="00EA255A">
      <w:pPr>
        <w:spacing w:after="0" w:line="240" w:lineRule="auto"/>
        <w:jc w:val="both"/>
        <w:rPr>
          <w:rFonts w:ascii="Verdana" w:hAnsi="Verdana" w:cs="Arial"/>
          <w:b/>
          <w:lang w:val="es-MX" w:eastAsia="es-ES"/>
        </w:rPr>
      </w:pPr>
    </w:p>
    <w:p w14:paraId="68EB0EE0" w14:textId="77777777" w:rsidR="00EA255A" w:rsidRPr="00A6187B" w:rsidRDefault="00EA255A" w:rsidP="00EA255A">
      <w:pPr>
        <w:shd w:val="clear" w:color="auto" w:fill="FFFFFF"/>
        <w:spacing w:after="0" w:line="240" w:lineRule="auto"/>
        <w:jc w:val="both"/>
        <w:rPr>
          <w:rFonts w:ascii="Verdana" w:eastAsia="Times New Roman" w:hAnsi="Verdana" w:cs="Arial"/>
          <w:sz w:val="20"/>
          <w:szCs w:val="20"/>
          <w:lang w:eastAsia="es-ES_tradnl"/>
        </w:rPr>
      </w:pPr>
      <w:r w:rsidRPr="00A6187B">
        <w:rPr>
          <w:rFonts w:ascii="Verdana" w:eastAsia="Times New Roman" w:hAnsi="Verdana" w:cs="Arial"/>
          <w:sz w:val="20"/>
          <w:szCs w:val="20"/>
          <w:lang w:eastAsia="es-ES_tradnl"/>
        </w:rPr>
        <w:t xml:space="preserve">Las normas mencionadas del EGCAP a título de ejemplo y los citados mecanismos autocompositivos consagrados en la ley evidencian la intención del legislador de promover la solución de controversias directamente por las partes del contrato, sin necesidad de la intervención del aparato jurisdiccional. Esto implicaría no solo la optimización en el gasto de los recursos públicos derivada de la mayor agilidad y </w:t>
      </w:r>
      <w:r w:rsidRPr="00A6187B">
        <w:rPr>
          <w:rFonts w:ascii="Verdana" w:eastAsia="Times New Roman" w:hAnsi="Verdana" w:cs="Arial"/>
          <w:sz w:val="20"/>
          <w:szCs w:val="20"/>
          <w:lang w:eastAsia="es-ES_tradnl"/>
        </w:rPr>
        <w:lastRenderedPageBreak/>
        <w:t xml:space="preserve">celeridad que caracteriza los mecanismos alternativos de solución de conflictos -MASC- sino una mayor descongestión del sistema judicial. </w:t>
      </w:r>
    </w:p>
    <w:p w14:paraId="1CA69B97" w14:textId="77777777" w:rsidR="00EA255A" w:rsidRDefault="00EA255A" w:rsidP="00EA255A">
      <w:pPr>
        <w:spacing w:after="0" w:line="240" w:lineRule="auto"/>
        <w:jc w:val="both"/>
        <w:rPr>
          <w:rFonts w:ascii="Verdana" w:eastAsia="Times New Roman" w:hAnsi="Verdana" w:cs="Arial"/>
          <w:sz w:val="20"/>
          <w:szCs w:val="20"/>
          <w:lang w:eastAsia="es-ES_tradnl"/>
        </w:rPr>
      </w:pPr>
    </w:p>
    <w:p w14:paraId="3EABBF21" w14:textId="77777777" w:rsidR="00EA255A" w:rsidRDefault="00EA255A" w:rsidP="00EA255A">
      <w:pPr>
        <w:spacing w:after="0" w:line="240" w:lineRule="auto"/>
        <w:jc w:val="both"/>
        <w:rPr>
          <w:rFonts w:ascii="Verdana" w:eastAsia="Times New Roman" w:hAnsi="Verdana" w:cs="Arial"/>
          <w:sz w:val="20"/>
          <w:szCs w:val="20"/>
          <w:lang w:eastAsia="es-ES_tradnl"/>
        </w:rPr>
      </w:pPr>
      <w:r w:rsidRPr="00A6187B">
        <w:rPr>
          <w:rFonts w:ascii="Verdana" w:eastAsia="Times New Roman" w:hAnsi="Verdana" w:cs="Arial"/>
          <w:sz w:val="20"/>
          <w:szCs w:val="20"/>
          <w:lang w:eastAsia="es-ES_tradnl"/>
        </w:rPr>
        <w:t>De lo anterior surge la noción del principio de arreglo directo de controversias, conforme al cual, durante el desarrollo de todo el proceso contractual, esto es, en sus etapas preparativas, de ejecución y liquidación, los distintos partícipes –oferentes o contratantes, según el caso– deberán preferir, siempre que ello sea posible, las fórmulas e instrumentos que el ordenamiento jurídico ha dispuesto para que solucionen directamente sus discrepancias. El adjetivo “directo” atribuible al arreglo, se refiere a que la controversia debería solucionarse entre las partes directamente involucradas o interesadas en la solución, o, dicho de otra manera, las que podrían resultar directa y principalmente afectadas por la solución lograda. Este principio ha sido reconocido por la jurisprudencia de la Corte Constitucional</w:t>
      </w:r>
      <w:r>
        <w:rPr>
          <w:rFonts w:ascii="Verdana" w:eastAsia="Times New Roman" w:hAnsi="Verdana" w:cs="Arial"/>
          <w:sz w:val="20"/>
          <w:szCs w:val="20"/>
          <w:lang w:eastAsia="es-ES_tradnl"/>
        </w:rPr>
        <w:t>.</w:t>
      </w:r>
    </w:p>
    <w:p w14:paraId="5DD03592" w14:textId="77777777" w:rsidR="00EA255A" w:rsidRDefault="00EA255A" w:rsidP="00EA255A">
      <w:pPr>
        <w:spacing w:after="0" w:line="240" w:lineRule="auto"/>
        <w:jc w:val="both"/>
        <w:rPr>
          <w:rFonts w:ascii="Verdana" w:eastAsia="Times New Roman" w:hAnsi="Verdana" w:cs="Arial"/>
          <w:sz w:val="20"/>
          <w:szCs w:val="20"/>
          <w:lang w:eastAsia="es-ES_tradnl"/>
        </w:rPr>
      </w:pPr>
    </w:p>
    <w:p w14:paraId="17A4010D" w14:textId="77777777" w:rsidR="00EA255A" w:rsidRDefault="00EA255A" w:rsidP="00EA255A">
      <w:pPr>
        <w:spacing w:after="0" w:line="240" w:lineRule="auto"/>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 xml:space="preserve">[…] </w:t>
      </w:r>
    </w:p>
    <w:p w14:paraId="09C90F7E" w14:textId="77777777" w:rsidR="00EA255A" w:rsidRDefault="00EA255A" w:rsidP="00EA255A">
      <w:pPr>
        <w:spacing w:after="0" w:line="240" w:lineRule="auto"/>
        <w:jc w:val="both"/>
        <w:rPr>
          <w:rFonts w:ascii="Verdana" w:eastAsia="Times New Roman" w:hAnsi="Verdana" w:cs="Arial"/>
          <w:sz w:val="20"/>
          <w:szCs w:val="20"/>
          <w:lang w:eastAsia="es-ES_tradnl"/>
        </w:rPr>
      </w:pPr>
    </w:p>
    <w:p w14:paraId="0163F7FE" w14:textId="77777777" w:rsidR="00EA255A" w:rsidRDefault="00EA255A" w:rsidP="00EA255A">
      <w:pPr>
        <w:shd w:val="clear" w:color="auto" w:fill="FFFFFF"/>
        <w:spacing w:after="0" w:line="240" w:lineRule="auto"/>
        <w:jc w:val="both"/>
        <w:rPr>
          <w:rFonts w:ascii="Verdana" w:eastAsia="Times New Roman" w:hAnsi="Verdana" w:cs="Arial"/>
          <w:sz w:val="20"/>
          <w:szCs w:val="20"/>
          <w:lang w:eastAsia="es-ES_tradnl"/>
        </w:rPr>
      </w:pPr>
      <w:r w:rsidRPr="00134ED7">
        <w:rPr>
          <w:rFonts w:ascii="Verdana" w:eastAsia="Times New Roman" w:hAnsi="Verdana" w:cs="Arial"/>
          <w:sz w:val="20"/>
          <w:szCs w:val="20"/>
          <w:lang w:eastAsia="es-ES_tradnl"/>
        </w:rPr>
        <w:t xml:space="preserve">En tal sentido, el arreglo directo de las controversias surgidas dentro del contexto de la contratación estatal, más que una simple opción para las entidades públicas y contratistas, resulta ser un deber que tanto aquellas como estos deben cumplir al momento de saldar sus diferencias. </w:t>
      </w:r>
    </w:p>
    <w:p w14:paraId="732D8CFC" w14:textId="77777777" w:rsidR="00EA255A" w:rsidRDefault="00EA255A" w:rsidP="00EA255A">
      <w:pPr>
        <w:shd w:val="clear" w:color="auto" w:fill="FFFFFF"/>
        <w:spacing w:after="0" w:line="240" w:lineRule="auto"/>
        <w:jc w:val="both"/>
        <w:rPr>
          <w:rFonts w:ascii="Verdana" w:eastAsia="Times New Roman" w:hAnsi="Verdana" w:cs="Arial"/>
          <w:sz w:val="20"/>
          <w:szCs w:val="20"/>
          <w:lang w:eastAsia="es-ES_tradnl"/>
        </w:rPr>
      </w:pPr>
    </w:p>
    <w:p w14:paraId="358684DA" w14:textId="77777777" w:rsidR="00EA255A" w:rsidRDefault="00EA255A" w:rsidP="00EA255A">
      <w:pPr>
        <w:shd w:val="clear" w:color="auto" w:fill="FFFFFF"/>
        <w:spacing w:after="0" w:line="240" w:lineRule="auto"/>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 xml:space="preserve">[…] </w:t>
      </w:r>
    </w:p>
    <w:p w14:paraId="04A37465" w14:textId="77777777" w:rsidR="00EA255A" w:rsidRDefault="00EA255A" w:rsidP="00EA255A">
      <w:pPr>
        <w:shd w:val="clear" w:color="auto" w:fill="FFFFFF"/>
        <w:spacing w:after="0" w:line="240" w:lineRule="auto"/>
        <w:jc w:val="both"/>
        <w:rPr>
          <w:rFonts w:ascii="Verdana" w:eastAsia="Times New Roman" w:hAnsi="Verdana" w:cs="Arial"/>
          <w:sz w:val="20"/>
          <w:szCs w:val="20"/>
          <w:lang w:eastAsia="es-ES_tradnl"/>
        </w:rPr>
      </w:pPr>
    </w:p>
    <w:p w14:paraId="0DB4E7F7" w14:textId="77777777" w:rsidR="00EA255A" w:rsidRDefault="00EA255A" w:rsidP="00EA255A">
      <w:pPr>
        <w:shd w:val="clear" w:color="auto" w:fill="FFFFFF"/>
        <w:spacing w:after="0" w:line="240" w:lineRule="auto"/>
        <w:jc w:val="both"/>
        <w:rPr>
          <w:rFonts w:ascii="Verdana" w:eastAsia="Times New Roman" w:hAnsi="Verdana" w:cs="Arial"/>
          <w:sz w:val="20"/>
          <w:szCs w:val="20"/>
          <w:lang w:eastAsia="es-ES_tradnl"/>
        </w:rPr>
      </w:pPr>
      <w:r w:rsidRPr="00134ED7">
        <w:rPr>
          <w:rFonts w:ascii="Verdana" w:eastAsia="Times New Roman" w:hAnsi="Verdana" w:cs="Arial"/>
          <w:sz w:val="20"/>
          <w:szCs w:val="20"/>
          <w:lang w:eastAsia="es-ES_tradnl"/>
        </w:rPr>
        <w:t xml:space="preserve">Lo anterior, empero, debe comprenderse en el sentido que el deber de las entidades públicas y contratistas se limita al intento real de solucionar sus controversias de manera directa, mas no a la solución efectiva. En otros términos, no es obligación de las entidades y contratistas el lograr un acuerdo o solución a sus divergencias, por cuanto este tipo de mecanismos están dotados de un importante sustrato voluntarista que permite que las partes involucradas, bien logren la solución pretendida o, por el contrario, decidan no hacerlo, siempre, eso sí, dejando a salvo la garantía de los principios que rigen la función administrativa y que limitan, por ende, el ejercicio de la autonomía de la voluntad. </w:t>
      </w:r>
    </w:p>
    <w:p w14:paraId="703394B7" w14:textId="77777777" w:rsidR="00EA255A" w:rsidRDefault="00EA255A" w:rsidP="00EA255A">
      <w:pPr>
        <w:shd w:val="clear" w:color="auto" w:fill="FFFFFF"/>
        <w:spacing w:after="0" w:line="240" w:lineRule="auto"/>
        <w:jc w:val="both"/>
        <w:rPr>
          <w:rFonts w:ascii="Verdana" w:eastAsia="Times New Roman" w:hAnsi="Verdana" w:cs="Arial"/>
          <w:sz w:val="20"/>
          <w:szCs w:val="20"/>
          <w:lang w:eastAsia="es-ES_tradnl"/>
        </w:rPr>
      </w:pPr>
    </w:p>
    <w:p w14:paraId="05DD3435" w14:textId="77777777" w:rsidR="00EA255A" w:rsidRDefault="00EA255A" w:rsidP="00EA255A">
      <w:pPr>
        <w:shd w:val="clear" w:color="auto" w:fill="FFFFFF"/>
        <w:spacing w:after="0" w:line="240" w:lineRule="auto"/>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 xml:space="preserve">[…] </w:t>
      </w:r>
    </w:p>
    <w:p w14:paraId="12289552" w14:textId="77777777" w:rsidR="00EA255A" w:rsidRDefault="00EA255A" w:rsidP="00EA255A">
      <w:pPr>
        <w:shd w:val="clear" w:color="auto" w:fill="FFFFFF"/>
        <w:spacing w:after="0" w:line="240" w:lineRule="auto"/>
        <w:jc w:val="both"/>
        <w:rPr>
          <w:rFonts w:ascii="Verdana" w:eastAsia="Times New Roman" w:hAnsi="Verdana" w:cs="Arial"/>
          <w:sz w:val="20"/>
          <w:szCs w:val="20"/>
          <w:lang w:eastAsia="es-ES_tradnl"/>
        </w:rPr>
      </w:pPr>
    </w:p>
    <w:p w14:paraId="39F529E1" w14:textId="77777777" w:rsidR="00EA255A" w:rsidRDefault="00EA255A" w:rsidP="00EA255A">
      <w:pPr>
        <w:shd w:val="clear" w:color="auto" w:fill="FFFFFF"/>
        <w:spacing w:after="0" w:line="240" w:lineRule="auto"/>
        <w:jc w:val="both"/>
        <w:rPr>
          <w:rFonts w:ascii="Verdana" w:eastAsia="Times New Roman" w:hAnsi="Verdana" w:cs="Arial"/>
          <w:sz w:val="20"/>
          <w:szCs w:val="20"/>
          <w:lang w:eastAsia="es-ES_tradnl"/>
        </w:rPr>
      </w:pPr>
      <w:r w:rsidRPr="00134ED7">
        <w:rPr>
          <w:rFonts w:ascii="Verdana" w:eastAsia="Times New Roman" w:hAnsi="Verdana" w:cs="Arial"/>
          <w:sz w:val="20"/>
          <w:szCs w:val="20"/>
          <w:lang w:eastAsia="es-ES_tradnl"/>
        </w:rPr>
        <w:t>Dentro de las modalidades que el ordenamiento normativo permite como fórmulas de arreglo directo controversias, se destacan, al arreglo directo “propiamente dicho”. Junto a estas, la conciliación extrajudicial y judicial también podría considerarse como formas aplicativas del principio de arreglo directo de controversias, sin perjuicio que dentro de ellas se haga necesaria la participación de un tercero neutral y distinto a las partes directamente interesadas, siendo a estas últimas a quienes corresponde la configuración y logro del eventual acuerdo</w:t>
      </w:r>
      <w:r>
        <w:rPr>
          <w:rFonts w:ascii="Verdana" w:eastAsia="Times New Roman" w:hAnsi="Verdana" w:cs="Arial"/>
          <w:sz w:val="20"/>
          <w:szCs w:val="20"/>
          <w:lang w:eastAsia="es-ES_tradnl"/>
        </w:rPr>
        <w:t>.</w:t>
      </w:r>
    </w:p>
    <w:p w14:paraId="0D547455" w14:textId="77777777" w:rsidR="00EA255A" w:rsidRDefault="00EA255A" w:rsidP="00EA255A">
      <w:pPr>
        <w:shd w:val="clear" w:color="auto" w:fill="FFFFFF"/>
        <w:spacing w:after="0" w:line="240" w:lineRule="auto"/>
        <w:jc w:val="both"/>
        <w:rPr>
          <w:rFonts w:ascii="Verdana" w:eastAsia="Times New Roman" w:hAnsi="Verdana" w:cs="Arial"/>
          <w:sz w:val="20"/>
          <w:szCs w:val="20"/>
          <w:lang w:eastAsia="es-ES_tradnl"/>
        </w:rPr>
      </w:pPr>
    </w:p>
    <w:p w14:paraId="7BFFA150" w14:textId="77777777" w:rsidR="00EA255A" w:rsidRPr="00134ED7" w:rsidRDefault="00EA255A" w:rsidP="00EA255A">
      <w:pPr>
        <w:shd w:val="clear" w:color="auto" w:fill="FFFFFF"/>
        <w:spacing w:after="0" w:line="240" w:lineRule="auto"/>
        <w:jc w:val="both"/>
        <w:rPr>
          <w:rFonts w:ascii="Verdana" w:eastAsia="Times New Roman" w:hAnsi="Verdana" w:cs="Arial"/>
          <w:sz w:val="20"/>
          <w:szCs w:val="20"/>
          <w:lang w:eastAsia="es-ES_tradnl"/>
        </w:rPr>
      </w:pPr>
      <w:r w:rsidRPr="00134ED7">
        <w:rPr>
          <w:rFonts w:ascii="Verdana" w:eastAsia="Times New Roman" w:hAnsi="Verdana" w:cs="Arial"/>
          <w:sz w:val="20"/>
          <w:szCs w:val="20"/>
          <w:lang w:eastAsia="es-ES_tradnl"/>
        </w:rPr>
        <w:t xml:space="preserve">El arreglo directo propiamente dicho, es una metodología para la solución de controversias que implica la participación de la entidad estatal y el contratista o contratistas directamente interesados en la resolución del conflicto. Lo anterior </w:t>
      </w:r>
      <w:r w:rsidRPr="00134ED7">
        <w:rPr>
          <w:rFonts w:ascii="Verdana" w:eastAsia="Times New Roman" w:hAnsi="Verdana" w:cs="Arial"/>
          <w:sz w:val="20"/>
          <w:szCs w:val="20"/>
          <w:lang w:eastAsia="es-ES_tradnl"/>
        </w:rPr>
        <w:lastRenderedPageBreak/>
        <w:t>implicará, como mínimo, un espacio y tiempo suficiente para que entre unos y otros se logre el establecimiento del objeto de la controversia, así como la negociación de la misma. Ante la inexistencia de un procedimiento específico para llevar a cabo el arreglo directo, corresponderá a la entidad estatal, bien a través de sus manuales de contratación o por medio del clausulado del respectivo pliego de condiciones o documento equivalente o, inclusive, dentro del mismo contrato, determinar las pautas mínimas para que, ante el surgimiento de la controversia, las partes puedan arreglarlas directamente.</w:t>
      </w:r>
    </w:p>
    <w:p w14:paraId="18DC825C" w14:textId="77777777" w:rsidR="00EA255A" w:rsidRDefault="00EA255A" w:rsidP="00EA255A">
      <w:pPr>
        <w:spacing w:after="0" w:line="240" w:lineRule="auto"/>
        <w:jc w:val="both"/>
      </w:pPr>
    </w:p>
    <w:p w14:paraId="5E81C67B" w14:textId="77777777" w:rsidR="00EA255A" w:rsidRPr="00BA2580" w:rsidRDefault="00EA255A" w:rsidP="00EA255A">
      <w:pPr>
        <w:spacing w:after="0" w:line="278" w:lineRule="auto"/>
        <w:jc w:val="both"/>
        <w:rPr>
          <w:rFonts w:ascii="Verdana" w:eastAsia="Aptos" w:hAnsi="Verdana" w:cs="Times New Roman"/>
          <w:kern w:val="2"/>
          <w14:ligatures w14:val="standardContextual"/>
        </w:rPr>
      </w:pPr>
    </w:p>
    <w:p w14:paraId="33A84C54" w14:textId="77777777" w:rsidR="00EA255A" w:rsidRPr="006263D8" w:rsidRDefault="00EA255A" w:rsidP="00EA255A">
      <w:pPr>
        <w:spacing w:after="0" w:line="240" w:lineRule="auto"/>
        <w:jc w:val="both"/>
        <w:rPr>
          <w:rFonts w:ascii="Verdana" w:eastAsia="Calibri" w:hAnsi="Verdana" w:cs="Arial"/>
          <w:color w:val="000000" w:themeColor="text1"/>
          <w:sz w:val="20"/>
          <w:szCs w:val="20"/>
          <w:lang w:val="es-ES" w:eastAsia="es-ES"/>
        </w:rPr>
      </w:pPr>
      <w:r w:rsidRPr="006263D8">
        <w:rPr>
          <w:rFonts w:ascii="Verdana" w:eastAsia="Calibri" w:hAnsi="Verdana" w:cs="Arial"/>
          <w:color w:val="000000" w:themeColor="text1"/>
          <w:sz w:val="20"/>
          <w:szCs w:val="20"/>
          <w:lang w:val="es-ES" w:eastAsia="es-ES"/>
        </w:rPr>
        <w:t xml:space="preserve"> </w:t>
      </w:r>
    </w:p>
    <w:p w14:paraId="5A84FEB7" w14:textId="77777777" w:rsidR="00EA255A" w:rsidRDefault="00EA255A" w:rsidP="00EA255A">
      <w:pPr>
        <w:spacing w:after="0" w:line="240" w:lineRule="auto"/>
        <w:rPr>
          <w:rFonts w:ascii="Verdana" w:eastAsia="Geomanist Light" w:hAnsi="Verdana" w:cs="Arial"/>
          <w:color w:val="000000" w:themeColor="text1"/>
          <w:lang w:val="es-MX"/>
        </w:rPr>
      </w:pPr>
    </w:p>
    <w:p w14:paraId="3B2CA845" w14:textId="77777777" w:rsidR="00EA255A" w:rsidRDefault="00EA255A" w:rsidP="00EA255A">
      <w:pPr>
        <w:spacing w:after="0" w:line="240" w:lineRule="auto"/>
        <w:rPr>
          <w:rFonts w:ascii="Verdana" w:eastAsia="Geomanist Light" w:hAnsi="Verdana" w:cs="Arial"/>
          <w:color w:val="000000" w:themeColor="text1"/>
          <w:lang w:val="es-MX"/>
        </w:rPr>
      </w:pPr>
    </w:p>
    <w:p w14:paraId="3B402739" w14:textId="77777777" w:rsidR="00EA255A" w:rsidRDefault="00EA255A" w:rsidP="00EA255A">
      <w:pPr>
        <w:spacing w:after="0" w:line="240" w:lineRule="auto"/>
        <w:rPr>
          <w:rFonts w:ascii="Verdana" w:eastAsia="Geomanist Light" w:hAnsi="Verdana" w:cs="Arial"/>
          <w:color w:val="000000" w:themeColor="text1"/>
          <w:lang w:val="es-MX"/>
        </w:rPr>
      </w:pPr>
    </w:p>
    <w:p w14:paraId="272D8C7A" w14:textId="77777777" w:rsidR="00EA255A" w:rsidRDefault="00EA255A" w:rsidP="00EA255A">
      <w:pPr>
        <w:spacing w:after="0" w:line="240" w:lineRule="auto"/>
        <w:rPr>
          <w:rFonts w:ascii="Verdana" w:eastAsia="Geomanist Light" w:hAnsi="Verdana" w:cs="Arial"/>
          <w:color w:val="000000" w:themeColor="text1"/>
          <w:lang w:val="es-MX"/>
        </w:rPr>
      </w:pPr>
    </w:p>
    <w:p w14:paraId="1972E4D6" w14:textId="77777777" w:rsidR="00EA255A" w:rsidRDefault="00EA255A" w:rsidP="00EA255A">
      <w:pPr>
        <w:spacing w:after="0" w:line="240" w:lineRule="auto"/>
        <w:rPr>
          <w:rFonts w:ascii="Verdana" w:eastAsia="Geomanist Light" w:hAnsi="Verdana" w:cs="Arial"/>
          <w:color w:val="000000" w:themeColor="text1"/>
          <w:lang w:val="es-MX"/>
        </w:rPr>
      </w:pPr>
    </w:p>
    <w:p w14:paraId="67C1A847" w14:textId="77777777" w:rsidR="00EA255A" w:rsidRDefault="00EA255A" w:rsidP="00EA255A">
      <w:pPr>
        <w:spacing w:after="0" w:line="240" w:lineRule="auto"/>
        <w:rPr>
          <w:rFonts w:ascii="Verdana" w:eastAsia="Geomanist Light" w:hAnsi="Verdana" w:cs="Arial"/>
          <w:color w:val="000000" w:themeColor="text1"/>
          <w:lang w:val="es-MX"/>
        </w:rPr>
      </w:pPr>
    </w:p>
    <w:p w14:paraId="0B619106" w14:textId="77777777" w:rsidR="00EA255A" w:rsidRDefault="00EA255A" w:rsidP="00EA255A">
      <w:pPr>
        <w:spacing w:after="0" w:line="240" w:lineRule="auto"/>
        <w:rPr>
          <w:rFonts w:ascii="Verdana" w:eastAsia="Geomanist Light" w:hAnsi="Verdana" w:cs="Arial"/>
          <w:color w:val="000000" w:themeColor="text1"/>
          <w:lang w:val="es-MX"/>
        </w:rPr>
      </w:pPr>
    </w:p>
    <w:p w14:paraId="390555DE" w14:textId="77777777" w:rsidR="00EA255A" w:rsidRDefault="00EA255A" w:rsidP="00EA255A">
      <w:pPr>
        <w:spacing w:after="0" w:line="240" w:lineRule="auto"/>
        <w:rPr>
          <w:rFonts w:ascii="Verdana" w:eastAsia="Geomanist Light" w:hAnsi="Verdana" w:cs="Arial"/>
          <w:color w:val="000000" w:themeColor="text1"/>
          <w:lang w:val="es-MX"/>
        </w:rPr>
      </w:pPr>
    </w:p>
    <w:p w14:paraId="1CBBF274" w14:textId="77777777" w:rsidR="00EA255A" w:rsidRDefault="00EA255A" w:rsidP="00EA255A">
      <w:pPr>
        <w:spacing w:after="0" w:line="240" w:lineRule="auto"/>
        <w:rPr>
          <w:rFonts w:ascii="Verdana" w:eastAsia="Geomanist Light" w:hAnsi="Verdana" w:cs="Arial"/>
          <w:color w:val="000000" w:themeColor="text1"/>
          <w:lang w:val="es-MX"/>
        </w:rPr>
      </w:pPr>
    </w:p>
    <w:p w14:paraId="71510695" w14:textId="77777777" w:rsidR="00EA255A" w:rsidRDefault="00EA255A" w:rsidP="00EA255A">
      <w:pPr>
        <w:spacing w:after="0" w:line="240" w:lineRule="auto"/>
        <w:rPr>
          <w:rFonts w:ascii="Verdana" w:eastAsia="Geomanist Light" w:hAnsi="Verdana" w:cs="Arial"/>
          <w:color w:val="000000" w:themeColor="text1"/>
          <w:lang w:val="es-MX"/>
        </w:rPr>
      </w:pPr>
    </w:p>
    <w:p w14:paraId="4C76760B" w14:textId="77777777" w:rsidR="00EA255A" w:rsidRDefault="00EA255A" w:rsidP="00EA255A">
      <w:pPr>
        <w:spacing w:after="0" w:line="240" w:lineRule="auto"/>
        <w:rPr>
          <w:rFonts w:ascii="Verdana" w:eastAsia="Geomanist Light" w:hAnsi="Verdana" w:cs="Arial"/>
          <w:color w:val="000000" w:themeColor="text1"/>
          <w:lang w:val="es-MX"/>
        </w:rPr>
      </w:pPr>
    </w:p>
    <w:p w14:paraId="779B5DD5" w14:textId="77777777" w:rsidR="00EA255A" w:rsidRDefault="00EA255A" w:rsidP="00EA255A">
      <w:pPr>
        <w:spacing w:after="0" w:line="240" w:lineRule="auto"/>
        <w:rPr>
          <w:rFonts w:ascii="Verdana" w:eastAsia="Geomanist Light" w:hAnsi="Verdana" w:cs="Arial"/>
          <w:color w:val="000000" w:themeColor="text1"/>
          <w:lang w:val="es-MX"/>
        </w:rPr>
      </w:pPr>
    </w:p>
    <w:p w14:paraId="1E6BAC6B" w14:textId="77777777" w:rsidR="00EA255A" w:rsidRDefault="00EA255A" w:rsidP="00EA255A">
      <w:pPr>
        <w:spacing w:after="0" w:line="240" w:lineRule="auto"/>
        <w:rPr>
          <w:rFonts w:ascii="Verdana" w:eastAsia="Geomanist Light" w:hAnsi="Verdana" w:cs="Arial"/>
          <w:color w:val="000000" w:themeColor="text1"/>
          <w:lang w:val="es-MX"/>
        </w:rPr>
      </w:pPr>
    </w:p>
    <w:p w14:paraId="23C2380D" w14:textId="77777777" w:rsidR="00EA255A" w:rsidRDefault="00EA255A" w:rsidP="00EA255A">
      <w:pPr>
        <w:spacing w:after="0" w:line="240" w:lineRule="auto"/>
        <w:rPr>
          <w:rFonts w:ascii="Verdana" w:eastAsia="Geomanist Light" w:hAnsi="Verdana" w:cs="Arial"/>
          <w:color w:val="000000" w:themeColor="text1"/>
          <w:lang w:val="es-MX"/>
        </w:rPr>
      </w:pPr>
    </w:p>
    <w:p w14:paraId="6CED0085" w14:textId="77777777" w:rsidR="00EA255A" w:rsidRDefault="00EA255A" w:rsidP="00EA255A">
      <w:pPr>
        <w:spacing w:after="0" w:line="240" w:lineRule="auto"/>
        <w:rPr>
          <w:rFonts w:ascii="Verdana" w:eastAsia="Geomanist Light" w:hAnsi="Verdana" w:cs="Arial"/>
          <w:color w:val="000000" w:themeColor="text1"/>
          <w:lang w:val="es-MX"/>
        </w:rPr>
      </w:pPr>
    </w:p>
    <w:p w14:paraId="5B39D830" w14:textId="77777777" w:rsidR="00EA255A" w:rsidRDefault="00EA255A" w:rsidP="00EA255A">
      <w:pPr>
        <w:spacing w:after="0" w:line="240" w:lineRule="auto"/>
        <w:rPr>
          <w:rFonts w:ascii="Verdana" w:eastAsia="Geomanist Light" w:hAnsi="Verdana" w:cs="Arial"/>
          <w:color w:val="000000" w:themeColor="text1"/>
          <w:lang w:val="es-MX"/>
        </w:rPr>
      </w:pPr>
    </w:p>
    <w:p w14:paraId="55279C9A" w14:textId="77777777" w:rsidR="00EA255A" w:rsidRDefault="00EA255A" w:rsidP="00EA255A">
      <w:pPr>
        <w:spacing w:after="0" w:line="240" w:lineRule="auto"/>
        <w:rPr>
          <w:rFonts w:ascii="Verdana" w:eastAsia="Geomanist Light" w:hAnsi="Verdana" w:cs="Arial"/>
          <w:color w:val="000000" w:themeColor="text1"/>
          <w:lang w:val="es-MX"/>
        </w:rPr>
      </w:pPr>
    </w:p>
    <w:p w14:paraId="6BAFA0C0" w14:textId="77777777" w:rsidR="00EA255A" w:rsidRDefault="00EA255A" w:rsidP="00EA255A">
      <w:pPr>
        <w:spacing w:after="0" w:line="240" w:lineRule="auto"/>
        <w:rPr>
          <w:rFonts w:ascii="Verdana" w:eastAsia="Geomanist Light" w:hAnsi="Verdana" w:cs="Arial"/>
          <w:color w:val="000000" w:themeColor="text1"/>
          <w:lang w:val="es-MX"/>
        </w:rPr>
      </w:pPr>
    </w:p>
    <w:p w14:paraId="4BB6D9AA" w14:textId="77777777" w:rsidR="00EA255A" w:rsidRDefault="00EA255A" w:rsidP="00EA255A">
      <w:pPr>
        <w:spacing w:after="0" w:line="240" w:lineRule="auto"/>
        <w:rPr>
          <w:rFonts w:ascii="Verdana" w:eastAsia="Geomanist Light" w:hAnsi="Verdana" w:cs="Arial"/>
          <w:color w:val="000000" w:themeColor="text1"/>
          <w:lang w:val="es-MX"/>
        </w:rPr>
      </w:pPr>
    </w:p>
    <w:p w14:paraId="40C92899" w14:textId="77777777" w:rsidR="00EA255A" w:rsidRDefault="00EA255A" w:rsidP="00EA255A">
      <w:pPr>
        <w:spacing w:after="0" w:line="240" w:lineRule="auto"/>
        <w:rPr>
          <w:rFonts w:ascii="Verdana" w:eastAsia="Geomanist Light" w:hAnsi="Verdana" w:cs="Arial"/>
          <w:color w:val="000000" w:themeColor="text1"/>
          <w:lang w:val="es-MX"/>
        </w:rPr>
      </w:pPr>
    </w:p>
    <w:p w14:paraId="00274742" w14:textId="77777777" w:rsidR="00EA255A" w:rsidRDefault="00EA255A" w:rsidP="00EA255A">
      <w:pPr>
        <w:spacing w:after="0" w:line="240" w:lineRule="auto"/>
        <w:rPr>
          <w:rFonts w:ascii="Verdana" w:eastAsia="Geomanist Light" w:hAnsi="Verdana" w:cs="Arial"/>
          <w:color w:val="000000" w:themeColor="text1"/>
          <w:lang w:val="es-MX"/>
        </w:rPr>
      </w:pPr>
    </w:p>
    <w:p w14:paraId="7DE56200" w14:textId="77777777" w:rsidR="00EA255A" w:rsidRDefault="00EA255A" w:rsidP="00EA255A">
      <w:pPr>
        <w:spacing w:after="0" w:line="240" w:lineRule="auto"/>
        <w:rPr>
          <w:rFonts w:ascii="Verdana" w:eastAsia="Geomanist Light" w:hAnsi="Verdana" w:cs="Arial"/>
          <w:color w:val="000000" w:themeColor="text1"/>
          <w:lang w:val="es-MX"/>
        </w:rPr>
      </w:pPr>
    </w:p>
    <w:p w14:paraId="63ED8E97" w14:textId="77777777" w:rsidR="00EA255A" w:rsidRDefault="00EA255A" w:rsidP="00EA255A">
      <w:pPr>
        <w:spacing w:after="0" w:line="240" w:lineRule="auto"/>
        <w:rPr>
          <w:rFonts w:ascii="Verdana" w:eastAsia="Geomanist Light" w:hAnsi="Verdana" w:cs="Arial"/>
          <w:color w:val="000000" w:themeColor="text1"/>
          <w:lang w:val="es-MX"/>
        </w:rPr>
      </w:pPr>
    </w:p>
    <w:p w14:paraId="2B8410FF" w14:textId="77777777" w:rsidR="00EA255A" w:rsidRDefault="00EA255A" w:rsidP="00EA255A">
      <w:pPr>
        <w:spacing w:after="0" w:line="240" w:lineRule="auto"/>
        <w:rPr>
          <w:rFonts w:ascii="Verdana" w:eastAsia="Geomanist Light" w:hAnsi="Verdana" w:cs="Arial"/>
          <w:color w:val="000000" w:themeColor="text1"/>
          <w:lang w:val="es-MX"/>
        </w:rPr>
      </w:pPr>
    </w:p>
    <w:p w14:paraId="048CCDD3" w14:textId="77777777" w:rsidR="00EA255A" w:rsidRDefault="00EA255A" w:rsidP="00EA255A">
      <w:pPr>
        <w:spacing w:after="0" w:line="240" w:lineRule="auto"/>
        <w:rPr>
          <w:rFonts w:ascii="Verdana" w:eastAsia="Geomanist Light" w:hAnsi="Verdana" w:cs="Arial"/>
          <w:color w:val="000000" w:themeColor="text1"/>
          <w:lang w:val="es-MX"/>
        </w:rPr>
      </w:pPr>
    </w:p>
    <w:p w14:paraId="28C0BA32" w14:textId="77777777" w:rsidR="00EA255A" w:rsidRDefault="00EA255A" w:rsidP="00EA255A">
      <w:pPr>
        <w:spacing w:after="0" w:line="240" w:lineRule="auto"/>
        <w:rPr>
          <w:rFonts w:ascii="Verdana" w:eastAsia="Geomanist Light" w:hAnsi="Verdana" w:cs="Arial"/>
          <w:color w:val="000000" w:themeColor="text1"/>
          <w:lang w:val="es-MX"/>
        </w:rPr>
      </w:pPr>
    </w:p>
    <w:p w14:paraId="04B3DFE4" w14:textId="77777777" w:rsidR="00EA255A" w:rsidRDefault="00EA255A" w:rsidP="00EA255A">
      <w:pPr>
        <w:spacing w:after="0" w:line="240" w:lineRule="auto"/>
        <w:rPr>
          <w:rFonts w:ascii="Verdana" w:eastAsia="Geomanist Light" w:hAnsi="Verdana" w:cs="Arial"/>
          <w:color w:val="000000" w:themeColor="text1"/>
          <w:lang w:val="es-MX"/>
        </w:rPr>
      </w:pPr>
    </w:p>
    <w:p w14:paraId="03A0EB80" w14:textId="77777777" w:rsidR="00EA255A" w:rsidRDefault="00EA255A" w:rsidP="00EA255A">
      <w:pPr>
        <w:spacing w:after="0" w:line="240" w:lineRule="auto"/>
        <w:rPr>
          <w:rFonts w:ascii="Verdana" w:eastAsia="Geomanist Light" w:hAnsi="Verdana" w:cs="Arial"/>
          <w:color w:val="000000" w:themeColor="text1"/>
          <w:lang w:val="es-MX"/>
        </w:rPr>
      </w:pPr>
    </w:p>
    <w:p w14:paraId="4F772D6B" w14:textId="77777777" w:rsidR="00EA255A" w:rsidRDefault="00EA255A" w:rsidP="00EA255A">
      <w:pPr>
        <w:spacing w:after="0" w:line="240" w:lineRule="auto"/>
        <w:rPr>
          <w:rFonts w:ascii="Verdana" w:eastAsia="Geomanist Light" w:hAnsi="Verdana" w:cs="Arial"/>
          <w:color w:val="000000" w:themeColor="text1"/>
          <w:lang w:val="es-MX"/>
        </w:rPr>
      </w:pPr>
    </w:p>
    <w:p w14:paraId="2A164A3F" w14:textId="77777777" w:rsidR="00EA255A" w:rsidRDefault="00EA255A" w:rsidP="00EA255A">
      <w:pPr>
        <w:spacing w:after="0" w:line="240" w:lineRule="auto"/>
        <w:rPr>
          <w:rFonts w:ascii="Verdana" w:eastAsia="Geomanist Light" w:hAnsi="Verdana" w:cs="Arial"/>
          <w:color w:val="000000" w:themeColor="text1"/>
          <w:lang w:val="es-MX"/>
        </w:rPr>
      </w:pPr>
    </w:p>
    <w:p w14:paraId="342B2DB3" w14:textId="77777777" w:rsidR="00EA255A" w:rsidRDefault="00EA255A" w:rsidP="00EA255A">
      <w:pPr>
        <w:spacing w:after="0" w:line="240" w:lineRule="auto"/>
        <w:rPr>
          <w:rFonts w:ascii="Verdana" w:eastAsia="Geomanist Light" w:hAnsi="Verdana" w:cs="Arial"/>
          <w:color w:val="000000" w:themeColor="text1"/>
          <w:lang w:val="es-MX"/>
        </w:rPr>
      </w:pPr>
    </w:p>
    <w:p w14:paraId="46195D7E" w14:textId="0564E75E" w:rsidR="00EA255A" w:rsidRPr="00F35AB9" w:rsidRDefault="00EA255A" w:rsidP="008123F0">
      <w:pPr>
        <w:spacing w:after="0" w:line="240" w:lineRule="auto"/>
        <w:jc w:val="both"/>
        <w:rPr>
          <w:rFonts w:ascii="Verdana" w:eastAsia="Verdana" w:hAnsi="Verdana" w:cs="Verdana"/>
          <w:color w:val="000000" w:themeColor="text1"/>
          <w:lang w:val="es"/>
        </w:rPr>
      </w:pPr>
      <w:r w:rsidRPr="00F35AB9">
        <w:rPr>
          <w:rFonts w:ascii="Verdana" w:eastAsia="Verdana" w:hAnsi="Verdana" w:cs="Verdana"/>
          <w:color w:val="000000" w:themeColor="text1"/>
          <w:lang w:val="es"/>
        </w:rPr>
        <w:lastRenderedPageBreak/>
        <w:t>Bogotá D.C., 2</w:t>
      </w:r>
      <w:r w:rsidR="008123F0">
        <w:rPr>
          <w:rFonts w:ascii="Verdana" w:eastAsia="Verdana" w:hAnsi="Verdana" w:cs="Verdana"/>
          <w:color w:val="000000" w:themeColor="text1"/>
          <w:lang w:val="es"/>
        </w:rPr>
        <w:t>1</w:t>
      </w:r>
      <w:r w:rsidRPr="00F35AB9">
        <w:rPr>
          <w:rFonts w:ascii="Verdana" w:eastAsia="Verdana" w:hAnsi="Verdana" w:cs="Verdana"/>
          <w:color w:val="000000" w:themeColor="text1"/>
          <w:lang w:val="es"/>
        </w:rPr>
        <w:t xml:space="preserve"> de octubre de 2026</w:t>
      </w:r>
    </w:p>
    <w:p w14:paraId="56247E05" w14:textId="77777777" w:rsidR="00EA255A" w:rsidRDefault="00EA255A" w:rsidP="00F35AB9">
      <w:pPr>
        <w:spacing w:after="0" w:line="240" w:lineRule="auto"/>
        <w:jc w:val="both"/>
        <w:textAlignment w:val="baseline"/>
        <w:rPr>
          <w:rFonts w:ascii="Verdana" w:eastAsia="Verdana" w:hAnsi="Verdana" w:cs="Verdana"/>
          <w:color w:val="000000" w:themeColor="text1"/>
          <w:lang w:val="es"/>
        </w:rPr>
      </w:pPr>
    </w:p>
    <w:p w14:paraId="24587E9E" w14:textId="6DF0092E" w:rsidR="005E7FAE" w:rsidRDefault="00486D1F" w:rsidP="00486D1F">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6DB451A5" wp14:editId="78D06643">
            <wp:extent cx="2581275" cy="762000"/>
            <wp:effectExtent l="0" t="0" r="9525" b="0"/>
            <wp:docPr id="95036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1275" cy="762000"/>
                    </a:xfrm>
                    <a:prstGeom prst="rect">
                      <a:avLst/>
                    </a:prstGeom>
                    <a:noFill/>
                    <a:ln>
                      <a:noFill/>
                    </a:ln>
                  </pic:spPr>
                </pic:pic>
              </a:graphicData>
            </a:graphic>
          </wp:inline>
        </w:drawing>
      </w:r>
    </w:p>
    <w:p w14:paraId="51035816" w14:textId="77777777" w:rsidR="00EA255A" w:rsidRPr="003D69C0" w:rsidRDefault="00EA255A" w:rsidP="003D69C0">
      <w:pPr>
        <w:spacing w:after="0" w:line="240" w:lineRule="auto"/>
        <w:jc w:val="both"/>
        <w:textAlignment w:val="baseline"/>
        <w:rPr>
          <w:rFonts w:ascii="Verdana" w:eastAsia="Verdana" w:hAnsi="Verdana" w:cs="Verdana"/>
          <w:color w:val="000000" w:themeColor="text1"/>
          <w:lang w:val="es"/>
        </w:rPr>
      </w:pPr>
      <w:r w:rsidRPr="003D69C0">
        <w:rPr>
          <w:rFonts w:ascii="Verdana" w:eastAsia="Verdana" w:hAnsi="Verdana" w:cs="Verdana"/>
          <w:color w:val="000000" w:themeColor="text1"/>
          <w:lang w:val="es"/>
        </w:rPr>
        <w:t>Señor</w:t>
      </w:r>
    </w:p>
    <w:p w14:paraId="08572EC5" w14:textId="77777777" w:rsidR="00EA255A" w:rsidRPr="003E1725" w:rsidRDefault="00EA255A" w:rsidP="004814D7">
      <w:pPr>
        <w:spacing w:after="0" w:line="240" w:lineRule="auto"/>
        <w:jc w:val="both"/>
        <w:textAlignment w:val="baseline"/>
        <w:rPr>
          <w:rFonts w:ascii="Verdana" w:hAnsi="Verdana"/>
          <w:b/>
          <w:bCs/>
        </w:rPr>
      </w:pPr>
      <w:r w:rsidRPr="004814D7">
        <w:rPr>
          <w:rFonts w:ascii="Verdana" w:hAnsi="Verdana"/>
          <w:b/>
          <w:bCs/>
        </w:rPr>
        <w:t xml:space="preserve">CÉSAR AUGUSTO CASTAÑEDA GALLO </w:t>
      </w:r>
    </w:p>
    <w:p w14:paraId="13A9E8D3" w14:textId="77777777" w:rsidR="00EA255A" w:rsidRPr="00F35AB9" w:rsidRDefault="00EA255A" w:rsidP="003E1725">
      <w:pPr>
        <w:spacing w:after="0" w:line="240" w:lineRule="auto"/>
        <w:jc w:val="both"/>
        <w:textAlignment w:val="baseline"/>
        <w:rPr>
          <w:rFonts w:ascii="Verdana" w:hAnsi="Verdana"/>
        </w:rPr>
      </w:pPr>
      <w:hyperlink r:id="rId11" w:history="1">
        <w:r w:rsidRPr="00F35AB9">
          <w:rPr>
            <w:rStyle w:val="Hipervnculo"/>
            <w:rFonts w:ascii="Verdana" w:hAnsi="Verdana"/>
          </w:rPr>
          <w:t>cenacing@ejercito.mil.co</w:t>
        </w:r>
      </w:hyperlink>
      <w:r w:rsidRPr="00F35AB9">
        <w:rPr>
          <w:rFonts w:ascii="Verdana" w:hAnsi="Verdana"/>
        </w:rPr>
        <w:t xml:space="preserve"> </w:t>
      </w:r>
    </w:p>
    <w:p w14:paraId="7855B566" w14:textId="77777777" w:rsidR="00EA255A" w:rsidRPr="00F35AB9" w:rsidRDefault="00EA255A" w:rsidP="00546928">
      <w:pPr>
        <w:spacing w:after="0" w:line="240" w:lineRule="auto"/>
        <w:jc w:val="both"/>
        <w:textAlignment w:val="baseline"/>
        <w:rPr>
          <w:rFonts w:ascii="Verdana" w:hAnsi="Verdana"/>
        </w:rPr>
      </w:pPr>
      <w:r w:rsidRPr="00F35AB9">
        <w:rPr>
          <w:rFonts w:ascii="Verdana" w:hAnsi="Verdana"/>
        </w:rPr>
        <w:t>Bogotá D.C.</w:t>
      </w:r>
    </w:p>
    <w:p w14:paraId="0B1D0697" w14:textId="77777777" w:rsidR="00EA255A" w:rsidRPr="00F35AB9" w:rsidRDefault="00EA255A">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EA255A" w:rsidRPr="00F35AB9" w14:paraId="051978E4" w14:textId="77777777" w:rsidTr="009C563A">
        <w:trPr>
          <w:trHeight w:val="615"/>
        </w:trPr>
        <w:tc>
          <w:tcPr>
            <w:tcW w:w="2265" w:type="dxa"/>
            <w:shd w:val="clear" w:color="auto" w:fill="FFFFFF" w:themeFill="background1"/>
            <w:tcMar>
              <w:left w:w="108" w:type="dxa"/>
              <w:right w:w="108" w:type="dxa"/>
            </w:tcMar>
          </w:tcPr>
          <w:p w14:paraId="73927E22" w14:textId="77777777" w:rsidR="00EA255A" w:rsidRPr="003D69C0" w:rsidRDefault="00EA255A">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55FDCFCB" w14:textId="77777777" w:rsidR="00EA255A" w:rsidRPr="008123F0" w:rsidRDefault="00EA255A">
            <w:pPr>
              <w:jc w:val="both"/>
              <w:rPr>
                <w:rFonts w:ascii="Verdana" w:hAnsi="Verdana"/>
              </w:rPr>
            </w:pPr>
            <w:r w:rsidRPr="003D69C0">
              <w:rPr>
                <w:rFonts w:ascii="Verdana" w:eastAsia="Verdana" w:hAnsi="Verdana" w:cs="Verdana"/>
                <w:b/>
                <w:bCs/>
                <w:color w:val="000000" w:themeColor="text1"/>
                <w:lang w:val="es"/>
              </w:rPr>
              <w:t xml:space="preserve">Concepto C- 1426 </w:t>
            </w:r>
            <w:r w:rsidRPr="004814D7">
              <w:rPr>
                <w:rFonts w:ascii="Verdana" w:eastAsia="Verdana" w:hAnsi="Verdana" w:cs="Verdana"/>
                <w:b/>
                <w:bCs/>
                <w:color w:val="000000" w:themeColor="text1"/>
                <w:lang w:val="es"/>
              </w:rPr>
              <w:t>de 2026</w:t>
            </w:r>
          </w:p>
        </w:tc>
      </w:tr>
      <w:tr w:rsidR="00EA255A" w:rsidRPr="00F35AB9" w14:paraId="780BCB7F" w14:textId="77777777" w:rsidTr="009C563A">
        <w:trPr>
          <w:trHeight w:val="1065"/>
        </w:trPr>
        <w:tc>
          <w:tcPr>
            <w:tcW w:w="2265" w:type="dxa"/>
            <w:shd w:val="clear" w:color="auto" w:fill="FFFFFF" w:themeFill="background1"/>
            <w:tcMar>
              <w:left w:w="108" w:type="dxa"/>
              <w:right w:w="108" w:type="dxa"/>
            </w:tcMar>
          </w:tcPr>
          <w:p w14:paraId="3D3F63A6" w14:textId="77777777" w:rsidR="00EA255A" w:rsidRPr="008123F0" w:rsidRDefault="00EA255A" w:rsidP="00F35AB9">
            <w:pPr>
              <w:jc w:val="both"/>
              <w:rPr>
                <w:rFonts w:ascii="Verdana" w:hAnsi="Verdana"/>
              </w:rPr>
            </w:pPr>
            <w:r w:rsidRPr="00F35AB9">
              <w:rPr>
                <w:rFonts w:ascii="Verdana" w:eastAsia="Verdana" w:hAnsi="Verdana" w:cs="Verdana"/>
                <w:b/>
                <w:bCs/>
                <w:color w:val="000000" w:themeColor="text1"/>
              </w:rPr>
              <w:t>Temas:</w:t>
            </w:r>
            <w:r w:rsidRPr="00F35AB9">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4EB50757" w14:textId="04CD4584" w:rsidR="00EA255A" w:rsidRPr="008123F0" w:rsidRDefault="00EA255A" w:rsidP="008123F0">
            <w:pPr>
              <w:jc w:val="both"/>
              <w:rPr>
                <w:rFonts w:ascii="Verdana" w:eastAsia="Times New Roman" w:hAnsi="Verdana" w:cs="Arial"/>
                <w:highlight w:val="yellow"/>
                <w:lang w:eastAsia="es-ES"/>
              </w:rPr>
            </w:pPr>
            <w:r w:rsidRPr="00F35AB9">
              <w:rPr>
                <w:rFonts w:ascii="Verdana" w:eastAsia="Times New Roman" w:hAnsi="Verdana" w:cs="Arial"/>
                <w:lang w:eastAsia="es-ES"/>
              </w:rPr>
              <w:t>LIQUIDACIÓN DEL CONTRATO – Definición – Objetivo /</w:t>
            </w:r>
            <w:r w:rsidRPr="00F35AB9">
              <w:rPr>
                <w:rFonts w:ascii="Verdana" w:hAnsi="Verdana"/>
              </w:rPr>
              <w:t xml:space="preserve"> </w:t>
            </w:r>
            <w:r w:rsidRPr="00F35AB9">
              <w:rPr>
                <w:rFonts w:ascii="Verdana" w:eastAsia="Times New Roman" w:hAnsi="Verdana" w:cs="Arial"/>
                <w:lang w:eastAsia="es-ES"/>
              </w:rPr>
              <w:t xml:space="preserve">LIQUIDACIÓN DEL CONTRATO – Normativa / LIQUIDACIÓN DEL CONTRATO – Tipos – Bilateral – Unilateral – Judicial / </w:t>
            </w:r>
            <w:r w:rsidRPr="00F35AB9">
              <w:rPr>
                <w:rFonts w:ascii="Verdana" w:eastAsia="Calibri" w:hAnsi="Verdana" w:cs="Arial"/>
                <w:bCs/>
              </w:rPr>
              <w:t xml:space="preserve">PAGO ANTICIPADO Y/O ANTICIPO – Regulación normativa / </w:t>
            </w:r>
            <w:r w:rsidRPr="00F35AB9">
              <w:rPr>
                <w:rFonts w:ascii="Verdana" w:eastAsia="Calibri" w:hAnsi="Verdana" w:cs="Arial"/>
                <w:lang w:eastAsia="es-ES"/>
              </w:rPr>
              <w:t xml:space="preserve">ANTICIPO – Definición jurisprudencial / PAGO ANTICIPADO – </w:t>
            </w:r>
            <w:r w:rsidRPr="003D69C0">
              <w:rPr>
                <w:rFonts w:ascii="Verdana" w:eastAsia="Calibri" w:hAnsi="Verdana" w:cs="Arial"/>
                <w:lang w:eastAsia="es-ES"/>
              </w:rPr>
              <w:t xml:space="preserve">Definición / </w:t>
            </w:r>
            <w:r w:rsidRPr="004814D7">
              <w:rPr>
                <w:rFonts w:ascii="Verdana" w:hAnsi="Verdana" w:cs="Arial"/>
                <w:bCs/>
                <w:lang w:val="es-MX" w:eastAsia="es-ES"/>
              </w:rPr>
              <w:t>ARREGLO DIRECTO EN LA CONTRATACIÓN ESTATAL – Principio - Concepto – Alcances – Manifestaciones</w:t>
            </w:r>
          </w:p>
          <w:p w14:paraId="11E778A3" w14:textId="77777777" w:rsidR="00EA255A" w:rsidRPr="008123F0" w:rsidRDefault="00EA255A" w:rsidP="008123F0">
            <w:pPr>
              <w:jc w:val="both"/>
              <w:rPr>
                <w:rFonts w:ascii="Verdana" w:hAnsi="Verdana"/>
                <w:highlight w:val="yellow"/>
              </w:rPr>
            </w:pPr>
          </w:p>
        </w:tc>
      </w:tr>
      <w:tr w:rsidR="00EA255A" w:rsidRPr="00F35AB9" w14:paraId="186AA1E6" w14:textId="77777777" w:rsidTr="009C563A">
        <w:trPr>
          <w:trHeight w:val="660"/>
        </w:trPr>
        <w:tc>
          <w:tcPr>
            <w:tcW w:w="2265" w:type="dxa"/>
            <w:shd w:val="clear" w:color="auto" w:fill="FFFFFF" w:themeFill="background1"/>
            <w:tcMar>
              <w:left w:w="108" w:type="dxa"/>
              <w:right w:w="108" w:type="dxa"/>
            </w:tcMar>
          </w:tcPr>
          <w:p w14:paraId="778AAF82" w14:textId="77777777" w:rsidR="00EA255A" w:rsidRPr="008123F0" w:rsidRDefault="00EA255A" w:rsidP="00F35AB9">
            <w:pPr>
              <w:jc w:val="both"/>
              <w:rPr>
                <w:rFonts w:ascii="Verdana" w:hAnsi="Verdana"/>
              </w:rPr>
            </w:pPr>
            <w:r w:rsidRPr="00F35AB9">
              <w:rPr>
                <w:rFonts w:ascii="Verdana" w:eastAsia="Verdana" w:hAnsi="Verdana" w:cs="Verdana"/>
                <w:b/>
                <w:bCs/>
                <w:color w:val="000000" w:themeColor="text1"/>
              </w:rPr>
              <w:t>Radicación:</w:t>
            </w:r>
            <w:r w:rsidRPr="00F35AB9">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1E7C0F7B" w14:textId="77777777" w:rsidR="00EA255A" w:rsidRPr="008123F0" w:rsidRDefault="00EA255A" w:rsidP="003D69C0">
            <w:pPr>
              <w:ind w:right="1"/>
              <w:jc w:val="both"/>
              <w:rPr>
                <w:rFonts w:ascii="Verdana" w:hAnsi="Verdana"/>
              </w:rPr>
            </w:pPr>
            <w:r w:rsidRPr="00F35AB9">
              <w:rPr>
                <w:rFonts w:ascii="Verdana" w:eastAsia="Verdana" w:hAnsi="Verdana" w:cs="Verdana"/>
                <w:color w:val="000000" w:themeColor="text1"/>
              </w:rPr>
              <w:t>Respuesta a consulta con radicado N.º 1_2026_09_10_012077</w:t>
            </w:r>
          </w:p>
        </w:tc>
      </w:tr>
    </w:tbl>
    <w:p w14:paraId="4DD1C195" w14:textId="77777777" w:rsidR="00EA255A" w:rsidRPr="00F35AB9" w:rsidRDefault="00EA255A" w:rsidP="005D2AF7">
      <w:pPr>
        <w:spacing w:after="0" w:line="276" w:lineRule="auto"/>
        <w:jc w:val="both"/>
        <w:textAlignment w:val="baseline"/>
        <w:rPr>
          <w:rFonts w:ascii="Verdana" w:eastAsia="Verdana" w:hAnsi="Verdana" w:cs="Verdana"/>
          <w:b/>
          <w:bCs/>
          <w:color w:val="000000" w:themeColor="text1"/>
          <w:lang w:val="es"/>
        </w:rPr>
      </w:pPr>
    </w:p>
    <w:p w14:paraId="02FC407B" w14:textId="77777777" w:rsidR="00EA255A" w:rsidRPr="0015699B" w:rsidRDefault="00EA255A" w:rsidP="003D69C0">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Estimad</w:t>
      </w:r>
      <w:r>
        <w:rPr>
          <w:rFonts w:ascii="Verdana" w:eastAsia="Verdana" w:hAnsi="Verdana" w:cs="Verdana"/>
          <w:color w:val="000000" w:themeColor="text1"/>
          <w:lang w:val="es"/>
        </w:rPr>
        <w:t>o s</w:t>
      </w:r>
      <w:r w:rsidRPr="40A87941">
        <w:rPr>
          <w:rFonts w:ascii="Verdana" w:eastAsia="Verdana" w:hAnsi="Verdana" w:cs="Verdana"/>
          <w:color w:val="000000" w:themeColor="text1"/>
          <w:lang w:val="es"/>
        </w:rPr>
        <w:t>eñor</w:t>
      </w:r>
      <w:r>
        <w:rPr>
          <w:rFonts w:ascii="Verdana" w:eastAsia="Verdana" w:hAnsi="Verdana" w:cs="Verdana"/>
          <w:color w:val="000000" w:themeColor="text1"/>
          <w:lang w:val="es"/>
        </w:rPr>
        <w:t xml:space="preserve"> Casta</w:t>
      </w:r>
      <w:r w:rsidRPr="0057742B">
        <w:rPr>
          <w:rFonts w:ascii="Verdana" w:eastAsia="Verdana" w:hAnsi="Verdana" w:cs="Verdana"/>
          <w:color w:val="000000" w:themeColor="text1"/>
          <w:lang w:val="es"/>
        </w:rPr>
        <w:t>ñ</w:t>
      </w:r>
      <w:r>
        <w:rPr>
          <w:rFonts w:ascii="Verdana" w:eastAsia="Verdana" w:hAnsi="Verdana" w:cs="Verdana"/>
          <w:color w:val="000000" w:themeColor="text1"/>
          <w:lang w:val="es"/>
        </w:rPr>
        <w:t>eda</w:t>
      </w:r>
      <w:r w:rsidRPr="40A87941">
        <w:rPr>
          <w:rFonts w:ascii="Verdana" w:eastAsia="Verdana" w:hAnsi="Verdana" w:cs="Verdana"/>
          <w:color w:val="000000" w:themeColor="text1"/>
          <w:lang w:val="es"/>
        </w:rPr>
        <w:t>;</w:t>
      </w:r>
    </w:p>
    <w:p w14:paraId="22426FE0" w14:textId="77777777" w:rsidR="00EA255A" w:rsidRDefault="00EA255A" w:rsidP="003D69C0">
      <w:pPr>
        <w:spacing w:after="120" w:line="276" w:lineRule="auto"/>
        <w:jc w:val="both"/>
        <w:textAlignment w:val="baseline"/>
        <w:rPr>
          <w:rFonts w:ascii="Verdana" w:eastAsia="Verdana" w:hAnsi="Verdana" w:cs="Verdana"/>
          <w:color w:val="000000" w:themeColor="text1"/>
          <w:lang w:val="es-ES"/>
        </w:rPr>
      </w:pPr>
    </w:p>
    <w:p w14:paraId="69CA98E6" w14:textId="01B2BD5D" w:rsidR="00EA255A" w:rsidRDefault="00EA255A" w:rsidP="008123F0">
      <w:pPr>
        <w:spacing w:after="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10</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septiembre</w:t>
      </w:r>
      <w:r w:rsidRPr="39124533">
        <w:rPr>
          <w:rFonts w:ascii="Verdana" w:eastAsia="Verdana" w:hAnsi="Verdana" w:cs="Verdana"/>
          <w:color w:val="000000" w:themeColor="text1"/>
          <w:lang w:val="es-ES"/>
        </w:rPr>
        <w:t xml:space="preserve"> de 2026 en la cual manifiesta lo siguiente:</w:t>
      </w:r>
    </w:p>
    <w:p w14:paraId="41173987" w14:textId="77777777" w:rsidR="005D2AF7" w:rsidRDefault="005D2AF7" w:rsidP="008123F0">
      <w:pPr>
        <w:spacing w:after="0" w:line="276" w:lineRule="auto"/>
        <w:jc w:val="both"/>
        <w:textAlignment w:val="baseline"/>
        <w:rPr>
          <w:rFonts w:ascii="Verdana" w:eastAsia="Verdana" w:hAnsi="Verdana" w:cs="Verdana"/>
          <w:color w:val="000000" w:themeColor="text1"/>
          <w:lang w:val="es-ES"/>
        </w:rPr>
      </w:pPr>
    </w:p>
    <w:p w14:paraId="1C58AD10" w14:textId="77777777"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t>“</w:t>
      </w:r>
    </w:p>
    <w:p w14:paraId="10F3FBCF" w14:textId="77777777"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t>INTERROGANTES SOBRE LOS CUALES SE SOLICITA CONCEPTO</w:t>
      </w:r>
    </w:p>
    <w:p w14:paraId="7B0FE221" w14:textId="3306D859" w:rsidR="00EA255A" w:rsidRDefault="00EA255A" w:rsidP="005D2AF7">
      <w:pPr>
        <w:spacing w:after="0"/>
        <w:ind w:left="709" w:right="709"/>
        <w:jc w:val="both"/>
        <w:rPr>
          <w:rFonts w:ascii="Verdana" w:hAnsi="Verdana"/>
          <w:sz w:val="20"/>
          <w:szCs w:val="20"/>
        </w:rPr>
      </w:pPr>
      <w:r w:rsidRPr="008123F0">
        <w:rPr>
          <w:rFonts w:ascii="Verdana" w:hAnsi="Verdana"/>
          <w:sz w:val="20"/>
          <w:szCs w:val="20"/>
        </w:rPr>
        <w:t xml:space="preserve">1. ¿Cuál es el alcance jurídico del vencimiento del plazo de ejecución de un contrato estatal de obra respecto de obligaciones que no fueron materialmente satisfechas dentro de dicho plazo? En particular, se solicita </w:t>
      </w:r>
      <w:r w:rsidRPr="008123F0">
        <w:rPr>
          <w:rFonts w:ascii="Verdana" w:hAnsi="Verdana"/>
          <w:sz w:val="20"/>
          <w:szCs w:val="20"/>
        </w:rPr>
        <w:lastRenderedPageBreak/>
        <w:t>precisar la diferencia entre el cumplimiento extemporáneo de una obligación originalmente pactada y una modificación, adición o prórroga extemporánea del contrato.</w:t>
      </w:r>
    </w:p>
    <w:p w14:paraId="28A692D1" w14:textId="77777777" w:rsidR="005D2AF7" w:rsidRPr="008123F0" w:rsidRDefault="005D2AF7" w:rsidP="008123F0">
      <w:pPr>
        <w:spacing w:after="0"/>
        <w:ind w:left="709" w:right="709"/>
        <w:jc w:val="both"/>
        <w:rPr>
          <w:rFonts w:ascii="Verdana" w:hAnsi="Verdana"/>
          <w:sz w:val="20"/>
          <w:szCs w:val="20"/>
        </w:rPr>
      </w:pPr>
    </w:p>
    <w:p w14:paraId="2B62F317" w14:textId="77777777"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t>2. Cuando un único contrato estatal contiene dos frentes funcionalmente diferenciados, ¿es jurídicamente posible efectuar, antes de la liquidación definitiva del contrato, un cierre, balance o definición bilateral de uno de los frentes respecto del cual no continuará la ejecución material, mientras permanecen obligaciones pendientes correspondientes al otro frente? En caso afirmativo, ¿cuál sería la figura jurídicamente adecuada y cuáles serían sus límites, teniendo en cuenta que la liquidación propiamente dicha recae sobre el contrato estatal como negocio jurídico?</w:t>
      </w:r>
    </w:p>
    <w:p w14:paraId="4B8EEAAC" w14:textId="77777777" w:rsidR="003D69C0" w:rsidRDefault="003D69C0" w:rsidP="005D2AF7">
      <w:pPr>
        <w:spacing w:after="0"/>
        <w:ind w:left="709" w:right="709"/>
        <w:jc w:val="both"/>
        <w:rPr>
          <w:rFonts w:ascii="Verdana" w:hAnsi="Verdana"/>
          <w:sz w:val="20"/>
          <w:szCs w:val="20"/>
        </w:rPr>
      </w:pPr>
    </w:p>
    <w:p w14:paraId="0E1490CD" w14:textId="311D4939"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t>3. De conformidad con el artículo 91 de la Ley 1474 de 2011, el parágrafo del artículo 40 de la Ley 80 de 1993 y el Decreto 1082 de 2015, cuando un anticipo fue entregado para la ejecución de un único contrato, pero el plan de utilización o inversión lo distribuyó internamente entre dos frentes, ¿es admisible reorientar un saldo no utilizado de un frente hacia el otro frente del mismo contrato, siempre que no exista aumento del valor contractual ni destinación a un objeto contractual diferente?</w:t>
      </w:r>
    </w:p>
    <w:p w14:paraId="1EC3B858" w14:textId="77777777" w:rsidR="003D69C0" w:rsidRDefault="003D69C0" w:rsidP="005D2AF7">
      <w:pPr>
        <w:spacing w:after="0"/>
        <w:ind w:left="709" w:right="709"/>
        <w:jc w:val="both"/>
        <w:rPr>
          <w:rFonts w:ascii="Verdana" w:hAnsi="Verdana"/>
          <w:sz w:val="20"/>
          <w:szCs w:val="20"/>
        </w:rPr>
      </w:pPr>
    </w:p>
    <w:p w14:paraId="4603BAF9" w14:textId="44CD9B18"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t>4. En caso de que la respuesta anterior dependa de la modificación del plan de utilización o inversión del anticipo o de las instrucciones del negocio fiduciario, ¿pueden tales instrumentos ajustarse una vez vencido el plazo de ejecución del contrato estatal, o dicho ajuste supondría necesariamente una modificación extemporánea del contrato principal?</w:t>
      </w:r>
    </w:p>
    <w:p w14:paraId="3C4A389A" w14:textId="77777777" w:rsidR="003D69C0" w:rsidRDefault="003D69C0" w:rsidP="005D2AF7">
      <w:pPr>
        <w:spacing w:after="0"/>
        <w:ind w:left="709" w:right="709"/>
        <w:jc w:val="both"/>
        <w:rPr>
          <w:rFonts w:ascii="Verdana" w:hAnsi="Verdana"/>
          <w:sz w:val="20"/>
          <w:szCs w:val="20"/>
        </w:rPr>
      </w:pPr>
    </w:p>
    <w:p w14:paraId="1828CCA2" w14:textId="5583CC87"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t>5. ¿La naturaleza jurídica de los recursos entregados a título de anticipo permite que, una vez amortizado el anticipo originalmente pactado, un saldo remanente dentro del patrimonio autónomo sea utilizado como fuente de pago de actas o cortes de obra efectivamente ejecutados, verificados y aprobados, de manera que no opere como financiación anticipada sino como pago de obligaciones causadas? ¿O, por el contrario, la destinación legal del anticipo impide modificar su naturaleza y exige su reintegro a la entidad estatal antes de realizar pagos ordinarios del precio contractual?</w:t>
      </w:r>
    </w:p>
    <w:p w14:paraId="331E630F" w14:textId="77777777" w:rsidR="003D69C0" w:rsidRDefault="003D69C0" w:rsidP="005D2AF7">
      <w:pPr>
        <w:spacing w:after="0"/>
        <w:ind w:left="709" w:right="709"/>
        <w:jc w:val="both"/>
        <w:rPr>
          <w:rFonts w:ascii="Verdana" w:hAnsi="Verdana"/>
          <w:sz w:val="20"/>
          <w:szCs w:val="20"/>
        </w:rPr>
      </w:pPr>
    </w:p>
    <w:p w14:paraId="703F2516" w14:textId="066A3275"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t>6. Para efectos de la respuesta anterior, ¿qué criterios permiten diferenciar jurídicamente entre: (i) un anticipo adicional; (</w:t>
      </w:r>
      <w:proofErr w:type="spellStart"/>
      <w:r w:rsidRPr="008123F0">
        <w:rPr>
          <w:rFonts w:ascii="Verdana" w:hAnsi="Verdana"/>
          <w:sz w:val="20"/>
          <w:szCs w:val="20"/>
        </w:rPr>
        <w:t>ii</w:t>
      </w:r>
      <w:proofErr w:type="spellEnd"/>
      <w:r w:rsidRPr="008123F0">
        <w:rPr>
          <w:rFonts w:ascii="Verdana" w:hAnsi="Verdana"/>
          <w:sz w:val="20"/>
          <w:szCs w:val="20"/>
        </w:rPr>
        <w:t>) la reutilización o reorientación de recursos que conservan la naturaleza de anticipo; y (</w:t>
      </w:r>
      <w:proofErr w:type="spellStart"/>
      <w:r w:rsidRPr="008123F0">
        <w:rPr>
          <w:rFonts w:ascii="Verdana" w:hAnsi="Verdana"/>
          <w:sz w:val="20"/>
          <w:szCs w:val="20"/>
        </w:rPr>
        <w:t>iii</w:t>
      </w:r>
      <w:proofErr w:type="spellEnd"/>
      <w:r w:rsidRPr="008123F0">
        <w:rPr>
          <w:rFonts w:ascii="Verdana" w:hAnsi="Verdana"/>
          <w:sz w:val="20"/>
          <w:szCs w:val="20"/>
        </w:rPr>
        <w:t>) un pago ordinario del precio contra una obligación causada y exigible? Se solicita precisar si la permanencia de los recursos en un patrimonio autónomo fiduciario incide en dicha calificación.</w:t>
      </w:r>
    </w:p>
    <w:p w14:paraId="417EACB6" w14:textId="77777777"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lastRenderedPageBreak/>
        <w:t>7. Si los recursos remanentes del anticipo no pudieran convertirse o emplearse válidamente como fuente de pago contra obra ejecutada, ¿cuál es, desde las normas generales de contratación estatal, el tratamiento que corresponde a dichos saldos? En particular, ¿deben reintegrarse a la entidad estatal para que cualquier pago posterior se tramite mediante el mecanismo presupuestal y de tesorería aplicable, o existe otra alternativa jurídicamente admisible dentro del mismo esquema fiduciario?</w:t>
      </w:r>
    </w:p>
    <w:p w14:paraId="33B4955D" w14:textId="77777777"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t>8. ¿Puede un acuerdo de arreglo directo o un contrato de transacción celebrado después del vencimiento del plazo de ejecución definir el cierre de uno de los frentes, el balance económico y fiduciario del contrato y la forma de satisfacer obligaciones pendientes del otro frente, sin que por ello se configure una prórroga, adición o modificación extemporánea? ¿Qué materias pueden ser válidamente objeto de transacción y cuáles deben entenderse excluidas por involucrar potestades públicas, normas imperativas o derechos no disponibles?</w:t>
      </w:r>
    </w:p>
    <w:p w14:paraId="31D2E30F" w14:textId="77777777"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t>9. ¿Qué alcance tiene el artículo 60 de la Ley 80 de 1993 y el artículo 11 de la Ley 1150 de 2007 frente a la posibilidad de acordar, durante la etapa de liquidación, la forma de cumplir obligaciones pendientes? ¿Ese marco permite convenir mecanismos de pago o de ejecución tardía de obligaciones preexistentes, o únicamente efectuar el ajuste final de cuentas sin reactivar prestaciones materiales que no fueron ejecutadas durante el plazo?</w:t>
      </w:r>
    </w:p>
    <w:p w14:paraId="025D7ADD" w14:textId="77777777" w:rsidR="00EA255A" w:rsidRPr="008123F0" w:rsidRDefault="00EA255A" w:rsidP="008123F0">
      <w:pPr>
        <w:spacing w:after="0"/>
        <w:ind w:left="709" w:right="709"/>
        <w:jc w:val="both"/>
        <w:rPr>
          <w:rFonts w:ascii="Verdana" w:hAnsi="Verdana"/>
          <w:sz w:val="20"/>
          <w:szCs w:val="20"/>
        </w:rPr>
      </w:pPr>
      <w:r w:rsidRPr="008123F0">
        <w:rPr>
          <w:rFonts w:ascii="Verdana" w:hAnsi="Verdana"/>
          <w:sz w:val="20"/>
          <w:szCs w:val="20"/>
        </w:rPr>
        <w:t>10. En un esquema como el descrito, ¿cuáles son los controles mínimos que, desde la normativa general de contratación estatal, deberían preceder cualquier pago con recursos originalmente entregados como anticipo? Se solicita considerar, entre otros, la certificación de la interventoría o supervisión, el balance técnico y fiduciario, la correcta amortización del anticipo, la acreditación de la obligación causada, la suficiencia presupuestal, la vigencia y adecuación de las garantías y la trazabilidad de los recursos.”</w:t>
      </w:r>
    </w:p>
    <w:p w14:paraId="5EB57A1A" w14:textId="77777777" w:rsidR="004814D7" w:rsidRPr="008123F0" w:rsidRDefault="00EA255A" w:rsidP="008123F0">
      <w:pPr>
        <w:spacing w:after="0" w:line="276" w:lineRule="auto"/>
        <w:ind w:right="49"/>
        <w:jc w:val="both"/>
        <w:rPr>
          <w:rFonts w:ascii="Verdana" w:eastAsia="Verdana" w:hAnsi="Verdana" w:cs="Verdana"/>
          <w:color w:val="000000" w:themeColor="text1"/>
        </w:rPr>
      </w:pPr>
      <w:r>
        <w:rPr>
          <w:rFonts w:ascii="Verdana" w:eastAsia="Verdana" w:hAnsi="Verdana" w:cs="Verdana"/>
          <w:color w:val="000000" w:themeColor="text1"/>
          <w:sz w:val="21"/>
          <w:szCs w:val="21"/>
        </w:rPr>
        <w:t xml:space="preserve">        </w:t>
      </w:r>
      <w:r w:rsidRPr="00C57436">
        <w:rPr>
          <w:rFonts w:ascii="Verdana" w:eastAsia="Verdana" w:hAnsi="Verdana" w:cs="Verdana"/>
          <w:color w:val="000000" w:themeColor="text1"/>
          <w:sz w:val="21"/>
          <w:szCs w:val="21"/>
        </w:rPr>
        <w:t xml:space="preserve"> </w:t>
      </w:r>
    </w:p>
    <w:p w14:paraId="573F1D8A" w14:textId="3DC2369A" w:rsidR="00EA255A" w:rsidRPr="0015699B" w:rsidRDefault="00EA255A" w:rsidP="00EA255A">
      <w:pPr>
        <w:ind w:right="49"/>
        <w:jc w:val="both"/>
        <w:rPr>
          <w:rFonts w:ascii="Calibri" w:eastAsia="Calibri" w:hAnsi="Calibri" w:cs="Calibri"/>
          <w:lang w:val="es"/>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w:t>
      </w:r>
      <w:r w:rsidRPr="39124533">
        <w:rPr>
          <w:rFonts w:ascii="Verdana" w:eastAsia="Verdana" w:hAnsi="Verdana" w:cs="Verdana"/>
          <w:color w:val="000000" w:themeColor="text1"/>
          <w:lang w:val="es"/>
        </w:rPr>
        <w:lastRenderedPageBreak/>
        <w:t xml:space="preserve">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2B5D2C40" w14:textId="77777777" w:rsidR="00EA255A" w:rsidRPr="0015699B" w:rsidRDefault="00EA255A" w:rsidP="00EA255A">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0775A0F" w14:textId="77777777" w:rsidR="00EA255A" w:rsidRDefault="00EA255A" w:rsidP="00EA255A">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DC6BDE0" w14:textId="77777777" w:rsidR="00EA255A" w:rsidRPr="0015699B" w:rsidRDefault="00EA255A" w:rsidP="00EA255A">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 xml:space="preserve">s </w:t>
      </w:r>
      <w:r w:rsidRPr="40A87941">
        <w:rPr>
          <w:rFonts w:ascii="Verdana" w:eastAsia="Verdana" w:hAnsi="Verdana" w:cs="Verdana"/>
          <w:b/>
          <w:bCs/>
          <w:color w:val="000000" w:themeColor="text1"/>
          <w:lang w:val="es"/>
        </w:rPr>
        <w:t>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7C6F1EB3" w14:textId="77777777" w:rsidR="00EA255A" w:rsidRPr="0015699B" w:rsidRDefault="00EA255A" w:rsidP="00EA255A">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DF9C19F" w14:textId="77777777" w:rsidR="00EA255A" w:rsidRDefault="00EA255A" w:rsidP="00EA255A">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los siguientes problemas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s: </w:t>
      </w:r>
    </w:p>
    <w:p w14:paraId="0185CFB3" w14:textId="77777777" w:rsidR="00EA255A" w:rsidRDefault="00EA255A" w:rsidP="00EA255A">
      <w:pPr>
        <w:spacing w:after="0" w:line="276" w:lineRule="auto"/>
        <w:jc w:val="both"/>
        <w:textAlignment w:val="baseline"/>
        <w:rPr>
          <w:rFonts w:ascii="Verdana" w:eastAsia="Verdana" w:hAnsi="Verdana" w:cs="Verdana"/>
          <w:color w:val="000000" w:themeColor="text1"/>
          <w:lang w:val="es"/>
        </w:rPr>
      </w:pPr>
    </w:p>
    <w:p w14:paraId="057DBED4" w14:textId="77777777" w:rsidR="00EA255A" w:rsidRDefault="00EA255A" w:rsidP="00EA255A">
      <w:pPr>
        <w:spacing w:after="0" w:line="276" w:lineRule="auto"/>
        <w:jc w:val="both"/>
        <w:textAlignment w:val="baseline"/>
        <w:rPr>
          <w:rFonts w:ascii="Verdana" w:eastAsia="Verdana" w:hAnsi="Verdana" w:cs="Verdana"/>
          <w:color w:val="000000" w:themeColor="text1"/>
        </w:rPr>
      </w:pPr>
      <w:r w:rsidRPr="00E818DB">
        <w:rPr>
          <w:rFonts w:ascii="Verdana" w:eastAsia="Verdana" w:hAnsi="Verdana" w:cs="Verdana"/>
          <w:b/>
          <w:bCs/>
          <w:color w:val="000000" w:themeColor="text1"/>
        </w:rPr>
        <w:t>1.</w:t>
      </w:r>
      <w:r w:rsidRPr="00E818DB">
        <w:rPr>
          <w:rFonts w:ascii="Verdana" w:eastAsia="Verdana" w:hAnsi="Verdana" w:cs="Verdana"/>
          <w:color w:val="000000" w:themeColor="text1"/>
        </w:rPr>
        <w:t xml:space="preserve"> ¿Es jurídicamente posible, una vez vencido el plazo de ejecución de un contrato estatal, definir el estado de cumplimiento de determinadas prestaciones, establecer el balance técnico, económico y financiero de uno de sus componentes o frentes de ejecución y determinar las obligaciones pendientes de las partes, sin que ello implique una prórroga o modificación extemporánea del contrato?</w:t>
      </w:r>
      <w:r>
        <w:rPr>
          <w:rFonts w:ascii="Verdana" w:eastAsia="Verdana" w:hAnsi="Verdana" w:cs="Verdana"/>
          <w:color w:val="000000" w:themeColor="text1"/>
        </w:rPr>
        <w:t xml:space="preserve"> (R</w:t>
      </w:r>
      <w:r w:rsidRPr="00E818DB">
        <w:rPr>
          <w:rFonts w:ascii="Verdana" w:eastAsia="Verdana" w:hAnsi="Verdana" w:cs="Verdana"/>
          <w:color w:val="000000" w:themeColor="text1"/>
        </w:rPr>
        <w:t>esponde los interrogantes 1, 2 y 9</w:t>
      </w:r>
      <w:r>
        <w:rPr>
          <w:rFonts w:ascii="Verdana" w:eastAsia="Verdana" w:hAnsi="Verdana" w:cs="Verdana"/>
          <w:color w:val="000000" w:themeColor="text1"/>
        </w:rPr>
        <w:t>)</w:t>
      </w:r>
    </w:p>
    <w:p w14:paraId="440E725B" w14:textId="77777777" w:rsidR="00EA255A" w:rsidRPr="00E818DB" w:rsidRDefault="00EA255A" w:rsidP="00EA255A">
      <w:pPr>
        <w:spacing w:after="0" w:line="276" w:lineRule="auto"/>
        <w:jc w:val="both"/>
        <w:textAlignment w:val="baseline"/>
        <w:rPr>
          <w:rFonts w:ascii="Verdana" w:eastAsia="Verdana" w:hAnsi="Verdana" w:cs="Verdana"/>
          <w:color w:val="000000" w:themeColor="text1"/>
        </w:rPr>
      </w:pPr>
    </w:p>
    <w:p w14:paraId="7945D9E4" w14:textId="77777777" w:rsidR="00EA255A" w:rsidRDefault="00EA255A" w:rsidP="00EA255A">
      <w:pPr>
        <w:spacing w:after="0" w:line="276" w:lineRule="auto"/>
        <w:jc w:val="both"/>
        <w:textAlignment w:val="baseline"/>
        <w:rPr>
          <w:rFonts w:ascii="Verdana" w:eastAsia="Verdana" w:hAnsi="Verdana" w:cs="Verdana"/>
          <w:color w:val="000000" w:themeColor="text1"/>
        </w:rPr>
      </w:pPr>
      <w:r w:rsidRPr="00E818DB">
        <w:rPr>
          <w:rFonts w:ascii="Verdana" w:eastAsia="Verdana" w:hAnsi="Verdana" w:cs="Verdana"/>
          <w:b/>
          <w:bCs/>
          <w:color w:val="000000" w:themeColor="text1"/>
        </w:rPr>
        <w:t>2.</w:t>
      </w:r>
      <w:r w:rsidRPr="00E818DB">
        <w:rPr>
          <w:rFonts w:ascii="Verdana" w:eastAsia="Verdana" w:hAnsi="Verdana" w:cs="Verdana"/>
          <w:color w:val="000000" w:themeColor="text1"/>
        </w:rPr>
        <w:t xml:space="preserve"> ¿Cuál es el tratamiento jurídico de los recursos entregados a título de anticipo y administrados mediante un patrimonio autónomo fiduciario cuando ha vencido el plazo de ejecución del contrato, particularmente respecto de la posibilidad de reorientar saldos no ejecutados entre componentes del mismo contrato o destinarlos al pago de obligaciones contractuales causadas?</w:t>
      </w:r>
      <w:r>
        <w:rPr>
          <w:rFonts w:ascii="Verdana" w:eastAsia="Verdana" w:hAnsi="Verdana" w:cs="Verdana"/>
          <w:color w:val="000000" w:themeColor="text1"/>
        </w:rPr>
        <w:t xml:space="preserve"> (R</w:t>
      </w:r>
      <w:r w:rsidRPr="00E818DB">
        <w:rPr>
          <w:rFonts w:ascii="Verdana" w:eastAsia="Verdana" w:hAnsi="Verdana" w:cs="Verdana"/>
          <w:color w:val="000000" w:themeColor="text1"/>
        </w:rPr>
        <w:t>esponde los interrogantes 3, 4, 5, 6, 7 y 10</w:t>
      </w:r>
      <w:r>
        <w:rPr>
          <w:rFonts w:ascii="Verdana" w:eastAsia="Verdana" w:hAnsi="Verdana" w:cs="Verdana"/>
          <w:color w:val="000000" w:themeColor="text1"/>
        </w:rPr>
        <w:t>)</w:t>
      </w:r>
    </w:p>
    <w:p w14:paraId="07C4EFB3" w14:textId="77777777" w:rsidR="00EA255A" w:rsidRPr="00E818DB" w:rsidRDefault="00EA255A" w:rsidP="00EA255A">
      <w:pPr>
        <w:spacing w:after="0" w:line="276" w:lineRule="auto"/>
        <w:jc w:val="both"/>
        <w:textAlignment w:val="baseline"/>
        <w:rPr>
          <w:rFonts w:ascii="Verdana" w:eastAsia="Verdana" w:hAnsi="Verdana" w:cs="Verdana"/>
          <w:color w:val="000000" w:themeColor="text1"/>
        </w:rPr>
      </w:pPr>
    </w:p>
    <w:p w14:paraId="292C60D9" w14:textId="6FA6EEFA" w:rsidR="00EA255A" w:rsidRDefault="00EA255A" w:rsidP="00EA255A">
      <w:pPr>
        <w:spacing w:after="0" w:line="276" w:lineRule="auto"/>
        <w:jc w:val="both"/>
        <w:textAlignment w:val="baseline"/>
        <w:rPr>
          <w:rFonts w:ascii="Verdana" w:eastAsia="Verdana" w:hAnsi="Verdana" w:cs="Verdana"/>
          <w:color w:val="000000" w:themeColor="text1"/>
        </w:rPr>
      </w:pPr>
      <w:r w:rsidRPr="00E818DB">
        <w:rPr>
          <w:rFonts w:ascii="Verdana" w:eastAsia="Verdana" w:hAnsi="Verdana" w:cs="Verdana"/>
          <w:b/>
          <w:bCs/>
          <w:color w:val="000000" w:themeColor="text1"/>
        </w:rPr>
        <w:t>3.</w:t>
      </w:r>
      <w:r w:rsidRPr="00E818DB">
        <w:rPr>
          <w:rFonts w:ascii="Verdana" w:eastAsia="Verdana" w:hAnsi="Verdana" w:cs="Verdana"/>
          <w:color w:val="000000" w:themeColor="text1"/>
        </w:rPr>
        <w:t xml:space="preserve"> ¿Pueden las partes acudir al arreglo directo o a la transacción para definir controversias y acordar el cumplimiento de obligaciones pendientes después del vencimiento del plazo de ejecución contractual, sin configurar una modificación extemporánea del contrato?</w:t>
      </w:r>
      <w:r>
        <w:rPr>
          <w:rFonts w:ascii="Verdana" w:eastAsia="Verdana" w:hAnsi="Verdana" w:cs="Verdana"/>
          <w:color w:val="000000" w:themeColor="text1"/>
        </w:rPr>
        <w:t xml:space="preserve"> (R</w:t>
      </w:r>
      <w:r w:rsidRPr="00E818DB">
        <w:rPr>
          <w:rFonts w:ascii="Verdana" w:eastAsia="Verdana" w:hAnsi="Verdana" w:cs="Verdana"/>
          <w:color w:val="000000" w:themeColor="text1"/>
        </w:rPr>
        <w:t xml:space="preserve">esponde </w:t>
      </w:r>
      <w:r>
        <w:rPr>
          <w:rFonts w:ascii="Verdana" w:eastAsia="Verdana" w:hAnsi="Verdana" w:cs="Verdana"/>
          <w:color w:val="000000" w:themeColor="text1"/>
        </w:rPr>
        <w:t>el</w:t>
      </w:r>
      <w:r w:rsidRPr="00E818DB">
        <w:rPr>
          <w:rFonts w:ascii="Verdana" w:eastAsia="Verdana" w:hAnsi="Verdana" w:cs="Verdana"/>
          <w:color w:val="000000" w:themeColor="text1"/>
        </w:rPr>
        <w:t xml:space="preserve"> interrogante </w:t>
      </w:r>
      <w:r>
        <w:rPr>
          <w:rFonts w:ascii="Verdana" w:eastAsia="Verdana" w:hAnsi="Verdana" w:cs="Verdana"/>
          <w:color w:val="000000" w:themeColor="text1"/>
        </w:rPr>
        <w:t>8</w:t>
      </w:r>
      <w:r w:rsidR="003E1725">
        <w:rPr>
          <w:rFonts w:ascii="Verdana" w:eastAsia="Verdana" w:hAnsi="Verdana" w:cs="Verdana"/>
          <w:color w:val="000000" w:themeColor="text1"/>
        </w:rPr>
        <w:t xml:space="preserve"> y parcialmente la 9</w:t>
      </w:r>
      <w:r>
        <w:rPr>
          <w:rFonts w:ascii="Verdana" w:eastAsia="Verdana" w:hAnsi="Verdana" w:cs="Verdana"/>
          <w:color w:val="000000" w:themeColor="text1"/>
        </w:rPr>
        <w:t>)</w:t>
      </w:r>
    </w:p>
    <w:p w14:paraId="268C2EDD" w14:textId="77777777" w:rsidR="00EA255A" w:rsidRDefault="00EA255A" w:rsidP="00EA255A">
      <w:pPr>
        <w:spacing w:after="0" w:line="276" w:lineRule="auto"/>
        <w:ind w:left="284"/>
        <w:jc w:val="both"/>
        <w:textAlignment w:val="baseline"/>
        <w:rPr>
          <w:rFonts w:ascii="Verdana" w:eastAsia="Verdana" w:hAnsi="Verdana" w:cs="Verdana"/>
          <w:color w:val="000000" w:themeColor="text1"/>
        </w:rPr>
      </w:pPr>
    </w:p>
    <w:p w14:paraId="6AEE9971" w14:textId="77777777" w:rsidR="00EA255A" w:rsidRDefault="00EA255A" w:rsidP="00EA255A">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5E8176FD" w14:textId="77777777" w:rsidR="00EA255A" w:rsidRPr="0015699B" w:rsidRDefault="00EA255A" w:rsidP="00EA255A">
      <w:pPr>
        <w:pStyle w:val="Prrafodelista"/>
        <w:spacing w:after="0" w:line="257" w:lineRule="auto"/>
        <w:ind w:left="1080"/>
        <w:jc w:val="both"/>
        <w:textAlignment w:val="baseline"/>
        <w:rPr>
          <w:rFonts w:ascii="Verdana" w:eastAsia="Verdana" w:hAnsi="Verdana" w:cs="Verdana"/>
          <w:b/>
          <w:bCs/>
          <w:lang w:val="es"/>
        </w:rPr>
      </w:pPr>
    </w:p>
    <w:tbl>
      <w:tblPr>
        <w:tblStyle w:val="Tablaconcuadrcula"/>
        <w:tblW w:w="0" w:type="auto"/>
        <w:tblLook w:val="04A0" w:firstRow="1" w:lastRow="0" w:firstColumn="1" w:lastColumn="0" w:noHBand="0" w:noVBand="1"/>
      </w:tblPr>
      <w:tblGrid>
        <w:gridCol w:w="8818"/>
      </w:tblGrid>
      <w:tr w:rsidR="00EA255A" w14:paraId="0AFC31A8" w14:textId="77777777" w:rsidTr="009C563A">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27BEBA54" w14:textId="2C22F07E" w:rsidR="00EA255A" w:rsidRPr="001F4504" w:rsidRDefault="009E517D" w:rsidP="00082834">
            <w:pPr>
              <w:spacing w:after="120" w:line="276" w:lineRule="auto"/>
              <w:jc w:val="both"/>
              <w:rPr>
                <w:rFonts w:ascii="Verdana" w:eastAsia="Verdana" w:hAnsi="Verdana" w:cs="Verdana"/>
              </w:rPr>
            </w:pPr>
            <w:r>
              <w:rPr>
                <w:rFonts w:ascii="Verdana" w:eastAsia="Verdana" w:hAnsi="Verdana" w:cs="Verdana"/>
              </w:rPr>
              <w:lastRenderedPageBreak/>
              <w:t>1</w:t>
            </w:r>
            <w:r w:rsidR="00EA255A">
              <w:rPr>
                <w:rFonts w:ascii="Verdana" w:eastAsia="Verdana" w:hAnsi="Verdana" w:cs="Verdana"/>
              </w:rPr>
              <w:t xml:space="preserve">) </w:t>
            </w:r>
            <w:r w:rsidR="00EA255A" w:rsidRPr="001F4504">
              <w:rPr>
                <w:rFonts w:ascii="Verdana" w:eastAsia="Verdana" w:hAnsi="Verdana" w:cs="Verdana"/>
              </w:rPr>
              <w:t>El artículo 60 de la Ley 80 de 1993, modificado por el artículo 217 del Decreto Ley 019 de 2012, y el artículo 11 de la Ley 1150 de 2007 regulan la liquidación de los contratos estatales como la etapa en la que se realiza el ajuste definitivo de las cuentas, se determina el estado de cumplimiento de las obligaciones y se establecen los saldos y reconocimientos que subsisten entre las partes. Esta etapa permite consolidar las consecuencias técnicas, económicas y jurídicas de la ejecución contractual, así como definir las obligaciones pendientes y las condiciones para su cumplimiento.</w:t>
            </w:r>
            <w:r w:rsidR="00082834">
              <w:rPr>
                <w:rFonts w:ascii="Verdana" w:eastAsia="Verdana" w:hAnsi="Verdana" w:cs="Verdana"/>
              </w:rPr>
              <w:t xml:space="preserve"> La liquidación tiene por objeto determinar si las partes pueden declararse a paz y salvo o si subsisten obligaciones por cumplir y la forma en que estas deben ser satisfechas. </w:t>
            </w:r>
          </w:p>
          <w:p w14:paraId="5AFEEA00" w14:textId="77777777" w:rsidR="00EA255A" w:rsidRPr="001F4504" w:rsidRDefault="00EA255A" w:rsidP="00082834">
            <w:pPr>
              <w:spacing w:after="120" w:line="276" w:lineRule="auto"/>
              <w:jc w:val="both"/>
              <w:rPr>
                <w:rFonts w:ascii="Verdana" w:eastAsia="Verdana" w:hAnsi="Verdana" w:cs="Verdana"/>
              </w:rPr>
            </w:pPr>
            <w:r>
              <w:rPr>
                <w:rFonts w:ascii="Verdana" w:eastAsia="Verdana" w:hAnsi="Verdana" w:cs="Verdana"/>
              </w:rPr>
              <w:t xml:space="preserve">         </w:t>
            </w:r>
            <w:r w:rsidRPr="001F4504">
              <w:rPr>
                <w:rFonts w:ascii="Verdana" w:eastAsia="Verdana" w:hAnsi="Verdana" w:cs="Verdana"/>
              </w:rPr>
              <w:t xml:space="preserve">En relación con esta materia, </w:t>
            </w:r>
            <w:r>
              <w:rPr>
                <w:rFonts w:ascii="Verdana" w:eastAsia="Verdana" w:hAnsi="Verdana" w:cs="Verdana"/>
              </w:rPr>
              <w:t>esta Subdirección Contractual</w:t>
            </w:r>
            <w:r w:rsidRPr="001F4504">
              <w:rPr>
                <w:rFonts w:ascii="Verdana" w:eastAsia="Verdana" w:hAnsi="Verdana" w:cs="Verdana"/>
              </w:rPr>
              <w:t>, en los conceptos C-463 de</w:t>
            </w:r>
            <w:r>
              <w:rPr>
                <w:rFonts w:ascii="Verdana" w:eastAsia="Verdana" w:hAnsi="Verdana" w:cs="Verdana"/>
              </w:rPr>
              <w:t>l 14 de mayo de</w:t>
            </w:r>
            <w:r w:rsidRPr="001F4504">
              <w:rPr>
                <w:rFonts w:ascii="Verdana" w:eastAsia="Verdana" w:hAnsi="Verdana" w:cs="Verdana"/>
              </w:rPr>
              <w:t xml:space="preserve"> 2026 y C-1079 de</w:t>
            </w:r>
            <w:r>
              <w:rPr>
                <w:rFonts w:ascii="Verdana" w:eastAsia="Verdana" w:hAnsi="Verdana" w:cs="Verdana"/>
              </w:rPr>
              <w:t>l 05 de agosto</w:t>
            </w:r>
            <w:r w:rsidRPr="001F4504">
              <w:rPr>
                <w:rFonts w:ascii="Verdana" w:eastAsia="Verdana" w:hAnsi="Verdana" w:cs="Verdana"/>
              </w:rPr>
              <w:t xml:space="preserve"> 2026, ha desarrollado la finalidad de la liquidación como instrumento para establecer el balance del contrato y determinar si las partes pueden declararse a paz y salvo o si subsisten obligaciones por cumplir.</w:t>
            </w:r>
          </w:p>
          <w:p w14:paraId="0063F8C4" w14:textId="6497783C" w:rsidR="00EA255A" w:rsidRDefault="00EA255A" w:rsidP="00082834">
            <w:pPr>
              <w:spacing w:after="120" w:line="276" w:lineRule="auto"/>
              <w:jc w:val="both"/>
              <w:rPr>
                <w:rFonts w:ascii="Verdana" w:eastAsia="Verdana" w:hAnsi="Verdana" w:cs="Verdana"/>
              </w:rPr>
            </w:pPr>
            <w:r>
              <w:rPr>
                <w:rFonts w:ascii="Verdana" w:eastAsia="Verdana" w:hAnsi="Verdana" w:cs="Verdana"/>
              </w:rPr>
              <w:t xml:space="preserve">         </w:t>
            </w:r>
            <w:r w:rsidRPr="001F4504">
              <w:rPr>
                <w:rFonts w:ascii="Verdana" w:eastAsia="Verdana" w:hAnsi="Verdana" w:cs="Verdana"/>
              </w:rPr>
              <w:t>De estas disposiciones se desprende que la liquidación constituye el mecanismo de cierre de las relaciones jurídicas y económicas del contrato, sin que ello implique que las verificaciones técnicas, financieras y documentales necesarias para prepararla deban realizarse exclusivamente en el momento de suscribir el acta correspondiente. Por el contrario, la determinación de las cantidades de obra ejecutadas, la revisión de las cuentas pendientes, la verificación de los pagos realizados y la identificación de los saldos del anticipo son actuaciones que pueden servir de fundamento para la liquidación.</w:t>
            </w:r>
          </w:p>
          <w:p w14:paraId="21EC7E66" w14:textId="5B315EBD" w:rsidR="00082834" w:rsidRPr="008123F0" w:rsidRDefault="00082834" w:rsidP="008123F0">
            <w:pPr>
              <w:spacing w:after="120" w:line="276" w:lineRule="auto"/>
              <w:ind w:firstLine="709"/>
              <w:jc w:val="both"/>
              <w:rPr>
                <w:rFonts w:ascii="Verdana" w:hAnsi="Verdana" w:cs="Segoe UI"/>
              </w:rPr>
            </w:pPr>
            <w:r w:rsidRPr="008123F0">
              <w:rPr>
                <w:rFonts w:ascii="Verdana" w:hAnsi="Verdana" w:cs="Segoe UI"/>
              </w:rPr>
              <w:t>Conviene precisar que el vencimiento del plazo de ejecución contractual no produce, por sí solo, la extinción de todas las relaciones jurídicas derivadas del contrato. La finalización del plazo determina el cierre del período previsto para la ejecución de las prestaciones, pero subsisten las actuaciones dirigidas a establecer el estado final del negocio jurídico, verificar el cumplimiento de las obligaciones asumidas por las partes, cuantificar los saldos a favor o en contra de estas y definir la situación de los recursos comprometidos para la ejecución contractual. Precisamente por esta razón el ordenamiento prevé la etapa de liquidación, cuyo propósito</w:t>
            </w:r>
            <w:r>
              <w:rPr>
                <w:rFonts w:ascii="Verdana" w:hAnsi="Verdana" w:cs="Segoe UI"/>
              </w:rPr>
              <w:t>, como se enunció anteriormente,</w:t>
            </w:r>
            <w:r w:rsidRPr="008123F0">
              <w:rPr>
                <w:rFonts w:ascii="Verdana" w:hAnsi="Verdana" w:cs="Segoe UI"/>
              </w:rPr>
              <w:t xml:space="preserve"> consiste en consolidar el balance definitivo del contrato y determinar si existen </w:t>
            </w:r>
            <w:r w:rsidRPr="008123F0">
              <w:rPr>
                <w:rFonts w:ascii="Verdana" w:hAnsi="Verdana" w:cs="Segoe UI"/>
              </w:rPr>
              <w:lastRenderedPageBreak/>
              <w:t xml:space="preserve">obligaciones pendientes de cumplimiento o reclamaciones que deban ser definidas por las partes. </w:t>
            </w:r>
          </w:p>
          <w:p w14:paraId="164B26DC" w14:textId="77777777" w:rsidR="00EA255A" w:rsidRPr="001F4504" w:rsidRDefault="00EA255A" w:rsidP="00082834">
            <w:pPr>
              <w:spacing w:after="120" w:line="276" w:lineRule="auto"/>
              <w:jc w:val="both"/>
              <w:rPr>
                <w:rFonts w:ascii="Verdana" w:eastAsia="Verdana" w:hAnsi="Verdana" w:cs="Verdana"/>
              </w:rPr>
            </w:pPr>
            <w:r>
              <w:rPr>
                <w:rFonts w:ascii="Verdana" w:eastAsia="Verdana" w:hAnsi="Verdana" w:cs="Verdana"/>
              </w:rPr>
              <w:t xml:space="preserve">         </w:t>
            </w:r>
            <w:r w:rsidRPr="001F4504">
              <w:rPr>
                <w:rFonts w:ascii="Verdana" w:eastAsia="Verdana" w:hAnsi="Verdana" w:cs="Verdana"/>
              </w:rPr>
              <w:t xml:space="preserve">En </w:t>
            </w:r>
            <w:r>
              <w:rPr>
                <w:rFonts w:ascii="Verdana" w:eastAsia="Verdana" w:hAnsi="Verdana" w:cs="Verdana"/>
              </w:rPr>
              <w:t>atención al problema jurídico planteado</w:t>
            </w:r>
            <w:r w:rsidRPr="001F4504">
              <w:rPr>
                <w:rFonts w:ascii="Verdana" w:eastAsia="Verdana" w:hAnsi="Verdana" w:cs="Verdana"/>
              </w:rPr>
              <w:t>, la existencia de dos frentes de ejecución dentro de un mismo contrato permite individualizar la información técnica y financiera correspondiente a cada uno, con el propósito de establecer su estado de avance, las obligaciones causadas, los pagos efectuados y los recursos pendientes de amortización. Sin embargo, dicha individualización no supone, por sí misma, que cada frente constituya una unidad contractual autónoma ni que pueda liquidarse separadamente con efectos extintivos de las obligaciones, si no existe fundamento contractual y jurídico para ello.</w:t>
            </w:r>
          </w:p>
          <w:p w14:paraId="5C1E8D7A" w14:textId="454418F9" w:rsidR="00EA255A" w:rsidRDefault="00EA255A" w:rsidP="00082834">
            <w:pPr>
              <w:spacing w:line="276" w:lineRule="auto"/>
              <w:jc w:val="both"/>
              <w:rPr>
                <w:rFonts w:ascii="Verdana" w:eastAsia="Verdana" w:hAnsi="Verdana" w:cs="Verdana"/>
              </w:rPr>
            </w:pPr>
            <w:r>
              <w:rPr>
                <w:rFonts w:ascii="Verdana" w:eastAsia="Verdana" w:hAnsi="Verdana" w:cs="Verdana"/>
              </w:rPr>
              <w:t xml:space="preserve">         </w:t>
            </w:r>
            <w:r w:rsidRPr="001F4504">
              <w:rPr>
                <w:rFonts w:ascii="Verdana" w:eastAsia="Verdana" w:hAnsi="Verdana" w:cs="Verdana"/>
              </w:rPr>
              <w:t xml:space="preserve">En consecuencia, la entidad contratante puede elaborar y documentar el balance técnico, financiero y de obligaciones pendientes de uno de los frentes después del vencimiento del plazo de ejecución y antes de la liquidación definitiva, siempre que dicha actuación tenga carácter preparatorio o de verificación, respete la unidad jurídica del contrato y no se utilice para sustituir la liquidación contractual ni para modificar las obligaciones originalmente pactadas. </w:t>
            </w:r>
          </w:p>
          <w:p w14:paraId="607ED6D5" w14:textId="77777777" w:rsidR="00082834" w:rsidRPr="001F4504" w:rsidRDefault="00082834" w:rsidP="008123F0">
            <w:pPr>
              <w:spacing w:line="276" w:lineRule="auto"/>
              <w:jc w:val="both"/>
              <w:rPr>
                <w:rFonts w:ascii="Verdana" w:eastAsia="Verdana" w:hAnsi="Verdana" w:cs="Verdana"/>
              </w:rPr>
            </w:pPr>
          </w:p>
          <w:p w14:paraId="1B267B70" w14:textId="2A4BA2E7" w:rsidR="00EA255A" w:rsidRPr="007A395F" w:rsidRDefault="00082834" w:rsidP="00082834">
            <w:pPr>
              <w:spacing w:after="120" w:line="276" w:lineRule="auto"/>
              <w:jc w:val="both"/>
              <w:rPr>
                <w:rFonts w:ascii="Verdana" w:eastAsia="Verdana" w:hAnsi="Verdana" w:cs="Verdana"/>
              </w:rPr>
            </w:pPr>
            <w:r>
              <w:rPr>
                <w:rFonts w:ascii="Verdana" w:eastAsia="Verdana" w:hAnsi="Verdana" w:cs="Verdana"/>
              </w:rPr>
              <w:t>2</w:t>
            </w:r>
            <w:r w:rsidR="00EA255A">
              <w:rPr>
                <w:rFonts w:ascii="Verdana" w:eastAsia="Verdana" w:hAnsi="Verdana" w:cs="Verdana"/>
              </w:rPr>
              <w:t xml:space="preserve">) </w:t>
            </w:r>
            <w:r w:rsidR="00EA255A" w:rsidRPr="007A395F">
              <w:rPr>
                <w:rFonts w:ascii="Verdana" w:eastAsia="Verdana" w:hAnsi="Verdana" w:cs="Verdana"/>
              </w:rPr>
              <w:t>El parágrafo del artículo 40 de la Ley 80 de 1993 regula la posibilidad de pactar anticipos y pagos anticipados, mientras que el artículo 91 de la Ley 1474 de 2011 establece, para los contratos comprendidos en su ámbito de aplicación, la obligación de manejar los recursos del anticipo mediante fiducia mercantil irrevocable, con el propósito de garantizar su aplicación exclusiva a la ejecución del contrato correspondiente.</w:t>
            </w:r>
          </w:p>
          <w:p w14:paraId="2E5A35E1" w14:textId="378D48D4" w:rsidR="00EA255A" w:rsidRDefault="00EA255A" w:rsidP="00082834">
            <w:pPr>
              <w:spacing w:after="120" w:line="276" w:lineRule="auto"/>
              <w:jc w:val="both"/>
              <w:rPr>
                <w:rFonts w:ascii="Verdana" w:eastAsia="Verdana" w:hAnsi="Verdana" w:cs="Verdana"/>
              </w:rPr>
            </w:pPr>
            <w:r>
              <w:rPr>
                <w:rFonts w:ascii="Verdana" w:eastAsia="Verdana" w:hAnsi="Verdana" w:cs="Verdana"/>
              </w:rPr>
              <w:t xml:space="preserve">        Así las cosas, e</w:t>
            </w:r>
            <w:r w:rsidRPr="007A395F">
              <w:rPr>
                <w:rFonts w:ascii="Verdana" w:eastAsia="Verdana" w:hAnsi="Verdana" w:cs="Verdana"/>
              </w:rPr>
              <w:t>l anticipo constituye un mecanismo de financiación de la ejecución contractual y, por tanto, se encuentra sometido a una destinación específica. Su entrega no equivale al pago definitivo de las prestaciones ni convierte automáticamente los recursos en sumas de libre disposición del contratista. En esa medida, los recursos que no hayan sido debidamente amortizados deben continuar sujetos al régimen legal, contractual y fiduciario que regula su utilización.</w:t>
            </w:r>
          </w:p>
          <w:p w14:paraId="422FC9C7" w14:textId="157BBA93" w:rsidR="007A0E56" w:rsidRPr="008123F0" w:rsidRDefault="007A0E56" w:rsidP="008123F0">
            <w:pPr>
              <w:spacing w:after="120" w:line="276" w:lineRule="auto"/>
              <w:ind w:firstLine="709"/>
              <w:jc w:val="both"/>
              <w:rPr>
                <w:rFonts w:ascii="Verdana" w:hAnsi="Verdana" w:cs="Segoe UI"/>
              </w:rPr>
            </w:pPr>
            <w:r w:rsidRPr="008123F0">
              <w:rPr>
                <w:rFonts w:ascii="Verdana" w:hAnsi="Verdana" w:cs="Segoe UI"/>
              </w:rPr>
              <w:t xml:space="preserve">En particular, cuando el anticipo es administrado mediante fiducia mercantil o patrimonio autónomo, los recursos conservan una afectación </w:t>
            </w:r>
            <w:r w:rsidRPr="008123F0">
              <w:rPr>
                <w:rFonts w:ascii="Verdana" w:hAnsi="Verdana" w:cs="Segoe UI"/>
              </w:rPr>
              <w:lastRenderedPageBreak/>
              <w:t>específica a la finalidad para la cual fueron entregados. La constitución del patrimonio autónomo busca garantizar que los recursos se destinen exclusivamente a la ejecución del contrato estatal y que su utilización se someta a los criterios de inversión, control y desembolso definidos en el negocio fiduciario. Por ello, la existencia de recursos disponibles dentro del patrimonio autónomo no constituye, por sí sola, habilitación suficiente para disponer de ellos con cualquier propósito relacionado indirectamente con el contrato.</w:t>
            </w:r>
          </w:p>
          <w:p w14:paraId="55D1C96F" w14:textId="77777777" w:rsidR="00EA255A" w:rsidRPr="007A395F" w:rsidRDefault="00EA255A" w:rsidP="007A0E56">
            <w:pPr>
              <w:spacing w:after="120" w:line="276" w:lineRule="auto"/>
              <w:jc w:val="both"/>
              <w:rPr>
                <w:rFonts w:ascii="Verdana" w:eastAsia="Verdana" w:hAnsi="Verdana" w:cs="Verdana"/>
              </w:rPr>
            </w:pPr>
            <w:r>
              <w:rPr>
                <w:rFonts w:ascii="Verdana" w:eastAsia="Verdana" w:hAnsi="Verdana" w:cs="Verdana"/>
              </w:rPr>
              <w:t xml:space="preserve">       </w:t>
            </w:r>
            <w:r w:rsidRPr="007A395F">
              <w:rPr>
                <w:rFonts w:ascii="Verdana" w:eastAsia="Verdana" w:hAnsi="Verdana" w:cs="Verdana"/>
              </w:rPr>
              <w:t>Sobre el particular, los conceptos C-1205 de</w:t>
            </w:r>
            <w:r>
              <w:rPr>
                <w:rFonts w:ascii="Verdana" w:eastAsia="Verdana" w:hAnsi="Verdana" w:cs="Verdana"/>
              </w:rPr>
              <w:t>l 16 de septiembre de</w:t>
            </w:r>
            <w:r w:rsidRPr="007A395F">
              <w:rPr>
                <w:rFonts w:ascii="Verdana" w:eastAsia="Verdana" w:hAnsi="Verdana" w:cs="Verdana"/>
              </w:rPr>
              <w:t xml:space="preserve"> 2026 y C-1339 de</w:t>
            </w:r>
            <w:r>
              <w:rPr>
                <w:rFonts w:ascii="Verdana" w:eastAsia="Verdana" w:hAnsi="Verdana" w:cs="Verdana"/>
              </w:rPr>
              <w:t>l 17 de septiembre de</w:t>
            </w:r>
            <w:r w:rsidRPr="007A395F">
              <w:rPr>
                <w:rFonts w:ascii="Verdana" w:eastAsia="Verdana" w:hAnsi="Verdana" w:cs="Verdana"/>
              </w:rPr>
              <w:t xml:space="preserve"> 2026 </w:t>
            </w:r>
            <w:r>
              <w:rPr>
                <w:rFonts w:ascii="Verdana" w:eastAsia="Verdana" w:hAnsi="Verdana" w:cs="Verdana"/>
              </w:rPr>
              <w:t xml:space="preserve">emitidos por esta Subdirección Contractual </w:t>
            </w:r>
            <w:r w:rsidRPr="007A395F">
              <w:rPr>
                <w:rFonts w:ascii="Verdana" w:eastAsia="Verdana" w:hAnsi="Verdana" w:cs="Verdana"/>
              </w:rPr>
              <w:t>desarrollan la distinción entre anticipo y pago, así como la finalidad de financiación y la afectación de estos recursos a la ejecución contractual. Estos criterios exigen verificar la causa de los desembolsos, su relación con el objeto contratado y el cumplimiento de las condiciones previstas para su inversión y amortización.</w:t>
            </w:r>
          </w:p>
          <w:p w14:paraId="6C299936" w14:textId="52513A35" w:rsidR="00EA255A" w:rsidRDefault="00EA255A" w:rsidP="00082834">
            <w:pPr>
              <w:spacing w:after="120" w:line="276" w:lineRule="auto"/>
              <w:jc w:val="both"/>
              <w:rPr>
                <w:rFonts w:ascii="Verdana" w:eastAsia="Verdana" w:hAnsi="Verdana" w:cs="Verdana"/>
              </w:rPr>
            </w:pPr>
            <w:r>
              <w:rPr>
                <w:rFonts w:ascii="Verdana" w:eastAsia="Verdana" w:hAnsi="Verdana" w:cs="Verdana"/>
              </w:rPr>
              <w:t xml:space="preserve">         </w:t>
            </w:r>
            <w:r w:rsidRPr="007A395F">
              <w:rPr>
                <w:rFonts w:ascii="Verdana" w:eastAsia="Verdana" w:hAnsi="Verdana" w:cs="Verdana"/>
              </w:rPr>
              <w:t>Por otra parte, el vencimiento del plazo de ejecución delimita temporalmente la realización de las prestaciones contractuales en las condiciones originalmente pactadas. Por ello, debe distinguirse entre la utilización de recursos para atender obligaciones válidamente adquiridas durante la ejecución y la reorientación de recursos para financiar actividades nuevas, ampliar las prestaciones o reanudar la ejecución contractual.</w:t>
            </w:r>
          </w:p>
          <w:p w14:paraId="1132F047" w14:textId="4542B5ED" w:rsidR="007A0E56" w:rsidRPr="008123F0" w:rsidRDefault="007A0E56" w:rsidP="008123F0">
            <w:pPr>
              <w:spacing w:after="120" w:line="276" w:lineRule="auto"/>
              <w:ind w:firstLine="709"/>
              <w:jc w:val="both"/>
              <w:rPr>
                <w:rFonts w:ascii="Verdana" w:hAnsi="Verdana" w:cs="Segoe UI"/>
              </w:rPr>
            </w:pPr>
            <w:r w:rsidRPr="008123F0">
              <w:rPr>
                <w:rFonts w:ascii="Verdana" w:hAnsi="Verdana" w:cs="Segoe UI"/>
              </w:rPr>
              <w:t>Desde esta perspectiva, el análisis jurídico no debe centrarse exclusivamente en el momento en que se realiza el desembolso, sino en el momento en que surgió la obligación cuyo pago se pretende atender. En consecuencia, resulta jurídicamente relevante establecer si la obligación fue válidamente causada durante la vigencia del plazo contractual como consecuencia de actividades efectivamente ejecutadas dentro del objeto contratado, o si corresponde a prestaciones cuya ejecución pretende realizarse después de vencido dicho plazo. Esta distinción resulta determinante para establecer la procedencia de la utilización de los recursos del anticipo y para evitar que, bajo la apariencia de atender obligaciones pendientes, se financien actividades que en realidad impliquen una ampliación extemporánea de la ejecución contractual.</w:t>
            </w:r>
          </w:p>
          <w:p w14:paraId="12E7B06B" w14:textId="77777777" w:rsidR="00EA255A" w:rsidRPr="007A395F" w:rsidRDefault="00EA255A" w:rsidP="007A0E56">
            <w:pPr>
              <w:spacing w:after="120" w:line="276" w:lineRule="auto"/>
              <w:jc w:val="both"/>
              <w:rPr>
                <w:rFonts w:ascii="Verdana" w:eastAsia="Verdana" w:hAnsi="Verdana" w:cs="Verdana"/>
              </w:rPr>
            </w:pPr>
            <w:r>
              <w:rPr>
                <w:rFonts w:ascii="Verdana" w:eastAsia="Verdana" w:hAnsi="Verdana" w:cs="Verdana"/>
              </w:rPr>
              <w:lastRenderedPageBreak/>
              <w:t xml:space="preserve">        </w:t>
            </w:r>
            <w:r w:rsidRPr="007A395F">
              <w:rPr>
                <w:rFonts w:ascii="Verdana" w:eastAsia="Verdana" w:hAnsi="Verdana" w:cs="Verdana"/>
              </w:rPr>
              <w:t>En el primer supuesto, la procedencia del desembolso exige comprobar que la obligación se haya originado válidamente durante la ejecución, que corresponda al objeto contractual, que se encuentre debidamente soportada y que su pago sea compatible con el plan de inversión aprobado y con las condiciones del contrato fiduciario. También debe establecerse si se trata de una obligación a cargo del contratista frente a un tercero o de una obligación económica a cargo de la entidad, pues la disponibilidad de recursos del anticipo no determina, por sí sola, el procedimiento aplicable para reconocer y pagar cada obligación.</w:t>
            </w:r>
          </w:p>
          <w:p w14:paraId="5D67BFD4" w14:textId="77777777" w:rsidR="00EA255A" w:rsidRPr="007A395F" w:rsidRDefault="00EA255A" w:rsidP="007A0E56">
            <w:pPr>
              <w:spacing w:after="120" w:line="276" w:lineRule="auto"/>
              <w:jc w:val="both"/>
              <w:rPr>
                <w:rFonts w:ascii="Verdana" w:eastAsia="Verdana" w:hAnsi="Verdana" w:cs="Verdana"/>
              </w:rPr>
            </w:pPr>
            <w:r>
              <w:rPr>
                <w:rFonts w:ascii="Verdana" w:eastAsia="Verdana" w:hAnsi="Verdana" w:cs="Verdana"/>
              </w:rPr>
              <w:t xml:space="preserve">       </w:t>
            </w:r>
            <w:r w:rsidRPr="007A395F">
              <w:rPr>
                <w:rFonts w:ascii="Verdana" w:eastAsia="Verdana" w:hAnsi="Verdana" w:cs="Verdana"/>
              </w:rPr>
              <w:t>En el segundo supuesto, si la reorientación hacia otro frente implica ejecutar actividades nuevas, ampliar cantidades de obra o modificar el alcance de las prestaciones pactadas, la existencia de saldos fiduciarios no constituye fundamento suficiente para autorizarla después del vencimiento del plazo. La unidad del contrato tampoco permite presumir que los recursos puedan trasladarse libremente entre frentes, pues ello depende del objeto contractual, de la distribución presupuestal, del plan de inversión y de las condiciones de administración fiduciaria.</w:t>
            </w:r>
          </w:p>
          <w:p w14:paraId="70370260" w14:textId="3934C3FD" w:rsidR="00EA255A" w:rsidRDefault="00EA255A" w:rsidP="007A0E56">
            <w:pPr>
              <w:spacing w:line="276" w:lineRule="auto"/>
              <w:jc w:val="both"/>
              <w:rPr>
                <w:rFonts w:ascii="Verdana" w:eastAsia="Verdana" w:hAnsi="Verdana" w:cs="Verdana"/>
              </w:rPr>
            </w:pPr>
            <w:r>
              <w:rPr>
                <w:rFonts w:ascii="Verdana" w:eastAsia="Verdana" w:hAnsi="Verdana" w:cs="Verdana"/>
              </w:rPr>
              <w:t xml:space="preserve">         </w:t>
            </w:r>
            <w:r w:rsidRPr="007A395F">
              <w:rPr>
                <w:rFonts w:ascii="Verdana" w:eastAsia="Verdana" w:hAnsi="Verdana" w:cs="Verdana"/>
              </w:rPr>
              <w:t>Por consiguiente, la destinación de saldos del anticipo al pago de obligaciones pendientes puede resultar procedente cuando estas se hayan adquirido válidamente durante la ejecución y se encuentren debidamente soportadas, siempre que el desembolso respete la finalidad legal del anticipo y las condiciones contractuales y fiduciarias aplicables. La reorientación hacia otro frente, en cambio, requiere verificar que no comporte una modificación extemporánea ni la financiación de prestaciones nuevas, y no puede justificarse exclusivamente en que ambos frentes forman parte de un mismo contrato.</w:t>
            </w:r>
          </w:p>
          <w:p w14:paraId="384F8851" w14:textId="77777777" w:rsidR="007A0E56" w:rsidRPr="007A395F" w:rsidRDefault="007A0E56" w:rsidP="008123F0">
            <w:pPr>
              <w:spacing w:line="276" w:lineRule="auto"/>
              <w:jc w:val="both"/>
              <w:rPr>
                <w:rFonts w:ascii="Verdana" w:eastAsia="Verdana" w:hAnsi="Verdana" w:cs="Verdana"/>
              </w:rPr>
            </w:pPr>
          </w:p>
          <w:p w14:paraId="09631F54" w14:textId="704AD9F1" w:rsidR="00EA255A" w:rsidRPr="0019095F" w:rsidRDefault="007A0E56" w:rsidP="007A0E56">
            <w:pPr>
              <w:spacing w:after="120" w:line="276" w:lineRule="auto"/>
              <w:jc w:val="both"/>
              <w:rPr>
                <w:rFonts w:ascii="Verdana" w:eastAsia="Verdana" w:hAnsi="Verdana" w:cs="Verdana"/>
              </w:rPr>
            </w:pPr>
            <w:r>
              <w:rPr>
                <w:rFonts w:ascii="Verdana" w:eastAsia="Verdana" w:hAnsi="Verdana" w:cs="Verdana"/>
              </w:rPr>
              <w:t>3</w:t>
            </w:r>
            <w:r w:rsidR="00EA255A" w:rsidRPr="0019095F">
              <w:rPr>
                <w:rFonts w:ascii="Verdana" w:eastAsia="Verdana" w:hAnsi="Verdana" w:cs="Verdana"/>
              </w:rPr>
              <w:t>) El artículo 25, numeral 5, de la Ley 80 de 1993 establece el deber de adoptar procedimientos que permitan la pronta solución de las diferencias y controversias contractuales. A su vez, el artículo 60 de la misma ley contempla la posibilidad de incorporar al acta de liquidación los acuerdos, conciliaciones y transacciones a los que lleguen las partes para poner fin a sus divergencias.</w:t>
            </w:r>
          </w:p>
          <w:p w14:paraId="3AB59622" w14:textId="77777777" w:rsidR="00EA255A" w:rsidRPr="0019095F" w:rsidRDefault="00EA255A" w:rsidP="00EE7923">
            <w:pPr>
              <w:spacing w:after="120" w:line="276" w:lineRule="auto"/>
              <w:jc w:val="both"/>
              <w:rPr>
                <w:rFonts w:ascii="Verdana" w:eastAsia="Verdana" w:hAnsi="Verdana" w:cs="Verdana"/>
              </w:rPr>
            </w:pPr>
            <w:r>
              <w:rPr>
                <w:rFonts w:ascii="Verdana" w:eastAsia="Verdana" w:hAnsi="Verdana" w:cs="Verdana"/>
              </w:rPr>
              <w:t xml:space="preserve">         </w:t>
            </w:r>
            <w:r w:rsidRPr="0019095F">
              <w:rPr>
                <w:rFonts w:ascii="Verdana" w:eastAsia="Verdana" w:hAnsi="Verdana" w:cs="Verdana"/>
              </w:rPr>
              <w:t xml:space="preserve">Por su parte, el artículo 13 de la Ley 80 de 1993 permite acudir a las disposiciones civiles y comerciales pertinentes en las materias no reguladas especialmente por el estatuto contractual. En este marco, el artículo 2469 del </w:t>
            </w:r>
            <w:r w:rsidRPr="0019095F">
              <w:rPr>
                <w:rFonts w:ascii="Verdana" w:eastAsia="Verdana" w:hAnsi="Verdana" w:cs="Verdana"/>
              </w:rPr>
              <w:lastRenderedPageBreak/>
              <w:t>Código Civil define la transacción como el contrato dirigido a terminar extrajudicialmente un litigio pendiente o precaver uno eventual, sujeto a los requisitos y límites establecidos en el ordenamiento jurídico.</w:t>
            </w:r>
          </w:p>
          <w:p w14:paraId="634D6E2A" w14:textId="77777777" w:rsidR="00EA255A" w:rsidRPr="0019095F" w:rsidRDefault="00EA255A">
            <w:pPr>
              <w:spacing w:after="120" w:line="276" w:lineRule="auto"/>
              <w:jc w:val="both"/>
              <w:rPr>
                <w:rFonts w:ascii="Verdana" w:eastAsia="Verdana" w:hAnsi="Verdana" w:cs="Verdana"/>
              </w:rPr>
            </w:pPr>
            <w:r>
              <w:rPr>
                <w:rFonts w:ascii="Verdana" w:eastAsia="Verdana" w:hAnsi="Verdana" w:cs="Verdana"/>
              </w:rPr>
              <w:t xml:space="preserve">         </w:t>
            </w:r>
            <w:r w:rsidRPr="0019095F">
              <w:rPr>
                <w:rFonts w:ascii="Verdana" w:eastAsia="Verdana" w:hAnsi="Verdana" w:cs="Verdana"/>
              </w:rPr>
              <w:t xml:space="preserve">En relación con el arreglo directo, </w:t>
            </w:r>
            <w:r>
              <w:rPr>
                <w:rFonts w:ascii="Verdana" w:eastAsia="Verdana" w:hAnsi="Verdana" w:cs="Verdana"/>
              </w:rPr>
              <w:t>esta Subdirección Contractual</w:t>
            </w:r>
            <w:r w:rsidRPr="0019095F">
              <w:rPr>
                <w:rFonts w:ascii="Verdana" w:eastAsia="Verdana" w:hAnsi="Verdana" w:cs="Verdana"/>
              </w:rPr>
              <w:t>, mediante el Concepto C-313 de</w:t>
            </w:r>
            <w:r>
              <w:rPr>
                <w:rFonts w:ascii="Verdana" w:eastAsia="Verdana" w:hAnsi="Verdana" w:cs="Verdana"/>
              </w:rPr>
              <w:t xml:space="preserve">l 10 de abril de </w:t>
            </w:r>
            <w:r w:rsidRPr="0019095F">
              <w:rPr>
                <w:rFonts w:ascii="Verdana" w:eastAsia="Verdana" w:hAnsi="Verdana" w:cs="Verdana"/>
              </w:rPr>
              <w:t>2026, señal</w:t>
            </w:r>
            <w:r>
              <w:rPr>
                <w:rFonts w:ascii="Verdana" w:eastAsia="Verdana" w:hAnsi="Verdana" w:cs="Verdana"/>
              </w:rPr>
              <w:t>ó</w:t>
            </w:r>
            <w:r w:rsidRPr="0019095F">
              <w:rPr>
                <w:rFonts w:ascii="Verdana" w:eastAsia="Verdana" w:hAnsi="Verdana" w:cs="Verdana"/>
              </w:rPr>
              <w:t xml:space="preserve"> que este mecanismo se proyecta sobre las distintas etapas del proceso contractual, incluidas la ejecución y la liquidación. En cuanto a la transacción, el Concepto C-1355 de</w:t>
            </w:r>
            <w:r>
              <w:rPr>
                <w:rFonts w:ascii="Verdana" w:eastAsia="Verdana" w:hAnsi="Verdana" w:cs="Verdana"/>
              </w:rPr>
              <w:t xml:space="preserve">l 25 de septiembre de </w:t>
            </w:r>
            <w:r w:rsidRPr="0019095F">
              <w:rPr>
                <w:rFonts w:ascii="Verdana" w:eastAsia="Verdana" w:hAnsi="Verdana" w:cs="Verdana"/>
              </w:rPr>
              <w:t>2026 desarrolla su utilización para prevenir litigios o resolver controversias derivadas de la actividad contractual, dentro de los límites legales aplicables.</w:t>
            </w:r>
          </w:p>
          <w:p w14:paraId="2C883CF7" w14:textId="09E3A029" w:rsidR="00EA255A" w:rsidRDefault="00EA255A" w:rsidP="00082834">
            <w:pPr>
              <w:spacing w:after="120" w:line="276" w:lineRule="auto"/>
              <w:jc w:val="both"/>
              <w:rPr>
                <w:rFonts w:ascii="Verdana" w:eastAsia="Verdana" w:hAnsi="Verdana" w:cs="Verdana"/>
              </w:rPr>
            </w:pPr>
            <w:r>
              <w:rPr>
                <w:rFonts w:ascii="Verdana" w:eastAsia="Verdana" w:hAnsi="Verdana" w:cs="Verdana"/>
              </w:rPr>
              <w:t xml:space="preserve">         </w:t>
            </w:r>
            <w:r w:rsidRPr="0019095F">
              <w:rPr>
                <w:rFonts w:ascii="Verdana" w:eastAsia="Verdana" w:hAnsi="Verdana" w:cs="Verdana"/>
              </w:rPr>
              <w:t>De estas disposiciones se desprende que el vencimiento del plazo de ejecución no elimina la posibilidad de resolver las diferencias que subsistan entre las partes respecto de las obligaciones causadas, los saldos económicos, la destinación de los recursos del anticipo o las consecuencias del incumplimiento contractual. El vencimiento delimita el periodo de ejecución de las prestaciones, pero no extingue automáticamente las controversias ni impide acudir a mecanismos jurídicos para resolverlas.</w:t>
            </w:r>
          </w:p>
          <w:p w14:paraId="7C83F811" w14:textId="5B2FB4C9" w:rsidR="00EE7923" w:rsidRPr="008123F0" w:rsidRDefault="00EE7923" w:rsidP="008123F0">
            <w:pPr>
              <w:spacing w:after="120" w:line="276" w:lineRule="auto"/>
              <w:ind w:firstLine="709"/>
              <w:jc w:val="both"/>
              <w:rPr>
                <w:rFonts w:ascii="Verdana" w:hAnsi="Verdana" w:cs="Segoe UI"/>
              </w:rPr>
            </w:pPr>
            <w:r w:rsidRPr="008123F0">
              <w:rPr>
                <w:rFonts w:ascii="Verdana" w:hAnsi="Verdana" w:cs="Segoe UI"/>
              </w:rPr>
              <w:t>La finalidad de los mecanismos de arreglo directo consiste en solucionar controversias jurídicas existentes o potenciales derivadas de la actividad contractual, mas no sustituir los mecanismos previstos para la modificación del contrato estatal. Por ello, la existencia de una controversia sobre el alcance de obligaciones ya causadas, la amortización del anticipo, el reconocimiento de cantidades efectivamente ejecutadas o la determinación de saldos contractuales puede constituir materia transigible, mientras que la incorporación de prestaciones nuevas o la extensión retroactiva del plazo contractual exceden el ámbito propio de estos mecanismos.</w:t>
            </w:r>
          </w:p>
          <w:p w14:paraId="0197A54D" w14:textId="77777777" w:rsidR="00EA255A" w:rsidRPr="0019095F" w:rsidRDefault="00EA255A" w:rsidP="00EE7923">
            <w:pPr>
              <w:spacing w:after="120" w:line="276" w:lineRule="auto"/>
              <w:jc w:val="both"/>
              <w:rPr>
                <w:rFonts w:ascii="Verdana" w:eastAsia="Verdana" w:hAnsi="Verdana" w:cs="Verdana"/>
              </w:rPr>
            </w:pPr>
            <w:r>
              <w:rPr>
                <w:rFonts w:ascii="Verdana" w:eastAsia="Verdana" w:hAnsi="Verdana" w:cs="Verdana"/>
              </w:rPr>
              <w:t xml:space="preserve">         Así las cosas</w:t>
            </w:r>
            <w:r w:rsidRPr="0019095F">
              <w:rPr>
                <w:rFonts w:ascii="Verdana" w:eastAsia="Verdana" w:hAnsi="Verdana" w:cs="Verdana"/>
              </w:rPr>
              <w:t xml:space="preserve">, </w:t>
            </w:r>
            <w:r>
              <w:rPr>
                <w:rFonts w:ascii="Verdana" w:eastAsia="Verdana" w:hAnsi="Verdana" w:cs="Verdana"/>
              </w:rPr>
              <w:t xml:space="preserve">en atención al tercer problema jurídico planteado, </w:t>
            </w:r>
            <w:r w:rsidRPr="0019095F">
              <w:rPr>
                <w:rFonts w:ascii="Verdana" w:eastAsia="Verdana" w:hAnsi="Verdana" w:cs="Verdana"/>
              </w:rPr>
              <w:t>las partes pueden examinar las obligaciones pendientes de cada frente, verificar los soportes de los gastos, establecer las diferencias sobre la amortización del anticipo y acordar soluciones respecto de obligaciones jurídicamente existentes. Cuando se cumplan los requisitos legales, también podrán acudir a la transacción para terminar una controversia o prevenir un litigio eventual.</w:t>
            </w:r>
          </w:p>
          <w:p w14:paraId="31AD3F15" w14:textId="77777777" w:rsidR="00EA255A" w:rsidRPr="0019095F" w:rsidRDefault="00EA255A">
            <w:pPr>
              <w:spacing w:after="120" w:line="276" w:lineRule="auto"/>
              <w:jc w:val="both"/>
              <w:rPr>
                <w:rFonts w:ascii="Verdana" w:eastAsia="Verdana" w:hAnsi="Verdana" w:cs="Verdana"/>
              </w:rPr>
            </w:pPr>
            <w:r>
              <w:rPr>
                <w:rFonts w:ascii="Verdana" w:eastAsia="Verdana" w:hAnsi="Verdana" w:cs="Verdana"/>
              </w:rPr>
              <w:t xml:space="preserve">         </w:t>
            </w:r>
            <w:r w:rsidRPr="0019095F">
              <w:rPr>
                <w:rFonts w:ascii="Verdana" w:eastAsia="Verdana" w:hAnsi="Verdana" w:cs="Verdana"/>
              </w:rPr>
              <w:t xml:space="preserve">No obstante, la validez de estos acuerdos depende de su contenido material. Los mecanismos de solución de controversias no pueden emplearse </w:t>
            </w:r>
            <w:r w:rsidRPr="0019095F">
              <w:rPr>
                <w:rFonts w:ascii="Verdana" w:eastAsia="Verdana" w:hAnsi="Verdana" w:cs="Verdana"/>
              </w:rPr>
              <w:lastRenderedPageBreak/>
              <w:t>para reconocer obligaciones carentes de fundamento, disponer irregularmente de recursos públicos, ampliar el objeto contractual, prorrogar retroactivamente el plazo vencido ni habilitar la ejecución de nuevas prestaciones por fuera del marco contractual. El acuerdo debe contar con la justificación técnica, jurídica y financiera correspondiente y ser celebrado por quienes tengan competencia para ello.</w:t>
            </w:r>
          </w:p>
          <w:p w14:paraId="5E59E6BD" w14:textId="77777777" w:rsidR="00EA255A" w:rsidRPr="0019095F" w:rsidRDefault="00EA255A">
            <w:pPr>
              <w:spacing w:after="120" w:line="276" w:lineRule="auto"/>
              <w:jc w:val="both"/>
              <w:rPr>
                <w:rFonts w:ascii="Verdana" w:eastAsia="Verdana" w:hAnsi="Verdana" w:cs="Verdana"/>
              </w:rPr>
            </w:pPr>
            <w:r>
              <w:rPr>
                <w:rFonts w:ascii="Verdana" w:eastAsia="Verdana" w:hAnsi="Verdana" w:cs="Verdana"/>
              </w:rPr>
              <w:t xml:space="preserve">         </w:t>
            </w:r>
            <w:r w:rsidRPr="0019095F">
              <w:rPr>
                <w:rFonts w:ascii="Verdana" w:eastAsia="Verdana" w:hAnsi="Verdana" w:cs="Verdana"/>
              </w:rPr>
              <w:t>En consecuencia, las partes pueden acudir al arreglo directo o a la transacción después del vencimiento del plazo de ejecución para definir controversias, determinar saldos y acordar el cumplimiento de obligaciones válidamente adquiridas durante la ejecución, siempre que el acuerdo respete el ordenamiento jurídico y no produzca, directa o indirectamente, una modificación extemporánea del contrato o una reanudación de las prestaciones sin fundamento legal.</w:t>
            </w:r>
          </w:p>
          <w:p w14:paraId="39F5CB65" w14:textId="77777777" w:rsidR="00EA255A" w:rsidRDefault="00EA255A">
            <w:pPr>
              <w:spacing w:before="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2588C50C" w14:textId="77777777" w:rsidR="00EA255A" w:rsidRPr="00F87343" w:rsidRDefault="00EA255A">
            <w:pPr>
              <w:spacing w:before="120" w:line="276" w:lineRule="auto"/>
              <w:ind w:firstLine="709"/>
              <w:jc w:val="both"/>
              <w:rPr>
                <w:rFonts w:ascii="Verdana" w:hAnsi="Verdana" w:cs="Arial"/>
                <w:lang w:eastAsia="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0809BAC6" w14:textId="77777777" w:rsidR="00EA255A" w:rsidRPr="0015699B" w:rsidRDefault="00EA255A" w:rsidP="00EA255A">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784EEF01" w14:textId="77777777" w:rsidR="00EA255A" w:rsidRDefault="00EA255A" w:rsidP="00EA255A">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0733F898" w14:textId="77777777" w:rsidR="00EA255A" w:rsidRDefault="00EA255A" w:rsidP="00EA255A">
      <w:pPr>
        <w:spacing w:after="0" w:line="276" w:lineRule="auto"/>
        <w:jc w:val="both"/>
        <w:textAlignment w:val="baseline"/>
        <w:rPr>
          <w:rFonts w:ascii="Verdana" w:eastAsia="Verdana" w:hAnsi="Verdana" w:cs="Verdana"/>
          <w:b/>
          <w:bCs/>
          <w:color w:val="000000" w:themeColor="text1"/>
          <w:lang w:val="es"/>
        </w:rPr>
      </w:pPr>
    </w:p>
    <w:p w14:paraId="6FD4A32D" w14:textId="77777777" w:rsidR="00EA255A" w:rsidRPr="001E1DB9" w:rsidRDefault="00EA255A" w:rsidP="00EA255A">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4B84EBE2" w14:textId="77777777" w:rsidR="00EA255A" w:rsidRPr="0015699B" w:rsidRDefault="00EA255A" w:rsidP="00EA255A">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455A24BA" w14:textId="3219E1F6" w:rsidR="00EA255A" w:rsidRPr="00FB5FC4" w:rsidRDefault="003E1725" w:rsidP="008123F0">
      <w:pPr>
        <w:spacing w:after="0" w:line="276" w:lineRule="auto"/>
        <w:jc w:val="both"/>
        <w:rPr>
          <w:rFonts w:ascii="Verdana" w:eastAsia="Calibri" w:hAnsi="Verdana" w:cs="Arial"/>
          <w:color w:val="000000"/>
          <w:lang w:val="es-ES"/>
        </w:rPr>
      </w:pPr>
      <w:r>
        <w:rPr>
          <w:rFonts w:ascii="Verdana" w:eastAsia="Calibri" w:hAnsi="Verdana" w:cs="Arial"/>
          <w:color w:val="000000"/>
          <w:lang w:val="es-ES"/>
        </w:rPr>
        <w:lastRenderedPageBreak/>
        <w:t xml:space="preserve">i) </w:t>
      </w:r>
      <w:r w:rsidR="00EA255A" w:rsidRPr="2993F789">
        <w:rPr>
          <w:rFonts w:ascii="Verdana" w:eastAsia="Calibri" w:hAnsi="Verdana" w:cs="Arial"/>
          <w:color w:val="000000"/>
          <w:lang w:val="es-ES"/>
        </w:rPr>
        <w:t>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sidR="00EA255A" w:rsidRPr="2993F789">
        <w:rPr>
          <w:rFonts w:ascii="Verdana" w:eastAsia="Calibri" w:hAnsi="Verdana" w:cs="Arial"/>
          <w:color w:val="000000"/>
          <w:vertAlign w:val="superscript"/>
          <w:lang w:val="es-ES"/>
        </w:rPr>
        <w:footnoteReference w:id="1"/>
      </w:r>
      <w:r w:rsidR="00EA255A" w:rsidRPr="2993F789">
        <w:rPr>
          <w:rFonts w:ascii="Verdana" w:eastAsia="Calibri" w:hAnsi="Verdana" w:cs="Arial"/>
          <w:color w:val="000000"/>
          <w:lang w:val="es-ES"/>
        </w:rPr>
        <w:t>. La doctrina ha definido la liquidación de la siguiente manera:</w:t>
      </w:r>
    </w:p>
    <w:p w14:paraId="2E3FD56E" w14:textId="77777777" w:rsidR="00EA255A" w:rsidRPr="00FB5FC4" w:rsidRDefault="00EA255A" w:rsidP="00EA255A">
      <w:pPr>
        <w:spacing w:after="0" w:line="276" w:lineRule="auto"/>
        <w:jc w:val="both"/>
        <w:rPr>
          <w:rFonts w:ascii="Verdana" w:eastAsia="Calibri" w:hAnsi="Verdana" w:cs="Arial"/>
          <w:color w:val="000000"/>
          <w:lang w:val="es-ES_tradnl"/>
        </w:rPr>
      </w:pPr>
    </w:p>
    <w:p w14:paraId="61EB98FA" w14:textId="77777777" w:rsidR="00EA255A" w:rsidRPr="00650923" w:rsidRDefault="00EA255A" w:rsidP="00EA255A">
      <w:pPr>
        <w:spacing w:after="0" w:line="240" w:lineRule="auto"/>
        <w:ind w:left="709" w:right="709"/>
        <w:jc w:val="both"/>
        <w:rPr>
          <w:rFonts w:ascii="Verdana" w:eastAsia="Calibri" w:hAnsi="Verdana" w:cs="Arial"/>
          <w:sz w:val="20"/>
          <w:szCs w:val="20"/>
          <w:lang w:val="es-MX"/>
        </w:rPr>
      </w:pPr>
      <w:r w:rsidRPr="2993F789">
        <w:rPr>
          <w:rFonts w:ascii="Verdana" w:eastAsia="Calibri" w:hAnsi="Verdana" w:cs="Arial"/>
          <w:i/>
          <w:iCs/>
          <w:color w:val="000000"/>
          <w:sz w:val="20"/>
          <w:szCs w:val="20"/>
          <w:lang w:val="es-ES"/>
        </w:rPr>
        <w:t>“</w:t>
      </w:r>
      <w:r w:rsidRPr="00650923">
        <w:rPr>
          <w:rFonts w:ascii="Verdana" w:eastAsia="Calibri" w:hAnsi="Verdana" w:cs="Arial"/>
          <w:sz w:val="20"/>
          <w:szCs w:val="20"/>
          <w:lang w:val="es-MX"/>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sidRPr="00650923">
        <w:rPr>
          <w:rFonts w:ascii="Verdana" w:eastAsia="Calibri" w:hAnsi="Verdana" w:cs="Arial"/>
          <w:sz w:val="20"/>
          <w:szCs w:val="20"/>
          <w:vertAlign w:val="superscript"/>
          <w:lang w:val="es-MX"/>
        </w:rPr>
        <w:footnoteReference w:id="2"/>
      </w:r>
      <w:r w:rsidRPr="00650923">
        <w:rPr>
          <w:rFonts w:ascii="Verdana" w:eastAsia="Calibri" w:hAnsi="Verdana" w:cs="Arial"/>
          <w:sz w:val="20"/>
          <w:szCs w:val="20"/>
          <w:lang w:val="es-MX"/>
        </w:rPr>
        <w:t>.</w:t>
      </w:r>
    </w:p>
    <w:p w14:paraId="26589B9E" w14:textId="77777777" w:rsidR="00EA255A" w:rsidRPr="005C4A0F" w:rsidRDefault="00EA255A" w:rsidP="00EA255A">
      <w:pPr>
        <w:spacing w:after="0" w:line="276" w:lineRule="auto"/>
        <w:jc w:val="both"/>
        <w:rPr>
          <w:rFonts w:ascii="Verdana" w:eastAsia="Calibri" w:hAnsi="Verdana" w:cs="Arial"/>
          <w:lang w:val="es-ES_tradnl"/>
        </w:rPr>
      </w:pPr>
    </w:p>
    <w:p w14:paraId="3056CC59" w14:textId="77777777" w:rsidR="00EA255A" w:rsidRDefault="00EA255A" w:rsidP="00EA255A">
      <w:pPr>
        <w:spacing w:after="120" w:line="276" w:lineRule="auto"/>
        <w:ind w:firstLine="709"/>
        <w:jc w:val="both"/>
        <w:rPr>
          <w:rFonts w:ascii="Verdana" w:eastAsia="Times New Roman" w:hAnsi="Verdana" w:cs="Arial"/>
          <w:color w:val="000000"/>
          <w:lang w:val="es-ES" w:eastAsia="es-ES"/>
        </w:rPr>
      </w:pPr>
      <w:r w:rsidRPr="2993F789">
        <w:rPr>
          <w:rFonts w:ascii="Verdana" w:eastAsia="Times New Roman" w:hAnsi="Verdana" w:cs="Arial"/>
          <w:color w:val="000000"/>
          <w:lang w:val="es-ES" w:eastAsia="es-ES"/>
        </w:rPr>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2993F789">
        <w:rPr>
          <w:rFonts w:ascii="Verdana" w:eastAsia="Times New Roman" w:hAnsi="Verdana" w:cs="Arial"/>
          <w:i/>
          <w:iCs/>
          <w:color w:val="000000"/>
          <w:lang w:val="es-ES" w:eastAsia="es-ES"/>
        </w:rPr>
        <w:t>liquidar</w:t>
      </w:r>
      <w:r w:rsidRPr="2993F789">
        <w:rPr>
          <w:rFonts w:ascii="Verdana" w:eastAsia="Times New Roman" w:hAnsi="Verdana" w:cs="Arial"/>
          <w:color w:val="000000"/>
          <w:lang w:val="es-ES" w:eastAsia="es-ES"/>
        </w:rPr>
        <w:t xml:space="preserve"> supone un ajuste en relación con las cuentas y el estado de cumplimiento del contrato estatal y, por el otro, que la </w:t>
      </w:r>
      <w:r w:rsidRPr="2993F789">
        <w:rPr>
          <w:rFonts w:ascii="Verdana" w:eastAsia="Times New Roman" w:hAnsi="Verdana" w:cs="Arial"/>
          <w:i/>
          <w:iCs/>
          <w:color w:val="000000"/>
          <w:lang w:val="es-ES" w:eastAsia="es-ES"/>
        </w:rPr>
        <w:t>liquidación</w:t>
      </w:r>
      <w:r w:rsidRPr="2993F789">
        <w:rPr>
          <w:rFonts w:ascii="Verdana" w:eastAsia="Times New Roman" w:hAnsi="Verdana" w:cs="Arial"/>
          <w:color w:val="000000"/>
          <w:lang w:val="es-ES" w:eastAsia="es-ES"/>
        </w:rPr>
        <w:t xml:space="preserve"> debe incluir el análisis de </w:t>
      </w:r>
      <w:r w:rsidRPr="2993F789">
        <w:rPr>
          <w:rFonts w:ascii="Verdana" w:eastAsia="Times New Roman" w:hAnsi="Verdana" w:cs="Arial"/>
          <w:color w:val="000000"/>
          <w:lang w:val="es-ES" w:eastAsia="es-ES"/>
        </w:rPr>
        <w:lastRenderedPageBreak/>
        <w:t>las condiciones de calidad y oportunidad en la entrega de los bienes, obras o servicios, así como el balance económico y el comportamiento financiero del negocio</w:t>
      </w:r>
      <w:r w:rsidRPr="2993F789">
        <w:rPr>
          <w:rFonts w:ascii="Verdana" w:eastAsia="Times New Roman" w:hAnsi="Verdana" w:cs="Arial"/>
          <w:color w:val="000000"/>
          <w:vertAlign w:val="superscript"/>
          <w:lang w:val="es-ES" w:eastAsia="es-ES"/>
        </w:rPr>
        <w:footnoteReference w:id="3"/>
      </w:r>
      <w:r w:rsidRPr="2993F789">
        <w:rPr>
          <w:rFonts w:ascii="Verdana" w:eastAsia="Times New Roman" w:hAnsi="Verdana" w:cs="Arial"/>
          <w:color w:val="000000"/>
          <w:lang w:val="es-ES" w:eastAsia="es-ES"/>
        </w:rPr>
        <w:t xml:space="preserve">. </w:t>
      </w:r>
    </w:p>
    <w:p w14:paraId="0CEA44E8" w14:textId="77777777" w:rsidR="00EA255A" w:rsidRPr="00463386" w:rsidRDefault="00EA255A" w:rsidP="00EA255A">
      <w:pPr>
        <w:pStyle w:val="Sinespaciado"/>
        <w:spacing w:after="120" w:line="276" w:lineRule="auto"/>
        <w:ind w:firstLine="709"/>
        <w:jc w:val="both"/>
        <w:rPr>
          <w:rFonts w:ascii="Verdana" w:hAnsi="Verdana" w:cs="Arial"/>
          <w:lang w:val="es-ES"/>
        </w:rPr>
      </w:pPr>
      <w:r w:rsidRPr="2993F789">
        <w:rPr>
          <w:rFonts w:ascii="Verdana" w:hAnsi="Verdana" w:cs="Arial"/>
          <w:lang w:val="es-ES"/>
        </w:rPr>
        <w:t xml:space="preserve">Las disposiciones </w:t>
      </w:r>
      <w:r>
        <w:rPr>
          <w:rFonts w:ascii="Verdana" w:hAnsi="Verdana" w:cs="Arial"/>
          <w:lang w:val="es-ES"/>
        </w:rPr>
        <w:t>legales</w:t>
      </w:r>
      <w:r w:rsidRPr="2993F789">
        <w:rPr>
          <w:rFonts w:ascii="Verdana" w:hAnsi="Verdana" w:cs="Arial"/>
          <w:lang w:val="es-ES"/>
        </w:rPr>
        <w:t xml:space="preserve">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w:t>
      </w:r>
      <w:r w:rsidRPr="2993F789">
        <w:rPr>
          <w:rStyle w:val="Refdenotaalpie"/>
          <w:rFonts w:ascii="Verdana" w:hAnsi="Verdana" w:cs="Arial"/>
          <w:lang w:val="es-ES"/>
        </w:rPr>
        <w:footnoteReference w:id="4"/>
      </w:r>
      <w:r w:rsidRPr="2993F789">
        <w:rPr>
          <w:rFonts w:ascii="Verdana" w:hAnsi="Verdana" w:cs="Arial"/>
          <w:lang w:val="es-ES"/>
        </w:rPr>
        <w:t xml:space="preserve"> contiene las reglas de tipo procedimental para liquidar los contratos estatales, las cuales se pasan a explicar. </w:t>
      </w:r>
    </w:p>
    <w:p w14:paraId="12623234" w14:textId="77777777" w:rsidR="00EA255A" w:rsidRPr="00463386" w:rsidRDefault="00EA255A" w:rsidP="00EA255A">
      <w:pPr>
        <w:spacing w:after="120" w:line="276" w:lineRule="auto"/>
        <w:ind w:firstLine="709"/>
        <w:jc w:val="both"/>
        <w:rPr>
          <w:rFonts w:ascii="Verdana" w:hAnsi="Verdana" w:cs="Arial"/>
          <w:lang w:val="es-ES"/>
        </w:rPr>
      </w:pPr>
      <w:r w:rsidRPr="2993F789">
        <w:rPr>
          <w:rFonts w:ascii="Verdana" w:hAnsi="Verdana" w:cs="Arial"/>
          <w:lang w:val="es-ES"/>
        </w:rPr>
        <w:t xml:space="preserve">En primer lugar, en ejercicio de la autonomía de la voluntad y de conformidad con la naturaleza, el objeto y el plazo del contrato, la entidad estatal puede definir en el pliego de condiciones o el documento equivalente el plazo para efectuar la liquidación de mutuo acuerdo. Al respecto, el artículo 11 de la Ley 1150 de 2007 señala que la liquidación de mutuo acuerdo se deberá realizar dentro del plazo previsto en “los pliegos de condiciones o sus equivalentes, o dentro del que acuerden las partes para el efecto”. De otro lado, cuando el artículo 11 </w:t>
      </w:r>
      <w:r w:rsidRPr="2993F789">
        <w:rPr>
          <w:rFonts w:ascii="Verdana" w:hAnsi="Verdana" w:cs="Arial"/>
          <w:i/>
          <w:iCs/>
          <w:lang w:val="es-ES"/>
        </w:rPr>
        <w:t>ibidem</w:t>
      </w:r>
      <w:r w:rsidRPr="2993F789">
        <w:rPr>
          <w:rFonts w:ascii="Verdana" w:hAnsi="Verdana" w:cs="Arial"/>
          <w:lang w:val="es-ES"/>
        </w:rPr>
        <w:t xml:space="preserve"> hace referencia al término que “acuerden las partes” para la </w:t>
      </w:r>
      <w:r w:rsidRPr="2993F789">
        <w:rPr>
          <w:rFonts w:ascii="Verdana" w:hAnsi="Verdana" w:cs="Arial"/>
          <w:lang w:val="es-ES"/>
        </w:rPr>
        <w:lastRenderedPageBreak/>
        <w:t xml:space="preserve">liquidación de mutuo acuerdo, claramente está habilitando a las partes para que, en ejercicio de la autonomía de la voluntad que les asiste, prevean de común acuerdo un plazo para la liquidación bilateral. Este plazo, en principio, debe estar consignado en el contrato, al ser este el acto jurídico bilateral en el que se consigna originalmente la voluntad de las partes. </w:t>
      </w:r>
    </w:p>
    <w:p w14:paraId="5C2CB806" w14:textId="77777777" w:rsidR="00EA255A" w:rsidRDefault="00EA255A" w:rsidP="00EA255A">
      <w:pPr>
        <w:spacing w:after="120" w:line="276" w:lineRule="auto"/>
        <w:ind w:firstLine="709"/>
        <w:jc w:val="both"/>
        <w:rPr>
          <w:rFonts w:ascii="Verdana" w:hAnsi="Verdana" w:cs="Arial"/>
          <w:lang w:val="es-ES"/>
        </w:rPr>
      </w:pPr>
      <w:r w:rsidRPr="2993F789">
        <w:rPr>
          <w:rFonts w:ascii="Verdana" w:hAnsi="Verdana" w:cs="Arial"/>
          <w:lang w:val="es-ES"/>
        </w:rPr>
        <w:t xml:space="preserve">En segundo lugar, en ausencia de pacto, el artículo 11 de la Ley 1150 de 2007 dispone un término supletivo de cuatro (4) meses contados desde: i) el vencimiento del plazo previsto para la ejecución del contrato, </w:t>
      </w:r>
      <w:proofErr w:type="spellStart"/>
      <w:r w:rsidRPr="2993F789">
        <w:rPr>
          <w:rFonts w:ascii="Verdana" w:hAnsi="Verdana" w:cs="Arial"/>
          <w:lang w:val="es-ES"/>
        </w:rPr>
        <w:t>ii</w:t>
      </w:r>
      <w:proofErr w:type="spellEnd"/>
      <w:r w:rsidRPr="2993F789">
        <w:rPr>
          <w:rFonts w:ascii="Verdana" w:hAnsi="Verdana" w:cs="Arial"/>
          <w:lang w:val="es-ES"/>
        </w:rPr>
        <w:t xml:space="preserve">) la expedición del acto administrativo que ordene la terminación del contrato, o </w:t>
      </w:r>
      <w:proofErr w:type="spellStart"/>
      <w:r w:rsidRPr="2993F789">
        <w:rPr>
          <w:rFonts w:ascii="Verdana" w:hAnsi="Verdana" w:cs="Arial"/>
          <w:lang w:val="es-ES"/>
        </w:rPr>
        <w:t>iii</w:t>
      </w:r>
      <w:proofErr w:type="spellEnd"/>
      <w:r w:rsidRPr="2993F789">
        <w:rPr>
          <w:rFonts w:ascii="Verdana" w:hAnsi="Verdana" w:cs="Arial"/>
          <w:lang w:val="es-ES"/>
        </w:rPr>
        <w:t xml:space="preserve">) la fecha del acuerdo que disponga la terminación del contrato. Ahora bien, el término supletivo de cuatro (4) meses previstos en el artículo 11 de la Ley 1150 de 2007 solo resulta aplicable ante la ausencia de regulación del mismo en el pliego de condiciones –documento equivalente– y ante la falta de acuerdo entre las partes en torno al plazo de liquidación bilateral. </w:t>
      </w:r>
    </w:p>
    <w:p w14:paraId="3A9CB4CB" w14:textId="77777777" w:rsidR="00EA255A" w:rsidRDefault="00EA255A" w:rsidP="00EA255A">
      <w:pPr>
        <w:spacing w:after="120" w:line="276" w:lineRule="auto"/>
        <w:ind w:firstLine="709"/>
        <w:jc w:val="both"/>
        <w:rPr>
          <w:rFonts w:ascii="Verdana" w:hAnsi="Verdana" w:cs="Arial"/>
          <w:lang w:val="es-ES"/>
        </w:rPr>
      </w:pPr>
      <w:r w:rsidRPr="00463386">
        <w:rPr>
          <w:rFonts w:ascii="Verdana" w:hAnsi="Verdana" w:cs="Arial"/>
          <w:lang w:val="es-ES"/>
        </w:rPr>
        <w:t>Durante este término</w:t>
      </w:r>
      <w:r>
        <w:rPr>
          <w:rFonts w:ascii="Verdana" w:hAnsi="Verdana" w:cs="Arial"/>
          <w:lang w:val="es-ES"/>
        </w:rPr>
        <w:t xml:space="preserve"> de cuatro (4) meses,</w:t>
      </w:r>
      <w:r w:rsidRPr="00463386">
        <w:rPr>
          <w:rFonts w:ascii="Verdana" w:hAnsi="Verdana" w:cs="Arial"/>
          <w:lang w:val="es-ES"/>
        </w:rPr>
        <w:t xml:space="preserve"> el contratista puede solicitar que se adelante el trámite de liquidación. Sin embargo, es responsabilidad de la entidad estatal convocarlo para adelantar la liquidación de común acuerdo o notificarlo para que se presente a la liquidación, de manera que el contrato pueda ser liquidado bilateralmente, bien sea en el plazo previsto en el pliego de condiciones, el acordado por las partes, o en los cuatro</w:t>
      </w:r>
      <w:r>
        <w:rPr>
          <w:rFonts w:ascii="Verdana" w:hAnsi="Verdana" w:cs="Arial"/>
          <w:lang w:val="es-ES"/>
        </w:rPr>
        <w:t xml:space="preserve"> (4)</w:t>
      </w:r>
      <w:r w:rsidRPr="00463386">
        <w:rPr>
          <w:rFonts w:ascii="Verdana" w:hAnsi="Verdana" w:cs="Arial"/>
          <w:lang w:val="es-ES"/>
        </w:rPr>
        <w:t xml:space="preserve"> meses señalados en la Ley, según corresponda. Esta liquidación bilateral puede ser total o parcial</w:t>
      </w:r>
      <w:r w:rsidRPr="00463386">
        <w:rPr>
          <w:rStyle w:val="Refdenotaalpie"/>
          <w:rFonts w:ascii="Verdana" w:hAnsi="Verdana" w:cs="Arial"/>
          <w:lang w:val="es-ES"/>
        </w:rPr>
        <w:footnoteReference w:id="5"/>
      </w:r>
      <w:r w:rsidRPr="00463386">
        <w:rPr>
          <w:rFonts w:ascii="Verdana" w:hAnsi="Verdana" w:cs="Arial"/>
          <w:lang w:val="es-ES"/>
        </w:rPr>
        <w:t xml:space="preserve">. </w:t>
      </w:r>
    </w:p>
    <w:p w14:paraId="28D097D4" w14:textId="77777777" w:rsidR="00EA255A" w:rsidRPr="00463386" w:rsidRDefault="00EA255A" w:rsidP="00EA255A">
      <w:pPr>
        <w:spacing w:after="0" w:line="276" w:lineRule="auto"/>
        <w:ind w:firstLine="709"/>
        <w:jc w:val="both"/>
        <w:rPr>
          <w:rFonts w:ascii="Verdana" w:hAnsi="Verdana" w:cs="Arial"/>
          <w:lang w:val="es-ES"/>
        </w:rPr>
      </w:pPr>
      <w:r w:rsidRPr="2993F789">
        <w:rPr>
          <w:rFonts w:ascii="Verdana" w:hAnsi="Verdana" w:cs="Arial"/>
          <w:lang w:val="es-ES"/>
        </w:rPr>
        <w:t>Si no es posible efectuar la liquidación de manera bilateral en los términos anteriormente explicados, el ordenamiento jurídico prevé una habilitación competencial, de carácter subsidiario, para que la entidad estatal realice la liquidación unilateralmente. Sobre este punto, el Consejo de Estado ha señalado:</w:t>
      </w:r>
    </w:p>
    <w:p w14:paraId="655D6FD0" w14:textId="77777777" w:rsidR="00EA255A" w:rsidRPr="00D03768" w:rsidRDefault="00EA255A" w:rsidP="00EA255A">
      <w:pPr>
        <w:pStyle w:val="Sinespaciado"/>
        <w:spacing w:line="276" w:lineRule="auto"/>
        <w:ind w:left="709" w:right="760"/>
        <w:jc w:val="both"/>
        <w:rPr>
          <w:rFonts w:ascii="Verdana" w:hAnsi="Verdana" w:cs="Arial"/>
          <w:lang w:val="es-ES"/>
        </w:rPr>
      </w:pPr>
    </w:p>
    <w:p w14:paraId="4C97698F" w14:textId="77777777" w:rsidR="00EA255A" w:rsidRDefault="00EA255A" w:rsidP="00EA255A">
      <w:pPr>
        <w:pStyle w:val="Sinespaciado"/>
        <w:ind w:left="709" w:right="709"/>
        <w:jc w:val="both"/>
        <w:rPr>
          <w:rFonts w:ascii="Verdana" w:hAnsi="Verdana" w:cs="Arial"/>
          <w:sz w:val="20"/>
          <w:szCs w:val="20"/>
          <w:lang w:val="es-ES"/>
        </w:rPr>
      </w:pPr>
      <w:r w:rsidRPr="2993F789">
        <w:rPr>
          <w:rFonts w:ascii="Verdana" w:hAnsi="Verdana" w:cs="Arial"/>
          <w:sz w:val="20"/>
          <w:szCs w:val="20"/>
          <w:lang w:val="es-ES"/>
        </w:rPr>
        <w:t xml:space="preserve">“Al respecto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w:t>
      </w:r>
      <w:r w:rsidRPr="2993F789">
        <w:rPr>
          <w:rFonts w:ascii="Verdana" w:hAnsi="Verdana" w:cs="Arial"/>
          <w:sz w:val="20"/>
          <w:szCs w:val="20"/>
          <w:lang w:val="es-ES"/>
        </w:rPr>
        <w:lastRenderedPageBreak/>
        <w:t>cuanto su adopción con tal omisión vulneraría el derecho del contratista al debido proceso y sus corolarios de defensa y contradicción y, además, configuraría un abuso de poder”</w:t>
      </w:r>
      <w:r w:rsidRPr="2993F789">
        <w:rPr>
          <w:rStyle w:val="Refdenotaalpie"/>
          <w:rFonts w:ascii="Verdana" w:hAnsi="Verdana" w:cs="Arial"/>
          <w:sz w:val="20"/>
          <w:szCs w:val="20"/>
          <w:lang w:val="es-ES"/>
        </w:rPr>
        <w:footnoteReference w:id="6"/>
      </w:r>
      <w:r w:rsidRPr="2993F789">
        <w:rPr>
          <w:rFonts w:ascii="Verdana" w:hAnsi="Verdana" w:cs="Arial"/>
          <w:sz w:val="20"/>
          <w:szCs w:val="20"/>
          <w:lang w:val="es-ES"/>
        </w:rPr>
        <w:t xml:space="preserve">. </w:t>
      </w:r>
    </w:p>
    <w:p w14:paraId="67B97B79" w14:textId="77777777" w:rsidR="00EA255A" w:rsidRPr="00D03768" w:rsidRDefault="00EA255A" w:rsidP="00EA255A">
      <w:pPr>
        <w:pStyle w:val="Sinespaciado"/>
        <w:spacing w:line="276" w:lineRule="auto"/>
        <w:ind w:left="709" w:right="709"/>
        <w:jc w:val="both"/>
        <w:rPr>
          <w:rFonts w:ascii="Verdana" w:hAnsi="Verdana" w:cs="Arial"/>
          <w:lang w:val="es-ES"/>
        </w:rPr>
      </w:pPr>
    </w:p>
    <w:p w14:paraId="51C2B9B5" w14:textId="77777777" w:rsidR="00EA255A" w:rsidRDefault="00EA255A" w:rsidP="00EA255A">
      <w:pPr>
        <w:pStyle w:val="Sinespaciado"/>
        <w:spacing w:line="276" w:lineRule="auto"/>
        <w:ind w:firstLine="708"/>
        <w:jc w:val="both"/>
        <w:rPr>
          <w:rFonts w:ascii="Verdana" w:hAnsi="Verdana" w:cs="Arial"/>
          <w:lang w:val="es-ES"/>
        </w:rPr>
      </w:pPr>
      <w:r w:rsidRPr="2993F789">
        <w:rPr>
          <w:rFonts w:ascii="Verdana" w:hAnsi="Verdana" w:cs="Arial"/>
          <w:lang w:val="es-ES"/>
        </w:rPr>
        <w:t>Por lo tanto, si no se logra la liquidación bilateral del contrato en el término convencional o subsidiario, la entidad estatal tiene la facultad de liquidarlo unilateralmente durante el término de dos (2) meses contados a partir del vencimiento del plazo que acuerden las partes para liquidar bilateralmente, o ante el silencio de estas, del vencimiento de los cuatro (4) meses establecidos por la ley</w:t>
      </w:r>
      <w:r w:rsidRPr="2993F789">
        <w:rPr>
          <w:rStyle w:val="Refdenotaalpie"/>
          <w:rFonts w:ascii="Verdana" w:hAnsi="Verdana" w:cs="Arial"/>
          <w:lang w:val="es-ES"/>
        </w:rPr>
        <w:footnoteReference w:id="7"/>
      </w:r>
      <w:r w:rsidRPr="2993F789">
        <w:rPr>
          <w:rFonts w:ascii="Verdana" w:hAnsi="Verdana" w:cs="Arial"/>
          <w:lang w:val="es-ES"/>
        </w:rPr>
        <w:t xml:space="preserve">. Finalmente, transcurridos estos dos (2) meses, sin que se haya efectuado, la liquidación podrá realizarse en cualquier tiempo dentro de los dos (2) años siguientes al vencimiento del término legal para la liquidación unilateral. Durante estos dos (2) años la liquidación podrá hacerse de mutuo acuerdo, unilateralmente por la entidad, o podrá ser solicitada judicialmente. En este sentido, en decisión de unificación, el Consejo de Estado dijo: </w:t>
      </w:r>
    </w:p>
    <w:p w14:paraId="365B2C0C" w14:textId="77777777" w:rsidR="00EA255A" w:rsidRPr="00463386" w:rsidRDefault="00EA255A" w:rsidP="00EA255A">
      <w:pPr>
        <w:pStyle w:val="Sinespaciado"/>
        <w:spacing w:line="276" w:lineRule="auto"/>
        <w:ind w:firstLine="708"/>
        <w:jc w:val="both"/>
        <w:rPr>
          <w:rFonts w:ascii="Verdana" w:hAnsi="Verdana" w:cs="Arial"/>
          <w:lang w:val="es-ES"/>
        </w:rPr>
      </w:pPr>
    </w:p>
    <w:p w14:paraId="62B59349" w14:textId="77777777" w:rsidR="00EA255A" w:rsidRPr="00DF38E2" w:rsidRDefault="00EA255A" w:rsidP="00EA255A">
      <w:pPr>
        <w:pStyle w:val="Sinespaciado"/>
        <w:ind w:left="709" w:right="709"/>
        <w:jc w:val="both"/>
        <w:rPr>
          <w:rFonts w:ascii="Verdana" w:hAnsi="Verdana" w:cs="Arial"/>
          <w:sz w:val="20"/>
          <w:szCs w:val="20"/>
          <w:lang w:val="es-ES"/>
        </w:rPr>
      </w:pPr>
      <w:r w:rsidRPr="00DF38E2">
        <w:rPr>
          <w:rFonts w:ascii="Verdana" w:hAnsi="Verdana" w:cs="Arial"/>
          <w:sz w:val="20"/>
          <w:szCs w:val="20"/>
          <w:lang w:val="es-ES"/>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DF38E2">
        <w:rPr>
          <w:rFonts w:ascii="Verdana" w:hAnsi="Verdana" w:cs="Arial"/>
          <w:sz w:val="20"/>
          <w:szCs w:val="20"/>
          <w:lang w:val="es-ES"/>
        </w:rPr>
        <w:t>liquidatorio</w:t>
      </w:r>
      <w:proofErr w:type="spellEnd"/>
      <w:r w:rsidRPr="00DF38E2">
        <w:rPr>
          <w:rFonts w:ascii="Verdana" w:hAnsi="Verdana" w:cs="Arial"/>
          <w:sz w:val="20"/>
          <w:szCs w:val="20"/>
          <w:lang w:val="es-ES"/>
        </w:rPr>
        <w:t xml:space="preserve"> se logre dentro del lapso de dos años contados a partir del vencimiento del término legalmente conocido para la liquidación unilateral, pues ese es el lapso que el ordenamiento ha fijado para el ejercicio oportuno de la acción</w:t>
      </w:r>
      <w:r w:rsidRPr="00DF38E2">
        <w:rPr>
          <w:rStyle w:val="Refdenotaalpie"/>
          <w:rFonts w:ascii="Verdana" w:hAnsi="Verdana" w:cs="Arial"/>
          <w:sz w:val="20"/>
          <w:szCs w:val="20"/>
          <w:lang w:val="es-ES"/>
        </w:rPr>
        <w:footnoteReference w:id="8"/>
      </w:r>
      <w:r w:rsidRPr="00DF38E2">
        <w:rPr>
          <w:rFonts w:ascii="Verdana" w:hAnsi="Verdana" w:cs="Arial"/>
          <w:sz w:val="20"/>
          <w:szCs w:val="20"/>
          <w:lang w:val="es-ES"/>
        </w:rPr>
        <w:t>.</w:t>
      </w:r>
    </w:p>
    <w:p w14:paraId="6AE049EF" w14:textId="77777777" w:rsidR="00EA255A" w:rsidRPr="00D03768" w:rsidRDefault="00EA255A" w:rsidP="00EA255A">
      <w:pPr>
        <w:pStyle w:val="Sinespaciado"/>
        <w:ind w:right="709" w:firstLine="709"/>
        <w:jc w:val="both"/>
        <w:rPr>
          <w:rFonts w:ascii="Verdana" w:hAnsi="Verdana" w:cs="Arial"/>
          <w:lang w:val="es-ES"/>
        </w:rPr>
      </w:pPr>
    </w:p>
    <w:p w14:paraId="39813DAD" w14:textId="77777777" w:rsidR="00EA255A" w:rsidRPr="005C4A0F" w:rsidRDefault="00EA255A" w:rsidP="00EA255A">
      <w:pPr>
        <w:tabs>
          <w:tab w:val="left" w:pos="709"/>
        </w:tabs>
        <w:spacing w:after="120" w:line="276" w:lineRule="auto"/>
        <w:ind w:firstLine="709"/>
        <w:jc w:val="both"/>
        <w:rPr>
          <w:rFonts w:ascii="Verdana" w:eastAsia="Calibri" w:hAnsi="Verdana" w:cs="Arial"/>
        </w:rPr>
      </w:pPr>
      <w:r w:rsidRPr="4A3FD318">
        <w:rPr>
          <w:rFonts w:ascii="Verdana" w:eastAsia="Calibri" w:hAnsi="Verdana" w:cs="Arial"/>
        </w:rPr>
        <w:t xml:space="preserve">En armonía con lo anterior, se podrá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 La demanda debe ser presentada dentro del término que establece el artículo 164 del CPACA, pues de lo contrario operará </w:t>
      </w:r>
      <w:r w:rsidRPr="4A3FD318">
        <w:rPr>
          <w:rFonts w:ascii="Verdana" w:eastAsia="Calibri" w:hAnsi="Verdana" w:cs="Arial"/>
        </w:rPr>
        <w:lastRenderedPageBreak/>
        <w:t>el fenómeno de la caducidad, por lo cual no sería posible realizar la liquidación del contrato por ningún medio.</w:t>
      </w:r>
    </w:p>
    <w:p w14:paraId="2E27E666" w14:textId="77777777" w:rsidR="00EA255A" w:rsidRPr="001F4504" w:rsidRDefault="00EA255A" w:rsidP="00EA255A">
      <w:pPr>
        <w:spacing w:after="120" w:line="276" w:lineRule="auto"/>
        <w:jc w:val="both"/>
        <w:rPr>
          <w:rFonts w:ascii="Verdana" w:eastAsia="Verdana" w:hAnsi="Verdana" w:cs="Verdana"/>
        </w:rPr>
      </w:pPr>
      <w:r>
        <w:rPr>
          <w:rFonts w:ascii="Verdana" w:eastAsia="Verdana" w:hAnsi="Verdana" w:cs="Verdana"/>
        </w:rPr>
        <w:t xml:space="preserve">         </w:t>
      </w:r>
      <w:r w:rsidRPr="001F4504">
        <w:rPr>
          <w:rFonts w:ascii="Verdana" w:eastAsia="Verdana" w:hAnsi="Verdana" w:cs="Verdana"/>
        </w:rPr>
        <w:t>De estas disposiciones se desprende que la liquidación constituye el mecanismo de cierre de las relaciones jurídicas y económicas del contrato, sin que ello implique que las verificaciones técnicas, financieras y documentales necesarias para prepararla deban realizarse exclusivamente en el momento de suscribir el acta correspondiente. Por el contrario, la determinación de las cantidades de obra ejecutadas, la revisión de las cuentas pendientes, la verificación de los pagos realizados y la identificación de los saldos del anticipo son actuaciones que pueden servir de fundamento para la liquidación.</w:t>
      </w:r>
    </w:p>
    <w:p w14:paraId="4BBE94A5" w14:textId="77777777" w:rsidR="00EA255A" w:rsidRPr="001F4504" w:rsidRDefault="00EA255A" w:rsidP="00EA255A">
      <w:pPr>
        <w:spacing w:after="120" w:line="276" w:lineRule="auto"/>
        <w:jc w:val="both"/>
        <w:rPr>
          <w:rFonts w:ascii="Verdana" w:eastAsia="Verdana" w:hAnsi="Verdana" w:cs="Verdana"/>
        </w:rPr>
      </w:pPr>
      <w:r>
        <w:rPr>
          <w:rFonts w:ascii="Verdana" w:eastAsia="Verdana" w:hAnsi="Verdana" w:cs="Verdana"/>
        </w:rPr>
        <w:t xml:space="preserve">         </w:t>
      </w:r>
      <w:r w:rsidRPr="001F4504">
        <w:rPr>
          <w:rFonts w:ascii="Verdana" w:eastAsia="Verdana" w:hAnsi="Verdana" w:cs="Verdana"/>
        </w:rPr>
        <w:t xml:space="preserve">En </w:t>
      </w:r>
      <w:r>
        <w:rPr>
          <w:rFonts w:ascii="Verdana" w:eastAsia="Verdana" w:hAnsi="Verdana" w:cs="Verdana"/>
        </w:rPr>
        <w:t>atención al primer problema jurídico planteado</w:t>
      </w:r>
      <w:r w:rsidRPr="001F4504">
        <w:rPr>
          <w:rFonts w:ascii="Verdana" w:eastAsia="Verdana" w:hAnsi="Verdana" w:cs="Verdana"/>
        </w:rPr>
        <w:t>, la existencia de dos frentes de ejecución dentro de un mismo contrato permite individualizar la información técnica y financiera correspondiente a cada uno, con el propósito de establecer su estado de avance, las obligaciones causadas, los pagos efectuados y los recursos pendientes de amortización. Sin embargo, dicha individualización no supone, por sí misma, que cada frente constituya una unidad contractual autónoma ni que pueda liquidarse separadamente con efectos extintivos de las obligaciones, si no existe fundamento contractual y jurídico para ello.</w:t>
      </w:r>
    </w:p>
    <w:p w14:paraId="6959639E" w14:textId="733ACE6E" w:rsidR="00EA255A" w:rsidRDefault="00EA255A" w:rsidP="003E1725">
      <w:pPr>
        <w:spacing w:after="0" w:line="276" w:lineRule="auto"/>
        <w:jc w:val="both"/>
        <w:rPr>
          <w:rFonts w:ascii="Verdana" w:eastAsia="Verdana" w:hAnsi="Verdana" w:cs="Verdana"/>
        </w:rPr>
      </w:pPr>
      <w:r>
        <w:rPr>
          <w:rFonts w:ascii="Verdana" w:eastAsia="Verdana" w:hAnsi="Verdana" w:cs="Verdana"/>
        </w:rPr>
        <w:t xml:space="preserve">         </w:t>
      </w:r>
      <w:r w:rsidRPr="001F4504">
        <w:rPr>
          <w:rFonts w:ascii="Verdana" w:eastAsia="Verdana" w:hAnsi="Verdana" w:cs="Verdana"/>
        </w:rPr>
        <w:t xml:space="preserve">En consecuencia, la entidad contratante puede elaborar y documentar el balance técnico, financiero y de obligaciones pendientes de uno de los frentes después del vencimiento del plazo de ejecución y antes de la liquidación definitiva, siempre que dicha actuación tenga carácter preparatorio o de verificación, respete la unidad jurídica del contrato y no se utilice para sustituir la liquidación contractual ni para modificar las obligaciones originalmente pactadas. </w:t>
      </w:r>
    </w:p>
    <w:p w14:paraId="320E461A" w14:textId="77777777" w:rsidR="003E1725" w:rsidRPr="001F4504" w:rsidRDefault="003E1725" w:rsidP="008123F0">
      <w:pPr>
        <w:spacing w:after="0" w:line="276" w:lineRule="auto"/>
        <w:jc w:val="both"/>
        <w:rPr>
          <w:rFonts w:ascii="Verdana" w:eastAsia="Verdana" w:hAnsi="Verdana" w:cs="Verdana"/>
        </w:rPr>
      </w:pPr>
    </w:p>
    <w:p w14:paraId="254F90E6" w14:textId="77777777" w:rsidR="00EA255A" w:rsidRPr="00E9090B" w:rsidRDefault="00EA255A" w:rsidP="008123F0">
      <w:pPr>
        <w:snapToGrid w:val="0"/>
        <w:spacing w:after="120" w:line="276" w:lineRule="auto"/>
        <w:jc w:val="both"/>
        <w:rPr>
          <w:rFonts w:ascii="Verdana" w:eastAsia="Calibri" w:hAnsi="Verdana" w:cs="Arial"/>
          <w:lang w:val="es-ES"/>
        </w:rPr>
      </w:pPr>
      <w:proofErr w:type="spellStart"/>
      <w:r w:rsidRPr="008123F0">
        <w:rPr>
          <w:rFonts w:ascii="Verdana" w:eastAsia="Calibri" w:hAnsi="Verdana" w:cs="Arial"/>
          <w:b/>
          <w:bCs/>
          <w:lang w:val="es-ES"/>
        </w:rPr>
        <w:t>ii</w:t>
      </w:r>
      <w:proofErr w:type="spellEnd"/>
      <w:r w:rsidRPr="008123F0">
        <w:rPr>
          <w:rFonts w:ascii="Verdana" w:eastAsia="Calibri" w:hAnsi="Verdana" w:cs="Arial"/>
          <w:b/>
          <w:bCs/>
          <w:lang w:val="es-ES"/>
        </w:rPr>
        <w:t>)</w:t>
      </w:r>
      <w:r>
        <w:rPr>
          <w:rFonts w:ascii="Verdana" w:eastAsia="Calibri" w:hAnsi="Verdana" w:cs="Arial"/>
          <w:lang w:val="es-ES"/>
        </w:rPr>
        <w:t xml:space="preserve"> </w:t>
      </w:r>
      <w:r w:rsidRPr="00E9090B">
        <w:rPr>
          <w:rFonts w:ascii="Verdana" w:eastAsia="Calibri" w:hAnsi="Verdana" w:cs="Arial"/>
          <w:lang w:val="es-ES"/>
        </w:rPr>
        <w:t xml:space="preserve">Conforme las disposiciones que regulan el régimen de contratación pública, las entidades estatales están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 La citada disposición, además de contener la facultad expresa mencionada, establece un límite a su ejercicio, pues el pago anticipado o la </w:t>
      </w:r>
      <w:r w:rsidRPr="00E9090B">
        <w:rPr>
          <w:rFonts w:ascii="Verdana" w:eastAsia="Calibri" w:hAnsi="Verdana" w:cs="Arial"/>
          <w:lang w:val="es-ES"/>
        </w:rPr>
        <w:lastRenderedPageBreak/>
        <w:t xml:space="preserve">entrega del anticipo no podrá superar el cincuenta por ciento (50%) del valor o precio del negocio jurídico celebrado por la entidad estatal. </w:t>
      </w:r>
    </w:p>
    <w:p w14:paraId="4006C8F7" w14:textId="77777777" w:rsidR="00B0175C" w:rsidRDefault="00EA255A" w:rsidP="008123F0">
      <w:pPr>
        <w:spacing w:after="120" w:line="276" w:lineRule="auto"/>
        <w:ind w:firstLine="709"/>
        <w:jc w:val="both"/>
        <w:rPr>
          <w:rFonts w:ascii="Verdana" w:eastAsia="Calibri" w:hAnsi="Verdana" w:cs="Arial"/>
          <w:lang w:val="es-ES"/>
        </w:rPr>
      </w:pPr>
      <w:r w:rsidRPr="00E9090B">
        <w:rPr>
          <w:rFonts w:ascii="Verdana" w:eastAsia="Calibri" w:hAnsi="Verdana" w:cs="Arial"/>
          <w:lang w:val="es-ES"/>
        </w:rPr>
        <w:t xml:space="preserve">Un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 </w:t>
      </w:r>
    </w:p>
    <w:p w14:paraId="78767BA0" w14:textId="47FC95AC" w:rsidR="00EA255A" w:rsidRPr="00E9090B" w:rsidRDefault="00EA255A" w:rsidP="008123F0">
      <w:pPr>
        <w:spacing w:before="120" w:after="0" w:line="276" w:lineRule="auto"/>
        <w:ind w:firstLine="709"/>
        <w:jc w:val="both"/>
        <w:rPr>
          <w:rFonts w:ascii="Verdana" w:eastAsia="Calibri" w:hAnsi="Verdana" w:cs="Arial"/>
          <w:sz w:val="21"/>
          <w:szCs w:val="21"/>
          <w:lang w:val="es-ES"/>
        </w:rPr>
      </w:pPr>
      <w:r w:rsidRPr="00E9090B">
        <w:rPr>
          <w:rFonts w:ascii="Verdana" w:eastAsia="Calibri" w:hAnsi="Verdana" w:cs="Arial"/>
          <w:lang w:val="es-ES"/>
        </w:rPr>
        <w:t>Ahora bien, para distinguir o diferenciar el pago anticipado y anticipo, se acude a lo expresado en la Subsección C de la Sección Tercera del Consejo de Estado, que expresó:</w:t>
      </w:r>
    </w:p>
    <w:p w14:paraId="7471B28A" w14:textId="77777777" w:rsidR="00EA255A" w:rsidRPr="00E9090B" w:rsidRDefault="00EA255A" w:rsidP="00EA255A">
      <w:pPr>
        <w:spacing w:after="0" w:line="240" w:lineRule="auto"/>
        <w:ind w:firstLine="709"/>
        <w:jc w:val="both"/>
        <w:rPr>
          <w:rFonts w:ascii="Arial" w:eastAsia="Calibri" w:hAnsi="Arial" w:cs="Arial"/>
          <w:lang w:val="es-ES"/>
        </w:rPr>
      </w:pPr>
    </w:p>
    <w:p w14:paraId="48DB5D6E" w14:textId="77777777" w:rsidR="00EA255A" w:rsidRPr="00EB6668" w:rsidRDefault="00EA255A" w:rsidP="006F6457">
      <w:pPr>
        <w:spacing w:after="0" w:line="240" w:lineRule="auto"/>
        <w:ind w:left="709" w:right="709"/>
        <w:jc w:val="both"/>
        <w:rPr>
          <w:rFonts w:ascii="Verdana" w:eastAsia="Calibri" w:hAnsi="Verdana" w:cs="Arial"/>
          <w:sz w:val="20"/>
          <w:szCs w:val="20"/>
          <w:lang w:val="es-ES"/>
        </w:rPr>
      </w:pPr>
      <w:r w:rsidRPr="00EB6668">
        <w:rPr>
          <w:rFonts w:ascii="Verdana" w:eastAsia="Calibri" w:hAnsi="Verdana" w:cs="Arial"/>
          <w:sz w:val="20"/>
          <w:szCs w:val="20"/>
          <w:lang w:val="es-ES"/>
        </w:rPr>
        <w:t>“En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r w:rsidRPr="00EB6668">
        <w:rPr>
          <w:rFonts w:ascii="Verdana" w:eastAsia="Calibri" w:hAnsi="Verdana" w:cs="Arial"/>
          <w:sz w:val="20"/>
          <w:szCs w:val="20"/>
          <w:vertAlign w:val="superscript"/>
          <w:lang w:val="es-ES"/>
        </w:rPr>
        <w:footnoteReference w:id="9"/>
      </w:r>
      <w:r w:rsidRPr="00EB6668">
        <w:rPr>
          <w:rFonts w:ascii="Verdana" w:eastAsia="Calibri" w:hAnsi="Verdana" w:cs="Arial"/>
          <w:sz w:val="20"/>
          <w:szCs w:val="20"/>
          <w:lang w:val="es-ES"/>
        </w:rPr>
        <w:t>.</w:t>
      </w:r>
    </w:p>
    <w:p w14:paraId="229C2432" w14:textId="77777777" w:rsidR="00EA255A" w:rsidRPr="00E9090B" w:rsidRDefault="00EA255A" w:rsidP="00EA255A">
      <w:pPr>
        <w:spacing w:after="0" w:line="276" w:lineRule="auto"/>
        <w:ind w:firstLine="709"/>
        <w:jc w:val="both"/>
        <w:rPr>
          <w:rFonts w:ascii="Arial" w:eastAsia="Calibri" w:hAnsi="Arial" w:cs="Arial"/>
          <w:lang w:val="es-ES"/>
        </w:rPr>
      </w:pPr>
    </w:p>
    <w:p w14:paraId="2D91FB32" w14:textId="77777777" w:rsidR="0087249E" w:rsidRDefault="00EA255A" w:rsidP="006F6457">
      <w:pPr>
        <w:tabs>
          <w:tab w:val="left" w:pos="0"/>
        </w:tabs>
        <w:spacing w:after="120" w:line="276" w:lineRule="auto"/>
        <w:jc w:val="both"/>
        <w:rPr>
          <w:rFonts w:ascii="Verdana" w:hAnsi="Verdana" w:cs="Arial"/>
          <w:lang w:bidi="es-ES"/>
        </w:rPr>
      </w:pPr>
      <w:r w:rsidRPr="00E9090B">
        <w:rPr>
          <w:rFonts w:ascii="Verdana" w:eastAsia="Calibri" w:hAnsi="Verdana" w:cs="Arial"/>
          <w:lang w:val="es-ES"/>
        </w:rPr>
        <w:tab/>
        <w:t xml:space="preserve">Teniendo en cuenta el alcance de los conceptos de pago anticipado y el anticipo, los mismos pueden ser definidos así: i) El </w:t>
      </w:r>
      <w:r w:rsidRPr="008123F0">
        <w:rPr>
          <w:rFonts w:ascii="Verdana" w:eastAsia="Calibri" w:hAnsi="Verdana" w:cs="Arial"/>
          <w:i/>
          <w:iCs/>
          <w:lang w:val="es-ES"/>
        </w:rPr>
        <w:t>pago anticipado</w:t>
      </w:r>
      <w:r w:rsidRPr="00E9090B">
        <w:rPr>
          <w:rFonts w:ascii="Verdana" w:eastAsia="Calibri" w:hAnsi="Verdana" w:cs="Arial"/>
          <w:lang w:val="es-ES"/>
        </w:rPr>
        <w:t xml:space="preserve"> es un pago efectivo del precio que se efectúa y se causa en forma anticipada. Por tanto, los recursos se integran al patrimonio del contratista desde su desembolso. </w:t>
      </w:r>
      <w:proofErr w:type="spellStart"/>
      <w:r w:rsidRPr="00E9090B">
        <w:rPr>
          <w:rFonts w:ascii="Verdana" w:eastAsia="Calibri" w:hAnsi="Verdana" w:cs="Arial"/>
          <w:lang w:val="es-ES"/>
        </w:rPr>
        <w:t>ii</w:t>
      </w:r>
      <w:proofErr w:type="spellEnd"/>
      <w:r w:rsidRPr="00E9090B">
        <w:rPr>
          <w:rFonts w:ascii="Verdana" w:eastAsia="Calibri" w:hAnsi="Verdana" w:cs="Arial"/>
          <w:lang w:val="es-ES"/>
        </w:rPr>
        <w:t xml:space="preserve">) El </w:t>
      </w:r>
      <w:r w:rsidRPr="008123F0">
        <w:rPr>
          <w:rFonts w:ascii="Verdana" w:eastAsia="Calibri" w:hAnsi="Verdana" w:cs="Arial"/>
          <w:i/>
          <w:iCs/>
          <w:lang w:val="es-ES"/>
        </w:rPr>
        <w:t>anticipo</w:t>
      </w:r>
      <w:r w:rsidRPr="00E9090B">
        <w:rPr>
          <w:rFonts w:ascii="Verdana" w:eastAsia="Calibri" w:hAnsi="Verdana" w:cs="Arial"/>
          <w:lang w:val="es-ES"/>
        </w:rPr>
        <w:t xml:space="preserve">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r w:rsidRPr="00E9090B">
        <w:rPr>
          <w:rFonts w:ascii="Verdana" w:hAnsi="Verdana" w:cs="Arial"/>
          <w:lang w:bidi="es-ES"/>
        </w:rPr>
        <w:t xml:space="preserve"> </w:t>
      </w:r>
    </w:p>
    <w:p w14:paraId="5B2566D5" w14:textId="545E7851" w:rsidR="00EA255A" w:rsidRPr="00E9090B" w:rsidRDefault="0087249E" w:rsidP="00546928">
      <w:pPr>
        <w:tabs>
          <w:tab w:val="left" w:pos="0"/>
        </w:tabs>
        <w:spacing w:after="120" w:line="276" w:lineRule="auto"/>
        <w:jc w:val="both"/>
        <w:rPr>
          <w:rFonts w:ascii="Verdana" w:hAnsi="Verdana" w:cs="Arial"/>
        </w:rPr>
      </w:pPr>
      <w:r>
        <w:rPr>
          <w:rFonts w:ascii="Verdana" w:hAnsi="Verdana" w:cs="Arial"/>
          <w:lang w:bidi="es-ES"/>
        </w:rPr>
        <w:tab/>
      </w:r>
      <w:r w:rsidR="00EA255A" w:rsidRPr="00E9090B">
        <w:rPr>
          <w:rFonts w:ascii="Verdana" w:hAnsi="Verdana" w:cs="Arial"/>
          <w:lang w:bidi="es-ES"/>
        </w:rPr>
        <w:t xml:space="preserve">Al respecto, frente a estas dos instituciones expresa, la Sección Cuarta de Consejo de Estado, citando a la Sección Tercera: </w:t>
      </w:r>
      <w:r w:rsidR="00EA255A" w:rsidRPr="008123F0">
        <w:rPr>
          <w:rFonts w:ascii="Verdana" w:hAnsi="Verdana" w:cs="Arial"/>
          <w:i/>
          <w:iCs/>
          <w:lang w:bidi="es-ES"/>
        </w:rPr>
        <w:t xml:space="preserve">“El anticipo es el primer pago de los contratos de ejecución sucesiva que habrá de destinarse al cubrimiento de los costos iniciales, mientras que el pago anticipado corresponde a la </w:t>
      </w:r>
      <w:r w:rsidR="00EA255A" w:rsidRPr="008123F0">
        <w:rPr>
          <w:rFonts w:ascii="Verdana" w:hAnsi="Verdana" w:cs="Arial"/>
          <w:i/>
          <w:iCs/>
          <w:lang w:bidi="es-ES"/>
        </w:rPr>
        <w:lastRenderedPageBreak/>
        <w:t>retribución parcial que el contratista recibe en los contratos de ejecución sucesiva”</w:t>
      </w:r>
      <w:r w:rsidR="00EA255A" w:rsidRPr="00E9090B">
        <w:rPr>
          <w:rFonts w:ascii="Verdana" w:hAnsi="Verdana" w:cs="Arial"/>
          <w:vertAlign w:val="superscript"/>
          <w:lang w:bidi="es-ES"/>
        </w:rPr>
        <w:footnoteReference w:id="10"/>
      </w:r>
      <w:r w:rsidR="00EA255A" w:rsidRPr="00E9090B">
        <w:rPr>
          <w:rFonts w:ascii="Verdana" w:hAnsi="Verdana" w:cs="Arial"/>
          <w:lang w:bidi="es-ES"/>
        </w:rPr>
        <w:t>.</w:t>
      </w:r>
    </w:p>
    <w:p w14:paraId="7E8FB814" w14:textId="60254364" w:rsidR="006F6457" w:rsidRDefault="00EA255A" w:rsidP="008123F0">
      <w:pPr>
        <w:spacing w:after="120" w:line="276" w:lineRule="auto"/>
        <w:ind w:firstLine="709"/>
        <w:jc w:val="both"/>
        <w:rPr>
          <w:rFonts w:ascii="Verdana" w:hAnsi="Verdana"/>
        </w:rPr>
      </w:pPr>
      <w:r w:rsidRPr="00E9090B">
        <w:rPr>
          <w:rFonts w:ascii="Verdana" w:hAnsi="Verdana" w:cs="Arial"/>
          <w:lang w:eastAsia="en-GB"/>
        </w:rPr>
        <w:t>Para entender un poco más sobre sus diferencias, se precisa que la institución jurídica del anticipo</w:t>
      </w:r>
      <w:r w:rsidR="00E36F4C">
        <w:rPr>
          <w:rFonts w:ascii="Verdana" w:hAnsi="Verdana" w:cs="Arial"/>
          <w:lang w:eastAsia="en-GB"/>
        </w:rPr>
        <w:t>, a la cual se refiere en su consulta,</w:t>
      </w:r>
      <w:r w:rsidRPr="00E9090B">
        <w:rPr>
          <w:rFonts w:ascii="Verdana" w:hAnsi="Verdana" w:cs="Arial"/>
          <w:lang w:eastAsia="en-GB"/>
        </w:rPr>
        <w:t xml:space="preserve"> está prevista en dos (2) preceptos normativos: el</w:t>
      </w:r>
      <w:r w:rsidRPr="00E9090B">
        <w:rPr>
          <w:rFonts w:ascii="Verdana" w:hAnsi="Verdana" w:cs="Arial"/>
        </w:rPr>
        <w:t xml:space="preserve"> inciso primero del parágrafo del artículo 40 de la Ley 80 de 1993</w:t>
      </w:r>
      <w:r w:rsidR="00C81D51">
        <w:rPr>
          <w:rFonts w:ascii="Verdana" w:hAnsi="Verdana" w:cs="Arial"/>
        </w:rPr>
        <w:t>,</w:t>
      </w:r>
      <w:r w:rsidRPr="00E9090B">
        <w:rPr>
          <w:rFonts w:ascii="Verdana" w:hAnsi="Verdana" w:cs="Arial"/>
        </w:rPr>
        <w:t xml:space="preserve"> que establece un límite cuantitativo</w:t>
      </w:r>
      <w:r w:rsidR="00C81D51">
        <w:rPr>
          <w:rFonts w:ascii="Verdana" w:hAnsi="Verdana" w:cs="Arial"/>
        </w:rPr>
        <w:t>,</w:t>
      </w:r>
      <w:r w:rsidRPr="00E9090B">
        <w:rPr>
          <w:rFonts w:ascii="Verdana" w:hAnsi="Verdana" w:cs="Arial"/>
        </w:rPr>
        <w:t xml:space="preserve"> y en el artículo 91 de la Ley 1474 de 2011</w:t>
      </w:r>
      <w:r w:rsidR="00C81D51">
        <w:rPr>
          <w:rFonts w:ascii="Verdana" w:hAnsi="Verdana" w:cs="Arial"/>
        </w:rPr>
        <w:t xml:space="preserve">, que </w:t>
      </w:r>
      <w:r w:rsidRPr="00E9090B">
        <w:rPr>
          <w:rFonts w:ascii="Verdana" w:hAnsi="Verdana" w:cs="Arial"/>
        </w:rPr>
        <w:t>consagra una regla especial para el manejo del anticipo. Según esta</w:t>
      </w:r>
      <w:r w:rsidR="00C81D51">
        <w:rPr>
          <w:rFonts w:ascii="Verdana" w:hAnsi="Verdana" w:cs="Arial"/>
        </w:rPr>
        <w:t xml:space="preserve"> última</w:t>
      </w:r>
      <w:r w:rsidRPr="00E9090B">
        <w:rPr>
          <w:rFonts w:ascii="Verdana" w:hAnsi="Verdana" w:cs="Arial"/>
        </w:rPr>
        <w:t xml:space="preserve">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r w:rsidRPr="00E9090B">
        <w:rPr>
          <w:rFonts w:ascii="Verdana" w:hAnsi="Verdana"/>
        </w:rPr>
        <w:t xml:space="preserve"> </w:t>
      </w:r>
    </w:p>
    <w:p w14:paraId="44E6DCF5" w14:textId="2B76906F" w:rsidR="00EA255A" w:rsidRPr="00E9090B" w:rsidRDefault="00EA255A" w:rsidP="00D65DC7">
      <w:pPr>
        <w:spacing w:after="0" w:line="276" w:lineRule="auto"/>
        <w:ind w:firstLine="709"/>
        <w:jc w:val="both"/>
        <w:rPr>
          <w:rFonts w:ascii="Verdana" w:hAnsi="Verdana" w:cs="Arial"/>
        </w:rPr>
      </w:pPr>
      <w:r w:rsidRPr="00E9090B">
        <w:rPr>
          <w:rFonts w:ascii="Verdana" w:hAnsi="Verdana" w:cs="Arial"/>
        </w:rPr>
        <w:t>Aunque las normas citadas no definen el anticipo, el Consejo de Estado ha precisado su naturaleza jurídica fijando parámetros para su aplicación</w:t>
      </w:r>
      <w:r w:rsidRPr="00E9090B">
        <w:rPr>
          <w:vertAlign w:val="superscript"/>
        </w:rPr>
        <w:footnoteReference w:id="11"/>
      </w:r>
      <w:r w:rsidRPr="00E9090B">
        <w:rPr>
          <w:rFonts w:ascii="Verdana" w:hAnsi="Verdana" w:cs="Arial"/>
        </w:rPr>
        <w:t>. En uno de sus pronunciamientos, el Consejo de Estado se refirió al anticipo como:</w:t>
      </w:r>
    </w:p>
    <w:p w14:paraId="67B78C33" w14:textId="77777777" w:rsidR="00EA255A" w:rsidRPr="00E9090B" w:rsidRDefault="00EA255A" w:rsidP="00EA255A">
      <w:pPr>
        <w:spacing w:after="0" w:line="276" w:lineRule="auto"/>
        <w:jc w:val="both"/>
        <w:rPr>
          <w:rFonts w:ascii="Verdana" w:hAnsi="Verdana" w:cs="Arial"/>
        </w:rPr>
      </w:pPr>
    </w:p>
    <w:p w14:paraId="078A81A2" w14:textId="77777777" w:rsidR="00EA255A" w:rsidRPr="00AD7EFB" w:rsidRDefault="00EA255A" w:rsidP="00AD7EFB">
      <w:pPr>
        <w:spacing w:after="0" w:line="240" w:lineRule="auto"/>
        <w:ind w:left="709" w:right="709"/>
        <w:jc w:val="both"/>
        <w:rPr>
          <w:rFonts w:ascii="Verdana" w:hAnsi="Verdana" w:cs="Arial"/>
          <w:sz w:val="20"/>
          <w:szCs w:val="20"/>
        </w:rPr>
      </w:pPr>
      <w:r w:rsidRPr="00AD7EFB">
        <w:rPr>
          <w:rFonts w:ascii="Verdana" w:hAnsi="Verdana" w:cs="Arial"/>
          <w:sz w:val="20"/>
          <w:szCs w:val="20"/>
        </w:rPr>
        <w:t>“[…] 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w:t>
      </w:r>
      <w:r w:rsidRPr="00546928">
        <w:rPr>
          <w:rFonts w:ascii="Verdana" w:hAnsi="Verdana" w:cs="Arial"/>
          <w:sz w:val="20"/>
          <w:szCs w:val="20"/>
        </w:rPr>
        <w:t>ón de la inversión, de suerte que el monto entregado como anticipo no ingresa al patrimonio del contratista sino cuando ha sido debidamente amortizado”</w:t>
      </w:r>
      <w:r w:rsidRPr="008123F0">
        <w:rPr>
          <w:rFonts w:ascii="Verdana" w:hAnsi="Verdana"/>
          <w:sz w:val="20"/>
          <w:szCs w:val="20"/>
          <w:vertAlign w:val="superscript"/>
        </w:rPr>
        <w:footnoteReference w:id="12"/>
      </w:r>
      <w:r w:rsidRPr="00AD7EFB">
        <w:rPr>
          <w:rFonts w:ascii="Verdana" w:hAnsi="Verdana" w:cs="Arial"/>
          <w:sz w:val="20"/>
          <w:szCs w:val="20"/>
        </w:rPr>
        <w:t>.</w:t>
      </w:r>
    </w:p>
    <w:p w14:paraId="679BD60D" w14:textId="77777777" w:rsidR="00EA255A" w:rsidRPr="008123F0" w:rsidRDefault="00EA255A" w:rsidP="008123F0">
      <w:pPr>
        <w:spacing w:after="0" w:line="276" w:lineRule="auto"/>
        <w:ind w:left="709" w:right="709"/>
        <w:jc w:val="both"/>
        <w:rPr>
          <w:rFonts w:ascii="Verdana" w:hAnsi="Verdana"/>
        </w:rPr>
      </w:pPr>
    </w:p>
    <w:p w14:paraId="606FA562" w14:textId="58CB7A84" w:rsidR="00EA255A" w:rsidRPr="00E9090B" w:rsidRDefault="00EA255A" w:rsidP="00EA255A">
      <w:pPr>
        <w:tabs>
          <w:tab w:val="left" w:pos="0"/>
        </w:tabs>
        <w:spacing w:after="120" w:line="276" w:lineRule="auto"/>
        <w:jc w:val="both"/>
        <w:rPr>
          <w:rFonts w:ascii="Verdana" w:hAnsi="Verdana" w:cs="Arial"/>
        </w:rPr>
      </w:pPr>
      <w:r w:rsidRPr="00E9090B">
        <w:rPr>
          <w:rFonts w:ascii="Verdana" w:hAnsi="Verdana" w:cs="Arial"/>
        </w:rPr>
        <w:tab/>
        <w:t xml:space="preserve">Sobre la calidad de recurso público del anticipo, la jurisprudencia ha reiterado que “dicho dinero no hace parte del patrimonio del contratista y le </w:t>
      </w:r>
      <w:r w:rsidRPr="00E9090B">
        <w:rPr>
          <w:rFonts w:ascii="Verdana" w:hAnsi="Verdana" w:cs="Arial"/>
        </w:rPr>
        <w:lastRenderedPageBreak/>
        <w:t>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E9090B">
        <w:rPr>
          <w:vertAlign w:val="superscript"/>
        </w:rPr>
        <w:footnoteReference w:id="13"/>
      </w:r>
      <w:r w:rsidRPr="00E9090B">
        <w:rPr>
          <w:rFonts w:ascii="Verdana" w:hAnsi="Verdana" w:cs="Arial"/>
        </w:rPr>
        <w:t>. Igualmente, explica que el anticipo, al facilitar al contratista la financiación de los bienes y servicios que se le han encargado, es un factor determinante para impulsar la ejecución del contrato</w:t>
      </w:r>
      <w:r w:rsidRPr="00E9090B">
        <w:rPr>
          <w:vertAlign w:val="superscript"/>
        </w:rPr>
        <w:footnoteReference w:id="14"/>
      </w:r>
      <w:r w:rsidRPr="00E9090B">
        <w:rPr>
          <w:rFonts w:ascii="Verdana" w:hAnsi="Verdana" w:cs="Arial"/>
        </w:rPr>
        <w:t>. Este también es el entendimiento de la doctrina, que ha considerado el anticipo como un dinero entregado al contratista que debe cancelarse mediante descuentos parciales, siendo una práctica común que permite impulsar la ejecución del contrato</w:t>
      </w:r>
      <w:r w:rsidRPr="00E9090B">
        <w:rPr>
          <w:vertAlign w:val="superscript"/>
        </w:rPr>
        <w:footnoteReference w:id="15"/>
      </w:r>
      <w:r w:rsidRPr="00E9090B">
        <w:rPr>
          <w:rFonts w:ascii="Verdana" w:hAnsi="Verdana" w:cs="Arial"/>
        </w:rPr>
        <w:t xml:space="preserve">. </w:t>
      </w:r>
    </w:p>
    <w:p w14:paraId="362899B0" w14:textId="77777777" w:rsidR="00EA255A" w:rsidRPr="00E9090B" w:rsidRDefault="00EA255A" w:rsidP="00EA255A">
      <w:pPr>
        <w:tabs>
          <w:tab w:val="left" w:pos="0"/>
        </w:tabs>
        <w:spacing w:after="120" w:line="276" w:lineRule="auto"/>
        <w:jc w:val="both"/>
        <w:rPr>
          <w:rFonts w:ascii="Verdana" w:hAnsi="Verdana" w:cs="Arial"/>
        </w:rPr>
      </w:pPr>
      <w:r w:rsidRPr="00E9090B">
        <w:rPr>
          <w:rFonts w:ascii="Verdana" w:hAnsi="Verdana" w:cs="Arial"/>
        </w:rPr>
        <w:tab/>
        <w:t>Así, de acuerdo con las consideraciones de la jurisprudencia y la doctrina, el anticipo es 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r w:rsidRPr="00E9090B">
        <w:rPr>
          <w:rFonts w:ascii="Verdana" w:hAnsi="Verdana" w:cs="Times New Roman"/>
          <w:lang w:eastAsia="es-CO"/>
        </w:rPr>
        <w:t xml:space="preserve"> </w:t>
      </w:r>
    </w:p>
    <w:p w14:paraId="4E9CBCCB" w14:textId="603A582D" w:rsidR="00EA255A" w:rsidRDefault="00EA255A" w:rsidP="00EA255A">
      <w:pPr>
        <w:spacing w:after="120" w:line="276" w:lineRule="auto"/>
        <w:ind w:firstLine="708"/>
        <w:jc w:val="both"/>
        <w:rPr>
          <w:rFonts w:ascii="Verdana" w:eastAsia="Calibri" w:hAnsi="Verdana" w:cs="Arial"/>
        </w:rPr>
      </w:pPr>
      <w:r w:rsidRPr="00E9090B">
        <w:rPr>
          <w:rFonts w:ascii="Verdana" w:eastAsia="Calibri" w:hAnsi="Verdana" w:cs="Arial"/>
        </w:rPr>
        <w:t>Por otro lado, la institución jurídica del pago anticipado se concibe como la retribución parcial que el contratista recibe en los contratos estatales. Al respecto, la doctrina expresa:</w:t>
      </w:r>
      <w:r w:rsidRPr="00E9090B">
        <w:rPr>
          <w:rFonts w:ascii="ArialMT" w:hAnsi="ArialMT" w:cs="ArialMT"/>
          <w:sz w:val="18"/>
          <w:szCs w:val="18"/>
        </w:rPr>
        <w:t xml:space="preserve"> </w:t>
      </w:r>
      <w:r w:rsidRPr="00E9090B">
        <w:rPr>
          <w:rFonts w:ascii="Verdana" w:eastAsia="Calibri" w:hAnsi="Verdana" w:cs="Arial"/>
        </w:rPr>
        <w:t xml:space="preserve">“El pago anticipado sí hace parte del precio y su entrega comporta la extinción parcial de la obligación de remuneración a cargo </w:t>
      </w:r>
      <w:r w:rsidRPr="00E9090B">
        <w:rPr>
          <w:rFonts w:ascii="Verdana" w:eastAsia="Calibri" w:hAnsi="Verdana" w:cs="Arial"/>
        </w:rPr>
        <w:lastRenderedPageBreak/>
        <w:t>de la entidad solo que de manera adelantada a la realización del contrato o como primer contado”</w:t>
      </w:r>
      <w:r w:rsidRPr="00E9090B">
        <w:rPr>
          <w:rFonts w:ascii="Verdana" w:eastAsia="Calibri" w:hAnsi="Verdana" w:cs="Arial"/>
          <w:vertAlign w:val="superscript"/>
        </w:rPr>
        <w:footnoteReference w:id="16"/>
      </w:r>
      <w:r w:rsidRPr="00E9090B">
        <w:rPr>
          <w:rFonts w:ascii="Verdana" w:eastAsia="Calibri" w:hAnsi="Verdana" w:cs="Arial"/>
        </w:rPr>
        <w:t xml:space="preserve">. En esta línea, el pago anticipado se entiende como una forma en que la Entidad entrega en forma anticipada un pago parcial, es decir, sale de la esfera de la entidad y entra al patrimonio del contratista, sin que tenga una destinación diferente a la que este lo use, en el marco de su libertad y autonomía. </w:t>
      </w:r>
    </w:p>
    <w:p w14:paraId="25D0AD59" w14:textId="77777777" w:rsidR="00425B86" w:rsidRPr="00326D28" w:rsidRDefault="00425B86" w:rsidP="00425B86">
      <w:pPr>
        <w:spacing w:before="120" w:after="0" w:line="276" w:lineRule="auto"/>
        <w:ind w:firstLine="709"/>
        <w:jc w:val="both"/>
        <w:rPr>
          <w:rFonts w:ascii="Verdana" w:eastAsia="Calibri" w:hAnsi="Verdana" w:cs="Arial"/>
          <w:color w:val="000000" w:themeColor="text1"/>
        </w:rPr>
      </w:pPr>
      <w:r w:rsidRPr="00326D28">
        <w:rPr>
          <w:rFonts w:ascii="Verdana" w:eastAsia="Calibri" w:hAnsi="Verdana" w:cs="Arial"/>
          <w:color w:val="000000" w:themeColor="text1"/>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De esta manera, el Consejo de Estado explica lo siguiente: </w:t>
      </w:r>
    </w:p>
    <w:p w14:paraId="5196FAA2" w14:textId="77777777" w:rsidR="00425B86" w:rsidRPr="00326D28" w:rsidRDefault="00425B86" w:rsidP="00425B86">
      <w:pPr>
        <w:spacing w:after="0" w:line="240" w:lineRule="auto"/>
        <w:ind w:firstLine="709"/>
        <w:jc w:val="both"/>
        <w:rPr>
          <w:rFonts w:ascii="Verdana" w:eastAsia="Calibri" w:hAnsi="Verdana" w:cs="Arial"/>
          <w:lang w:val="es-MX"/>
        </w:rPr>
      </w:pPr>
    </w:p>
    <w:p w14:paraId="281A07BF" w14:textId="77777777" w:rsidR="00425B86" w:rsidRPr="00D720BD" w:rsidRDefault="00425B86" w:rsidP="00425B86">
      <w:pPr>
        <w:spacing w:after="0" w:line="240" w:lineRule="auto"/>
        <w:ind w:left="709" w:right="709"/>
        <w:jc w:val="both"/>
        <w:rPr>
          <w:rFonts w:ascii="Verdana" w:eastAsia="Calibri" w:hAnsi="Verdana" w:cs="Arial"/>
          <w:sz w:val="20"/>
          <w:szCs w:val="20"/>
        </w:rPr>
      </w:pPr>
      <w:r w:rsidRPr="00D720BD">
        <w:rPr>
          <w:rFonts w:ascii="Verdana" w:eastAsia="Calibri" w:hAnsi="Verdana" w:cs="Arial"/>
          <w:sz w:val="20"/>
          <w:szCs w:val="20"/>
        </w:rPr>
        <w:t>“</w:t>
      </w:r>
      <w:r>
        <w:rPr>
          <w:rFonts w:ascii="Verdana" w:eastAsia="Calibri" w:hAnsi="Verdana" w:cs="Arial"/>
          <w:sz w:val="20"/>
          <w:szCs w:val="20"/>
        </w:rPr>
        <w:t xml:space="preserve">(…) </w:t>
      </w:r>
      <w:r w:rsidRPr="00D720BD">
        <w:rPr>
          <w:rFonts w:ascii="Verdana" w:eastAsia="Calibri" w:hAnsi="Verdana" w:cs="Arial"/>
          <w:sz w:val="20"/>
          <w:szCs w:val="20"/>
        </w:rPr>
        <w:t xml:space="preserve">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D720BD">
        <w:rPr>
          <w:rFonts w:ascii="Verdana" w:eastAsia="Calibri" w:hAnsi="Verdana" w:cs="Arial"/>
          <w:sz w:val="20"/>
          <w:szCs w:val="20"/>
        </w:rPr>
        <w:t>etc</w:t>
      </w:r>
      <w:proofErr w:type="spellEnd"/>
      <w:r w:rsidRPr="00D720BD">
        <w:rPr>
          <w:rFonts w:ascii="Verdana" w:eastAsia="Calibri" w:hAnsi="Verdana" w:cs="Arial"/>
          <w:sz w:val="20"/>
          <w:szCs w:val="20"/>
        </w:rPr>
        <w:t>).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D720BD">
        <w:rPr>
          <w:rFonts w:ascii="Verdana" w:eastAsia="Calibri" w:hAnsi="Verdana" w:cs="Arial"/>
          <w:b/>
          <w:sz w:val="20"/>
          <w:szCs w:val="20"/>
        </w:rPr>
        <w:t xml:space="preserve"> </w:t>
      </w:r>
      <w:r w:rsidRPr="00D720BD">
        <w:rPr>
          <w:rFonts w:ascii="Verdana" w:eastAsia="Calibri" w:hAnsi="Verdana" w:cs="Arial"/>
          <w:sz w:val="20"/>
          <w:szCs w:val="20"/>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D720BD">
        <w:rPr>
          <w:rStyle w:val="Refdenotaalpie"/>
          <w:rFonts w:ascii="Verdana" w:eastAsia="Calibri" w:hAnsi="Verdana" w:cs="Arial"/>
          <w:sz w:val="20"/>
          <w:szCs w:val="20"/>
        </w:rPr>
        <w:footnoteReference w:id="17"/>
      </w:r>
      <w:r w:rsidRPr="00D720BD">
        <w:rPr>
          <w:rFonts w:ascii="Verdana" w:eastAsia="Calibri" w:hAnsi="Verdana" w:cs="Arial"/>
          <w:sz w:val="20"/>
          <w:szCs w:val="20"/>
        </w:rPr>
        <w:t>.</w:t>
      </w:r>
    </w:p>
    <w:p w14:paraId="3955A611" w14:textId="77777777" w:rsidR="00425B86" w:rsidRPr="008123F0" w:rsidRDefault="00425B86" w:rsidP="008123F0">
      <w:pPr>
        <w:spacing w:after="0" w:line="276" w:lineRule="auto"/>
        <w:ind w:firstLine="708"/>
        <w:jc w:val="both"/>
        <w:rPr>
          <w:rFonts w:ascii="Verdana" w:hAnsi="Verdana" w:cs="Arial"/>
          <w:sz w:val="20"/>
          <w:szCs w:val="20"/>
        </w:rPr>
      </w:pPr>
    </w:p>
    <w:p w14:paraId="2FA2D674" w14:textId="4978F80B" w:rsidR="00425B86" w:rsidRDefault="00EA255A" w:rsidP="00EA255A">
      <w:pPr>
        <w:tabs>
          <w:tab w:val="left" w:pos="0"/>
        </w:tabs>
        <w:spacing w:after="120" w:line="276" w:lineRule="auto"/>
        <w:jc w:val="both"/>
        <w:rPr>
          <w:rFonts w:ascii="Verdana" w:hAnsi="Verdana" w:cs="Arial"/>
        </w:rPr>
      </w:pPr>
      <w:r w:rsidRPr="00E9090B">
        <w:rPr>
          <w:rFonts w:ascii="Verdana" w:hAnsi="Verdana" w:cs="Arial"/>
        </w:rPr>
        <w:tab/>
        <w:t xml:space="preserve">De lo expuesto, se infiere que entidades estatales tienen la facultad de pactar la entrega de anticipos o pagos anticipados en los contratos que celebren. Para ello, deberán realizar el estudio correspondiente, con el fin de determinar </w:t>
      </w:r>
      <w:r w:rsidRPr="00E9090B">
        <w:rPr>
          <w:rFonts w:ascii="Verdana" w:hAnsi="Verdana" w:cs="Arial"/>
        </w:rPr>
        <w:lastRenderedPageBreak/>
        <w:t xml:space="preserve">la conveniencia de otorgar recursos al contratista bajo dichas denominaciones. De este modo, las entidades podrán determinar las condiciones de entrega, el monto –que no podrá ser superior al cincuenta por ciento (50%) del valor del contrato–. En el caso del anticipo debe definirse el plazo de amortización, las condiciones necesarias para su exigibilidad, así como todas las obligaciones para su correcta inversión. </w:t>
      </w:r>
    </w:p>
    <w:p w14:paraId="20041FE5" w14:textId="77777777" w:rsidR="00546928" w:rsidRDefault="00546928" w:rsidP="008123F0">
      <w:pPr>
        <w:spacing w:after="120" w:line="276" w:lineRule="auto"/>
        <w:ind w:firstLine="708"/>
        <w:jc w:val="both"/>
        <w:rPr>
          <w:rFonts w:ascii="Verdana" w:eastAsia="Calibri" w:hAnsi="Verdana" w:cs="Arial"/>
        </w:rPr>
      </w:pPr>
      <w:r>
        <w:rPr>
          <w:rFonts w:ascii="Verdana" w:eastAsia="Calibri" w:hAnsi="Verdana" w:cs="Arial"/>
          <w:lang w:val="es-ES"/>
        </w:rPr>
        <w:t xml:space="preserve">Ahora bien, </w:t>
      </w:r>
      <w:r>
        <w:rPr>
          <w:rFonts w:ascii="Verdana" w:eastAsia="Calibri" w:hAnsi="Verdana" w:cs="Arial"/>
        </w:rPr>
        <w:t>en atención</w:t>
      </w:r>
      <w:r w:rsidRPr="002E3FFE">
        <w:rPr>
          <w:rFonts w:ascii="Verdana" w:eastAsia="Calibri" w:hAnsi="Verdana" w:cs="Arial"/>
        </w:rPr>
        <w:t xml:space="preserve"> a la relevancia jurídica que reviste el anticipo por tratarse de recursos públicos, la entidad contratante está en la obligación de ejercer un control permanente sobre su destinación y ejecución. En ese sentido, le corresponde acudir a los mecanismos previstos en la ley o en el clausulado contractual para garantizar su adecuada administración</w:t>
      </w:r>
      <w:r>
        <w:rPr>
          <w:rFonts w:ascii="Verdana" w:eastAsia="Calibri" w:hAnsi="Verdana" w:cs="Arial"/>
        </w:rPr>
        <w:t xml:space="preserve"> y </w:t>
      </w:r>
      <w:r w:rsidRPr="002E3FFE">
        <w:rPr>
          <w:rFonts w:ascii="Verdana" w:eastAsia="Calibri" w:hAnsi="Verdana" w:cs="Arial"/>
        </w:rPr>
        <w:t>exigir que su utilización se ajuste a los fines contractuales establecidos</w:t>
      </w:r>
      <w:r>
        <w:rPr>
          <w:rFonts w:ascii="Verdana" w:eastAsia="Calibri" w:hAnsi="Verdana" w:cs="Arial"/>
        </w:rPr>
        <w:t xml:space="preserve">. </w:t>
      </w:r>
    </w:p>
    <w:p w14:paraId="59486018" w14:textId="69F0FBD3" w:rsidR="00546928" w:rsidRPr="009A6AAE" w:rsidRDefault="00546928" w:rsidP="00546928">
      <w:pPr>
        <w:spacing w:after="120" w:line="276" w:lineRule="auto"/>
        <w:ind w:firstLine="709"/>
        <w:jc w:val="both"/>
        <w:rPr>
          <w:rFonts w:ascii="Verdana" w:eastAsia="Calibri" w:hAnsi="Verdana" w:cs="Arial"/>
        </w:rPr>
      </w:pPr>
      <w:r>
        <w:rPr>
          <w:rFonts w:ascii="Verdana" w:eastAsia="Calibri" w:hAnsi="Verdana" w:cs="Arial"/>
        </w:rPr>
        <w:t>Sobre el particular, es importante destacar que</w:t>
      </w:r>
      <w:r w:rsidRPr="005F2061">
        <w:rPr>
          <w:rFonts w:ascii="Verdana" w:eastAsia="Calibri" w:hAnsi="Verdana" w:cs="Arial"/>
        </w:rPr>
        <w:t xml:space="preserve">, conforme </w:t>
      </w:r>
      <w:r>
        <w:rPr>
          <w:rFonts w:ascii="Verdana" w:eastAsia="Calibri" w:hAnsi="Verdana" w:cs="Arial"/>
        </w:rPr>
        <w:t xml:space="preserve">se expuso, el </w:t>
      </w:r>
      <w:r w:rsidRPr="005F2061">
        <w:rPr>
          <w:rFonts w:ascii="Verdana" w:eastAsia="Calibri" w:hAnsi="Verdana" w:cs="Arial"/>
        </w:rPr>
        <w:t xml:space="preserve">artículo 91 de la Ley 1474 de 2011, </w:t>
      </w:r>
      <w:r>
        <w:rPr>
          <w:rFonts w:ascii="Verdana" w:eastAsia="Calibri" w:hAnsi="Verdana" w:cs="Arial"/>
        </w:rPr>
        <w:t xml:space="preserve">establece la obligación de </w:t>
      </w:r>
      <w:r w:rsidRPr="005F2061">
        <w:rPr>
          <w:rFonts w:ascii="Verdana" w:eastAsia="Calibri" w:hAnsi="Verdana" w:cs="Arial"/>
        </w:rPr>
        <w:t xml:space="preserve">constituir una fiducia mercantil </w:t>
      </w:r>
      <w:r>
        <w:rPr>
          <w:rFonts w:ascii="Verdana" w:eastAsia="Calibri" w:hAnsi="Verdana" w:cs="Arial"/>
        </w:rPr>
        <w:t xml:space="preserve">o patrimonio autónomo </w:t>
      </w:r>
      <w:r w:rsidRPr="005F2061">
        <w:rPr>
          <w:rFonts w:ascii="Verdana" w:eastAsia="Calibri" w:hAnsi="Verdana" w:cs="Arial"/>
        </w:rPr>
        <w:t>para el manejo de los recursos entregados a título de anticipo</w:t>
      </w:r>
      <w:r>
        <w:rPr>
          <w:rFonts w:ascii="Verdana" w:eastAsia="Calibri" w:hAnsi="Verdana" w:cs="Arial"/>
        </w:rPr>
        <w:t xml:space="preserve"> en algunos eventos</w:t>
      </w:r>
      <w:r w:rsidRPr="005F2061">
        <w:rPr>
          <w:rFonts w:ascii="Verdana" w:eastAsia="Calibri" w:hAnsi="Verdana" w:cs="Arial"/>
        </w:rPr>
        <w:t>.</w:t>
      </w:r>
      <w:r>
        <w:rPr>
          <w:rFonts w:ascii="Verdana" w:eastAsia="Calibri" w:hAnsi="Verdana" w:cs="Arial"/>
        </w:rPr>
        <w:t xml:space="preserve"> </w:t>
      </w:r>
      <w:r w:rsidRPr="005F2061">
        <w:rPr>
          <w:rFonts w:ascii="Verdana" w:eastAsia="Calibri" w:hAnsi="Verdana" w:cs="Arial"/>
          <w:bCs/>
          <w:color w:val="000000" w:themeColor="text1"/>
          <w:lang w:val="es-ES_tradnl"/>
        </w:rPr>
        <w:t xml:space="preserve">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w:t>
      </w:r>
      <w:r w:rsidR="00907AD9">
        <w:rPr>
          <w:rFonts w:ascii="Verdana" w:eastAsia="Calibri" w:hAnsi="Verdana" w:cs="Arial"/>
          <w:bCs/>
          <w:color w:val="000000" w:themeColor="text1"/>
          <w:lang w:val="es-ES_tradnl"/>
        </w:rPr>
        <w:t>e</w:t>
      </w:r>
      <w:r w:rsidRPr="005F2061">
        <w:rPr>
          <w:rFonts w:ascii="Verdana" w:eastAsia="Calibri" w:hAnsi="Verdana" w:cs="Arial"/>
          <w:bCs/>
          <w:color w:val="000000" w:themeColor="text1"/>
          <w:lang w:val="es-ES_tradnl"/>
        </w:rPr>
        <w:t xml:space="preserve">ntidad </w:t>
      </w:r>
      <w:r w:rsidR="00907AD9">
        <w:rPr>
          <w:rFonts w:ascii="Verdana" w:eastAsia="Calibri" w:hAnsi="Verdana" w:cs="Arial"/>
          <w:bCs/>
          <w:color w:val="000000" w:themeColor="text1"/>
          <w:lang w:val="es-ES_tradnl"/>
        </w:rPr>
        <w:t>e</w:t>
      </w:r>
      <w:r w:rsidRPr="005F2061">
        <w:rPr>
          <w:rFonts w:ascii="Verdana" w:eastAsia="Calibri" w:hAnsi="Verdana" w:cs="Arial"/>
          <w:bCs/>
          <w:color w:val="000000" w:themeColor="text1"/>
          <w:lang w:val="es-ES_tradnl"/>
        </w:rPr>
        <w:t>statal debe entregar el valor del anticipo. Los recursos del patrimonio y sus rendimientos son autónomos, además de que se manejan de acuerdo con el contrato de fiducia mercantil. Adicionalmente, la norma señala que en el pliego de condiciones la entidad debe establecer los términos y condiciones de la administración del anticipo a través del patrimonio autónomo</w:t>
      </w:r>
      <w:r w:rsidRPr="005F2061">
        <w:rPr>
          <w:rStyle w:val="Refdenotaalpie"/>
          <w:rFonts w:ascii="Verdana" w:eastAsia="Calibri" w:hAnsi="Verdana" w:cs="Arial"/>
          <w:bCs/>
          <w:color w:val="000000" w:themeColor="text1"/>
          <w:lang w:val="es-ES_tradnl"/>
        </w:rPr>
        <w:footnoteReference w:id="18"/>
      </w:r>
      <w:r w:rsidRPr="005F2061">
        <w:rPr>
          <w:rFonts w:ascii="Verdana" w:eastAsia="Calibri" w:hAnsi="Verdana" w:cs="Arial"/>
          <w:bCs/>
          <w:color w:val="000000" w:themeColor="text1"/>
          <w:lang w:val="es-ES_tradnl"/>
        </w:rPr>
        <w:t xml:space="preserve">. </w:t>
      </w:r>
    </w:p>
    <w:p w14:paraId="489B52A2" w14:textId="77777777" w:rsidR="00546928" w:rsidRPr="005F2061" w:rsidRDefault="00546928" w:rsidP="00546928">
      <w:pPr>
        <w:spacing w:after="120" w:line="276" w:lineRule="auto"/>
        <w:ind w:firstLine="709"/>
        <w:jc w:val="both"/>
        <w:rPr>
          <w:rFonts w:ascii="Verdana" w:eastAsia="Calibri" w:hAnsi="Verdana" w:cs="Arial"/>
          <w:color w:val="000000" w:themeColor="text1"/>
          <w:lang w:val="es-ES"/>
        </w:rPr>
      </w:pPr>
      <w:r w:rsidRPr="0A0BB7DD">
        <w:rPr>
          <w:rFonts w:ascii="Verdana" w:eastAsia="Calibri" w:hAnsi="Verdana" w:cs="Arial"/>
          <w:color w:val="000000" w:themeColor="text1"/>
          <w:lang w:val="es-ES"/>
        </w:rPr>
        <w:t xml:space="preserve">Lo anterior surge como una medida para fortalecer los mecanismos de prevención, investigación y sanción de actos de corrupción y la efectividad del </w:t>
      </w:r>
      <w:r w:rsidRPr="0A0BB7DD">
        <w:rPr>
          <w:rFonts w:ascii="Verdana" w:eastAsia="Calibri" w:hAnsi="Verdana" w:cs="Arial"/>
          <w:color w:val="000000" w:themeColor="text1"/>
          <w:lang w:val="es-ES"/>
        </w:rPr>
        <w:lastRenderedPageBreak/>
        <w:t>control de la gestión pública, en atención a la problemática identificada sobre el incumplimiento de los contratistas de destinar los anticipos en la ejecución del contrato</w:t>
      </w:r>
      <w:r w:rsidRPr="0A0BB7DD">
        <w:rPr>
          <w:rStyle w:val="Refdenotaalpie"/>
          <w:rFonts w:ascii="Verdana" w:eastAsia="Calibri" w:hAnsi="Verdana" w:cs="Arial"/>
          <w:color w:val="000000" w:themeColor="text1"/>
          <w:lang w:val="es-ES"/>
        </w:rPr>
        <w:footnoteReference w:id="19"/>
      </w:r>
      <w:r w:rsidRPr="0A0BB7DD">
        <w:rPr>
          <w:rFonts w:ascii="Verdana" w:eastAsia="Calibri" w:hAnsi="Verdana" w:cs="Arial"/>
          <w:color w:val="000000" w:themeColor="text1"/>
          <w:lang w:val="es-ES"/>
        </w:rPr>
        <w:t xml:space="preserve">.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 entidad estatal. </w:t>
      </w:r>
    </w:p>
    <w:p w14:paraId="09BDE97F" w14:textId="77777777" w:rsidR="00546928" w:rsidRPr="005F2061" w:rsidRDefault="00546928" w:rsidP="00546928">
      <w:pPr>
        <w:spacing w:after="120" w:line="276" w:lineRule="auto"/>
        <w:ind w:firstLine="709"/>
        <w:jc w:val="both"/>
        <w:rPr>
          <w:rFonts w:ascii="Verdana" w:eastAsia="Calibri" w:hAnsi="Verdana" w:cs="Arial"/>
          <w:color w:val="000000" w:themeColor="text1"/>
          <w:lang w:val="es-ES"/>
        </w:rPr>
      </w:pPr>
      <w:r>
        <w:rPr>
          <w:rFonts w:ascii="Verdana" w:eastAsia="Calibri" w:hAnsi="Verdana" w:cs="Arial"/>
          <w:bCs/>
          <w:color w:val="000000" w:themeColor="text1"/>
          <w:lang w:val="es-ES_tradnl"/>
        </w:rPr>
        <w:t>Al respecto</w:t>
      </w:r>
      <w:r w:rsidRPr="005F2061">
        <w:rPr>
          <w:rFonts w:ascii="Verdana" w:eastAsia="Calibri" w:hAnsi="Verdana" w:cs="Arial"/>
          <w:bCs/>
          <w:color w:val="000000" w:themeColor="text1"/>
          <w:lang w:val="es-ES_tradnl"/>
        </w:rPr>
        <w:t>, la Agencia Nacional de Contratación Pública</w:t>
      </w:r>
      <w:r>
        <w:rPr>
          <w:rFonts w:ascii="Verdana" w:eastAsia="Calibri" w:hAnsi="Verdana" w:cs="Arial"/>
          <w:bCs/>
          <w:color w:val="000000" w:themeColor="text1"/>
          <w:lang w:val="es-ES_tradnl"/>
        </w:rPr>
        <w:t xml:space="preserve"> </w:t>
      </w:r>
      <w:r w:rsidRPr="005F2061">
        <w:rPr>
          <w:rFonts w:ascii="Verdana" w:eastAsia="Calibri" w:hAnsi="Verdana" w:cs="Arial"/>
          <w:bCs/>
          <w:color w:val="000000" w:themeColor="text1"/>
          <w:lang w:val="es-ES_tradnl"/>
        </w:rPr>
        <w:t>–</w:t>
      </w:r>
      <w:r>
        <w:rPr>
          <w:rFonts w:ascii="Verdana" w:eastAsia="Calibri" w:hAnsi="Verdana" w:cs="Arial"/>
          <w:bCs/>
          <w:color w:val="000000" w:themeColor="text1"/>
          <w:lang w:val="es-ES_tradnl"/>
        </w:rPr>
        <w:t xml:space="preserve"> </w:t>
      </w:r>
      <w:r w:rsidRPr="005F2061">
        <w:rPr>
          <w:rFonts w:ascii="Verdana" w:eastAsia="Calibri" w:hAnsi="Verdana" w:cs="Arial"/>
          <w:bCs/>
          <w:color w:val="000000" w:themeColor="text1"/>
          <w:lang w:val="es-ES_tradnl"/>
        </w:rPr>
        <w:t xml:space="preserve">Colombia Compra Eficiente expidió la </w:t>
      </w:r>
      <w:r>
        <w:rPr>
          <w:rFonts w:ascii="Verdana" w:eastAsia="Calibri" w:hAnsi="Verdana" w:cs="Arial"/>
          <w:color w:val="000000" w:themeColor="text1"/>
          <w:lang w:val="es-ES"/>
        </w:rPr>
        <w:t>“</w:t>
      </w:r>
      <w:r w:rsidRPr="005F2061">
        <w:rPr>
          <w:rFonts w:ascii="Verdana" w:eastAsia="Calibri" w:hAnsi="Verdana" w:cs="Arial"/>
          <w:bCs/>
          <w:color w:val="000000" w:themeColor="text1"/>
          <w:lang w:val="es-ES_tradnl"/>
        </w:rPr>
        <w:t>Guía para el manejo de anticipos mediante contrato de fiducia irrevocable</w:t>
      </w:r>
      <w:r>
        <w:rPr>
          <w:rFonts w:ascii="Verdana" w:eastAsia="Calibri" w:hAnsi="Verdana" w:cs="Arial"/>
          <w:color w:val="000000" w:themeColor="text1"/>
          <w:lang w:val="es-ES"/>
        </w:rPr>
        <w:t>”</w:t>
      </w:r>
      <w:r w:rsidRPr="005F2061">
        <w:rPr>
          <w:rStyle w:val="Refdenotaalpie"/>
          <w:rFonts w:ascii="Verdana" w:eastAsia="Calibri" w:hAnsi="Verdana" w:cs="Arial"/>
          <w:color w:val="000000" w:themeColor="text1"/>
          <w:lang w:val="es-ES"/>
        </w:rPr>
        <w:footnoteReference w:id="20"/>
      </w:r>
      <w:r w:rsidRPr="005F2061">
        <w:rPr>
          <w:rFonts w:ascii="Verdana" w:eastAsia="Calibri" w:hAnsi="Verdana" w:cs="Arial"/>
          <w:bCs/>
          <w:color w:val="000000" w:themeColor="text1"/>
          <w:lang w:val="es-ES_tradnl"/>
        </w:rPr>
        <w:t xml:space="preserve">. En esta se explica que </w:t>
      </w:r>
      <w:r>
        <w:rPr>
          <w:rFonts w:ascii="Verdana" w:eastAsia="Calibri" w:hAnsi="Verdana" w:cs="Arial"/>
          <w:color w:val="000000" w:themeColor="text1"/>
          <w:lang w:val="es-ES"/>
        </w:rPr>
        <w:t>“(…)</w:t>
      </w:r>
      <w:r w:rsidRPr="005F2061">
        <w:rPr>
          <w:rFonts w:ascii="Verdana" w:eastAsia="Calibri" w:hAnsi="Verdana" w:cs="Arial"/>
          <w:color w:val="000000" w:themeColor="text1"/>
          <w:lang w:val="es-ES"/>
        </w:rPr>
        <w:t xml:space="preserve"> </w:t>
      </w:r>
      <w:r w:rsidRPr="005F2061">
        <w:rPr>
          <w:rFonts w:ascii="Verdana" w:eastAsia="Calibri" w:hAnsi="Verdana" w:cs="Arial"/>
          <w:bCs/>
          <w:color w:val="000000" w:themeColor="text1"/>
          <w:lang w:val="es-ES"/>
        </w:rPr>
        <w:t>e</w:t>
      </w:r>
      <w:r w:rsidRPr="005F2061">
        <w:rPr>
          <w:rFonts w:ascii="Verdana" w:eastAsia="Calibri" w:hAnsi="Verdana" w:cs="Arial"/>
          <w:bCs/>
          <w:color w:val="000000" w:themeColor="text1"/>
        </w:rPr>
        <w:t>l patrimonio autónomo para manejo de anticipos tiene como finalidad: (i) la correcta y adecuada inversión y administración del anticipo y, (</w:t>
      </w:r>
      <w:proofErr w:type="spellStart"/>
      <w:r w:rsidRPr="005F2061">
        <w:rPr>
          <w:rFonts w:ascii="Verdana" w:eastAsia="Calibri" w:hAnsi="Verdana" w:cs="Arial"/>
          <w:bCs/>
          <w:color w:val="000000" w:themeColor="text1"/>
        </w:rPr>
        <w:t>ii</w:t>
      </w:r>
      <w:proofErr w:type="spellEnd"/>
      <w:r w:rsidRPr="005F2061">
        <w:rPr>
          <w:rFonts w:ascii="Verdana" w:eastAsia="Calibri" w:hAnsi="Verdana" w:cs="Arial"/>
          <w:bCs/>
          <w:color w:val="000000" w:themeColor="text1"/>
        </w:rPr>
        <w:t>) el reintegro de los recursos del anticipo a la Entidad Estatal cuando declara la caducidad, incumplimiento o terminación del contrato estatal o cuando se presenta la nulidad del contrato estatal</w:t>
      </w:r>
      <w:r>
        <w:rPr>
          <w:rFonts w:ascii="Verdana" w:eastAsia="Calibri" w:hAnsi="Verdana" w:cs="Arial"/>
          <w:color w:val="000000" w:themeColor="text1"/>
          <w:lang w:val="es-ES"/>
        </w:rPr>
        <w:t>”</w:t>
      </w:r>
      <w:r w:rsidRPr="005F2061">
        <w:rPr>
          <w:rFonts w:ascii="Verdana" w:eastAsia="Calibri" w:hAnsi="Verdana" w:cs="Arial"/>
          <w:color w:val="000000" w:themeColor="text1"/>
          <w:lang w:val="es-ES"/>
        </w:rPr>
        <w:t xml:space="preserve">. Igualmente, expone las condiciones para administrar los recursos del patrimonio autónomo, las obligaciones principales de la fiduciaria, el manejo de los excedentes, entre otros. </w:t>
      </w:r>
    </w:p>
    <w:p w14:paraId="55B35C0A" w14:textId="77777777" w:rsidR="00546928" w:rsidRDefault="00546928" w:rsidP="00546928">
      <w:pPr>
        <w:spacing w:after="120" w:line="276" w:lineRule="auto"/>
        <w:ind w:firstLine="709"/>
        <w:jc w:val="both"/>
        <w:rPr>
          <w:rFonts w:ascii="Verdana" w:eastAsia="Calibri" w:hAnsi="Verdana" w:cs="Arial"/>
        </w:rPr>
      </w:pPr>
      <w:r>
        <w:rPr>
          <w:rFonts w:ascii="Verdana" w:eastAsia="Calibri" w:hAnsi="Verdana" w:cs="Arial"/>
        </w:rPr>
        <w:t>E</w:t>
      </w:r>
      <w:r w:rsidRPr="00C57EBE">
        <w:rPr>
          <w:rFonts w:ascii="Verdana" w:eastAsia="Calibri" w:hAnsi="Verdana" w:cs="Arial"/>
        </w:rPr>
        <w:t>n este contexto, el patrimonio autónomo se configura como un mecanismo destinado a garantizar la adecuada administración, control y seguimiento de los recursos entregados a título de anticipo, asegurando que estos sean utilizados exclusivamente para la ejecución del objeto contractual. Asimismo, esta figura constituye una herramienta de protección de los recursos públicos, en la medida en que permite su re</w:t>
      </w:r>
      <w:r>
        <w:rPr>
          <w:rFonts w:ascii="Verdana" w:eastAsia="Calibri" w:hAnsi="Verdana" w:cs="Arial"/>
        </w:rPr>
        <w:t>integro</w:t>
      </w:r>
      <w:r w:rsidRPr="00C57EBE">
        <w:rPr>
          <w:rFonts w:ascii="Verdana" w:eastAsia="Calibri" w:hAnsi="Verdana" w:cs="Arial"/>
        </w:rPr>
        <w:t xml:space="preserve"> a la entidad estatal cuando se presentan circunstancias que impiden la continuidad o validez del contrato. En ese sentido, la Guía señala que “cuando la Entidad Estatal declara la caducidad, el incumplimiento o la terminación del contrato estatal, o cuando se presenta la nulidad del contrato estatal, la sociedad fiduciaria debe reintegrar los recursos del anticipo a la Entidad Estatal”. </w:t>
      </w:r>
    </w:p>
    <w:p w14:paraId="5CDEE098" w14:textId="77777777" w:rsidR="00546928" w:rsidRPr="0039470C" w:rsidRDefault="00546928" w:rsidP="00546928">
      <w:pPr>
        <w:spacing w:after="120" w:line="276" w:lineRule="auto"/>
        <w:ind w:firstLine="709"/>
        <w:jc w:val="both"/>
        <w:rPr>
          <w:rFonts w:ascii="Verdana" w:eastAsia="Calibri" w:hAnsi="Verdana" w:cs="Arial"/>
        </w:rPr>
      </w:pPr>
      <w:r>
        <w:rPr>
          <w:rFonts w:ascii="Verdana" w:eastAsia="Calibri" w:hAnsi="Verdana" w:cs="Arial"/>
        </w:rPr>
        <w:t xml:space="preserve">Otra </w:t>
      </w:r>
      <w:r w:rsidRPr="002E3FFE">
        <w:rPr>
          <w:rFonts w:ascii="Verdana" w:eastAsia="Calibri" w:hAnsi="Verdana" w:cs="Arial"/>
        </w:rPr>
        <w:t xml:space="preserve">de las herramientas con las que cuenta la entidad contratante para ejercer control sobre el uso del anticipo es la inclusión, dentro de las </w:t>
      </w:r>
      <w:r w:rsidRPr="002E3FFE">
        <w:rPr>
          <w:rFonts w:ascii="Verdana" w:eastAsia="Calibri" w:hAnsi="Verdana" w:cs="Arial"/>
        </w:rPr>
        <w:lastRenderedPageBreak/>
        <w:t>estipulaciones contractuales, de la obligación a cargo del contratista de presentar planes de inversión de los recursos entregados. Esta medida preventiva permite a la entidad realizar un seguimiento más riguroso del destino y ejecución del anticipo, y facilita la adopción de acciones correctivas cuando se evidencien desviaciones respecto de lo previsto en dicho plan.</w:t>
      </w:r>
    </w:p>
    <w:p w14:paraId="6D5B15CF" w14:textId="77777777" w:rsidR="00546928" w:rsidRDefault="00546928" w:rsidP="00546928">
      <w:pPr>
        <w:spacing w:after="120" w:line="276" w:lineRule="auto"/>
        <w:ind w:firstLine="709"/>
        <w:jc w:val="both"/>
        <w:rPr>
          <w:rFonts w:ascii="Verdana" w:eastAsia="Calibri" w:hAnsi="Verdana" w:cs="Arial"/>
          <w:lang w:val="es-ES"/>
        </w:rPr>
      </w:pPr>
      <w:r>
        <w:rPr>
          <w:rFonts w:ascii="Verdana" w:eastAsia="Calibri" w:hAnsi="Verdana" w:cs="Arial"/>
        </w:rPr>
        <w:t>L</w:t>
      </w:r>
      <w:r w:rsidRPr="2168E165">
        <w:rPr>
          <w:rFonts w:ascii="Verdana" w:eastAsia="Calibri" w:hAnsi="Verdana" w:cs="Arial"/>
        </w:rPr>
        <w:t>a exigencia del plan de inversión del anticipo no constituye una obligación legal expresa</w:t>
      </w:r>
      <w:r>
        <w:rPr>
          <w:rFonts w:ascii="Verdana" w:eastAsia="Calibri" w:hAnsi="Verdana" w:cs="Arial"/>
        </w:rPr>
        <w:t xml:space="preserve">, </w:t>
      </w:r>
      <w:r w:rsidRPr="2168E165">
        <w:rPr>
          <w:rFonts w:ascii="Verdana" w:eastAsia="Calibri" w:hAnsi="Verdana" w:cs="Arial"/>
        </w:rPr>
        <w:t>sino que su</w:t>
      </w:r>
      <w:r>
        <w:rPr>
          <w:rFonts w:ascii="Verdana" w:eastAsia="Calibri" w:hAnsi="Verdana" w:cs="Arial"/>
        </w:rPr>
        <w:t xml:space="preserve"> inclusión</w:t>
      </w:r>
      <w:r w:rsidRPr="2168E165">
        <w:rPr>
          <w:rFonts w:ascii="Verdana" w:eastAsia="Calibri" w:hAnsi="Verdana" w:cs="Arial"/>
        </w:rPr>
        <w:t xml:space="preserve"> suele ser promovida por la supervisión o interventoría del contrato como una medida de control adicional</w:t>
      </w:r>
      <w:r>
        <w:rPr>
          <w:rFonts w:ascii="Verdana" w:eastAsia="Calibri" w:hAnsi="Verdana" w:cs="Arial"/>
        </w:rPr>
        <w:t xml:space="preserve"> contenida en el contrato</w:t>
      </w:r>
      <w:r w:rsidRPr="2168E165">
        <w:rPr>
          <w:rFonts w:ascii="Verdana" w:eastAsia="Calibri" w:hAnsi="Verdana" w:cs="Arial"/>
        </w:rPr>
        <w:t>. No obstante, cuando dicha exigencia no ha sido incorporada de manera expresa en el clausulado contractual, se considera que la entidad estaría limitada frente a la posibilidad de adelantar una eventual declaratoria de incumplimiento o de imponer medidas sancionatorias derivadas del incumplimiento del plan, en tanto este no forma parte del alcance obligacional del contrato.</w:t>
      </w:r>
    </w:p>
    <w:p w14:paraId="40D0A985" w14:textId="1A25118D" w:rsidR="00546928" w:rsidRPr="008123F0" w:rsidRDefault="00546928" w:rsidP="008123F0">
      <w:pPr>
        <w:spacing w:after="120" w:line="276" w:lineRule="auto"/>
        <w:ind w:firstLine="709"/>
        <w:jc w:val="both"/>
        <w:rPr>
          <w:rFonts w:ascii="Verdana" w:eastAsia="Calibri" w:hAnsi="Verdana" w:cs="Arial"/>
        </w:rPr>
      </w:pPr>
      <w:r w:rsidRPr="2168E165">
        <w:rPr>
          <w:rFonts w:ascii="Verdana" w:eastAsia="Calibri" w:hAnsi="Verdana" w:cs="Arial"/>
        </w:rPr>
        <w:t>Por ello, resulta jurídicamente recomendable que la obligación de presentar el plan de inversión del anticipo se incorpore expresamente en el contrato y se establezca su carácter vinculante, precisando que el plan hará parte integral del mismo. De esta manera, ante un eventual incumplimiento de lo estipulado en dicho plan, se configuraría una infracción contractual susceptible de ser tramitada conforme al procedimiento previsto en el artículo 86 de la Ley 1474 de 2011, habilitando la imposición de medidas como la aplicación de multas, la declaratoria de incumplimiento, la efectividad de la cláusula penal pecuniaria y la ejecución de las garantías contractuales, todo ello como parte del régimen sancionatorio que busca salvaguardar los recursos públicos y los fines de la contratación estatal.</w:t>
      </w:r>
    </w:p>
    <w:p w14:paraId="08991F4C" w14:textId="242EA22D" w:rsidR="002747D9" w:rsidRDefault="00EA255A" w:rsidP="00EA255A">
      <w:pPr>
        <w:spacing w:after="120" w:line="276" w:lineRule="auto"/>
        <w:jc w:val="both"/>
        <w:rPr>
          <w:rFonts w:ascii="Verdana" w:eastAsia="Verdana" w:hAnsi="Verdana" w:cs="Verdana"/>
        </w:rPr>
      </w:pPr>
      <w:r>
        <w:rPr>
          <w:rFonts w:ascii="Verdana" w:eastAsia="Verdana" w:hAnsi="Verdana" w:cs="Verdana"/>
        </w:rPr>
        <w:t xml:space="preserve">        </w:t>
      </w:r>
      <w:r w:rsidRPr="00546928">
        <w:rPr>
          <w:rFonts w:ascii="Verdana" w:eastAsia="Verdana" w:hAnsi="Verdana" w:cs="Verdana"/>
        </w:rPr>
        <w:t>Así las cosas, en atención al segundo problema jurídico planteado</w:t>
      </w:r>
      <w:r w:rsidR="002747D9" w:rsidRPr="008123F0">
        <w:rPr>
          <w:rFonts w:ascii="Verdana" w:eastAsia="Verdana" w:hAnsi="Verdana" w:cs="Verdana"/>
        </w:rPr>
        <w:t>,</w:t>
      </w:r>
      <w:r w:rsidRPr="00546928">
        <w:rPr>
          <w:rFonts w:ascii="Verdana" w:eastAsia="Verdana" w:hAnsi="Verdana" w:cs="Verdana"/>
        </w:rPr>
        <w:t xml:space="preserve"> el anticipo constituye un mecanismo de financiación de la ejecución contractual y, por tanto, se encuentra sometido a una destinación específica. Su entrega no equivale al pago definitivo de las prestaciones ni convierte automáticamente los recursos en sumas de libre disposición del contratista</w:t>
      </w:r>
      <w:r w:rsidR="004D0B68">
        <w:rPr>
          <w:rFonts w:ascii="Verdana" w:eastAsia="Verdana" w:hAnsi="Verdana" w:cs="Verdana"/>
        </w:rPr>
        <w:t>, en la medida que los recursos entregados a título de anticipo conservan la naturaleza pública</w:t>
      </w:r>
      <w:r w:rsidRPr="00546928">
        <w:rPr>
          <w:rFonts w:ascii="Verdana" w:eastAsia="Verdana" w:hAnsi="Verdana" w:cs="Verdana"/>
        </w:rPr>
        <w:t>. En esa medida, los recursos</w:t>
      </w:r>
      <w:r w:rsidRPr="004D0B68">
        <w:rPr>
          <w:rFonts w:ascii="Verdana" w:eastAsia="Verdana" w:hAnsi="Verdana" w:cs="Verdana"/>
        </w:rPr>
        <w:t xml:space="preserve"> que no hayan sido debidamente amortizados deben continuar sujetos al régimen legal, contractual y fiduciario que regula su utilización.</w:t>
      </w:r>
    </w:p>
    <w:p w14:paraId="0B428CE7" w14:textId="6BD940D5" w:rsidR="00EA255A" w:rsidRPr="007A395F" w:rsidRDefault="00EA255A" w:rsidP="008123F0">
      <w:pPr>
        <w:spacing w:after="120" w:line="276" w:lineRule="auto"/>
        <w:ind w:firstLine="708"/>
        <w:jc w:val="both"/>
        <w:rPr>
          <w:rFonts w:ascii="Verdana" w:eastAsia="Verdana" w:hAnsi="Verdana" w:cs="Verdana"/>
        </w:rPr>
      </w:pPr>
      <w:r w:rsidRPr="007A395F">
        <w:rPr>
          <w:rFonts w:ascii="Verdana" w:eastAsia="Verdana" w:hAnsi="Verdana" w:cs="Verdana"/>
        </w:rPr>
        <w:t xml:space="preserve">Por otra parte, el vencimiento del plazo de ejecución delimita temporalmente la realización de las prestaciones contractuales en las </w:t>
      </w:r>
      <w:r w:rsidRPr="007A395F">
        <w:rPr>
          <w:rFonts w:ascii="Verdana" w:eastAsia="Verdana" w:hAnsi="Verdana" w:cs="Verdana"/>
        </w:rPr>
        <w:lastRenderedPageBreak/>
        <w:t>condiciones originalmente pactadas. Por ello, debe distinguirse entre la utilización de recursos para atender obligaciones válidamente adquiridas durante la ejecución y la reorientación de recursos para financiar actividades nuevas, ampliar las prestaciones o reanudar la ejecución contractual.</w:t>
      </w:r>
    </w:p>
    <w:p w14:paraId="1324277A" w14:textId="77777777" w:rsidR="00EA255A" w:rsidRPr="007A395F" w:rsidRDefault="00EA255A" w:rsidP="00EA255A">
      <w:pPr>
        <w:spacing w:after="120" w:line="276" w:lineRule="auto"/>
        <w:jc w:val="both"/>
        <w:rPr>
          <w:rFonts w:ascii="Verdana" w:eastAsia="Verdana" w:hAnsi="Verdana" w:cs="Verdana"/>
        </w:rPr>
      </w:pPr>
      <w:r>
        <w:rPr>
          <w:rFonts w:ascii="Verdana" w:eastAsia="Verdana" w:hAnsi="Verdana" w:cs="Verdana"/>
        </w:rPr>
        <w:t xml:space="preserve">        </w:t>
      </w:r>
      <w:r w:rsidRPr="007A395F">
        <w:rPr>
          <w:rFonts w:ascii="Verdana" w:eastAsia="Verdana" w:hAnsi="Verdana" w:cs="Verdana"/>
        </w:rPr>
        <w:t>En el primer supuesto, la procedencia del desembolso exige comprobar que la obligación se haya originado válidamente durante la ejecución, que corresponda al objeto contractual, que se encuentre debidamente soportada y que su pago sea compatible con el plan de inversión aprobado y con las condiciones del contrato fiduciario. También debe establecerse si se trata de una obligación a cargo del contratista frente a un tercero o de una obligación económica a cargo de la entidad, pues la disponibilidad de recursos del anticipo no determina, por sí sola, el procedimiento aplicable para reconocer y pagar cada obligación.</w:t>
      </w:r>
    </w:p>
    <w:p w14:paraId="6D0B3794" w14:textId="77777777" w:rsidR="00EA255A" w:rsidRPr="007A395F" w:rsidRDefault="00EA255A" w:rsidP="00EA255A">
      <w:pPr>
        <w:spacing w:after="120" w:line="276" w:lineRule="auto"/>
        <w:jc w:val="both"/>
        <w:rPr>
          <w:rFonts w:ascii="Verdana" w:eastAsia="Verdana" w:hAnsi="Verdana" w:cs="Verdana"/>
        </w:rPr>
      </w:pPr>
      <w:r>
        <w:rPr>
          <w:rFonts w:ascii="Verdana" w:eastAsia="Verdana" w:hAnsi="Verdana" w:cs="Verdana"/>
        </w:rPr>
        <w:t xml:space="preserve">       </w:t>
      </w:r>
      <w:r w:rsidRPr="007A395F">
        <w:rPr>
          <w:rFonts w:ascii="Verdana" w:eastAsia="Verdana" w:hAnsi="Verdana" w:cs="Verdana"/>
        </w:rPr>
        <w:t>En el segundo supuesto, si la reorientación hacia otro frente implica ejecutar actividades nuevas, ampliar cantidades de obra o modificar el alcance de las prestaciones pactadas, la existencia de saldos fiduciarios no constituye fundamento suficiente para autorizarla después del vencimiento del plazo. La unidad del contrato tampoco permite presumir que los recursos puedan trasladarse libremente entre frentes, pues ello depende del objeto contractual, de la distribución presupuestal, del plan de inversión y de las condiciones de administración fiduciaria.</w:t>
      </w:r>
    </w:p>
    <w:p w14:paraId="626014CF" w14:textId="7BF345AF" w:rsidR="00EA255A" w:rsidRDefault="00EA255A" w:rsidP="00F75D5A">
      <w:pPr>
        <w:spacing w:after="0" w:line="276" w:lineRule="auto"/>
        <w:jc w:val="both"/>
        <w:rPr>
          <w:rFonts w:ascii="Verdana" w:eastAsia="Verdana" w:hAnsi="Verdana" w:cs="Verdana"/>
        </w:rPr>
      </w:pPr>
      <w:r>
        <w:rPr>
          <w:rFonts w:ascii="Verdana" w:eastAsia="Verdana" w:hAnsi="Verdana" w:cs="Verdana"/>
        </w:rPr>
        <w:t xml:space="preserve">         </w:t>
      </w:r>
      <w:r w:rsidRPr="007A395F">
        <w:rPr>
          <w:rFonts w:ascii="Verdana" w:eastAsia="Verdana" w:hAnsi="Verdana" w:cs="Verdana"/>
        </w:rPr>
        <w:t>Por consiguiente, la destinación de saldos del anticipo al pago de obligaciones pendientes puede resultar procedente cuando estas se hayan adquirido válidamente durante la ejecución y se encuentren debidamente soportadas, siempre que el desembolso respete la finalidad legal del anticipo y las condiciones contractuales y fiduciarias aplicables. La reorientación hacia otro frente, en cambio, requiere verificar que no comporte una modificación extemporánea ni la financiación de prestaciones nuevas, y no puede justificarse exclusivamente en que ambos frentes forman parte de un mismo contrato.</w:t>
      </w:r>
    </w:p>
    <w:p w14:paraId="3EC5363F" w14:textId="77777777" w:rsidR="00F75D5A" w:rsidRPr="007A395F" w:rsidRDefault="00F75D5A" w:rsidP="008123F0">
      <w:pPr>
        <w:spacing w:after="0" w:line="276" w:lineRule="auto"/>
        <w:jc w:val="both"/>
        <w:rPr>
          <w:rFonts w:ascii="Verdana" w:eastAsia="Verdana" w:hAnsi="Verdana" w:cs="Verdana"/>
        </w:rPr>
      </w:pPr>
    </w:p>
    <w:p w14:paraId="1B0B46B5" w14:textId="2C105005" w:rsidR="00EA255A" w:rsidRPr="00E51636" w:rsidRDefault="00EA255A" w:rsidP="00EA255A">
      <w:pPr>
        <w:pStyle w:val="NormalWeb"/>
        <w:shd w:val="clear" w:color="auto" w:fill="FFFFFF"/>
        <w:spacing w:before="0" w:beforeAutospacing="0" w:after="120" w:afterAutospacing="0" w:line="276" w:lineRule="auto"/>
        <w:jc w:val="both"/>
        <w:rPr>
          <w:rFonts w:ascii="Verdana" w:hAnsi="Verdana" w:cs="Arial"/>
          <w:sz w:val="22"/>
          <w:szCs w:val="22"/>
          <w:lang w:eastAsia="es-ES_tradnl"/>
        </w:rPr>
      </w:pPr>
      <w:proofErr w:type="spellStart"/>
      <w:r w:rsidRPr="008123F0">
        <w:rPr>
          <w:rFonts w:ascii="Verdana" w:eastAsia="Verdana" w:hAnsi="Verdana" w:cs="Verdana"/>
          <w:b/>
          <w:bCs/>
          <w:sz w:val="22"/>
          <w:szCs w:val="22"/>
        </w:rPr>
        <w:t>iii</w:t>
      </w:r>
      <w:proofErr w:type="spellEnd"/>
      <w:r w:rsidRPr="008123F0">
        <w:rPr>
          <w:rFonts w:ascii="Verdana" w:eastAsia="Verdana" w:hAnsi="Verdana" w:cs="Verdana"/>
          <w:b/>
          <w:bCs/>
          <w:sz w:val="22"/>
          <w:szCs w:val="22"/>
        </w:rPr>
        <w:t>)</w:t>
      </w:r>
      <w:r>
        <w:rPr>
          <w:rFonts w:ascii="Verdana" w:eastAsia="Verdana" w:hAnsi="Verdana" w:cs="Verdana"/>
        </w:rPr>
        <w:t xml:space="preserve"> </w:t>
      </w:r>
      <w:r w:rsidRPr="00E51636">
        <w:rPr>
          <w:rFonts w:ascii="Verdana" w:hAnsi="Verdana" w:cs="Arial"/>
          <w:sz w:val="22"/>
          <w:szCs w:val="22"/>
          <w:lang w:eastAsia="es-ES_tradnl"/>
        </w:rPr>
        <w:t xml:space="preserve">La Ley 80 de 1993 marcó un hito en la solución de controversias surgidas de la celebración, ejecución o liquidación del contrato estatal. A lo largo de su articulado, pretendió dotar al sistema de compra pública con las herramientas e instrumentos necesarios y suficientes para garantizar un escenario que permitiera una pronta, célere y eficiente solución de controversias. En esta </w:t>
      </w:r>
      <w:r w:rsidRPr="00E51636">
        <w:rPr>
          <w:rFonts w:ascii="Verdana" w:hAnsi="Verdana" w:cs="Arial"/>
          <w:sz w:val="22"/>
          <w:szCs w:val="22"/>
          <w:lang w:eastAsia="es-ES_tradnl"/>
        </w:rPr>
        <w:lastRenderedPageBreak/>
        <w:t>medida, brindó espacios, oportunidades y alternativas diferentes a las tradicionales fórmulas jurisdiccionales o contenciosas.</w:t>
      </w:r>
    </w:p>
    <w:p w14:paraId="1AA44AC0" w14:textId="77777777" w:rsidR="00EA255A" w:rsidRPr="00C829ED" w:rsidRDefault="00EA255A" w:rsidP="00EA255A">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Lo anterior con fundamento en las tesis modernas que buscan descongestionar los despachos judiciales de todas aquellas materias respecto de los cuales las propias partes pueden arreglar directamente sus diferencias o sus conflictos. Por ello, como efecto trascendental del postulado de la autonomía de la voluntad, el cual caracteriza al contrato estatal</w:t>
      </w:r>
      <w:r w:rsidRPr="00E51636">
        <w:rPr>
          <w:rFonts w:ascii="Verdana" w:eastAsia="Times New Roman" w:hAnsi="Verdana" w:cs="Arial"/>
          <w:vertAlign w:val="superscript"/>
          <w:lang w:eastAsia="es-ES_tradnl"/>
        </w:rPr>
        <w:footnoteReference w:id="21"/>
      </w:r>
      <w:r w:rsidRPr="00C829ED">
        <w:rPr>
          <w:rFonts w:ascii="Verdana" w:eastAsia="Times New Roman" w:hAnsi="Verdana" w:cs="Arial"/>
          <w:lang w:eastAsia="es-ES_tradnl"/>
        </w:rPr>
        <w:t>, el EGCAP consagró una serie de mecanismos ágiles, sencillos, claros que se orientan a que las partes contratantes solucionen directamente tanto los problemas como las diferencias y discrepancias surgidas de la actividad contractual, evitando, en lo posible, las vías judiciales</w:t>
      </w:r>
      <w:r w:rsidRPr="00E51636">
        <w:rPr>
          <w:rFonts w:ascii="Verdana" w:eastAsia="Calibri" w:hAnsi="Verdana" w:cs="Arial"/>
          <w:vertAlign w:val="superscript"/>
          <w:lang w:eastAsia="es-CO"/>
        </w:rPr>
        <w:footnoteReference w:id="22"/>
      </w:r>
      <w:r w:rsidRPr="00C829ED">
        <w:rPr>
          <w:rFonts w:ascii="Verdana" w:eastAsia="Calibri" w:hAnsi="Verdana" w:cs="Arial"/>
          <w:lang w:eastAsia="es-CO"/>
        </w:rPr>
        <w:t>.</w:t>
      </w:r>
      <w:r w:rsidRPr="00C829ED">
        <w:rPr>
          <w:rFonts w:ascii="Verdana" w:eastAsia="Times New Roman" w:hAnsi="Verdana" w:cs="Arial"/>
          <w:lang w:eastAsia="es-ES_tradnl"/>
        </w:rPr>
        <w:t xml:space="preserve"> Estos mecanismos están desarrollados en la Ley 80 de 1993 para la transparencia, la celeridad, la agilidad, los menores costos y la justicia contractual.</w:t>
      </w:r>
    </w:p>
    <w:p w14:paraId="2BD455AF" w14:textId="77777777" w:rsidR="00EA255A" w:rsidRPr="00C829ED" w:rsidRDefault="00EA255A" w:rsidP="00EA255A">
      <w:pPr>
        <w:shd w:val="clear" w:color="auto" w:fill="FFFFFF"/>
        <w:spacing w:after="120" w:line="276" w:lineRule="auto"/>
        <w:ind w:firstLine="708"/>
        <w:jc w:val="both"/>
        <w:rPr>
          <w:rFonts w:ascii="Verdana" w:eastAsia="Times New Roman" w:hAnsi="Verdana" w:cs="Arial"/>
          <w:lang w:eastAsia="es-ES_tradnl"/>
        </w:rPr>
      </w:pPr>
      <w:r w:rsidRPr="00C829ED">
        <w:rPr>
          <w:rFonts w:ascii="Verdana" w:eastAsia="Times New Roman" w:hAnsi="Verdana" w:cs="Arial"/>
          <w:lang w:eastAsia="es-ES_tradnl"/>
        </w:rPr>
        <w:t xml:space="preserve">Es así como el numeral 5 del artículo 25 de la Ley 80 de 1993, en desarrollo del principio de economía, establece que se deberán adoptar procedimientos que garanticen una pronta solución de las diferencias y controversias que se presenten con motivo de la celebración y ejecución del contrato estatal. Igualmente, el numeral 9 del artículo 4 </w:t>
      </w:r>
      <w:r w:rsidRPr="00C829ED">
        <w:rPr>
          <w:rFonts w:ascii="Verdana" w:eastAsia="Times New Roman" w:hAnsi="Verdana" w:cs="Arial"/>
          <w:i/>
          <w:iCs/>
          <w:lang w:eastAsia="es-ES_tradnl"/>
        </w:rPr>
        <w:t>ibidem</w:t>
      </w:r>
      <w:r w:rsidRPr="00C829ED">
        <w:rPr>
          <w:rFonts w:ascii="Verdana" w:eastAsia="Times New Roman" w:hAnsi="Verdana" w:cs="Arial"/>
          <w:lang w:eastAsia="es-ES_tradnl"/>
        </w:rPr>
        <w:t xml:space="preserve">, obliga a las entidades estatales a corregir los desajustes que pudieren presentarse y que afecten o generen mayor onerosidad al contratista y, la vez, permite el acuerdo de mecanismos y procedimientos pertinentes para precaver o solucionar rápida y eficazmente las diferencias o situaciones litigiosas. En similar sentido, el inciso primero del artículo 27 del EGCAP dispone que ante la afectación del equilibrio de la ecuación contractual por causas no imputables a quien resulte afectado por él, las partes adoptarán, en el menor tiempo posible, las medidas necesarias para su restablecimiento. De otro lado, si en la ejecución o desarrollo del contrato o a su terminación e incluso en la etapa de liquidación se presentan conflictos o divergencias, prioritariamente las partes son quienes pueden </w:t>
      </w:r>
      <w:r w:rsidRPr="00C829ED">
        <w:rPr>
          <w:rFonts w:ascii="Verdana" w:eastAsia="Times New Roman" w:hAnsi="Verdana" w:cs="Arial"/>
          <w:lang w:eastAsia="es-ES_tradnl"/>
        </w:rPr>
        <w:lastRenderedPageBreak/>
        <w:t>solucionarlos directamente a través de mecanismos contemplados en diferentes normas legales tales como la transacción</w:t>
      </w:r>
      <w:r w:rsidRPr="00E51636">
        <w:rPr>
          <w:rFonts w:ascii="Verdana" w:eastAsia="Times New Roman" w:hAnsi="Verdana" w:cs="Arial"/>
          <w:vertAlign w:val="superscript"/>
          <w:lang w:eastAsia="es-ES_tradnl"/>
        </w:rPr>
        <w:footnoteReference w:id="23"/>
      </w:r>
      <w:r w:rsidRPr="00C829ED">
        <w:rPr>
          <w:rFonts w:ascii="Verdana" w:eastAsia="Times New Roman" w:hAnsi="Verdana" w:cs="Arial"/>
          <w:lang w:eastAsia="es-ES_tradnl"/>
        </w:rPr>
        <w:t xml:space="preserve"> y la conciliación</w:t>
      </w:r>
      <w:r w:rsidRPr="00E51636">
        <w:rPr>
          <w:rFonts w:ascii="Verdana" w:eastAsia="Times New Roman" w:hAnsi="Verdana" w:cs="Arial"/>
          <w:vertAlign w:val="superscript"/>
          <w:lang w:eastAsia="es-ES_tradnl"/>
        </w:rPr>
        <w:footnoteReference w:id="24"/>
      </w:r>
      <w:r w:rsidRPr="00C829ED">
        <w:rPr>
          <w:rFonts w:ascii="Verdana" w:eastAsia="Times New Roman" w:hAnsi="Verdana" w:cs="Arial"/>
          <w:lang w:eastAsia="es-ES_tradnl"/>
        </w:rPr>
        <w:t>.</w:t>
      </w:r>
    </w:p>
    <w:p w14:paraId="0BE7DB51" w14:textId="77777777" w:rsidR="00EA255A" w:rsidRPr="00C829ED" w:rsidRDefault="00EA255A" w:rsidP="00EA255A">
      <w:pPr>
        <w:shd w:val="clear" w:color="auto" w:fill="FFFFFF"/>
        <w:spacing w:after="120" w:line="276" w:lineRule="auto"/>
        <w:ind w:firstLine="708"/>
        <w:jc w:val="both"/>
        <w:rPr>
          <w:rFonts w:ascii="Verdana" w:eastAsia="Times New Roman" w:hAnsi="Verdana" w:cs="Arial"/>
          <w:lang w:eastAsia="es-ES_tradnl"/>
        </w:rPr>
      </w:pPr>
      <w:r w:rsidRPr="00C829ED">
        <w:rPr>
          <w:rFonts w:ascii="Verdana" w:eastAsia="Times New Roman" w:hAnsi="Verdana" w:cs="Arial"/>
          <w:lang w:eastAsia="es-ES_tradnl"/>
        </w:rPr>
        <w:t xml:space="preserve">Las normas mencionadas del EGCAP a título de ejemplo y los citados mecanismos autocompositivos consagrados en la ley evidencian la intención del legislador de promover la solución de controversias directamente por las partes del contrato, sin necesidad de la intervención del aparato jurisdiccional. Esto implicaría no solo la optimización en el gasto de los recursos públicos derivada de la mayor agilidad y celeridad que caracteriza los mecanismos alternativos de solución de conflictos -MASC- sino una mayor descongestión del sistema judicial. </w:t>
      </w:r>
    </w:p>
    <w:p w14:paraId="58D56381" w14:textId="77777777" w:rsidR="00EA255A" w:rsidRPr="00C829ED" w:rsidRDefault="00EA255A" w:rsidP="00EA255A">
      <w:pPr>
        <w:shd w:val="clear" w:color="auto" w:fill="FFFFFF"/>
        <w:spacing w:after="120" w:line="276" w:lineRule="auto"/>
        <w:ind w:firstLine="708"/>
        <w:jc w:val="both"/>
        <w:rPr>
          <w:rFonts w:ascii="Verdana" w:eastAsia="Times New Roman" w:hAnsi="Verdana" w:cs="Arial"/>
          <w:lang w:eastAsia="es-ES_tradnl"/>
        </w:rPr>
      </w:pPr>
      <w:r w:rsidRPr="00C829ED">
        <w:rPr>
          <w:rFonts w:ascii="Verdana" w:eastAsia="Times New Roman" w:hAnsi="Verdana" w:cs="Arial"/>
          <w:lang w:eastAsia="es-ES_tradnl"/>
        </w:rPr>
        <w:t xml:space="preserve">De lo anterior surge la noción del principio de arreglo directo de controversias, conforme al cual, durante el desarrollo de todo el proceso contractual, esto es, en sus etapas preparativas, de ejecución y liquidación, los distintos partícipes –oferentes o contratantes, según el caso– deberán preferir, siempre que ello sea posible, las fórmulas e instrumentos que el ordenamiento jurídico ha dispuesto para que solucionen directamente sus discrepancias. El adjetivo </w:t>
      </w:r>
      <w:r>
        <w:rPr>
          <w:rFonts w:ascii="Verdana" w:eastAsia="Times New Roman" w:hAnsi="Verdana" w:cs="Arial"/>
          <w:lang w:eastAsia="es-ES_tradnl"/>
        </w:rPr>
        <w:t>“</w:t>
      </w:r>
      <w:r w:rsidRPr="00C829ED">
        <w:rPr>
          <w:rFonts w:ascii="Verdana" w:eastAsia="Times New Roman" w:hAnsi="Verdana" w:cs="Arial"/>
          <w:lang w:eastAsia="es-ES_tradnl"/>
        </w:rPr>
        <w:t>directo</w:t>
      </w:r>
      <w:r>
        <w:rPr>
          <w:rFonts w:ascii="Verdana" w:eastAsia="Times New Roman" w:hAnsi="Verdana" w:cs="Arial"/>
          <w:lang w:eastAsia="es-ES_tradnl"/>
        </w:rPr>
        <w:t>” atribuible al arreglo, se refiere</w:t>
      </w:r>
      <w:r w:rsidRPr="00C829ED">
        <w:rPr>
          <w:rFonts w:ascii="Verdana" w:eastAsia="Times New Roman" w:hAnsi="Verdana" w:cs="Arial"/>
          <w:lang w:eastAsia="es-ES_tradnl"/>
        </w:rPr>
        <w:t xml:space="preserve"> a que la controversia debería </w:t>
      </w:r>
      <w:r>
        <w:rPr>
          <w:rFonts w:ascii="Verdana" w:eastAsia="Times New Roman" w:hAnsi="Verdana" w:cs="Arial"/>
          <w:lang w:eastAsia="es-ES_tradnl"/>
        </w:rPr>
        <w:t xml:space="preserve">solucionarse </w:t>
      </w:r>
      <w:r w:rsidRPr="00C829ED">
        <w:rPr>
          <w:rFonts w:ascii="Verdana" w:eastAsia="Times New Roman" w:hAnsi="Verdana" w:cs="Arial"/>
          <w:lang w:eastAsia="es-ES_tradnl"/>
        </w:rPr>
        <w:t>entre las partes directamente involucradas o interesadas en la solución, o, dicho de otra manera, las que podrían resultar directa y principalmente afectadas por la solución lograda. Este principio</w:t>
      </w:r>
      <w:r w:rsidRPr="00E51636">
        <w:rPr>
          <w:rFonts w:ascii="Verdana" w:eastAsia="Times New Roman" w:hAnsi="Verdana" w:cs="Arial"/>
          <w:vertAlign w:val="superscript"/>
          <w:lang w:eastAsia="es-ES_tradnl"/>
        </w:rPr>
        <w:footnoteReference w:id="25"/>
      </w:r>
      <w:r w:rsidRPr="00C829ED">
        <w:rPr>
          <w:rFonts w:ascii="Verdana" w:eastAsia="Times New Roman" w:hAnsi="Verdana" w:cs="Arial"/>
          <w:lang w:eastAsia="es-ES_tradnl"/>
        </w:rPr>
        <w:t xml:space="preserve"> ha sido </w:t>
      </w:r>
      <w:r w:rsidRPr="00C829ED">
        <w:rPr>
          <w:rFonts w:ascii="Verdana" w:eastAsia="Times New Roman" w:hAnsi="Verdana" w:cs="Arial"/>
          <w:lang w:eastAsia="es-ES_tradnl"/>
        </w:rPr>
        <w:lastRenderedPageBreak/>
        <w:t xml:space="preserve">reconocido por la jurisprudencia de la Corte Constitucional en los siguientes términos: </w:t>
      </w:r>
    </w:p>
    <w:p w14:paraId="0D5724BB" w14:textId="77777777" w:rsidR="00EA255A" w:rsidRPr="00625848" w:rsidRDefault="00EA255A" w:rsidP="00EA255A">
      <w:pPr>
        <w:shd w:val="clear" w:color="auto" w:fill="FFFFFF"/>
        <w:spacing w:after="0" w:line="240" w:lineRule="auto"/>
        <w:ind w:left="709" w:right="709"/>
        <w:jc w:val="both"/>
        <w:rPr>
          <w:rFonts w:ascii="Verdana" w:eastAsia="Times New Roman" w:hAnsi="Verdana" w:cs="Arial"/>
          <w:sz w:val="20"/>
          <w:szCs w:val="20"/>
          <w:lang w:eastAsia="es-ES_tradnl"/>
        </w:rPr>
      </w:pPr>
      <w:r w:rsidRPr="00625848">
        <w:rPr>
          <w:rFonts w:ascii="Verdana" w:eastAsia="Times New Roman" w:hAnsi="Verdana" w:cs="Arial"/>
          <w:sz w:val="20"/>
          <w:szCs w:val="20"/>
          <w:lang w:eastAsia="es-ES_tradnl"/>
        </w:rPr>
        <w:t xml:space="preserve">“El principio de arreglo directo constituye uno de los pilares fundamentales bajo los cuales se edifica el Estatuto de la Contratación Estatal o Administrativa. Su propósito consiste en someter las controversias o divergencias que se presentan en la ejecución y desarrollo de la actividad contractual a la solución de manera rápida, inmediatez y directa de las partes. </w:t>
      </w:r>
    </w:p>
    <w:p w14:paraId="6328DDBE" w14:textId="77777777" w:rsidR="00EA255A" w:rsidRPr="00625848" w:rsidRDefault="00EA255A" w:rsidP="00EA255A">
      <w:pPr>
        <w:shd w:val="clear" w:color="auto" w:fill="FFFFFF"/>
        <w:spacing w:after="0" w:line="240" w:lineRule="auto"/>
        <w:ind w:left="709" w:right="709"/>
        <w:jc w:val="both"/>
        <w:rPr>
          <w:rFonts w:ascii="Verdana" w:eastAsia="Times New Roman" w:hAnsi="Verdana" w:cs="Arial"/>
          <w:sz w:val="20"/>
          <w:szCs w:val="20"/>
          <w:lang w:eastAsia="es-ES_tradnl"/>
        </w:rPr>
      </w:pPr>
    </w:p>
    <w:p w14:paraId="31CFAAA0" w14:textId="77777777" w:rsidR="00EA255A" w:rsidRPr="00625848" w:rsidRDefault="00EA255A" w:rsidP="00EA255A">
      <w:pPr>
        <w:spacing w:after="0" w:line="240" w:lineRule="auto"/>
        <w:ind w:left="709" w:right="709"/>
        <w:jc w:val="both"/>
        <w:rPr>
          <w:rFonts w:ascii="Verdana" w:eastAsia="Times New Roman" w:hAnsi="Verdana" w:cs="Arial"/>
          <w:sz w:val="20"/>
          <w:szCs w:val="20"/>
          <w:lang w:eastAsia="es-ES_tradnl"/>
        </w:rPr>
      </w:pPr>
      <w:r w:rsidRPr="00625848">
        <w:rPr>
          <w:rFonts w:ascii="Verdana" w:eastAsia="Times New Roman" w:hAnsi="Verdana" w:cs="Arial"/>
          <w:sz w:val="20"/>
          <w:szCs w:val="20"/>
          <w:lang w:eastAsia="es-ES_tradnl"/>
        </w:rPr>
        <w:t>[…] El estatuto […] relaciona el principio del arreglo directo con los principios de economía y de garantía del patrimonio económico de los contratistas. En relación con el primero de ellos, al reconocer que la adopción de mecanismos para consolidar la pronta solución de controversias, permite indirectamente velar por una recta y prudente administración de los recursos públicos y evitar el riesgo que envuelve una solución procesal, especialmente, como lo reconoce la doctrina, por las demoras que ella comporta y “por el peligro de la equivocación conceptual o de error en la valoración de la prueba”. Y frente al segundo, al disponer que uno de los mecanismos para preservar el equilibro de la ecuación económica financiera, es a través de la adopción de herramientas legales y contractuales que hagan efectivas las medidas necesarias para salvaguardar el restablecimiento de las partes, en el menor tiempo posible.</w:t>
      </w:r>
    </w:p>
    <w:p w14:paraId="06D1857C" w14:textId="77777777" w:rsidR="00EA255A" w:rsidRPr="00625848" w:rsidRDefault="00EA255A" w:rsidP="00EA255A">
      <w:pPr>
        <w:spacing w:after="0" w:line="240" w:lineRule="auto"/>
        <w:ind w:left="709" w:right="709"/>
        <w:jc w:val="both"/>
        <w:rPr>
          <w:rFonts w:ascii="Verdana" w:eastAsia="Times New Roman" w:hAnsi="Verdana" w:cs="Arial"/>
          <w:b/>
          <w:bCs/>
          <w:sz w:val="20"/>
          <w:szCs w:val="20"/>
          <w:lang w:eastAsia="es-ES_tradnl"/>
        </w:rPr>
      </w:pPr>
    </w:p>
    <w:p w14:paraId="2EFA92DB" w14:textId="77777777" w:rsidR="00EA255A" w:rsidRPr="00625848" w:rsidRDefault="00EA255A" w:rsidP="00EA255A">
      <w:pPr>
        <w:spacing w:after="0" w:line="240" w:lineRule="auto"/>
        <w:ind w:left="708" w:right="709"/>
        <w:jc w:val="both"/>
        <w:rPr>
          <w:rFonts w:ascii="Verdana" w:eastAsia="Times New Roman" w:hAnsi="Verdana" w:cs="Arial"/>
          <w:b/>
          <w:bCs/>
          <w:sz w:val="20"/>
          <w:szCs w:val="20"/>
          <w:lang w:eastAsia="es-ES_tradnl"/>
        </w:rPr>
      </w:pPr>
      <w:r w:rsidRPr="00625848">
        <w:rPr>
          <w:rFonts w:ascii="Verdana" w:eastAsia="Times New Roman" w:hAnsi="Verdana" w:cs="Arial"/>
          <w:sz w:val="20"/>
          <w:szCs w:val="20"/>
          <w:lang w:eastAsia="es-ES_tradnl"/>
        </w:rPr>
        <w:t>Así las cosas, la exigencia de acceder a una solución rápida y ágil de las controversias que se derivan de la ejecución de un contrato estatal, no corresponde a un simple deber social carente de un vínculo personal que lo haga exigible, pues en realidad se trata de un derecho de los contratistas como de una obligación de las entidades estatales destinado a perpetrar el logro de algunos de los fines reconocidos en la Constitución, entre ellos, se destacan, velar por la eficacia, celeridad, responsabilidad y economía en la prestación y suministro de los bienes y servicios que se le encomiendan a la administración público”</w:t>
      </w:r>
      <w:r w:rsidRPr="00625848">
        <w:rPr>
          <w:rFonts w:ascii="Verdana" w:eastAsia="Times New Roman" w:hAnsi="Verdana" w:cs="Arial"/>
          <w:sz w:val="20"/>
          <w:szCs w:val="20"/>
          <w:vertAlign w:val="superscript"/>
          <w:lang w:eastAsia="es-ES_tradnl"/>
        </w:rPr>
        <w:footnoteReference w:id="26"/>
      </w:r>
      <w:r>
        <w:rPr>
          <w:rFonts w:ascii="Verdana" w:eastAsia="Times New Roman" w:hAnsi="Verdana" w:cs="Arial"/>
          <w:sz w:val="20"/>
          <w:szCs w:val="20"/>
          <w:lang w:eastAsia="es-ES_tradnl"/>
        </w:rPr>
        <w:t>.</w:t>
      </w:r>
    </w:p>
    <w:p w14:paraId="5DE0A6DC" w14:textId="77777777" w:rsidR="00EA255A" w:rsidRPr="00C829ED" w:rsidRDefault="00EA255A" w:rsidP="00EA255A">
      <w:pPr>
        <w:shd w:val="clear" w:color="auto" w:fill="FFFFFF"/>
        <w:spacing w:after="0" w:line="276" w:lineRule="auto"/>
        <w:ind w:firstLine="708"/>
        <w:jc w:val="both"/>
        <w:rPr>
          <w:rFonts w:ascii="Verdana" w:eastAsia="Times New Roman" w:hAnsi="Verdana" w:cs="Arial"/>
          <w:lang w:eastAsia="es-ES_tradnl"/>
        </w:rPr>
      </w:pPr>
    </w:p>
    <w:p w14:paraId="0E6E34D2" w14:textId="77777777" w:rsidR="00EA255A" w:rsidRPr="00C829ED" w:rsidRDefault="00EA255A" w:rsidP="00EA255A">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 xml:space="preserve">En tal sentido, el arreglo directo de las controversias surgidas dentro del contexto de la contratación estatal, más que una simple opción para las entidades públicas y contratistas, resulta ser un deber que tanto aquellas como estos deben cumplir al momento de saldar sus diferencias. Así, dicho deber no se limita a la simple formalización de un procedimiento o al establecimiento de trámites vacuos que solo pretenden un arreglo en apariencia, sino que debe </w:t>
      </w:r>
      <w:r w:rsidRPr="00C829ED">
        <w:rPr>
          <w:rFonts w:ascii="Verdana" w:eastAsia="Times New Roman" w:hAnsi="Verdana" w:cs="Arial"/>
          <w:lang w:eastAsia="es-ES_tradnl"/>
        </w:rPr>
        <w:lastRenderedPageBreak/>
        <w:t xml:space="preserve">estar animado de una real intención de los participantes de solucionar directamente sus controversias y de precaver eventuales litigios. </w:t>
      </w:r>
    </w:p>
    <w:p w14:paraId="34ED092C" w14:textId="77777777" w:rsidR="00EA255A" w:rsidRPr="00C829ED" w:rsidRDefault="00EA255A" w:rsidP="00EA255A">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 xml:space="preserve">Lo anterior, empero, debe comprenderse en el sentido que el deber de las entidades públicas y contratistas se limita al intento real de solucionar sus controversias de manera directa, mas no a la solución efectiva. En otros términos, no es obligación de las entidades y contratistas el lograr un acuerdo o solución a sus divergencias, por cuanto este tipo de mecanismos están dotados de un importante sustrato voluntarista que permite que las partes involucradas, bien logren la solución pretendida o, por el contrario, decidan no hacerlo, siempre, eso sí, dejando a salvo la garantía de los principios que rigen la función administrativa y que limitan, por ende, el ejercicio de la autonomía de la voluntad. </w:t>
      </w:r>
    </w:p>
    <w:p w14:paraId="0485AF42" w14:textId="77777777" w:rsidR="00EA255A" w:rsidRPr="00C829ED" w:rsidRDefault="00EA255A" w:rsidP="00EA255A">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 xml:space="preserve">Ahora bien, debe recordarse que los Mecanismos Alternativos de Solución de Controversias no se limitan a formas de arreglo directo, pues existen fórmulas </w:t>
      </w:r>
      <w:proofErr w:type="spellStart"/>
      <w:r w:rsidRPr="00C829ED">
        <w:rPr>
          <w:rFonts w:ascii="Verdana" w:eastAsia="Times New Roman" w:hAnsi="Verdana" w:cs="Arial"/>
          <w:lang w:eastAsia="es-ES_tradnl"/>
        </w:rPr>
        <w:t>heterocompositivas</w:t>
      </w:r>
      <w:proofErr w:type="spellEnd"/>
      <w:r w:rsidRPr="00C829ED">
        <w:rPr>
          <w:rFonts w:ascii="Verdana" w:eastAsia="Times New Roman" w:hAnsi="Verdana" w:cs="Arial"/>
          <w:lang w:eastAsia="es-ES_tradnl"/>
        </w:rPr>
        <w:t xml:space="preserve">, también alternativas al proceso judicial, que implican la participación de terceros distintos a las partes directamente involucradas a los que se les dota de cierto poder decisorio, tal y como sucede, por ejemplo, con el proceso arbitral. </w:t>
      </w:r>
    </w:p>
    <w:p w14:paraId="17A13B64" w14:textId="77777777" w:rsidR="00EA255A" w:rsidRPr="00C829ED" w:rsidRDefault="00EA255A" w:rsidP="00EA255A">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 xml:space="preserve">Dentro de las modalidades que el ordenamiento normativo permite como fórmulas de arreglo directo controversias, se destacan, al arreglo directo </w:t>
      </w:r>
      <w:r>
        <w:rPr>
          <w:rFonts w:ascii="Verdana" w:eastAsia="Times New Roman" w:hAnsi="Verdana" w:cs="Arial"/>
          <w:lang w:eastAsia="es-ES_tradnl"/>
        </w:rPr>
        <w:t>“</w:t>
      </w:r>
      <w:r w:rsidRPr="00C829ED">
        <w:rPr>
          <w:rFonts w:ascii="Verdana" w:eastAsia="Times New Roman" w:hAnsi="Verdana" w:cs="Arial"/>
          <w:lang w:eastAsia="es-ES_tradnl"/>
        </w:rPr>
        <w:t>propiamente dicho</w:t>
      </w:r>
      <w:r>
        <w:rPr>
          <w:rFonts w:ascii="Verdana" w:eastAsia="Times New Roman" w:hAnsi="Verdana" w:cs="Arial"/>
          <w:lang w:eastAsia="es-ES_tradnl"/>
        </w:rPr>
        <w:t>”</w:t>
      </w:r>
      <w:r w:rsidRPr="00C829ED">
        <w:rPr>
          <w:rFonts w:ascii="Verdana" w:eastAsia="Times New Roman" w:hAnsi="Verdana" w:cs="Arial"/>
          <w:lang w:eastAsia="es-ES_tradnl"/>
        </w:rPr>
        <w:t xml:space="preserve">. Junto a estas, la conciliación extrajudicial y judicial también podría </w:t>
      </w:r>
      <w:r>
        <w:rPr>
          <w:rFonts w:ascii="Verdana" w:eastAsia="Times New Roman" w:hAnsi="Verdana" w:cs="Arial"/>
          <w:lang w:eastAsia="es-ES_tradnl"/>
        </w:rPr>
        <w:t xml:space="preserve">considerarse como formas </w:t>
      </w:r>
      <w:r w:rsidRPr="00C829ED">
        <w:rPr>
          <w:rFonts w:ascii="Verdana" w:eastAsia="Times New Roman" w:hAnsi="Verdana" w:cs="Arial"/>
          <w:lang w:eastAsia="es-ES_tradnl"/>
        </w:rPr>
        <w:t>aplicativa</w:t>
      </w:r>
      <w:r>
        <w:rPr>
          <w:rFonts w:ascii="Verdana" w:eastAsia="Times New Roman" w:hAnsi="Verdana" w:cs="Arial"/>
          <w:lang w:eastAsia="es-ES_tradnl"/>
        </w:rPr>
        <w:t>s</w:t>
      </w:r>
      <w:r w:rsidRPr="00C829ED">
        <w:rPr>
          <w:rFonts w:ascii="Verdana" w:eastAsia="Times New Roman" w:hAnsi="Verdana" w:cs="Arial"/>
          <w:lang w:eastAsia="es-ES_tradnl"/>
        </w:rPr>
        <w:t xml:space="preserve"> del principio de arreglo directo de controversias, sin perjuicio que dentro de ella</w:t>
      </w:r>
      <w:r>
        <w:rPr>
          <w:rFonts w:ascii="Verdana" w:eastAsia="Times New Roman" w:hAnsi="Verdana" w:cs="Arial"/>
          <w:lang w:eastAsia="es-ES_tradnl"/>
        </w:rPr>
        <w:t>s</w:t>
      </w:r>
      <w:r w:rsidRPr="00C829ED">
        <w:rPr>
          <w:rFonts w:ascii="Verdana" w:eastAsia="Times New Roman" w:hAnsi="Verdana" w:cs="Arial"/>
          <w:lang w:eastAsia="es-ES_tradnl"/>
        </w:rPr>
        <w:t xml:space="preserve"> se haga necesaria la participación de un tercero neutral y distinto a las partes directamente interesadas, siendo a estas últimas a quienes corresponde la configuración y logro del eventual acuerdo</w:t>
      </w:r>
      <w:r w:rsidRPr="00E51636">
        <w:rPr>
          <w:rFonts w:ascii="Verdana" w:eastAsia="Times New Roman" w:hAnsi="Verdana" w:cs="Arial"/>
          <w:vertAlign w:val="superscript"/>
          <w:lang w:eastAsia="es-ES_tradnl"/>
        </w:rPr>
        <w:footnoteReference w:id="27"/>
      </w:r>
      <w:r w:rsidRPr="00C829ED">
        <w:rPr>
          <w:rFonts w:ascii="Verdana" w:eastAsia="Times New Roman" w:hAnsi="Verdana" w:cs="Arial"/>
          <w:lang w:eastAsia="es-ES_tradnl"/>
        </w:rPr>
        <w:t xml:space="preserve">. </w:t>
      </w:r>
    </w:p>
    <w:p w14:paraId="1F701896" w14:textId="77777777" w:rsidR="00EA255A" w:rsidRPr="00C829ED" w:rsidRDefault="00EA255A" w:rsidP="00EA255A">
      <w:pPr>
        <w:shd w:val="clear" w:color="auto" w:fill="FFFFFF"/>
        <w:spacing w:after="120" w:line="276" w:lineRule="auto"/>
        <w:ind w:firstLine="709"/>
        <w:jc w:val="both"/>
        <w:rPr>
          <w:rFonts w:ascii="Verdana" w:eastAsia="Times New Roman" w:hAnsi="Verdana" w:cs="Arial"/>
          <w:lang w:eastAsia="es-ES_tradnl"/>
        </w:rPr>
      </w:pPr>
      <w:r>
        <w:rPr>
          <w:rFonts w:ascii="Verdana" w:eastAsia="Times New Roman" w:hAnsi="Verdana" w:cs="Arial"/>
          <w:lang w:eastAsia="es-ES_tradnl"/>
        </w:rPr>
        <w:t>El</w:t>
      </w:r>
      <w:r w:rsidRPr="00C829ED">
        <w:rPr>
          <w:rFonts w:ascii="Verdana" w:eastAsia="Times New Roman" w:hAnsi="Verdana" w:cs="Arial"/>
          <w:lang w:eastAsia="es-ES_tradnl"/>
        </w:rPr>
        <w:t xml:space="preserve"> arreglo directo propiamente dicho, es una metodología para la solución de controversias que implica la participación de la entidad estatal y el contratista </w:t>
      </w:r>
      <w:r w:rsidRPr="00C829ED">
        <w:rPr>
          <w:rFonts w:ascii="Verdana" w:eastAsia="Times New Roman" w:hAnsi="Verdana" w:cs="Arial"/>
          <w:lang w:eastAsia="es-ES_tradnl"/>
        </w:rPr>
        <w:lastRenderedPageBreak/>
        <w:t xml:space="preserve">o contratistas directamente interesados en la resolución del conflicto. Lo anterior implicará, como mínimo, un espacio y tiempo suficiente para que entre unos y otros se logre el establecimiento del objeto de la controversia, así como la negociación de la misma. Ante la inexistencia de un procedimiento específico para llevar a cabo el arreglo directo, corresponderá a la entidad estatal, bien a través de sus manuales de contratación o por medio del clausulado del respectivo pliego de condiciones o documento equivalente o, inclusive, dentro del mismo contrato, determinar las pautas mínimas para que, ante el surgimiento de la controversia, las partes puedan arreglarlas directamente. Dicho procedimiento deberá, en todo caso, ser respetuoso de los principios del debido proceso, legalidad, eficacia, celeridad y los demás que rijan el actuar de las entidades públicas, así como atender a las normas generales del procedimiento administrativo establecidas en la Ley 1437 de 2011, siempre que ellas resulten aplicables de acuerdo con la naturaleza del arreglo directo. </w:t>
      </w:r>
    </w:p>
    <w:p w14:paraId="2A6C013E" w14:textId="77777777" w:rsidR="00EA255A" w:rsidRPr="00C829ED" w:rsidRDefault="00EA255A" w:rsidP="00EA255A">
      <w:pPr>
        <w:shd w:val="clear" w:color="auto" w:fill="FFFFFF"/>
        <w:spacing w:after="120" w:line="276" w:lineRule="auto"/>
        <w:ind w:firstLine="709"/>
        <w:jc w:val="both"/>
        <w:rPr>
          <w:rFonts w:ascii="Verdana" w:eastAsia="Times New Roman" w:hAnsi="Verdana" w:cs="Arial"/>
          <w:lang w:eastAsia="es-ES_tradnl"/>
        </w:rPr>
      </w:pPr>
      <w:r w:rsidRPr="00C829ED">
        <w:rPr>
          <w:rFonts w:ascii="Verdana" w:eastAsia="Times New Roman" w:hAnsi="Verdana" w:cs="Arial"/>
          <w:lang w:eastAsia="es-ES_tradnl"/>
        </w:rPr>
        <w:t>Es posible que luego de surtidas las etapas de negociación o conversaciones entre las partes interesadas surja un acuerdo que</w:t>
      </w:r>
      <w:r>
        <w:rPr>
          <w:rFonts w:ascii="Verdana" w:eastAsia="Times New Roman" w:hAnsi="Verdana" w:cs="Arial"/>
          <w:lang w:eastAsia="es-ES_tradnl"/>
        </w:rPr>
        <w:t xml:space="preserve"> ponga fin a la </w:t>
      </w:r>
      <w:r w:rsidRPr="00C829ED">
        <w:rPr>
          <w:rFonts w:ascii="Verdana" w:eastAsia="Times New Roman" w:hAnsi="Verdana" w:cs="Arial"/>
          <w:lang w:eastAsia="es-ES_tradnl"/>
        </w:rPr>
        <w:t>controversia, frente a lo cual aquellas podrán suscribir, de resultar necesario o exigible, los documentos en los que se incluyan las condiciones de tal acuerdo, que a su turno podrán constituirse en títulos ejecutivos exigibles, según cumplan o no con los req</w:t>
      </w:r>
      <w:r>
        <w:rPr>
          <w:rFonts w:ascii="Verdana" w:eastAsia="Times New Roman" w:hAnsi="Verdana" w:cs="Arial"/>
          <w:lang w:eastAsia="es-ES_tradnl"/>
        </w:rPr>
        <w:t xml:space="preserve">uisitos para su configuración. </w:t>
      </w:r>
      <w:r w:rsidRPr="00C829ED">
        <w:rPr>
          <w:rFonts w:ascii="Verdana" w:eastAsia="Times New Roman" w:hAnsi="Verdana" w:cs="Arial"/>
          <w:lang w:eastAsia="es-ES_tradnl"/>
        </w:rPr>
        <w:t xml:space="preserve">De la forma que acoja el acuerdo al que lleguen las partes, luego de haberse surtido el procedimiento de arreglo directo, podrá surgir la suscripción de un contrato de transacción, siempre que los elementos constitutivos de este último se entiendan cumplidos, para lo cual será necesario tener en cuenta lo que se explicará a continuación. </w:t>
      </w:r>
    </w:p>
    <w:p w14:paraId="0C787DB2" w14:textId="77777777" w:rsidR="00EA255A" w:rsidRPr="00C829ED" w:rsidRDefault="00EA255A" w:rsidP="00EA255A">
      <w:pPr>
        <w:shd w:val="clear" w:color="auto" w:fill="FFFFFF"/>
        <w:spacing w:after="120" w:line="276" w:lineRule="auto"/>
        <w:ind w:firstLine="708"/>
        <w:jc w:val="both"/>
        <w:rPr>
          <w:rFonts w:ascii="Verdana" w:eastAsia="Times New Roman" w:hAnsi="Verdana" w:cs="Arial"/>
          <w:lang w:eastAsia="es-ES_tradnl"/>
        </w:rPr>
      </w:pPr>
      <w:r w:rsidRPr="00C829ED">
        <w:rPr>
          <w:rFonts w:ascii="Verdana" w:eastAsia="Times New Roman" w:hAnsi="Verdana" w:cs="Arial"/>
          <w:lang w:eastAsia="es-ES_tradnl"/>
        </w:rPr>
        <w:t xml:space="preserve">En todo caso, nada obsta para que, cuando las partes así lo consideren, los acuerdos logrados puedan ser revisados o modificados por las mismas, siempre y cuando, se itera, esto no se erija en imposición de una de las partes hacia la otra, sino que sea el producto de una nueva negociación directa entre las mismas. Por lo demás, frente al contrato de transacción, como forma autocompositiva para la solución alternativa de conflictos contractuales, esta Agencia ha tenido la oportunidad de referirse a la </w:t>
      </w:r>
      <w:r>
        <w:rPr>
          <w:rFonts w:ascii="Verdana" w:eastAsia="Times New Roman" w:hAnsi="Verdana" w:cs="Arial"/>
          <w:lang w:eastAsia="es-ES_tradnl"/>
        </w:rPr>
        <w:t>misma en los Conceptos C- 494 del 17 de septiembre de 2021 y C- 142 del 2 de julio de 2024</w:t>
      </w:r>
      <w:r w:rsidRPr="00C829ED">
        <w:rPr>
          <w:rFonts w:ascii="Verdana" w:eastAsia="Times New Roman" w:hAnsi="Verdana" w:cs="Arial"/>
          <w:lang w:eastAsia="es-ES_tradnl"/>
        </w:rPr>
        <w:t xml:space="preserve">. </w:t>
      </w:r>
    </w:p>
    <w:p w14:paraId="057AC4CC" w14:textId="77777777" w:rsidR="00EA255A" w:rsidRDefault="00EA255A" w:rsidP="00EA255A">
      <w:pPr>
        <w:shd w:val="clear" w:color="auto" w:fill="FFFFFF"/>
        <w:spacing w:after="120" w:line="276" w:lineRule="auto"/>
        <w:ind w:firstLine="708"/>
        <w:jc w:val="both"/>
        <w:rPr>
          <w:rFonts w:ascii="Verdana" w:eastAsia="Times New Roman" w:hAnsi="Verdana" w:cs="Arial"/>
          <w:lang w:eastAsia="es-ES_tradnl"/>
        </w:rPr>
      </w:pPr>
      <w:r w:rsidRPr="00C829ED">
        <w:rPr>
          <w:rFonts w:ascii="Verdana" w:eastAsia="Times New Roman" w:hAnsi="Verdana" w:cs="Arial"/>
          <w:lang w:eastAsia="es-ES_tradnl"/>
        </w:rPr>
        <w:t xml:space="preserve">Por último, vale la pena aclarar que tanto el procedimiento de arreglo directo como la suscripción de los acuerdos que de él surjan, serán adelantados y celebrados por el o los funcionarios que resulten competentes dentro de la </w:t>
      </w:r>
      <w:r w:rsidRPr="00C829ED">
        <w:rPr>
          <w:rFonts w:ascii="Verdana" w:eastAsia="Times New Roman" w:hAnsi="Verdana" w:cs="Arial"/>
          <w:lang w:eastAsia="es-ES_tradnl"/>
        </w:rPr>
        <w:lastRenderedPageBreak/>
        <w:t>entidad pública involucrada, atendiendo a las reglas que</w:t>
      </w:r>
      <w:r>
        <w:rPr>
          <w:rFonts w:ascii="Verdana" w:eastAsia="Times New Roman" w:hAnsi="Verdana" w:cs="Arial"/>
          <w:lang w:eastAsia="es-ES_tradnl"/>
        </w:rPr>
        <w:t>,</w:t>
      </w:r>
      <w:r w:rsidRPr="00C829ED">
        <w:rPr>
          <w:rFonts w:ascii="Verdana" w:eastAsia="Times New Roman" w:hAnsi="Verdana" w:cs="Arial"/>
          <w:lang w:eastAsia="es-ES_tradnl"/>
        </w:rPr>
        <w:t xml:space="preserve"> sobre competencia y delegación y desconcentración de las mismas, trae el EGC</w:t>
      </w:r>
      <w:r>
        <w:rPr>
          <w:rFonts w:ascii="Verdana" w:eastAsia="Times New Roman" w:hAnsi="Verdana" w:cs="Arial"/>
          <w:lang w:eastAsia="es-ES_tradnl"/>
        </w:rPr>
        <w:t>A</w:t>
      </w:r>
      <w:r w:rsidRPr="00C829ED">
        <w:rPr>
          <w:rFonts w:ascii="Verdana" w:eastAsia="Times New Roman" w:hAnsi="Verdana" w:cs="Arial"/>
          <w:lang w:eastAsia="es-ES_tradnl"/>
        </w:rPr>
        <w:t xml:space="preserve">P. Ante esto, tales funcionarios se encuentran sometidos al régimen de inhabilidades, incompatibilidades y conflicto de intereses previsto en el ordenamiento normativo, según lo cual, cuando el interés general, propio de la función pública, entre en conflicto con </w:t>
      </w:r>
      <w:r>
        <w:rPr>
          <w:rFonts w:ascii="Verdana" w:eastAsia="Times New Roman" w:hAnsi="Verdana" w:cs="Arial"/>
          <w:lang w:eastAsia="es-ES_tradnl"/>
        </w:rPr>
        <w:t>el</w:t>
      </w:r>
      <w:r w:rsidRPr="00C829ED">
        <w:rPr>
          <w:rFonts w:ascii="Verdana" w:eastAsia="Times New Roman" w:hAnsi="Verdana" w:cs="Arial"/>
          <w:lang w:eastAsia="es-ES_tradnl"/>
        </w:rPr>
        <w:t xml:space="preserve"> interés particular y directo del servidor público, este deberá declararse impedido, así como atender a los impedimentos consagrados en la normativa especial del EGC</w:t>
      </w:r>
      <w:r>
        <w:rPr>
          <w:rFonts w:ascii="Verdana" w:eastAsia="Times New Roman" w:hAnsi="Verdana" w:cs="Arial"/>
          <w:lang w:eastAsia="es-ES_tradnl"/>
        </w:rPr>
        <w:t>A</w:t>
      </w:r>
      <w:r w:rsidRPr="00C829ED">
        <w:rPr>
          <w:rFonts w:ascii="Verdana" w:eastAsia="Times New Roman" w:hAnsi="Verdana" w:cs="Arial"/>
          <w:lang w:eastAsia="es-ES_tradnl"/>
        </w:rPr>
        <w:t>P , en la Ley 1474 de 2011 y en el artículo 11 de la Ley 1437 de 2011</w:t>
      </w:r>
      <w:r>
        <w:rPr>
          <w:rStyle w:val="Refdenotaalpie"/>
          <w:rFonts w:ascii="Verdana" w:eastAsia="Times New Roman" w:hAnsi="Verdana" w:cs="Arial"/>
          <w:lang w:eastAsia="es-ES_tradnl"/>
        </w:rPr>
        <w:footnoteReference w:id="28"/>
      </w:r>
      <w:r w:rsidRPr="00C829ED">
        <w:rPr>
          <w:rFonts w:ascii="Verdana" w:eastAsia="Times New Roman" w:hAnsi="Verdana" w:cs="Arial"/>
          <w:lang w:eastAsia="es-ES_tradnl"/>
        </w:rPr>
        <w:t>, aplicables por virtud de lo establecido en el inciso final del artículo 2 del Código de Procedimiento Administrativo y de lo Contencioso Administrativo</w:t>
      </w:r>
      <w:r w:rsidRPr="00E51636">
        <w:rPr>
          <w:rFonts w:ascii="Verdana" w:eastAsia="Times New Roman" w:hAnsi="Verdana" w:cs="Arial"/>
          <w:vertAlign w:val="superscript"/>
          <w:lang w:eastAsia="es-ES_tradnl"/>
        </w:rPr>
        <w:footnoteReference w:id="29"/>
      </w:r>
      <w:r w:rsidRPr="00C829ED">
        <w:rPr>
          <w:rFonts w:ascii="Verdana" w:eastAsia="Times New Roman" w:hAnsi="Verdana" w:cs="Arial"/>
          <w:lang w:eastAsia="es-ES_tradnl"/>
        </w:rPr>
        <w:t xml:space="preserve">. </w:t>
      </w:r>
    </w:p>
    <w:p w14:paraId="51DC8340" w14:textId="77777777" w:rsidR="00EA255A" w:rsidRPr="0019095F" w:rsidRDefault="00EA255A" w:rsidP="00EA255A">
      <w:pPr>
        <w:spacing w:after="120" w:line="276" w:lineRule="auto"/>
        <w:jc w:val="both"/>
        <w:rPr>
          <w:rFonts w:ascii="Verdana" w:eastAsia="Verdana" w:hAnsi="Verdana" w:cs="Verdana"/>
        </w:rPr>
      </w:pPr>
      <w:r>
        <w:rPr>
          <w:rFonts w:ascii="Verdana" w:eastAsia="Verdana" w:hAnsi="Verdana" w:cs="Verdana"/>
        </w:rPr>
        <w:lastRenderedPageBreak/>
        <w:t xml:space="preserve">         Así las cosas</w:t>
      </w:r>
      <w:r w:rsidRPr="0019095F">
        <w:rPr>
          <w:rFonts w:ascii="Verdana" w:eastAsia="Verdana" w:hAnsi="Verdana" w:cs="Verdana"/>
        </w:rPr>
        <w:t xml:space="preserve">, </w:t>
      </w:r>
      <w:r>
        <w:rPr>
          <w:rFonts w:ascii="Verdana" w:eastAsia="Verdana" w:hAnsi="Verdana" w:cs="Verdana"/>
        </w:rPr>
        <w:t xml:space="preserve">en atención al tercer problema jurídico planteado, </w:t>
      </w:r>
      <w:r w:rsidRPr="0019095F">
        <w:rPr>
          <w:rFonts w:ascii="Verdana" w:eastAsia="Verdana" w:hAnsi="Verdana" w:cs="Verdana"/>
        </w:rPr>
        <w:t>las partes pueden examinar las obligaciones pendientes de cada frente, verificar los soportes de los gastos, establecer las diferencias sobre la amortización del anticipo y acordar soluciones respecto de obligaciones jurídicamente existentes. Cuando se cumplan los requisitos legales, también podrán acudir a la transacción para terminar una controversia o prevenir un litigio eventual.</w:t>
      </w:r>
    </w:p>
    <w:p w14:paraId="13A4107C" w14:textId="77777777" w:rsidR="00EA255A" w:rsidRPr="0019095F" w:rsidRDefault="00EA255A" w:rsidP="00EA255A">
      <w:pPr>
        <w:spacing w:after="120" w:line="276" w:lineRule="auto"/>
        <w:jc w:val="both"/>
        <w:rPr>
          <w:rFonts w:ascii="Verdana" w:eastAsia="Verdana" w:hAnsi="Verdana" w:cs="Verdana"/>
        </w:rPr>
      </w:pPr>
      <w:r>
        <w:rPr>
          <w:rFonts w:ascii="Verdana" w:eastAsia="Verdana" w:hAnsi="Verdana" w:cs="Verdana"/>
        </w:rPr>
        <w:t xml:space="preserve">         </w:t>
      </w:r>
      <w:r w:rsidRPr="0019095F">
        <w:rPr>
          <w:rFonts w:ascii="Verdana" w:eastAsia="Verdana" w:hAnsi="Verdana" w:cs="Verdana"/>
        </w:rPr>
        <w:t>No obstante, la validez de estos acuerdos depende de su contenido material. Los mecanismos de solución de controversias no pueden emplearse para reconocer obligaciones carentes de fundamento, disponer irregularmente de recursos públicos, ampliar el objeto contractual, prorrogar retroactivamente el plazo vencido ni habilitar la ejecución de nuevas prestaciones por fuera del marco contractual. El acuerdo debe contar con la justificación técnica, jurídica y financiera correspondiente y ser celebrado por quienes tengan competencia para ello.</w:t>
      </w:r>
    </w:p>
    <w:p w14:paraId="18191D8C" w14:textId="77777777" w:rsidR="00EA255A" w:rsidRPr="0019095F" w:rsidRDefault="00EA255A" w:rsidP="00EA255A">
      <w:pPr>
        <w:spacing w:after="120" w:line="276" w:lineRule="auto"/>
        <w:jc w:val="both"/>
        <w:rPr>
          <w:rFonts w:ascii="Verdana" w:eastAsia="Verdana" w:hAnsi="Verdana" w:cs="Verdana"/>
        </w:rPr>
      </w:pPr>
      <w:r>
        <w:rPr>
          <w:rFonts w:ascii="Verdana" w:eastAsia="Verdana" w:hAnsi="Verdana" w:cs="Verdana"/>
        </w:rPr>
        <w:t xml:space="preserve">         </w:t>
      </w:r>
      <w:r w:rsidRPr="0019095F">
        <w:rPr>
          <w:rFonts w:ascii="Verdana" w:eastAsia="Verdana" w:hAnsi="Verdana" w:cs="Verdana"/>
        </w:rPr>
        <w:t>En consecuencia, las partes pueden acudir al arreglo directo o a la transacción después del vencimiento del plazo de ejecución para definir controversias, determinar saldos y acordar el cumplimiento de obligaciones válidamente adquiridas durante la ejecución, siempre que el acuerdo respete el ordenamiento jurídico y no produzca, directa o indirectamente, una modificación extemporánea del contrato o una reanudación de las prestaciones sin fundamento legal.</w:t>
      </w:r>
    </w:p>
    <w:p w14:paraId="168F35B1" w14:textId="77777777" w:rsidR="00EA255A" w:rsidRPr="00BA2580" w:rsidRDefault="00EA255A" w:rsidP="00EA255A">
      <w:pPr>
        <w:spacing w:after="120" w:line="276" w:lineRule="auto"/>
        <w:ind w:firstLine="708"/>
        <w:jc w:val="both"/>
        <w:rPr>
          <w:rFonts w:ascii="Verdana" w:eastAsia="Aptos" w:hAnsi="Verdana" w:cs="Times New Roman"/>
          <w:kern w:val="2"/>
          <w14:ligatures w14:val="standardContextual"/>
        </w:rPr>
      </w:pPr>
      <w:bookmarkStart w:id="2" w:name="_Hlk35876968"/>
      <w:bookmarkStart w:id="3" w:name="_Hlk98159514"/>
      <w:r w:rsidRPr="00BA2580">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F0B72C3" w14:textId="77777777" w:rsidR="00EA255A" w:rsidRDefault="00EA255A" w:rsidP="00EA255A">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BA2580">
        <w:rPr>
          <w:rFonts w:ascii="Verdana" w:eastAsia="Calibri" w:hAnsi="Verdana" w:cs="Arial"/>
          <w:bCs/>
          <w:color w:val="000000"/>
          <w:kern w:val="2"/>
          <w14:ligatures w14:val="standardContextual"/>
        </w:rPr>
        <w:lastRenderedPageBreak/>
        <w:t xml:space="preserve">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2"/>
    <w:bookmarkEnd w:id="3"/>
    <w:p w14:paraId="453E63CD" w14:textId="77777777" w:rsidR="00EA255A" w:rsidRPr="005D01B3" w:rsidRDefault="00EA255A" w:rsidP="005D01B3">
      <w:pPr>
        <w:spacing w:after="0" w:line="276" w:lineRule="auto"/>
        <w:ind w:firstLine="357"/>
        <w:jc w:val="both"/>
        <w:rPr>
          <w:rFonts w:ascii="Verdana" w:eastAsia="Verdana" w:hAnsi="Verdana" w:cs="Verdana"/>
          <w:lang w:val="es"/>
        </w:rPr>
      </w:pPr>
      <w:r w:rsidRPr="005D01B3">
        <w:rPr>
          <w:rFonts w:ascii="Verdana" w:hAnsi="Verdana"/>
        </w:rPr>
        <w:t xml:space="preserve">      </w:t>
      </w:r>
      <w:r w:rsidRPr="005D01B3">
        <w:rPr>
          <w:rFonts w:ascii="Verdana" w:eastAsia="Verdana" w:hAnsi="Verdana" w:cs="Verdana"/>
          <w:lang w:val="es"/>
        </w:rPr>
        <w:t xml:space="preserve"> </w:t>
      </w:r>
    </w:p>
    <w:p w14:paraId="05879BD3" w14:textId="77777777" w:rsidR="00EA255A" w:rsidRPr="0087249E" w:rsidRDefault="00EA255A" w:rsidP="008123F0">
      <w:pPr>
        <w:pStyle w:val="Prrafodelista"/>
        <w:numPr>
          <w:ilvl w:val="0"/>
          <w:numId w:val="16"/>
        </w:numPr>
        <w:spacing w:after="0" w:line="276" w:lineRule="auto"/>
        <w:ind w:left="1080" w:hanging="720"/>
        <w:contextualSpacing w:val="0"/>
        <w:jc w:val="both"/>
        <w:textAlignment w:val="baseline"/>
        <w:rPr>
          <w:rFonts w:ascii="Verdana" w:eastAsia="Verdana" w:hAnsi="Verdana" w:cs="Verdana"/>
          <w:b/>
          <w:bCs/>
          <w:lang w:val="es"/>
        </w:rPr>
      </w:pPr>
      <w:r w:rsidRPr="005D255A">
        <w:rPr>
          <w:rFonts w:ascii="Verdana" w:eastAsia="Verdana" w:hAnsi="Verdana" w:cs="Verdana"/>
          <w:b/>
          <w:bCs/>
          <w:lang w:val="es"/>
        </w:rPr>
        <w:t>Referencias normativas, jurisprudenciales y otras fuentes:</w:t>
      </w:r>
    </w:p>
    <w:p w14:paraId="3E7193CB" w14:textId="77777777" w:rsidR="00EA255A" w:rsidRPr="00425B86" w:rsidRDefault="00EA255A" w:rsidP="005D01B3">
      <w:pPr>
        <w:spacing w:after="0" w:line="276" w:lineRule="auto"/>
        <w:jc w:val="both"/>
        <w:textAlignment w:val="baseline"/>
        <w:rPr>
          <w:rFonts w:ascii="Verdana" w:eastAsia="Verdana" w:hAnsi="Verdana" w:cs="Verdana"/>
          <w:lang w:val="es"/>
        </w:rPr>
      </w:pPr>
      <w:r w:rsidRPr="00425B86">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EA255A" w:rsidRPr="005D01B3" w14:paraId="0540F31D" w14:textId="77777777" w:rsidTr="009C563A">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263F97AF" w14:textId="77777777" w:rsidR="00EA255A" w:rsidRPr="005D01B3" w:rsidRDefault="00EA255A" w:rsidP="008123F0">
            <w:pPr>
              <w:pStyle w:val="Prrafodelista"/>
              <w:widowControl w:val="0"/>
              <w:numPr>
                <w:ilvl w:val="0"/>
                <w:numId w:val="17"/>
              </w:numPr>
              <w:tabs>
                <w:tab w:val="left" w:pos="8419"/>
              </w:tabs>
              <w:autoSpaceDE w:val="0"/>
              <w:autoSpaceDN w:val="0"/>
              <w:spacing w:line="276" w:lineRule="auto"/>
              <w:contextualSpacing w:val="0"/>
              <w:jc w:val="both"/>
              <w:rPr>
                <w:rFonts w:ascii="Verdana" w:hAnsi="Verdana" w:cs="Arial"/>
              </w:rPr>
            </w:pPr>
            <w:r w:rsidRPr="00425B86">
              <w:rPr>
                <w:rFonts w:ascii="Verdana" w:hAnsi="Verdana" w:cs="Arial"/>
              </w:rPr>
              <w:t>Ley 80 de 1993, a</w:t>
            </w:r>
            <w:r w:rsidRPr="00546928">
              <w:rPr>
                <w:rFonts w:ascii="Verdana" w:hAnsi="Verdana" w:cs="Arial"/>
                <w:lang w:eastAsia="es-ES"/>
              </w:rPr>
              <w:t xml:space="preserve">rtículos 4 numeral 9, 14, 25 numeral 5, 27, </w:t>
            </w:r>
            <w:r w:rsidRPr="004D0B68">
              <w:rPr>
                <w:rFonts w:ascii="Verdana" w:hAnsi="Verdana" w:cs="Arial"/>
              </w:rPr>
              <w:t>artículo</w:t>
            </w:r>
            <w:r w:rsidRPr="00B17D00">
              <w:rPr>
                <w:rFonts w:ascii="Verdana" w:hAnsi="Verdana" w:cs="Arial"/>
              </w:rPr>
              <w:t>s</w:t>
            </w:r>
            <w:r w:rsidRPr="00C65549">
              <w:rPr>
                <w:rFonts w:ascii="Verdana" w:hAnsi="Verdana" w:cs="Arial"/>
              </w:rPr>
              <w:t xml:space="preserve"> </w:t>
            </w:r>
            <w:r w:rsidRPr="005D01B3">
              <w:rPr>
                <w:rFonts w:ascii="Verdana" w:hAnsi="Verdana" w:cs="Arial"/>
              </w:rPr>
              <w:t>32,40 y 60.</w:t>
            </w:r>
          </w:p>
          <w:p w14:paraId="70AACC3E" w14:textId="77777777" w:rsidR="00EA255A" w:rsidRPr="005D01B3" w:rsidRDefault="00EA255A" w:rsidP="008123F0">
            <w:pPr>
              <w:pStyle w:val="Prrafodelista"/>
              <w:widowControl w:val="0"/>
              <w:numPr>
                <w:ilvl w:val="0"/>
                <w:numId w:val="17"/>
              </w:numPr>
              <w:tabs>
                <w:tab w:val="left" w:pos="8419"/>
              </w:tabs>
              <w:autoSpaceDE w:val="0"/>
              <w:autoSpaceDN w:val="0"/>
              <w:spacing w:line="276" w:lineRule="auto"/>
              <w:contextualSpacing w:val="0"/>
              <w:jc w:val="both"/>
              <w:rPr>
                <w:rFonts w:ascii="Verdana" w:hAnsi="Verdana" w:cs="Arial"/>
              </w:rPr>
            </w:pPr>
            <w:r w:rsidRPr="005D01B3">
              <w:rPr>
                <w:rFonts w:ascii="Verdana" w:hAnsi="Verdana" w:cs="Arial"/>
              </w:rPr>
              <w:t xml:space="preserve">Ley 1150 de 2007, </w:t>
            </w:r>
            <w:r w:rsidRPr="005D01B3">
              <w:rPr>
                <w:rFonts w:ascii="Verdana" w:eastAsia="Calibri" w:hAnsi="Verdana" w:cs="Arial"/>
                <w:color w:val="000000" w:themeColor="text1"/>
              </w:rPr>
              <w:t>artículo 2, numeral 4, literal c), artículo 11.</w:t>
            </w:r>
          </w:p>
          <w:p w14:paraId="636A6527" w14:textId="77777777" w:rsidR="00EA255A" w:rsidRPr="005D01B3" w:rsidRDefault="00EA255A" w:rsidP="005D01B3">
            <w:pPr>
              <w:pStyle w:val="Prrafodelista"/>
              <w:numPr>
                <w:ilvl w:val="0"/>
                <w:numId w:val="17"/>
              </w:numPr>
              <w:spacing w:line="276" w:lineRule="auto"/>
              <w:contextualSpacing w:val="0"/>
              <w:jc w:val="both"/>
              <w:rPr>
                <w:rFonts w:ascii="Verdana" w:hAnsi="Verdana" w:cs="Arial"/>
                <w:color w:val="000000" w:themeColor="text1"/>
                <w:lang w:val="es-CO"/>
              </w:rPr>
            </w:pPr>
            <w:r w:rsidRPr="005D01B3">
              <w:rPr>
                <w:rFonts w:ascii="Verdana" w:hAnsi="Verdana" w:cs="Arial"/>
                <w:color w:val="000000" w:themeColor="text1"/>
                <w:lang w:val="es-CO"/>
              </w:rPr>
              <w:t>Ley 1474 de 2011, artículo 86 y 91.</w:t>
            </w:r>
          </w:p>
          <w:p w14:paraId="03B7621D" w14:textId="77777777" w:rsidR="00EA255A" w:rsidRPr="005D01B3" w:rsidRDefault="00EA255A" w:rsidP="008123F0">
            <w:pPr>
              <w:pStyle w:val="Prrafodelista"/>
              <w:numPr>
                <w:ilvl w:val="0"/>
                <w:numId w:val="17"/>
              </w:numPr>
              <w:spacing w:line="276" w:lineRule="auto"/>
              <w:contextualSpacing w:val="0"/>
              <w:jc w:val="both"/>
              <w:rPr>
                <w:rFonts w:ascii="Verdana" w:hAnsi="Verdana" w:cs="Arial"/>
                <w:lang w:eastAsia="es-ES"/>
              </w:rPr>
            </w:pPr>
            <w:r w:rsidRPr="005D01B3">
              <w:rPr>
                <w:rFonts w:ascii="Verdana" w:hAnsi="Verdana" w:cs="Arial"/>
                <w:lang w:eastAsia="es-ES"/>
              </w:rPr>
              <w:t xml:space="preserve">Ley 1437 de 2011. Artículo 52. </w:t>
            </w:r>
          </w:p>
          <w:p w14:paraId="2D3B96F4" w14:textId="77777777" w:rsidR="00EA255A" w:rsidRPr="005D01B3" w:rsidRDefault="00EA255A" w:rsidP="008123F0">
            <w:pPr>
              <w:pStyle w:val="Prrafodelista"/>
              <w:numPr>
                <w:ilvl w:val="0"/>
                <w:numId w:val="17"/>
              </w:numPr>
              <w:spacing w:line="276" w:lineRule="auto"/>
              <w:contextualSpacing w:val="0"/>
              <w:jc w:val="both"/>
              <w:rPr>
                <w:rFonts w:ascii="Verdana" w:hAnsi="Verdana" w:cs="Arial"/>
                <w:lang w:eastAsia="es-ES"/>
              </w:rPr>
            </w:pPr>
            <w:r w:rsidRPr="005D01B3">
              <w:rPr>
                <w:rFonts w:ascii="Verdana" w:hAnsi="Verdana" w:cs="Arial"/>
                <w:lang w:eastAsia="es-ES"/>
              </w:rPr>
              <w:t xml:space="preserve">Código Civil. Artículos 1501, 1613, 1625. </w:t>
            </w:r>
          </w:p>
          <w:p w14:paraId="621ACCC1" w14:textId="77777777" w:rsidR="00EA255A" w:rsidRPr="005D01B3" w:rsidRDefault="00EA255A" w:rsidP="008123F0">
            <w:pPr>
              <w:pStyle w:val="Prrafodelista"/>
              <w:widowControl w:val="0"/>
              <w:numPr>
                <w:ilvl w:val="0"/>
                <w:numId w:val="17"/>
              </w:numPr>
              <w:tabs>
                <w:tab w:val="left" w:pos="8419"/>
              </w:tabs>
              <w:autoSpaceDE w:val="0"/>
              <w:autoSpaceDN w:val="0"/>
              <w:spacing w:line="276" w:lineRule="auto"/>
              <w:contextualSpacing w:val="0"/>
              <w:jc w:val="both"/>
              <w:rPr>
                <w:rFonts w:ascii="Verdana" w:hAnsi="Verdana" w:cs="Times New Roman"/>
                <w:color w:val="000000"/>
              </w:rPr>
            </w:pPr>
            <w:r w:rsidRPr="005D01B3">
              <w:rPr>
                <w:rFonts w:ascii="Verdana" w:hAnsi="Verdana" w:cs="Times New Roman"/>
                <w:color w:val="000000" w:themeColor="text1"/>
              </w:rPr>
              <w:t>Decreto 1082 de 2015, artículo 2.2.1.1.1.3.1.; artículo 2.2.1.1.2.4.3.</w:t>
            </w:r>
          </w:p>
          <w:p w14:paraId="392DF835" w14:textId="77777777" w:rsidR="00EA255A" w:rsidRPr="005D01B3" w:rsidRDefault="00EA255A" w:rsidP="008123F0">
            <w:pPr>
              <w:pStyle w:val="Prrafodelista"/>
              <w:widowControl w:val="0"/>
              <w:numPr>
                <w:ilvl w:val="0"/>
                <w:numId w:val="17"/>
              </w:numPr>
              <w:tabs>
                <w:tab w:val="left" w:pos="8419"/>
              </w:tabs>
              <w:autoSpaceDE w:val="0"/>
              <w:autoSpaceDN w:val="0"/>
              <w:spacing w:line="276" w:lineRule="auto"/>
              <w:contextualSpacing w:val="0"/>
              <w:jc w:val="both"/>
              <w:rPr>
                <w:rFonts w:ascii="Verdana" w:hAnsi="Verdana" w:cs="Arial"/>
              </w:rPr>
            </w:pPr>
            <w:r w:rsidRPr="005D01B3">
              <w:rPr>
                <w:rFonts w:ascii="Verdana" w:hAnsi="Verdana" w:cs="Arial"/>
              </w:rPr>
              <w:t>Consejo de Estado. Sección Tercera. Subsección “C”. Radicado No. 05001-23-31-000-1998-00038-01. Número Interno 27.777. M.P. Enrique Gil Botero.</w:t>
            </w:r>
          </w:p>
          <w:p w14:paraId="3397D8E7" w14:textId="77777777" w:rsidR="00EA255A" w:rsidRPr="005D01B3" w:rsidRDefault="00EA255A" w:rsidP="008123F0">
            <w:pPr>
              <w:pStyle w:val="Prrafodelista"/>
              <w:widowControl w:val="0"/>
              <w:numPr>
                <w:ilvl w:val="0"/>
                <w:numId w:val="17"/>
              </w:numPr>
              <w:tabs>
                <w:tab w:val="left" w:pos="8419"/>
              </w:tabs>
              <w:autoSpaceDE w:val="0"/>
              <w:autoSpaceDN w:val="0"/>
              <w:spacing w:line="276" w:lineRule="auto"/>
              <w:contextualSpacing w:val="0"/>
              <w:jc w:val="both"/>
              <w:rPr>
                <w:rFonts w:ascii="Verdana" w:hAnsi="Verdana" w:cs="Arial"/>
              </w:rPr>
            </w:pPr>
            <w:r w:rsidRPr="005D01B3">
              <w:rPr>
                <w:rFonts w:ascii="Verdana" w:hAnsi="Verdana" w:cs="Arial"/>
              </w:rPr>
              <w:t xml:space="preserve">Consejo de Estado. Sala de Consulta y Servicio Civil. Concepto de 28 de </w:t>
            </w:r>
            <w:proofErr w:type="gramStart"/>
            <w:r w:rsidRPr="005D01B3">
              <w:rPr>
                <w:rFonts w:ascii="Verdana" w:hAnsi="Verdana" w:cs="Arial"/>
              </w:rPr>
              <w:t>Junio</w:t>
            </w:r>
            <w:proofErr w:type="gramEnd"/>
            <w:r w:rsidRPr="005D01B3">
              <w:rPr>
                <w:rFonts w:ascii="Verdana" w:hAnsi="Verdana" w:cs="Arial"/>
              </w:rPr>
              <w:t xml:space="preserve"> de 2016. Radicación: 2253. C.P. Álvaro Namén Vargas.</w:t>
            </w:r>
          </w:p>
          <w:p w14:paraId="6368F2FA" w14:textId="77777777" w:rsidR="00EA255A" w:rsidRPr="005D01B3" w:rsidRDefault="00EA255A" w:rsidP="008123F0">
            <w:pPr>
              <w:pStyle w:val="Prrafodelista"/>
              <w:widowControl w:val="0"/>
              <w:numPr>
                <w:ilvl w:val="0"/>
                <w:numId w:val="17"/>
              </w:numPr>
              <w:tabs>
                <w:tab w:val="left" w:pos="8419"/>
              </w:tabs>
              <w:autoSpaceDE w:val="0"/>
              <w:autoSpaceDN w:val="0"/>
              <w:spacing w:line="276" w:lineRule="auto"/>
              <w:contextualSpacing w:val="0"/>
              <w:jc w:val="both"/>
              <w:rPr>
                <w:rFonts w:ascii="Verdana" w:hAnsi="Verdana" w:cs="Arial"/>
              </w:rPr>
            </w:pPr>
            <w:r w:rsidRPr="005D01B3">
              <w:rPr>
                <w:rFonts w:ascii="Verdana" w:hAnsi="Verdana" w:cs="Arial"/>
              </w:rPr>
              <w:t>Consejo de Estado. Sección Tercera. Subsección “C”. Radicado No. 11001-03-26-000-2015-00165-00. Número interno 55.813. M.P. Jaime Orlando Santofimio Gamboa. Sentencia del 10 de octubre de 2016.</w:t>
            </w:r>
          </w:p>
          <w:p w14:paraId="4C3E5196" w14:textId="77777777" w:rsidR="00EA255A" w:rsidRPr="005D01B3" w:rsidRDefault="00EA255A" w:rsidP="008123F0">
            <w:pPr>
              <w:pStyle w:val="Prrafodelista"/>
              <w:widowControl w:val="0"/>
              <w:numPr>
                <w:ilvl w:val="0"/>
                <w:numId w:val="17"/>
              </w:numPr>
              <w:tabs>
                <w:tab w:val="left" w:pos="8419"/>
              </w:tabs>
              <w:autoSpaceDE w:val="0"/>
              <w:autoSpaceDN w:val="0"/>
              <w:spacing w:line="276" w:lineRule="auto"/>
              <w:contextualSpacing w:val="0"/>
              <w:jc w:val="both"/>
              <w:rPr>
                <w:rFonts w:ascii="Verdana" w:hAnsi="Verdana" w:cs="Arial"/>
              </w:rPr>
            </w:pPr>
            <w:r w:rsidRPr="005D01B3">
              <w:rPr>
                <w:rFonts w:ascii="Verdana" w:hAnsi="Verdana" w:cs="Arial"/>
              </w:rPr>
              <w:t xml:space="preserve">Consejo de Estado, Sala de Consulta y Servicio Civil. Concepto del 8 de marzo de 2017, radicado No. 2298, y con ponencia del </w:t>
            </w:r>
            <w:proofErr w:type="gramStart"/>
            <w:r w:rsidRPr="005D01B3">
              <w:rPr>
                <w:rFonts w:ascii="Verdana" w:hAnsi="Verdana" w:cs="Arial"/>
              </w:rPr>
              <w:t>Consejero</w:t>
            </w:r>
            <w:proofErr w:type="gramEnd"/>
            <w:r w:rsidRPr="005D01B3">
              <w:rPr>
                <w:rFonts w:ascii="Verdana" w:hAnsi="Verdana" w:cs="Arial"/>
              </w:rPr>
              <w:t xml:space="preserve"> Édgar González.</w:t>
            </w:r>
          </w:p>
          <w:p w14:paraId="0DCCCF7F" w14:textId="77777777" w:rsidR="00EA255A" w:rsidRPr="005D01B3" w:rsidRDefault="00EA255A" w:rsidP="008123F0">
            <w:pPr>
              <w:widowControl w:val="0"/>
              <w:numPr>
                <w:ilvl w:val="0"/>
                <w:numId w:val="17"/>
              </w:numPr>
              <w:autoSpaceDE w:val="0"/>
              <w:autoSpaceDN w:val="0"/>
              <w:spacing w:line="276" w:lineRule="auto"/>
              <w:jc w:val="both"/>
              <w:rPr>
                <w:rFonts w:ascii="Verdana" w:eastAsia="Verdana" w:hAnsi="Verdana" w:cs="Verdana"/>
                <w:lang w:val="es"/>
              </w:rPr>
            </w:pPr>
            <w:r w:rsidRPr="005D01B3">
              <w:rPr>
                <w:rFonts w:ascii="Verdana" w:eastAsia="Calibri" w:hAnsi="Verdana" w:cs="Arial"/>
                <w:lang w:eastAsia="es-ES" w:bidi="es-ES"/>
              </w:rPr>
              <w:t>CONSEJO DE ESTADO. Sala de Consulta y Servicio Civil. Concepto de 28 de junio de 2016. Radicación: 2253. C.P. Álvaro Namén Vargas.</w:t>
            </w:r>
          </w:p>
        </w:tc>
      </w:tr>
    </w:tbl>
    <w:p w14:paraId="27BB46F3" w14:textId="77777777" w:rsidR="00EA255A" w:rsidRPr="005D01B3" w:rsidRDefault="00EA255A" w:rsidP="005D01B3">
      <w:pPr>
        <w:spacing w:after="0" w:line="276" w:lineRule="auto"/>
        <w:jc w:val="both"/>
        <w:textAlignment w:val="baseline"/>
        <w:rPr>
          <w:rFonts w:ascii="Verdana" w:eastAsia="Verdana" w:hAnsi="Verdana" w:cs="Verdana"/>
          <w:lang w:val="es"/>
        </w:rPr>
      </w:pPr>
      <w:r w:rsidRPr="005D01B3">
        <w:rPr>
          <w:rFonts w:ascii="Verdana" w:eastAsia="Verdana" w:hAnsi="Verdana" w:cs="Verdana"/>
          <w:lang w:val="es"/>
        </w:rPr>
        <w:t xml:space="preserve"> </w:t>
      </w:r>
    </w:p>
    <w:p w14:paraId="569DA095" w14:textId="77777777" w:rsidR="00EA255A" w:rsidRPr="005D01B3" w:rsidRDefault="00EA255A" w:rsidP="008123F0">
      <w:pPr>
        <w:pStyle w:val="Prrafodelista"/>
        <w:numPr>
          <w:ilvl w:val="0"/>
          <w:numId w:val="16"/>
        </w:numPr>
        <w:spacing w:after="0" w:line="276" w:lineRule="auto"/>
        <w:contextualSpacing w:val="0"/>
        <w:jc w:val="both"/>
        <w:textAlignment w:val="baseline"/>
        <w:rPr>
          <w:rFonts w:ascii="Verdana" w:eastAsia="Verdana" w:hAnsi="Verdana" w:cs="Verdana"/>
          <w:b/>
          <w:bCs/>
          <w:lang w:val="es"/>
        </w:rPr>
      </w:pPr>
      <w:r w:rsidRPr="005D01B3">
        <w:rPr>
          <w:rFonts w:ascii="Verdana" w:eastAsia="Verdana" w:hAnsi="Verdana" w:cs="Verdana"/>
          <w:b/>
          <w:bCs/>
          <w:lang w:val="es"/>
        </w:rPr>
        <w:t>Doctrina de la Agencia Nacional de Contratación Pública:</w:t>
      </w:r>
    </w:p>
    <w:p w14:paraId="782658D4" w14:textId="77777777" w:rsidR="00EA255A" w:rsidRPr="00425B86" w:rsidRDefault="00EA255A" w:rsidP="008123F0">
      <w:pPr>
        <w:pStyle w:val="Prrafodelista"/>
        <w:spacing w:after="0" w:line="276" w:lineRule="auto"/>
        <w:contextualSpacing w:val="0"/>
        <w:jc w:val="both"/>
        <w:textAlignment w:val="baseline"/>
        <w:rPr>
          <w:rFonts w:ascii="Verdana" w:eastAsia="Verdana" w:hAnsi="Verdana" w:cs="Verdana"/>
          <w:b/>
          <w:bCs/>
          <w:lang w:val="es"/>
        </w:rPr>
      </w:pPr>
    </w:p>
    <w:p w14:paraId="722AC203" w14:textId="77777777" w:rsidR="00EA255A" w:rsidRPr="008123F0" w:rsidRDefault="00EA255A" w:rsidP="005D01B3">
      <w:pPr>
        <w:spacing w:after="0" w:line="276" w:lineRule="auto"/>
        <w:jc w:val="both"/>
        <w:rPr>
          <w:rStyle w:val="normaltextrun"/>
          <w:rFonts w:ascii="Verdana" w:hAnsi="Verdana"/>
          <w:color w:val="000000" w:themeColor="text1"/>
        </w:rPr>
      </w:pPr>
      <w:r w:rsidRPr="00425B86">
        <w:rPr>
          <w:rStyle w:val="normaltextrun"/>
          <w:rFonts w:ascii="Verdana" w:hAnsi="Verdana"/>
          <w:color w:val="000000" w:themeColor="text1"/>
        </w:rPr>
        <w:t>Además de los conceptos citados en el texto de la presente respuesta, esta Subdirección se ha pronunciado sobre la liquidación y garantías</w:t>
      </w:r>
      <w:r w:rsidRPr="00546928">
        <w:rPr>
          <w:rStyle w:val="normaltextrun"/>
          <w:rFonts w:ascii="Verdana" w:hAnsi="Verdana"/>
          <w:color w:val="000000" w:themeColor="text1"/>
        </w:rPr>
        <w:t xml:space="preserve"> </w:t>
      </w:r>
      <w:r w:rsidRPr="004D0B68">
        <w:rPr>
          <w:rStyle w:val="normaltextrun"/>
          <w:rFonts w:ascii="Verdana" w:hAnsi="Verdana"/>
          <w:color w:val="000000" w:themeColor="text1"/>
        </w:rPr>
        <w:t xml:space="preserve">de los contratos estatales </w:t>
      </w:r>
      <w:r w:rsidRPr="005D01B3">
        <w:rPr>
          <w:rStyle w:val="normaltextrun"/>
          <w:rFonts w:ascii="Verdana" w:hAnsi="Verdana"/>
          <w:color w:val="000000" w:themeColor="text1"/>
        </w:rPr>
        <w:t xml:space="preserve">en los conceptos 4201912000004908 del 27 de septiembre de 2019, CU-028 de 25 de febrero de 2020, C-221 de 21 de abril de 2020, C-078 del 17 </w:t>
      </w:r>
      <w:r w:rsidRPr="005D01B3">
        <w:rPr>
          <w:rStyle w:val="normaltextrun"/>
          <w:rFonts w:ascii="Verdana" w:hAnsi="Verdana"/>
          <w:color w:val="000000" w:themeColor="text1"/>
        </w:rPr>
        <w:lastRenderedPageBreak/>
        <w:t xml:space="preserve">de marzo de 2021, C-220 del 18 de mayo de 2021, C-444 del 23 de julio de 2021, C-747 del 8 de noviembre de 2022, C-739 de del 29 de noviembre de 2022, C- 176 de 3 de mayo de 2023, C-158 del 6 de junio de 2023, C-326 del 15 de agosto de 2024, C-568 del 18 de octubre de 2024,  C-708 del 21 de noviembre de 2024, C-510 del 4 de junio de 2025, C- 1243 del 4 de octubre de 2025, C-198 del 19 de marzo de 2026, </w:t>
      </w:r>
      <w:r w:rsidRPr="005D01B3">
        <w:rPr>
          <w:rFonts w:ascii="Verdana" w:eastAsia="Verdana" w:hAnsi="Verdana" w:cs="Verdana"/>
        </w:rPr>
        <w:t xml:space="preserve">C-1205 del 16 de septiembre de 2026 y C-1339 de 2026, </w:t>
      </w:r>
      <w:r w:rsidRPr="005D01B3">
        <w:rPr>
          <w:rStyle w:val="normaltextrun"/>
          <w:rFonts w:ascii="Verdana" w:hAnsi="Verdana"/>
          <w:color w:val="000000" w:themeColor="text1"/>
        </w:rPr>
        <w:t>entre otros.</w:t>
      </w:r>
    </w:p>
    <w:p w14:paraId="6D61D6D0" w14:textId="77777777" w:rsidR="00EA255A" w:rsidRPr="005D01B3" w:rsidRDefault="00EA255A" w:rsidP="00425B86">
      <w:pPr>
        <w:spacing w:after="0" w:line="276" w:lineRule="auto"/>
        <w:jc w:val="both"/>
        <w:rPr>
          <w:rStyle w:val="normaltextrun"/>
          <w:rFonts w:ascii="Verdana" w:hAnsi="Verdana"/>
          <w:color w:val="000000" w:themeColor="text1"/>
        </w:rPr>
      </w:pPr>
    </w:p>
    <w:p w14:paraId="5D7ACECA" w14:textId="77777777" w:rsidR="00EA255A" w:rsidRPr="005D01B3" w:rsidRDefault="00EA255A" w:rsidP="00425B86">
      <w:pPr>
        <w:spacing w:after="0" w:line="276" w:lineRule="auto"/>
        <w:jc w:val="both"/>
        <w:rPr>
          <w:rStyle w:val="normaltextrun"/>
          <w:rFonts w:ascii="Verdana" w:hAnsi="Verdana"/>
          <w:color w:val="000000" w:themeColor="text1"/>
        </w:rPr>
      </w:pPr>
      <w:r w:rsidRPr="005D01B3">
        <w:rPr>
          <w:rFonts w:ascii="Verdana" w:hAnsi="Verdana" w:cs="Arial"/>
          <w:shd w:val="clear" w:color="auto" w:fill="FFFFFF"/>
          <w:lang w:val="es-ES"/>
        </w:rPr>
        <w:t xml:space="preserve">Por su parte sobre </w:t>
      </w:r>
      <w:r w:rsidRPr="005D01B3">
        <w:rPr>
          <w:rFonts w:ascii="Verdana" w:eastAsia="Calibri" w:hAnsi="Verdana" w:cs="Arial"/>
          <w:lang w:val="es-ES" w:eastAsia="es-ES"/>
        </w:rPr>
        <w:t xml:space="preserve">el anticipo y el pago anticipado en los siguientes conceptos </w:t>
      </w:r>
      <w:r w:rsidRPr="005D01B3">
        <w:rPr>
          <w:rFonts w:ascii="Verdana" w:hAnsi="Verdana" w:cs="Arial"/>
          <w:bCs/>
          <w:shd w:val="clear" w:color="auto" w:fill="FFFFFF"/>
        </w:rPr>
        <w:t xml:space="preserve">torno a los anticipos, Colombia Compra Eficiente ha expedido los siguientes Conceptos: C- C-796 de noviembre de 2022, C-825 de diciembre de 2022, C-842 de 2022 de diciembre 2022, C-109 de mayo 2023, C-455 de diciembre de 2023, C-471 de 2023, C-452 de 2023, C-396 de 2023, C-090 de 2024, C-188 del 31 de julio de 2024, C-485 del 2025, C-122 del 2026, C-200 del 2026, C-384 del 2026, C-603 del 2026, C-666 del 2026, C-812 del 2026, </w:t>
      </w:r>
      <w:r w:rsidRPr="005D01B3">
        <w:rPr>
          <w:rFonts w:ascii="Verdana" w:eastAsia="Verdana" w:hAnsi="Verdana" w:cs="Verdana"/>
        </w:rPr>
        <w:t xml:space="preserve">C-1205 de 2026 y C-1339 de 2026 </w:t>
      </w:r>
      <w:r w:rsidRPr="005D01B3">
        <w:rPr>
          <w:rFonts w:ascii="Verdana" w:hAnsi="Verdana" w:cs="Arial"/>
          <w:bCs/>
          <w:shd w:val="clear" w:color="auto" w:fill="FFFFFF"/>
        </w:rPr>
        <w:t>entre otros;</w:t>
      </w:r>
      <w:r w:rsidRPr="005D01B3">
        <w:rPr>
          <w:rStyle w:val="normaltextrun"/>
          <w:rFonts w:ascii="Verdana" w:hAnsi="Verdana"/>
          <w:color w:val="000000" w:themeColor="text1"/>
        </w:rPr>
        <w:t xml:space="preserve"> y </w:t>
      </w:r>
      <w:r w:rsidRPr="005D01B3">
        <w:rPr>
          <w:rFonts w:ascii="Verdana" w:hAnsi="Verdana" w:cs="Arial"/>
          <w:shd w:val="clear" w:color="auto" w:fill="FFFFFF"/>
        </w:rPr>
        <w:t xml:space="preserve">sobre </w:t>
      </w:r>
      <w:r w:rsidRPr="005D01B3">
        <w:rPr>
          <w:rFonts w:ascii="Verdana" w:eastAsia="Aptos" w:hAnsi="Verdana" w:cs="Arial"/>
          <w:shd w:val="clear" w:color="auto" w:fill="FFFFFF"/>
          <w:lang w:val="es-ES"/>
        </w:rPr>
        <w:t>el principio de arreglo directo y transacción en los conceptos C-494 del 17 de septiembre de 2021, C-400 del 28 de septiembre de 2023, C-142 del 2 de julio de 2024, C-889 del 15 de agosto de 2025, C-313 del 09 de abril de 2026, entre otros.</w:t>
      </w:r>
    </w:p>
    <w:p w14:paraId="4B5C0482" w14:textId="77777777" w:rsidR="00EA255A" w:rsidRPr="005D01B3" w:rsidRDefault="00EA255A" w:rsidP="00425B86">
      <w:pPr>
        <w:spacing w:after="0" w:line="276" w:lineRule="auto"/>
        <w:jc w:val="both"/>
        <w:rPr>
          <w:rStyle w:val="normaltextrun"/>
          <w:rFonts w:ascii="Verdana" w:hAnsi="Verdana"/>
          <w:color w:val="000000" w:themeColor="text1"/>
        </w:rPr>
      </w:pPr>
    </w:p>
    <w:p w14:paraId="2425C300" w14:textId="77777777" w:rsidR="00EA255A" w:rsidRPr="005D01B3" w:rsidRDefault="00EA255A" w:rsidP="00546928">
      <w:pPr>
        <w:spacing w:after="0" w:line="276" w:lineRule="auto"/>
        <w:jc w:val="both"/>
        <w:rPr>
          <w:rStyle w:val="normaltextrun"/>
          <w:rFonts w:ascii="Verdana" w:hAnsi="Verdana" w:cs="Arial"/>
          <w:bCs/>
          <w:shd w:val="clear" w:color="auto" w:fill="FFFFFF"/>
        </w:rPr>
      </w:pPr>
      <w:r w:rsidRPr="005D01B3">
        <w:rPr>
          <w:rStyle w:val="normaltextrun"/>
          <w:rFonts w:ascii="Verdana" w:hAnsi="Verdana" w:cs="Arial"/>
          <w:shd w:val="clear" w:color="auto" w:fill="FFFFFF"/>
          <w:lang w:val="es-ES"/>
        </w:rPr>
        <w:t>Es</w:t>
      </w:r>
      <w:r w:rsidRPr="005D01B3">
        <w:rPr>
          <w:rFonts w:ascii="Verdana" w:hAnsi="Verdana"/>
        </w:rPr>
        <w:t>tos y otros conceptos se encuentran disponibles para consulta en el Sistema de relatoría de la Agencia, al cual se puede acceder a través del siguiente enlace:</w:t>
      </w:r>
      <w:r w:rsidRPr="005D01B3">
        <w:rPr>
          <w:rStyle w:val="normaltextrun"/>
          <w:rFonts w:ascii="Verdana" w:hAnsi="Verdana" w:cs="Arial"/>
          <w:shd w:val="clear" w:color="auto" w:fill="FFFFFF"/>
          <w:lang w:val="es-ES"/>
        </w:rPr>
        <w:t xml:space="preserve"> </w:t>
      </w:r>
      <w:hyperlink r:id="rId12" w:history="1">
        <w:r w:rsidRPr="005D01B3">
          <w:rPr>
            <w:rStyle w:val="Hipervnculo"/>
            <w:rFonts w:ascii="Verdana" w:hAnsi="Verdana" w:cs="Arial"/>
            <w:shd w:val="clear" w:color="auto" w:fill="FFFFFF"/>
            <w:lang w:val="es-ES"/>
          </w:rPr>
          <w:t>https://relatoria.colombiacompra.gov.co/busqueda/conceptos</w:t>
        </w:r>
      </w:hyperlink>
      <w:r w:rsidRPr="005D01B3">
        <w:rPr>
          <w:rStyle w:val="normaltextrun"/>
          <w:rFonts w:ascii="Verdana" w:hAnsi="Verdana" w:cs="Arial"/>
          <w:color w:val="FF0000"/>
          <w:shd w:val="clear" w:color="auto" w:fill="FFFFFF"/>
          <w:lang w:val="es-ES"/>
        </w:rPr>
        <w:t xml:space="preserve">. </w:t>
      </w:r>
    </w:p>
    <w:p w14:paraId="57B68D52" w14:textId="77777777" w:rsidR="00EA255A" w:rsidRPr="005D01B3" w:rsidRDefault="00EA255A">
      <w:pPr>
        <w:spacing w:after="0" w:line="276" w:lineRule="auto"/>
        <w:jc w:val="both"/>
        <w:textAlignment w:val="baseline"/>
        <w:rPr>
          <w:rFonts w:ascii="Verdana" w:eastAsia="Verdana" w:hAnsi="Verdana" w:cs="Verdana"/>
        </w:rPr>
      </w:pPr>
    </w:p>
    <w:p w14:paraId="11587715" w14:textId="77777777" w:rsidR="00EA255A" w:rsidRPr="005D01B3" w:rsidRDefault="00EA255A">
      <w:pPr>
        <w:spacing w:after="0" w:line="276" w:lineRule="auto"/>
        <w:jc w:val="both"/>
        <w:textAlignment w:val="baseline"/>
        <w:rPr>
          <w:rFonts w:ascii="Verdana" w:eastAsia="Verdana" w:hAnsi="Verdana" w:cs="Verdana"/>
          <w:color w:val="FF0000"/>
          <w:lang w:val="es"/>
        </w:rPr>
      </w:pPr>
      <w:r w:rsidRPr="00E36F4C">
        <w:rPr>
          <w:rFonts w:ascii="Verdana" w:eastAsia="Verdana" w:hAnsi="Verdana" w:cs="Verdana"/>
        </w:rPr>
        <w:t>Estos se encuentran disponibles para consulta en el Sistema de relatoría de la Agencia, al cual puede accederse a través del siguiente enlace:</w:t>
      </w:r>
      <w:hyperlink r:id="rId13">
        <w:r w:rsidRPr="005D01B3">
          <w:rPr>
            <w:rStyle w:val="Hipervnculo"/>
            <w:rFonts w:ascii="Verdana" w:hAnsi="Verdana"/>
            <w:lang w:val="es"/>
          </w:rPr>
          <w:t>https://relatoria.colombiacompra.gov.co/busqueda/conceptos</w:t>
        </w:r>
      </w:hyperlink>
      <w:r w:rsidRPr="005D01B3">
        <w:rPr>
          <w:rFonts w:ascii="Verdana" w:eastAsia="Verdana" w:hAnsi="Verdana" w:cs="Verdana"/>
          <w:color w:val="000000" w:themeColor="text1"/>
          <w:lang w:val="es"/>
        </w:rPr>
        <w:t xml:space="preserve">. </w:t>
      </w:r>
      <w:r w:rsidRPr="005D01B3">
        <w:rPr>
          <w:rFonts w:ascii="Verdana" w:eastAsia="Verdana" w:hAnsi="Verdana" w:cs="Verdana"/>
          <w:color w:val="FF0000"/>
          <w:lang w:val="es"/>
        </w:rPr>
        <w:t xml:space="preserve"> </w:t>
      </w:r>
    </w:p>
    <w:p w14:paraId="09DD1083" w14:textId="77777777" w:rsidR="00EA255A" w:rsidRPr="00425B86" w:rsidRDefault="00EA255A">
      <w:pPr>
        <w:spacing w:after="0" w:line="276" w:lineRule="auto"/>
        <w:jc w:val="both"/>
        <w:textAlignment w:val="baseline"/>
        <w:rPr>
          <w:rFonts w:ascii="Verdana" w:eastAsia="Verdana" w:hAnsi="Verdana" w:cs="Verdana"/>
          <w:color w:val="000000" w:themeColor="text1"/>
          <w:lang w:val="es"/>
        </w:rPr>
      </w:pPr>
      <w:r w:rsidRPr="00425B86">
        <w:rPr>
          <w:rFonts w:ascii="Verdana" w:eastAsia="Verdana" w:hAnsi="Verdana" w:cs="Verdana"/>
          <w:color w:val="000000" w:themeColor="text1"/>
          <w:lang w:val="es"/>
        </w:rPr>
        <w:t xml:space="preserve">  </w:t>
      </w:r>
    </w:p>
    <w:p w14:paraId="00CF27B1" w14:textId="1662309A" w:rsidR="00EA255A" w:rsidRDefault="00EA255A" w:rsidP="005D01B3">
      <w:pPr>
        <w:shd w:val="clear" w:color="auto" w:fill="FFFFFF" w:themeFill="background1"/>
        <w:spacing w:after="0" w:line="276" w:lineRule="auto"/>
        <w:jc w:val="both"/>
        <w:rPr>
          <w:rStyle w:val="Hipervnculo"/>
          <w:rFonts w:ascii="Verdana" w:eastAsia="Verdana" w:hAnsi="Verdana" w:cs="Verdana"/>
          <w:color w:val="000000" w:themeColor="text1"/>
        </w:rPr>
      </w:pPr>
      <w:r w:rsidRPr="00425B86">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546928">
        <w:rPr>
          <w:rFonts w:ascii="Verdana" w:eastAsia="Verdana" w:hAnsi="Verdana" w:cs="Verdana"/>
          <w:b/>
          <w:bCs/>
          <w:color w:val="000000" w:themeColor="text1"/>
        </w:rPr>
        <w:t>Guía para la Exigencia y Constitución de Garantías en los Procesos de Contratación</w:t>
      </w:r>
      <w:r w:rsidRPr="005D01B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w:t>
      </w:r>
      <w:r w:rsidRPr="005D01B3">
        <w:rPr>
          <w:rFonts w:ascii="Verdana" w:eastAsia="Verdana" w:hAnsi="Verdana" w:cs="Verdana"/>
          <w:color w:val="000000" w:themeColor="text1"/>
        </w:rPr>
        <w:lastRenderedPageBreak/>
        <w:t xml:space="preserve">suficiencia y vigencia, y el procedimiento para hacerlas efectivas. Consúltala aquí: </w:t>
      </w:r>
      <w:hyperlink r:id="rId14">
        <w:r w:rsidRPr="005D01B3">
          <w:rPr>
            <w:rStyle w:val="Hipervnculo"/>
            <w:rFonts w:ascii="Verdana" w:eastAsia="Verdana" w:hAnsi="Verdana" w:cs="Verdana"/>
            <w:color w:val="000000" w:themeColor="text1"/>
          </w:rPr>
          <w:t>https://www.colombiacompra.gov.co/archivos/manual/guia-de-garantias-en-procesos-de-contratacion</w:t>
        </w:r>
      </w:hyperlink>
    </w:p>
    <w:p w14:paraId="4FEF3B3E" w14:textId="77777777" w:rsidR="00C65549" w:rsidRPr="005D01B3" w:rsidRDefault="00C65549" w:rsidP="008123F0">
      <w:pPr>
        <w:shd w:val="clear" w:color="auto" w:fill="FFFFFF" w:themeFill="background1"/>
        <w:spacing w:after="0" w:line="276" w:lineRule="auto"/>
        <w:jc w:val="both"/>
        <w:rPr>
          <w:rFonts w:ascii="Verdana" w:eastAsia="Verdana" w:hAnsi="Verdana" w:cs="Verdana"/>
        </w:rPr>
      </w:pPr>
    </w:p>
    <w:p w14:paraId="26326A53" w14:textId="27C09550" w:rsidR="00EA255A" w:rsidRDefault="00EA255A" w:rsidP="005D01B3">
      <w:pPr>
        <w:shd w:val="clear" w:color="auto" w:fill="FFFFFF" w:themeFill="background1"/>
        <w:spacing w:after="0" w:line="276" w:lineRule="auto"/>
        <w:jc w:val="both"/>
        <w:rPr>
          <w:rStyle w:val="Hipervnculo"/>
          <w:rFonts w:ascii="Verdana" w:eastAsia="Verdana" w:hAnsi="Verdana" w:cs="Verdana"/>
          <w:color w:val="000000" w:themeColor="text1"/>
        </w:rPr>
      </w:pPr>
      <w:r w:rsidRPr="005D01B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05D01B3">
        <w:rPr>
          <w:rFonts w:ascii="Verdana" w:eastAsia="Verdana" w:hAnsi="Verdana" w:cs="Verdana"/>
          <w:b/>
          <w:bCs/>
          <w:color w:val="000000" w:themeColor="text1"/>
        </w:rPr>
        <w:t>Sistema Integral de Preferencias en favor de las personas con discapacidad</w:t>
      </w:r>
      <w:r w:rsidRPr="00425B86">
        <w:rPr>
          <w:rFonts w:ascii="Verdana" w:eastAsia="Verdana" w:hAnsi="Verdana" w:cs="Verdana"/>
          <w:color w:val="000000" w:themeColor="text1"/>
        </w:rPr>
        <w:t xml:space="preserve">, en cumplimiento del artículo 13 de la Ley Estatutaria 1618 de 2013. Para orientar su aplicación, esta Agencia expidió la </w:t>
      </w:r>
      <w:r w:rsidRPr="00425B86">
        <w:rPr>
          <w:rFonts w:ascii="Verdana" w:eastAsia="Verdana" w:hAnsi="Verdana" w:cs="Verdana"/>
          <w:b/>
          <w:bCs/>
          <w:color w:val="000000" w:themeColor="text1"/>
        </w:rPr>
        <w:t xml:space="preserve">Circular Externa 003 del 12 de mayo de 2026, </w:t>
      </w:r>
      <w:r w:rsidRPr="00425B86">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05D01B3">
          <w:rPr>
            <w:rStyle w:val="Hipervnculo"/>
            <w:rFonts w:ascii="Verdana" w:eastAsia="Verdana" w:hAnsi="Verdana" w:cs="Verdana"/>
            <w:color w:val="000000" w:themeColor="text1"/>
          </w:rPr>
          <w:t>https://www.colombiacompra.gov.co/archivos/circular/circular-externa-003-de-2026</w:t>
        </w:r>
      </w:hyperlink>
    </w:p>
    <w:p w14:paraId="222CE519" w14:textId="77777777" w:rsidR="00C65549" w:rsidRPr="005D01B3" w:rsidRDefault="00C65549" w:rsidP="008123F0">
      <w:pPr>
        <w:shd w:val="clear" w:color="auto" w:fill="FFFFFF" w:themeFill="background1"/>
        <w:spacing w:after="0" w:line="276" w:lineRule="auto"/>
        <w:jc w:val="both"/>
        <w:rPr>
          <w:rFonts w:ascii="Verdana" w:eastAsia="Verdana" w:hAnsi="Verdana" w:cs="Verdana"/>
        </w:rPr>
      </w:pPr>
    </w:p>
    <w:p w14:paraId="7725AE65" w14:textId="2F5DAB0D" w:rsidR="00EA255A" w:rsidRDefault="00EA255A" w:rsidP="005D01B3">
      <w:pPr>
        <w:shd w:val="clear" w:color="auto" w:fill="FFFFFF" w:themeFill="background1"/>
        <w:spacing w:after="0" w:line="276" w:lineRule="auto"/>
        <w:jc w:val="both"/>
        <w:rPr>
          <w:rStyle w:val="Hipervnculo"/>
          <w:rFonts w:ascii="Verdana" w:eastAsia="Verdana" w:hAnsi="Verdana" w:cs="Verdana"/>
          <w:color w:val="000000" w:themeColor="text1"/>
        </w:rPr>
      </w:pPr>
      <w:r w:rsidRPr="005D01B3">
        <w:rPr>
          <w:rFonts w:ascii="Verdana" w:eastAsia="Verdana" w:hAnsi="Verdana" w:cs="Verdana"/>
          <w:color w:val="000000" w:themeColor="text1"/>
        </w:rPr>
        <w:t>Recuerda también que la</w:t>
      </w:r>
      <w:r w:rsidRPr="005D01B3">
        <w:rPr>
          <w:rFonts w:ascii="Verdana" w:eastAsia="Verdana" w:hAnsi="Verdana" w:cs="Verdana"/>
          <w:b/>
          <w:bCs/>
          <w:color w:val="000000" w:themeColor="text1"/>
        </w:rPr>
        <w:t xml:space="preserve"> información sobre s</w:t>
      </w:r>
      <w:r w:rsidRPr="005D255A">
        <w:rPr>
          <w:rFonts w:ascii="Verdana" w:eastAsia="Verdana" w:hAnsi="Verdana" w:cs="Verdana"/>
          <w:b/>
          <w:bCs/>
          <w:color w:val="000000" w:themeColor="text1"/>
        </w:rPr>
        <w:t xml:space="preserve">anciones e inhabilidades </w:t>
      </w:r>
      <w:r w:rsidRPr="00E36F4C">
        <w:rPr>
          <w:rFonts w:ascii="Verdana" w:eastAsia="Verdana" w:hAnsi="Verdana" w:cs="Verdana"/>
          <w:color w:val="000000" w:themeColor="text1"/>
        </w:rPr>
        <w:t xml:space="preserve">solo cumple su función preventiva si llega oportunamente a los registros públicos. Sobre este deber, esta Agencia expidió la </w:t>
      </w:r>
      <w:r w:rsidRPr="00425B86">
        <w:rPr>
          <w:rFonts w:ascii="Verdana" w:eastAsia="Verdana" w:hAnsi="Verdana" w:cs="Verdana"/>
          <w:b/>
          <w:bCs/>
          <w:color w:val="000000" w:themeColor="text1"/>
        </w:rPr>
        <w:t>Circular Externa 002 del 5 de mayo de 2026,</w:t>
      </w:r>
      <w:r w:rsidRPr="00425B86">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005D01B3">
          <w:rPr>
            <w:rStyle w:val="Hipervnculo"/>
            <w:rFonts w:ascii="Verdana" w:eastAsia="Verdana" w:hAnsi="Verdana" w:cs="Verdana"/>
            <w:color w:val="000000" w:themeColor="text1"/>
          </w:rPr>
          <w:t>https://www.colombiacompra.gov.co/archivos/circular/circular-externa-002-de-2026</w:t>
        </w:r>
      </w:hyperlink>
    </w:p>
    <w:p w14:paraId="3777E9B0" w14:textId="77777777" w:rsidR="00C65549" w:rsidRPr="005D01B3" w:rsidRDefault="00C65549" w:rsidP="008123F0">
      <w:pPr>
        <w:shd w:val="clear" w:color="auto" w:fill="FFFFFF" w:themeFill="background1"/>
        <w:spacing w:after="0" w:line="276" w:lineRule="auto"/>
        <w:jc w:val="both"/>
        <w:rPr>
          <w:rFonts w:ascii="Verdana" w:eastAsia="Verdana" w:hAnsi="Verdana" w:cs="Verdana"/>
        </w:rPr>
      </w:pPr>
    </w:p>
    <w:p w14:paraId="7BA03F87" w14:textId="0E4CE839" w:rsidR="00EA255A" w:rsidRDefault="00EA255A" w:rsidP="005D01B3">
      <w:pPr>
        <w:shd w:val="clear" w:color="auto" w:fill="FFFFFF" w:themeFill="background1"/>
        <w:spacing w:after="0" w:line="276" w:lineRule="auto"/>
        <w:jc w:val="both"/>
        <w:rPr>
          <w:rStyle w:val="Hipervnculo"/>
          <w:rFonts w:ascii="Verdana" w:eastAsia="Verdana" w:hAnsi="Verdana" w:cs="Verdana"/>
          <w:color w:val="000000" w:themeColor="text1"/>
        </w:rPr>
      </w:pPr>
      <w:r w:rsidRPr="005D01B3">
        <w:rPr>
          <w:rFonts w:ascii="Verdana" w:eastAsia="Verdana" w:hAnsi="Verdana" w:cs="Verdana"/>
          <w:color w:val="000000" w:themeColor="text1"/>
        </w:rPr>
        <w:t>Finalmente, si quieres seguir de cerca la actividad de la Agencia, la tercera edición de 2026 del</w:t>
      </w:r>
      <w:r w:rsidRPr="00425B86">
        <w:rPr>
          <w:rFonts w:ascii="Verdana" w:eastAsia="Verdana" w:hAnsi="Verdana" w:cs="Verdana"/>
          <w:b/>
          <w:bCs/>
          <w:color w:val="000000" w:themeColor="text1"/>
        </w:rPr>
        <w:t xml:space="preserve"> Radar de la Compra Pública</w:t>
      </w:r>
      <w:r w:rsidRPr="00425B86">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r w:rsidRPr="005D01B3">
          <w:rPr>
            <w:rStyle w:val="Hipervnculo"/>
            <w:rFonts w:ascii="Verdana" w:eastAsia="Verdana" w:hAnsi="Verdana" w:cs="Verdana"/>
            <w:color w:val="000000" w:themeColor="text1"/>
          </w:rPr>
          <w:t>https://www.colombiacompra.gov.co/archivos/boletin/boletin-edicion-n-3-de-2026-radar-de-la-compra-publica</w:t>
        </w:r>
      </w:hyperlink>
    </w:p>
    <w:p w14:paraId="377579AC" w14:textId="77777777" w:rsidR="00C65549" w:rsidRPr="005D01B3" w:rsidRDefault="00C65549" w:rsidP="008123F0">
      <w:pPr>
        <w:shd w:val="clear" w:color="auto" w:fill="FFFFFF" w:themeFill="background1"/>
        <w:spacing w:after="0" w:line="276" w:lineRule="auto"/>
        <w:jc w:val="both"/>
        <w:rPr>
          <w:rFonts w:ascii="Verdana" w:eastAsia="Verdana" w:hAnsi="Verdana" w:cs="Verdana"/>
          <w:color w:val="000000" w:themeColor="text1"/>
        </w:rPr>
      </w:pPr>
    </w:p>
    <w:p w14:paraId="4DB216C0" w14:textId="77777777" w:rsidR="00EA255A" w:rsidRPr="005D01B3" w:rsidRDefault="00EA255A" w:rsidP="008123F0">
      <w:pPr>
        <w:spacing w:after="0" w:line="276" w:lineRule="auto"/>
        <w:jc w:val="both"/>
        <w:textAlignment w:val="baseline"/>
        <w:rPr>
          <w:rFonts w:ascii="Verdana" w:eastAsia="Verdana" w:hAnsi="Verdana" w:cs="Verdana"/>
          <w:color w:val="000000" w:themeColor="text1"/>
          <w:lang w:val="es"/>
        </w:rPr>
      </w:pPr>
      <w:r w:rsidRPr="005D01B3">
        <w:rPr>
          <w:rFonts w:ascii="Verdana" w:eastAsia="Verdana" w:hAnsi="Verdana" w:cs="Verdana"/>
          <w:color w:val="000000" w:themeColor="text1"/>
          <w:lang w:val="es"/>
        </w:rPr>
        <w:t xml:space="preserve">Lo invitamos a seguirnos en las redes sociales en las cuales se difunde información institucional: </w:t>
      </w:r>
    </w:p>
    <w:p w14:paraId="441FB591" w14:textId="77777777" w:rsidR="00EA255A" w:rsidRPr="005D01B3" w:rsidRDefault="00EA255A" w:rsidP="008123F0">
      <w:pPr>
        <w:spacing w:after="0" w:line="276" w:lineRule="auto"/>
        <w:jc w:val="both"/>
        <w:textAlignment w:val="baseline"/>
        <w:rPr>
          <w:rFonts w:ascii="Verdana" w:eastAsia="Verdana" w:hAnsi="Verdana" w:cs="Verdana"/>
          <w:color w:val="000000" w:themeColor="text1"/>
          <w:lang w:val="es"/>
        </w:rPr>
      </w:pPr>
      <w:r w:rsidRPr="005D01B3">
        <w:rPr>
          <w:rFonts w:ascii="Verdana" w:eastAsia="Verdana" w:hAnsi="Verdana" w:cs="Verdana"/>
          <w:color w:val="000000" w:themeColor="text1"/>
          <w:lang w:val="es"/>
        </w:rPr>
        <w:t xml:space="preserve"> </w:t>
      </w:r>
    </w:p>
    <w:p w14:paraId="0F855225" w14:textId="77777777" w:rsidR="00EA255A" w:rsidRPr="00425B86" w:rsidRDefault="00EA255A" w:rsidP="008123F0">
      <w:pPr>
        <w:spacing w:after="0" w:line="276" w:lineRule="auto"/>
        <w:jc w:val="both"/>
        <w:textAlignment w:val="baseline"/>
        <w:rPr>
          <w:rFonts w:ascii="Verdana" w:eastAsia="Verdana" w:hAnsi="Verdana" w:cs="Verdana"/>
          <w:color w:val="000000" w:themeColor="text1"/>
          <w:lang w:val="es"/>
        </w:rPr>
      </w:pPr>
      <w:r w:rsidRPr="00425B86">
        <w:rPr>
          <w:rFonts w:ascii="Verdana" w:eastAsia="Verdana" w:hAnsi="Verdana" w:cs="Verdana"/>
          <w:color w:val="000000" w:themeColor="text1"/>
          <w:lang w:val="es"/>
        </w:rPr>
        <w:t xml:space="preserve">Twitter: </w:t>
      </w:r>
      <w:r w:rsidRPr="00425B86">
        <w:rPr>
          <w:rFonts w:ascii="Verdana" w:eastAsia="Verdana" w:hAnsi="Verdana" w:cs="Verdana"/>
          <w:color w:val="000000" w:themeColor="text1"/>
          <w:u w:val="single"/>
          <w:lang w:val="es"/>
        </w:rPr>
        <w:t>@colombiacompra</w:t>
      </w:r>
      <w:r w:rsidRPr="00425B86">
        <w:rPr>
          <w:rFonts w:ascii="Verdana" w:eastAsia="Verdana" w:hAnsi="Verdana" w:cs="Verdana"/>
          <w:color w:val="000000" w:themeColor="text1"/>
          <w:lang w:val="es"/>
        </w:rPr>
        <w:t xml:space="preserve"> </w:t>
      </w:r>
    </w:p>
    <w:p w14:paraId="08AD2073" w14:textId="77777777" w:rsidR="00EA255A" w:rsidRPr="00B17D00" w:rsidRDefault="00EA255A" w:rsidP="008123F0">
      <w:pPr>
        <w:spacing w:after="0" w:line="276" w:lineRule="auto"/>
        <w:jc w:val="both"/>
        <w:textAlignment w:val="baseline"/>
        <w:rPr>
          <w:rFonts w:ascii="Verdana" w:eastAsia="Verdana" w:hAnsi="Verdana" w:cs="Verdana"/>
          <w:color w:val="000000" w:themeColor="text1"/>
          <w:u w:val="single"/>
          <w:lang w:val="es-ES"/>
        </w:rPr>
      </w:pPr>
      <w:r w:rsidRPr="00546928">
        <w:rPr>
          <w:rFonts w:ascii="Verdana" w:eastAsia="Verdana" w:hAnsi="Verdana" w:cs="Verdana"/>
          <w:color w:val="000000" w:themeColor="text1"/>
          <w:lang w:val="es-ES"/>
        </w:rPr>
        <w:t xml:space="preserve">Facebook: </w:t>
      </w:r>
      <w:proofErr w:type="spellStart"/>
      <w:r w:rsidRPr="004D0B68">
        <w:rPr>
          <w:rFonts w:ascii="Verdana" w:eastAsia="Verdana" w:hAnsi="Verdana" w:cs="Verdana"/>
          <w:color w:val="000000" w:themeColor="text1"/>
          <w:u w:val="single"/>
          <w:lang w:val="es-ES"/>
        </w:rPr>
        <w:t>ColombiaCompraEficiente</w:t>
      </w:r>
      <w:proofErr w:type="spellEnd"/>
    </w:p>
    <w:p w14:paraId="74C2886F" w14:textId="77777777" w:rsidR="00EA255A" w:rsidRPr="005D01B3" w:rsidRDefault="00EA255A" w:rsidP="008123F0">
      <w:pPr>
        <w:spacing w:after="0" w:line="276" w:lineRule="auto"/>
        <w:jc w:val="both"/>
        <w:textAlignment w:val="baseline"/>
        <w:rPr>
          <w:rFonts w:ascii="Verdana" w:eastAsia="Verdana" w:hAnsi="Verdana" w:cs="Verdana"/>
          <w:color w:val="000000" w:themeColor="text1"/>
          <w:u w:val="single"/>
          <w:lang w:val="es"/>
        </w:rPr>
      </w:pPr>
      <w:r w:rsidRPr="005D01B3">
        <w:rPr>
          <w:rFonts w:ascii="Verdana" w:eastAsia="Verdana" w:hAnsi="Verdana" w:cs="Verdana"/>
          <w:color w:val="000000" w:themeColor="text1"/>
          <w:lang w:val="es"/>
        </w:rPr>
        <w:t xml:space="preserve">LinkedIn: </w:t>
      </w:r>
      <w:r w:rsidRPr="005D01B3">
        <w:rPr>
          <w:rFonts w:ascii="Verdana" w:eastAsia="Verdana" w:hAnsi="Verdana" w:cs="Verdana"/>
          <w:color w:val="000000" w:themeColor="text1"/>
          <w:u w:val="single"/>
          <w:lang w:val="es"/>
        </w:rPr>
        <w:t>Agencia Nacional de Contratación Pública - Colombia Compra Eficiente</w:t>
      </w:r>
      <w:r w:rsidRPr="005D01B3">
        <w:rPr>
          <w:rFonts w:ascii="Verdana" w:eastAsia="Verdana" w:hAnsi="Verdana" w:cs="Verdana"/>
          <w:color w:val="000000" w:themeColor="text1"/>
          <w:lang w:val="es"/>
        </w:rPr>
        <w:t xml:space="preserve"> Instagram: </w:t>
      </w:r>
      <w:r w:rsidRPr="005D01B3">
        <w:rPr>
          <w:rFonts w:ascii="Verdana" w:eastAsia="Verdana" w:hAnsi="Verdana" w:cs="Verdana"/>
          <w:color w:val="000000" w:themeColor="text1"/>
          <w:u w:val="single"/>
          <w:lang w:val="es"/>
        </w:rPr>
        <w:t>@colombiacompraeficiente_cce</w:t>
      </w:r>
    </w:p>
    <w:p w14:paraId="65F8EE0D" w14:textId="77777777" w:rsidR="00EA255A" w:rsidRPr="005D01B3" w:rsidRDefault="00EA255A" w:rsidP="005D01B3">
      <w:pPr>
        <w:spacing w:after="0" w:line="276" w:lineRule="auto"/>
        <w:jc w:val="both"/>
        <w:textAlignment w:val="baseline"/>
        <w:rPr>
          <w:rFonts w:ascii="Verdana" w:eastAsia="Verdana" w:hAnsi="Verdana" w:cs="Verdana"/>
          <w:color w:val="000000" w:themeColor="text1"/>
          <w:lang w:val="es"/>
        </w:rPr>
      </w:pPr>
      <w:r w:rsidRPr="005D01B3">
        <w:rPr>
          <w:rFonts w:ascii="Verdana" w:eastAsia="Verdana" w:hAnsi="Verdana" w:cs="Verdana"/>
          <w:color w:val="000000" w:themeColor="text1"/>
          <w:lang w:val="es"/>
        </w:rPr>
        <w:t xml:space="preserve"> </w:t>
      </w:r>
    </w:p>
    <w:p w14:paraId="19D15FF0" w14:textId="77777777" w:rsidR="00EA255A" w:rsidRPr="005D01B3" w:rsidRDefault="00EA255A" w:rsidP="00425B86">
      <w:pPr>
        <w:spacing w:after="0" w:line="276" w:lineRule="auto"/>
        <w:jc w:val="both"/>
        <w:textAlignment w:val="baseline"/>
        <w:rPr>
          <w:rFonts w:ascii="Verdana" w:eastAsia="Verdana" w:hAnsi="Verdana" w:cs="Verdana"/>
          <w:color w:val="000000" w:themeColor="text1"/>
          <w:lang w:val="es"/>
        </w:rPr>
      </w:pPr>
      <w:r w:rsidRPr="005D01B3">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05A2D4B" w14:textId="77777777" w:rsidR="00EA255A" w:rsidRPr="005D01B3" w:rsidRDefault="00EA255A" w:rsidP="008123F0">
      <w:pPr>
        <w:spacing w:after="0" w:line="276" w:lineRule="auto"/>
        <w:jc w:val="both"/>
        <w:textAlignment w:val="baseline"/>
        <w:rPr>
          <w:rFonts w:ascii="Verdana" w:eastAsia="Verdana" w:hAnsi="Verdana" w:cs="Verdana"/>
          <w:color w:val="000000" w:themeColor="text1"/>
          <w:lang w:val="es"/>
        </w:rPr>
      </w:pPr>
      <w:r w:rsidRPr="005D01B3">
        <w:rPr>
          <w:rFonts w:ascii="Verdana" w:eastAsia="Verdana" w:hAnsi="Verdana" w:cs="Verdana"/>
          <w:color w:val="000000" w:themeColor="text1"/>
          <w:lang w:val="es"/>
        </w:rPr>
        <w:t xml:space="preserve"> </w:t>
      </w:r>
    </w:p>
    <w:p w14:paraId="6E884513" w14:textId="77777777" w:rsidR="00EA255A" w:rsidRPr="008123F0" w:rsidRDefault="00EA255A" w:rsidP="008123F0">
      <w:pPr>
        <w:spacing w:after="0" w:line="276" w:lineRule="auto"/>
        <w:jc w:val="both"/>
        <w:textAlignment w:val="baseline"/>
        <w:rPr>
          <w:rFonts w:ascii="Verdana" w:hAnsi="Verdana"/>
        </w:rPr>
      </w:pPr>
      <w:r w:rsidRPr="005D01B3">
        <w:rPr>
          <w:rFonts w:ascii="Verdana" w:eastAsia="Verdana" w:hAnsi="Verdana" w:cs="Verdana"/>
          <w:color w:val="000000" w:themeColor="text1"/>
          <w:lang w:val="es"/>
        </w:rPr>
        <w:t xml:space="preserve"> Atentamente, </w:t>
      </w:r>
    </w:p>
    <w:p w14:paraId="462565FF" w14:textId="56A13C12" w:rsidR="00EA255A" w:rsidRDefault="00EA255A" w:rsidP="008123F0">
      <w:pPr>
        <w:spacing w:after="0" w:line="276" w:lineRule="auto"/>
        <w:rPr>
          <w:rFonts w:ascii="Verdana" w:eastAsia="Verdana" w:hAnsi="Verdana" w:cs="Verdana"/>
          <w:b/>
          <w:bCs/>
          <w:color w:val="000000" w:themeColor="text1"/>
          <w:lang w:val="es"/>
        </w:rPr>
      </w:pPr>
    </w:p>
    <w:p w14:paraId="028A6006" w14:textId="2C9D18D5" w:rsidR="00EA255A" w:rsidRDefault="00EA255A" w:rsidP="00EA255A">
      <w:pPr>
        <w:rPr>
          <w:noProof/>
        </w:rPr>
      </w:pPr>
    </w:p>
    <w:p w14:paraId="060EC867" w14:textId="722566E7" w:rsidR="00486D1F" w:rsidRDefault="00FA7D86" w:rsidP="00EA255A">
      <w:pPr>
        <w:rPr>
          <w:noProof/>
        </w:rPr>
      </w:pPr>
      <w:r>
        <w:rPr>
          <w:noProof/>
        </w:rPr>
        <w:drawing>
          <wp:inline distT="0" distB="0" distL="0" distR="0" wp14:anchorId="62B693D0" wp14:editId="359D6481">
            <wp:extent cx="2847975" cy="1076325"/>
            <wp:effectExtent l="0" t="0" r="9525" b="9525"/>
            <wp:docPr id="17328012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7975" cy="1076325"/>
                    </a:xfrm>
                    <a:prstGeom prst="rect">
                      <a:avLst/>
                    </a:prstGeom>
                    <a:noFill/>
                    <a:ln>
                      <a:noFill/>
                    </a:ln>
                  </pic:spPr>
                </pic:pic>
              </a:graphicData>
            </a:graphic>
          </wp:inline>
        </w:drawing>
      </w:r>
    </w:p>
    <w:p w14:paraId="4B97F1B5" w14:textId="370140F2" w:rsidR="00EA255A" w:rsidRPr="00EA255A" w:rsidRDefault="00EA255A" w:rsidP="00EA255A">
      <w:pPr>
        <w:rPr>
          <w:rFonts w:ascii="Verdana" w:eastAsia="Verdana" w:hAnsi="Verdana" w:cs="Verdana"/>
          <w:b/>
          <w:bCs/>
          <w:color w:val="000000" w:themeColor="text1"/>
          <w:lang w:val="es"/>
        </w:rPr>
      </w:pPr>
      <w:r w:rsidRPr="00EA255A">
        <w:rPr>
          <w:rFonts w:ascii="Verdana" w:eastAsia="Verdana" w:hAnsi="Verdana" w:cs="Verdana"/>
          <w:b/>
          <w:bCs/>
          <w:color w:val="000000" w:themeColor="text1"/>
          <w:lang w:val="es"/>
        </w:rPr>
        <w:t>WILLIAM JAVIER MURCIA ACEVEDO</w:t>
      </w:r>
    </w:p>
    <w:p w14:paraId="41EC46F7" w14:textId="527E5D53" w:rsidR="00EA255A" w:rsidRDefault="00EA255A" w:rsidP="008123F0">
      <w:r w:rsidRPr="00EA255A">
        <w:rPr>
          <w:rFonts w:ascii="Verdana" w:eastAsia="Verdana" w:hAnsi="Verdana" w:cs="Verdana"/>
          <w:b/>
          <w:bCs/>
          <w:color w:val="000000" w:themeColor="text1"/>
          <w:lang w:val="es"/>
        </w:rPr>
        <w:t>SUBDIRECTOR DE GESTIÓN CONTRACTUAL ANCP – CCE (E)</w:t>
      </w: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EA255A" w14:paraId="04FC66B1" w14:textId="77777777" w:rsidTr="009C563A">
        <w:trPr>
          <w:trHeight w:val="307"/>
        </w:trPr>
        <w:tc>
          <w:tcPr>
            <w:tcW w:w="858" w:type="dxa"/>
            <w:tcBorders>
              <w:top w:val="nil"/>
              <w:bottom w:val="nil"/>
              <w:right w:val="nil"/>
            </w:tcBorders>
            <w:tcMar>
              <w:left w:w="108" w:type="dxa"/>
              <w:right w:w="108" w:type="dxa"/>
            </w:tcMar>
            <w:vAlign w:val="center"/>
          </w:tcPr>
          <w:p w14:paraId="206B51F1" w14:textId="77777777" w:rsidR="00EA255A" w:rsidRDefault="00EA255A" w:rsidP="009C563A">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503346B8" w14:textId="77777777" w:rsidR="00EA255A" w:rsidRDefault="00EA255A" w:rsidP="009C563A">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5A2CD536" w14:textId="77777777" w:rsidR="00EA255A" w:rsidRDefault="00EA255A" w:rsidP="009C563A">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EA255A" w14:paraId="3643D8D9" w14:textId="77777777" w:rsidTr="009C563A">
        <w:trPr>
          <w:trHeight w:val="321"/>
        </w:trPr>
        <w:tc>
          <w:tcPr>
            <w:tcW w:w="858" w:type="dxa"/>
            <w:tcBorders>
              <w:top w:val="nil"/>
              <w:bottom w:val="nil"/>
              <w:right w:val="nil"/>
            </w:tcBorders>
            <w:tcMar>
              <w:left w:w="108" w:type="dxa"/>
              <w:right w:w="108" w:type="dxa"/>
            </w:tcMar>
            <w:vAlign w:val="center"/>
          </w:tcPr>
          <w:p w14:paraId="61FC4142" w14:textId="77777777" w:rsidR="00EA255A" w:rsidRDefault="00EA255A" w:rsidP="009C563A">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25605A38" w14:textId="77777777" w:rsidR="00EA255A" w:rsidRDefault="00EA255A" w:rsidP="009C563A">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Diana Lucia Saavedra</w:t>
            </w:r>
          </w:p>
          <w:p w14:paraId="7C71D6A1" w14:textId="77777777" w:rsidR="00EA255A" w:rsidRDefault="00EA255A" w:rsidP="009C563A">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EA255A" w14:paraId="014105A1" w14:textId="77777777" w:rsidTr="009C563A">
        <w:trPr>
          <w:trHeight w:val="292"/>
        </w:trPr>
        <w:tc>
          <w:tcPr>
            <w:tcW w:w="858" w:type="dxa"/>
            <w:tcBorders>
              <w:top w:val="nil"/>
              <w:bottom w:val="nil"/>
              <w:right w:val="nil"/>
            </w:tcBorders>
            <w:tcMar>
              <w:left w:w="108" w:type="dxa"/>
              <w:right w:w="108" w:type="dxa"/>
            </w:tcMar>
            <w:vAlign w:val="center"/>
          </w:tcPr>
          <w:p w14:paraId="63E2C822" w14:textId="77777777" w:rsidR="00EA255A" w:rsidRDefault="00EA255A" w:rsidP="009C563A">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0E24AF40" w14:textId="77777777" w:rsidR="00EA255A" w:rsidRDefault="00EA255A" w:rsidP="009C563A">
            <w:pPr>
              <w:rPr>
                <w:rFonts w:ascii="Verdana" w:eastAsia="Verdana" w:hAnsi="Verdana" w:cs="Verdana"/>
                <w:color w:val="000000" w:themeColor="text1"/>
                <w:sz w:val="16"/>
                <w:szCs w:val="16"/>
                <w:lang w:val="pt-BR"/>
              </w:rPr>
            </w:pPr>
            <w:r>
              <w:rPr>
                <w:rFonts w:ascii="Verdana" w:eastAsia="Verdana" w:hAnsi="Verdana" w:cs="Verdana"/>
                <w:color w:val="000000" w:themeColor="text1"/>
                <w:sz w:val="16"/>
                <w:szCs w:val="16"/>
                <w:lang w:val="pt-BR"/>
              </w:rPr>
              <w:t xml:space="preserve">William Javier Murcia </w:t>
            </w:r>
            <w:proofErr w:type="spellStart"/>
            <w:r>
              <w:rPr>
                <w:rFonts w:ascii="Verdana" w:eastAsia="Verdana" w:hAnsi="Verdana" w:cs="Verdana"/>
                <w:color w:val="000000" w:themeColor="text1"/>
                <w:sz w:val="16"/>
                <w:szCs w:val="16"/>
                <w:lang w:val="pt-BR"/>
              </w:rPr>
              <w:t>Acevedo</w:t>
            </w:r>
            <w:proofErr w:type="spellEnd"/>
          </w:p>
          <w:p w14:paraId="3063D722" w14:textId="77777777" w:rsidR="00EA255A" w:rsidRDefault="00EA255A" w:rsidP="009C563A">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r>
              <w:rPr>
                <w:rFonts w:ascii="Verdana" w:eastAsia="Verdana" w:hAnsi="Verdana" w:cs="Verdana"/>
                <w:color w:val="000000" w:themeColor="text1"/>
                <w:sz w:val="16"/>
                <w:szCs w:val="16"/>
                <w:lang w:val="pt-BR"/>
              </w:rPr>
              <w:t xml:space="preserve"> (E)</w:t>
            </w:r>
          </w:p>
        </w:tc>
      </w:tr>
    </w:tbl>
    <w:p w14:paraId="36818F89" w14:textId="77777777" w:rsidR="00EA255A" w:rsidRPr="000E1832" w:rsidRDefault="00EA255A" w:rsidP="00EA255A">
      <w:pPr>
        <w:spacing w:line="240" w:lineRule="auto"/>
        <w:jc w:val="both"/>
        <w:textAlignment w:val="baseline"/>
        <w:rPr>
          <w:rFonts w:ascii="Verdana" w:eastAsia="Calibri" w:hAnsi="Verdana" w:cs="Calibri"/>
          <w:sz w:val="16"/>
          <w:szCs w:val="16"/>
          <w:lang w:val="es-ES"/>
        </w:rPr>
      </w:pPr>
    </w:p>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bookmarkEnd w:id="0"/>
    <w:p w14:paraId="57A1B8D4" w14:textId="7CF63106" w:rsidR="2C4D2425" w:rsidRDefault="2C4D2425" w:rsidP="2C4D2425">
      <w:pPr>
        <w:spacing w:after="0" w:line="240" w:lineRule="auto"/>
        <w:rPr>
          <w:rFonts w:ascii="Verdana" w:eastAsia="Verdana" w:hAnsi="Verdana" w:cs="Verdana"/>
          <w:lang w:eastAsia="es-CO"/>
        </w:rPr>
      </w:pPr>
    </w:p>
    <w:sectPr w:rsidR="2C4D2425"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1E7FB" w14:textId="77777777" w:rsidR="00A62CCA" w:rsidRDefault="00A62CCA" w:rsidP="004A1847">
      <w:pPr>
        <w:spacing w:after="0" w:line="240" w:lineRule="auto"/>
      </w:pPr>
      <w:r>
        <w:separator/>
      </w:r>
    </w:p>
  </w:endnote>
  <w:endnote w:type="continuationSeparator" w:id="0">
    <w:p w14:paraId="215BCB21" w14:textId="77777777" w:rsidR="00A62CCA" w:rsidRDefault="00A62CC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MT">
    <w:altName w:val="Klee One"/>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69A68" w14:textId="77777777" w:rsidR="00A62CCA" w:rsidRDefault="00A62CCA" w:rsidP="004A1847">
      <w:pPr>
        <w:spacing w:after="0" w:line="240" w:lineRule="auto"/>
      </w:pPr>
      <w:r>
        <w:separator/>
      </w:r>
    </w:p>
  </w:footnote>
  <w:footnote w:type="continuationSeparator" w:id="0">
    <w:p w14:paraId="2B5A565E" w14:textId="77777777" w:rsidR="00A62CCA" w:rsidRDefault="00A62CCA" w:rsidP="004A1847">
      <w:pPr>
        <w:spacing w:after="0" w:line="240" w:lineRule="auto"/>
      </w:pPr>
      <w:r>
        <w:continuationSeparator/>
      </w:r>
    </w:p>
  </w:footnote>
  <w:footnote w:id="1">
    <w:p w14:paraId="236C4E65" w14:textId="77777777" w:rsidR="00EA255A" w:rsidRPr="00D03768" w:rsidRDefault="00EA255A" w:rsidP="00EA255A">
      <w:pPr>
        <w:pStyle w:val="Textonotapie"/>
        <w:ind w:firstLine="709"/>
        <w:jc w:val="both"/>
        <w:rPr>
          <w:rFonts w:ascii="Verdana" w:hAnsi="Verdana" w:cs="Arial"/>
          <w:color w:val="000000"/>
          <w:sz w:val="14"/>
          <w:szCs w:val="14"/>
        </w:rPr>
      </w:pPr>
      <w:r w:rsidRPr="009F2629">
        <w:rPr>
          <w:rStyle w:val="Refdenotaalpie"/>
          <w:rFonts w:ascii="Verdana" w:hAnsi="Verdana" w:cs="Arial"/>
          <w:color w:val="000000"/>
          <w:sz w:val="14"/>
          <w:szCs w:val="14"/>
        </w:rPr>
        <w:footnoteRef/>
      </w:r>
      <w:r w:rsidRPr="009F2629">
        <w:rPr>
          <w:rFonts w:ascii="Verdana" w:hAnsi="Verdana" w:cs="Arial"/>
          <w:color w:val="000000"/>
          <w:sz w:val="14"/>
          <w:szCs w:val="14"/>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9F2629">
        <w:rPr>
          <w:rFonts w:ascii="Verdana" w:hAnsi="Verdana" w:cs="Arial"/>
          <w:color w:val="000000"/>
          <w:sz w:val="14"/>
          <w:szCs w:val="14"/>
          <w:shd w:val="clear" w:color="auto" w:fill="FFFFFF"/>
        </w:rPr>
        <w:t>” (</w:t>
      </w:r>
      <w:r w:rsidRPr="009F2629">
        <w:rPr>
          <w:rFonts w:ascii="Verdana" w:hAnsi="Verdana" w:cs="Arial"/>
          <w:color w:val="000000"/>
          <w:sz w:val="14"/>
          <w:szCs w:val="14"/>
        </w:rPr>
        <w:t>EXPOSITO, Juan Carlos. Forma y contenido del contrato estatal. Bogotá: Universidad Externado de Colombia, p. 89 y 90).</w:t>
      </w:r>
    </w:p>
  </w:footnote>
  <w:footnote w:id="2">
    <w:p w14:paraId="0D082C8C" w14:textId="77777777" w:rsidR="00EA255A" w:rsidRPr="00D03768" w:rsidRDefault="00EA255A" w:rsidP="00EA255A">
      <w:pPr>
        <w:pStyle w:val="Textonotapie"/>
        <w:ind w:firstLine="709"/>
        <w:jc w:val="both"/>
        <w:rPr>
          <w:rFonts w:ascii="Verdana" w:hAnsi="Verdana" w:cs="Arial"/>
          <w:color w:val="000000"/>
          <w:sz w:val="14"/>
          <w:szCs w:val="14"/>
          <w:lang w:val="es-CO"/>
        </w:rPr>
      </w:pPr>
      <w:r w:rsidRPr="009F2629">
        <w:rPr>
          <w:rStyle w:val="Refdenotaalpie"/>
          <w:rFonts w:ascii="Verdana" w:hAnsi="Verdana" w:cs="Arial"/>
          <w:color w:val="000000"/>
          <w:sz w:val="14"/>
          <w:szCs w:val="14"/>
        </w:rPr>
        <w:footnoteRef/>
      </w:r>
      <w:r w:rsidRPr="009F2629">
        <w:rPr>
          <w:rFonts w:ascii="Verdana" w:hAnsi="Verdana" w:cs="Arial"/>
          <w:color w:val="000000"/>
          <w:sz w:val="14"/>
          <w:szCs w:val="14"/>
        </w:rPr>
        <w:t xml:space="preserve"> DÍAZ DÍEZ, Cristian Andrés. La liquidación. Serie: Las Cláusulas del Contrato Estatal. Medellín: Librería Jurídica Sánchez y Centro de Estudios de Derecho Administrativo –CEDA–, 2013, pp. 53-54.</w:t>
      </w:r>
    </w:p>
  </w:footnote>
  <w:footnote w:id="3">
    <w:p w14:paraId="0DA19EA6" w14:textId="77777777" w:rsidR="00EA255A" w:rsidRPr="00D03768" w:rsidRDefault="00EA255A" w:rsidP="00EA255A">
      <w:pPr>
        <w:spacing w:after="0" w:line="240" w:lineRule="auto"/>
        <w:ind w:firstLine="709"/>
        <w:jc w:val="both"/>
        <w:rPr>
          <w:rFonts w:ascii="Verdana" w:hAnsi="Verdana" w:cs="Arial"/>
          <w:color w:val="000000"/>
          <w:sz w:val="14"/>
          <w:szCs w:val="14"/>
          <w:lang w:val="es-ES"/>
        </w:rPr>
      </w:pPr>
      <w:r w:rsidRPr="009F2629">
        <w:rPr>
          <w:rStyle w:val="Refdenotaalpie"/>
          <w:rFonts w:ascii="Verdana" w:hAnsi="Verdana" w:cs="Arial"/>
          <w:color w:val="000000"/>
          <w:sz w:val="14"/>
          <w:szCs w:val="14"/>
        </w:rPr>
        <w:footnoteRef/>
      </w:r>
      <w:r w:rsidRPr="009F2629">
        <w:rPr>
          <w:rFonts w:ascii="Verdana" w:hAnsi="Verdana" w:cs="Arial"/>
          <w:color w:val="000000"/>
          <w:sz w:val="14"/>
          <w:szCs w:val="14"/>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4">
    <w:p w14:paraId="0C500B18" w14:textId="77777777" w:rsidR="00EA255A" w:rsidRPr="009F2629" w:rsidRDefault="00EA255A" w:rsidP="00EA255A">
      <w:pPr>
        <w:pStyle w:val="Textonotapie"/>
        <w:ind w:firstLine="709"/>
        <w:jc w:val="both"/>
        <w:rPr>
          <w:rFonts w:ascii="Verdana" w:hAnsi="Verdana" w:cs="Arial"/>
          <w:color w:val="000000" w:themeColor="text1"/>
          <w:sz w:val="14"/>
          <w:szCs w:val="14"/>
          <w:lang w:val="es-ES"/>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w:t>
      </w:r>
      <w:r w:rsidRPr="009F2629">
        <w:rPr>
          <w:rFonts w:ascii="Verdana" w:hAnsi="Verdana" w:cs="Arial"/>
          <w:color w:val="000000" w:themeColor="text1"/>
          <w:sz w:val="14"/>
          <w:szCs w:val="14"/>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75C64173" w14:textId="77777777" w:rsidR="00EA255A" w:rsidRPr="009F2629" w:rsidRDefault="00EA255A" w:rsidP="00EA255A">
      <w:pPr>
        <w:pStyle w:val="Textonotapie"/>
        <w:ind w:firstLine="709"/>
        <w:jc w:val="both"/>
        <w:rPr>
          <w:rFonts w:ascii="Verdana" w:hAnsi="Verdana" w:cs="Arial"/>
          <w:color w:val="000000" w:themeColor="text1"/>
          <w:sz w:val="14"/>
          <w:szCs w:val="14"/>
          <w:lang w:val="es-ES"/>
        </w:rPr>
      </w:pPr>
      <w:r w:rsidRPr="009F2629">
        <w:rPr>
          <w:rFonts w:ascii="Verdana" w:hAnsi="Verdana" w:cs="Arial"/>
          <w:color w:val="000000" w:themeColor="text1"/>
          <w:sz w:val="14"/>
          <w:szCs w:val="14"/>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51C9DFA6" w14:textId="77777777" w:rsidR="00EA255A" w:rsidRPr="009F2629" w:rsidRDefault="00EA255A" w:rsidP="00EA255A">
      <w:pPr>
        <w:pStyle w:val="Textonotapie"/>
        <w:ind w:firstLine="709"/>
        <w:jc w:val="both"/>
        <w:rPr>
          <w:rFonts w:ascii="Verdana" w:hAnsi="Verdana" w:cs="Arial"/>
          <w:color w:val="000000" w:themeColor="text1"/>
          <w:sz w:val="14"/>
          <w:szCs w:val="14"/>
          <w:lang w:val="es-ES"/>
        </w:rPr>
      </w:pPr>
      <w:r w:rsidRPr="009F2629">
        <w:rPr>
          <w:rFonts w:ascii="Verdana" w:hAnsi="Verdana" w:cs="Arial"/>
          <w:color w:val="000000" w:themeColor="text1"/>
          <w:sz w:val="14"/>
          <w:szCs w:val="14"/>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4895BB58" w14:textId="77777777" w:rsidR="00EA255A" w:rsidRPr="009F2629" w:rsidRDefault="00EA255A" w:rsidP="00EA255A">
      <w:pPr>
        <w:pStyle w:val="Textonotapie"/>
        <w:ind w:firstLine="709"/>
        <w:jc w:val="both"/>
        <w:rPr>
          <w:rFonts w:ascii="Verdana" w:hAnsi="Verdana" w:cs="Arial"/>
          <w:color w:val="000000" w:themeColor="text1"/>
          <w:sz w:val="14"/>
          <w:szCs w:val="14"/>
          <w:lang w:val="es-ES"/>
        </w:rPr>
      </w:pPr>
      <w:r w:rsidRPr="2993F789">
        <w:rPr>
          <w:rFonts w:ascii="Verdana" w:hAnsi="Verdana" w:cs="Arial"/>
          <w:color w:val="000000" w:themeColor="text1"/>
          <w:sz w:val="14"/>
          <w:szCs w:val="14"/>
          <w:lang w:val="es-ES"/>
        </w:rPr>
        <w:t>Los contratistas tendrán derecho a efectuar salvedades a la liquidación por mutuo acuerdo, y en este evento la liquidación unilateral solo procederá en relación con los aspectos que no hayan sido objeto de acuerdo”</w:t>
      </w:r>
    </w:p>
  </w:footnote>
  <w:footnote w:id="5">
    <w:p w14:paraId="33410938" w14:textId="77777777" w:rsidR="00EA255A" w:rsidRPr="009F2629" w:rsidDel="009F2629" w:rsidRDefault="00EA255A" w:rsidP="00EA255A">
      <w:pPr>
        <w:pStyle w:val="Textonotapie"/>
        <w:ind w:firstLine="709"/>
        <w:jc w:val="both"/>
        <w:rPr>
          <w:rFonts w:ascii="Verdana" w:hAnsi="Verdana" w:cs="Arial"/>
          <w:color w:val="000000" w:themeColor="text1"/>
          <w:sz w:val="14"/>
          <w:szCs w:val="14"/>
          <w:lang w:val="es-ES"/>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6">
    <w:p w14:paraId="610B728C" w14:textId="77777777" w:rsidR="00EA255A" w:rsidRPr="009F2629" w:rsidDel="009F2629" w:rsidRDefault="00EA255A" w:rsidP="00EA255A">
      <w:pPr>
        <w:pStyle w:val="Textonotapie"/>
        <w:ind w:firstLine="709"/>
        <w:jc w:val="both"/>
        <w:rPr>
          <w:rFonts w:ascii="Verdana" w:hAnsi="Verdana" w:cs="Arial"/>
          <w:color w:val="000000" w:themeColor="text1"/>
          <w:sz w:val="14"/>
          <w:szCs w:val="14"/>
          <w:lang w:val="es-ES"/>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Consejo de Estado. Sala de Consulta y Servicio Civil. Concepto de 28 de Junio de 2016. Radicación: 2253. C.P. Álvaro Namén Vargas. </w:t>
      </w:r>
    </w:p>
  </w:footnote>
  <w:footnote w:id="7">
    <w:p w14:paraId="0F365076" w14:textId="77777777" w:rsidR="00EA255A" w:rsidRPr="009F2629" w:rsidDel="009F2629" w:rsidRDefault="00EA255A" w:rsidP="00EA255A">
      <w:pPr>
        <w:pStyle w:val="Textonotapie"/>
        <w:ind w:firstLine="709"/>
        <w:jc w:val="both"/>
        <w:rPr>
          <w:rFonts w:ascii="Verdana" w:hAnsi="Verdana" w:cs="Arial"/>
          <w:color w:val="000000" w:themeColor="text1"/>
          <w:sz w:val="14"/>
          <w:szCs w:val="14"/>
          <w:lang w:val="es-ES"/>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footnote>
  <w:footnote w:id="8">
    <w:p w14:paraId="31B96C0D" w14:textId="77777777" w:rsidR="00EA255A" w:rsidRPr="009F2629" w:rsidRDefault="00EA255A" w:rsidP="00EA255A">
      <w:pPr>
        <w:pStyle w:val="Textonotapie"/>
        <w:ind w:firstLine="709"/>
        <w:jc w:val="both"/>
        <w:rPr>
          <w:rFonts w:ascii="Verdana" w:hAnsi="Verdana" w:cs="Arial"/>
          <w:color w:val="000000" w:themeColor="text1"/>
          <w:sz w:val="14"/>
          <w:szCs w:val="14"/>
          <w:lang w:val="pt-BR"/>
        </w:rPr>
      </w:pPr>
      <w:r w:rsidRPr="009F2629">
        <w:rPr>
          <w:rStyle w:val="Refdenotaalpie"/>
          <w:rFonts w:ascii="Verdana" w:hAnsi="Verdana" w:cs="Arial"/>
          <w:color w:val="000000" w:themeColor="text1"/>
          <w:sz w:val="14"/>
          <w:szCs w:val="14"/>
        </w:rPr>
        <w:footnoteRef/>
      </w:r>
      <w:r w:rsidRPr="009F2629">
        <w:rPr>
          <w:rFonts w:ascii="Verdana" w:hAnsi="Verdana" w:cs="Arial"/>
          <w:color w:val="000000" w:themeColor="text1"/>
          <w:sz w:val="14"/>
          <w:szCs w:val="14"/>
        </w:rPr>
        <w:t xml:space="preserve"> Consejo de Estado. Sección Tercera. </w:t>
      </w:r>
      <w:r w:rsidRPr="009F2629">
        <w:rPr>
          <w:rFonts w:ascii="Verdana" w:hAnsi="Verdana" w:cs="Arial"/>
          <w:color w:val="000000" w:themeColor="text1"/>
          <w:sz w:val="14"/>
          <w:szCs w:val="14"/>
          <w:lang w:val="pt-BR"/>
        </w:rPr>
        <w:t xml:space="preserve">Sala Plena. Auto de 1 de agosto de 2019. Exp. 62009. C.P. Jaime Enrique Rodríguez Navas. </w:t>
      </w:r>
    </w:p>
  </w:footnote>
  <w:footnote w:id="9">
    <w:p w14:paraId="3172F681" w14:textId="77777777" w:rsidR="00EA255A" w:rsidRPr="003A7739" w:rsidRDefault="00EA255A" w:rsidP="00EA255A">
      <w:pPr>
        <w:pStyle w:val="Textonotapie"/>
        <w:ind w:firstLine="709"/>
        <w:jc w:val="both"/>
        <w:rPr>
          <w:rFonts w:ascii="Verdana" w:hAnsi="Verdana" w:cs="Vrinda"/>
          <w:sz w:val="16"/>
          <w:szCs w:val="16"/>
        </w:rPr>
      </w:pPr>
      <w:r w:rsidRPr="003A7739">
        <w:rPr>
          <w:rStyle w:val="Refdenotaalpie"/>
          <w:rFonts w:ascii="Verdana" w:hAnsi="Verdana" w:cs="Vrinda"/>
          <w:sz w:val="16"/>
          <w:szCs w:val="16"/>
        </w:rPr>
        <w:footnoteRef/>
      </w:r>
      <w:r w:rsidRPr="003A7739">
        <w:rPr>
          <w:rFonts w:ascii="Verdana" w:hAnsi="Verdana" w:cs="Vrinda"/>
          <w:sz w:val="16"/>
          <w:szCs w:val="16"/>
        </w:rPr>
        <w:t xml:space="preserve"> Consejo de Estado. Sección Tercera. Subsección C. Sentencia del 29 de abril de 2015. Exp. 31.620. C.P. Olga Mélida Valle De De La Hoz (E).</w:t>
      </w:r>
    </w:p>
  </w:footnote>
  <w:footnote w:id="10">
    <w:p w14:paraId="22678D27" w14:textId="77777777" w:rsidR="00EA255A" w:rsidRPr="003A7739" w:rsidRDefault="00EA255A" w:rsidP="00EA255A">
      <w:pPr>
        <w:pStyle w:val="Textonotapie"/>
        <w:ind w:firstLine="708"/>
        <w:jc w:val="both"/>
        <w:rPr>
          <w:rFonts w:ascii="Verdana" w:hAnsi="Verdana"/>
          <w:sz w:val="16"/>
          <w:szCs w:val="16"/>
          <w:lang w:val="es-ES" w:bidi="es-ES"/>
        </w:rPr>
      </w:pPr>
      <w:r w:rsidRPr="003A7739">
        <w:rPr>
          <w:rStyle w:val="Refdenotaalpie"/>
          <w:rFonts w:ascii="Verdana" w:hAnsi="Verdana"/>
          <w:sz w:val="16"/>
          <w:szCs w:val="16"/>
        </w:rPr>
        <w:footnoteRef/>
      </w:r>
      <w:r w:rsidRPr="003A7739">
        <w:rPr>
          <w:rFonts w:ascii="Verdana" w:hAnsi="Verdana"/>
          <w:sz w:val="16"/>
          <w:szCs w:val="16"/>
        </w:rPr>
        <w:t xml:space="preserve"> </w:t>
      </w:r>
      <w:r w:rsidRPr="003A7739">
        <w:rPr>
          <w:rFonts w:ascii="Verdana" w:hAnsi="Verdana"/>
          <w:sz w:val="16"/>
          <w:szCs w:val="16"/>
          <w:lang w:val="es-ES" w:bidi="es-ES"/>
        </w:rPr>
        <w:t xml:space="preserve">(Cfr. Sección Tercera. Sentencia del 22 de junio de 2001. Radicado 13.436. </w:t>
      </w:r>
      <w:r w:rsidRPr="003A7739">
        <w:rPr>
          <w:rFonts w:ascii="Verdana" w:hAnsi="Verdana"/>
          <w:i/>
          <w:sz w:val="16"/>
          <w:szCs w:val="16"/>
          <w:lang w:val="es-ES" w:bidi="es-ES"/>
        </w:rPr>
        <w:t>Citada en</w:t>
      </w:r>
      <w:r w:rsidRPr="003A7739">
        <w:rPr>
          <w:rFonts w:ascii="Verdana" w:hAnsi="Verdana"/>
          <w:sz w:val="16"/>
          <w:szCs w:val="16"/>
          <w:lang w:val="es-ES" w:bidi="es-ES"/>
        </w:rPr>
        <w:t>: Sección Cuarta. Sentencia del 23 de septiembre de 2013. Radicado 18.752. C.P. Jorge Octavio Ramírez Ramírez).</w:t>
      </w:r>
    </w:p>
  </w:footnote>
  <w:footnote w:id="11">
    <w:p w14:paraId="799EE649" w14:textId="77777777" w:rsidR="00EA255A" w:rsidRDefault="00EA255A" w:rsidP="00EA255A">
      <w:pPr>
        <w:pStyle w:val="Textonotapie"/>
        <w:ind w:firstLine="709"/>
        <w:jc w:val="both"/>
        <w:rPr>
          <w:rFonts w:ascii="Verdana" w:hAnsi="Verdana"/>
          <w:color w:val="000000" w:themeColor="text1"/>
          <w:sz w:val="16"/>
          <w:szCs w:val="16"/>
        </w:rPr>
      </w:pPr>
      <w:r w:rsidRPr="003A7739">
        <w:rPr>
          <w:rStyle w:val="Refdenotaalpie"/>
          <w:rFonts w:ascii="Verdana" w:hAnsi="Verdana"/>
          <w:color w:val="000000" w:themeColor="text1"/>
          <w:sz w:val="16"/>
          <w:szCs w:val="16"/>
        </w:rPr>
        <w:footnoteRef/>
      </w:r>
      <w:r w:rsidRPr="003A7739">
        <w:rPr>
          <w:rFonts w:ascii="Verdana" w:hAnsi="Verdana"/>
          <w:color w:val="000000" w:themeColor="text1"/>
          <w:sz w:val="16"/>
          <w:szCs w:val="16"/>
        </w:rPr>
        <w:t xml:space="preserve">“Ver, entre otros: Consejo de Estado.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 Citado en Consejo de Estado. Sección Tercera, Subsección A. Sentencia del 16 de mayo de 2019. Rad. (40102). C.P: María Adriana Marín [cita No. 35]. </w:t>
      </w:r>
    </w:p>
    <w:p w14:paraId="5FF5658B" w14:textId="77777777" w:rsidR="00EA255A" w:rsidRPr="003A7739" w:rsidRDefault="00EA255A" w:rsidP="00EA255A">
      <w:pPr>
        <w:pStyle w:val="Textonotapie"/>
        <w:ind w:firstLine="709"/>
        <w:jc w:val="both"/>
        <w:rPr>
          <w:rFonts w:ascii="Verdana" w:hAnsi="Verdana"/>
          <w:color w:val="000000" w:themeColor="text1"/>
          <w:sz w:val="16"/>
          <w:szCs w:val="16"/>
        </w:rPr>
      </w:pPr>
    </w:p>
  </w:footnote>
  <w:footnote w:id="12">
    <w:p w14:paraId="64457C68" w14:textId="77777777" w:rsidR="00EA255A" w:rsidRDefault="00EA255A" w:rsidP="00EA255A">
      <w:pPr>
        <w:pStyle w:val="Textonotapie"/>
        <w:ind w:firstLine="709"/>
        <w:jc w:val="both"/>
        <w:rPr>
          <w:rFonts w:ascii="Verdana" w:hAnsi="Verdana"/>
          <w:color w:val="000000" w:themeColor="text1"/>
          <w:sz w:val="16"/>
          <w:szCs w:val="16"/>
        </w:rPr>
      </w:pPr>
      <w:r w:rsidRPr="003A7739">
        <w:rPr>
          <w:rStyle w:val="Refdenotaalpie"/>
          <w:rFonts w:ascii="Verdana" w:hAnsi="Verdana"/>
          <w:color w:val="000000" w:themeColor="text1"/>
          <w:sz w:val="16"/>
          <w:szCs w:val="16"/>
        </w:rPr>
        <w:footnoteRef/>
      </w:r>
      <w:r w:rsidRPr="003A7739">
        <w:rPr>
          <w:rFonts w:ascii="Verdana" w:hAnsi="Verdana"/>
          <w:color w:val="000000" w:themeColor="text1"/>
          <w:sz w:val="16"/>
          <w:szCs w:val="16"/>
        </w:rPr>
        <w:t xml:space="preserve"> Consejo de Estado. Sección Tercera, Subsección A. Sentencia del 16 de mayo de 2019. Exp 40102. C.P: María Adriana Marín</w:t>
      </w:r>
      <w:r>
        <w:rPr>
          <w:rFonts w:ascii="Verdana" w:hAnsi="Verdana"/>
          <w:color w:val="000000" w:themeColor="text1"/>
          <w:sz w:val="16"/>
          <w:szCs w:val="16"/>
        </w:rPr>
        <w:t>.</w:t>
      </w:r>
    </w:p>
    <w:p w14:paraId="58C285BC" w14:textId="77777777" w:rsidR="00EA255A" w:rsidRPr="003A7739" w:rsidRDefault="00EA255A" w:rsidP="00EA255A">
      <w:pPr>
        <w:pStyle w:val="Textonotapie"/>
        <w:ind w:firstLine="709"/>
        <w:jc w:val="both"/>
        <w:rPr>
          <w:rFonts w:ascii="Verdana" w:hAnsi="Verdana"/>
          <w:color w:val="000000" w:themeColor="text1"/>
          <w:sz w:val="16"/>
          <w:szCs w:val="16"/>
        </w:rPr>
      </w:pPr>
    </w:p>
  </w:footnote>
  <w:footnote w:id="13">
    <w:p w14:paraId="399162FA" w14:textId="77777777" w:rsidR="00EA255A" w:rsidRDefault="00EA255A" w:rsidP="00EA255A">
      <w:pPr>
        <w:pStyle w:val="Textonotapie"/>
        <w:ind w:firstLine="709"/>
        <w:jc w:val="both"/>
        <w:rPr>
          <w:rFonts w:ascii="Verdana" w:hAnsi="Verdana"/>
          <w:color w:val="000000" w:themeColor="text1"/>
          <w:sz w:val="16"/>
          <w:szCs w:val="16"/>
        </w:rPr>
      </w:pPr>
      <w:r w:rsidRPr="003A7739">
        <w:rPr>
          <w:rStyle w:val="Refdenotaalpie"/>
          <w:rFonts w:ascii="Verdana" w:hAnsi="Verdana"/>
          <w:color w:val="000000" w:themeColor="text1"/>
          <w:sz w:val="16"/>
          <w:szCs w:val="16"/>
        </w:rPr>
        <w:footnoteRef/>
      </w:r>
      <w:r w:rsidRPr="003A7739">
        <w:rPr>
          <w:rFonts w:ascii="Verdana" w:hAnsi="Verdana"/>
          <w:color w:val="000000" w:themeColor="text1"/>
          <w:sz w:val="16"/>
          <w:szCs w:val="16"/>
        </w:rPr>
        <w:t xml:space="preserve"> Consejo de Estado. Sección Tercera, Subsección C. Sentencia del 2 de octubre del 2020. Exp. 63644. CP. Jaime Enrique Rodríguez Nava. </w:t>
      </w:r>
    </w:p>
    <w:p w14:paraId="198ED6F5" w14:textId="77777777" w:rsidR="00EA255A" w:rsidRPr="003A7739" w:rsidRDefault="00EA255A" w:rsidP="00EA255A">
      <w:pPr>
        <w:pStyle w:val="Textonotapie"/>
        <w:ind w:firstLine="709"/>
        <w:jc w:val="both"/>
        <w:rPr>
          <w:rFonts w:ascii="Verdana" w:hAnsi="Verdana"/>
          <w:color w:val="000000" w:themeColor="text1"/>
          <w:sz w:val="16"/>
          <w:szCs w:val="16"/>
          <w:lang w:val="es-CO"/>
        </w:rPr>
      </w:pPr>
    </w:p>
  </w:footnote>
  <w:footnote w:id="14">
    <w:p w14:paraId="17D92915" w14:textId="77777777" w:rsidR="00EA255A" w:rsidRDefault="00EA255A" w:rsidP="00EA255A">
      <w:pPr>
        <w:pStyle w:val="Textonotapie"/>
        <w:ind w:firstLine="709"/>
        <w:jc w:val="both"/>
        <w:rPr>
          <w:rFonts w:ascii="Verdana" w:hAnsi="Verdana"/>
          <w:color w:val="000000" w:themeColor="text1"/>
          <w:sz w:val="16"/>
          <w:szCs w:val="16"/>
        </w:rPr>
      </w:pPr>
      <w:r w:rsidRPr="003A7739">
        <w:rPr>
          <w:rStyle w:val="Refdenotaalpie"/>
          <w:rFonts w:ascii="Verdana" w:hAnsi="Verdana"/>
          <w:color w:val="000000" w:themeColor="text1"/>
          <w:sz w:val="16"/>
          <w:szCs w:val="16"/>
        </w:rPr>
        <w:footnoteRef/>
      </w:r>
      <w:r w:rsidRPr="003A7739">
        <w:rPr>
          <w:rFonts w:ascii="Verdana" w:hAnsi="Verdana"/>
          <w:color w:val="000000" w:themeColor="text1"/>
          <w:sz w:val="16"/>
          <w:szCs w:val="16"/>
        </w:rPr>
        <w:t xml:space="preserve"> Consejo de Estado. Sección Tercera. Sentencia de 22 de junio de 2001. Exp. 13436, C.P. Ricardo Hoyos Duque</w:t>
      </w:r>
      <w:r>
        <w:rPr>
          <w:rFonts w:ascii="Verdana" w:hAnsi="Verdana"/>
          <w:color w:val="000000" w:themeColor="text1"/>
          <w:sz w:val="16"/>
          <w:szCs w:val="16"/>
        </w:rPr>
        <w:t xml:space="preserve">. </w:t>
      </w:r>
    </w:p>
    <w:p w14:paraId="0109C753" w14:textId="77777777" w:rsidR="00EA255A" w:rsidRPr="003A7739" w:rsidRDefault="00EA255A" w:rsidP="00EA255A">
      <w:pPr>
        <w:pStyle w:val="Textonotapie"/>
        <w:ind w:firstLine="709"/>
        <w:jc w:val="both"/>
        <w:rPr>
          <w:rFonts w:ascii="Verdana" w:hAnsi="Verdana"/>
          <w:color w:val="000000" w:themeColor="text1"/>
          <w:sz w:val="16"/>
          <w:szCs w:val="16"/>
        </w:rPr>
      </w:pPr>
    </w:p>
  </w:footnote>
  <w:footnote w:id="15">
    <w:p w14:paraId="6F307392" w14:textId="77777777" w:rsidR="00EA255A" w:rsidRDefault="00EA255A" w:rsidP="00EA255A">
      <w:pPr>
        <w:pStyle w:val="Textonotapie"/>
        <w:ind w:firstLine="709"/>
        <w:jc w:val="both"/>
        <w:rPr>
          <w:rFonts w:ascii="Verdana" w:hAnsi="Verdana"/>
          <w:color w:val="000000" w:themeColor="text1"/>
          <w:sz w:val="16"/>
          <w:szCs w:val="16"/>
        </w:rPr>
      </w:pPr>
      <w:r w:rsidRPr="003A7739">
        <w:rPr>
          <w:rStyle w:val="Refdenotaalpie"/>
          <w:rFonts w:ascii="Verdana" w:hAnsi="Verdana"/>
          <w:color w:val="000000" w:themeColor="text1"/>
          <w:sz w:val="16"/>
          <w:szCs w:val="16"/>
        </w:rPr>
        <w:footnoteRef/>
      </w:r>
      <w:r w:rsidRPr="003A7739">
        <w:rPr>
          <w:rFonts w:ascii="Verdana" w:hAnsi="Verdana"/>
          <w:color w:val="000000" w:themeColor="text1"/>
          <w:sz w:val="16"/>
          <w:szCs w:val="16"/>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3A7739">
        <w:rPr>
          <w:rFonts w:ascii="Verdana" w:eastAsia="Calibri" w:hAnsi="Verdana"/>
          <w:color w:val="000000" w:themeColor="text1"/>
          <w:sz w:val="16"/>
          <w:szCs w:val="16"/>
        </w:rPr>
        <w:t>” (</w:t>
      </w:r>
      <w:r w:rsidRPr="003A7739">
        <w:rPr>
          <w:rFonts w:ascii="Verdana" w:hAnsi="Verdana"/>
          <w:color w:val="000000" w:themeColor="text1"/>
          <w:sz w:val="16"/>
          <w:szCs w:val="16"/>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3A7739">
        <w:rPr>
          <w:rFonts w:ascii="Verdana" w:eastAsia="Calibri" w:hAnsi="Verdana"/>
          <w:color w:val="000000" w:themeColor="text1"/>
          <w:sz w:val="16"/>
          <w:szCs w:val="16"/>
        </w:rPr>
        <w:t>”</w:t>
      </w:r>
      <w:r w:rsidRPr="003A7739">
        <w:rPr>
          <w:rFonts w:ascii="Verdana" w:hAnsi="Verdana"/>
          <w:color w:val="000000" w:themeColor="text1"/>
          <w:sz w:val="16"/>
          <w:szCs w:val="16"/>
        </w:rPr>
        <w:t xml:space="preserve"> (MATALLANA CAMACHO, Ernesto. Manual de Contratación de la Administración Pública. Reforma de la Ley 80 de 1993. Bogotá: Universidad Externado de Colombia, 4 ed., 2015, p. 921 y ss).</w:t>
      </w:r>
    </w:p>
    <w:p w14:paraId="30CE9FA1" w14:textId="77777777" w:rsidR="00EA255A" w:rsidRPr="003A7739" w:rsidRDefault="00EA255A" w:rsidP="00EA255A">
      <w:pPr>
        <w:pStyle w:val="Textonotapie"/>
        <w:ind w:firstLine="709"/>
        <w:jc w:val="both"/>
        <w:rPr>
          <w:rFonts w:ascii="Verdana" w:hAnsi="Verdana"/>
          <w:color w:val="000000" w:themeColor="text1"/>
          <w:sz w:val="16"/>
          <w:szCs w:val="16"/>
        </w:rPr>
      </w:pPr>
    </w:p>
  </w:footnote>
  <w:footnote w:id="16">
    <w:p w14:paraId="01CE9E9C" w14:textId="77777777" w:rsidR="00EA255A" w:rsidRDefault="00EA255A" w:rsidP="00EA255A">
      <w:pPr>
        <w:pStyle w:val="Textonotapie"/>
        <w:ind w:firstLine="708"/>
        <w:jc w:val="both"/>
        <w:rPr>
          <w:rFonts w:ascii="Verdana" w:hAnsi="Verdana"/>
          <w:sz w:val="16"/>
          <w:szCs w:val="16"/>
        </w:rPr>
      </w:pPr>
      <w:r w:rsidRPr="003A7739">
        <w:rPr>
          <w:rStyle w:val="Refdenotaalpie"/>
          <w:rFonts w:ascii="Verdana" w:hAnsi="Verdana"/>
          <w:sz w:val="16"/>
          <w:szCs w:val="16"/>
        </w:rPr>
        <w:footnoteRef/>
      </w:r>
      <w:r w:rsidRPr="003A7739">
        <w:rPr>
          <w:rFonts w:ascii="Verdana" w:hAnsi="Verdana"/>
          <w:sz w:val="16"/>
          <w:szCs w:val="16"/>
        </w:rPr>
        <w:t xml:space="preserve"> DÁVILA VINUEZA, Luis Guillermo. Régimen jurídico de la contratación estatal. Bogotá: Legis, 2016. p. 600.</w:t>
      </w:r>
    </w:p>
    <w:p w14:paraId="6EA78635" w14:textId="77777777" w:rsidR="00EA255A" w:rsidRPr="003A7739" w:rsidRDefault="00EA255A" w:rsidP="00EA255A">
      <w:pPr>
        <w:pStyle w:val="Textonotapie"/>
        <w:ind w:firstLine="708"/>
        <w:jc w:val="both"/>
        <w:rPr>
          <w:rFonts w:ascii="Verdana" w:hAnsi="Verdana"/>
          <w:sz w:val="16"/>
          <w:szCs w:val="16"/>
          <w:lang w:val="es-ES"/>
        </w:rPr>
      </w:pPr>
    </w:p>
  </w:footnote>
  <w:footnote w:id="17">
    <w:p w14:paraId="09A7FDA3" w14:textId="77777777" w:rsidR="00425B86" w:rsidRPr="00984E13" w:rsidRDefault="00425B86" w:rsidP="00425B86">
      <w:pPr>
        <w:spacing w:after="0" w:line="240" w:lineRule="auto"/>
        <w:ind w:firstLine="709"/>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Pr>
          <w:rFonts w:ascii="Verdana" w:hAnsi="Verdana" w:cs="Arial"/>
          <w:sz w:val="16"/>
          <w:szCs w:val="16"/>
        </w:rPr>
        <w:t>Consejo de Estado</w:t>
      </w:r>
      <w:r w:rsidRPr="00984E13">
        <w:rPr>
          <w:rFonts w:ascii="Verdana" w:hAnsi="Verdana" w:cs="Arial"/>
          <w:sz w:val="16"/>
          <w:szCs w:val="16"/>
        </w:rPr>
        <w:t>. Sala Plena. Sentencia del 8 de agosto de 2001. Exp. AC-10966 - AC-11274. Consejero Ponente: Reinaldo Chavarro Buriticá.</w:t>
      </w:r>
    </w:p>
  </w:footnote>
  <w:footnote w:id="18">
    <w:p w14:paraId="49720871" w14:textId="77777777" w:rsidR="00546928" w:rsidRPr="00984E13" w:rsidRDefault="00546928" w:rsidP="00546928">
      <w:pPr>
        <w:pStyle w:val="NormalWeb"/>
        <w:shd w:val="clear" w:color="auto" w:fill="FFFFFF"/>
        <w:spacing w:before="0" w:beforeAutospacing="0" w:after="0" w:afterAutospacing="0"/>
        <w:ind w:firstLine="709"/>
        <w:jc w:val="both"/>
        <w:rPr>
          <w:rFonts w:ascii="Verdana" w:hAnsi="Verdana" w:cs="Arial"/>
          <w:sz w:val="16"/>
          <w:szCs w:val="16"/>
        </w:rPr>
      </w:pPr>
      <w:r w:rsidRPr="00984E13">
        <w:rPr>
          <w:rStyle w:val="Refdenotaalpie"/>
          <w:rFonts w:ascii="Verdana" w:hAnsi="Verdana" w:cs="Arial"/>
          <w:sz w:val="16"/>
          <w:szCs w:val="16"/>
        </w:rPr>
        <w:footnoteRef/>
      </w:r>
      <w:r>
        <w:rPr>
          <w:rFonts w:ascii="Verdana" w:eastAsia="Calibri" w:hAnsi="Verdana" w:cs="Arial"/>
          <w:sz w:val="16"/>
          <w:szCs w:val="16"/>
          <w:lang w:val="es-ES"/>
        </w:rPr>
        <w:t>“</w:t>
      </w:r>
      <w:r w:rsidRPr="00984E13">
        <w:rPr>
          <w:rFonts w:ascii="Verdana" w:hAnsi="Verdana" w:cs="Arial"/>
          <w:sz w:val="16"/>
          <w:szCs w:val="16"/>
        </w:rPr>
        <w:t>Artículo 2.2.1.1.2.4.1.</w:t>
      </w:r>
      <w:r w:rsidRPr="00984E13">
        <w:rPr>
          <w:rFonts w:ascii="Verdana" w:hAnsi="Verdana" w:cs="Arial"/>
          <w:i/>
          <w:iCs/>
          <w:sz w:val="16"/>
          <w:szCs w:val="16"/>
        </w:rPr>
        <w:t> </w:t>
      </w:r>
      <w:r w:rsidRPr="00984E13">
        <w:rPr>
          <w:rFonts w:ascii="Verdana" w:hAnsi="Verdana" w:cs="Arial"/>
          <w:sz w:val="16"/>
          <w:szCs w:val="16"/>
        </w:rPr>
        <w:t>Patrimonio autónomo para el manejo de anticipos.</w:t>
      </w:r>
      <w:r w:rsidRPr="00984E13">
        <w:rPr>
          <w:rFonts w:ascii="Verdana" w:hAnsi="Verdana" w:cs="Arial"/>
          <w:i/>
          <w:iCs/>
          <w:sz w:val="16"/>
          <w:szCs w:val="16"/>
        </w:rPr>
        <w:t> </w:t>
      </w:r>
      <w:r w:rsidRPr="00984E13">
        <w:rPr>
          <w:rFonts w:ascii="Verdana" w:hAnsi="Verdana" w:cs="Arial"/>
          <w:sz w:val="16"/>
          <w:szCs w:val="16"/>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36BAA0EE" w14:textId="77777777" w:rsidR="00546928" w:rsidRPr="00984E13" w:rsidRDefault="00546928" w:rsidP="00546928">
      <w:pPr>
        <w:pStyle w:val="NormalWeb"/>
        <w:shd w:val="clear" w:color="auto" w:fill="FFFFFF"/>
        <w:spacing w:before="0" w:beforeAutospacing="0" w:after="0" w:afterAutospacing="0"/>
        <w:ind w:firstLine="709"/>
        <w:jc w:val="both"/>
        <w:rPr>
          <w:rFonts w:ascii="Verdana" w:hAnsi="Verdana" w:cs="Arial"/>
          <w:sz w:val="16"/>
          <w:szCs w:val="16"/>
        </w:rPr>
      </w:pPr>
      <w:r w:rsidRPr="00984E13">
        <w:rPr>
          <w:rFonts w:ascii="Verdana" w:hAnsi="Verdana" w:cs="Arial"/>
          <w:sz w:val="16"/>
          <w:szCs w:val="16"/>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30BCA80C" w14:textId="77777777" w:rsidR="00546928" w:rsidRPr="00984E13" w:rsidRDefault="00546928" w:rsidP="00546928">
      <w:pPr>
        <w:pStyle w:val="NormalWeb"/>
        <w:shd w:val="clear" w:color="auto" w:fill="FFFFFF"/>
        <w:spacing w:before="0" w:beforeAutospacing="0" w:after="0" w:afterAutospacing="0"/>
        <w:ind w:firstLine="709"/>
        <w:jc w:val="both"/>
        <w:rPr>
          <w:rFonts w:ascii="Verdana" w:hAnsi="Verdana" w:cs="Arial"/>
          <w:sz w:val="16"/>
          <w:szCs w:val="16"/>
        </w:rPr>
      </w:pPr>
      <w:r w:rsidRPr="00984E13">
        <w:rPr>
          <w:rFonts w:ascii="Verdana" w:hAnsi="Verdana" w:cs="Arial"/>
          <w:sz w:val="16"/>
          <w:szCs w:val="16"/>
        </w:rPr>
        <w:t>En los pliegos de condiciones, la Entidad Estatal debe establecer los términos y condiciones de la administración del anticipo a través del patrimonio autónomo.</w:t>
      </w:r>
    </w:p>
    <w:p w14:paraId="5087A92D" w14:textId="77777777" w:rsidR="00546928" w:rsidRPr="00984E13" w:rsidRDefault="00546928" w:rsidP="00546928">
      <w:pPr>
        <w:pStyle w:val="NormalWeb"/>
        <w:shd w:val="clear" w:color="auto" w:fill="FFFFFF"/>
        <w:spacing w:before="0" w:beforeAutospacing="0" w:after="0" w:afterAutospacing="0"/>
        <w:ind w:firstLine="709"/>
        <w:jc w:val="both"/>
        <w:rPr>
          <w:rFonts w:ascii="Verdana" w:eastAsia="Calibri" w:hAnsi="Verdana" w:cs="Arial"/>
          <w:sz w:val="16"/>
          <w:szCs w:val="16"/>
          <w:lang w:val="es-ES" w:eastAsia="es-ES_tradnl"/>
        </w:rPr>
      </w:pPr>
      <w:r w:rsidRPr="00984E13">
        <w:rPr>
          <w:rFonts w:ascii="Verdana" w:hAnsi="Verdana" w:cs="Arial"/>
          <w:sz w:val="16"/>
          <w:szCs w:val="16"/>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Pr>
          <w:rFonts w:ascii="Verdana" w:eastAsia="Calibri" w:hAnsi="Verdana" w:cs="Arial"/>
          <w:sz w:val="16"/>
          <w:szCs w:val="16"/>
          <w:lang w:val="es-ES"/>
        </w:rPr>
        <w:t>”</w:t>
      </w:r>
      <w:r w:rsidRPr="00984E13">
        <w:rPr>
          <w:rFonts w:ascii="Verdana" w:eastAsia="Calibri" w:hAnsi="Verdana" w:cs="Arial"/>
          <w:sz w:val="16"/>
          <w:szCs w:val="16"/>
          <w:lang w:val="es-ES"/>
        </w:rPr>
        <w:t>.</w:t>
      </w:r>
    </w:p>
  </w:footnote>
  <w:footnote w:id="19">
    <w:p w14:paraId="7F7214DC" w14:textId="77777777" w:rsidR="00546928" w:rsidRDefault="00546928" w:rsidP="00546928">
      <w:pPr>
        <w:pStyle w:val="Textonotapie"/>
        <w:ind w:firstLine="709"/>
        <w:jc w:val="both"/>
        <w:rPr>
          <w:rFonts w:ascii="Verdana" w:hAnsi="Verdana" w:cs="Arial"/>
          <w:sz w:val="16"/>
          <w:szCs w:val="16"/>
          <w:lang w:val="es-ES"/>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sidRPr="00984E13">
        <w:rPr>
          <w:rFonts w:ascii="Verdana" w:hAnsi="Verdana" w:cs="Arial"/>
          <w:sz w:val="16"/>
          <w:szCs w:val="16"/>
          <w:lang w:val="es-ES"/>
        </w:rPr>
        <w:t xml:space="preserve">Sobre el particular, se puede consultar la exposición de motivos de la Ley 1474 de 2011, Gaceta 607 del 2010, disponible en:  </w:t>
      </w:r>
      <w:hyperlink r:id="rId1" w:history="1">
        <w:r w:rsidRPr="00984E13">
          <w:rPr>
            <w:rStyle w:val="Hipervnculo"/>
            <w:rFonts w:ascii="Verdana" w:hAnsi="Verdana" w:cs="Arial"/>
            <w:sz w:val="16"/>
            <w:szCs w:val="16"/>
            <w:lang w:val="es-ES"/>
          </w:rPr>
          <w:t>http://svrpubindc.imprenta.gov.co/senado/index.xhtml;jsessionid=b3ba7213a248bacd37376ffcedca</w:t>
        </w:r>
      </w:hyperlink>
      <w:r w:rsidRPr="00984E13">
        <w:rPr>
          <w:rFonts w:ascii="Verdana" w:hAnsi="Verdana" w:cs="Arial"/>
          <w:sz w:val="16"/>
          <w:szCs w:val="16"/>
          <w:lang w:val="es-ES"/>
        </w:rPr>
        <w:t xml:space="preserve"> </w:t>
      </w:r>
    </w:p>
    <w:p w14:paraId="5697433E" w14:textId="77777777" w:rsidR="00546928" w:rsidRPr="00984E13" w:rsidRDefault="00546928" w:rsidP="00546928">
      <w:pPr>
        <w:pStyle w:val="Textonotapie"/>
        <w:ind w:firstLine="709"/>
        <w:jc w:val="both"/>
        <w:rPr>
          <w:rFonts w:ascii="Verdana" w:hAnsi="Verdana" w:cs="Arial"/>
          <w:sz w:val="16"/>
          <w:szCs w:val="16"/>
          <w:lang w:val="es-ES"/>
        </w:rPr>
      </w:pPr>
    </w:p>
  </w:footnote>
  <w:footnote w:id="20">
    <w:p w14:paraId="03FB7D2A" w14:textId="77777777" w:rsidR="00546928" w:rsidRPr="00984E13" w:rsidRDefault="00546928" w:rsidP="00546928">
      <w:pPr>
        <w:pStyle w:val="Sinespaciado"/>
        <w:ind w:firstLine="708"/>
        <w:jc w:val="both"/>
        <w:rPr>
          <w:rFonts w:ascii="Verdana" w:hAnsi="Verdana" w:cs="Arial"/>
          <w:sz w:val="16"/>
          <w:szCs w:val="16"/>
          <w:lang w:val="es-ES"/>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sidRPr="00984E13">
        <w:rPr>
          <w:rFonts w:ascii="Verdana" w:hAnsi="Verdana" w:cs="Arial"/>
          <w:sz w:val="16"/>
          <w:szCs w:val="16"/>
          <w:lang w:val="es-ES"/>
        </w:rPr>
        <w:t xml:space="preserve">La Guía para el manejo de anticipos mediante contrato de fiducia irrevocable puede ser consultada en: </w:t>
      </w:r>
      <w:hyperlink r:id="rId2" w:history="1">
        <w:r w:rsidRPr="00984E13">
          <w:rPr>
            <w:rStyle w:val="Hipervnculo"/>
            <w:rFonts w:ascii="Verdana" w:hAnsi="Verdana" w:cs="Arial"/>
            <w:sz w:val="16"/>
            <w:szCs w:val="16"/>
            <w:lang w:val="es-ES"/>
          </w:rPr>
          <w:t>https://www.colombiacompra.gov.co/wp-content/uploads/2024/08/2017-Guia-para-el-manejo-de-anticipos-mediante-contrato-de-fiducia-mercantil-irrevocable-G-MACFMI-01.pdf</w:t>
        </w:r>
      </w:hyperlink>
      <w:r w:rsidRPr="00984E13">
        <w:rPr>
          <w:rFonts w:ascii="Verdana" w:hAnsi="Verdana" w:cs="Arial"/>
          <w:sz w:val="16"/>
          <w:szCs w:val="16"/>
          <w:lang w:val="es-ES"/>
        </w:rPr>
        <w:t xml:space="preserve">.  </w:t>
      </w:r>
    </w:p>
  </w:footnote>
  <w:footnote w:id="21">
    <w:p w14:paraId="2BD4A0A9" w14:textId="77777777" w:rsidR="00EA255A" w:rsidRDefault="00EA255A" w:rsidP="00EA255A">
      <w:pPr>
        <w:pStyle w:val="Textonotapie"/>
        <w:ind w:firstLine="709"/>
        <w:rPr>
          <w:rFonts w:ascii="Verdana" w:hAnsi="Verdana" w:cs="Arial"/>
          <w:sz w:val="16"/>
          <w:szCs w:val="16"/>
          <w:lang w:eastAsia="es-ES_tradnl"/>
        </w:rPr>
      </w:pPr>
      <w:r w:rsidRPr="00625848">
        <w:rPr>
          <w:rStyle w:val="Refdenotaalpie"/>
          <w:rFonts w:ascii="Verdana" w:hAnsi="Verdana" w:cs="Arial"/>
          <w:sz w:val="16"/>
          <w:szCs w:val="16"/>
        </w:rPr>
        <w:footnoteRef/>
      </w:r>
      <w:r w:rsidRPr="00625848">
        <w:rPr>
          <w:rFonts w:ascii="Verdana" w:hAnsi="Verdana" w:cs="Arial"/>
          <w:sz w:val="16"/>
          <w:szCs w:val="16"/>
        </w:rPr>
        <w:t xml:space="preserve"> </w:t>
      </w:r>
      <w:r w:rsidRPr="00625848">
        <w:rPr>
          <w:rFonts w:ascii="Verdana" w:hAnsi="Verdana" w:cs="Arial"/>
          <w:sz w:val="16"/>
          <w:szCs w:val="16"/>
          <w:lang w:eastAsia="es-ES_tradnl"/>
        </w:rPr>
        <w:t>Artículos 32 y 40 de la Ley 80 de 1993.</w:t>
      </w:r>
    </w:p>
    <w:p w14:paraId="1724321D" w14:textId="77777777" w:rsidR="00EA255A" w:rsidRPr="00625848" w:rsidRDefault="00EA255A" w:rsidP="00EA255A">
      <w:pPr>
        <w:pStyle w:val="Textonotapie"/>
        <w:ind w:firstLine="709"/>
        <w:rPr>
          <w:rFonts w:ascii="Verdana" w:hAnsi="Verdana" w:cs="Arial"/>
          <w:sz w:val="16"/>
          <w:szCs w:val="16"/>
        </w:rPr>
      </w:pPr>
    </w:p>
  </w:footnote>
  <w:footnote w:id="22">
    <w:p w14:paraId="62A33748" w14:textId="77777777" w:rsidR="00EA255A" w:rsidRPr="00625848" w:rsidRDefault="00EA255A" w:rsidP="00EA255A">
      <w:pPr>
        <w:pStyle w:val="Textonotapie"/>
        <w:ind w:firstLine="709"/>
        <w:jc w:val="both"/>
        <w:rPr>
          <w:rFonts w:ascii="Verdana" w:hAnsi="Verdana" w:cs="Arial"/>
          <w:sz w:val="16"/>
          <w:szCs w:val="16"/>
        </w:rPr>
      </w:pPr>
      <w:r w:rsidRPr="00625848">
        <w:rPr>
          <w:rStyle w:val="Refdenotaalpie"/>
          <w:rFonts w:ascii="Verdana" w:hAnsi="Verdana" w:cs="Arial"/>
          <w:sz w:val="16"/>
          <w:szCs w:val="16"/>
        </w:rPr>
        <w:footnoteRef/>
      </w:r>
      <w:r w:rsidRPr="00625848">
        <w:rPr>
          <w:rFonts w:ascii="Verdana" w:hAnsi="Verdana" w:cs="Arial"/>
          <w:sz w:val="16"/>
          <w:szCs w:val="16"/>
        </w:rPr>
        <w:t xml:space="preserve"> GACETA DEL CONGRESO No. 75 del 23 de septiembre de 1992. Exposición de motivos de la Ley 80 de 1993.</w:t>
      </w:r>
    </w:p>
  </w:footnote>
  <w:footnote w:id="23">
    <w:p w14:paraId="2A8CC091" w14:textId="77777777" w:rsidR="00EA255A" w:rsidRDefault="00EA255A" w:rsidP="00EA255A">
      <w:pPr>
        <w:pStyle w:val="Textonotapie"/>
        <w:ind w:firstLine="709"/>
        <w:jc w:val="both"/>
        <w:rPr>
          <w:rFonts w:ascii="Verdana" w:hAnsi="Verdana" w:cs="Arial"/>
          <w:sz w:val="16"/>
          <w:szCs w:val="16"/>
        </w:rPr>
      </w:pPr>
      <w:r w:rsidRPr="00625848">
        <w:rPr>
          <w:rStyle w:val="Refdenotaalpie"/>
          <w:rFonts w:ascii="Verdana" w:hAnsi="Verdana" w:cs="Arial"/>
          <w:sz w:val="16"/>
          <w:szCs w:val="16"/>
        </w:rPr>
        <w:footnoteRef/>
      </w:r>
      <w:r w:rsidRPr="00625848">
        <w:rPr>
          <w:rFonts w:ascii="Verdana" w:hAnsi="Verdana" w:cs="Arial"/>
          <w:sz w:val="16"/>
          <w:szCs w:val="16"/>
        </w:rPr>
        <w:t xml:space="preserve"> La transacción, como se explicará más adelante, es un contrato y a la vez un mecanismo de solución de conflictos que carece de regulación en el Estatuto General de Contratación de la Administración Pública, razón por la cual es menester acudir a la definición que de este consagra el Código Civil. El artículo 2469 del citado Código, aplicable a los contratos estatales, lo define como un contrato en el que las partes terminan extrajudicialmente un litigio pendiente o precaven uno eventual. De manera que a través de este negocio jurídico las partes inmersas en un conflicto presente o futuro convienen en solucionarlo o evitarlo haciéndose concesiones entre ellas y de forma definitiva como quiera que en los términos de los artículos 1625 y 2483 </w:t>
      </w:r>
      <w:r w:rsidRPr="00625848">
        <w:rPr>
          <w:rFonts w:ascii="Verdana" w:hAnsi="Verdana" w:cs="Arial"/>
          <w:i/>
          <w:iCs/>
          <w:sz w:val="16"/>
          <w:szCs w:val="16"/>
        </w:rPr>
        <w:t>ibídem</w:t>
      </w:r>
      <w:r w:rsidRPr="00625848">
        <w:rPr>
          <w:rFonts w:ascii="Verdana" w:hAnsi="Verdana" w:cs="Arial"/>
          <w:sz w:val="16"/>
          <w:szCs w:val="16"/>
        </w:rPr>
        <w:t xml:space="preserve"> es una forma de extinción de las obligaciones y produce los efectos de la cosa juzgada.</w:t>
      </w:r>
    </w:p>
    <w:p w14:paraId="74C4345E" w14:textId="77777777" w:rsidR="00EA255A" w:rsidRPr="00625848" w:rsidRDefault="00EA255A" w:rsidP="00EA255A">
      <w:pPr>
        <w:pStyle w:val="Textonotapie"/>
        <w:ind w:firstLine="709"/>
        <w:jc w:val="both"/>
        <w:rPr>
          <w:rFonts w:ascii="Verdana" w:hAnsi="Verdana" w:cs="Arial"/>
          <w:sz w:val="16"/>
          <w:szCs w:val="16"/>
        </w:rPr>
      </w:pPr>
    </w:p>
  </w:footnote>
  <w:footnote w:id="24">
    <w:p w14:paraId="2619F51C" w14:textId="77777777" w:rsidR="00EA255A" w:rsidRDefault="00EA255A" w:rsidP="00EA255A">
      <w:pPr>
        <w:pStyle w:val="Textonotapie"/>
        <w:ind w:firstLine="709"/>
        <w:jc w:val="both"/>
        <w:rPr>
          <w:rFonts w:ascii="Verdana" w:hAnsi="Verdana" w:cs="Arial"/>
          <w:sz w:val="16"/>
          <w:szCs w:val="16"/>
        </w:rPr>
      </w:pPr>
      <w:r w:rsidRPr="00625848">
        <w:rPr>
          <w:rStyle w:val="Refdenotaalpie"/>
          <w:rFonts w:ascii="Verdana" w:hAnsi="Verdana" w:cs="Arial"/>
          <w:sz w:val="16"/>
          <w:szCs w:val="16"/>
        </w:rPr>
        <w:footnoteRef/>
      </w:r>
      <w:r w:rsidRPr="00625848">
        <w:rPr>
          <w:rFonts w:ascii="Verdana" w:hAnsi="Verdana" w:cs="Arial"/>
          <w:sz w:val="16"/>
          <w:szCs w:val="16"/>
        </w:rPr>
        <w:t xml:space="preserve"> Según el artículo 64 de la Ley 446 de 1998, la conciliación es un mecanismo de resolución de conflictos a través del cual, dos o más personas gestionan por sí mismas la solución de sus diferencias, con la ayuda de un tercero neutral y calificado, denominado conciliador. Son conciliables todos los asuntos susceptibles de transacción, desistimiento y aquellos que expresamente determine la ley (artículo 65 Ley 446 de 1998 y 19 de la Ley 640 de 2001). El acuerdo conciliatorio hace tránsito a cosa juzgada y el acta de conciliación presta mérito ejecutivo (artículo 66 Ley 446 de 1998). De conformidad con el artículo 70 de la Ley 446 de 1998 pueden conciliar, total o parcialmente en las etapas prejudicial o judicial, las personas de derecho público, a través de sus representantes legales o por conducto de apoderado, sobre conflictos de carácter particular y contenido económico de que conozca o pueda conocer la Jurisdicción de lo Contencioso Administrativo mediante el medio de control de controversias contractuales (artículo 141 de la Ley 1437 de 2011).</w:t>
      </w:r>
    </w:p>
    <w:p w14:paraId="4CDCE97F" w14:textId="77777777" w:rsidR="00EA255A" w:rsidRPr="00625848" w:rsidRDefault="00EA255A" w:rsidP="00EA255A">
      <w:pPr>
        <w:pStyle w:val="Textonotapie"/>
        <w:ind w:firstLine="709"/>
        <w:jc w:val="both"/>
        <w:rPr>
          <w:rFonts w:ascii="Verdana" w:hAnsi="Verdana" w:cs="Arial"/>
          <w:sz w:val="16"/>
          <w:szCs w:val="16"/>
        </w:rPr>
      </w:pPr>
    </w:p>
  </w:footnote>
  <w:footnote w:id="25">
    <w:p w14:paraId="51F67B10" w14:textId="77777777" w:rsidR="00EA255A" w:rsidRPr="00625848" w:rsidRDefault="00EA255A" w:rsidP="00EA255A">
      <w:pPr>
        <w:pStyle w:val="Textonotapie"/>
        <w:ind w:firstLine="709"/>
        <w:jc w:val="both"/>
        <w:rPr>
          <w:rFonts w:ascii="Verdana" w:hAnsi="Verdana" w:cs="Arial"/>
          <w:sz w:val="16"/>
          <w:szCs w:val="16"/>
          <w:lang w:val="es-ES"/>
        </w:rPr>
      </w:pPr>
      <w:r w:rsidRPr="00625848">
        <w:rPr>
          <w:rStyle w:val="Refdenotaalpie"/>
          <w:rFonts w:ascii="Verdana" w:hAnsi="Verdana" w:cs="Arial"/>
          <w:sz w:val="16"/>
          <w:szCs w:val="16"/>
        </w:rPr>
        <w:footnoteRef/>
      </w:r>
      <w:r w:rsidRPr="00625848">
        <w:rPr>
          <w:rFonts w:ascii="Verdana" w:hAnsi="Verdana" w:cs="Arial"/>
          <w:sz w:val="16"/>
          <w:szCs w:val="16"/>
        </w:rPr>
        <w:t xml:space="preserve"> </w:t>
      </w:r>
      <w:r w:rsidRPr="00625848">
        <w:rPr>
          <w:rFonts w:ascii="Verdana" w:hAnsi="Verdana" w:cs="Arial"/>
          <w:sz w:val="16"/>
          <w:szCs w:val="16"/>
          <w:lang w:val="es-ES"/>
        </w:rPr>
        <w:t xml:space="preserve">Que en realidad podría ser visto como un conjunto de reglas derivadas de principios rectores de la contratación pública y, en general, de la función administrativa, tales como la eficacia, la celeridad, la economía, entre otros.  </w:t>
      </w:r>
    </w:p>
  </w:footnote>
  <w:footnote w:id="26">
    <w:p w14:paraId="77DBEB0D" w14:textId="77777777" w:rsidR="00EA255A" w:rsidRPr="00625848" w:rsidRDefault="00EA255A" w:rsidP="00EA255A">
      <w:pPr>
        <w:pStyle w:val="Textonotapie"/>
        <w:ind w:firstLine="709"/>
        <w:jc w:val="both"/>
        <w:rPr>
          <w:rFonts w:ascii="Verdana" w:hAnsi="Verdana" w:cs="Arial"/>
          <w:sz w:val="16"/>
          <w:szCs w:val="16"/>
        </w:rPr>
      </w:pPr>
      <w:r w:rsidRPr="00625848">
        <w:rPr>
          <w:rStyle w:val="Refdenotaalpie"/>
          <w:rFonts w:ascii="Verdana" w:hAnsi="Verdana" w:cs="Arial"/>
          <w:sz w:val="16"/>
          <w:szCs w:val="16"/>
        </w:rPr>
        <w:footnoteRef/>
      </w:r>
      <w:r w:rsidRPr="00625848">
        <w:rPr>
          <w:rFonts w:ascii="Verdana" w:hAnsi="Verdana" w:cs="Arial"/>
          <w:sz w:val="16"/>
          <w:szCs w:val="16"/>
        </w:rPr>
        <w:t xml:space="preserve"> C</w:t>
      </w:r>
      <w:r>
        <w:rPr>
          <w:rFonts w:ascii="Verdana" w:hAnsi="Verdana" w:cs="Arial"/>
          <w:sz w:val="16"/>
          <w:szCs w:val="16"/>
        </w:rPr>
        <w:t>orte Constitucional</w:t>
      </w:r>
      <w:r w:rsidRPr="00625848">
        <w:rPr>
          <w:rFonts w:ascii="Verdana" w:hAnsi="Verdana" w:cs="Arial"/>
          <w:sz w:val="16"/>
          <w:szCs w:val="16"/>
        </w:rPr>
        <w:t xml:space="preserve">. Sentencia T-017 de 20 de enero de 2005. M.P. Rodrigo Escobar Gil. En similar sentido, </w:t>
      </w:r>
      <w:r>
        <w:rPr>
          <w:rFonts w:ascii="Verdana" w:hAnsi="Verdana" w:cs="Arial"/>
          <w:sz w:val="16"/>
          <w:szCs w:val="16"/>
        </w:rPr>
        <w:t>Consejo de Estado</w:t>
      </w:r>
      <w:r w:rsidRPr="00625848">
        <w:rPr>
          <w:rFonts w:ascii="Verdana" w:hAnsi="Verdana" w:cs="Arial"/>
          <w:sz w:val="16"/>
          <w:szCs w:val="16"/>
        </w:rPr>
        <w:t>. Sala de Consulta y Servicio Civil, Concepto de 12 de diciembre de 2017, Rad. 2338, C.P. Oscar Darío Amaya Navas.</w:t>
      </w:r>
    </w:p>
  </w:footnote>
  <w:footnote w:id="27">
    <w:p w14:paraId="4AD5548C" w14:textId="77777777" w:rsidR="00EA255A" w:rsidRPr="00625848" w:rsidRDefault="00EA255A" w:rsidP="00EA255A">
      <w:pPr>
        <w:pStyle w:val="Textonotapie"/>
        <w:ind w:firstLine="708"/>
        <w:jc w:val="both"/>
        <w:rPr>
          <w:rFonts w:ascii="Verdana" w:hAnsi="Verdana" w:cs="Arial"/>
          <w:sz w:val="16"/>
          <w:szCs w:val="16"/>
          <w:lang w:val="es-ES"/>
        </w:rPr>
      </w:pPr>
      <w:r w:rsidRPr="00625848">
        <w:rPr>
          <w:rStyle w:val="Refdenotaalpie"/>
          <w:rFonts w:ascii="Verdana" w:hAnsi="Verdana" w:cs="Arial"/>
          <w:sz w:val="16"/>
          <w:szCs w:val="16"/>
        </w:rPr>
        <w:footnoteRef/>
      </w:r>
      <w:r w:rsidRPr="00625848">
        <w:rPr>
          <w:rFonts w:ascii="Verdana" w:hAnsi="Verdana" w:cs="Arial"/>
          <w:sz w:val="16"/>
          <w:szCs w:val="16"/>
        </w:rPr>
        <w:t xml:space="preserve"> Respecto a la conciliación extra judicial y judicial, ver las leyes 446 de 1998, 640 de 2001 y Ley 2220 de 2022 “Por medio del cual se expide el Estatuto de Conciliación y se dictan otras disposiciones”. Al respecto, del precitado Estatuto de Conciliación se destaca el principio de autocomposición, que es definido en el artículo 4 así: “[…] </w:t>
      </w:r>
      <w:r w:rsidRPr="00625848">
        <w:rPr>
          <w:rFonts w:ascii="Verdana" w:hAnsi="Verdana" w:cs="Arial"/>
          <w:bCs/>
          <w:sz w:val="16"/>
          <w:szCs w:val="16"/>
          <w:lang w:val="es-CO"/>
        </w:rPr>
        <w:t>1. Autocomposición.</w:t>
      </w:r>
      <w:r w:rsidRPr="00625848">
        <w:rPr>
          <w:rFonts w:ascii="Verdana" w:hAnsi="Verdana" w:cs="Arial"/>
          <w:sz w:val="16"/>
          <w:szCs w:val="16"/>
          <w:lang w:val="es-CO"/>
        </w:rPr>
        <w:t> Son las propias partes confrontadas las que resuelven su conflicto, desavenencias o diferencias en ejercicio de la autonomía de la voluntad, asistidos por un tercero neutral e imparcial que promueve y facilita el diálogo y la búsqueda de soluciones al conflicto y negociación entre ellas y que puede proponer fórmulas de solución que las partes pueden o no aceptar según su voluntad. Los interesados gozan de la facultad de definir el centro de conciliación donde se llevará a cabo la conciliación, elegir el conciliador”. </w:t>
      </w:r>
    </w:p>
  </w:footnote>
  <w:footnote w:id="28">
    <w:p w14:paraId="75195E64" w14:textId="77777777" w:rsidR="00EA255A" w:rsidRPr="00300FD9" w:rsidRDefault="00EA255A" w:rsidP="00EA255A">
      <w:pPr>
        <w:pStyle w:val="NormalWeb"/>
        <w:spacing w:before="0" w:beforeAutospacing="0" w:after="0" w:afterAutospacing="0"/>
        <w:ind w:firstLine="708"/>
        <w:jc w:val="both"/>
        <w:rPr>
          <w:rFonts w:ascii="Verdana" w:hAnsi="Verdana" w:cs="Arial"/>
          <w:color w:val="000000"/>
          <w:sz w:val="16"/>
          <w:szCs w:val="16"/>
        </w:rPr>
      </w:pPr>
      <w:r w:rsidRPr="00300FD9">
        <w:rPr>
          <w:rStyle w:val="Refdenotaalpie"/>
          <w:rFonts w:ascii="Verdana" w:hAnsi="Verdana"/>
          <w:sz w:val="16"/>
          <w:szCs w:val="16"/>
        </w:rPr>
        <w:footnoteRef/>
      </w:r>
      <w:r w:rsidRPr="00300FD9">
        <w:rPr>
          <w:rFonts w:ascii="Verdana" w:hAnsi="Verdana"/>
          <w:sz w:val="16"/>
          <w:szCs w:val="16"/>
        </w:rPr>
        <w:t xml:space="preserve"> </w:t>
      </w:r>
      <w:r w:rsidRPr="00300FD9">
        <w:rPr>
          <w:rFonts w:ascii="Verdana" w:hAnsi="Verdana" w:cs="Arial"/>
          <w:bCs/>
          <w:color w:val="000000"/>
          <w:sz w:val="16"/>
          <w:szCs w:val="16"/>
        </w:rPr>
        <w:t xml:space="preserve">Artículo 11. </w:t>
      </w:r>
      <w:r w:rsidRPr="00300FD9">
        <w:rPr>
          <w:rFonts w:ascii="Verdana" w:hAnsi="Verdana" w:cs="Arial"/>
          <w:bCs/>
          <w:i/>
          <w:iCs/>
          <w:color w:val="000000"/>
          <w:sz w:val="16"/>
          <w:szCs w:val="16"/>
        </w:rPr>
        <w:t>Conflictos de interés y causales de impedimento y recusación</w:t>
      </w:r>
      <w:r w:rsidRPr="00300FD9">
        <w:rPr>
          <w:rFonts w:ascii="Verdana" w:hAnsi="Verdana" w:cs="Arial"/>
          <w:i/>
          <w:iCs/>
          <w:color w:val="000000"/>
          <w:sz w:val="16"/>
          <w:szCs w:val="16"/>
        </w:rPr>
        <w:t>. </w:t>
      </w:r>
      <w:r w:rsidRPr="00300FD9">
        <w:rPr>
          <w:rFonts w:ascii="Verdana" w:hAnsi="Verdana" w:cs="Arial"/>
          <w:color w:val="000000"/>
          <w:sz w:val="16"/>
          <w:szCs w:val="16"/>
        </w:rPr>
        <w:t>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 </w:t>
      </w:r>
    </w:p>
    <w:p w14:paraId="694712DE" w14:textId="77777777" w:rsidR="00EA255A" w:rsidRPr="00300FD9" w:rsidRDefault="00EA255A" w:rsidP="00EA255A">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 </w:t>
      </w:r>
    </w:p>
    <w:p w14:paraId="66ABC841" w14:textId="77777777" w:rsidR="00EA255A" w:rsidRPr="00300FD9" w:rsidRDefault="00EA255A" w:rsidP="00EA255A">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2. Haber conocido del asunto, en oportunidad anterior, el servidor, su cónyuge, compañero permanente o alguno de sus parientes indicados en el numeral precedente. </w:t>
      </w:r>
    </w:p>
    <w:p w14:paraId="672E5E3F" w14:textId="77777777" w:rsidR="00EA255A" w:rsidRPr="00300FD9" w:rsidRDefault="00EA255A" w:rsidP="00EA255A">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3. Ser el servidor, su cónyuge, compañero permanente o alguno de sus parientes arriba indicados, curador o tutor de persona interesada en el asunto. </w:t>
      </w:r>
    </w:p>
    <w:p w14:paraId="78E281A8" w14:textId="77777777" w:rsidR="00EA255A" w:rsidRPr="00300FD9" w:rsidRDefault="00EA255A" w:rsidP="00EA255A">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4. Ser alguno de los interesados en la actuación administrativa: representante, apoderado, dependiente, mandatario o administrador de los negocios del servidor público. </w:t>
      </w:r>
    </w:p>
    <w:p w14:paraId="24950404" w14:textId="77777777" w:rsidR="00EA255A" w:rsidRPr="00300FD9" w:rsidRDefault="00EA255A" w:rsidP="00EA255A">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5. Existir litigio o controversia ante autoridades administrativas o jurisdiccionales entre el servidor, su cónyuge, compañero permanente, o alguno de sus parientes indicados en el numeral 1, y cualquiera de los interesados en la actuación, su representante o apoderado. </w:t>
      </w:r>
    </w:p>
    <w:p w14:paraId="03C7DC35" w14:textId="77777777" w:rsidR="00EA255A" w:rsidRPr="00300FD9" w:rsidRDefault="00EA255A" w:rsidP="00EA255A">
      <w:pPr>
        <w:spacing w:after="0" w:line="240" w:lineRule="auto"/>
        <w:ind w:firstLine="708"/>
        <w:jc w:val="both"/>
        <w:rPr>
          <w:rFonts w:ascii="Verdana" w:eastAsia="Times New Roman" w:hAnsi="Verdana" w:cs="Arial"/>
          <w:color w:val="000000"/>
          <w:sz w:val="16"/>
          <w:szCs w:val="16"/>
        </w:rPr>
      </w:pPr>
      <w:r w:rsidRPr="00300FD9">
        <w:rPr>
          <w:rFonts w:ascii="Verdana" w:eastAsia="Times New Roman" w:hAnsi="Verdana" w:cs="Arial"/>
          <w:color w:val="000000"/>
          <w:sz w:val="16"/>
          <w:szCs w:val="16"/>
        </w:rPr>
        <w:t>6. Haber formulado alguno de los interesados en la actuación, su representante o apoderado, denuncia penal contra el servidor, su cónyuge, compañero permanente, o pariente hasta el segundo grado de consanguinidad, segundo de afinidad o primero civil, antes de iniciarse la actuación administrativa; o después, siempre que la denuncia se refiera a hechos ajenos a la actuación y que el denunciado se halle vinculado a la investigación penal. </w:t>
      </w:r>
    </w:p>
    <w:p w14:paraId="25578D0F" w14:textId="77777777" w:rsidR="00EA255A" w:rsidRPr="00300FD9" w:rsidRDefault="00EA255A" w:rsidP="00EA255A">
      <w:pPr>
        <w:rPr>
          <w:rFonts w:ascii="Verdana" w:eastAsia="Calibri" w:hAnsi="Verdana" w:cs="Times New Roman"/>
          <w:sz w:val="16"/>
          <w:szCs w:val="16"/>
        </w:rPr>
      </w:pPr>
      <w:r w:rsidRPr="00300FD9">
        <w:rPr>
          <w:rFonts w:ascii="Verdana" w:eastAsia="Times New Roman" w:hAnsi="Verdana" w:cs="Arial"/>
          <w:color w:val="000000"/>
          <w:sz w:val="16"/>
          <w:szCs w:val="16"/>
        </w:rPr>
        <w:t>[…]</w:t>
      </w:r>
    </w:p>
  </w:footnote>
  <w:footnote w:id="29">
    <w:p w14:paraId="2ACB4DF2" w14:textId="77777777" w:rsidR="00EA255A" w:rsidRPr="00300FD9" w:rsidRDefault="00EA255A" w:rsidP="00EA255A">
      <w:pPr>
        <w:spacing w:after="0" w:line="240" w:lineRule="auto"/>
        <w:ind w:firstLine="708"/>
        <w:jc w:val="both"/>
        <w:rPr>
          <w:rFonts w:ascii="Verdana" w:hAnsi="Verdana" w:cs="Arial"/>
          <w:color w:val="000000" w:themeColor="text1"/>
          <w:sz w:val="16"/>
          <w:szCs w:val="16"/>
          <w:lang w:eastAsia="es-ES_tradnl"/>
        </w:rPr>
      </w:pPr>
      <w:r w:rsidRPr="00300FD9">
        <w:rPr>
          <w:rStyle w:val="Refdenotaalpie"/>
          <w:rFonts w:ascii="Verdana" w:hAnsi="Verdana" w:cs="Arial"/>
          <w:color w:val="000000" w:themeColor="text1"/>
          <w:sz w:val="16"/>
          <w:szCs w:val="16"/>
        </w:rPr>
        <w:footnoteRef/>
      </w:r>
      <w:r w:rsidRPr="00300FD9">
        <w:rPr>
          <w:rFonts w:ascii="Verdana" w:hAnsi="Verdana" w:cs="Arial"/>
          <w:color w:val="000000" w:themeColor="text1"/>
          <w:sz w:val="16"/>
          <w:szCs w:val="16"/>
        </w:rPr>
        <w:t xml:space="preserve"> </w:t>
      </w:r>
      <w:bookmarkStart w:id="1" w:name="2"/>
      <w:r w:rsidRPr="00300FD9">
        <w:rPr>
          <w:rFonts w:ascii="Verdana" w:hAnsi="Verdana" w:cs="Arial"/>
          <w:color w:val="000000" w:themeColor="text1"/>
          <w:sz w:val="16"/>
          <w:szCs w:val="16"/>
          <w:lang w:eastAsia="es-ES_tradnl"/>
        </w:rPr>
        <w:t>ARTÍCULO 2o. ÁMBITO DE APLICACIÓN.</w:t>
      </w:r>
      <w:bookmarkEnd w:id="1"/>
      <w:r w:rsidRPr="00300FD9">
        <w:rPr>
          <w:rFonts w:ascii="Verdana" w:hAnsi="Verdana" w:cs="Arial"/>
          <w:color w:val="000000" w:themeColor="text1"/>
          <w:sz w:val="16"/>
          <w:szCs w:val="16"/>
          <w:lang w:eastAsia="es-ES_tradnl"/>
        </w:rPr>
        <w:t xml:space="preserve"> Las normas de esta Parte Primera del Código se aplican a todos los organismos y </w:t>
      </w:r>
      <w:r w:rsidRPr="00300FD9">
        <w:rPr>
          <w:rFonts w:ascii="Verdana" w:eastAsia="Times New Roman" w:hAnsi="Verdana" w:cs="Arial"/>
          <w:color w:val="000000" w:themeColor="text1"/>
          <w:sz w:val="16"/>
          <w:szCs w:val="16"/>
          <w:lang w:eastAsia="es-ES_tradnl"/>
        </w:rPr>
        <w:t>entidades</w:t>
      </w:r>
      <w:r w:rsidRPr="00300FD9">
        <w:rPr>
          <w:rFonts w:ascii="Verdana" w:hAnsi="Verdana" w:cs="Arial"/>
          <w:color w:val="000000" w:themeColor="text1"/>
          <w:sz w:val="16"/>
          <w:szCs w:val="16"/>
          <w:lang w:eastAsia="es-ES_tradnl"/>
        </w:rPr>
        <w:t xml:space="preserve"> que conforman las ramas del poder público en sus distintos órdenes, sectores y niveles, a los órganos autónomos e independientes del Estado y a los particulares, cuando cumplan funciones administrativas. A todos ellos se les dará el nombre de autoridades. </w:t>
      </w:r>
    </w:p>
    <w:p w14:paraId="5479FA0E" w14:textId="77777777" w:rsidR="00EA255A" w:rsidRPr="00300FD9" w:rsidRDefault="00EA255A" w:rsidP="00EA255A">
      <w:pPr>
        <w:spacing w:after="0" w:line="240" w:lineRule="auto"/>
        <w:ind w:firstLine="708"/>
        <w:jc w:val="both"/>
        <w:rPr>
          <w:rFonts w:ascii="Verdana" w:eastAsia="Times New Roman" w:hAnsi="Verdana" w:cs="Arial"/>
          <w:color w:val="000000" w:themeColor="text1"/>
          <w:sz w:val="16"/>
          <w:szCs w:val="16"/>
          <w:lang w:eastAsia="es-ES_tradnl"/>
        </w:rPr>
      </w:pPr>
      <w:r w:rsidRPr="00300FD9">
        <w:rPr>
          <w:rFonts w:ascii="Verdana" w:eastAsia="Times New Roman" w:hAnsi="Verdana" w:cs="Arial"/>
          <w:color w:val="000000" w:themeColor="text1"/>
          <w:sz w:val="16"/>
          <w:szCs w:val="16"/>
          <w:lang w:eastAsia="es-ES_tradnl"/>
        </w:rPr>
        <w:t>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 </w:t>
      </w:r>
    </w:p>
    <w:p w14:paraId="667ACD51" w14:textId="77777777" w:rsidR="00EA255A" w:rsidRPr="00300FD9" w:rsidRDefault="00EA255A" w:rsidP="00EA255A">
      <w:pPr>
        <w:spacing w:after="0" w:line="240" w:lineRule="auto"/>
        <w:ind w:firstLine="708"/>
        <w:jc w:val="both"/>
        <w:rPr>
          <w:rFonts w:ascii="Verdana" w:eastAsia="Times New Roman" w:hAnsi="Verdana" w:cs="Arial"/>
          <w:color w:val="000000" w:themeColor="text1"/>
          <w:sz w:val="16"/>
          <w:szCs w:val="16"/>
          <w:lang w:eastAsia="es-ES_tradnl"/>
        </w:rPr>
      </w:pPr>
      <w:r w:rsidRPr="00300FD9">
        <w:rPr>
          <w:rFonts w:ascii="Verdana" w:eastAsia="Times New Roman" w:hAnsi="Verdana" w:cs="Arial"/>
          <w:color w:val="000000" w:themeColor="text1"/>
          <w:sz w:val="16"/>
          <w:szCs w:val="16"/>
          <w:lang w:eastAsia="es-ES_tradnl"/>
        </w:rPr>
        <w:t>Las autoridades sujetarán sus actuaciones a los procedimientos que se establecen en este Código, sin perjuicio de los procedimientos regulados en leyes especiales. En lo no previsto en los mismos se aplicarán las disposiciones de este Código</w:t>
      </w:r>
    </w:p>
    <w:p w14:paraId="10237B4A" w14:textId="77777777" w:rsidR="00EA255A" w:rsidRPr="00300FD9" w:rsidRDefault="00EA255A" w:rsidP="00EA255A">
      <w:pPr>
        <w:pStyle w:val="Textonotapie"/>
        <w:jc w:val="both"/>
        <w:rPr>
          <w:rFonts w:ascii="Arial" w:hAnsi="Arial" w:cs="Arial"/>
          <w:color w:val="000000" w:themeColor="text1"/>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2953617">
    <w:abstractNumId w:val="5"/>
  </w:num>
  <w:num w:numId="2" w16cid:durableId="504056212">
    <w:abstractNumId w:val="1"/>
  </w:num>
  <w:num w:numId="3" w16cid:durableId="1970699358">
    <w:abstractNumId w:val="3"/>
  </w:num>
  <w:num w:numId="4" w16cid:durableId="14081138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9985744">
    <w:abstractNumId w:val="1"/>
  </w:num>
  <w:num w:numId="6" w16cid:durableId="1147086711">
    <w:abstractNumId w:val="13"/>
  </w:num>
  <w:num w:numId="7" w16cid:durableId="363213255">
    <w:abstractNumId w:val="4"/>
  </w:num>
  <w:num w:numId="8" w16cid:durableId="478233834">
    <w:abstractNumId w:val="12"/>
  </w:num>
  <w:num w:numId="9" w16cid:durableId="688679341">
    <w:abstractNumId w:val="6"/>
  </w:num>
  <w:num w:numId="10" w16cid:durableId="1852186548">
    <w:abstractNumId w:val="11"/>
  </w:num>
  <w:num w:numId="11" w16cid:durableId="1638298107">
    <w:abstractNumId w:val="7"/>
  </w:num>
  <w:num w:numId="12" w16cid:durableId="2105296002">
    <w:abstractNumId w:val="0"/>
  </w:num>
  <w:num w:numId="13" w16cid:durableId="72318564">
    <w:abstractNumId w:val="2"/>
  </w:num>
  <w:num w:numId="14" w16cid:durableId="1707563871">
    <w:abstractNumId w:val="14"/>
  </w:num>
  <w:num w:numId="15" w16cid:durableId="896284533">
    <w:abstractNumId w:val="10"/>
  </w:num>
  <w:num w:numId="16" w16cid:durableId="680620571">
    <w:abstractNumId w:val="9"/>
  </w:num>
  <w:num w:numId="17" w16cid:durableId="3410118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2834"/>
    <w:rsid w:val="000A683E"/>
    <w:rsid w:val="000B19B9"/>
    <w:rsid w:val="000D0334"/>
    <w:rsid w:val="000D5DA7"/>
    <w:rsid w:val="000F6486"/>
    <w:rsid w:val="00101002"/>
    <w:rsid w:val="00116940"/>
    <w:rsid w:val="00125105"/>
    <w:rsid w:val="00127233"/>
    <w:rsid w:val="0015699B"/>
    <w:rsid w:val="001A33BF"/>
    <w:rsid w:val="001E4177"/>
    <w:rsid w:val="001F0B24"/>
    <w:rsid w:val="001F7DC6"/>
    <w:rsid w:val="0022400B"/>
    <w:rsid w:val="002421BB"/>
    <w:rsid w:val="0025796E"/>
    <w:rsid w:val="002707A2"/>
    <w:rsid w:val="002747D9"/>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B4549"/>
    <w:rsid w:val="003D0F4D"/>
    <w:rsid w:val="003D5B0D"/>
    <w:rsid w:val="003D69C0"/>
    <w:rsid w:val="003E0499"/>
    <w:rsid w:val="003E1725"/>
    <w:rsid w:val="003E4F80"/>
    <w:rsid w:val="003E6439"/>
    <w:rsid w:val="003F3941"/>
    <w:rsid w:val="00406575"/>
    <w:rsid w:val="00414C74"/>
    <w:rsid w:val="00425B86"/>
    <w:rsid w:val="0042722E"/>
    <w:rsid w:val="0044528D"/>
    <w:rsid w:val="00466E39"/>
    <w:rsid w:val="004814D7"/>
    <w:rsid w:val="00486D1F"/>
    <w:rsid w:val="004A1847"/>
    <w:rsid w:val="004A305D"/>
    <w:rsid w:val="004B600A"/>
    <w:rsid w:val="004D0B68"/>
    <w:rsid w:val="004F21C4"/>
    <w:rsid w:val="004F685F"/>
    <w:rsid w:val="00546928"/>
    <w:rsid w:val="005566E8"/>
    <w:rsid w:val="00560C19"/>
    <w:rsid w:val="00574867"/>
    <w:rsid w:val="00591460"/>
    <w:rsid w:val="005A65E0"/>
    <w:rsid w:val="005C3777"/>
    <w:rsid w:val="005C5CDC"/>
    <w:rsid w:val="005D01B3"/>
    <w:rsid w:val="005D255A"/>
    <w:rsid w:val="005D2AF7"/>
    <w:rsid w:val="005D476C"/>
    <w:rsid w:val="005E7FAE"/>
    <w:rsid w:val="006200BF"/>
    <w:rsid w:val="006219F8"/>
    <w:rsid w:val="00621C70"/>
    <w:rsid w:val="006302F7"/>
    <w:rsid w:val="00646B9F"/>
    <w:rsid w:val="00665D70"/>
    <w:rsid w:val="0066638C"/>
    <w:rsid w:val="006900D9"/>
    <w:rsid w:val="006F6457"/>
    <w:rsid w:val="00706C16"/>
    <w:rsid w:val="007340C3"/>
    <w:rsid w:val="0075235A"/>
    <w:rsid w:val="00756841"/>
    <w:rsid w:val="007649AB"/>
    <w:rsid w:val="00771D0C"/>
    <w:rsid w:val="007833AC"/>
    <w:rsid w:val="007A0E56"/>
    <w:rsid w:val="007B268C"/>
    <w:rsid w:val="007B7171"/>
    <w:rsid w:val="007C0C0F"/>
    <w:rsid w:val="007C3DC2"/>
    <w:rsid w:val="007E5497"/>
    <w:rsid w:val="00806F5F"/>
    <w:rsid w:val="008123F0"/>
    <w:rsid w:val="00820278"/>
    <w:rsid w:val="008258C9"/>
    <w:rsid w:val="00844AE9"/>
    <w:rsid w:val="00867F95"/>
    <w:rsid w:val="0087249E"/>
    <w:rsid w:val="008843B6"/>
    <w:rsid w:val="00891928"/>
    <w:rsid w:val="008A446D"/>
    <w:rsid w:val="008B25F1"/>
    <w:rsid w:val="008D180B"/>
    <w:rsid w:val="008F0EA7"/>
    <w:rsid w:val="00907AD9"/>
    <w:rsid w:val="00923EEF"/>
    <w:rsid w:val="009419F9"/>
    <w:rsid w:val="00954AD2"/>
    <w:rsid w:val="0095685E"/>
    <w:rsid w:val="00961B09"/>
    <w:rsid w:val="00965334"/>
    <w:rsid w:val="0097093E"/>
    <w:rsid w:val="009A0DFA"/>
    <w:rsid w:val="009A1C6F"/>
    <w:rsid w:val="009B2D26"/>
    <w:rsid w:val="009C71FA"/>
    <w:rsid w:val="009C72E7"/>
    <w:rsid w:val="009C7F7E"/>
    <w:rsid w:val="009D3058"/>
    <w:rsid w:val="009E517D"/>
    <w:rsid w:val="009F3A13"/>
    <w:rsid w:val="00A122D3"/>
    <w:rsid w:val="00A14468"/>
    <w:rsid w:val="00A17F13"/>
    <w:rsid w:val="00A20739"/>
    <w:rsid w:val="00A23AF9"/>
    <w:rsid w:val="00A33C78"/>
    <w:rsid w:val="00A62CCA"/>
    <w:rsid w:val="00AB0ADB"/>
    <w:rsid w:val="00AD7EFB"/>
    <w:rsid w:val="00B00C0E"/>
    <w:rsid w:val="00B0175C"/>
    <w:rsid w:val="00B01B1A"/>
    <w:rsid w:val="00B0381D"/>
    <w:rsid w:val="00B17D00"/>
    <w:rsid w:val="00B44A47"/>
    <w:rsid w:val="00B72CD3"/>
    <w:rsid w:val="00B72FFF"/>
    <w:rsid w:val="00B76BEF"/>
    <w:rsid w:val="00BA5D04"/>
    <w:rsid w:val="00BC3D36"/>
    <w:rsid w:val="00BD54A6"/>
    <w:rsid w:val="00BD7F72"/>
    <w:rsid w:val="00BF0A01"/>
    <w:rsid w:val="00BF7425"/>
    <w:rsid w:val="00C04FB3"/>
    <w:rsid w:val="00C11D8B"/>
    <w:rsid w:val="00C11E8E"/>
    <w:rsid w:val="00C15139"/>
    <w:rsid w:val="00C330EB"/>
    <w:rsid w:val="00C50D69"/>
    <w:rsid w:val="00C5365C"/>
    <w:rsid w:val="00C65549"/>
    <w:rsid w:val="00C754BE"/>
    <w:rsid w:val="00C76B1C"/>
    <w:rsid w:val="00C81D51"/>
    <w:rsid w:val="00C925AC"/>
    <w:rsid w:val="00CB6357"/>
    <w:rsid w:val="00CC1B26"/>
    <w:rsid w:val="00CD08C2"/>
    <w:rsid w:val="00D361FD"/>
    <w:rsid w:val="00D423A2"/>
    <w:rsid w:val="00D44E26"/>
    <w:rsid w:val="00D520D8"/>
    <w:rsid w:val="00D63AC2"/>
    <w:rsid w:val="00D65DC7"/>
    <w:rsid w:val="00D7383B"/>
    <w:rsid w:val="00D7788A"/>
    <w:rsid w:val="00DA231B"/>
    <w:rsid w:val="00DC39FC"/>
    <w:rsid w:val="00DD47B7"/>
    <w:rsid w:val="00DF5254"/>
    <w:rsid w:val="00E02524"/>
    <w:rsid w:val="00E16408"/>
    <w:rsid w:val="00E20894"/>
    <w:rsid w:val="00E245AB"/>
    <w:rsid w:val="00E2764C"/>
    <w:rsid w:val="00E27F2E"/>
    <w:rsid w:val="00E36F4C"/>
    <w:rsid w:val="00E50AFE"/>
    <w:rsid w:val="00E75C92"/>
    <w:rsid w:val="00E771DC"/>
    <w:rsid w:val="00E8772A"/>
    <w:rsid w:val="00E90F6B"/>
    <w:rsid w:val="00E92C27"/>
    <w:rsid w:val="00EA0E3D"/>
    <w:rsid w:val="00EA255A"/>
    <w:rsid w:val="00EC38A7"/>
    <w:rsid w:val="00EE1AA8"/>
    <w:rsid w:val="00EE7923"/>
    <w:rsid w:val="00F23FEA"/>
    <w:rsid w:val="00F31EDC"/>
    <w:rsid w:val="00F35AB9"/>
    <w:rsid w:val="00F462B3"/>
    <w:rsid w:val="00F5664F"/>
    <w:rsid w:val="00F666C4"/>
    <w:rsid w:val="00F75D5A"/>
    <w:rsid w:val="00F76AFC"/>
    <w:rsid w:val="00FA47C0"/>
    <w:rsid w:val="00FA7D86"/>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EA255A"/>
    <w:pPr>
      <w:spacing w:line="240" w:lineRule="exact"/>
    </w:pPr>
    <w:rPr>
      <w:vertAlign w:val="superscript"/>
    </w:rPr>
  </w:style>
  <w:style w:type="character" w:customStyle="1" w:styleId="NormalWebCar">
    <w:name w:val="Normal (Web) Car"/>
    <w:link w:val="NormalWeb"/>
    <w:uiPriority w:val="99"/>
    <w:locked/>
    <w:rsid w:val="00EA255A"/>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A255A"/>
    <w:rPr>
      <w:rFonts w:ascii="Geomanist Light" w:hAnsi="Geomanist Light"/>
      <w:lang w:val="es-ES"/>
    </w:rPr>
  </w:style>
  <w:style w:type="paragraph" w:styleId="Sinespaciado">
    <w:name w:val="No Spacing"/>
    <w:aliases w:val="No Indent"/>
    <w:link w:val="SinespaciadoCar"/>
    <w:uiPriority w:val="1"/>
    <w:qFormat/>
    <w:rsid w:val="00EA255A"/>
    <w:pPr>
      <w:spacing w:after="0" w:line="240" w:lineRule="auto"/>
    </w:pPr>
  </w:style>
  <w:style w:type="character" w:customStyle="1" w:styleId="SinespaciadoCar">
    <w:name w:val="Sin espaciado Car"/>
    <w:aliases w:val="No Indent Car"/>
    <w:link w:val="Sinespaciado"/>
    <w:uiPriority w:val="3"/>
    <w:rsid w:val="00EA2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05632">
      <w:bodyDiv w:val="1"/>
      <w:marLeft w:val="0"/>
      <w:marRight w:val="0"/>
      <w:marTop w:val="0"/>
      <w:marBottom w:val="0"/>
      <w:divBdr>
        <w:top w:val="none" w:sz="0" w:space="0" w:color="auto"/>
        <w:left w:val="none" w:sz="0" w:space="0" w:color="auto"/>
        <w:bottom w:val="none" w:sz="0" w:space="0" w:color="auto"/>
        <w:right w:val="none" w:sz="0" w:space="0" w:color="auto"/>
      </w:divBdr>
      <w:divsChild>
        <w:div w:id="530068921">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55308643">
      <w:bodyDiv w:val="1"/>
      <w:marLeft w:val="0"/>
      <w:marRight w:val="0"/>
      <w:marTop w:val="0"/>
      <w:marBottom w:val="0"/>
      <w:divBdr>
        <w:top w:val="none" w:sz="0" w:space="0" w:color="auto"/>
        <w:left w:val="none" w:sz="0" w:space="0" w:color="auto"/>
        <w:bottom w:val="none" w:sz="0" w:space="0" w:color="auto"/>
        <w:right w:val="none" w:sz="0" w:space="0" w:color="auto"/>
      </w:divBdr>
      <w:divsChild>
        <w:div w:id="2079016557">
          <w:marLeft w:val="0"/>
          <w:marRight w:val="0"/>
          <w:marTop w:val="0"/>
          <w:marBottom w:val="0"/>
          <w:divBdr>
            <w:top w:val="none" w:sz="0" w:space="0" w:color="auto"/>
            <w:left w:val="none" w:sz="0" w:space="0" w:color="auto"/>
            <w:bottom w:val="none" w:sz="0" w:space="0" w:color="auto"/>
            <w:right w:val="none" w:sz="0" w:space="0" w:color="auto"/>
          </w:divBdr>
        </w:div>
      </w:divsChild>
    </w:div>
    <w:div w:id="1639264581">
      <w:bodyDiv w:val="1"/>
      <w:marLeft w:val="0"/>
      <w:marRight w:val="0"/>
      <w:marTop w:val="0"/>
      <w:marBottom w:val="0"/>
      <w:divBdr>
        <w:top w:val="none" w:sz="0" w:space="0" w:color="auto"/>
        <w:left w:val="none" w:sz="0" w:space="0" w:color="auto"/>
        <w:bottom w:val="none" w:sz="0" w:space="0" w:color="auto"/>
        <w:right w:val="none" w:sz="0" w:space="0" w:color="auto"/>
      </w:divBdr>
      <w:divsChild>
        <w:div w:id="1746148076">
          <w:marLeft w:val="0"/>
          <w:marRight w:val="0"/>
          <w:marTop w:val="0"/>
          <w:marBottom w:val="0"/>
          <w:divBdr>
            <w:top w:val="none" w:sz="0" w:space="0" w:color="auto"/>
            <w:left w:val="none" w:sz="0" w:space="0" w:color="auto"/>
            <w:bottom w:val="none" w:sz="0" w:space="0" w:color="auto"/>
            <w:right w:val="none" w:sz="0" w:space="0" w:color="auto"/>
          </w:divBdr>
        </w:div>
      </w:divsChild>
    </w:div>
    <w:div w:id="1751269286">
      <w:bodyDiv w:val="1"/>
      <w:marLeft w:val="0"/>
      <w:marRight w:val="0"/>
      <w:marTop w:val="0"/>
      <w:marBottom w:val="0"/>
      <w:divBdr>
        <w:top w:val="none" w:sz="0" w:space="0" w:color="auto"/>
        <w:left w:val="none" w:sz="0" w:space="0" w:color="auto"/>
        <w:bottom w:val="none" w:sz="0" w:space="0" w:color="auto"/>
        <w:right w:val="none" w:sz="0" w:space="0" w:color="auto"/>
      </w:divBdr>
      <w:divsChild>
        <w:div w:id="268317095">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enacing@ejercito.mil.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2017-Guia-para-el-manejo-de-anticipos-mediante-contrato-de-fiducia-mercantil-irrevocable-G-MACFMI-01.pdf" TargetMode="External"/><Relationship Id="rId1" Type="http://schemas.openxmlformats.org/officeDocument/2006/relationships/hyperlink" Target="http://svrpubindc.imprenta.gov.co/senado/index.xhtml;jsessionid=b3ba7213a248bacd37376ffced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8E2FEF-B299-4E26-A245-D4AA61313EBC}"/>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39</TotalTime>
  <Pages>38</Pages>
  <Words>12982</Words>
  <Characters>71407</Characters>
  <Application>Microsoft Office Word</Application>
  <DocSecurity>0</DocSecurity>
  <Lines>595</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2026-10-21T22:36:00Z</dcterms:created>
  <dcterms:modified xsi:type="dcterms:W3CDTF">2026-10-21T23:11:00Z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