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42E02" w14:textId="77777777" w:rsidR="00B349E9" w:rsidRDefault="00B349E9" w:rsidP="00B349E9">
      <w:pPr>
        <w:spacing w:after="0" w:line="240" w:lineRule="auto"/>
        <w:contextualSpacing/>
        <w:jc w:val="both"/>
        <w:rPr>
          <w:rFonts w:ascii="Verdana" w:eastAsia="Calibri" w:hAnsi="Verdana" w:cs="Arial"/>
          <w:b/>
          <w:bCs/>
          <w:lang w:eastAsia="es-ES"/>
        </w:rPr>
      </w:pPr>
      <w:bookmarkStart w:id="0" w:name="_Hlk143780582"/>
      <w:r>
        <w:rPr>
          <w:rFonts w:ascii="Verdana" w:eastAsia="Calibri" w:hAnsi="Verdana" w:cs="Arial"/>
          <w:b/>
          <w:bCs/>
          <w:lang w:eastAsia="es-ES"/>
        </w:rPr>
        <w:t>DECRETO 0997 DE 2026 ‒ Verificación de listas internacionales ‒ Artículo 2.2.1.1.2.2.10 del Decreto 1082 de 2015 ‒ Contenido del deber ‒ Constancia en los Documentos del Proceso</w:t>
      </w:r>
    </w:p>
    <w:p w14:paraId="6BC5DAC4" w14:textId="77777777" w:rsidR="00B349E9" w:rsidRDefault="00B349E9" w:rsidP="00B349E9">
      <w:pPr>
        <w:spacing w:after="0" w:line="240" w:lineRule="auto"/>
        <w:contextualSpacing/>
        <w:jc w:val="both"/>
        <w:rPr>
          <w:rFonts w:ascii="Verdana" w:eastAsia="Calibri" w:hAnsi="Verdana" w:cs="Arial"/>
          <w:b/>
          <w:bCs/>
          <w:lang w:eastAsia="es-ES"/>
        </w:rPr>
      </w:pPr>
    </w:p>
    <w:p w14:paraId="20667B74" w14:textId="77777777" w:rsidR="00B349E9" w:rsidRDefault="00B349E9" w:rsidP="00B349E9">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El artículo 11 del Decreto 0997 de 2026 adicionó el artículo 2.2.1.1.2.2.10 al Decreto 1082 de 2015, conforme al cual, en cumplimiento del deber de verificar si se configura la inhabilidad del literal j) del numeral 1 del artículo 8 de la Ley 80 de 1993, las entidades estatales consultan las listas internacionales vinculantes, restrictivas, de inhabilitación o sanción de los organismos multilaterales de los cuales Colombia es miembro, en cuanto resulten aplicables para la verificación de la comisión de prácticas prohibidas reconocidas por los instrumentos internacionales anticorrupción de los que el Estado colombiano es parte. La entidad debe dejar constancia de las consultas en los Documentos del Proceso y garantizar la protección efectiva del derecho al habeas data. La norma desarrolla las recomendaciones del Grupo de Trabajo sobre Cohecho de la OCDE en el marco de la Convención para Combatir el Cohecho de Servidores Públicos Extranjeros en Transacciones Comerciales Internacionales.</w:t>
      </w:r>
    </w:p>
    <w:p w14:paraId="169ADA80" w14:textId="77777777" w:rsidR="00B349E9" w:rsidRDefault="00B349E9" w:rsidP="00B349E9">
      <w:pPr>
        <w:spacing w:after="0" w:line="240" w:lineRule="auto"/>
        <w:contextualSpacing/>
        <w:jc w:val="both"/>
        <w:rPr>
          <w:rFonts w:ascii="Verdana" w:eastAsia="Calibri" w:hAnsi="Verdana" w:cs="Arial"/>
          <w:b/>
          <w:bCs/>
          <w:lang w:eastAsia="es-ES"/>
        </w:rPr>
      </w:pPr>
    </w:p>
    <w:p w14:paraId="4DBD0D4E" w14:textId="77777777" w:rsidR="00B349E9" w:rsidRDefault="00B349E9" w:rsidP="00B349E9">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DECRETO 0997 DE 2026 ‒ Vigencia ‒ Artículo 14 ‒ Aplicación inmediata del artículo 11 ‒ Parágrafo del artículo 2.2.1.1.2.2.10 ‒ Plazo del Gobierno nacional para garantizar la consulta accesible y expedir lineamientos ‒ Procesos cuya invitación o aviso se publique con posterioridad</w:t>
      </w:r>
    </w:p>
    <w:p w14:paraId="68B45B00" w14:textId="77777777" w:rsidR="00B349E9" w:rsidRDefault="00B349E9" w:rsidP="00B349E9">
      <w:pPr>
        <w:spacing w:after="0" w:line="240" w:lineRule="auto"/>
        <w:contextualSpacing/>
        <w:jc w:val="both"/>
        <w:rPr>
          <w:rFonts w:ascii="Verdana" w:eastAsia="Calibri" w:hAnsi="Verdana" w:cs="Arial"/>
          <w:b/>
          <w:bCs/>
          <w:lang w:eastAsia="es-ES"/>
        </w:rPr>
      </w:pPr>
    </w:p>
    <w:p w14:paraId="6A13FDE4" w14:textId="77777777" w:rsidR="00B349E9" w:rsidRDefault="00B349E9" w:rsidP="00B349E9">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xml:space="preserve">Conforme al artículo 14 del Decreto 0997 de 2026, el artículo 11 </w:t>
      </w:r>
      <w:proofErr w:type="gramStart"/>
      <w:r>
        <w:rPr>
          <w:rFonts w:ascii="Verdana" w:eastAsia="Calibri" w:hAnsi="Verdana" w:cs="Arial"/>
          <w:sz w:val="20"/>
          <w:szCs w:val="20"/>
          <w:lang w:eastAsia="es-ES"/>
        </w:rPr>
        <w:t>entró en vigencia</w:t>
      </w:r>
      <w:proofErr w:type="gramEnd"/>
      <w:r>
        <w:rPr>
          <w:rFonts w:ascii="Verdana" w:eastAsia="Calibri" w:hAnsi="Verdana" w:cs="Arial"/>
          <w:sz w:val="20"/>
          <w:szCs w:val="20"/>
          <w:lang w:eastAsia="es-ES"/>
        </w:rPr>
        <w:t xml:space="preserve"> a partir del día siguiente a su publicación en el Diario Oficial, sin sujeción al esquema de implementación progresiva previsto para otras disposiciones del decreto. El parágrafo del artículo 2.2.1.1.2.2.10 no condiciona la exigibilidad del deber de consulta: fija al Gobierno nacional, con el apoyo de la Secretaría de Transparencia de la Presidencia de la República y de esta Agencia, un plazo de seis (6) meses contados desde la expedición del decreto para desarrollar las acciones que garanticen la consulta accesible de las listas y expedir los lineamientos pertinentes, proporcionales y razonables para su cumplimiento. El deber se aplica a los procedimientos de selección cuya invitación, aviso de convocatoria o documento equivalente se publique con posterioridad a la </w:t>
      </w:r>
      <w:proofErr w:type="gramStart"/>
      <w:r>
        <w:rPr>
          <w:rFonts w:ascii="Verdana" w:eastAsia="Calibri" w:hAnsi="Verdana" w:cs="Arial"/>
          <w:sz w:val="20"/>
          <w:szCs w:val="20"/>
          <w:lang w:eastAsia="es-ES"/>
        </w:rPr>
        <w:t>entrada en vigencia</w:t>
      </w:r>
      <w:proofErr w:type="gramEnd"/>
      <w:r>
        <w:rPr>
          <w:rFonts w:ascii="Verdana" w:eastAsia="Calibri" w:hAnsi="Verdana" w:cs="Arial"/>
          <w:sz w:val="20"/>
          <w:szCs w:val="20"/>
          <w:lang w:eastAsia="es-ES"/>
        </w:rPr>
        <w:t xml:space="preserve"> de la norma.</w:t>
      </w:r>
    </w:p>
    <w:p w14:paraId="1C000D70" w14:textId="77777777" w:rsidR="00B349E9" w:rsidRDefault="00B349E9" w:rsidP="00B349E9">
      <w:pPr>
        <w:spacing w:after="0" w:line="240" w:lineRule="auto"/>
        <w:contextualSpacing/>
        <w:jc w:val="both"/>
        <w:rPr>
          <w:rFonts w:ascii="Verdana" w:eastAsia="Calibri" w:hAnsi="Verdana" w:cs="Arial"/>
          <w:b/>
          <w:bCs/>
          <w:lang w:eastAsia="es-ES"/>
        </w:rPr>
      </w:pPr>
    </w:p>
    <w:p w14:paraId="491053F5" w14:textId="77777777" w:rsidR="00B349E9" w:rsidRDefault="00B349E9" w:rsidP="00B349E9">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VERIFICACIÓN DE LISTAS INTERNACIONALES ‒ Listas de organismos multilaterales de los cuales Colombia es miembro ‒ Instrumentos internacionales anticorrupción ‒ Listas de inhabilitación de las instituciones financieras multilaterales ‒ Lineamientos del Gobierno nacional</w:t>
      </w:r>
    </w:p>
    <w:p w14:paraId="1271C8C8" w14:textId="77777777" w:rsidR="00B349E9" w:rsidRDefault="00B349E9" w:rsidP="00B349E9">
      <w:pPr>
        <w:spacing w:after="0" w:line="240" w:lineRule="auto"/>
        <w:contextualSpacing/>
        <w:jc w:val="both"/>
        <w:rPr>
          <w:rFonts w:ascii="Verdana" w:eastAsia="Calibri" w:hAnsi="Verdana" w:cs="Arial"/>
          <w:b/>
          <w:bCs/>
          <w:lang w:eastAsia="es-ES"/>
        </w:rPr>
      </w:pPr>
    </w:p>
    <w:p w14:paraId="32304DEA" w14:textId="77777777" w:rsidR="00B349E9" w:rsidRDefault="00B349E9" w:rsidP="00B349E9">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xml:space="preserve">La norma no enumera los organismos multilaterales ni las listas que deben consultarse; fija los criterios que deben reunir: ser listas vinculantes, restrictivas, de inhabilitación o sanción, de organismos multilaterales de los cuales Colombia es miembro, y resultar </w:t>
      </w:r>
      <w:r>
        <w:rPr>
          <w:rFonts w:ascii="Verdana" w:eastAsia="Calibri" w:hAnsi="Verdana" w:cs="Arial"/>
          <w:sz w:val="20"/>
          <w:szCs w:val="20"/>
          <w:lang w:eastAsia="es-ES"/>
        </w:rPr>
        <w:lastRenderedPageBreak/>
        <w:t xml:space="preserve">aplicables para verificar la comisión de prácticas prohibidas reconocidas por los instrumentos internacionales anticorrupción de los que Colombia es parte, entre ellos la Convención Interamericana contra la Corrupción, la Convención de las Naciones Unidas contra la Corrupción y la Convención </w:t>
      </w:r>
      <w:proofErr w:type="spellStart"/>
      <w:r>
        <w:rPr>
          <w:rFonts w:ascii="Verdana" w:eastAsia="Calibri" w:hAnsi="Verdana" w:cs="Arial"/>
          <w:sz w:val="20"/>
          <w:szCs w:val="20"/>
          <w:lang w:eastAsia="es-ES"/>
        </w:rPr>
        <w:t>Anticohecho</w:t>
      </w:r>
      <w:proofErr w:type="spellEnd"/>
      <w:r>
        <w:rPr>
          <w:rFonts w:ascii="Verdana" w:eastAsia="Calibri" w:hAnsi="Verdana" w:cs="Arial"/>
          <w:sz w:val="20"/>
          <w:szCs w:val="20"/>
          <w:lang w:eastAsia="es-ES"/>
        </w:rPr>
        <w:t xml:space="preserve"> de la OCDE. Los considerandos del decreto se refieren a las listas de inhabilitación de las instituciones financieras multilaterales. La identificación precisa de las listas y la forma de acceder a ellas corresponde a las acciones y lineamientos previstos en el parágrafo del artículo 2.2.1.1.2.2.10, sin que la Agencia pueda, por vía consultiva, establecer una enumeración taxativa.</w:t>
      </w:r>
    </w:p>
    <w:p w14:paraId="0229D8C3" w14:textId="77777777" w:rsidR="00B349E9" w:rsidRDefault="00B349E9" w:rsidP="00B349E9">
      <w:pPr>
        <w:spacing w:after="0" w:line="240" w:lineRule="auto"/>
        <w:contextualSpacing/>
        <w:jc w:val="both"/>
        <w:rPr>
          <w:rFonts w:ascii="Verdana" w:eastAsia="Calibri" w:hAnsi="Verdana" w:cs="Arial"/>
          <w:b/>
          <w:bCs/>
          <w:lang w:eastAsia="es-ES"/>
        </w:rPr>
      </w:pPr>
    </w:p>
    <w:p w14:paraId="1A6D60A6" w14:textId="77777777" w:rsidR="00B349E9" w:rsidRDefault="00B349E9" w:rsidP="00B349E9">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HABEAS DATA ‒ Ley 1581 de 2012 ‒ Consulta de listas por una entidad pública en ejercicio de funciones legales ‒ Principios de finalidad, acceso y circulación restringida, seguridad y confidencialidad ‒ Constancia en los Documentos del Proceso ‒ Versión pública</w:t>
      </w:r>
    </w:p>
    <w:p w14:paraId="71216F6F" w14:textId="77777777" w:rsidR="00B349E9" w:rsidRDefault="00B349E9" w:rsidP="00B349E9">
      <w:pPr>
        <w:spacing w:after="0" w:line="240" w:lineRule="auto"/>
        <w:contextualSpacing/>
        <w:jc w:val="both"/>
        <w:rPr>
          <w:rFonts w:ascii="Verdana" w:eastAsia="Calibri" w:hAnsi="Verdana" w:cs="Arial"/>
          <w:b/>
          <w:bCs/>
          <w:lang w:eastAsia="es-ES"/>
        </w:rPr>
      </w:pPr>
    </w:p>
    <w:p w14:paraId="2ABCEFD5" w14:textId="77777777" w:rsidR="00B349E9" w:rsidRDefault="00B349E9" w:rsidP="00B349E9">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La garantía del derecho al habeas data exigida por el artículo 2.2.1.1.2.2.10 remite al artículo 15 de la Constitución Política, a la Ley 1581 de 2012 y a las normas que la reglamentan. La consulta de las listas por una entidad pública en ejercicio de sus funciones legales no requiere autorización del titular, pero el tratamiento de los datos personales que resulte de ella se sujeta a los principios de legalidad, finalidad, libertad, veracidad, transparencia, acceso y circulación restringida, seguridad y confidencialidad. En consecuencia, la consulta se limita a los proponentes y a la finalidad de verificar la inhabilidad; la constancia en los Documentos del Proceso se circunscribe a la información necesaria para acreditar la consulta y su resultado; y, cuando los documentos que se publican contengan datos personales protegidos, se elabora una versión pública conforme a la Ley 1712 de 2014.</w:t>
      </w:r>
    </w:p>
    <w:p w14:paraId="2D49979F" w14:textId="77777777" w:rsidR="00B349E9" w:rsidRDefault="00B349E9" w:rsidP="00B349E9">
      <w:pPr>
        <w:spacing w:after="0" w:line="240" w:lineRule="auto"/>
        <w:contextualSpacing/>
        <w:jc w:val="both"/>
        <w:rPr>
          <w:rFonts w:ascii="Verdana" w:eastAsia="Calibri" w:hAnsi="Verdana" w:cs="Arial"/>
          <w:b/>
          <w:bCs/>
          <w:lang w:eastAsia="es-ES"/>
        </w:rPr>
      </w:pPr>
    </w:p>
    <w:p w14:paraId="7B4A6F0C" w14:textId="77777777" w:rsidR="00B349E9" w:rsidRDefault="00B349E9" w:rsidP="00B349E9">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INHABILIDAD DEL LITERAL J) DEL NUMERAL 1 DEL ARTÍCULO 8 DE LA LEY 80 DE 1993 ‒ Supuestos ‒ Declaración judicial o administrativa de responsabilidad ‒ Inclusión en listas internacionales ‒ No configura automáticamente la inhabilidad ‒ Verificación en cada caso ‒ Reserva legal y taxatividad ‒ Debido proceso</w:t>
      </w:r>
    </w:p>
    <w:p w14:paraId="719319B7" w14:textId="77777777" w:rsidR="00B349E9" w:rsidRDefault="00B349E9" w:rsidP="00B349E9">
      <w:pPr>
        <w:spacing w:after="0" w:line="240" w:lineRule="auto"/>
        <w:contextualSpacing/>
        <w:jc w:val="both"/>
        <w:rPr>
          <w:rFonts w:ascii="Verdana" w:eastAsia="Calibri" w:hAnsi="Verdana" w:cs="Arial"/>
          <w:b/>
          <w:bCs/>
          <w:lang w:eastAsia="es-ES"/>
        </w:rPr>
      </w:pPr>
    </w:p>
    <w:p w14:paraId="334E7326" w14:textId="77777777" w:rsidR="00B349E9" w:rsidRDefault="00B349E9" w:rsidP="00B349E9">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La inclusión de un proponente en una lista internacional no genera, por sí misma, la inhabilidad para contratar. El inciso segundo del artículo 2.2.1.1.2.2.10 dispone que las entidades deben verificar, en cada caso concreto, si se cumplen los supuestos establecidos en la norma para que la inhabilidad se configure, de conformidad con el ordenamiento jurídico colombiano. La inhabilidad del literal j) exige que la persona natural haya sido declarada responsable judicialmente por los delitos allí señalados, que la persona jurídica haya sido declarada responsable administrativamente por soborno transnacional, o que concurra alguno de los demás supuestos que la norma prevé. Las inhabilidades son de reserva legal, taxativas y de interpretación restrictiva, de modo que la sanción impuesta por un organismo multilateral es un elemento de verificación y no una causal autónoma; su constatación obliga a la entidad a establecer, con garantía del debido proceso y mediante decisión motivada, si concurren los supuestos legales.</w:t>
      </w:r>
    </w:p>
    <w:p w14:paraId="63A44169" w14:textId="77777777" w:rsidR="00B349E9" w:rsidRDefault="00B349E9" w:rsidP="00B349E9">
      <w:pPr>
        <w:spacing w:after="0" w:line="240" w:lineRule="auto"/>
        <w:contextualSpacing/>
        <w:jc w:val="both"/>
        <w:rPr>
          <w:rFonts w:ascii="Verdana" w:eastAsia="Calibri" w:hAnsi="Verdana" w:cs="Arial"/>
          <w:b/>
          <w:bCs/>
          <w:lang w:eastAsia="es-ES"/>
        </w:rPr>
      </w:pPr>
    </w:p>
    <w:p w14:paraId="2F6E335C" w14:textId="77777777" w:rsidR="00B349E9" w:rsidRDefault="00B349E9" w:rsidP="00B349E9">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COMPETENCIA CONSULTIVA ‒ Interpretación de normas generales ‒ Situaciones particulares</w:t>
      </w:r>
    </w:p>
    <w:p w14:paraId="31B51E93" w14:textId="77777777" w:rsidR="00B349E9" w:rsidRDefault="00B349E9" w:rsidP="00B349E9">
      <w:pPr>
        <w:spacing w:after="0" w:line="240" w:lineRule="auto"/>
        <w:contextualSpacing/>
        <w:jc w:val="both"/>
        <w:rPr>
          <w:rFonts w:ascii="Verdana" w:eastAsia="Calibri" w:hAnsi="Verdana" w:cs="Arial"/>
          <w:b/>
          <w:bCs/>
          <w:lang w:eastAsia="es-ES"/>
        </w:rPr>
      </w:pPr>
    </w:p>
    <w:p w14:paraId="0C62B231" w14:textId="77777777" w:rsidR="00B349E9" w:rsidRDefault="00B349E9" w:rsidP="00B349E9">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La competencia consultiva de la Agencia se circunscribe a la interpretación de normas de carácter general en materia de compras y contratación pública. En ejercicio de esa competencia la Agencia interpreta el reglamento vigente, pero no puede sustituir los lineamientos que el propio reglamento defiere al Gobierno nacional ni definir, para un proceso determinado, si un proponente se encuentra inhabilitado, análisis que corresponde a la entidad que adelanta el proceso.</w:t>
      </w:r>
    </w:p>
    <w:p w14:paraId="415AAB89" w14:textId="77777777" w:rsidR="00B349E9" w:rsidRDefault="00B349E9" w:rsidP="00B349E9">
      <w:pPr>
        <w:spacing w:after="0" w:line="240" w:lineRule="auto"/>
        <w:contextualSpacing/>
        <w:jc w:val="both"/>
        <w:rPr>
          <w:rFonts w:ascii="Verdana" w:eastAsia="Calibri" w:hAnsi="Verdana" w:cs="Arial"/>
          <w:b/>
          <w:bCs/>
          <w:lang w:eastAsia="es-ES"/>
        </w:rPr>
      </w:pPr>
    </w:p>
    <w:p w14:paraId="4E738747" w14:textId="77777777" w:rsidR="00B349E9" w:rsidRDefault="00B349E9" w:rsidP="00B349E9">
      <w:pPr>
        <w:spacing w:after="0" w:line="240" w:lineRule="auto"/>
      </w:pPr>
      <w:r>
        <w:br w:type="page"/>
      </w:r>
    </w:p>
    <w:p w14:paraId="411986D5" w14:textId="6AA23F94" w:rsidR="00B349E9" w:rsidRPr="00842A93" w:rsidRDefault="0060740B" w:rsidP="00B349E9">
      <w:pPr>
        <w:spacing w:after="0" w:line="240" w:lineRule="auto"/>
        <w:rPr>
          <w:rFonts w:ascii="Verdana" w:eastAsia="Calibri" w:hAnsi="Verdana" w:cs="Arial"/>
          <w:bCs/>
          <w:lang w:eastAsia="es-ES_tradnl"/>
        </w:rPr>
      </w:pPr>
      <w:r w:rsidRPr="00842A93">
        <w:rPr>
          <w:rFonts w:ascii="Verdana" w:eastAsia="Calibri" w:hAnsi="Verdana" w:cs="Arial"/>
          <w:bCs/>
          <w:lang w:eastAsia="es-ES_tradnl"/>
        </w:rPr>
        <w:lastRenderedPageBreak/>
        <w:t xml:space="preserve">Bogotá D.C., 20 </w:t>
      </w:r>
      <w:r w:rsidR="00842A93" w:rsidRPr="00842A93">
        <w:rPr>
          <w:rFonts w:ascii="Verdana" w:eastAsia="Calibri" w:hAnsi="Verdana" w:cs="Arial"/>
          <w:bCs/>
          <w:lang w:eastAsia="es-ES_tradnl"/>
        </w:rPr>
        <w:t>de octubre</w:t>
      </w:r>
      <w:r w:rsidRPr="00842A93">
        <w:rPr>
          <w:rFonts w:ascii="Verdana" w:eastAsia="Calibri" w:hAnsi="Verdana" w:cs="Arial"/>
          <w:bCs/>
          <w:lang w:eastAsia="es-ES_tradnl"/>
        </w:rPr>
        <w:t xml:space="preserve"> de 2026</w:t>
      </w:r>
    </w:p>
    <w:p w14:paraId="0B5683A1" w14:textId="7844FBA4" w:rsidR="00B349E9" w:rsidRDefault="00B349E9" w:rsidP="00B349E9">
      <w:pPr>
        <w:spacing w:after="0" w:line="240" w:lineRule="auto"/>
        <w:rPr>
          <w:rFonts w:ascii="Verdana" w:hAnsi="Verdana"/>
        </w:rPr>
      </w:pPr>
    </w:p>
    <w:p w14:paraId="110480B2" w14:textId="19918EA5" w:rsidR="00B349E9" w:rsidRPr="00777292" w:rsidRDefault="00842A93" w:rsidP="00B349E9">
      <w:pPr>
        <w:spacing w:after="0" w:line="240" w:lineRule="auto"/>
        <w:rPr>
          <w:rFonts w:ascii="Verdana" w:hAnsi="Verdana"/>
          <w:lang w:val="es-ES_tradnl"/>
        </w:rPr>
      </w:pPr>
      <w:r w:rsidRPr="0060740B">
        <w:rPr>
          <w:rFonts w:ascii="Verdana" w:eastAsia="Calibri" w:hAnsi="Verdana" w:cs="Arial"/>
          <w:noProof/>
          <w:lang w:val="es-ES" w:eastAsia="es-ES"/>
        </w:rPr>
        <w:drawing>
          <wp:anchor distT="0" distB="0" distL="114300" distR="114300" simplePos="0" relativeHeight="251658240" behindDoc="1" locked="0" layoutInCell="1" allowOverlap="1" wp14:anchorId="0644C9EC" wp14:editId="1A35D931">
            <wp:simplePos x="0" y="0"/>
            <wp:positionH relativeFrom="column">
              <wp:posOffset>3809365</wp:posOffset>
            </wp:positionH>
            <wp:positionV relativeFrom="paragraph">
              <wp:posOffset>26035</wp:posOffset>
            </wp:positionV>
            <wp:extent cx="2065655" cy="808990"/>
            <wp:effectExtent l="0" t="0" r="0" b="0"/>
            <wp:wrapTight wrapText="bothSides">
              <wp:wrapPolygon edited="0">
                <wp:start x="0" y="0"/>
                <wp:lineTo x="0" y="20854"/>
                <wp:lineTo x="21314" y="20854"/>
                <wp:lineTo x="21314" y="0"/>
                <wp:lineTo x="0" y="0"/>
              </wp:wrapPolygon>
            </wp:wrapTight>
            <wp:docPr id="808691328" name="Imagen 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691328" name="Imagen 1" descr="Texto, Carta&#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2065655" cy="808990"/>
                    </a:xfrm>
                    <a:prstGeom prst="rect">
                      <a:avLst/>
                    </a:prstGeom>
                  </pic:spPr>
                </pic:pic>
              </a:graphicData>
            </a:graphic>
            <wp14:sizeRelH relativeFrom="page">
              <wp14:pctWidth>0</wp14:pctWidth>
            </wp14:sizeRelH>
            <wp14:sizeRelV relativeFrom="page">
              <wp14:pctHeight>0</wp14:pctHeight>
            </wp14:sizeRelV>
          </wp:anchor>
        </w:drawing>
      </w:r>
    </w:p>
    <w:p w14:paraId="74C9F1E5" w14:textId="5385E585" w:rsidR="00B349E9" w:rsidRDefault="00B349E9" w:rsidP="00B349E9">
      <w:pPr>
        <w:spacing w:after="0" w:line="240" w:lineRule="auto"/>
        <w:rPr>
          <w:rFonts w:ascii="Verdana" w:hAnsi="Verdana"/>
          <w:lang w:val="es-ES"/>
        </w:rPr>
      </w:pPr>
      <w:r>
        <w:rPr>
          <w:rFonts w:ascii="Verdana" w:eastAsia="Calibri" w:hAnsi="Verdana" w:cs="Arial"/>
          <w:lang w:val="es-ES" w:eastAsia="es-ES"/>
        </w:rPr>
        <w:t>Señores</w:t>
      </w:r>
    </w:p>
    <w:p w14:paraId="0251D81B" w14:textId="77777777" w:rsidR="00B349E9" w:rsidRPr="00D22419" w:rsidRDefault="00B349E9" w:rsidP="00B349E9">
      <w:pPr>
        <w:spacing w:after="0" w:line="240" w:lineRule="auto"/>
        <w:rPr>
          <w:rFonts w:ascii="Verdana" w:hAnsi="Verdana"/>
          <w:b/>
          <w:bCs/>
          <w:lang w:val="es-ES"/>
        </w:rPr>
      </w:pPr>
      <w:r w:rsidRPr="00D22419">
        <w:rPr>
          <w:rFonts w:ascii="Verdana" w:eastAsia="Calibri" w:hAnsi="Verdana" w:cs="Arial"/>
          <w:b/>
          <w:bCs/>
          <w:lang w:val="es-ES" w:eastAsia="es-ES"/>
        </w:rPr>
        <w:t>Alcaldía Municipal de Tauramena</w:t>
      </w:r>
    </w:p>
    <w:p w14:paraId="18DC254E" w14:textId="77777777" w:rsidR="00B349E9" w:rsidRDefault="00B349E9" w:rsidP="00B349E9">
      <w:pPr>
        <w:spacing w:after="0" w:line="240" w:lineRule="auto"/>
        <w:rPr>
          <w:rFonts w:ascii="Verdana" w:hAnsi="Verdana"/>
          <w:lang w:val="es-ES"/>
        </w:rPr>
      </w:pPr>
      <w:r>
        <w:rPr>
          <w:rFonts w:ascii="Verdana" w:eastAsia="Calibri" w:hAnsi="Verdana" w:cs="Arial"/>
          <w:lang w:val="es-ES" w:eastAsia="es-ES"/>
        </w:rPr>
        <w:t>juridica@tauramena-casanare.gov.co</w:t>
      </w:r>
    </w:p>
    <w:p w14:paraId="508FDC3B" w14:textId="77777777" w:rsidR="00B349E9" w:rsidRDefault="00B349E9" w:rsidP="00B349E9">
      <w:pPr>
        <w:spacing w:after="0" w:line="240" w:lineRule="auto"/>
        <w:rPr>
          <w:rFonts w:ascii="Verdana" w:hAnsi="Verdana"/>
          <w:lang w:val="es-ES"/>
        </w:rPr>
      </w:pPr>
      <w:r>
        <w:rPr>
          <w:rFonts w:ascii="Verdana" w:eastAsia="Calibri" w:hAnsi="Verdana" w:cs="Arial"/>
          <w:lang w:val="es-ES" w:eastAsia="es-ES"/>
        </w:rPr>
        <w:t>Tauramena, Casanare</w:t>
      </w:r>
    </w:p>
    <w:p w14:paraId="3A00AB6F" w14:textId="77777777" w:rsidR="00B349E9" w:rsidRPr="00966744" w:rsidRDefault="00B349E9" w:rsidP="00B349E9">
      <w:pPr>
        <w:spacing w:after="0" w:line="240" w:lineRule="auto"/>
        <w:rPr>
          <w:rFonts w:ascii="Verdana" w:eastAsia="Calibri" w:hAnsi="Verdana" w:cs="Arial"/>
          <w:lang w:eastAsia="es-ES"/>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349E9" w:rsidRPr="00777292" w14:paraId="22833C00" w14:textId="77777777" w:rsidTr="006A74EB">
        <w:trPr>
          <w:trHeight w:val="190"/>
        </w:trPr>
        <w:tc>
          <w:tcPr>
            <w:tcW w:w="2689" w:type="dxa"/>
          </w:tcPr>
          <w:p w14:paraId="46BD9FA9" w14:textId="77777777" w:rsidR="00B349E9" w:rsidRDefault="00B349E9" w:rsidP="006A74EB">
            <w:pPr>
              <w:jc w:val="both"/>
              <w:rPr>
                <w:rFonts w:ascii="Verdana" w:eastAsia="Calibri" w:hAnsi="Verdana" w:cs="Arial"/>
                <w:b/>
                <w:bCs/>
                <w:lang w:eastAsia="es-ES_tradnl"/>
              </w:rPr>
            </w:pPr>
          </w:p>
          <w:p w14:paraId="73A2E42B" w14:textId="77777777" w:rsidR="00B349E9" w:rsidRPr="00777292" w:rsidRDefault="00B349E9" w:rsidP="006A74EB">
            <w:pPr>
              <w:jc w:val="both"/>
              <w:rPr>
                <w:rFonts w:ascii="Verdana" w:eastAsia="Calibri" w:hAnsi="Verdana" w:cs="Arial"/>
                <w:b/>
                <w:bCs/>
                <w:lang w:eastAsia="es-ES_tradnl"/>
              </w:rPr>
            </w:pPr>
          </w:p>
        </w:tc>
        <w:tc>
          <w:tcPr>
            <w:tcW w:w="6100" w:type="dxa"/>
          </w:tcPr>
          <w:p w14:paraId="4B18344A" w14:textId="6D6DFC49" w:rsidR="00B349E9" w:rsidRPr="00777292" w:rsidRDefault="00B349E9" w:rsidP="006A74EB">
            <w:pPr>
              <w:jc w:val="both"/>
              <w:rPr>
                <w:rFonts w:ascii="Verdana" w:eastAsia="Calibri" w:hAnsi="Verdana" w:cs="Arial"/>
                <w:b/>
                <w:bCs/>
                <w:lang w:eastAsia="es-ES"/>
              </w:rPr>
            </w:pPr>
            <w:r>
              <w:rPr>
                <w:rFonts w:ascii="Verdana" w:eastAsia="Calibri" w:hAnsi="Verdana" w:cs="Arial"/>
                <w:b/>
                <w:bCs/>
                <w:lang w:eastAsia="es-ES"/>
              </w:rPr>
              <w:t>Concepto C-1427 de 2026</w:t>
            </w:r>
          </w:p>
          <w:p w14:paraId="7A9ADFA8" w14:textId="77777777" w:rsidR="00B349E9" w:rsidRPr="00777292" w:rsidRDefault="00B349E9" w:rsidP="006A74EB">
            <w:pPr>
              <w:jc w:val="both"/>
              <w:rPr>
                <w:rFonts w:ascii="Verdana" w:eastAsia="Calibri" w:hAnsi="Verdana" w:cs="Arial"/>
                <w:b/>
                <w:bCs/>
                <w:lang w:eastAsia="es-ES"/>
              </w:rPr>
            </w:pPr>
          </w:p>
        </w:tc>
      </w:tr>
      <w:tr w:rsidR="00B349E9" w:rsidRPr="00777292" w14:paraId="17AD3C9C" w14:textId="77777777" w:rsidTr="006A74EB">
        <w:trPr>
          <w:trHeight w:val="884"/>
        </w:trPr>
        <w:tc>
          <w:tcPr>
            <w:tcW w:w="2689" w:type="dxa"/>
          </w:tcPr>
          <w:p w14:paraId="1FA18B2B" w14:textId="77777777" w:rsidR="00B349E9" w:rsidRPr="00777292" w:rsidRDefault="00B349E9" w:rsidP="006A74EB">
            <w:pPr>
              <w:jc w:val="both"/>
              <w:rPr>
                <w:rFonts w:ascii="Verdana" w:eastAsia="Calibri" w:hAnsi="Verdana" w:cs="Arial"/>
                <w:lang w:eastAsia="es-ES_tradnl"/>
              </w:rPr>
            </w:pPr>
            <w:r>
              <w:rPr>
                <w:rFonts w:ascii="Verdana" w:eastAsia="Calibri" w:hAnsi="Verdana" w:cs="Arial"/>
                <w:b/>
                <w:lang w:eastAsia="es-ES_tradnl"/>
              </w:rPr>
              <w:t>Tema:</w:t>
            </w:r>
            <w:r>
              <w:rPr>
                <w:rFonts w:ascii="Verdana" w:eastAsia="Calibri" w:hAnsi="Verdana" w:cs="Arial"/>
                <w:lang w:eastAsia="es-ES_tradnl"/>
              </w:rPr>
              <w:t xml:space="preserve">                   </w:t>
            </w:r>
          </w:p>
        </w:tc>
        <w:tc>
          <w:tcPr>
            <w:tcW w:w="6100" w:type="dxa"/>
          </w:tcPr>
          <w:p w14:paraId="6A2789B8" w14:textId="77777777" w:rsidR="00425655" w:rsidRDefault="00B349E9" w:rsidP="00F11E40">
            <w:pPr>
              <w:spacing w:line="276" w:lineRule="auto"/>
              <w:contextualSpacing/>
              <w:jc w:val="both"/>
              <w:rPr>
                <w:rFonts w:ascii="Verdana" w:eastAsia="Calibri" w:hAnsi="Verdana" w:cs="Arial"/>
                <w:lang w:eastAsia="es-ES"/>
              </w:rPr>
            </w:pPr>
            <w:r>
              <w:rPr>
                <w:rFonts w:ascii="Verdana" w:eastAsia="Calibri" w:hAnsi="Verdana" w:cs="Arial"/>
                <w:lang w:eastAsia="es-ES"/>
              </w:rPr>
              <w:t xml:space="preserve">DECRETO 0997 DE 2026 ‒ Verificación de listas internacionales ‒ Artículo 2.2.1.1.2.2.10 del Decreto 1082 de 2015 ‒ Contenido del deber ‒ Constancia en los Documentos del Proceso / DECRETO 0997 DE 2026 ‒ Vigencia ‒ Artículo 14 ‒ Aplicación inmediata del artículo 11 ‒ Parágrafo del artículo 2.2.1.1.2.2.10 ‒ / VERIFICACIÓN DE LISTAS INTERNACIONALES ‒ Listas de organismos multilaterales de los cuales Colombia es miembro ‒ Instrumentos internacionales anticorrupción ‒ Listas de inhabilitación de las instituciones financieras multilaterales ‒ Lineamientos del Gobierno nacional / / INHABILIDAD DEL LITERAL J) DEL NUMERAL 1 DEL ARTÍCULO 8 DE LA LEY 80 DE 1993 ‒ Supuestos ‒ Declaración judicial o administrativa de responsabilidad ‒ Inclusión en listas internacionales </w:t>
            </w:r>
          </w:p>
          <w:p w14:paraId="1364A8D2" w14:textId="1ECD252B" w:rsidR="00B349E9" w:rsidRPr="00777292" w:rsidRDefault="00B349E9" w:rsidP="00F11E40">
            <w:pPr>
              <w:spacing w:line="276" w:lineRule="auto"/>
              <w:contextualSpacing/>
              <w:jc w:val="both"/>
              <w:rPr>
                <w:rFonts w:ascii="Verdana" w:eastAsia="Calibri" w:hAnsi="Verdana" w:cs="Arial"/>
                <w:lang w:eastAsia="es-ES"/>
              </w:rPr>
            </w:pPr>
          </w:p>
        </w:tc>
      </w:tr>
      <w:tr w:rsidR="00B349E9" w:rsidRPr="00777292" w14:paraId="7CB9566D" w14:textId="77777777" w:rsidTr="006A74EB">
        <w:tc>
          <w:tcPr>
            <w:tcW w:w="2689" w:type="dxa"/>
          </w:tcPr>
          <w:p w14:paraId="6BFAE89D" w14:textId="77777777" w:rsidR="00B349E9" w:rsidRPr="00777292" w:rsidRDefault="00B349E9" w:rsidP="006A74EB">
            <w:pPr>
              <w:jc w:val="both"/>
              <w:rPr>
                <w:rFonts w:ascii="Verdana" w:eastAsia="Calibri" w:hAnsi="Verdana" w:cs="Arial"/>
                <w:b/>
                <w:lang w:eastAsia="es-ES_tradnl"/>
              </w:rPr>
            </w:pPr>
            <w:r>
              <w:rPr>
                <w:rFonts w:ascii="Verdana" w:eastAsia="Calibri" w:hAnsi="Verdana" w:cs="Arial"/>
                <w:b/>
                <w:lang w:eastAsia="es-ES_tradnl"/>
              </w:rPr>
              <w:t>Radicación:</w:t>
            </w:r>
            <w:r>
              <w:rPr>
                <w:rFonts w:ascii="Verdana" w:eastAsia="Calibri" w:hAnsi="Verdana" w:cs="Arial"/>
                <w:lang w:eastAsia="es-ES_tradnl"/>
              </w:rPr>
              <w:t xml:space="preserve">               </w:t>
            </w:r>
          </w:p>
        </w:tc>
        <w:tc>
          <w:tcPr>
            <w:tcW w:w="6100" w:type="dxa"/>
          </w:tcPr>
          <w:p w14:paraId="13BAB4DE" w14:textId="77777777" w:rsidR="00B349E9" w:rsidRPr="00777292" w:rsidRDefault="00B349E9" w:rsidP="006A74EB">
            <w:pPr>
              <w:jc w:val="both"/>
              <w:rPr>
                <w:rFonts w:ascii="Verdana" w:eastAsia="Calibri" w:hAnsi="Verdana" w:cs="Arial"/>
                <w:lang w:eastAsia="es-ES_tradnl"/>
              </w:rPr>
            </w:pPr>
            <w:r>
              <w:rPr>
                <w:rFonts w:ascii="Verdana" w:eastAsia="Calibri" w:hAnsi="Verdana" w:cs="Arial"/>
                <w:lang w:eastAsia="es-ES_tradnl"/>
              </w:rPr>
              <w:t>Respuesta a consulta con radicado No.</w:t>
            </w:r>
            <w:r>
              <w:rPr>
                <w:rFonts w:ascii="Roboto" w:hAnsi="Roboto"/>
                <w:color w:val="242424"/>
                <w:sz w:val="27"/>
                <w:szCs w:val="27"/>
                <w:shd w:val="clear" w:color="auto" w:fill="FFFFFF"/>
              </w:rPr>
              <w:t xml:space="preserve"> </w:t>
            </w:r>
            <w:r>
              <w:rPr>
                <w:rFonts w:ascii="Verdana" w:hAnsi="Verdana"/>
                <w:color w:val="242424"/>
                <w:shd w:val="clear" w:color="auto" w:fill="FFFFFF"/>
              </w:rPr>
              <w:t>1_2026_09_10_012087</w:t>
            </w:r>
          </w:p>
        </w:tc>
      </w:tr>
    </w:tbl>
    <w:p w14:paraId="6D359320" w14:textId="77777777" w:rsidR="00B349E9" w:rsidRPr="00206556" w:rsidRDefault="00B349E9" w:rsidP="00B349E9">
      <w:pPr>
        <w:tabs>
          <w:tab w:val="left" w:pos="1520"/>
        </w:tabs>
        <w:spacing w:after="0" w:line="276" w:lineRule="auto"/>
        <w:jc w:val="both"/>
        <w:rPr>
          <w:rFonts w:ascii="Verdana" w:eastAsia="Calibri" w:hAnsi="Verdana" w:cs="Arial"/>
          <w:color w:val="ED7D31" w:themeColor="accent2"/>
          <w:sz w:val="20"/>
          <w:szCs w:val="20"/>
          <w:lang w:val="es-ES" w:eastAsia="es-ES"/>
        </w:rPr>
      </w:pPr>
    </w:p>
    <w:p w14:paraId="3B5A1275" w14:textId="77777777" w:rsidR="00B349E9" w:rsidRPr="00206556" w:rsidRDefault="00B349E9" w:rsidP="00B349E9">
      <w:pPr>
        <w:spacing w:after="0" w:line="276" w:lineRule="auto"/>
        <w:jc w:val="both"/>
        <w:rPr>
          <w:rFonts w:ascii="Verdana" w:eastAsia="Calibri" w:hAnsi="Verdana" w:cs="Arial"/>
          <w:color w:val="ED7D31" w:themeColor="accent2"/>
          <w:lang w:val="es-ES" w:eastAsia="es-ES"/>
        </w:rPr>
      </w:pPr>
    </w:p>
    <w:p w14:paraId="0982F8A3" w14:textId="77777777" w:rsidR="00B349E9" w:rsidRPr="00206556" w:rsidRDefault="00B349E9" w:rsidP="00B349E9">
      <w:pPr>
        <w:spacing w:after="0" w:line="276" w:lineRule="auto"/>
        <w:jc w:val="both"/>
        <w:rPr>
          <w:rFonts w:ascii="Verdana" w:eastAsia="Calibri" w:hAnsi="Verdana" w:cs="Arial"/>
          <w:lang w:val="es-ES" w:eastAsia="es-ES"/>
        </w:rPr>
      </w:pPr>
      <w:r>
        <w:rPr>
          <w:rFonts w:ascii="Verdana" w:eastAsia="Calibri" w:hAnsi="Verdana" w:cs="Arial"/>
          <w:lang w:val="es-ES" w:eastAsia="es-ES"/>
        </w:rPr>
        <w:t>Respetados señores:</w:t>
      </w:r>
    </w:p>
    <w:p w14:paraId="0089286F" w14:textId="77777777" w:rsidR="00B349E9" w:rsidRPr="00206556" w:rsidRDefault="00B349E9" w:rsidP="00B349E9">
      <w:pPr>
        <w:tabs>
          <w:tab w:val="left" w:pos="3768"/>
        </w:tabs>
        <w:spacing w:after="0" w:line="276" w:lineRule="auto"/>
        <w:jc w:val="both"/>
        <w:rPr>
          <w:rFonts w:ascii="Verdana" w:eastAsia="Calibri" w:hAnsi="Verdana" w:cs="Arial"/>
          <w:lang w:val="es-ES" w:eastAsia="es-ES"/>
        </w:rPr>
      </w:pPr>
      <w:r>
        <w:rPr>
          <w:rFonts w:ascii="Verdana" w:eastAsia="Calibri" w:hAnsi="Verdana" w:cs="Arial"/>
          <w:lang w:val="es-ES" w:eastAsia="es-ES"/>
        </w:rPr>
        <w:tab/>
      </w:r>
    </w:p>
    <w:p w14:paraId="28E0EC0A" w14:textId="77777777" w:rsidR="00B349E9" w:rsidRPr="00206556" w:rsidRDefault="00B349E9" w:rsidP="00B349E9">
      <w:pPr>
        <w:spacing w:after="0" w:line="276" w:lineRule="auto"/>
        <w:jc w:val="both"/>
        <w:rPr>
          <w:rFonts w:ascii="Verdana" w:eastAsia="Calibri" w:hAnsi="Verdana" w:cs="Arial"/>
          <w:lang w:val="es-ES" w:eastAsia="es-ES"/>
        </w:rPr>
      </w:pPr>
      <w:r>
        <w:rPr>
          <w:rFonts w:ascii="Verdana" w:eastAsia="Calibri" w:hAnsi="Verdana" w:cs="Arial"/>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lang w:val="es-ES"/>
        </w:rPr>
        <w:t xml:space="preserve">así como lo establecido en la Resolución 469 de 2025 expedida por esta Entidad, </w:t>
      </w:r>
      <w:r>
        <w:rPr>
          <w:rFonts w:ascii="Verdana" w:eastAsia="Calibri" w:hAnsi="Verdana" w:cs="Arial"/>
          <w:lang w:val="es-ES" w:eastAsia="es-ES"/>
        </w:rPr>
        <w:t xml:space="preserve">la Agencia Nacional de Contratación Pública – Colombia Compra Eficiente– responde su solicitud de consulta radicada el 10 de septiembre de 2026, en la cual manifiesta lo siguiente: </w:t>
      </w:r>
    </w:p>
    <w:p w14:paraId="57CBFA93" w14:textId="77777777" w:rsidR="00B349E9" w:rsidRPr="006A0794" w:rsidRDefault="00B349E9" w:rsidP="00B349E9">
      <w:pPr>
        <w:spacing w:after="0" w:line="276" w:lineRule="auto"/>
        <w:ind w:right="709"/>
        <w:jc w:val="both"/>
        <w:rPr>
          <w:rFonts w:ascii="Verdana" w:eastAsia="Century Gothic" w:hAnsi="Verdana" w:cs="Century Gothic"/>
          <w:i/>
          <w:iCs/>
          <w:sz w:val="20"/>
          <w:szCs w:val="20"/>
          <w:lang w:val="es-ES"/>
        </w:rPr>
      </w:pPr>
    </w:p>
    <w:p w14:paraId="4758AE8F" w14:textId="77777777" w:rsidR="00B349E9" w:rsidRDefault="00B349E9" w:rsidP="00B349E9">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“Con ocasión de la expedición del Decreto 997 de 2026, y particularmente de lo dispuesto en su artículo 11, mediante el cual se adiciona el artículo 2.2.1.1.2.2.10. a la Subsección 2 de la Sección 2 del Capítulo 1 del Título 1 de la Parte 2 del Libro 2 del Decreto 1082 de 2015, nos permitimos formular las siguientes consultas, con el propósito de establecer el alcance, oportunidad y correcta aplicación de las disposiciones allí contenidas:</w:t>
      </w:r>
    </w:p>
    <w:p w14:paraId="302D7B51" w14:textId="77777777" w:rsidR="00B349E9" w:rsidRDefault="00B349E9" w:rsidP="00B349E9">
      <w:pPr>
        <w:spacing w:after="0" w:line="240" w:lineRule="auto"/>
        <w:ind w:left="708" w:right="709"/>
        <w:jc w:val="both"/>
        <w:rPr>
          <w:rFonts w:ascii="Verdana" w:eastAsia="Century Gothic" w:hAnsi="Verdana" w:cs="Century Gothic"/>
          <w:sz w:val="20"/>
          <w:szCs w:val="20"/>
        </w:rPr>
      </w:pPr>
    </w:p>
    <w:p w14:paraId="5BE0A452" w14:textId="77777777" w:rsidR="00B349E9" w:rsidRDefault="00B349E9" w:rsidP="00B349E9">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1. Vigencia y aplicación del artículo 11 del Decreto 997 de 2026</w:t>
      </w:r>
    </w:p>
    <w:p w14:paraId="540CCC15" w14:textId="77777777" w:rsidR="00B349E9" w:rsidRDefault="00B349E9" w:rsidP="00B349E9">
      <w:pPr>
        <w:spacing w:after="0" w:line="240" w:lineRule="auto"/>
        <w:ind w:left="708" w:right="709"/>
        <w:jc w:val="both"/>
        <w:rPr>
          <w:rFonts w:ascii="Verdana" w:eastAsia="Century Gothic" w:hAnsi="Verdana" w:cs="Century Gothic"/>
          <w:sz w:val="20"/>
          <w:szCs w:val="20"/>
        </w:rPr>
      </w:pPr>
    </w:p>
    <w:p w14:paraId="09FE29DC" w14:textId="77777777" w:rsidR="00B349E9" w:rsidRDefault="00B349E9" w:rsidP="00B349E9">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 xml:space="preserve">Se solicita aclarar si la aplicación del artículo 11 del Decreto 997 de 2026 es inmediata, de conformidad con lo dispuesto en el artículo 14 del mismo decreto, o si, por el contrario, su aplicación efectiva se encuentra supeditada al vencimiento del término de seis (6) </w:t>
      </w:r>
      <w:proofErr w:type="gramStart"/>
      <w:r>
        <w:rPr>
          <w:rFonts w:ascii="Verdana" w:eastAsia="Century Gothic" w:hAnsi="Verdana" w:cs="Century Gothic"/>
          <w:sz w:val="20"/>
          <w:szCs w:val="20"/>
        </w:rPr>
        <w:t>meses previsto</w:t>
      </w:r>
      <w:proofErr w:type="gramEnd"/>
      <w:r>
        <w:rPr>
          <w:rFonts w:ascii="Verdana" w:eastAsia="Century Gothic" w:hAnsi="Verdana" w:cs="Century Gothic"/>
          <w:sz w:val="20"/>
          <w:szCs w:val="20"/>
        </w:rPr>
        <w:t xml:space="preserve"> en el parágrafo de dicho artículo.</w:t>
      </w:r>
    </w:p>
    <w:p w14:paraId="7698836F" w14:textId="77777777" w:rsidR="00B349E9" w:rsidRDefault="00B349E9" w:rsidP="00B349E9">
      <w:pPr>
        <w:spacing w:after="0" w:line="240" w:lineRule="auto"/>
        <w:ind w:left="708" w:right="709"/>
        <w:jc w:val="both"/>
        <w:rPr>
          <w:rFonts w:ascii="Verdana" w:eastAsia="Century Gothic" w:hAnsi="Verdana" w:cs="Century Gothic"/>
          <w:sz w:val="20"/>
          <w:szCs w:val="20"/>
        </w:rPr>
      </w:pPr>
    </w:p>
    <w:p w14:paraId="53F72119" w14:textId="77777777" w:rsidR="00B349E9" w:rsidRDefault="00B349E9" w:rsidP="00B349E9">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Lo anterior, teniendo en cuenta que el parágrafo del artículo 11 establece un término de seis (6) meses, contado a partir de la expedición del decreto, para que las entidades allí relacionadas desarrollen las acciones necesarias que garanticen la consulta accesible de las listas y expidan los lineamientos pertinentes, proporcionales y razonables para el cumplimiento del deber impuesto a las entidades estatales.</w:t>
      </w:r>
    </w:p>
    <w:p w14:paraId="4ABDABF3" w14:textId="77777777" w:rsidR="00B349E9" w:rsidRDefault="00B349E9" w:rsidP="00B349E9">
      <w:pPr>
        <w:spacing w:after="0" w:line="240" w:lineRule="auto"/>
        <w:ind w:left="708" w:right="709"/>
        <w:jc w:val="both"/>
        <w:rPr>
          <w:rFonts w:ascii="Verdana" w:eastAsia="Century Gothic" w:hAnsi="Verdana" w:cs="Century Gothic"/>
          <w:sz w:val="20"/>
          <w:szCs w:val="20"/>
        </w:rPr>
      </w:pPr>
    </w:p>
    <w:p w14:paraId="697A6A62" w14:textId="77777777" w:rsidR="00B349E9" w:rsidRDefault="00B349E9" w:rsidP="00B349E9">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En consecuencia, se solicita precisar si durante dicho término de seis (6) meses las entidades estatales ya se encuentran obligadas a aplicar lo previsto en el artículo 11, o si dicha obligación únicamente resulta exigible una vez se hayan implementado las condiciones técnicas y normativas señaladas en el parágrafo.</w:t>
      </w:r>
    </w:p>
    <w:p w14:paraId="18501B07" w14:textId="77777777" w:rsidR="00B349E9" w:rsidRDefault="00B349E9" w:rsidP="00B349E9">
      <w:pPr>
        <w:spacing w:after="0" w:line="240" w:lineRule="auto"/>
        <w:ind w:left="708" w:right="709"/>
        <w:jc w:val="both"/>
        <w:rPr>
          <w:rFonts w:ascii="Verdana" w:eastAsia="Century Gothic" w:hAnsi="Verdana" w:cs="Century Gothic"/>
          <w:sz w:val="20"/>
          <w:szCs w:val="20"/>
        </w:rPr>
      </w:pPr>
    </w:p>
    <w:p w14:paraId="5429A4D2" w14:textId="77777777" w:rsidR="00B349E9" w:rsidRDefault="00B349E9" w:rsidP="00B349E9">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2. Protección del derecho al habeas data</w:t>
      </w:r>
    </w:p>
    <w:p w14:paraId="5CA4FEDA" w14:textId="77777777" w:rsidR="00B349E9" w:rsidRDefault="00B349E9" w:rsidP="00B349E9">
      <w:pPr>
        <w:spacing w:after="0" w:line="240" w:lineRule="auto"/>
        <w:ind w:left="708" w:right="709"/>
        <w:jc w:val="both"/>
        <w:rPr>
          <w:rFonts w:ascii="Verdana" w:eastAsia="Century Gothic" w:hAnsi="Verdana" w:cs="Century Gothic"/>
          <w:sz w:val="20"/>
          <w:szCs w:val="20"/>
        </w:rPr>
      </w:pPr>
    </w:p>
    <w:p w14:paraId="40D1E6FC" w14:textId="77777777" w:rsidR="00B349E9" w:rsidRDefault="00B349E9" w:rsidP="00B349E9">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En relación con la aplicación del artículo 11 del Decreto 997 de 2026, se solicita precisar el alcance de la obligación de “garantizar la protección efectiva del derecho al habeas data conforme a lo establecido en la normativa vigente”.</w:t>
      </w:r>
    </w:p>
    <w:p w14:paraId="4F9719B4" w14:textId="77777777" w:rsidR="00B349E9" w:rsidRDefault="00B349E9" w:rsidP="00B349E9">
      <w:pPr>
        <w:spacing w:after="0" w:line="240" w:lineRule="auto"/>
        <w:ind w:left="708" w:right="709"/>
        <w:jc w:val="both"/>
        <w:rPr>
          <w:rFonts w:ascii="Verdana" w:eastAsia="Century Gothic" w:hAnsi="Verdana" w:cs="Century Gothic"/>
          <w:sz w:val="20"/>
          <w:szCs w:val="20"/>
        </w:rPr>
      </w:pPr>
    </w:p>
    <w:p w14:paraId="72C1E528" w14:textId="77777777" w:rsidR="00B349E9" w:rsidRDefault="00B349E9" w:rsidP="00B349E9">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En particular, se solicita indicar cuáles son las medidas, procedimientos, protocolos o criterios que deben adoptar las entidades estatales para garantizar el adecuado tratamiento, consulta, utilización, conservación y protección de la información contenida en las listas a las que hace referencia la disposición, especialmente cuando dicha información pueda involucrar datos personales de personas naturales.</w:t>
      </w:r>
    </w:p>
    <w:p w14:paraId="13811669" w14:textId="77777777" w:rsidR="00B349E9" w:rsidRDefault="00B349E9" w:rsidP="00B349E9">
      <w:pPr>
        <w:spacing w:after="0" w:line="240" w:lineRule="auto"/>
        <w:ind w:left="708" w:right="709"/>
        <w:jc w:val="both"/>
        <w:rPr>
          <w:rFonts w:ascii="Verdana" w:eastAsia="Century Gothic" w:hAnsi="Verdana" w:cs="Century Gothic"/>
          <w:sz w:val="20"/>
          <w:szCs w:val="20"/>
        </w:rPr>
      </w:pPr>
    </w:p>
    <w:p w14:paraId="5A457CC1" w14:textId="77777777" w:rsidR="00B349E9" w:rsidRDefault="00B349E9" w:rsidP="00B349E9">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3. Identificación de los organismos multilaterales</w:t>
      </w:r>
    </w:p>
    <w:p w14:paraId="36CFE450" w14:textId="77777777" w:rsidR="00B349E9" w:rsidRDefault="00B349E9" w:rsidP="00B349E9">
      <w:pPr>
        <w:spacing w:after="0" w:line="240" w:lineRule="auto"/>
        <w:ind w:left="708" w:right="709"/>
        <w:jc w:val="both"/>
        <w:rPr>
          <w:rFonts w:ascii="Verdana" w:eastAsia="Century Gothic" w:hAnsi="Verdana" w:cs="Century Gothic"/>
          <w:sz w:val="20"/>
          <w:szCs w:val="20"/>
        </w:rPr>
      </w:pPr>
    </w:p>
    <w:p w14:paraId="60768FA0" w14:textId="77777777" w:rsidR="00B349E9" w:rsidRDefault="00B349E9" w:rsidP="00B349E9">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lastRenderedPageBreak/>
        <w:t>De conformidad con lo dispuesto en el artículo 11 del Decreto 997 de 2026, se solicita precisar, relacionar o listar los organismos multilaterales de los cuales Colombia es miembro, en cuanto resulten aplicables para la verificación de la comisión de prácticas prohibidas reconocidas en los instrumentos internacionales en materia de lucha contra la corrupción de los cuales el Estado colombiano es parte.</w:t>
      </w:r>
    </w:p>
    <w:p w14:paraId="3F70E0AA" w14:textId="77777777" w:rsidR="00B349E9" w:rsidRDefault="00B349E9" w:rsidP="00B349E9">
      <w:pPr>
        <w:spacing w:after="0" w:line="240" w:lineRule="auto"/>
        <w:ind w:left="708" w:right="709"/>
        <w:jc w:val="both"/>
        <w:rPr>
          <w:rFonts w:ascii="Verdana" w:eastAsia="Century Gothic" w:hAnsi="Verdana" w:cs="Century Gothic"/>
          <w:sz w:val="20"/>
          <w:szCs w:val="20"/>
        </w:rPr>
      </w:pPr>
    </w:p>
    <w:p w14:paraId="6867B70B" w14:textId="77777777" w:rsidR="00B349E9" w:rsidRDefault="00B349E9" w:rsidP="00B349E9">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Lo anterior, con el fin de que las entidades estatales cuenten con criterios claros y objetivos que les permitan identificar las listas, bases de datos o fuentes de información que deben ser consultadas para dar cumplimiento adecuado a la obligación establecida en la citada disposición.</w:t>
      </w:r>
    </w:p>
    <w:p w14:paraId="6DE6004D" w14:textId="77777777" w:rsidR="00B349E9" w:rsidRDefault="00B349E9" w:rsidP="00B349E9">
      <w:pPr>
        <w:spacing w:after="0" w:line="240" w:lineRule="auto"/>
        <w:ind w:left="708" w:right="709"/>
        <w:jc w:val="both"/>
        <w:rPr>
          <w:rFonts w:ascii="Verdana" w:eastAsia="Century Gothic" w:hAnsi="Verdana" w:cs="Century Gothic"/>
          <w:sz w:val="20"/>
          <w:szCs w:val="20"/>
        </w:rPr>
      </w:pPr>
    </w:p>
    <w:p w14:paraId="2BA68BFA" w14:textId="77777777" w:rsidR="00B349E9" w:rsidRDefault="00B349E9" w:rsidP="00B349E9">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4. Alcance jurídico de la inclusión de un proponente en las listas</w:t>
      </w:r>
    </w:p>
    <w:p w14:paraId="2F54AEFE" w14:textId="77777777" w:rsidR="00B349E9" w:rsidRDefault="00B349E9" w:rsidP="00B349E9">
      <w:pPr>
        <w:spacing w:after="0" w:line="240" w:lineRule="auto"/>
        <w:ind w:left="708" w:right="709"/>
        <w:jc w:val="both"/>
        <w:rPr>
          <w:rFonts w:ascii="Verdana" w:eastAsia="Century Gothic" w:hAnsi="Verdana" w:cs="Century Gothic"/>
          <w:sz w:val="20"/>
          <w:szCs w:val="20"/>
        </w:rPr>
      </w:pPr>
    </w:p>
    <w:p w14:paraId="5ECA1073" w14:textId="77777777" w:rsidR="00B349E9" w:rsidRDefault="00B349E9" w:rsidP="00B349E9">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Finalmente, se solicita aclarar si, en aplicación del artículo 11 del Decreto 997 de 2026, la aparición o inclusión de un proponente en alguna de las listas objeto de consulta genera, por sí misma y de manera automática, una inhabilidad para contratar con el Estado.</w:t>
      </w:r>
    </w:p>
    <w:p w14:paraId="08E6053D" w14:textId="77777777" w:rsidR="00B349E9" w:rsidRDefault="00B349E9" w:rsidP="00B349E9">
      <w:pPr>
        <w:spacing w:after="0" w:line="240" w:lineRule="auto"/>
        <w:ind w:left="708" w:right="709"/>
        <w:jc w:val="both"/>
        <w:rPr>
          <w:rFonts w:ascii="Verdana" w:eastAsia="Century Gothic" w:hAnsi="Verdana" w:cs="Century Gothic"/>
          <w:sz w:val="20"/>
          <w:szCs w:val="20"/>
        </w:rPr>
      </w:pPr>
    </w:p>
    <w:p w14:paraId="7B63B97E" w14:textId="77777777" w:rsidR="00B349E9" w:rsidRDefault="00B349E9" w:rsidP="00B349E9">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En caso contrario, se solicita precisar cuáles son los efectos jurídicos que debe atribuir la entidad estatal a dicha inclusión y qué procedimiento, verificación o análisis adicional debe realizar antes de concluir que existe una circunstancia que impida la participación del proponente en un proceso de contratación o la celebración de un contrato estatal.</w:t>
      </w:r>
    </w:p>
    <w:p w14:paraId="3BD009CA" w14:textId="77777777" w:rsidR="00B349E9" w:rsidRDefault="00B349E9" w:rsidP="00B349E9">
      <w:pPr>
        <w:spacing w:after="0" w:line="240" w:lineRule="auto"/>
        <w:ind w:left="708" w:right="709"/>
        <w:jc w:val="both"/>
        <w:rPr>
          <w:rFonts w:ascii="Verdana" w:eastAsia="Century Gothic" w:hAnsi="Verdana" w:cs="Century Gothic"/>
          <w:sz w:val="20"/>
          <w:szCs w:val="20"/>
        </w:rPr>
      </w:pPr>
    </w:p>
    <w:p w14:paraId="37145D54" w14:textId="77777777" w:rsidR="00B349E9" w:rsidRDefault="00B349E9" w:rsidP="00B349E9">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Agradecemos precisar el alcance de las disposiciones señaladas, con el propósito de garantizar que las entidades estatales puedan dar aplicación uniforme, objetiva y jurídicamente adecuada a las obligaciones incorporadas mediante el Decreto 997 de 2026”.</w:t>
      </w:r>
    </w:p>
    <w:p w14:paraId="234D3C47" w14:textId="77777777" w:rsidR="00B349E9" w:rsidRPr="003248CC" w:rsidRDefault="00B349E9" w:rsidP="00B349E9">
      <w:pPr>
        <w:spacing w:before="120" w:after="120" w:line="276" w:lineRule="auto"/>
        <w:ind w:left="709" w:right="709"/>
        <w:contextualSpacing/>
        <w:rPr>
          <w:rFonts w:ascii="Verdana" w:eastAsia="Century Gothic" w:hAnsi="Verdana" w:cs="Century Gothic"/>
          <w:lang w:val="es-ES"/>
        </w:rPr>
      </w:pPr>
    </w:p>
    <w:p w14:paraId="650E44AF" w14:textId="77777777" w:rsidR="00B349E9" w:rsidRPr="00206556" w:rsidRDefault="00B349E9" w:rsidP="00B349E9">
      <w:pPr>
        <w:spacing w:after="120" w:line="276" w:lineRule="auto"/>
        <w:ind w:firstLine="708"/>
        <w:jc w:val="both"/>
        <w:rPr>
          <w:rFonts w:ascii="Verdana" w:eastAsia="Calibri" w:hAnsi="Verdana" w:cs="Arial"/>
          <w:lang w:val="es-ES" w:eastAsia="es-ES"/>
        </w:rPr>
      </w:pPr>
      <w:r>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al </w:t>
      </w:r>
      <w:r>
        <w:rPr>
          <w:rFonts w:ascii="Verdana" w:hAnsi="Verdana"/>
        </w:rPr>
        <w:t>Estatuto General de Contratación Pública</w:t>
      </w:r>
      <w:r>
        <w:rPr>
          <w:rFonts w:ascii="Verdana" w:eastAsia="Calibri" w:hAnsi="Verdana" w:cs="Arial"/>
          <w:lang w:val="es-ES" w:eastAsia="es-ES"/>
        </w:rPr>
        <w:t xml:space="preserve"> o de los demás participantes de la contratación pública. Esta competencia de interpretación de </w:t>
      </w:r>
      <w:r>
        <w:rPr>
          <w:rFonts w:ascii="Verdana" w:eastAsia="Calibri" w:hAnsi="Verdana" w:cs="Arial"/>
          <w:lang w:val="es-ES" w:eastAsia="es-ES"/>
        </w:rPr>
        <w:lastRenderedPageBreak/>
        <w:t xml:space="preserve">normas generales, por definición, no puede extenderse a la resolución de controversias, ni a brindar asesorías sobre casos puntuales.  </w:t>
      </w:r>
      <w:r>
        <w:rPr>
          <w:rFonts w:ascii="Verdana" w:hAnsi="Verdana"/>
          <w:lang w:val="es-ES"/>
        </w:rPr>
        <w:tab/>
      </w:r>
    </w:p>
    <w:p w14:paraId="6F6DE60E" w14:textId="77777777" w:rsidR="00B349E9" w:rsidRPr="00206556" w:rsidRDefault="00B349E9" w:rsidP="00B349E9">
      <w:pPr>
        <w:spacing w:after="0" w:line="276" w:lineRule="auto"/>
        <w:ind w:firstLine="709"/>
        <w:jc w:val="both"/>
        <w:rPr>
          <w:rFonts w:ascii="Verdana" w:eastAsia="Calibri" w:hAnsi="Verdana" w:cs="Arial"/>
          <w:lang w:val="es-ES" w:eastAsia="es-ES"/>
        </w:rPr>
      </w:pPr>
      <w:r>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661FAA49" w14:textId="77777777" w:rsidR="00B349E9" w:rsidRPr="00206556" w:rsidRDefault="00B349E9" w:rsidP="00B349E9">
      <w:pPr>
        <w:spacing w:after="0" w:line="276" w:lineRule="auto"/>
        <w:ind w:firstLine="709"/>
        <w:jc w:val="both"/>
        <w:rPr>
          <w:rFonts w:ascii="Verdana" w:eastAsia="Calibri" w:hAnsi="Verdana" w:cs="Arial"/>
          <w:lang w:val="es-ES" w:eastAsia="es-ES"/>
        </w:rPr>
      </w:pPr>
    </w:p>
    <w:p w14:paraId="67D48E74" w14:textId="77777777" w:rsidR="00B349E9" w:rsidRPr="00206556" w:rsidRDefault="00B349E9" w:rsidP="00B349E9">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1. Problema planteado:</w:t>
      </w:r>
    </w:p>
    <w:p w14:paraId="6069F379" w14:textId="77777777" w:rsidR="00B349E9" w:rsidRPr="00206556" w:rsidRDefault="00B349E9" w:rsidP="00B349E9">
      <w:pPr>
        <w:tabs>
          <w:tab w:val="left" w:pos="426"/>
        </w:tabs>
        <w:spacing w:after="0" w:line="276" w:lineRule="auto"/>
        <w:jc w:val="both"/>
        <w:rPr>
          <w:rFonts w:ascii="Verdana" w:eastAsia="Century Gothic" w:hAnsi="Verdana" w:cs="Century Gothic"/>
          <w:color w:val="ED7D31" w:themeColor="accent2"/>
          <w:lang w:val="es-ES"/>
        </w:rPr>
      </w:pPr>
    </w:p>
    <w:p w14:paraId="5BAE420C" w14:textId="75E7E8BB" w:rsidR="00B349E9" w:rsidRDefault="00B349E9" w:rsidP="00425655">
      <w:pPr>
        <w:widowControl w:val="0"/>
        <w:autoSpaceDE w:val="0"/>
        <w:autoSpaceDN w:val="0"/>
        <w:spacing w:after="120" w:line="276" w:lineRule="auto"/>
        <w:jc w:val="both"/>
        <w:rPr>
          <w:rFonts w:ascii="Verdana" w:hAnsi="Verdana"/>
        </w:rPr>
      </w:pPr>
      <w:r>
        <w:rPr>
          <w:rFonts w:ascii="Verdana" w:eastAsia="Times New Roman" w:hAnsi="Verdana" w:cs="Times New Roman"/>
        </w:rPr>
        <w:t xml:space="preserve">De acuerdo con el contenido de su solicitud, esta Agencia resolverá los siguientes problemas jurídicos: </w:t>
      </w:r>
      <w:r w:rsidR="00425655" w:rsidRPr="003E0208">
        <w:rPr>
          <w:rFonts w:ascii="Verdana" w:eastAsia="Times New Roman" w:hAnsi="Verdana" w:cs="Times New Roman"/>
        </w:rPr>
        <w:t xml:space="preserve">(i) </w:t>
      </w:r>
      <w:proofErr w:type="gramStart"/>
      <w:r w:rsidR="00425655" w:rsidRPr="003E0208">
        <w:rPr>
          <w:rFonts w:ascii="Verdana" w:eastAsia="Times New Roman" w:hAnsi="Verdana" w:cs="Times New Roman"/>
        </w:rPr>
        <w:t>¿Es exigible el deber de las entidades estatales de consultar las listas internacionales, previsto en el artículo 2.</w:t>
      </w:r>
      <w:proofErr w:type="gramEnd"/>
      <w:r w:rsidR="00425655" w:rsidRPr="003E0208">
        <w:rPr>
          <w:rFonts w:ascii="Verdana" w:eastAsia="Times New Roman" w:hAnsi="Verdana" w:cs="Times New Roman"/>
        </w:rPr>
        <w:t xml:space="preserve">2.1.1.2.2.10 del Decreto 1082 de 2015, desde la </w:t>
      </w:r>
      <w:proofErr w:type="gramStart"/>
      <w:r w:rsidR="00425655" w:rsidRPr="003E0208">
        <w:rPr>
          <w:rFonts w:ascii="Verdana" w:eastAsia="Times New Roman" w:hAnsi="Verdana" w:cs="Times New Roman"/>
        </w:rPr>
        <w:t>entrada en vigencia</w:t>
      </w:r>
      <w:proofErr w:type="gramEnd"/>
      <w:r w:rsidR="00425655" w:rsidRPr="003E0208">
        <w:rPr>
          <w:rFonts w:ascii="Verdana" w:eastAsia="Times New Roman" w:hAnsi="Verdana" w:cs="Times New Roman"/>
        </w:rPr>
        <w:t xml:space="preserve"> del Decreto 0997 de 2026, o su exigibilidad está supeditada al vencimiento del plazo de seis (6) meses que el parágrafo de esa disposición otorga al Gobierno nacional? (</w:t>
      </w:r>
      <w:proofErr w:type="spellStart"/>
      <w:r w:rsidR="00425655" w:rsidRPr="003E0208">
        <w:rPr>
          <w:rFonts w:ascii="Verdana" w:eastAsia="Times New Roman" w:hAnsi="Verdana" w:cs="Times New Roman"/>
        </w:rPr>
        <w:t>ii</w:t>
      </w:r>
      <w:proofErr w:type="spellEnd"/>
      <w:r w:rsidR="00425655" w:rsidRPr="003E0208">
        <w:rPr>
          <w:rFonts w:ascii="Verdana" w:eastAsia="Times New Roman" w:hAnsi="Verdana" w:cs="Times New Roman"/>
        </w:rPr>
        <w:t>) ¿Qué alcance tiene el deber de garantizar la protección del derecho al habeas data en la consulta de esas listas? (</w:t>
      </w:r>
      <w:proofErr w:type="spellStart"/>
      <w:r w:rsidR="00425655" w:rsidRPr="003E0208">
        <w:rPr>
          <w:rFonts w:ascii="Verdana" w:eastAsia="Times New Roman" w:hAnsi="Verdana" w:cs="Times New Roman"/>
        </w:rPr>
        <w:t>iii</w:t>
      </w:r>
      <w:proofErr w:type="spellEnd"/>
      <w:r w:rsidR="00425655" w:rsidRPr="003E0208">
        <w:rPr>
          <w:rFonts w:ascii="Verdana" w:eastAsia="Times New Roman" w:hAnsi="Verdana" w:cs="Times New Roman"/>
        </w:rPr>
        <w:t>) ¿Conforme a qué criterios deben identificarse los organismos multilaterales y las listas que han de consultarse? y (</w:t>
      </w:r>
      <w:proofErr w:type="spellStart"/>
      <w:r w:rsidR="00425655" w:rsidRPr="003E0208">
        <w:rPr>
          <w:rFonts w:ascii="Verdana" w:eastAsia="Times New Roman" w:hAnsi="Verdana" w:cs="Times New Roman"/>
        </w:rPr>
        <w:t>iv</w:t>
      </w:r>
      <w:proofErr w:type="spellEnd"/>
      <w:r w:rsidR="00425655" w:rsidRPr="003E0208">
        <w:rPr>
          <w:rFonts w:ascii="Verdana" w:eastAsia="Times New Roman" w:hAnsi="Verdana" w:cs="Times New Roman"/>
        </w:rPr>
        <w:t>) ¿La aparición o inclusión de un proponente en una de esas listas configura, por ese solo hecho, la inhabilidad del literal j) del numeral 1 del artículo 8 de la Ley 80 de 1993? Para resolverlos se seguirá el orden de los interrogantes formulados.</w:t>
      </w:r>
    </w:p>
    <w:p w14:paraId="7C6B7823" w14:textId="77777777" w:rsidR="00B349E9" w:rsidRPr="00206556" w:rsidRDefault="00B349E9" w:rsidP="00B349E9">
      <w:pPr>
        <w:spacing w:after="0" w:line="276" w:lineRule="auto"/>
        <w:jc w:val="both"/>
        <w:rPr>
          <w:rFonts w:ascii="Verdana" w:eastAsia="Century Gothic" w:hAnsi="Verdana" w:cs="Century Gothic"/>
          <w:color w:val="ED7D31" w:themeColor="accent2"/>
        </w:rPr>
      </w:pPr>
    </w:p>
    <w:p w14:paraId="41ECC78F" w14:textId="77777777" w:rsidR="00B349E9" w:rsidRDefault="00B349E9" w:rsidP="00B349E9">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2. Respuesta:</w:t>
      </w:r>
    </w:p>
    <w:p w14:paraId="33B081B5" w14:textId="77777777" w:rsidR="00B349E9" w:rsidRPr="00A4789E" w:rsidRDefault="00B349E9" w:rsidP="00B349E9">
      <w:pPr>
        <w:tabs>
          <w:tab w:val="left" w:pos="142"/>
          <w:tab w:val="left" w:pos="284"/>
        </w:tabs>
        <w:spacing w:after="0" w:line="276" w:lineRule="auto"/>
        <w:jc w:val="both"/>
        <w:rPr>
          <w:rFonts w:ascii="Verdana" w:eastAsia="Century Gothic" w:hAnsi="Verdana" w:cs="Century Gothic"/>
          <w:b/>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25655" w:rsidRPr="003E0208" w14:paraId="32147892" w14:textId="77777777">
        <w:tc>
          <w:tcPr>
            <w:tcW w:w="8828" w:type="dxa"/>
          </w:tcPr>
          <w:p w14:paraId="78447C79" w14:textId="5CD83EB3" w:rsidR="00425655" w:rsidRPr="003E0208" w:rsidRDefault="00425655">
            <w:pPr>
              <w:spacing w:line="276" w:lineRule="auto"/>
              <w:jc w:val="both"/>
              <w:rPr>
                <w:rFonts w:ascii="Verdana" w:eastAsia="Calibri" w:hAnsi="Verdana" w:cs="Arial"/>
              </w:rPr>
            </w:pPr>
            <w:r w:rsidRPr="003E0208">
              <w:rPr>
                <w:rFonts w:ascii="Verdana" w:eastAsia="Calibri" w:hAnsi="Verdana" w:cs="Arial"/>
              </w:rPr>
              <w:t xml:space="preserve">En atención a los problemas jurídicos planteados, se precisa </w:t>
            </w:r>
            <w:r w:rsidRPr="003E0208">
              <w:rPr>
                <w:rFonts w:ascii="Verdana" w:eastAsia="Times New Roman" w:hAnsi="Verdana" w:cs="Times New Roman"/>
              </w:rPr>
              <w:t>lo siguiente: (i) Conforme</w:t>
            </w:r>
            <w:r w:rsidRPr="003E0208">
              <w:rPr>
                <w:rFonts w:ascii="Verdana" w:eastAsia="Calibri" w:hAnsi="Verdana" w:cs="Arial"/>
              </w:rPr>
              <w:t xml:space="preserve"> al artículo 14 del Decreto 0997 de 2026, el artículo 11, que adicionó el artículo 2.2.1.1.2.2.10 al Decreto 1082 de 2015, </w:t>
            </w:r>
            <w:proofErr w:type="gramStart"/>
            <w:r w:rsidRPr="003E0208">
              <w:rPr>
                <w:rFonts w:ascii="Verdana" w:eastAsia="Calibri" w:hAnsi="Verdana" w:cs="Arial"/>
              </w:rPr>
              <w:t>entró en vigencia</w:t>
            </w:r>
            <w:proofErr w:type="gramEnd"/>
            <w:r w:rsidRPr="003E0208">
              <w:rPr>
                <w:rFonts w:ascii="Verdana" w:eastAsia="Calibri" w:hAnsi="Verdana" w:cs="Arial"/>
              </w:rPr>
              <w:t xml:space="preserve"> a partir del día siguiente a su publicación en el Diario Oficial, sin sujeción al esquema de implementación progresiva de seis, nueve, doce o quince </w:t>
            </w:r>
            <w:proofErr w:type="gramStart"/>
            <w:r w:rsidRPr="003E0208">
              <w:rPr>
                <w:rFonts w:ascii="Verdana" w:eastAsia="Calibri" w:hAnsi="Verdana" w:cs="Arial"/>
              </w:rPr>
              <w:t>meses previsto</w:t>
            </w:r>
            <w:proofErr w:type="gramEnd"/>
            <w:r w:rsidRPr="003E0208">
              <w:rPr>
                <w:rFonts w:ascii="Verdana" w:eastAsia="Calibri" w:hAnsi="Verdana" w:cs="Arial"/>
              </w:rPr>
              <w:t xml:space="preserve"> para otras disposiciones del decreto. El parágrafo del artículo 2.2.1.1.2.2.10 no condiciona la exigibilidad del deber de consulta ni establece un período de transición para las entidades estatales: fija al Gobierno nacional, con el apoyo de la Secretaría de Transparencia de la Presidencia de la República, de esta Agencia y de las demás entidades competentes, un plazo de seis (6) meses </w:t>
            </w:r>
            <w:r w:rsidRPr="003E0208">
              <w:rPr>
                <w:rFonts w:ascii="Verdana" w:eastAsia="Calibri" w:hAnsi="Verdana" w:cs="Arial"/>
              </w:rPr>
              <w:lastRenderedPageBreak/>
              <w:t>contados desde la expedición del decreto para desarrollar las acciones necesarias que garanticen la consulta accesible de las listas y para expedir los lineamientos pertinentes, proporcionales y razonables para el cumplimiento del deber. Por consiguiente, durante ese plazo las entidades estatales están obligadas a consultar las listas internacionales que reúnan los criterios de la norma y que se encuentren disponibles para consulta pública, a dejar constancia de ello en los Documentos del Proceso y a verificar en cada caso los supuestos de la inhabilidad, en los procedimientos de selección cuya invitación, aviso de convocatoria o documento equivalente se publique con posterioridad a la entrada en vigencia de la norma, conforme al parágrafo 1 del artículo 14. Los lineamientos que expida el Gobierno nacional precisarán la forma de cumplimiento del deber, pero no determinan el momento desde el cual es exigible.</w:t>
            </w:r>
          </w:p>
          <w:p w14:paraId="76683187" w14:textId="77777777" w:rsidR="00425655" w:rsidRPr="003E0208" w:rsidRDefault="00425655">
            <w:pPr>
              <w:spacing w:line="276" w:lineRule="auto"/>
              <w:ind w:firstLine="709"/>
              <w:jc w:val="both"/>
              <w:rPr>
                <w:rFonts w:ascii="Verdana" w:eastAsia="Calibri" w:hAnsi="Verdana" w:cs="Arial"/>
              </w:rPr>
            </w:pPr>
          </w:p>
          <w:p w14:paraId="164106C0" w14:textId="77777777" w:rsidR="00425655" w:rsidRPr="003E0208" w:rsidRDefault="00425655">
            <w:pPr>
              <w:spacing w:line="276" w:lineRule="auto"/>
              <w:ind w:firstLine="709"/>
              <w:jc w:val="both"/>
              <w:rPr>
                <w:rFonts w:ascii="Verdana" w:eastAsia="Calibri" w:hAnsi="Verdana" w:cs="Arial"/>
              </w:rPr>
            </w:pPr>
            <w:r w:rsidRPr="003E0208">
              <w:rPr>
                <w:rFonts w:ascii="Verdana" w:eastAsia="Calibri" w:hAnsi="Verdana" w:cs="Arial"/>
              </w:rPr>
              <w:t>(</w:t>
            </w:r>
            <w:proofErr w:type="spellStart"/>
            <w:r w:rsidRPr="003E0208">
              <w:rPr>
                <w:rFonts w:ascii="Verdana" w:eastAsia="Calibri" w:hAnsi="Verdana" w:cs="Arial"/>
              </w:rPr>
              <w:t>ii</w:t>
            </w:r>
            <w:proofErr w:type="spellEnd"/>
            <w:r w:rsidRPr="003E0208">
              <w:rPr>
                <w:rFonts w:ascii="Verdana" w:eastAsia="Calibri" w:hAnsi="Verdana" w:cs="Arial"/>
              </w:rPr>
              <w:t>) La garantía del derecho al habeas data remite al artículo 15 de la Constitución Política, a la Ley 1581 de 2012 y a sus normas reglamentarias. Conforme al literal a) del artículo 10 de esa ley, la información requerida por una entidad pública en ejercicio de sus funciones legales no exige autorización del titular, de modo que la consulta de las listas no la requiere; pero el tratamiento de los datos personales que resulte de la consulta se sujeta a los principios del artículo 4, en particular los de finalidad, acceso y circulación restringida, seguridad y confidencialidad. De esos principios se derivan las siguientes reglas: la consulta se circunscribe a los proponentes del proceso y a la finalidad de verificar la inhabilidad del literal j); la constancia que se deja en los Documentos del Proceso se limita a la información necesaria para acreditar la consulta y su resultado, sin reproducir datos personales adicionales a los indispensables; la información obtenida solo se utiliza para esa finalidad, se conserva conforme a las reglas de gestión documental de la entidad y se protege con medidas de seguridad y confidencialidad; y, cuando los documentos que deben publicarse en el SECOP contengan datos personales protegidos por los artículos 18 y 19 de la Ley 1712 de 2014, se elabora una versión pública en los términos de su artículo 21. La definición de protocolos o procedimientos adicionales corresponde a la política de tratamiento de datos de cada entidad y a los lineamientos previstos en el parágrafo del artículo 2.2.1.1.2.2.10.</w:t>
            </w:r>
          </w:p>
          <w:p w14:paraId="57ACAD38" w14:textId="77777777" w:rsidR="00425655" w:rsidRPr="003E0208" w:rsidRDefault="00425655">
            <w:pPr>
              <w:spacing w:line="276" w:lineRule="auto"/>
              <w:ind w:firstLine="709"/>
              <w:jc w:val="both"/>
              <w:rPr>
                <w:rFonts w:ascii="Verdana" w:eastAsia="Calibri" w:hAnsi="Verdana" w:cs="Arial"/>
              </w:rPr>
            </w:pPr>
          </w:p>
          <w:p w14:paraId="167E2366" w14:textId="77777777" w:rsidR="00425655" w:rsidRPr="003E0208" w:rsidRDefault="00425655">
            <w:pPr>
              <w:spacing w:line="276" w:lineRule="auto"/>
              <w:ind w:firstLine="709"/>
              <w:jc w:val="both"/>
              <w:rPr>
                <w:rFonts w:ascii="Verdana" w:eastAsia="Calibri" w:hAnsi="Verdana" w:cs="Arial"/>
              </w:rPr>
            </w:pPr>
            <w:r w:rsidRPr="003E0208">
              <w:rPr>
                <w:rFonts w:ascii="Verdana" w:eastAsia="Calibri" w:hAnsi="Verdana" w:cs="Arial"/>
              </w:rPr>
              <w:lastRenderedPageBreak/>
              <w:t>(</w:t>
            </w:r>
            <w:proofErr w:type="spellStart"/>
            <w:r w:rsidRPr="003E0208">
              <w:rPr>
                <w:rFonts w:ascii="Verdana" w:eastAsia="Calibri" w:hAnsi="Verdana" w:cs="Arial"/>
              </w:rPr>
              <w:t>iii</w:t>
            </w:r>
            <w:proofErr w:type="spellEnd"/>
            <w:r w:rsidRPr="003E0208">
              <w:rPr>
                <w:rFonts w:ascii="Verdana" w:eastAsia="Calibri" w:hAnsi="Verdana" w:cs="Arial"/>
              </w:rPr>
              <w:t>) La norma no enumera los organismos multilaterales ni las listas que deben consultarse; establece los criterios que deben reunir: ser listas vinculantes, restrictivas, de inhabilitación o sanción, de organismos multilaterales de los cuales Colombia es miembro, y resultar aplicables para verificar la comisión de prácticas prohibidas reconocidas por los instrumentos internacionales anticorrupción de los que el Estado colombiano es parte, entre los cuales se encuentran la Convención Interamericana contra la Corrupción, la Convención de las Naciones Unidas contra la Corrupción y la Convención de la OCDE para Combatir el Cohecho de Servidores Públicos Extranjeros en Transacciones Comerciales Internacionales. Los considerandos del decreto, que recogen la recomendación del Grupo de Trabajo sobre Cohecho de la OCDE, se refieren a las listas de inhabilitación de las instituciones financieras multilaterales, como las que publican los bancos multilaterales de desarrollo de los que Colombia es miembro. La identificación precisa de las listas aplicables y la forma de acceder a ellas corresponde a las acciones y lineamientos que el parágrafo del artículo 2.2.1.1.2.2.10 asigna al Gobierno nacional, sin que la Agencia pueda, por vía consultiva, establecer una enumeración taxativa.</w:t>
            </w:r>
          </w:p>
          <w:p w14:paraId="0020C2AC" w14:textId="77777777" w:rsidR="00425655" w:rsidRPr="003E0208" w:rsidRDefault="00425655">
            <w:pPr>
              <w:spacing w:line="276" w:lineRule="auto"/>
              <w:ind w:firstLine="709"/>
              <w:jc w:val="both"/>
              <w:rPr>
                <w:rFonts w:ascii="Verdana" w:eastAsia="Calibri" w:hAnsi="Verdana" w:cs="Arial"/>
              </w:rPr>
            </w:pPr>
          </w:p>
          <w:p w14:paraId="03D8DFF5" w14:textId="77777777" w:rsidR="00425655" w:rsidRPr="003E0208" w:rsidRDefault="00425655">
            <w:pPr>
              <w:spacing w:line="276" w:lineRule="auto"/>
              <w:ind w:firstLine="709"/>
              <w:jc w:val="both"/>
              <w:rPr>
                <w:rFonts w:ascii="Verdana" w:eastAsia="Calibri" w:hAnsi="Verdana" w:cs="Arial"/>
              </w:rPr>
            </w:pPr>
            <w:r w:rsidRPr="003E0208">
              <w:rPr>
                <w:rFonts w:ascii="Verdana" w:eastAsia="Calibri" w:hAnsi="Verdana" w:cs="Arial"/>
              </w:rPr>
              <w:t>(</w:t>
            </w:r>
            <w:proofErr w:type="spellStart"/>
            <w:r w:rsidRPr="003E0208">
              <w:rPr>
                <w:rFonts w:ascii="Verdana" w:eastAsia="Calibri" w:hAnsi="Verdana" w:cs="Arial"/>
              </w:rPr>
              <w:t>iv</w:t>
            </w:r>
            <w:proofErr w:type="spellEnd"/>
            <w:r w:rsidRPr="003E0208">
              <w:rPr>
                <w:rFonts w:ascii="Verdana" w:eastAsia="Calibri" w:hAnsi="Verdana" w:cs="Arial"/>
              </w:rPr>
              <w:t xml:space="preserve">) La aparición o inclusión de un proponente en una de esas listas no genera, por sí misma ni de manera automática, la inhabilidad para contratar con el Estado. El inciso segundo del artículo 2.2.1.1.2.2.10 dispone que las entidades deben verificar, en cada caso concreto, si se cumplen los supuestos establecidos en la norma para que la inhabilidad se configure, de conformidad con el ordenamiento jurídico colombiano. La inhabilidad del literal j) del numeral 1 del artículo 8 de la Ley 80 de 1993 exige que la persona natural haya sido declarada responsable judicialmente por delitos contra la Administración pública, por los delitos o faltas de la Ley 1474 de 2011 o por las conductas delictivas de las convenciones anticorrupción ratificadas por Colombia; que la persona jurídica haya sido declarada responsable administrativamente por soborno transnacional, declaración que en Colombia corresponde a la Superintendencia de Sociedades conforme a la Ley 1778 de 2016; o que concurra alguno de los demás supuestos previstos en la norma, incluidos los de extensión a sociedades, matrices, subordinadas, grupos empresariales y sucursales. Como las inhabilidades son de reserva legal, taxativas y de interpretación restrictiva, la sanción impuesta por un organismo </w:t>
            </w:r>
            <w:r w:rsidRPr="003E0208">
              <w:rPr>
                <w:rFonts w:ascii="Verdana" w:eastAsia="Calibri" w:hAnsi="Verdana" w:cs="Arial"/>
              </w:rPr>
              <w:lastRenderedPageBreak/>
              <w:t>multilateral no constituye una causal autónoma. Sus efectos son los de un elemento de verificación: la entidad debe establecer si la persona incluida en la lista ha sido declarada responsable en los términos del literal j), contrastando la información con los certificados de antecedentes, las decisiones de la Superintendencia de Sociedades, el Registro Único de Proponentes y los demás medios a su alcance, y solicitando al proponente las aclaraciones que correspondan; si concurren los supuestos legales, la oferta se rechaza por inhabilidad, mediante decisión motivada adoptada con garantía del debido proceso; si no concurren, la sola inclusión en la lista no impide la participación ni la celebración del contrato, y de todo ello debe dejarse constancia en los Documentos del Proceso.</w:t>
            </w:r>
          </w:p>
        </w:tc>
      </w:tr>
    </w:tbl>
    <w:p w14:paraId="21303ECF" w14:textId="77777777" w:rsidR="00B349E9" w:rsidRPr="00206556" w:rsidRDefault="00B349E9" w:rsidP="00B349E9">
      <w:pPr>
        <w:tabs>
          <w:tab w:val="left" w:pos="142"/>
          <w:tab w:val="left" w:pos="284"/>
        </w:tabs>
        <w:spacing w:after="0" w:line="276" w:lineRule="auto"/>
        <w:jc w:val="both"/>
        <w:rPr>
          <w:rFonts w:ascii="Verdana" w:eastAsia="Century Gothic" w:hAnsi="Verdana" w:cs="Century Gothic"/>
          <w:b/>
          <w:bCs/>
          <w:color w:val="ED7D31" w:themeColor="accent2"/>
          <w:lang w:val="es-ES"/>
        </w:rPr>
      </w:pPr>
    </w:p>
    <w:p w14:paraId="52E6487D" w14:textId="77777777" w:rsidR="00B349E9" w:rsidRPr="00206556" w:rsidRDefault="00B349E9" w:rsidP="00B349E9">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3. Razones de la respuesta:</w:t>
      </w:r>
    </w:p>
    <w:p w14:paraId="6777D393" w14:textId="77777777" w:rsidR="00B349E9" w:rsidRPr="00206556" w:rsidRDefault="00B349E9" w:rsidP="00B349E9">
      <w:pPr>
        <w:tabs>
          <w:tab w:val="left" w:pos="142"/>
          <w:tab w:val="left" w:pos="284"/>
        </w:tabs>
        <w:spacing w:after="0" w:line="276" w:lineRule="auto"/>
        <w:jc w:val="both"/>
        <w:rPr>
          <w:rFonts w:ascii="Verdana" w:eastAsia="Century Gothic" w:hAnsi="Verdana" w:cs="Century Gothic"/>
          <w:b/>
          <w:color w:val="ED7D31" w:themeColor="accent2"/>
          <w:lang w:val="es-ES"/>
        </w:rPr>
      </w:pPr>
    </w:p>
    <w:p w14:paraId="7AFCAB61" w14:textId="77777777" w:rsidR="00B349E9" w:rsidRPr="00206556" w:rsidRDefault="00B349E9" w:rsidP="00B349E9">
      <w:pPr>
        <w:spacing w:after="0" w:line="276" w:lineRule="auto"/>
        <w:jc w:val="both"/>
        <w:rPr>
          <w:rFonts w:ascii="Verdana" w:eastAsia="Calibri" w:hAnsi="Verdana" w:cs="Arial"/>
          <w:lang w:val="es-ES"/>
        </w:rPr>
      </w:pPr>
      <w:r>
        <w:rPr>
          <w:rFonts w:ascii="Verdana" w:eastAsia="Calibri" w:hAnsi="Verdana" w:cs="Arial"/>
          <w:lang w:val="es-ES"/>
        </w:rPr>
        <w:t>Lo anterior se sustenta en las siguientes consideraciones:</w:t>
      </w:r>
    </w:p>
    <w:p w14:paraId="4A47A78B" w14:textId="77777777" w:rsidR="00B349E9" w:rsidRPr="00206556" w:rsidRDefault="00B349E9" w:rsidP="00B349E9">
      <w:pPr>
        <w:spacing w:after="0" w:line="276" w:lineRule="auto"/>
        <w:jc w:val="both"/>
        <w:rPr>
          <w:rFonts w:ascii="Verdana" w:eastAsia="Calibri" w:hAnsi="Verdana" w:cs="Arial"/>
          <w:lang w:val="es-ES"/>
        </w:rPr>
      </w:pPr>
    </w:p>
    <w:p w14:paraId="39F34A5A" w14:textId="77777777" w:rsidR="00B349E9" w:rsidRDefault="00B349E9" w:rsidP="00B349E9">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(i) Para resolver los problemas jurídicos planteados es necesario delimitar, en primer lugar, el alcance de este pronunciamiento. La competencia consultiva de esta Agencia, prevista en el numeral 5 del artículo 3 del Decreto Ley 4170 de 2011, se circunscribe a la interpretación de normas de carácter general en materia de compras y contratación pública. En ejercicio de esa competencia la Agencia interpreta el reglamento vigente, pero no puede sustituir los lineamientos que el propio reglamento defiere al Gobierno nacional ni definir, para un proceso determinado, si un proponente se encuentra inhabilitado, análisis que corresponde a la entidad que adelanta el proceso bajo su responsabilidad y cuya revisión compete a los organismos de control y a la jurisdicción de lo contencioso administrativo.</w:t>
      </w:r>
    </w:p>
    <w:p w14:paraId="457823C7" w14:textId="77777777" w:rsidR="00B349E9" w:rsidRDefault="00B349E9" w:rsidP="00B349E9">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w:t>
      </w:r>
      <w:proofErr w:type="spellStart"/>
      <w:r>
        <w:rPr>
          <w:rFonts w:ascii="Verdana" w:eastAsia="Times New Roman" w:hAnsi="Verdana" w:cs="Times New Roman"/>
        </w:rPr>
        <w:t>ii</w:t>
      </w:r>
      <w:proofErr w:type="spellEnd"/>
      <w:r>
        <w:rPr>
          <w:rFonts w:ascii="Verdana" w:eastAsia="Times New Roman" w:hAnsi="Verdana" w:cs="Times New Roman"/>
        </w:rPr>
        <w:t xml:space="preserve">) El artículo 11 del Decreto 0997 de 2026 adicionó al Decreto 1082 de 2015 el artículo 2.2.1.1.2.2.10, del siguiente tenor: “Verificación de listas internacionales. En cumplimiento del deber de verificar si se configura la inhabilidad establecida en el literal j) del numeral 1 del artículo 8 de la Ley 80 de 1993, las Entidades Estatales consultarán las listas internacionales vinculantes, restrictivas, de inhabilitación o sanción de los organismos multilaterales de los cuales Colombia es miembro, en cuanto resulten aplicables para la verificación de la comisión de prácticas prohibidas reconocidas por los instrumentos internacionales anticorrupción de los que el Estado colombiano es </w:t>
      </w:r>
      <w:r>
        <w:rPr>
          <w:rFonts w:ascii="Verdana" w:eastAsia="Times New Roman" w:hAnsi="Verdana" w:cs="Times New Roman"/>
        </w:rPr>
        <w:lastRenderedPageBreak/>
        <w:t>parte. La Entidad Estatal debe dejar constancia de dichas consultas en los Documentos del Proceso y garantizar la protección efectiva del derecho al habeas data conforme a lo establecido en la normativa vigente. En cualquier caso, las Entidades Estatales deberán verificar, en cada caso concreto, si se cumplen los supuestos establecidos en la norma para que dicha inhabilidad se configure, de conformidad con el ordenamiento jurídico colombiano”</w:t>
      </w:r>
      <w:r>
        <w:rPr>
          <w:rStyle w:val="Refdenotaalpie"/>
          <w:rFonts w:ascii="Verdana" w:eastAsia="Times New Roman" w:hAnsi="Verdana" w:cs="Times New Roman"/>
        </w:rPr>
        <w:footnoteReference w:id="2"/>
      </w:r>
      <w:r>
        <w:rPr>
          <w:rFonts w:ascii="Verdana" w:eastAsia="Times New Roman" w:hAnsi="Verdana" w:cs="Times New Roman"/>
        </w:rPr>
        <w:t>. El parágrafo agrega que “En los seis (6) meses contados a partir de expedición del presente Decreto, el Gobierno nacional, con el apoyo de la Secretaría de Transparencia de la Presidencia de la República, la Agencia Nacional de Contratación Pública-Colombia Compra Eficiente- y las demás entidades que resulten competentes, desarrollará las acciones necesarias para garantizar la consulta accesible de las listas y expedirá los lineamientos que resulten pertinentes, proporcionales y razonables para el cumplimiento de dicho deber”</w:t>
      </w:r>
      <w:r>
        <w:rPr>
          <w:rStyle w:val="Refdenotaalpie"/>
          <w:rFonts w:ascii="Verdana" w:eastAsia="Times New Roman" w:hAnsi="Verdana" w:cs="Times New Roman"/>
        </w:rPr>
        <w:footnoteReference w:id="3"/>
      </w:r>
      <w:r>
        <w:rPr>
          <w:rFonts w:ascii="Verdana" w:eastAsia="Times New Roman" w:hAnsi="Verdana" w:cs="Times New Roman"/>
        </w:rPr>
        <w:t>.</w:t>
      </w:r>
    </w:p>
    <w:p w14:paraId="2D017544" w14:textId="77777777" w:rsidR="00B349E9" w:rsidRDefault="00B349E9" w:rsidP="00B349E9">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La disposición tiene un origen preciso. Según los considerandos del decreto, el Grupo de Trabajo sobre Cohecho de la OCDE, en el marco del seguimiento a la implementación de la Convención para Combatir el Cohecho de Servidores Públicos Extranjeros en Transacciones Comerciales Internacionales, recomendó al Estado colombiano, entre otras medidas, asegurar que las entidades contratantes y esta Agencia verifiquen de manera sistemática las listas de inhabilitación de las instituciones financieras multilaterales en el contexto de la contratación pública; y, con ese fundamento, el Gobierno nacional consideró necesario aclarar que, en cumplimiento del deber de verificar la existencia de posibles inhabilidades, las entidades deben consultar esas listas para identificar si se configura la inhabilidad del literal j) del numeral 1 del artículo 8 de la Ley 80 de 1993</w:t>
      </w:r>
      <w:r>
        <w:rPr>
          <w:rStyle w:val="Refdenotaalpie"/>
          <w:rFonts w:ascii="Verdana" w:eastAsia="Times New Roman" w:hAnsi="Verdana" w:cs="Times New Roman"/>
        </w:rPr>
        <w:footnoteReference w:id="4"/>
      </w:r>
      <w:r>
        <w:rPr>
          <w:rFonts w:ascii="Verdana" w:eastAsia="Times New Roman" w:hAnsi="Verdana" w:cs="Times New Roman"/>
        </w:rPr>
        <w:t>. La norma reglamentaria no crea, por tanto, una inhabilidad nueva: regula un medio de verificación de una inhabilidad legal preexistente.</w:t>
      </w:r>
    </w:p>
    <w:p w14:paraId="2BFC81BA" w14:textId="77777777" w:rsidR="00B349E9" w:rsidRDefault="00B349E9" w:rsidP="00B349E9">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Esa inhabilidad, en la redacción del artículo 2 de la Ley 2014 de 2019, cobija a “Las personas naturales que hayan sido declaradas responsables judicialmente por la comisión de delitos contra la Administración pública, o de </w:t>
      </w:r>
      <w:r>
        <w:rPr>
          <w:rFonts w:ascii="Verdana" w:eastAsia="Times New Roman" w:hAnsi="Verdana" w:cs="Times New Roman"/>
        </w:rPr>
        <w:lastRenderedPageBreak/>
        <w:t>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procede preventivamente aun cuando esté pendiente la impugnación de la sentencia condenatoria; se extiende a las sociedades de las que hagan parte dichas personas como administradores, representantes legales, miembros de junta directiva o socios controlantes, a sus matrices y subordinadas, a los grupos empresariales cuando la conducta haya sido parte de una política del grupo y a las sucursales de sociedades extranjeras; y comprende a las personas jurídicas sobre las que se haya ordenado la suspensión de la personería jurídica o cuyos representantes, administradores, miembros de junta, socios controlantes, matrices, subordinadas o sucursales hayan sido beneficiados con un principio de oportunidad por delitos contra la Administración pública o el patrimonio del Estado</w:t>
      </w:r>
      <w:r>
        <w:rPr>
          <w:rStyle w:val="Refdenotaalpie"/>
          <w:rFonts w:ascii="Verdana" w:eastAsia="Times New Roman" w:hAnsi="Verdana" w:cs="Times New Roman"/>
        </w:rPr>
        <w:footnoteReference w:id="5"/>
      </w:r>
      <w:r>
        <w:rPr>
          <w:rFonts w:ascii="Verdana" w:eastAsia="Times New Roman" w:hAnsi="Verdana" w:cs="Times New Roman"/>
        </w:rPr>
        <w:t>. La declaración administrativa de responsabilidad de las personas jurídicas por soborno transnacional corresponde, conforme a la Ley 1778 de 2016, a la Superintendencia de Sociedades, y entre sus sanciones se encuentra la inhabilidad para contratar con el Estado colombiano</w:t>
      </w:r>
      <w:r>
        <w:rPr>
          <w:rStyle w:val="Refdenotaalpie"/>
          <w:rFonts w:ascii="Verdana" w:eastAsia="Times New Roman" w:hAnsi="Verdana" w:cs="Times New Roman"/>
        </w:rPr>
        <w:footnoteReference w:id="6"/>
      </w:r>
      <w:r>
        <w:rPr>
          <w:rFonts w:ascii="Verdana" w:eastAsia="Times New Roman" w:hAnsi="Verdana" w:cs="Times New Roman"/>
        </w:rPr>
        <w:t>.</w:t>
      </w:r>
    </w:p>
    <w:p w14:paraId="1109961D" w14:textId="77777777" w:rsidR="00B349E9" w:rsidRDefault="00B349E9" w:rsidP="00B349E9">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w:t>
      </w:r>
      <w:proofErr w:type="spellStart"/>
      <w:r>
        <w:rPr>
          <w:rFonts w:ascii="Verdana" w:eastAsia="Times New Roman" w:hAnsi="Verdana" w:cs="Times New Roman"/>
        </w:rPr>
        <w:t>iii</w:t>
      </w:r>
      <w:proofErr w:type="spellEnd"/>
      <w:r>
        <w:rPr>
          <w:rFonts w:ascii="Verdana" w:eastAsia="Times New Roman" w:hAnsi="Verdana" w:cs="Times New Roman"/>
        </w:rPr>
        <w:t xml:space="preserve">) El primer interrogante se refiere a la vigencia. El artículo 14 del Decreto 0997 de 2026 distingue dos grupos de disposiciones: “Los artículos 2, 3, 8 y 11 </w:t>
      </w:r>
      <w:proofErr w:type="gramStart"/>
      <w:r>
        <w:rPr>
          <w:rFonts w:ascii="Verdana" w:eastAsia="Times New Roman" w:hAnsi="Verdana" w:cs="Times New Roman"/>
        </w:rPr>
        <w:t>entrarán en vigencia</w:t>
      </w:r>
      <w:proofErr w:type="gramEnd"/>
      <w:r>
        <w:rPr>
          <w:rFonts w:ascii="Verdana" w:eastAsia="Times New Roman" w:hAnsi="Verdana" w:cs="Times New Roman"/>
        </w:rPr>
        <w:t xml:space="preserve"> a partir del día siguiente a su publicación en el Diario Oficial”, mientras que los artículos 1, 4, 5, 6, 7, 9, 10, 12 y 13 entran a regir de manera progresiva, a los seis, nueve, doce o quince meses siguientes a la publicación, según la categoría de la entidad</w:t>
      </w:r>
      <w:r>
        <w:rPr>
          <w:rStyle w:val="Refdenotaalpie"/>
          <w:rFonts w:ascii="Verdana" w:eastAsia="Times New Roman" w:hAnsi="Verdana" w:cs="Times New Roman"/>
        </w:rPr>
        <w:footnoteReference w:id="7"/>
      </w:r>
      <w:r>
        <w:rPr>
          <w:rFonts w:ascii="Verdana" w:eastAsia="Times New Roman" w:hAnsi="Verdana" w:cs="Times New Roman"/>
        </w:rPr>
        <w:t xml:space="preserve">. El artículo 11 pertenece al primer grupo. En consecuencia, el deber de consultar las listas internacionales rige desde el día siguiente a la publicación del decreto para todas las entidades sometidas al Estatuto General de Contratación de la Administración Pública, sin distinción de categoría. El parágrafo 1 del mismo artículo precisa el hito de aplicación: “Las disposiciones contenidas en el presente Decreto serán aplicables a los procedimientos de selección cuya invitación, aviso de convocatoria o </w:t>
      </w:r>
      <w:r>
        <w:rPr>
          <w:rFonts w:ascii="Verdana" w:eastAsia="Times New Roman" w:hAnsi="Verdana" w:cs="Times New Roman"/>
        </w:rPr>
        <w:lastRenderedPageBreak/>
        <w:t xml:space="preserve">documento equivalente se publique con posterioridad a la </w:t>
      </w:r>
      <w:proofErr w:type="gramStart"/>
      <w:r>
        <w:rPr>
          <w:rFonts w:ascii="Verdana" w:eastAsia="Times New Roman" w:hAnsi="Verdana" w:cs="Times New Roman"/>
        </w:rPr>
        <w:t>entrada en vigencia</w:t>
      </w:r>
      <w:proofErr w:type="gramEnd"/>
      <w:r>
        <w:rPr>
          <w:rFonts w:ascii="Verdana" w:eastAsia="Times New Roman" w:hAnsi="Verdana" w:cs="Times New Roman"/>
        </w:rPr>
        <w:t xml:space="preserve"> de las reglas aquí establecidas”</w:t>
      </w:r>
      <w:r>
        <w:rPr>
          <w:rStyle w:val="Refdenotaalpie"/>
          <w:rFonts w:ascii="Verdana" w:eastAsia="Times New Roman" w:hAnsi="Verdana" w:cs="Times New Roman"/>
        </w:rPr>
        <w:footnoteReference w:id="8"/>
      </w:r>
      <w:r>
        <w:rPr>
          <w:rFonts w:ascii="Verdana" w:eastAsia="Times New Roman" w:hAnsi="Verdana" w:cs="Times New Roman"/>
        </w:rPr>
        <w:t>.</w:t>
      </w:r>
    </w:p>
    <w:p w14:paraId="37D08C56" w14:textId="77777777" w:rsidR="00B349E9" w:rsidRDefault="00B349E9" w:rsidP="00B349E9">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El parágrafo del artículo 2.2.1.1.2.2.10 no altera esa conclusión. Su destinatario no son las entidades estatales sino el Gobierno nacional, y su objeto no es la exigibilidad del deber sino las acciones de acompañamiento para facilitar su cumplimiento: garantizar la consulta accesible de las listas y expedir lineamientos pertinentes, proporcionales y razonables. La norma no supedita la vigencia del deber a la expedición de esos lineamientos, no establece un período de transición para las entidades y, por el contrario, el artículo 14 excluyó expresamente al artículo 11 del esquema de implementación progresiva. Así lo ha entendido esta Agencia en el ABC del Decreto 0997 de 2026 sobre RUP, integridad y transparencia, en el que se indica que las reglas sobre cláusulas anticorrupción y listas restrictivas internacionales son de aplicación inmediata, desde el día siguiente a la publicación del decreto y para todas las entidades por igual, y que las entidades deben prever la verificación de listas internacionales desde la </w:t>
      </w:r>
      <w:proofErr w:type="gramStart"/>
      <w:r>
        <w:rPr>
          <w:rFonts w:ascii="Verdana" w:eastAsia="Times New Roman" w:hAnsi="Verdana" w:cs="Times New Roman"/>
        </w:rPr>
        <w:t>entrada en vigencia</w:t>
      </w:r>
      <w:proofErr w:type="gramEnd"/>
      <w:r>
        <w:rPr>
          <w:rStyle w:val="Refdenotaalpie"/>
          <w:rFonts w:ascii="Verdana" w:eastAsia="Times New Roman" w:hAnsi="Verdana" w:cs="Times New Roman"/>
        </w:rPr>
        <w:footnoteReference w:id="9"/>
      </w:r>
      <w:r>
        <w:rPr>
          <w:rFonts w:ascii="Verdana" w:eastAsia="Times New Roman" w:hAnsi="Verdana" w:cs="Times New Roman"/>
        </w:rPr>
        <w:t>. Mientras se expiden los lineamientos, el deber se cumple consultando las listas que reúnen los criterios de la norma y se encuentran disponibles para consulta pública, dejando constancia de la consulta y de su resultado en los Documentos del Proceso, y verificando en cada caso los supuestos de la inhabilidad.</w:t>
      </w:r>
    </w:p>
    <w:p w14:paraId="56A482C0" w14:textId="77777777" w:rsidR="00B349E9" w:rsidRDefault="00B349E9" w:rsidP="00B349E9">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w:t>
      </w:r>
      <w:proofErr w:type="spellStart"/>
      <w:r>
        <w:rPr>
          <w:rFonts w:ascii="Verdana" w:eastAsia="Times New Roman" w:hAnsi="Verdana" w:cs="Times New Roman"/>
        </w:rPr>
        <w:t>iv</w:t>
      </w:r>
      <w:proofErr w:type="spellEnd"/>
      <w:r>
        <w:rPr>
          <w:rFonts w:ascii="Verdana" w:eastAsia="Times New Roman" w:hAnsi="Verdana" w:cs="Times New Roman"/>
        </w:rPr>
        <w:t>) El segundo interrogante versa sobre el habeas data. La norma remite a “la normativa vigente”, esto es, al artículo 15 de la Constitución Política, a la Ley 1581 de 2012 y a sus normas reglamentarias. Conforme al literal a) del artículo 10 de la Ley 1581 de 2012, la autorización del titular no es necesaria cuando se trata de “Información requerida por una entidad pública o administrativa en ejercicio de sus funciones legales o por orden judicial”</w:t>
      </w:r>
      <w:r>
        <w:rPr>
          <w:rStyle w:val="Refdenotaalpie"/>
          <w:rFonts w:ascii="Verdana" w:eastAsia="Times New Roman" w:hAnsi="Verdana" w:cs="Times New Roman"/>
        </w:rPr>
        <w:footnoteReference w:id="10"/>
      </w:r>
      <w:r>
        <w:rPr>
          <w:rFonts w:ascii="Verdana" w:eastAsia="Times New Roman" w:hAnsi="Verdana" w:cs="Times New Roman"/>
        </w:rPr>
        <w:t xml:space="preserve">, de manera que la consulta de las listas, que la entidad realiza en cumplimiento de un deber legal y reglamentario, no requiere la autorización de los proponentes. Ello no excluye la aplicación de los principios del artículo 4 de la misma ley, entre los cuales interesan especialmente el de finalidad, según el cual “El Tratamiento debe obedecer a una finalidad legítima de acuerdo con la Constitución y la Ley, </w:t>
      </w:r>
      <w:r>
        <w:rPr>
          <w:rFonts w:ascii="Verdana" w:eastAsia="Times New Roman" w:hAnsi="Verdana" w:cs="Times New Roman"/>
        </w:rPr>
        <w:lastRenderedPageBreak/>
        <w:t>la cual debe ser informada al Titular”, y el de acceso y circulación restringida, conforme al cual “El Tratamiento se sujeta a los límites que se derivan de la naturaleza de los datos personales, de las disposiciones de la presente ley y la Constitución”</w:t>
      </w:r>
      <w:r>
        <w:rPr>
          <w:rStyle w:val="Refdenotaalpie"/>
          <w:rFonts w:ascii="Verdana" w:eastAsia="Times New Roman" w:hAnsi="Verdana" w:cs="Times New Roman"/>
        </w:rPr>
        <w:footnoteReference w:id="11"/>
      </w:r>
      <w:r>
        <w:rPr>
          <w:rFonts w:ascii="Verdana" w:eastAsia="Times New Roman" w:hAnsi="Verdana" w:cs="Times New Roman"/>
        </w:rPr>
        <w:t>, además de los de veracidad, seguridad y confidencialidad.</w:t>
      </w:r>
    </w:p>
    <w:p w14:paraId="0038F2D8" w14:textId="77777777" w:rsidR="00B349E9" w:rsidRDefault="00B349E9" w:rsidP="00B349E9">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De esos principios se desprenden las reglas que debe observar la entidad, en su condición de responsable del tratamiento. La consulta se circunscribe a los proponentes del proceso y a la finalidad de verificar la inhabilidad del literal j), de lo cual conviene dar noticia en el pliego de condiciones o en la invitación, en cumplimiento del principio de transparencia. La constancia que exige la norma se limita a la información necesaria para acreditar la consulta y su resultado, como la lista consultada, la fecha, el proponente verificado y el resultado, sin reproducir datos personales adicionales a los indispensables ni información sobre terceros. La información obtenida solo se utiliza para esa finalidad, se conserva conforme a las reglas de gestión documental de la entidad y se protege con medidas de seguridad y confidencialidad. Y, cuando los Documentos del Proceso que deben publicarse en el SECOP contengan datos personales amparados por las excepciones de los artículos 18 y 19 de la Ley 1712 de 2014, la entidad elabora una versión pública que mantenga la reserva únicamente de la parte indispensable, conforme al artículo 21 de esa ley</w:t>
      </w:r>
      <w:r>
        <w:rPr>
          <w:rStyle w:val="Refdenotaalpie"/>
          <w:rFonts w:ascii="Verdana" w:eastAsia="Times New Roman" w:hAnsi="Verdana" w:cs="Times New Roman"/>
        </w:rPr>
        <w:footnoteReference w:id="12"/>
      </w:r>
      <w:r>
        <w:rPr>
          <w:rFonts w:ascii="Verdana" w:eastAsia="Times New Roman" w:hAnsi="Verdana" w:cs="Times New Roman"/>
        </w:rPr>
        <w:t>. La adopción de protocolos o procedimientos adicionales corresponde a la política de tratamiento de datos de cada entidad y a los lineamientos previstos en el parágrafo del artículo 2.2.1.1.2.2.10.</w:t>
      </w:r>
    </w:p>
    <w:p w14:paraId="23C8FBF2" w14:textId="63F475F1" w:rsidR="00B349E9" w:rsidRDefault="00B349E9" w:rsidP="00B349E9">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(v) El tercer interrogante solicita listar los organismos multilaterales. La norma no los enumera; fija los criterios que deben reunir las listas: ser vinculantes, restrictivas, de inhabilitación o sanción; provenir de organismos multilaterales de los cuales Colombia es miembro; y resultar aplicables para verificar la comisión de prácticas prohibidas reconocidas por los instrumentos internacionales anticorrupción de los que el Estado colombiano es parte. Entre esos instrumentos se encuentran la Convención Interamericana contra la Corrupción, la Convención de las Naciones Unidas contra la Corrupción y la Convención de la OCDE para Combatir el Cohecho de Servidores Públicos </w:t>
      </w:r>
      <w:r>
        <w:rPr>
          <w:rFonts w:ascii="Verdana" w:eastAsia="Times New Roman" w:hAnsi="Verdana" w:cs="Times New Roman"/>
        </w:rPr>
        <w:lastRenderedPageBreak/>
        <w:t>Extranjeros en Transacciones Comerciales Internacionales</w:t>
      </w:r>
      <w:r>
        <w:rPr>
          <w:rStyle w:val="Refdenotaalpie"/>
          <w:rFonts w:ascii="Verdana" w:eastAsia="Times New Roman" w:hAnsi="Verdana" w:cs="Times New Roman"/>
        </w:rPr>
        <w:footnoteReference w:id="13"/>
      </w:r>
      <w:r>
        <w:rPr>
          <w:rFonts w:ascii="Verdana" w:eastAsia="Times New Roman" w:hAnsi="Verdana" w:cs="Times New Roman"/>
        </w:rPr>
        <w:t xml:space="preserve">. Los considerandos del decreto, al recoger la recomendación del Grupo de Trabajo sobre Cohecho, se refieren a las listas de inhabilitación de las instituciones financieras multilaterales, categoría en la que se encuentran, a título ilustrativo, las listas de firmas e individuos inhabilitados que publican los bancos multilaterales de desarrollo de los que Colombia es miembro. </w:t>
      </w:r>
      <w:r w:rsidR="00425655" w:rsidRPr="003E0208">
        <w:rPr>
          <w:rFonts w:ascii="Verdana" w:eastAsia="Times New Roman" w:hAnsi="Verdana" w:cs="Times New Roman"/>
        </w:rPr>
        <w:t>Entre ellos, a título meramente ilustrativo y sin que ello constituya una enumeración taxativa, se cuentan las listas de firmas e individuos inhabilitados del Grupo Banco Mundial y del Banco Interamericano de Desarrollo, bancos multilaterales de desarrollo de los que Colombia es miembro, listas que se nutren además del Acuerdo de Inhabilitación Cruzada suscrito entre los principales bancos multilaterales de desarrollo, en virtud del cual la inhabilitación impuesta por uno de ellos puede ser reconocida y aplicada por los demás.</w:t>
      </w:r>
      <w:r w:rsidR="00425655" w:rsidRPr="003E0208">
        <w:rPr>
          <w:rStyle w:val="Refdenotaalpie"/>
          <w:rFonts w:ascii="Verdana" w:eastAsia="Times New Roman" w:hAnsi="Verdana" w:cs="Times New Roman"/>
        </w:rPr>
        <w:footnoteReference w:id="14"/>
      </w:r>
      <w:r w:rsidR="00425655" w:rsidRPr="003E0208">
        <w:rPr>
          <w:rFonts w:ascii="Verdana" w:eastAsia="Times New Roman" w:hAnsi="Verdana" w:cs="Times New Roman"/>
        </w:rPr>
        <w:t xml:space="preserve"> </w:t>
      </w:r>
      <w:r>
        <w:rPr>
          <w:rFonts w:ascii="Verdana" w:eastAsia="Times New Roman" w:hAnsi="Verdana" w:cs="Times New Roman"/>
        </w:rPr>
        <w:t>La identificación precisa de las listas aplicables, de los organismos que las administran y de los medios para acceder a ellas corresponde a las acciones y lineamientos que el parágrafo del artículo 2.2.1.1.2.2.10 asigna al Gobierno nacional con el apoyo de la Secretaría de Transparencia y de esta Agencia, de modo que no puede la Agencia, por vía consultiva, anticipar una enumeración taxativa que el reglamento defirió a ese instrumento.</w:t>
      </w:r>
    </w:p>
    <w:p w14:paraId="70764496" w14:textId="345D7F22" w:rsidR="00B349E9" w:rsidRDefault="00B349E9" w:rsidP="00B349E9">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(vi) El cuarto interrogante se refiere a los efectos de la inclusión en una lista. La respuesta la da el propio artículo 2.2.1.1.2.2.10 en su inciso segundo: “En cualquier caso, las Entidades Estatales deberán verificar, en cada caso concreto, si se cumplen los supuestos establecidos en la norma para que dicha inhabilidad se configure, de conformidad con el ordenamiento jurídico colombiano”. La inclusión en una lista no genera, por sí misma, la inhabilidad, por tres razones. La primera es que las inhabilidades son de reserva legal, taxativas y de interpretación restrictiva, como lo han sostenido la Corte </w:t>
      </w:r>
      <w:r>
        <w:rPr>
          <w:rFonts w:ascii="Verdana" w:eastAsia="Times New Roman" w:hAnsi="Verdana" w:cs="Times New Roman"/>
        </w:rPr>
        <w:lastRenderedPageBreak/>
        <w:t>Constitucional</w:t>
      </w:r>
      <w:r w:rsidR="00425655" w:rsidRPr="003E0208">
        <w:rPr>
          <w:rStyle w:val="Refdenotaalpie"/>
          <w:rFonts w:ascii="Verdana" w:eastAsia="Times New Roman" w:hAnsi="Verdana" w:cs="Times New Roman"/>
        </w:rPr>
        <w:footnoteReference w:id="15"/>
      </w:r>
      <w:r>
        <w:rPr>
          <w:rFonts w:ascii="Verdana" w:eastAsia="Times New Roman" w:hAnsi="Verdana" w:cs="Times New Roman"/>
        </w:rPr>
        <w:t>, el Consejo de Estado y esta Agencia</w:t>
      </w:r>
      <w:r>
        <w:rPr>
          <w:rStyle w:val="Refdenotaalpie"/>
          <w:rFonts w:ascii="Verdana" w:eastAsia="Times New Roman" w:hAnsi="Verdana" w:cs="Times New Roman"/>
        </w:rPr>
        <w:footnoteReference w:id="16"/>
      </w:r>
      <w:r>
        <w:rPr>
          <w:rFonts w:ascii="Verdana" w:eastAsia="Times New Roman" w:hAnsi="Verdana" w:cs="Times New Roman"/>
        </w:rPr>
        <w:t>, de modo que un reglamento no puede crear una causal nueva ni la sanción de un organismo internacional puede equipararse a los supuestos que la ley exige. La segunda es que el literal j) describe sus supuestos con precisión: la declaración judicial de responsabilidad de la persona natural por determinados delitos, la declaración administrativa de responsabilidad de la persona jurídica por soborno transnacional, la suspensión de la personería jurídica, el beneficio de un principio de oportunidad y los casos de extensión. Las decisiones de inhabilitación o sanción de los organismos multilaterales son adoptadas por esos organismos conforme a sus propios procedimientos y no equivalen, por sí mismas, a tales declaraciones; su valor es el de un elemento de verificación que obliga a la entidad a establecer si, respecto de la persona incluida, concurre alguno de los supuestos legales. La tercera es que la aplicación de una inhabilidad exige una actuación que garantice el debido proceso y una decisión motivada, como lo ha señalado esta Agencia</w:t>
      </w:r>
      <w:r>
        <w:rPr>
          <w:rStyle w:val="Refdenotaalpie"/>
          <w:rFonts w:ascii="Verdana" w:eastAsia="Times New Roman" w:hAnsi="Verdana" w:cs="Times New Roman"/>
        </w:rPr>
        <w:footnoteReference w:id="17"/>
      </w:r>
      <w:r>
        <w:rPr>
          <w:rFonts w:ascii="Verdana" w:eastAsia="Times New Roman" w:hAnsi="Verdana" w:cs="Times New Roman"/>
        </w:rPr>
        <w:t>.</w:t>
      </w:r>
    </w:p>
    <w:p w14:paraId="04321646" w14:textId="77777777" w:rsidR="00B349E9" w:rsidRDefault="00B349E9" w:rsidP="00B349E9">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De lo anterior se siguen los efectos que la entidad debe atribuir a la inclusión. En primer lugar, debe contrastar la información con los demás medios de verificación a su alcance: los certificados de antecedentes judiciales, disciplinarios y fiscales, las decisiones de la Superintendencia de Sociedades en materia de soborno transnacional, el Registro Único de Proponentes y la declaración del proponente de no encontrarse incurso en causal de inhabilidad. En segundo lugar, puede solicitar al proponente las aclaraciones que correspondan, con respeto de su derecho de contradicción. En tercer lugar, si establece que concurren los supuestos del literal j), la oferta debe rechazarse por inhabilidad, mediante decisión motivada; si no concurren, la sola inclusión en la lista no impide la participación del proponente ni la celebración del contrato. En todos los casos, la consulta, su resultado y el análisis efectuado deben constar en los Documentos del Proceso, con las salvedades de habeas data ya expuestas.</w:t>
      </w:r>
    </w:p>
    <w:p w14:paraId="108D1E93" w14:textId="77777777" w:rsidR="00B349E9" w:rsidRDefault="00B349E9" w:rsidP="00B349E9">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lastRenderedPageBreak/>
        <w:t>Finalmente, debe advertirse que el análisis requerido para resolver situaciones concretas relacionadas con la contratación de las entidades estatales corresponde a quienes tengan interés en ello, de modo que las afirmaciones aquí realizadas no pueden interpretarse como juicios de valor sobre circunstancias particulares. Al tratarse de decisiones que deben adoptarse en cada procedimiento contractual,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w:t>
      </w:r>
    </w:p>
    <w:p w14:paraId="10DAA826" w14:textId="77777777" w:rsidR="00B349E9" w:rsidRPr="00EE1130" w:rsidRDefault="00B349E9" w:rsidP="00B349E9">
      <w:pPr>
        <w:spacing w:after="0" w:line="276" w:lineRule="auto"/>
        <w:jc w:val="both"/>
        <w:rPr>
          <w:rFonts w:ascii="Verdana" w:eastAsia="Calibri" w:hAnsi="Verdana" w:cs="Arial"/>
        </w:rPr>
      </w:pPr>
    </w:p>
    <w:p w14:paraId="2F717CDE" w14:textId="77777777" w:rsidR="00B349E9" w:rsidRDefault="00B349E9" w:rsidP="00B349E9">
      <w:pPr>
        <w:spacing w:after="0" w:line="276" w:lineRule="auto"/>
        <w:jc w:val="both"/>
        <w:rPr>
          <w:rFonts w:ascii="Verdana" w:eastAsia="Century Gothic" w:hAnsi="Verdana" w:cs="Century Gothic"/>
          <w:b/>
          <w:lang w:val="es-ES"/>
        </w:rPr>
      </w:pPr>
      <w:r>
        <w:rPr>
          <w:rFonts w:ascii="Verdana" w:eastAsia="Century Gothic" w:hAnsi="Verdana" w:cs="Century Gothic"/>
          <w:b/>
          <w:lang w:val="es-ES"/>
        </w:rPr>
        <w:t>4. Referencias normativas, jurisprudenciales y otras fuentes:</w:t>
      </w:r>
    </w:p>
    <w:p w14:paraId="2FD019EE" w14:textId="77777777" w:rsidR="00B349E9" w:rsidRPr="00EE1130" w:rsidRDefault="00B349E9" w:rsidP="00B349E9">
      <w:pPr>
        <w:spacing w:after="0" w:line="276" w:lineRule="auto"/>
        <w:jc w:val="both"/>
        <w:rPr>
          <w:rFonts w:ascii="Verdana" w:eastAsia="Century Gothic" w:hAnsi="Verdana" w:cs="Century Gothic"/>
          <w:b/>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349E9" w:rsidRPr="00EE1130" w14:paraId="6A38A6E0" w14:textId="77777777" w:rsidTr="006A74EB">
        <w:trPr>
          <w:trHeight w:val="297"/>
        </w:trPr>
        <w:tc>
          <w:tcPr>
            <w:tcW w:w="8647" w:type="dxa"/>
          </w:tcPr>
          <w:p w14:paraId="5D7F8BA9" w14:textId="77777777" w:rsidR="00B349E9" w:rsidRDefault="00B349E9" w:rsidP="006A74EB">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Constitución Política de Colombia. Artículos 15, 23, 29 y 209.</w:t>
            </w:r>
          </w:p>
          <w:p w14:paraId="011DC830" w14:textId="77777777" w:rsidR="00B349E9" w:rsidRDefault="00B349E9" w:rsidP="006A74EB">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80 de 1993. Artículo 8.</w:t>
            </w:r>
          </w:p>
          <w:p w14:paraId="6E957B3A" w14:textId="77777777" w:rsidR="00B349E9" w:rsidRDefault="00B349E9" w:rsidP="006A74EB">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412 de 1997.</w:t>
            </w:r>
          </w:p>
          <w:p w14:paraId="77A55D33" w14:textId="77777777" w:rsidR="00B349E9" w:rsidRDefault="00B349E9" w:rsidP="006A74EB">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970 de 2005.</w:t>
            </w:r>
          </w:p>
          <w:p w14:paraId="1DF55FF2" w14:textId="77777777" w:rsidR="00B349E9" w:rsidRDefault="00B349E9" w:rsidP="006A74EB">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1437 de 2011. Artículo 28.</w:t>
            </w:r>
          </w:p>
          <w:p w14:paraId="696E8879" w14:textId="77777777" w:rsidR="00B349E9" w:rsidRDefault="00B349E9" w:rsidP="006A74EB">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1474 de 2011. Artículo 1.</w:t>
            </w:r>
          </w:p>
          <w:p w14:paraId="507687B0" w14:textId="77777777" w:rsidR="00B349E9" w:rsidRDefault="00B349E9" w:rsidP="006A74EB">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1573 de 2012.</w:t>
            </w:r>
          </w:p>
          <w:p w14:paraId="6E403CD5" w14:textId="77777777" w:rsidR="00B349E9" w:rsidRDefault="00B349E9" w:rsidP="006A74EB">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1581 de 2012. Artículos 3, 4 y 10.</w:t>
            </w:r>
          </w:p>
          <w:p w14:paraId="316AA5AD" w14:textId="77777777" w:rsidR="00B349E9" w:rsidRDefault="00B349E9" w:rsidP="006A74EB">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1712 de 2014. Artículos 18, 19 y 21.</w:t>
            </w:r>
          </w:p>
          <w:p w14:paraId="63629FB5" w14:textId="77777777" w:rsidR="00B349E9" w:rsidRDefault="00B349E9" w:rsidP="006A74EB">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1778 de 2016. Artículos 2, 3, 5 y 31.</w:t>
            </w:r>
          </w:p>
          <w:p w14:paraId="5995D5FE" w14:textId="77777777" w:rsidR="00B349E9" w:rsidRDefault="00B349E9" w:rsidP="006A74EB">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2014 de 2019. Artículo 2.</w:t>
            </w:r>
          </w:p>
          <w:p w14:paraId="643F590C" w14:textId="77777777" w:rsidR="00B349E9" w:rsidRDefault="00B349E9" w:rsidP="006A74EB">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Ley 4170 de 2011. Artículos 3 y 11.</w:t>
            </w:r>
          </w:p>
          <w:p w14:paraId="6D481126" w14:textId="77777777" w:rsidR="00B349E9" w:rsidRDefault="00B349E9" w:rsidP="006A74EB">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1082 de 2015. Artículo 2.2.1.1.2.2.10.</w:t>
            </w:r>
          </w:p>
          <w:p w14:paraId="00C6DF50" w14:textId="77777777" w:rsidR="00B349E9" w:rsidRDefault="00B349E9" w:rsidP="006A74EB">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0997 de 2026. Artículos 11 y 14.</w:t>
            </w:r>
          </w:p>
          <w:p w14:paraId="6871A0F4" w14:textId="77777777" w:rsidR="00B349E9" w:rsidRDefault="00B349E9" w:rsidP="006A74EB">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Agencia Nacional de Contratación Pública – Colombia Compra Eficiente. ABC del Decreto 0997 de 2026 sobre RUP, integridad y transparencia.</w:t>
            </w:r>
          </w:p>
        </w:tc>
      </w:tr>
    </w:tbl>
    <w:p w14:paraId="1A66DCCF" w14:textId="77777777" w:rsidR="00B349E9" w:rsidRPr="00EE1130" w:rsidRDefault="00B349E9" w:rsidP="00B349E9">
      <w:pPr>
        <w:widowControl w:val="0"/>
        <w:autoSpaceDE w:val="0"/>
        <w:autoSpaceDN w:val="0"/>
        <w:spacing w:after="0" w:line="276" w:lineRule="auto"/>
        <w:jc w:val="both"/>
        <w:rPr>
          <w:rFonts w:ascii="Verdana" w:hAnsi="Verdana" w:cs="Arial"/>
          <w:color w:val="ED7D31" w:themeColor="accent2"/>
          <w:lang w:val="es-ES"/>
        </w:rPr>
      </w:pPr>
    </w:p>
    <w:p w14:paraId="7731A738" w14:textId="77777777" w:rsidR="00B349E9" w:rsidRPr="00EE1130" w:rsidRDefault="00B349E9" w:rsidP="00B349E9">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5. Doctrina de la Agencia Nacional de Contratación Pública:</w:t>
      </w:r>
    </w:p>
    <w:p w14:paraId="46E90E1F" w14:textId="77777777" w:rsidR="00B349E9" w:rsidRPr="001B3CBA" w:rsidRDefault="00B349E9" w:rsidP="00B349E9">
      <w:pPr>
        <w:tabs>
          <w:tab w:val="left" w:pos="142"/>
          <w:tab w:val="left" w:pos="284"/>
        </w:tabs>
        <w:spacing w:after="0" w:line="276" w:lineRule="auto"/>
        <w:jc w:val="both"/>
        <w:rPr>
          <w:rFonts w:ascii="Verdana" w:eastAsia="Century Gothic" w:hAnsi="Verdana" w:cs="Century Gothic"/>
          <w:b/>
          <w:lang w:val="es-ES"/>
        </w:rPr>
      </w:pPr>
    </w:p>
    <w:p w14:paraId="75CFA1FC" w14:textId="77777777" w:rsidR="00B349E9" w:rsidRDefault="00B349E9" w:rsidP="00B349E9">
      <w:pPr>
        <w:spacing w:after="120" w:line="276" w:lineRule="auto"/>
        <w:jc w:val="both"/>
        <w:rPr>
          <w:rFonts w:ascii="Verdana" w:hAnsi="Verdana"/>
        </w:rPr>
      </w:pPr>
      <w:r>
        <w:rPr>
          <w:rFonts w:ascii="Verdana" w:hAnsi="Verdana"/>
        </w:rPr>
        <w:t xml:space="preserve">Esta Subdirección se ha pronunciado sobre el régimen de inhabilidades e incompatibilidades, su reserva legal, taxatividad e interpretación restrictiva, y sobre la inhabilidad del literal j) del numeral 1 del artículo 8 de la Ley 80 de 1993, en los Conceptos C-867 de 2025, C-1032 de 2026 y C-1234 de 2026. </w:t>
      </w:r>
      <w:r>
        <w:rPr>
          <w:rFonts w:ascii="Verdana" w:hAnsi="Verdana"/>
        </w:rPr>
        <w:lastRenderedPageBreak/>
        <w:t>Asimismo, la Agencia publicó el ABC del Decreto 0997 de 2026 sobre RUP, integridad y transparencia, que explica la verificación de listas internacionales y la vigencia de esa regla, disponible en su sitio web. Estos y otros conceptos se encuentran disponibles para consulta en el Sistema de relatoría de la Agencia, al cual se puede acceder a través del siguiente enlace: https://relatoria.colombiacompra.gov.co/busqueda/conceptos</w:t>
      </w:r>
    </w:p>
    <w:p w14:paraId="398641E0" w14:textId="77777777" w:rsidR="00B349E9" w:rsidRPr="00EE1130" w:rsidRDefault="00B349E9" w:rsidP="00B349E9">
      <w:pPr>
        <w:spacing w:after="0" w:line="276" w:lineRule="auto"/>
        <w:jc w:val="both"/>
        <w:rPr>
          <w:rFonts w:ascii="Verdana" w:hAnsi="Verdana" w:cs="Arial"/>
          <w:color w:val="ED7D31" w:themeColor="accent2"/>
          <w:shd w:val="clear" w:color="auto" w:fill="FFFFFF"/>
          <w:lang w:val="es-ES"/>
        </w:rPr>
      </w:pPr>
    </w:p>
    <w:p w14:paraId="6E99F5A1" w14:textId="2F5730F3" w:rsidR="00B349E9" w:rsidRPr="00EE1130" w:rsidRDefault="00B349E9" w:rsidP="00B349E9">
      <w:pPr>
        <w:spacing w:after="0" w:line="276" w:lineRule="auto"/>
        <w:jc w:val="both"/>
        <w:rPr>
          <w:rFonts w:ascii="Verdana" w:hAnsi="Verdana" w:cs="Arial"/>
          <w:shd w:val="clear" w:color="auto" w:fill="FFFFFF"/>
        </w:rPr>
      </w:pPr>
      <w:r>
        <w:rPr>
          <w:rFonts w:ascii="Verdana" w:hAnsi="Verdana" w:cs="Arial"/>
          <w:shd w:val="clear" w:color="auto" w:fill="FFFFFF"/>
        </w:rPr>
        <w:t xml:space="preserve">La sostenibilidad no es una opción, es una obligación. Por ello, la Agencia Nacional de Contratación Pública –Colombia Compra Eficiente– te invita a realizar el Curso de Contratación Pública Sostenible y Socialmente Responsable, una herramienta clave para fortalecer las capacidades de todos los compradores públicos, proveedores, servidores públicos </w:t>
      </w:r>
      <w:r w:rsidR="00425655" w:rsidRPr="003E0208">
        <w:rPr>
          <w:rFonts w:ascii="Verdana" w:eastAsia="Times New Roman" w:hAnsi="Verdana" w:cs="Times New Roman"/>
        </w:rPr>
        <w:t>y</w:t>
      </w:r>
      <w:r>
        <w:rPr>
          <w:rFonts w:ascii="Verdana" w:hAnsi="Verdana" w:cs="Arial"/>
          <w:shd w:val="clear" w:color="auto" w:fill="FFFFFF"/>
        </w:rPr>
        <w:t xml:space="preserve"> para generar mayor valor público. Accede al curso y aprende como implementar criterios sociales y ambientales en las diferentes etapas del proceso de contratación: </w:t>
      </w:r>
      <w:hyperlink r:id="rId11" w:history="1">
        <w:r>
          <w:rPr>
            <w:rStyle w:val="Hipervnculo"/>
            <w:rFonts w:ascii="Verdana" w:hAnsi="Verdana" w:cs="Arial"/>
            <w:shd w:val="clear" w:color="auto" w:fill="FFFFFF"/>
          </w:rPr>
          <w:t>https://formacionvirtual.colombiacompra.gov.co/mod/page/view.php?id=3718</w:t>
        </w:r>
      </w:hyperlink>
      <w:r>
        <w:rPr>
          <w:rFonts w:ascii="Verdana" w:hAnsi="Verdana" w:cs="Arial"/>
          <w:shd w:val="clear" w:color="auto" w:fill="FFFFFF"/>
        </w:rPr>
        <w:t xml:space="preserve"> </w:t>
      </w:r>
    </w:p>
    <w:p w14:paraId="237117BA" w14:textId="77777777" w:rsidR="00B349E9" w:rsidRPr="001B3CBA" w:rsidRDefault="00B349E9" w:rsidP="00B349E9">
      <w:pPr>
        <w:spacing w:after="0" w:line="276" w:lineRule="auto"/>
        <w:jc w:val="both"/>
        <w:rPr>
          <w:rFonts w:ascii="Verdana" w:hAnsi="Verdana" w:cs="Arial"/>
          <w:shd w:val="clear" w:color="auto" w:fill="FFFFFF"/>
        </w:rPr>
      </w:pPr>
    </w:p>
    <w:p w14:paraId="44A80653" w14:textId="3EFDB577" w:rsidR="00B349E9" w:rsidRPr="00EE1130" w:rsidRDefault="00B349E9" w:rsidP="00B349E9">
      <w:pPr>
        <w:spacing w:after="0" w:line="276" w:lineRule="auto"/>
        <w:jc w:val="both"/>
        <w:rPr>
          <w:rFonts w:ascii="Verdana" w:hAnsi="Verdana" w:cs="Arial"/>
          <w:shd w:val="clear" w:color="auto" w:fill="FFFFFF"/>
        </w:rPr>
      </w:pPr>
      <w:r>
        <w:rPr>
          <w:rFonts w:ascii="Verdana" w:hAnsi="Verdana" w:cs="Arial"/>
          <w:shd w:val="clear" w:color="auto" w:fill="FFFFFF"/>
        </w:rPr>
        <w:t xml:space="preserve">De otro lado, te contamos que esta Agencia ha </w:t>
      </w:r>
      <w:r w:rsidR="00425655" w:rsidRPr="003E0208">
        <w:rPr>
          <w:rFonts w:ascii="Verdana" w:eastAsia="Times New Roman" w:hAnsi="Verdana" w:cs="Times New Roman"/>
        </w:rPr>
        <w:t>dado</w:t>
      </w:r>
      <w:r>
        <w:rPr>
          <w:rFonts w:ascii="Verdana" w:hAnsi="Verdana" w:cs="Arial"/>
          <w:shd w:val="clear" w:color="auto" w:fill="FFFFFF"/>
        </w:rPr>
        <w:t xml:space="preserve"> un paso decisivo en la 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w:t>
      </w:r>
      <w:r w:rsidR="00425655" w:rsidRPr="003E0208">
        <w:rPr>
          <w:rFonts w:ascii="Verdana" w:eastAsia="Times New Roman" w:hAnsi="Verdana" w:cs="Times New Roman"/>
        </w:rPr>
        <w:t>,</w:t>
      </w:r>
      <w:r>
        <w:rPr>
          <w:rFonts w:ascii="Verdana" w:hAnsi="Verdana" w:cs="Arial"/>
          <w:shd w:val="clear" w:color="auto" w:fill="FFFFFF"/>
        </w:rPr>
        <w:t xml:space="preserve"> competitivos y sostenibles en sectores estratégicos como educación, salud, cultura, recreación, deporte, institucional y vivienda. Consulta y descarga los documentos aquí: </w:t>
      </w:r>
      <w:hyperlink r:id="rId12" w:history="1">
        <w:r>
          <w:rPr>
            <w:rStyle w:val="Hipervnculo"/>
            <w:rFonts w:ascii="Verdana" w:hAnsi="Verdana" w:cs="Arial"/>
            <w:shd w:val="clear" w:color="auto" w:fill="FFFFFF"/>
          </w:rPr>
          <w:t>https://www.colombiacompra.gov.co/normativa-y-relatoria/documentos-tipo</w:t>
        </w:r>
      </w:hyperlink>
    </w:p>
    <w:p w14:paraId="7D076A20" w14:textId="77777777" w:rsidR="00B349E9" w:rsidRPr="00EE1130" w:rsidRDefault="00B349E9" w:rsidP="00B349E9">
      <w:pPr>
        <w:spacing w:after="0" w:line="276" w:lineRule="auto"/>
        <w:jc w:val="both"/>
        <w:rPr>
          <w:rFonts w:ascii="Verdana" w:hAnsi="Verdana" w:cs="Arial"/>
          <w:shd w:val="clear" w:color="auto" w:fill="FFFFFF"/>
        </w:rPr>
      </w:pPr>
    </w:p>
    <w:p w14:paraId="207F54DF" w14:textId="77777777" w:rsidR="00B349E9" w:rsidRPr="00EE1130" w:rsidRDefault="00B349E9" w:rsidP="00B349E9">
      <w:pPr>
        <w:spacing w:after="0" w:line="276" w:lineRule="auto"/>
        <w:jc w:val="both"/>
        <w:rPr>
          <w:rFonts w:ascii="Verdana" w:hAnsi="Verdana" w:cs="Arial"/>
          <w:shd w:val="clear" w:color="auto" w:fill="FFFFFF"/>
        </w:rPr>
      </w:pPr>
      <w:r>
        <w:rPr>
          <w:rFonts w:ascii="Verdana" w:hAnsi="Verdana" w:cs="Arial"/>
          <w:shd w:val="clear" w:color="auto" w:fill="FFFFFF"/>
        </w:rPr>
        <w:t xml:space="preserve">Si quieres conocer más sobre la aplicación de Documentos Tipo puedes consultar la última versión de la Guía para la comprensión e implementación de los Documentos Tipo de obra pública de infraestructura de transporte. En esta actualización se incorporaron orientaciones prácticas dirigidas a entidades públicas, proveedores, organismos de control y demás interesados, con el propósito de facilitar la adecuada implementación de estos instrumentos en los procesos contractuales. </w:t>
      </w:r>
      <w:proofErr w:type="gramStart"/>
      <w:r>
        <w:rPr>
          <w:rFonts w:ascii="Verdana" w:hAnsi="Verdana" w:cs="Arial"/>
          <w:shd w:val="clear" w:color="auto" w:fill="FFFFFF"/>
        </w:rPr>
        <w:t>Además</w:t>
      </w:r>
      <w:proofErr w:type="gramEnd"/>
      <w:r>
        <w:rPr>
          <w:rFonts w:ascii="Verdana" w:hAnsi="Verdana" w:cs="Arial"/>
          <w:shd w:val="clear" w:color="auto" w:fill="FFFFFF"/>
        </w:rPr>
        <w:t xml:space="preserve"> se incluyeron lineamientos que orientan la implementación de los criterios ambientales y sociales incluidos en los documentos tipo: Consulta la guía aquí: </w:t>
      </w:r>
      <w:r>
        <w:rPr>
          <w:rFonts w:ascii="Verdana" w:hAnsi="Verdana" w:cs="Arial"/>
          <w:shd w:val="clear" w:color="auto" w:fill="FFFFFF"/>
        </w:rPr>
        <w:lastRenderedPageBreak/>
        <w:t>https://www.colombiacompra.gov.co/archivos/manual/guia-para-la-comprension-e-implementacion-de-los-documentos-tipo-de-obra-publica-de-infraestructura-de-transporte-bajo-las-diferentes-modalidades-de-contratacion-vigentes</w:t>
      </w:r>
    </w:p>
    <w:p w14:paraId="4FE7C39B" w14:textId="77777777" w:rsidR="00B349E9" w:rsidRPr="00EE1130" w:rsidRDefault="00B349E9" w:rsidP="00B349E9">
      <w:pPr>
        <w:spacing w:after="0" w:line="276" w:lineRule="auto"/>
        <w:jc w:val="both"/>
        <w:rPr>
          <w:rFonts w:ascii="Verdana" w:hAnsi="Verdana" w:cs="Arial"/>
          <w:color w:val="ED7D31" w:themeColor="accent2"/>
          <w:shd w:val="clear" w:color="auto" w:fill="FFFFFF"/>
        </w:rPr>
      </w:pPr>
    </w:p>
    <w:p w14:paraId="0947EDEC" w14:textId="77777777" w:rsidR="00B349E9" w:rsidRPr="00EE1130" w:rsidRDefault="00B349E9" w:rsidP="00B349E9">
      <w:pPr>
        <w:spacing w:after="0" w:line="276" w:lineRule="auto"/>
        <w:jc w:val="both"/>
        <w:rPr>
          <w:rFonts w:ascii="Verdana" w:hAnsi="Verdana" w:cs="Arial"/>
          <w:shd w:val="clear" w:color="auto" w:fill="FFFFFF"/>
        </w:rPr>
      </w:pPr>
      <w:r>
        <w:rPr>
          <w:rFonts w:ascii="Verdana" w:hAnsi="Verdana" w:cs="Arial"/>
          <w:shd w:val="clear" w:color="auto" w:fill="FFFFFF"/>
        </w:rPr>
        <w:t xml:space="preserve">Por último, lo invitamos a seguirnos en las redes sociales en las cuales se difunde información institucional: </w:t>
      </w:r>
    </w:p>
    <w:p w14:paraId="277F3DB1" w14:textId="77777777" w:rsidR="00B349E9" w:rsidRPr="00EE1130" w:rsidRDefault="00B349E9" w:rsidP="00B349E9">
      <w:pPr>
        <w:spacing w:after="0" w:line="276" w:lineRule="auto"/>
        <w:jc w:val="both"/>
        <w:rPr>
          <w:rFonts w:ascii="Verdana" w:hAnsi="Verdana" w:cs="Arial"/>
          <w:shd w:val="clear" w:color="auto" w:fill="FFFFFF"/>
        </w:rPr>
      </w:pPr>
    </w:p>
    <w:p w14:paraId="576E89AA" w14:textId="77777777" w:rsidR="00B349E9" w:rsidRPr="00EE1130" w:rsidRDefault="00B349E9" w:rsidP="00B349E9">
      <w:pPr>
        <w:spacing w:after="0" w:line="276" w:lineRule="auto"/>
        <w:jc w:val="both"/>
        <w:rPr>
          <w:rFonts w:ascii="Verdana" w:hAnsi="Verdana" w:cs="Arial"/>
          <w:shd w:val="clear" w:color="auto" w:fill="FFFFFF"/>
        </w:rPr>
      </w:pPr>
      <w:r>
        <w:rPr>
          <w:rFonts w:ascii="Verdana" w:hAnsi="Verdana" w:cs="Arial"/>
          <w:shd w:val="clear" w:color="auto" w:fill="FFFFFF"/>
        </w:rPr>
        <w:t xml:space="preserve">Twitter: </w:t>
      </w:r>
      <w:r>
        <w:rPr>
          <w:rStyle w:val="Hipervnculo"/>
          <w:rFonts w:ascii="Verdana" w:hAnsi="Verdana"/>
          <w:lang w:val="es-ES"/>
        </w:rPr>
        <w:t>@colombiacompra</w:t>
      </w:r>
      <w:r>
        <w:rPr>
          <w:rStyle w:val="Hipervnculo"/>
          <w:rFonts w:ascii="Verdana" w:hAnsi="Verdana"/>
          <w:color w:val="auto"/>
          <w:lang w:val="es-ES"/>
        </w:rPr>
        <w:t xml:space="preserve"> </w:t>
      </w:r>
    </w:p>
    <w:p w14:paraId="46A41AD8" w14:textId="77777777" w:rsidR="00B349E9" w:rsidRPr="00EE1130" w:rsidRDefault="00B349E9" w:rsidP="00B349E9">
      <w:pPr>
        <w:spacing w:after="0" w:line="276" w:lineRule="auto"/>
        <w:jc w:val="both"/>
        <w:rPr>
          <w:rFonts w:ascii="Verdana" w:hAnsi="Verdana" w:cs="Arial"/>
          <w:shd w:val="clear" w:color="auto" w:fill="FFFFFF"/>
        </w:rPr>
      </w:pPr>
      <w:r>
        <w:rPr>
          <w:rFonts w:ascii="Verdana" w:hAnsi="Verdana" w:cs="Arial"/>
          <w:shd w:val="clear" w:color="auto" w:fill="FFFFFF"/>
        </w:rPr>
        <w:t>Facebook:</w:t>
      </w:r>
      <w:r>
        <w:rPr>
          <w:rStyle w:val="Hipervnculo"/>
          <w:rFonts w:ascii="Verdana" w:hAnsi="Verdana"/>
          <w:lang w:val="es-ES"/>
        </w:rPr>
        <w:t xml:space="preserve"> </w:t>
      </w:r>
      <w:proofErr w:type="spellStart"/>
      <w:r>
        <w:rPr>
          <w:rStyle w:val="Hipervnculo"/>
          <w:rFonts w:ascii="Verdana" w:hAnsi="Verdana"/>
          <w:lang w:val="es-ES"/>
        </w:rPr>
        <w:t>ColombiaCompraEficiente</w:t>
      </w:r>
      <w:proofErr w:type="spellEnd"/>
    </w:p>
    <w:p w14:paraId="20A6B360" w14:textId="77777777" w:rsidR="00B349E9" w:rsidRPr="00EE1130" w:rsidRDefault="00B349E9" w:rsidP="00B349E9">
      <w:pPr>
        <w:spacing w:after="0" w:line="276" w:lineRule="auto"/>
        <w:jc w:val="both"/>
        <w:rPr>
          <w:rFonts w:ascii="Verdana" w:hAnsi="Verdana" w:cs="Arial"/>
          <w:shd w:val="clear" w:color="auto" w:fill="FFFFFF"/>
        </w:rPr>
      </w:pPr>
      <w:r>
        <w:rPr>
          <w:rFonts w:ascii="Verdana" w:hAnsi="Verdana" w:cs="Arial"/>
          <w:shd w:val="clear" w:color="auto" w:fill="FFFFFF"/>
        </w:rPr>
        <w:t xml:space="preserve">LinkedIn: </w:t>
      </w:r>
      <w:r>
        <w:rPr>
          <w:rStyle w:val="Hipervnculo"/>
          <w:rFonts w:ascii="Verdana" w:hAnsi="Verdana"/>
          <w:lang w:val="es-ES"/>
        </w:rPr>
        <w:t>Agencia Nacional de Contratación Pública - Colombia Compra Eficiente</w:t>
      </w:r>
      <w:r>
        <w:rPr>
          <w:rFonts w:ascii="Verdana" w:hAnsi="Verdana" w:cs="Arial"/>
          <w:color w:val="0000FF"/>
          <w:shd w:val="clear" w:color="auto" w:fill="FFFFFF"/>
        </w:rPr>
        <w:t xml:space="preserve"> </w:t>
      </w:r>
    </w:p>
    <w:p w14:paraId="363C3AB9" w14:textId="77777777" w:rsidR="00B349E9" w:rsidRPr="00EE1130" w:rsidRDefault="00B349E9" w:rsidP="00B349E9">
      <w:pPr>
        <w:spacing w:after="0" w:line="276" w:lineRule="auto"/>
        <w:jc w:val="both"/>
        <w:rPr>
          <w:rFonts w:ascii="Verdana" w:hAnsi="Verdana" w:cs="Arial"/>
          <w:shd w:val="clear" w:color="auto" w:fill="FFFFFF"/>
        </w:rPr>
      </w:pPr>
      <w:r>
        <w:rPr>
          <w:rFonts w:ascii="Verdana" w:hAnsi="Verdana" w:cs="Arial"/>
          <w:shd w:val="clear" w:color="auto" w:fill="FFFFFF"/>
        </w:rPr>
        <w:t xml:space="preserve">Instagram: </w:t>
      </w:r>
      <w:r>
        <w:rPr>
          <w:rStyle w:val="Hipervnculo"/>
          <w:rFonts w:ascii="Verdana" w:hAnsi="Verdana"/>
          <w:lang w:val="es-ES"/>
        </w:rPr>
        <w:t>@colombiacompraeficiente_cce</w:t>
      </w:r>
    </w:p>
    <w:p w14:paraId="3FA5A4AC" w14:textId="77777777" w:rsidR="00B349E9" w:rsidRPr="00EE1130" w:rsidRDefault="00B349E9" w:rsidP="00B349E9">
      <w:pPr>
        <w:widowControl w:val="0"/>
        <w:autoSpaceDE w:val="0"/>
        <w:autoSpaceDN w:val="0"/>
        <w:spacing w:after="0" w:line="276" w:lineRule="auto"/>
        <w:jc w:val="both"/>
        <w:rPr>
          <w:rFonts w:ascii="Verdana" w:hAnsi="Verdana" w:cs="Arial"/>
          <w:color w:val="ED7D31" w:themeColor="accent2"/>
          <w:lang w:val="es-ES"/>
        </w:rPr>
      </w:pPr>
    </w:p>
    <w:p w14:paraId="50AB2FAD" w14:textId="77777777" w:rsidR="00B349E9" w:rsidRPr="00EE1130" w:rsidRDefault="00B349E9" w:rsidP="00B349E9">
      <w:pPr>
        <w:widowControl w:val="0"/>
        <w:autoSpaceDE w:val="0"/>
        <w:autoSpaceDN w:val="0"/>
        <w:spacing w:after="0" w:line="276" w:lineRule="auto"/>
        <w:jc w:val="both"/>
        <w:rPr>
          <w:rFonts w:ascii="Verdana" w:hAnsi="Verdana" w:cs="Arial"/>
          <w:lang w:val="es-ES"/>
        </w:rPr>
      </w:pPr>
      <w:r>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250EDD7" w14:textId="77777777" w:rsidR="00B349E9" w:rsidRPr="00EE1130" w:rsidRDefault="00B349E9" w:rsidP="00B349E9">
      <w:pPr>
        <w:widowControl w:val="0"/>
        <w:autoSpaceDE w:val="0"/>
        <w:autoSpaceDN w:val="0"/>
        <w:spacing w:after="0" w:line="276" w:lineRule="auto"/>
        <w:jc w:val="both"/>
        <w:rPr>
          <w:rFonts w:ascii="Verdana" w:hAnsi="Verdana" w:cs="Arial"/>
          <w:lang w:val="es-ES"/>
        </w:rPr>
      </w:pPr>
    </w:p>
    <w:p w14:paraId="05C143D3" w14:textId="77777777" w:rsidR="00B349E9" w:rsidRDefault="00B349E9" w:rsidP="00B349E9">
      <w:pPr>
        <w:spacing w:after="0" w:line="276" w:lineRule="auto"/>
        <w:rPr>
          <w:rFonts w:ascii="Verdana" w:hAnsi="Verdana" w:cs="Arial"/>
          <w:lang w:val="es-ES" w:eastAsia="es-CO"/>
        </w:rPr>
      </w:pPr>
      <w:r>
        <w:rPr>
          <w:rFonts w:ascii="Verdana" w:eastAsia="Times New Roman" w:hAnsi="Verdana" w:cs="Arial"/>
          <w:lang w:val="es-ES" w:eastAsia="es-CO"/>
        </w:rPr>
        <w:t>Atentamente,</w:t>
      </w:r>
      <w:r>
        <w:rPr>
          <w:rFonts w:ascii="Verdana" w:hAnsi="Verdana" w:cs="Arial"/>
          <w:lang w:val="es-ES" w:eastAsia="es-CO"/>
        </w:rPr>
        <w:t xml:space="preserve"> </w:t>
      </w:r>
    </w:p>
    <w:p w14:paraId="75372E09" w14:textId="2B5E978D" w:rsidR="00035CA4" w:rsidRDefault="00407EF4" w:rsidP="00B349E9">
      <w:pPr>
        <w:spacing w:after="0" w:line="276" w:lineRule="auto"/>
        <w:rPr>
          <w:rFonts w:ascii="Verdana" w:hAnsi="Verdana" w:cs="Arial"/>
          <w:lang w:val="es-ES" w:eastAsia="es-CO"/>
        </w:rPr>
      </w:pPr>
      <w:r>
        <w:rPr>
          <w:rFonts w:ascii="Verdana" w:hAnsi="Verdana" w:cs="Arial"/>
          <w:noProof/>
          <w:lang w:val="es-ES" w:eastAsia="es-CO"/>
        </w:rPr>
        <w:drawing>
          <wp:anchor distT="0" distB="0" distL="114300" distR="114300" simplePos="0" relativeHeight="251659264" behindDoc="0" locked="0" layoutInCell="1" allowOverlap="1" wp14:anchorId="2EB7D955" wp14:editId="7EC005B7">
            <wp:simplePos x="0" y="0"/>
            <wp:positionH relativeFrom="margin">
              <wp:align>center</wp:align>
            </wp:positionH>
            <wp:positionV relativeFrom="paragraph">
              <wp:posOffset>20651</wp:posOffset>
            </wp:positionV>
            <wp:extent cx="2973705" cy="1224280"/>
            <wp:effectExtent l="0" t="0" r="0" b="0"/>
            <wp:wrapSquare wrapText="bothSides"/>
            <wp:docPr id="69596965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969650" name="Imagen 1" descr="Texto&#10;&#10;Descripción generada automáticament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80188" cy="1227169"/>
                    </a:xfrm>
                    <a:prstGeom prst="rect">
                      <a:avLst/>
                    </a:prstGeom>
                  </pic:spPr>
                </pic:pic>
              </a:graphicData>
            </a:graphic>
            <wp14:sizeRelV relativeFrom="margin">
              <wp14:pctHeight>0</wp14:pctHeight>
            </wp14:sizeRelV>
          </wp:anchor>
        </w:drawing>
      </w:r>
    </w:p>
    <w:p w14:paraId="69F9CD7A" w14:textId="0A424505" w:rsidR="00035CA4" w:rsidRPr="00EE1130" w:rsidRDefault="00035CA4" w:rsidP="0060740B">
      <w:pPr>
        <w:spacing w:after="0" w:line="276" w:lineRule="auto"/>
        <w:jc w:val="center"/>
        <w:rPr>
          <w:rFonts w:ascii="Verdana" w:hAnsi="Verdana" w:cs="Arial"/>
          <w:lang w:val="es-ES" w:eastAsia="es-CO"/>
        </w:rPr>
      </w:pPr>
    </w:p>
    <w:p w14:paraId="6253ACA6" w14:textId="77777777" w:rsidR="00B349E9" w:rsidRPr="00206556" w:rsidRDefault="00B349E9" w:rsidP="00B349E9">
      <w:pPr>
        <w:spacing w:after="0" w:line="256" w:lineRule="auto"/>
        <w:jc w:val="center"/>
        <w:rPr>
          <w:rFonts w:ascii="Verdana" w:eastAsia="Times New Roman" w:hAnsi="Verdana" w:cs="Arial"/>
          <w:lang w:eastAsia="es-ES"/>
        </w:rPr>
      </w:pPr>
    </w:p>
    <w:p w14:paraId="3F134295" w14:textId="77777777" w:rsidR="00B349E9" w:rsidRDefault="00B349E9" w:rsidP="00B349E9">
      <w:pPr>
        <w:spacing w:after="0" w:line="240" w:lineRule="auto"/>
        <w:rPr>
          <w:rFonts w:ascii="Verdana" w:eastAsia="Times New Roman" w:hAnsi="Verdana" w:cs="Arial"/>
          <w:lang w:eastAsia="es-ES"/>
        </w:rPr>
      </w:pPr>
    </w:p>
    <w:p w14:paraId="63CDED2D" w14:textId="77777777" w:rsidR="00407EF4" w:rsidRDefault="00407EF4" w:rsidP="00B349E9">
      <w:pPr>
        <w:spacing w:after="0" w:line="240" w:lineRule="auto"/>
        <w:rPr>
          <w:rFonts w:ascii="Verdana" w:eastAsia="Times New Roman" w:hAnsi="Verdana" w:cs="Arial"/>
          <w:lang w:eastAsia="es-ES"/>
        </w:rPr>
      </w:pPr>
    </w:p>
    <w:p w14:paraId="2C69AEC9" w14:textId="77777777" w:rsidR="00407EF4" w:rsidRPr="00206556" w:rsidRDefault="00407EF4" w:rsidP="00B349E9">
      <w:pPr>
        <w:spacing w:after="0" w:line="240" w:lineRule="auto"/>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B349E9" w:rsidRPr="00206556" w14:paraId="75380D28" w14:textId="77777777" w:rsidTr="006A74EB">
        <w:trPr>
          <w:trHeight w:val="322"/>
        </w:trPr>
        <w:tc>
          <w:tcPr>
            <w:tcW w:w="733" w:type="dxa"/>
            <w:tcBorders>
              <w:top w:val="nil"/>
              <w:left w:val="nil"/>
              <w:bottom w:val="nil"/>
              <w:right w:val="nil"/>
            </w:tcBorders>
            <w:vAlign w:val="center"/>
            <w:hideMark/>
          </w:tcPr>
          <w:p w14:paraId="60EE25A5" w14:textId="77777777" w:rsidR="00B349E9" w:rsidRPr="00206556" w:rsidRDefault="00B349E9" w:rsidP="006A74EB">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Elaboró:         </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2B270AC7" w14:textId="77777777" w:rsidR="00B349E9" w:rsidRPr="00206556" w:rsidRDefault="00B349E9" w:rsidP="006A74EB">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eastAsia="es-CO"/>
              </w:rPr>
              <w:t>Gloria Elizabeth Arango Builes</w:t>
            </w:r>
          </w:p>
          <w:p w14:paraId="13D533FC" w14:textId="77777777" w:rsidR="00B349E9" w:rsidRPr="00206556" w:rsidRDefault="00B349E9" w:rsidP="006A74EB">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eastAsia="es-ES"/>
              </w:rPr>
              <w:t xml:space="preserve">Contratista </w:t>
            </w:r>
            <w:r>
              <w:rPr>
                <w:rFonts w:ascii="Verdana" w:eastAsia="Times New Roman" w:hAnsi="Verdana" w:cs="Times New Roman"/>
                <w:sz w:val="16"/>
                <w:szCs w:val="16"/>
                <w:lang w:eastAsia="es-CO"/>
              </w:rPr>
              <w:t>de la Subdirección de Gestión Contractual</w:t>
            </w:r>
          </w:p>
        </w:tc>
      </w:tr>
      <w:tr w:rsidR="00B349E9" w:rsidRPr="00206556" w14:paraId="68E92322" w14:textId="77777777" w:rsidTr="006A74EB">
        <w:trPr>
          <w:trHeight w:val="322"/>
        </w:trPr>
        <w:tc>
          <w:tcPr>
            <w:tcW w:w="733" w:type="dxa"/>
            <w:tcBorders>
              <w:top w:val="nil"/>
              <w:left w:val="nil"/>
              <w:bottom w:val="nil"/>
              <w:right w:val="nil"/>
            </w:tcBorders>
            <w:vAlign w:val="center"/>
            <w:hideMark/>
          </w:tcPr>
          <w:p w14:paraId="025DA3BB" w14:textId="77777777" w:rsidR="00B349E9" w:rsidRPr="00206556" w:rsidRDefault="00B349E9" w:rsidP="006A74EB">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Revisó:</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5D5EFB7F" w14:textId="77777777" w:rsidR="00B349E9" w:rsidRPr="00206556" w:rsidRDefault="00B349E9" w:rsidP="006A74EB">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Alejandro Sarmiento Cantillo</w:t>
            </w:r>
          </w:p>
          <w:p w14:paraId="1FE32AAE" w14:textId="47EC6DBE" w:rsidR="00B349E9" w:rsidRPr="00206556" w:rsidRDefault="00B349E9" w:rsidP="006A74EB">
            <w:pPr>
              <w:autoSpaceDE w:val="0"/>
              <w:autoSpaceDN w:val="0"/>
              <w:adjustRightInd w:val="0"/>
              <w:spacing w:after="0" w:line="276" w:lineRule="auto"/>
              <w:rPr>
                <w:rFonts w:ascii="Verdana" w:eastAsia="Times New Roman" w:hAnsi="Verdana" w:cs="Times New Roman"/>
                <w:sz w:val="16"/>
                <w:szCs w:val="16"/>
                <w:lang w:eastAsia="es-CO"/>
              </w:rPr>
            </w:pPr>
            <w:r w:rsidRPr="00D22419">
              <w:rPr>
                <w:rFonts w:ascii="Verdana" w:eastAsia="Times New Roman" w:hAnsi="Verdana" w:cs="Arial"/>
                <w:sz w:val="16"/>
                <w:szCs w:val="16"/>
                <w:lang w:eastAsia="es-ES"/>
              </w:rPr>
              <w:t>Gestor Código T1 Grado</w:t>
            </w:r>
            <w:r w:rsidR="008527F3">
              <w:rPr>
                <w:rFonts w:ascii="Verdana" w:eastAsia="Times New Roman" w:hAnsi="Verdana" w:cs="Arial"/>
                <w:sz w:val="16"/>
                <w:szCs w:val="16"/>
                <w:lang w:eastAsia="es-ES"/>
              </w:rPr>
              <w:t xml:space="preserve"> </w:t>
            </w:r>
            <w:r w:rsidRPr="00D22419">
              <w:rPr>
                <w:rFonts w:ascii="Verdana" w:eastAsia="Times New Roman" w:hAnsi="Verdana" w:cs="Arial"/>
                <w:sz w:val="16"/>
                <w:szCs w:val="16"/>
                <w:lang w:eastAsia="es-ES"/>
              </w:rPr>
              <w:t>15</w:t>
            </w:r>
            <w:r>
              <w:rPr>
                <w:rFonts w:ascii="Verdana" w:eastAsia="Times New Roman" w:hAnsi="Verdana" w:cs="Arial"/>
                <w:sz w:val="16"/>
                <w:szCs w:val="16"/>
                <w:lang w:eastAsia="es-ES"/>
              </w:rPr>
              <w:t xml:space="preserve"> Subdirección de Gestión Contractual </w:t>
            </w:r>
          </w:p>
        </w:tc>
      </w:tr>
      <w:tr w:rsidR="00B349E9" w:rsidRPr="00206556" w14:paraId="1ADC2FA5" w14:textId="77777777" w:rsidTr="006A74EB">
        <w:trPr>
          <w:trHeight w:val="307"/>
        </w:trPr>
        <w:tc>
          <w:tcPr>
            <w:tcW w:w="733" w:type="dxa"/>
            <w:tcBorders>
              <w:top w:val="nil"/>
              <w:left w:val="nil"/>
              <w:bottom w:val="nil"/>
              <w:right w:val="nil"/>
            </w:tcBorders>
            <w:vAlign w:val="center"/>
            <w:hideMark/>
          </w:tcPr>
          <w:p w14:paraId="52F5CBF5" w14:textId="77777777" w:rsidR="00B349E9" w:rsidRPr="00206556" w:rsidRDefault="00B349E9" w:rsidP="006A74EB">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Aprobó:</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3A9E5277" w14:textId="77777777" w:rsidR="00B349E9" w:rsidRPr="00206556" w:rsidRDefault="00B349E9" w:rsidP="006A74EB">
            <w:pPr>
              <w:spacing w:after="0" w:line="256" w:lineRule="auto"/>
              <w:rPr>
                <w:rFonts w:ascii="Verdana" w:eastAsia="Times New Roman" w:hAnsi="Verdana" w:cs="Arial"/>
                <w:sz w:val="16"/>
                <w:szCs w:val="16"/>
                <w:lang w:eastAsia="es-ES"/>
              </w:rPr>
            </w:pPr>
            <w:r>
              <w:rPr>
                <w:rFonts w:ascii="Verdana" w:eastAsia="Times New Roman" w:hAnsi="Verdana" w:cs="Arial"/>
                <w:sz w:val="16"/>
                <w:szCs w:val="16"/>
                <w:lang w:eastAsia="es-ES"/>
              </w:rPr>
              <w:t>William Javier Murcia Acevedo</w:t>
            </w:r>
          </w:p>
          <w:p w14:paraId="66CE7E9D" w14:textId="77777777" w:rsidR="00B349E9" w:rsidRPr="00206556" w:rsidRDefault="00B349E9" w:rsidP="006A74EB">
            <w:pPr>
              <w:spacing w:after="0" w:line="256" w:lineRule="auto"/>
              <w:rPr>
                <w:rFonts w:ascii="Verdana" w:eastAsia="Times New Roman" w:hAnsi="Verdana" w:cs="Arial"/>
                <w:sz w:val="16"/>
                <w:szCs w:val="16"/>
                <w:lang w:eastAsia="es-ES"/>
              </w:rPr>
            </w:pPr>
            <w:r>
              <w:rPr>
                <w:rFonts w:ascii="Verdana" w:eastAsia="Times New Roman" w:hAnsi="Verdana" w:cs="Arial"/>
                <w:sz w:val="16"/>
                <w:szCs w:val="16"/>
                <w:lang w:eastAsia="es-ES"/>
              </w:rPr>
              <w:t>Subdirector (E) de Gestión Contractual ANCP – CCE</w:t>
            </w:r>
          </w:p>
        </w:tc>
      </w:tr>
    </w:tbl>
    <w:p w14:paraId="0C1C81EB" w14:textId="77777777" w:rsidR="00B349E9" w:rsidRDefault="00B349E9" w:rsidP="00B349E9">
      <w:pPr>
        <w:autoSpaceDE w:val="0"/>
        <w:autoSpaceDN w:val="0"/>
        <w:adjustRightInd w:val="0"/>
        <w:spacing w:after="0" w:line="276" w:lineRule="auto"/>
        <w:jc w:val="center"/>
        <w:rPr>
          <w:rFonts w:ascii="Verdana" w:eastAsia="Calibri" w:hAnsi="Verdana" w:cs="Arial"/>
        </w:rPr>
      </w:pPr>
    </w:p>
    <w:p w14:paraId="3CB0D7F5" w14:textId="77777777" w:rsidR="00B349E9" w:rsidRDefault="00B349E9" w:rsidP="00B349E9">
      <w:pPr>
        <w:autoSpaceDE w:val="0"/>
        <w:autoSpaceDN w:val="0"/>
        <w:adjustRightInd w:val="0"/>
        <w:spacing w:after="0" w:line="276" w:lineRule="auto"/>
        <w:jc w:val="center"/>
        <w:rPr>
          <w:rFonts w:ascii="Verdana" w:eastAsia="Calibri" w:hAnsi="Verdana" w:cs="Arial"/>
        </w:rPr>
      </w:pPr>
    </w:p>
    <w:p w14:paraId="6759A5B2" w14:textId="77777777" w:rsidR="00B349E9" w:rsidRPr="00206556" w:rsidRDefault="00B349E9" w:rsidP="00B349E9">
      <w:pPr>
        <w:autoSpaceDE w:val="0"/>
        <w:autoSpaceDN w:val="0"/>
        <w:adjustRightInd w:val="0"/>
        <w:spacing w:after="0" w:line="276" w:lineRule="auto"/>
        <w:jc w:val="center"/>
        <w:rPr>
          <w:rFonts w:ascii="Verdana" w:eastAsia="Calibri" w:hAnsi="Verdana" w:cs="Arial"/>
        </w:rPr>
      </w:pPr>
    </w:p>
    <w:p w14:paraId="753699BE" w14:textId="77777777" w:rsidR="00B349E9" w:rsidRPr="007871E6" w:rsidRDefault="00B349E9" w:rsidP="00B349E9">
      <w:pPr>
        <w:spacing w:after="0" w:line="240" w:lineRule="auto"/>
        <w:jc w:val="both"/>
        <w:rPr>
          <w:rFonts w:ascii="Verdana" w:eastAsia="Verdana" w:hAnsi="Verdana" w:cs="Verdana"/>
          <w:b/>
          <w:bCs/>
        </w:rPr>
      </w:pPr>
    </w:p>
    <w:p w14:paraId="4AB5066F" w14:textId="77777777" w:rsidR="00B349E9" w:rsidRPr="000E2B93" w:rsidRDefault="00B349E9" w:rsidP="00B349E9">
      <w:pPr>
        <w:spacing w:after="0" w:line="240" w:lineRule="auto"/>
        <w:jc w:val="both"/>
        <w:textAlignment w:val="baseline"/>
        <w:rPr>
          <w:rFonts w:ascii="Verdana" w:eastAsia="Verdana" w:hAnsi="Verdana" w:cs="Verdana"/>
          <w:lang w:eastAsia="es-CO"/>
        </w:rPr>
      </w:pPr>
    </w:p>
    <w:p w14:paraId="1DC4A645" w14:textId="77777777" w:rsidR="00B349E9" w:rsidRPr="000E2B93" w:rsidRDefault="00B349E9" w:rsidP="00B349E9">
      <w:pPr>
        <w:spacing w:after="0" w:line="240" w:lineRule="auto"/>
        <w:textAlignment w:val="baseline"/>
        <w:rPr>
          <w:rFonts w:ascii="Verdana" w:eastAsia="Verdana" w:hAnsi="Verdana" w:cs="Verdana"/>
          <w:lang w:eastAsia="es-CO"/>
        </w:rPr>
      </w:pPr>
      <w:r>
        <w:rPr>
          <w:rFonts w:ascii="Verdana" w:eastAsia="Verdana" w:hAnsi="Verdana" w:cs="Verdana"/>
          <w:lang w:eastAsia="es-CO"/>
        </w:rPr>
        <w:t> </w:t>
      </w:r>
    </w:p>
    <w:bookmarkEnd w:id="0"/>
    <w:p w14:paraId="60695FEC" w14:textId="32DD98BA" w:rsidR="00425655" w:rsidRPr="000E2B93" w:rsidRDefault="00425655" w:rsidP="00425655">
      <w:pPr>
        <w:spacing w:after="0" w:line="240" w:lineRule="auto"/>
        <w:textAlignment w:val="baseline"/>
        <w:rPr>
          <w:rFonts w:ascii="Verdana" w:eastAsia="Verdana" w:hAnsi="Verdana" w:cs="Verdana"/>
          <w:lang w:eastAsia="es-CO"/>
        </w:rPr>
      </w:pPr>
    </w:p>
    <w:sectPr w:rsidR="00425655" w:rsidRPr="000E2B93"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CE072" w14:textId="77777777" w:rsidR="000D79E4" w:rsidRDefault="000D79E4" w:rsidP="004A1847">
      <w:pPr>
        <w:spacing w:after="0" w:line="240" w:lineRule="auto"/>
      </w:pPr>
      <w:r>
        <w:separator/>
      </w:r>
    </w:p>
  </w:endnote>
  <w:endnote w:type="continuationSeparator" w:id="0">
    <w:p w14:paraId="026B8E3F" w14:textId="77777777" w:rsidR="000D79E4" w:rsidRDefault="000D79E4" w:rsidP="004A1847">
      <w:pPr>
        <w:spacing w:after="0" w:line="240" w:lineRule="auto"/>
      </w:pPr>
      <w:r>
        <w:continuationSeparator/>
      </w:r>
    </w:p>
  </w:endnote>
  <w:endnote w:type="continuationNotice" w:id="1">
    <w:p w14:paraId="7E3057A7" w14:textId="77777777" w:rsidR="000D79E4" w:rsidRDefault="000D79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22CEF" w14:textId="77777777" w:rsidR="000D79E4" w:rsidRDefault="000D79E4" w:rsidP="004A1847">
      <w:pPr>
        <w:spacing w:after="0" w:line="240" w:lineRule="auto"/>
      </w:pPr>
      <w:r>
        <w:separator/>
      </w:r>
    </w:p>
  </w:footnote>
  <w:footnote w:type="continuationSeparator" w:id="0">
    <w:p w14:paraId="75DBCE31" w14:textId="77777777" w:rsidR="000D79E4" w:rsidRDefault="000D79E4" w:rsidP="004A1847">
      <w:pPr>
        <w:spacing w:after="0" w:line="240" w:lineRule="auto"/>
      </w:pPr>
      <w:r>
        <w:continuationSeparator/>
      </w:r>
    </w:p>
  </w:footnote>
  <w:footnote w:type="continuationNotice" w:id="1">
    <w:p w14:paraId="781D7A43" w14:textId="77777777" w:rsidR="000D79E4" w:rsidRDefault="000D79E4">
      <w:pPr>
        <w:spacing w:after="0" w:line="240" w:lineRule="auto"/>
      </w:pPr>
    </w:p>
  </w:footnote>
  <w:footnote w:id="2">
    <w:p w14:paraId="1C2B65A8" w14:textId="77777777" w:rsidR="00B349E9" w:rsidRDefault="00B349E9" w:rsidP="00B349E9">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Decreto 1082 de 2015, artículo 2.2.1.1.2.2.10, incisos primero y segundo, adicionado por el artículo 11 del Decreto 0997 de 2026.</w:t>
      </w:r>
    </w:p>
  </w:footnote>
  <w:footnote w:id="3">
    <w:p w14:paraId="47E7A789" w14:textId="77777777" w:rsidR="00B349E9" w:rsidRDefault="00B349E9" w:rsidP="00B349E9">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Decreto 1082 de 2015, artículo 2.2.1.1.2.2.10, parágrafo, adicionado por el artículo 11 del Decreto 0997 de 2026.</w:t>
      </w:r>
    </w:p>
  </w:footnote>
  <w:footnote w:id="4">
    <w:p w14:paraId="1D1313E1" w14:textId="77777777" w:rsidR="00B349E9" w:rsidRDefault="00B349E9" w:rsidP="00B349E9">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Decreto 0997 de 2026, considerandos relativos a la Convención para Combatir el Cohecho de Servidores Públicos Extranjeros en Transacciones Comerciales Internacionales, promulgada mediante el Decreto 369 de 2013, y al informe del Grupo de Trabajo sobre Cohecho de la OCDE sobre la implementación de la Convención por parte del Estado colombiano, Recomendación </w:t>
      </w:r>
      <w:proofErr w:type="spellStart"/>
      <w:r>
        <w:rPr>
          <w:rFonts w:ascii="Verdana" w:hAnsi="Verdana"/>
          <w:sz w:val="16"/>
          <w:szCs w:val="16"/>
        </w:rPr>
        <w:t>Anticohecho</w:t>
      </w:r>
      <w:proofErr w:type="spellEnd"/>
      <w:r>
        <w:rPr>
          <w:rFonts w:ascii="Verdana" w:hAnsi="Verdana"/>
          <w:sz w:val="16"/>
          <w:szCs w:val="16"/>
        </w:rPr>
        <w:t xml:space="preserve"> XXIV.</w:t>
      </w:r>
    </w:p>
  </w:footnote>
  <w:footnote w:id="5">
    <w:p w14:paraId="7FEE61CC" w14:textId="77777777" w:rsidR="00B349E9" w:rsidRDefault="00B349E9" w:rsidP="00B349E9">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80 de 1993, artículo 8, numeral 1, literal j), modificado por el artículo 2 de la Ley 2014 de 2019.</w:t>
      </w:r>
    </w:p>
  </w:footnote>
  <w:footnote w:id="6">
    <w:p w14:paraId="772ABEC0" w14:textId="77777777" w:rsidR="00B349E9" w:rsidRDefault="00B349E9" w:rsidP="00B349E9">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1778 de 2016, artículos 2, 3 y 5. El artículo 31 de la misma ley había modificado el literal j) del numeral 1 del artículo 8 de la Ley 80 de 1993 para incluir a las personas jurídicas declaradas responsables administrativamente por soborno transnacional.</w:t>
      </w:r>
    </w:p>
  </w:footnote>
  <w:footnote w:id="7">
    <w:p w14:paraId="3DE4BE77" w14:textId="77777777" w:rsidR="00B349E9" w:rsidRDefault="00B349E9" w:rsidP="00B349E9">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Decreto 0997 de 2026, artículo 14, inciso primero y numerales 1 a 4.</w:t>
      </w:r>
    </w:p>
  </w:footnote>
  <w:footnote w:id="8">
    <w:p w14:paraId="0B6BB8AB" w14:textId="77777777" w:rsidR="00B349E9" w:rsidRDefault="00B349E9" w:rsidP="00B349E9">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Decreto 0997 de 2026, artículo 14, parágrafo 1.</w:t>
      </w:r>
    </w:p>
  </w:footnote>
  <w:footnote w:id="9">
    <w:p w14:paraId="3E983F01" w14:textId="77777777" w:rsidR="00B349E9" w:rsidRDefault="00B349E9" w:rsidP="00B349E9">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ABC del Decreto 0997 de 2026 sobre RUP, integridad y transparencia (caución para impugnar el RUP, reporte de multas y sanciones, responsabilidad civil contractual, cláusulas anticorrupción y listas restrictivas internacionales), preguntas 9, 10 y 11, documento orientador expedido en desarrollo del parágrafo 2 del artículo 14 del decreto.</w:t>
      </w:r>
    </w:p>
  </w:footnote>
  <w:footnote w:id="10">
    <w:p w14:paraId="71B5DCC1" w14:textId="77777777" w:rsidR="00B349E9" w:rsidRDefault="00B349E9" w:rsidP="00B349E9">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1581 de 2012, artículo 10, literal a).</w:t>
      </w:r>
    </w:p>
  </w:footnote>
  <w:footnote w:id="11">
    <w:p w14:paraId="68E2DEAF" w14:textId="77777777" w:rsidR="00B349E9" w:rsidRDefault="00B349E9" w:rsidP="00B349E9">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1581 de 2012, artículo 4, literales b) y f).</w:t>
      </w:r>
    </w:p>
  </w:footnote>
  <w:footnote w:id="12">
    <w:p w14:paraId="6285C21A" w14:textId="77777777" w:rsidR="00B349E9" w:rsidRDefault="00B349E9" w:rsidP="00B349E9">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1712 de 2014, artículos 18, 19 y 21.</w:t>
      </w:r>
    </w:p>
  </w:footnote>
  <w:footnote w:id="13">
    <w:p w14:paraId="40745A2E" w14:textId="77777777" w:rsidR="00B349E9" w:rsidRDefault="00B349E9" w:rsidP="00B349E9">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Convención Interamericana contra la Corrupción, aprobada mediante la Ley 412 de 1997; Convención de las Naciones Unidas contra la Corrupción, aprobada mediante la Ley 970 de 2005; y Convención para Combatir el Cohecho de Servidores Públicos Extranjeros en Transacciones Comerciales Internacionales, aprobada mediante la Ley 1573 de 2012.</w:t>
      </w:r>
    </w:p>
  </w:footnote>
  <w:footnote w:id="14">
    <w:p w14:paraId="1F76FDBB" w14:textId="77777777" w:rsidR="00425655" w:rsidRPr="003E0208" w:rsidRDefault="00425655" w:rsidP="00425655">
      <w:pPr>
        <w:pStyle w:val="Textonotapie"/>
        <w:ind w:firstLine="708"/>
        <w:jc w:val="both"/>
        <w:rPr>
          <w:rFonts w:ascii="Verdana" w:hAnsi="Verdana"/>
          <w:sz w:val="16"/>
          <w:szCs w:val="16"/>
        </w:rPr>
      </w:pPr>
      <w:r w:rsidRPr="003E0208">
        <w:rPr>
          <w:rStyle w:val="Refdenotaalpie"/>
          <w:rFonts w:ascii="Verdana" w:hAnsi="Verdana"/>
          <w:sz w:val="16"/>
          <w:szCs w:val="16"/>
        </w:rPr>
        <w:footnoteRef/>
      </w:r>
      <w:r w:rsidRPr="003E0208">
        <w:rPr>
          <w:rFonts w:ascii="Verdana" w:hAnsi="Verdana"/>
          <w:sz w:val="16"/>
          <w:szCs w:val="16"/>
        </w:rPr>
        <w:t xml:space="preserve"> </w:t>
      </w:r>
      <w:proofErr w:type="spellStart"/>
      <w:r w:rsidRPr="003E0208">
        <w:rPr>
          <w:rFonts w:ascii="Verdana" w:hAnsi="Verdana"/>
          <w:sz w:val="16"/>
          <w:szCs w:val="16"/>
        </w:rPr>
        <w:t>Agreement</w:t>
      </w:r>
      <w:proofErr w:type="spellEnd"/>
      <w:r w:rsidRPr="003E0208">
        <w:rPr>
          <w:rFonts w:ascii="Verdana" w:hAnsi="Verdana"/>
          <w:sz w:val="16"/>
          <w:szCs w:val="16"/>
        </w:rPr>
        <w:t xml:space="preserve"> </w:t>
      </w:r>
      <w:proofErr w:type="spellStart"/>
      <w:r w:rsidRPr="003E0208">
        <w:rPr>
          <w:rFonts w:ascii="Verdana" w:hAnsi="Verdana"/>
          <w:sz w:val="16"/>
          <w:szCs w:val="16"/>
        </w:rPr>
        <w:t>for</w:t>
      </w:r>
      <w:proofErr w:type="spellEnd"/>
      <w:r w:rsidRPr="003E0208">
        <w:rPr>
          <w:rFonts w:ascii="Verdana" w:hAnsi="Verdana"/>
          <w:sz w:val="16"/>
          <w:szCs w:val="16"/>
        </w:rPr>
        <w:t xml:space="preserve"> Mutual </w:t>
      </w:r>
      <w:proofErr w:type="spellStart"/>
      <w:r w:rsidRPr="003E0208">
        <w:rPr>
          <w:rFonts w:ascii="Verdana" w:hAnsi="Verdana"/>
          <w:sz w:val="16"/>
          <w:szCs w:val="16"/>
        </w:rPr>
        <w:t>Enforcement</w:t>
      </w:r>
      <w:proofErr w:type="spellEnd"/>
      <w:r w:rsidRPr="003E0208">
        <w:rPr>
          <w:rFonts w:ascii="Verdana" w:hAnsi="Verdana"/>
          <w:sz w:val="16"/>
          <w:szCs w:val="16"/>
        </w:rPr>
        <w:t xml:space="preserve"> of Debarment Decisions, suscrito el 9 de abril de 2010 por el Grupo Banco Mundial, el Banco Asiático de Desarrollo, el Banco Africano de Desarrollo, el Banco Europeo de Reconstrucción y Desarrollo y el Banco Interamericano de Desarrollo. La identificación precisa de las listas aplicables y de los medios para acceder a ellas corresponde a las acciones y lineamientos previstos en el parágrafo del artículo 2.2.1.1.2.2.10 del Decreto 1082 de 2015.</w:t>
      </w:r>
    </w:p>
  </w:footnote>
  <w:footnote w:id="15">
    <w:p w14:paraId="32F0B870" w14:textId="77777777" w:rsidR="00425655" w:rsidRPr="003E0208" w:rsidRDefault="00425655" w:rsidP="00425655">
      <w:pPr>
        <w:pStyle w:val="Textonotapie"/>
        <w:ind w:firstLine="708"/>
        <w:jc w:val="both"/>
        <w:rPr>
          <w:rFonts w:ascii="Verdana" w:hAnsi="Verdana"/>
          <w:sz w:val="16"/>
          <w:szCs w:val="16"/>
        </w:rPr>
      </w:pPr>
      <w:r w:rsidRPr="003E0208">
        <w:rPr>
          <w:rStyle w:val="Refdenotaalpie"/>
          <w:rFonts w:ascii="Verdana" w:hAnsi="Verdana"/>
          <w:sz w:val="16"/>
          <w:szCs w:val="16"/>
        </w:rPr>
        <w:footnoteRef/>
      </w:r>
      <w:r w:rsidRPr="003E0208">
        <w:rPr>
          <w:rFonts w:ascii="Verdana" w:hAnsi="Verdana"/>
          <w:sz w:val="16"/>
          <w:szCs w:val="16"/>
        </w:rPr>
        <w:t xml:space="preserve"> Corte Constitucional, Sentencia C-903 de 2008. La Corte señaló que, «por la índole excepcional de las inhabilidades e incompatibilidades», «las normas que las contemplan deben ser interpretadas y aplicadas con un criterio restrictivo», «con exclusión de un criterio extensivo». En el mismo sentido, la Sala de Consulta y Servicio Civil del Consejo de Estado ha reiterado que las inhabilidades deben estar expresa y taxativamente establecidas en la Constitución o en la ley y son de aplicación e interpretación restrictivas.</w:t>
      </w:r>
    </w:p>
  </w:footnote>
  <w:footnote w:id="16">
    <w:p w14:paraId="4AB45E6B" w14:textId="77777777" w:rsidR="00B349E9" w:rsidRDefault="00B349E9" w:rsidP="00B349E9">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Conceptos C-867 de 2025, C-1032 de 2026 y C-1234 de 2026.</w:t>
      </w:r>
    </w:p>
  </w:footnote>
  <w:footnote w:id="17">
    <w:p w14:paraId="04970232" w14:textId="77777777" w:rsidR="00B349E9" w:rsidRDefault="00B349E9" w:rsidP="00B349E9">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 C-1032 de 2026, en el que se indicó que la configuración de una causal de inhabilidad no produce efectos de manera automática y exige una actuación que garantice el debido proceso y una decisión motivada.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733F7"/>
    <w:multiLevelType w:val="hybridMultilevel"/>
    <w:tmpl w:val="AF12C2B6"/>
    <w:lvl w:ilvl="0" w:tplc="672EB6E4">
      <w:start w:val="4"/>
      <w:numFmt w:val="bullet"/>
      <w:lvlText w:val=""/>
      <w:lvlJc w:val="left"/>
      <w:pPr>
        <w:ind w:left="720" w:hanging="360"/>
      </w:pPr>
      <w:rPr>
        <w:rFonts w:ascii="Symbol" w:eastAsia="Arial MT" w:hAnsi="Symbo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2"/>
  </w:num>
  <w:num w:numId="7" w16cid:durableId="1946422806">
    <w:abstractNumId w:val="5"/>
  </w:num>
  <w:num w:numId="8" w16cid:durableId="152644682">
    <w:abstractNumId w:val="11"/>
  </w:num>
  <w:num w:numId="9" w16cid:durableId="1317221377">
    <w:abstractNumId w:val="7"/>
  </w:num>
  <w:num w:numId="10" w16cid:durableId="1471245386">
    <w:abstractNumId w:val="10"/>
  </w:num>
  <w:num w:numId="11" w16cid:durableId="289172385">
    <w:abstractNumId w:val="8"/>
  </w:num>
  <w:num w:numId="12" w16cid:durableId="1470781324">
    <w:abstractNumId w:val="0"/>
  </w:num>
  <w:num w:numId="13" w16cid:durableId="1512908409">
    <w:abstractNumId w:val="3"/>
  </w:num>
  <w:num w:numId="14" w16cid:durableId="895897244">
    <w:abstractNumId w:val="13"/>
  </w:num>
  <w:num w:numId="15" w16cid:durableId="390349800">
    <w:abstractNumId w:val="9"/>
  </w:num>
  <w:num w:numId="16" w16cid:durableId="1950019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5CA4"/>
    <w:rsid w:val="00046945"/>
    <w:rsid w:val="00061B2A"/>
    <w:rsid w:val="0007126D"/>
    <w:rsid w:val="00082362"/>
    <w:rsid w:val="000A683E"/>
    <w:rsid w:val="000B19B9"/>
    <w:rsid w:val="000C29FF"/>
    <w:rsid w:val="000D0334"/>
    <w:rsid w:val="000D5DA7"/>
    <w:rsid w:val="000D79E4"/>
    <w:rsid w:val="000F29F6"/>
    <w:rsid w:val="000F6486"/>
    <w:rsid w:val="00116940"/>
    <w:rsid w:val="00125105"/>
    <w:rsid w:val="00127233"/>
    <w:rsid w:val="0015699B"/>
    <w:rsid w:val="00172BE7"/>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B595A"/>
    <w:rsid w:val="002C7A84"/>
    <w:rsid w:val="002E2BF8"/>
    <w:rsid w:val="002E4FD9"/>
    <w:rsid w:val="0030657A"/>
    <w:rsid w:val="00322A85"/>
    <w:rsid w:val="00324168"/>
    <w:rsid w:val="00330834"/>
    <w:rsid w:val="003448F4"/>
    <w:rsid w:val="00374F5E"/>
    <w:rsid w:val="00377E3E"/>
    <w:rsid w:val="003A779E"/>
    <w:rsid w:val="003D0F4D"/>
    <w:rsid w:val="003D5B0D"/>
    <w:rsid w:val="003D799B"/>
    <w:rsid w:val="003E0208"/>
    <w:rsid w:val="003E0499"/>
    <w:rsid w:val="003E4F80"/>
    <w:rsid w:val="003E6439"/>
    <w:rsid w:val="003F3941"/>
    <w:rsid w:val="003F710A"/>
    <w:rsid w:val="00406575"/>
    <w:rsid w:val="00407EF4"/>
    <w:rsid w:val="00414C74"/>
    <w:rsid w:val="00425655"/>
    <w:rsid w:val="00426163"/>
    <w:rsid w:val="0042722E"/>
    <w:rsid w:val="0044528D"/>
    <w:rsid w:val="00454F37"/>
    <w:rsid w:val="00466E39"/>
    <w:rsid w:val="004A1847"/>
    <w:rsid w:val="004A305D"/>
    <w:rsid w:val="004F21C4"/>
    <w:rsid w:val="004F685F"/>
    <w:rsid w:val="0053533C"/>
    <w:rsid w:val="005566E8"/>
    <w:rsid w:val="00574867"/>
    <w:rsid w:val="00591460"/>
    <w:rsid w:val="005A65E0"/>
    <w:rsid w:val="005C3777"/>
    <w:rsid w:val="005C5CDC"/>
    <w:rsid w:val="005D476C"/>
    <w:rsid w:val="0060740B"/>
    <w:rsid w:val="006200BF"/>
    <w:rsid w:val="006219F8"/>
    <w:rsid w:val="006302F7"/>
    <w:rsid w:val="00646B9F"/>
    <w:rsid w:val="00665D70"/>
    <w:rsid w:val="006900D9"/>
    <w:rsid w:val="006D2CBC"/>
    <w:rsid w:val="006E55B7"/>
    <w:rsid w:val="00702822"/>
    <w:rsid w:val="00706C16"/>
    <w:rsid w:val="007340C3"/>
    <w:rsid w:val="0075235A"/>
    <w:rsid w:val="00756841"/>
    <w:rsid w:val="007649AB"/>
    <w:rsid w:val="00771D0C"/>
    <w:rsid w:val="007833AC"/>
    <w:rsid w:val="007B268C"/>
    <w:rsid w:val="007B7171"/>
    <w:rsid w:val="007C0C0F"/>
    <w:rsid w:val="007C3DC2"/>
    <w:rsid w:val="007E5497"/>
    <w:rsid w:val="00806E53"/>
    <w:rsid w:val="00806F5F"/>
    <w:rsid w:val="00820278"/>
    <w:rsid w:val="008258C9"/>
    <w:rsid w:val="008332CB"/>
    <w:rsid w:val="00842703"/>
    <w:rsid w:val="00842A93"/>
    <w:rsid w:val="00844AE9"/>
    <w:rsid w:val="008527F3"/>
    <w:rsid w:val="00867F95"/>
    <w:rsid w:val="008843B6"/>
    <w:rsid w:val="00885D29"/>
    <w:rsid w:val="00891928"/>
    <w:rsid w:val="008A446D"/>
    <w:rsid w:val="008B25F1"/>
    <w:rsid w:val="008D180B"/>
    <w:rsid w:val="008F0EA7"/>
    <w:rsid w:val="00923EEF"/>
    <w:rsid w:val="009419F9"/>
    <w:rsid w:val="0095685E"/>
    <w:rsid w:val="00961B09"/>
    <w:rsid w:val="00965334"/>
    <w:rsid w:val="0097093E"/>
    <w:rsid w:val="0097158B"/>
    <w:rsid w:val="009A0DFA"/>
    <w:rsid w:val="009A1C6F"/>
    <w:rsid w:val="009B2D26"/>
    <w:rsid w:val="009C71FA"/>
    <w:rsid w:val="009C72E7"/>
    <w:rsid w:val="009C7F7E"/>
    <w:rsid w:val="009D3058"/>
    <w:rsid w:val="009F3A13"/>
    <w:rsid w:val="00A122D3"/>
    <w:rsid w:val="00A14468"/>
    <w:rsid w:val="00A17F13"/>
    <w:rsid w:val="00A20739"/>
    <w:rsid w:val="00A23AF9"/>
    <w:rsid w:val="00A31764"/>
    <w:rsid w:val="00A33C78"/>
    <w:rsid w:val="00A73BF7"/>
    <w:rsid w:val="00AB0ADB"/>
    <w:rsid w:val="00B00C0E"/>
    <w:rsid w:val="00B01B1A"/>
    <w:rsid w:val="00B0381D"/>
    <w:rsid w:val="00B349E9"/>
    <w:rsid w:val="00B44A47"/>
    <w:rsid w:val="00B72CD3"/>
    <w:rsid w:val="00B72FFF"/>
    <w:rsid w:val="00BC3D36"/>
    <w:rsid w:val="00BD54A6"/>
    <w:rsid w:val="00BD7F72"/>
    <w:rsid w:val="00BF7425"/>
    <w:rsid w:val="00C04FB3"/>
    <w:rsid w:val="00C11D8B"/>
    <w:rsid w:val="00C15139"/>
    <w:rsid w:val="00C330EB"/>
    <w:rsid w:val="00C37C0C"/>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94231"/>
    <w:rsid w:val="00DA231B"/>
    <w:rsid w:val="00DB3FF4"/>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93A7B"/>
    <w:rsid w:val="00EA0E3D"/>
    <w:rsid w:val="00EB520E"/>
    <w:rsid w:val="00EC38A7"/>
    <w:rsid w:val="00EE1AA8"/>
    <w:rsid w:val="00F11E40"/>
    <w:rsid w:val="00F15859"/>
    <w:rsid w:val="00F23FEA"/>
    <w:rsid w:val="00F31EDC"/>
    <w:rsid w:val="00F40FBF"/>
    <w:rsid w:val="00F462B3"/>
    <w:rsid w:val="00F5664F"/>
    <w:rsid w:val="00F666C4"/>
    <w:rsid w:val="00F76AFC"/>
    <w:rsid w:val="00FA0FAE"/>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B349E9"/>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921648145">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42132858">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normativa-y-relatoria/documentos-tip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acionvirtual.colombiacompra.gov.co/mod/page/view.php?id=3718"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3F5ED3-AC3D-48E8-ACC6-6BD574A48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8</TotalTime>
  <Pages>19</Pages>
  <Words>6384</Words>
  <Characters>35113</Characters>
  <Application>Microsoft Office Word</Application>
  <DocSecurity>0</DocSecurity>
  <Lines>292</Lines>
  <Paragraphs>82</Paragraphs>
  <ScaleCrop>false</ScaleCrop>
  <Company/>
  <LinksUpToDate>false</LinksUpToDate>
  <CharactersWithSpaces>41415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2026-10-21T23:23:00Z</dcterms:created>
  <dcterms:modified xsi:type="dcterms:W3CDTF">2026-10-22T21:51:00Z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