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F810" w14:textId="60B53EE9" w:rsidR="00E835E4" w:rsidRPr="00E835E4" w:rsidRDefault="00E835E4" w:rsidP="002310F7">
      <w:pPr>
        <w:spacing w:after="0" w:line="240" w:lineRule="auto"/>
        <w:contextualSpacing/>
        <w:rPr>
          <w:rFonts w:ascii="Verdana" w:eastAsia="Calibri" w:hAnsi="Verdana" w:cs="Arial"/>
          <w:b/>
        </w:rPr>
      </w:pPr>
      <w:r w:rsidRPr="00E835E4">
        <w:rPr>
          <w:rFonts w:ascii="Verdana" w:eastAsia="Calibri" w:hAnsi="Verdana" w:cs="Arial"/>
          <w:b/>
          <w:lang w:val="es-ES_tradnl"/>
        </w:rPr>
        <w:t>COMPETENCIA CONSULTIVA – Alcance – Colombia Compra Eficiente – Subdirección de Gestión Contractual</w:t>
      </w:r>
      <w:r w:rsidRPr="00E835E4">
        <w:rPr>
          <w:rFonts w:ascii="Verdana" w:eastAsia="Calibri" w:hAnsi="Verdana" w:cs="Arial"/>
          <w:b/>
          <w:lang w:val="es-ES_tradnl"/>
        </w:rPr>
        <w:t xml:space="preserve"> </w:t>
      </w:r>
    </w:p>
    <w:p w14:paraId="6AE1AB48" w14:textId="77777777" w:rsidR="00E835E4" w:rsidRDefault="00E835E4" w:rsidP="002310F7">
      <w:pPr>
        <w:spacing w:after="0" w:line="240" w:lineRule="auto"/>
        <w:contextualSpacing/>
        <w:rPr>
          <w:rFonts w:ascii="Verdana" w:eastAsia="Calibri" w:hAnsi="Verdana" w:cs="Arial"/>
        </w:rPr>
      </w:pPr>
    </w:p>
    <w:p w14:paraId="13775F36" w14:textId="0442EA1A" w:rsidR="00E835E4" w:rsidRPr="0006733A" w:rsidRDefault="0006733A" w:rsidP="0006733A">
      <w:pPr>
        <w:spacing w:after="0" w:line="240" w:lineRule="auto"/>
        <w:contextualSpacing/>
        <w:jc w:val="both"/>
        <w:rPr>
          <w:rFonts w:ascii="Verdana" w:eastAsia="Calibri" w:hAnsi="Verdana" w:cs="Arial"/>
          <w:sz w:val="20"/>
          <w:szCs w:val="20"/>
        </w:rPr>
      </w:pPr>
      <w:r w:rsidRPr="0006733A">
        <w:rPr>
          <w:rFonts w:ascii="Verdana" w:eastAsia="Calibri" w:hAnsi="Verdana" w:cs="Arial"/>
          <w:sz w:val="20"/>
          <w:szCs w:val="20"/>
        </w:rPr>
        <w:t>La Agencia Nacional de Contratación Pública – Colombia Compra Eficiente (ANCP-CCE), creada mediante el Decreto Ley 4170 de 2011, tiene como objetivo desarrollar e impulsar políticas públicas, planes, programas y normas en materia de compras y contratación pública, así como optimizar los recursos del Estado, promover la transparencia, la eficiencia y la competencia en los procesos de adquisición de bienes y servicios, administrar el Sistema Electrónico para la Contratación Pública (SECOP) y diseñar e implementar instrumentos de agregación de demanda. Asimismo, en el marco de sus competencias legales, brinda orientación jurídica general sobre la aplicación de las normas de contratación pública, sin que sus conceptos sean, por regla general, de obligatorio cumplimiento o ejecución, de conformidad con el artículo 28 de la Ley 1437 de 2011.</w:t>
      </w:r>
    </w:p>
    <w:p w14:paraId="18329B68" w14:textId="77777777" w:rsidR="00E835E4" w:rsidRDefault="00E835E4" w:rsidP="002310F7">
      <w:pPr>
        <w:spacing w:after="0" w:line="240" w:lineRule="auto"/>
        <w:contextualSpacing/>
        <w:rPr>
          <w:rFonts w:ascii="Verdana" w:eastAsia="Calibri" w:hAnsi="Verdana" w:cs="Arial"/>
        </w:rPr>
      </w:pPr>
    </w:p>
    <w:p w14:paraId="292CE457" w14:textId="1612ABC5" w:rsidR="00E835E4" w:rsidRPr="00C81441" w:rsidRDefault="00C81441" w:rsidP="002310F7">
      <w:pPr>
        <w:spacing w:after="0" w:line="240" w:lineRule="auto"/>
        <w:contextualSpacing/>
        <w:rPr>
          <w:rFonts w:ascii="Verdana" w:eastAsia="Calibri" w:hAnsi="Verdana" w:cs="Arial"/>
          <w:b/>
          <w:bCs/>
        </w:rPr>
      </w:pPr>
      <w:r w:rsidRPr="00C81441">
        <w:rPr>
          <w:rFonts w:ascii="Verdana" w:eastAsia="Calibri" w:hAnsi="Verdana" w:cs="Arial"/>
          <w:b/>
          <w:bCs/>
          <w:lang w:val="es-ES" w:eastAsia="es-ES"/>
        </w:rPr>
        <w:t>SOCIEDADES DE ECONOMÍA MIXTA – Naturaleza jurídica – Régimen de contratación</w:t>
      </w:r>
    </w:p>
    <w:p w14:paraId="5B80537D" w14:textId="77777777" w:rsidR="00E835E4" w:rsidRDefault="00E835E4" w:rsidP="002310F7">
      <w:pPr>
        <w:spacing w:after="0" w:line="240" w:lineRule="auto"/>
        <w:contextualSpacing/>
        <w:rPr>
          <w:rFonts w:ascii="Verdana" w:eastAsia="Calibri" w:hAnsi="Verdana" w:cs="Arial"/>
        </w:rPr>
      </w:pPr>
    </w:p>
    <w:p w14:paraId="4785EBA1" w14:textId="4B1BFD74" w:rsidR="00E835E4" w:rsidRDefault="004B72BE" w:rsidP="00024ED0">
      <w:pPr>
        <w:spacing w:after="0" w:line="240" w:lineRule="auto"/>
        <w:contextualSpacing/>
        <w:jc w:val="both"/>
        <w:rPr>
          <w:rFonts w:ascii="Verdana" w:eastAsia="Calibri" w:hAnsi="Verdana" w:cs="Arial"/>
          <w:sz w:val="20"/>
          <w:szCs w:val="20"/>
        </w:rPr>
      </w:pPr>
      <w:r w:rsidRPr="004B72BE">
        <w:rPr>
          <w:rFonts w:ascii="Verdana" w:eastAsia="Calibri" w:hAnsi="Verdana" w:cs="Arial"/>
          <w:sz w:val="20"/>
          <w:szCs w:val="20"/>
        </w:rPr>
        <w:t>Las sociedades de economía mixta son entidades descentralizadas por servicios, autorizadas por la ley, constituidas bajo la forma de sociedades comerciales con aportes de capital estatal y privado, conforme al artículo 97 de la Ley 489 de 1998. Su naturaleza jurídica es pública, sin perjuicio de la participación de particulares en su composición accionaria. En materia contractual, su régimen depende de las disposiciones legales aplicables, pues, como regla general, se sujetan al Estatuto General de Contratación de la Administración Pública cuando la participación estatal en el capital social sea superior al cincuenta por ciento (50 %), de conformidad con el artículo 2 de la Ley 80 de 1993, sin perjuicio de los regímenes especiales establecidos legalmente para determinadas sociedades o actividades, que pueden dar lugar a la aplicación del derecho privado.</w:t>
      </w:r>
      <w:r>
        <w:rPr>
          <w:rFonts w:ascii="Verdana" w:eastAsia="Calibri" w:hAnsi="Verdana" w:cs="Arial"/>
          <w:sz w:val="20"/>
          <w:szCs w:val="20"/>
        </w:rPr>
        <w:t xml:space="preserve"> </w:t>
      </w:r>
    </w:p>
    <w:p w14:paraId="072FBB40" w14:textId="77777777" w:rsidR="00D90A61" w:rsidRDefault="00D90A61" w:rsidP="00024ED0">
      <w:pPr>
        <w:spacing w:after="0" w:line="240" w:lineRule="auto"/>
        <w:contextualSpacing/>
        <w:jc w:val="both"/>
        <w:rPr>
          <w:rFonts w:ascii="Verdana" w:eastAsia="Calibri" w:hAnsi="Verdana" w:cs="Arial"/>
          <w:sz w:val="20"/>
          <w:szCs w:val="20"/>
        </w:rPr>
      </w:pPr>
    </w:p>
    <w:p w14:paraId="2DA3B3B0" w14:textId="3F32B4E1" w:rsidR="00C01BD8" w:rsidRPr="00C01BD8" w:rsidRDefault="00C01BD8" w:rsidP="00024ED0">
      <w:pPr>
        <w:spacing w:after="0" w:line="240" w:lineRule="auto"/>
        <w:contextualSpacing/>
        <w:jc w:val="both"/>
        <w:rPr>
          <w:rFonts w:ascii="Verdana" w:eastAsia="Calibri" w:hAnsi="Verdana" w:cs="Arial"/>
          <w:b/>
          <w:bCs/>
          <w:sz w:val="20"/>
          <w:szCs w:val="20"/>
        </w:rPr>
      </w:pPr>
      <w:r w:rsidRPr="00C01BD8">
        <w:rPr>
          <w:rFonts w:ascii="Verdana" w:eastAsia="Calibri" w:hAnsi="Verdana" w:cs="Arial"/>
          <w:b/>
          <w:bCs/>
          <w:lang w:val="es-ES" w:eastAsia="es-ES"/>
        </w:rPr>
        <w:t>SISTEMA GENERAL DE REGALÍAS – Ley 2056 de 2020 – artículo 37</w:t>
      </w:r>
      <w:r w:rsidRPr="00C01BD8">
        <w:rPr>
          <w:rFonts w:ascii="Verdana" w:eastAsia="Calibri" w:hAnsi="Verdana" w:cs="Arial"/>
          <w:b/>
          <w:bCs/>
          <w:lang w:val="es-ES" w:eastAsia="es-ES"/>
        </w:rPr>
        <w:t xml:space="preserve"> </w:t>
      </w:r>
    </w:p>
    <w:p w14:paraId="181EA095" w14:textId="77777777" w:rsidR="00C01BD8" w:rsidRDefault="00C01BD8" w:rsidP="00024ED0">
      <w:pPr>
        <w:spacing w:after="0" w:line="240" w:lineRule="auto"/>
        <w:contextualSpacing/>
        <w:jc w:val="both"/>
        <w:rPr>
          <w:rFonts w:ascii="Verdana" w:eastAsia="Calibri" w:hAnsi="Verdana" w:cs="Arial"/>
          <w:sz w:val="20"/>
          <w:szCs w:val="20"/>
        </w:rPr>
      </w:pPr>
    </w:p>
    <w:p w14:paraId="1ED5C1A7" w14:textId="4BDFA4B0" w:rsidR="00E835E4" w:rsidRPr="00782965" w:rsidRDefault="00C01BD8" w:rsidP="00782965">
      <w:pPr>
        <w:spacing w:after="0" w:line="240" w:lineRule="auto"/>
        <w:contextualSpacing/>
        <w:jc w:val="both"/>
        <w:rPr>
          <w:rFonts w:ascii="Verdana" w:eastAsia="Calibri" w:hAnsi="Verdana" w:cs="Arial"/>
          <w:sz w:val="20"/>
          <w:szCs w:val="20"/>
        </w:rPr>
      </w:pPr>
      <w:r>
        <w:rPr>
          <w:rFonts w:ascii="Verdana" w:eastAsia="Calibri" w:hAnsi="Verdana" w:cs="Arial"/>
          <w:sz w:val="20"/>
          <w:szCs w:val="20"/>
        </w:rPr>
        <w:t>E</w:t>
      </w:r>
      <w:r w:rsidRPr="00C01BD8">
        <w:rPr>
          <w:rFonts w:ascii="Verdana" w:eastAsia="Calibri" w:hAnsi="Verdana" w:cs="Arial"/>
          <w:sz w:val="20"/>
          <w:szCs w:val="20"/>
        </w:rPr>
        <w:t>l artículo 37 de la Ley 2056 de 2020 regula la ejecución de los proyectos de inversión financiados con recursos del Sistema General de Regalías (SGR), estableciendo que estos serán ejecutados por las entidades u órganos que los designen conforme a los artículos 35 y 36 de la misma ley. Asimismo, atribuye a la entidad ejecutora la responsabilidad de contratar la interventoría, suministrar información veraz, oportuna e idónea sobre la gestión de los proyectos y adoptar, de manera motivada, las medidas necesarias para encauzar su ejecución y decidir sobre su continuidad. En particular, el parágrafo primero dispone que la ejecución debe sujetarse al régimen presupuestal definido en la ley, al régimen de contratación pública y a las demás normas legales vigentes; por tanto, las entidades designadas como ejecutoras deben aplicar el Estatuto General de Contratación de la Administración Pública en la contratación requerida para desarrollar estos proyectos, incluso cuando ordinariamente estén sometidas a un régimen contractual especial, sin que ello implique modificar de manera general el régimen aplicable a sus demás actividades.</w:t>
      </w:r>
    </w:p>
    <w:p w14:paraId="0566E349" w14:textId="7B025EBA" w:rsidR="00E835E4" w:rsidRPr="00782965" w:rsidRDefault="00782965" w:rsidP="00782965">
      <w:pPr>
        <w:spacing w:after="0" w:line="240" w:lineRule="auto"/>
        <w:contextualSpacing/>
        <w:jc w:val="both"/>
        <w:rPr>
          <w:rFonts w:ascii="Verdana" w:eastAsia="Calibri" w:hAnsi="Verdana" w:cs="Arial"/>
          <w:b/>
          <w:bCs/>
        </w:rPr>
      </w:pPr>
      <w:r w:rsidRPr="00782965">
        <w:rPr>
          <w:rFonts w:ascii="Verdana" w:eastAsia="Calibri" w:hAnsi="Verdana" w:cs="Arial"/>
          <w:b/>
          <w:bCs/>
          <w:lang w:val="es-ES" w:eastAsia="es-ES"/>
        </w:rPr>
        <w:lastRenderedPageBreak/>
        <w:t>RÉGIMEN CONTRACTUAL – Entidades ejecutoras – Régimen especial – Aplicación del Estatuto General de Contratación de la Administración Pública</w:t>
      </w:r>
    </w:p>
    <w:p w14:paraId="0491435E" w14:textId="77777777" w:rsidR="00E835E4" w:rsidRDefault="00E835E4" w:rsidP="002310F7">
      <w:pPr>
        <w:spacing w:after="0" w:line="240" w:lineRule="auto"/>
        <w:contextualSpacing/>
        <w:rPr>
          <w:rFonts w:ascii="Verdana" w:eastAsia="Calibri" w:hAnsi="Verdana" w:cs="Arial"/>
        </w:rPr>
      </w:pPr>
    </w:p>
    <w:p w14:paraId="3C660C63" w14:textId="10843A3F" w:rsidR="00E835E4" w:rsidRPr="00BD67A5" w:rsidRDefault="00BD67A5" w:rsidP="00BD67A5">
      <w:pPr>
        <w:spacing w:after="0" w:line="240" w:lineRule="auto"/>
        <w:contextualSpacing/>
        <w:jc w:val="both"/>
        <w:rPr>
          <w:rFonts w:ascii="Verdana" w:eastAsia="Calibri" w:hAnsi="Verdana" w:cs="Arial"/>
          <w:sz w:val="20"/>
          <w:szCs w:val="20"/>
        </w:rPr>
      </w:pPr>
      <w:r w:rsidRPr="00BD67A5">
        <w:rPr>
          <w:rFonts w:ascii="Verdana" w:eastAsia="Calibri" w:hAnsi="Verdana" w:cs="Arial"/>
          <w:sz w:val="20"/>
          <w:szCs w:val="20"/>
        </w:rPr>
        <w:t>Las entidades estatales sometidas a un régimen contractual especial se rigen por las disposiciones legales que regulan su actividad contractual y, por regla general, por el derecho privado, sin perjuicio de la aplicación de los principios de la función administrativa y de la gestión fiscal previstos en el artículo 209 de la Constitución Política y el artículo 13 de la Ley 1150 de 2007. En consecuencia, su actividad contractual debe desarrollarse conforme a las normas especiales que les resulten aplicables, sus manuales de contratación y los principios de transparencia, economía y responsabilidad, sin que les sean aplicables integralmente las disposiciones del Estatuto General de Contratación de la Administración Pública, salvo que exista una disposición legal que así lo establezca.</w:t>
      </w:r>
    </w:p>
    <w:p w14:paraId="70D73197" w14:textId="77777777" w:rsidR="00E835E4" w:rsidRDefault="00E835E4" w:rsidP="002310F7">
      <w:pPr>
        <w:spacing w:after="0" w:line="240" w:lineRule="auto"/>
        <w:contextualSpacing/>
        <w:rPr>
          <w:rFonts w:ascii="Verdana" w:eastAsia="Calibri" w:hAnsi="Verdana" w:cs="Arial"/>
        </w:rPr>
      </w:pPr>
    </w:p>
    <w:p w14:paraId="448DEF49" w14:textId="4211694D" w:rsidR="00E835E4" w:rsidRPr="00CE26DB" w:rsidRDefault="00CE26DB" w:rsidP="002310F7">
      <w:pPr>
        <w:spacing w:after="0" w:line="240" w:lineRule="auto"/>
        <w:contextualSpacing/>
        <w:rPr>
          <w:rFonts w:ascii="Verdana" w:eastAsia="Calibri" w:hAnsi="Verdana" w:cs="Arial"/>
          <w:b/>
          <w:bCs/>
        </w:rPr>
      </w:pPr>
      <w:r w:rsidRPr="00CE26DB">
        <w:rPr>
          <w:rFonts w:ascii="Verdana" w:eastAsia="Calibri" w:hAnsi="Verdana" w:cs="Arial"/>
          <w:b/>
          <w:bCs/>
          <w:lang w:val="es-ES" w:eastAsia="es-ES"/>
        </w:rPr>
        <w:t>SISTEMA GENERAL DE REGALÍAS / Documentos tipo – Aplicación</w:t>
      </w:r>
      <w:r w:rsidRPr="00CE26DB">
        <w:rPr>
          <w:rFonts w:ascii="Verdana" w:eastAsia="Calibri" w:hAnsi="Verdana" w:cs="Arial"/>
          <w:b/>
          <w:bCs/>
          <w:lang w:val="es-ES" w:eastAsia="es-ES"/>
        </w:rPr>
        <w:t xml:space="preserve"> </w:t>
      </w:r>
    </w:p>
    <w:p w14:paraId="1B70AF6B" w14:textId="77777777" w:rsidR="00E835E4" w:rsidRDefault="00E835E4" w:rsidP="002310F7">
      <w:pPr>
        <w:spacing w:after="0" w:line="240" w:lineRule="auto"/>
        <w:contextualSpacing/>
        <w:rPr>
          <w:rFonts w:ascii="Verdana" w:eastAsia="Calibri" w:hAnsi="Verdana" w:cs="Arial"/>
        </w:rPr>
      </w:pPr>
    </w:p>
    <w:p w14:paraId="752CAB2B" w14:textId="714FB0F0" w:rsidR="00E835E4" w:rsidRPr="00267CF0" w:rsidRDefault="00267CF0" w:rsidP="00267CF0">
      <w:pPr>
        <w:spacing w:after="0" w:line="240" w:lineRule="auto"/>
        <w:contextualSpacing/>
        <w:jc w:val="both"/>
        <w:rPr>
          <w:rFonts w:ascii="Verdana" w:eastAsia="Calibri" w:hAnsi="Verdana" w:cs="Arial"/>
          <w:sz w:val="20"/>
          <w:szCs w:val="20"/>
        </w:rPr>
      </w:pPr>
      <w:r w:rsidRPr="00267CF0">
        <w:rPr>
          <w:rFonts w:ascii="Verdana" w:eastAsia="Calibri" w:hAnsi="Verdana" w:cs="Arial"/>
          <w:sz w:val="20"/>
          <w:szCs w:val="20"/>
        </w:rPr>
        <w:t>Las entidades designadas como ejecutoras de proyectos de inversión financiados con recursos del Sistema General de Regalías (SGR) deben aplicar los documentos tipo expedidos por la Agencia Nacional de Contratación Pública – Colombia Compra Eficiente, cuando adelanten procesos de contratación cuyos objetos y modalidades de selección se encuentren comprendidos en su ámbito de aplicación. Lo anterior, en virtud de la sujeción al Estatuto General de Contratación de la Administración Pública prevista en el parágrafo primero del artículo 37 de la Ley 2056 de 2020, en concordancia con el parágrafo 7 del artículo 2 de la Ley 1150 de 2007. En consecuencia, dichas entidades deben observar las condiciones y los requisitos establecidos en los documentos tipo aplicables, sin modificarlos, salvo en los aspectos expresamente habilitados para su diligenciamiento, siempre que el objeto contractual y la modalidad de selección estén cobijados por estos instrumentos.</w:t>
      </w:r>
    </w:p>
    <w:p w14:paraId="61C7123F" w14:textId="77777777" w:rsidR="00E835E4" w:rsidRDefault="00E835E4" w:rsidP="002310F7">
      <w:pPr>
        <w:spacing w:after="0" w:line="240" w:lineRule="auto"/>
        <w:contextualSpacing/>
        <w:rPr>
          <w:rFonts w:ascii="Verdana" w:eastAsia="Calibri" w:hAnsi="Verdana" w:cs="Arial"/>
        </w:rPr>
      </w:pPr>
    </w:p>
    <w:p w14:paraId="6CCC15A1" w14:textId="77777777" w:rsidR="00E835E4" w:rsidRDefault="00E835E4" w:rsidP="002310F7">
      <w:pPr>
        <w:spacing w:after="0" w:line="240" w:lineRule="auto"/>
        <w:contextualSpacing/>
        <w:rPr>
          <w:rFonts w:ascii="Verdana" w:eastAsia="Calibri" w:hAnsi="Verdana" w:cs="Arial"/>
        </w:rPr>
      </w:pPr>
    </w:p>
    <w:p w14:paraId="392AC2C6" w14:textId="77777777" w:rsidR="00E835E4" w:rsidRDefault="00E835E4" w:rsidP="002310F7">
      <w:pPr>
        <w:spacing w:after="0" w:line="240" w:lineRule="auto"/>
        <w:contextualSpacing/>
        <w:rPr>
          <w:rFonts w:ascii="Verdana" w:eastAsia="Calibri" w:hAnsi="Verdana" w:cs="Arial"/>
        </w:rPr>
      </w:pPr>
    </w:p>
    <w:p w14:paraId="7CB96821" w14:textId="77777777" w:rsidR="00E835E4" w:rsidRDefault="00E835E4" w:rsidP="002310F7">
      <w:pPr>
        <w:spacing w:after="0" w:line="240" w:lineRule="auto"/>
        <w:contextualSpacing/>
        <w:rPr>
          <w:rFonts w:ascii="Verdana" w:eastAsia="Calibri" w:hAnsi="Verdana" w:cs="Arial"/>
        </w:rPr>
      </w:pPr>
    </w:p>
    <w:p w14:paraId="0194FEEA" w14:textId="77777777" w:rsidR="00E835E4" w:rsidRDefault="00E835E4" w:rsidP="002310F7">
      <w:pPr>
        <w:spacing w:after="0" w:line="240" w:lineRule="auto"/>
        <w:contextualSpacing/>
        <w:rPr>
          <w:rFonts w:ascii="Verdana" w:eastAsia="Calibri" w:hAnsi="Verdana" w:cs="Arial"/>
        </w:rPr>
      </w:pPr>
    </w:p>
    <w:p w14:paraId="51DF4B0C" w14:textId="77777777" w:rsidR="00E835E4" w:rsidRDefault="00E835E4" w:rsidP="002310F7">
      <w:pPr>
        <w:spacing w:after="0" w:line="240" w:lineRule="auto"/>
        <w:contextualSpacing/>
        <w:rPr>
          <w:rFonts w:ascii="Verdana" w:eastAsia="Calibri" w:hAnsi="Verdana" w:cs="Arial"/>
        </w:rPr>
      </w:pPr>
    </w:p>
    <w:p w14:paraId="0658C035" w14:textId="77777777" w:rsidR="00E835E4" w:rsidRDefault="00E835E4" w:rsidP="002310F7">
      <w:pPr>
        <w:spacing w:after="0" w:line="240" w:lineRule="auto"/>
        <w:contextualSpacing/>
        <w:rPr>
          <w:rFonts w:ascii="Verdana" w:eastAsia="Calibri" w:hAnsi="Verdana" w:cs="Arial"/>
        </w:rPr>
      </w:pPr>
    </w:p>
    <w:p w14:paraId="414FE40C" w14:textId="77777777" w:rsidR="00E835E4" w:rsidRDefault="00E835E4" w:rsidP="002310F7">
      <w:pPr>
        <w:spacing w:after="0" w:line="240" w:lineRule="auto"/>
        <w:contextualSpacing/>
        <w:rPr>
          <w:rFonts w:ascii="Verdana" w:eastAsia="Calibri" w:hAnsi="Verdana" w:cs="Arial"/>
        </w:rPr>
      </w:pPr>
    </w:p>
    <w:p w14:paraId="7CC514ED" w14:textId="77777777" w:rsidR="00E835E4" w:rsidRDefault="00E835E4" w:rsidP="002310F7">
      <w:pPr>
        <w:spacing w:after="0" w:line="240" w:lineRule="auto"/>
        <w:contextualSpacing/>
        <w:rPr>
          <w:rFonts w:ascii="Verdana" w:eastAsia="Calibri" w:hAnsi="Verdana" w:cs="Arial"/>
        </w:rPr>
      </w:pPr>
    </w:p>
    <w:p w14:paraId="11B724F6" w14:textId="77777777" w:rsidR="00E835E4" w:rsidRDefault="00E835E4" w:rsidP="002310F7">
      <w:pPr>
        <w:spacing w:after="0" w:line="240" w:lineRule="auto"/>
        <w:contextualSpacing/>
        <w:rPr>
          <w:rFonts w:ascii="Verdana" w:eastAsia="Calibri" w:hAnsi="Verdana" w:cs="Arial"/>
        </w:rPr>
      </w:pPr>
    </w:p>
    <w:p w14:paraId="53C24F0F" w14:textId="77777777" w:rsidR="00E835E4" w:rsidRDefault="00E835E4" w:rsidP="002310F7">
      <w:pPr>
        <w:spacing w:after="0" w:line="240" w:lineRule="auto"/>
        <w:contextualSpacing/>
        <w:rPr>
          <w:rFonts w:ascii="Verdana" w:eastAsia="Calibri" w:hAnsi="Verdana" w:cs="Arial"/>
        </w:rPr>
      </w:pPr>
    </w:p>
    <w:p w14:paraId="58ED44DE" w14:textId="77777777" w:rsidR="00E835E4" w:rsidRDefault="00E835E4" w:rsidP="002310F7">
      <w:pPr>
        <w:spacing w:after="0" w:line="240" w:lineRule="auto"/>
        <w:contextualSpacing/>
        <w:rPr>
          <w:rFonts w:ascii="Verdana" w:eastAsia="Calibri" w:hAnsi="Verdana" w:cs="Arial"/>
        </w:rPr>
      </w:pPr>
    </w:p>
    <w:p w14:paraId="10ACCABA" w14:textId="77777777" w:rsidR="00E835E4" w:rsidRDefault="00E835E4" w:rsidP="002310F7">
      <w:pPr>
        <w:spacing w:after="0" w:line="240" w:lineRule="auto"/>
        <w:contextualSpacing/>
        <w:rPr>
          <w:rFonts w:ascii="Verdana" w:eastAsia="Calibri" w:hAnsi="Verdana" w:cs="Arial"/>
        </w:rPr>
      </w:pPr>
    </w:p>
    <w:p w14:paraId="5E3C7597" w14:textId="77777777" w:rsidR="00E835E4" w:rsidRDefault="00E835E4" w:rsidP="002310F7">
      <w:pPr>
        <w:spacing w:after="0" w:line="240" w:lineRule="auto"/>
        <w:contextualSpacing/>
        <w:rPr>
          <w:rFonts w:ascii="Verdana" w:eastAsia="Calibri" w:hAnsi="Verdana" w:cs="Arial"/>
        </w:rPr>
      </w:pPr>
    </w:p>
    <w:p w14:paraId="26D743A3" w14:textId="77777777" w:rsidR="00E835E4" w:rsidRDefault="00E835E4" w:rsidP="002310F7">
      <w:pPr>
        <w:spacing w:after="0" w:line="240" w:lineRule="auto"/>
        <w:contextualSpacing/>
        <w:rPr>
          <w:rFonts w:ascii="Verdana" w:eastAsia="Calibri" w:hAnsi="Verdana" w:cs="Arial"/>
        </w:rPr>
      </w:pPr>
    </w:p>
    <w:p w14:paraId="32627130" w14:textId="488C8C22" w:rsidR="006C6A36" w:rsidRPr="002310F7" w:rsidRDefault="00307921" w:rsidP="002310F7">
      <w:pPr>
        <w:spacing w:after="0" w:line="240" w:lineRule="auto"/>
        <w:contextualSpacing/>
        <w:rPr>
          <w:rFonts w:ascii="Verdana" w:eastAsia="Calibri" w:hAnsi="Verdana" w:cs="Arial"/>
        </w:rPr>
      </w:pPr>
      <w:r w:rsidRPr="00307921">
        <w:rPr>
          <w:rFonts w:ascii="Verdana" w:eastAsia="Calibri" w:hAnsi="Verdana" w:cs="Arial"/>
        </w:rPr>
        <w:lastRenderedPageBreak/>
        <w:t xml:space="preserve">Bogotá D.C, 21 </w:t>
      </w:r>
      <w:r>
        <w:rPr>
          <w:rFonts w:ascii="Verdana" w:eastAsia="Calibri" w:hAnsi="Verdana" w:cs="Arial"/>
        </w:rPr>
        <w:t>o</w:t>
      </w:r>
      <w:r w:rsidRPr="00307921">
        <w:rPr>
          <w:rFonts w:ascii="Verdana" w:eastAsia="Calibri" w:hAnsi="Verdana" w:cs="Arial"/>
        </w:rPr>
        <w:t>ctubre 2026</w:t>
      </w:r>
      <w:r>
        <w:rPr>
          <w:rFonts w:ascii="Verdana" w:eastAsia="Calibri" w:hAnsi="Verdana" w:cs="Arial"/>
        </w:rPr>
        <w:t xml:space="preserve"> </w:t>
      </w:r>
    </w:p>
    <w:p w14:paraId="059D028D" w14:textId="1FF2C04C" w:rsidR="006C6A36" w:rsidRPr="008E4F36" w:rsidRDefault="00307921" w:rsidP="006C6A36">
      <w:pPr>
        <w:spacing w:after="0" w:line="240" w:lineRule="auto"/>
        <w:jc w:val="both"/>
        <w:rPr>
          <w:rFonts w:ascii="Verdana" w:eastAsia="Calibri" w:hAnsi="Verdana" w:cs="Arial"/>
          <w:lang w:eastAsia="es-ES"/>
        </w:rPr>
      </w:pPr>
      <w:bookmarkStart w:id="0" w:name="_Hlk197462763"/>
      <w:bookmarkStart w:id="1" w:name="_Hlk197529996"/>
      <w:r w:rsidRPr="00307921">
        <w:rPr>
          <w:rFonts w:ascii="Verdana" w:eastAsia="Calibri" w:hAnsi="Verdana" w:cs="Arial"/>
          <w:lang w:eastAsia="es-ES"/>
        </w:rPr>
        <w:drawing>
          <wp:anchor distT="0" distB="0" distL="114300" distR="114300" simplePos="0" relativeHeight="251658240" behindDoc="1" locked="0" layoutInCell="1" allowOverlap="1" wp14:anchorId="49D3F91A" wp14:editId="2DA0875F">
            <wp:simplePos x="0" y="0"/>
            <wp:positionH relativeFrom="column">
              <wp:posOffset>3465195</wp:posOffset>
            </wp:positionH>
            <wp:positionV relativeFrom="paragraph">
              <wp:posOffset>8890</wp:posOffset>
            </wp:positionV>
            <wp:extent cx="2486025" cy="742950"/>
            <wp:effectExtent l="0" t="0" r="9525" b="0"/>
            <wp:wrapTight wrapText="bothSides">
              <wp:wrapPolygon edited="0">
                <wp:start x="0" y="0"/>
                <wp:lineTo x="0" y="21046"/>
                <wp:lineTo x="21517" y="21046"/>
                <wp:lineTo x="21517" y="0"/>
                <wp:lineTo x="0" y="0"/>
              </wp:wrapPolygon>
            </wp:wrapTight>
            <wp:docPr id="2175947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94713" name=""/>
                    <pic:cNvPicPr/>
                  </pic:nvPicPr>
                  <pic:blipFill>
                    <a:blip r:embed="rId7">
                      <a:extLst>
                        <a:ext uri="{28A0092B-C50C-407E-A947-70E740481C1C}">
                          <a14:useLocalDpi xmlns:a14="http://schemas.microsoft.com/office/drawing/2010/main" val="0"/>
                        </a:ext>
                      </a:extLst>
                    </a:blip>
                    <a:stretch>
                      <a:fillRect/>
                    </a:stretch>
                  </pic:blipFill>
                  <pic:spPr>
                    <a:xfrm>
                      <a:off x="0" y="0"/>
                      <a:ext cx="2486025" cy="742950"/>
                    </a:xfrm>
                    <a:prstGeom prst="rect">
                      <a:avLst/>
                    </a:prstGeom>
                  </pic:spPr>
                </pic:pic>
              </a:graphicData>
            </a:graphic>
          </wp:anchor>
        </w:drawing>
      </w:r>
    </w:p>
    <w:p w14:paraId="737792F7" w14:textId="65E1BBE9" w:rsidR="006C6A36" w:rsidRDefault="006C6A36" w:rsidP="006C6A36">
      <w:pPr>
        <w:spacing w:after="0" w:line="240" w:lineRule="auto"/>
        <w:jc w:val="both"/>
        <w:rPr>
          <w:rFonts w:ascii="Verdana" w:eastAsia="Calibri" w:hAnsi="Verdana" w:cs="Arial"/>
          <w:lang w:eastAsia="es-ES"/>
        </w:rPr>
      </w:pPr>
    </w:p>
    <w:p w14:paraId="4D4E1354" w14:textId="605ED401" w:rsidR="006C6A36" w:rsidRPr="00F062F6" w:rsidRDefault="006C6A36" w:rsidP="006C6A36">
      <w:pPr>
        <w:spacing w:after="0" w:line="240" w:lineRule="auto"/>
        <w:jc w:val="both"/>
        <w:rPr>
          <w:rFonts w:ascii="Verdana" w:eastAsia="Calibri" w:hAnsi="Verdana" w:cs="Arial"/>
          <w:lang w:eastAsia="es-ES"/>
        </w:rPr>
      </w:pPr>
      <w:r w:rsidRPr="00F062F6">
        <w:rPr>
          <w:rFonts w:ascii="Verdana" w:eastAsia="Calibri" w:hAnsi="Verdana" w:cs="Arial"/>
          <w:lang w:eastAsia="es-ES"/>
        </w:rPr>
        <w:t>Señor</w:t>
      </w:r>
    </w:p>
    <w:p w14:paraId="47485242" w14:textId="77777777" w:rsidR="006C6A36" w:rsidRPr="00F062F6" w:rsidRDefault="006C6A36" w:rsidP="006C6A36">
      <w:pPr>
        <w:spacing w:after="0" w:line="240" w:lineRule="auto"/>
        <w:jc w:val="both"/>
        <w:rPr>
          <w:rFonts w:ascii="Verdana" w:eastAsia="Calibri" w:hAnsi="Verdana" w:cs="Arial"/>
          <w:b/>
          <w:highlight w:val="yellow"/>
          <w:lang w:eastAsia="es-ES_tradnl"/>
        </w:rPr>
      </w:pPr>
      <w:r w:rsidRPr="00F062F6">
        <w:rPr>
          <w:rFonts w:ascii="Verdana" w:eastAsia="Calibri" w:hAnsi="Verdana" w:cs="Arial"/>
          <w:b/>
          <w:lang w:eastAsia="es-ES_tradnl"/>
        </w:rPr>
        <w:t>Germán Humberto Riaño Chacón</w:t>
      </w:r>
    </w:p>
    <w:p w14:paraId="3C889886" w14:textId="77777777" w:rsidR="006C6A36" w:rsidRPr="00F062F6" w:rsidRDefault="006C6A36" w:rsidP="006C6A36">
      <w:pPr>
        <w:spacing w:after="0" w:line="240" w:lineRule="auto"/>
        <w:jc w:val="both"/>
        <w:rPr>
          <w:rFonts w:ascii="Verdana" w:eastAsia="Calibri" w:hAnsi="Verdana" w:cs="Arial"/>
          <w:b/>
          <w:highlight w:val="yellow"/>
          <w:lang w:eastAsia="es-ES_tradnl"/>
        </w:rPr>
      </w:pPr>
      <w:hyperlink r:id="rId8" w:history="1">
        <w:r w:rsidRPr="00F062F6">
          <w:rPr>
            <w:rStyle w:val="Hipervnculo"/>
            <w:rFonts w:ascii="Verdana" w:eastAsia="Calibri" w:hAnsi="Verdana" w:cs="Arial"/>
            <w:b/>
            <w:lang w:eastAsia="es-ES_tradnl"/>
          </w:rPr>
          <w:t>rianogerman218@gmail.com</w:t>
        </w:r>
      </w:hyperlink>
      <w:r w:rsidRPr="00F062F6">
        <w:rPr>
          <w:rFonts w:ascii="Verdana" w:eastAsia="Calibri" w:hAnsi="Verdana" w:cs="Arial"/>
          <w:b/>
          <w:lang w:eastAsia="es-ES_tradnl"/>
        </w:rPr>
        <w:t xml:space="preserve"> </w:t>
      </w:r>
    </w:p>
    <w:p w14:paraId="5F5031C2" w14:textId="77777777" w:rsidR="006C6A36" w:rsidRPr="00F062F6" w:rsidRDefault="006C6A36" w:rsidP="006C6A36">
      <w:pPr>
        <w:spacing w:after="0" w:line="240" w:lineRule="auto"/>
        <w:jc w:val="both"/>
        <w:rPr>
          <w:rFonts w:ascii="Verdana" w:eastAsia="Calibri" w:hAnsi="Verdana" w:cs="Arial"/>
          <w:bCs/>
          <w:lang w:eastAsia="es-ES_tradnl"/>
        </w:rPr>
      </w:pPr>
      <w:r w:rsidRPr="00F062F6">
        <w:rPr>
          <w:rFonts w:ascii="Verdana" w:eastAsia="Calibri" w:hAnsi="Verdana" w:cs="Arial"/>
          <w:bCs/>
          <w:lang w:eastAsia="es-ES_tradnl"/>
        </w:rPr>
        <w:t xml:space="preserve">Ciudad </w:t>
      </w:r>
    </w:p>
    <w:p w14:paraId="2291BA97" w14:textId="77777777" w:rsidR="006C6A36" w:rsidRDefault="006C6A36" w:rsidP="006C6A36">
      <w:pPr>
        <w:spacing w:after="0" w:line="240" w:lineRule="auto"/>
        <w:jc w:val="both"/>
        <w:rPr>
          <w:rFonts w:ascii="Verdana" w:hAnsi="Verdana"/>
          <w:lang w:val="it-CH"/>
        </w:rPr>
      </w:pPr>
    </w:p>
    <w:p w14:paraId="4BB007E6" w14:textId="77777777" w:rsidR="006C6A36" w:rsidRPr="005B4C57" w:rsidRDefault="006C6A36" w:rsidP="006C6A36">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C6A36" w:rsidRPr="002842E0" w14:paraId="37347267" w14:textId="77777777" w:rsidTr="005A2A12">
        <w:trPr>
          <w:trHeight w:val="162"/>
        </w:trPr>
        <w:tc>
          <w:tcPr>
            <w:tcW w:w="3119" w:type="dxa"/>
          </w:tcPr>
          <w:p w14:paraId="3B2BE29D" w14:textId="77777777" w:rsidR="006C6A36" w:rsidRPr="005B4C57" w:rsidRDefault="006C6A36" w:rsidP="005A2A12">
            <w:pPr>
              <w:jc w:val="both"/>
              <w:rPr>
                <w:rFonts w:ascii="Verdana" w:eastAsia="Calibri" w:hAnsi="Verdana" w:cs="Arial"/>
                <w:b/>
                <w:bCs/>
                <w:color w:val="7030A0"/>
                <w:lang w:val="it-CH" w:eastAsia="es-ES_tradnl"/>
              </w:rPr>
            </w:pPr>
          </w:p>
        </w:tc>
        <w:tc>
          <w:tcPr>
            <w:tcW w:w="5670" w:type="dxa"/>
          </w:tcPr>
          <w:p w14:paraId="1DA175A2" w14:textId="4BAE9344" w:rsidR="006C6A36" w:rsidRPr="00801462" w:rsidRDefault="006C6A36" w:rsidP="005A2A12">
            <w:pPr>
              <w:jc w:val="both"/>
              <w:rPr>
                <w:rFonts w:ascii="Verdana" w:eastAsia="Calibri" w:hAnsi="Verdana" w:cs="Arial"/>
                <w:b/>
                <w:bCs/>
                <w:lang w:eastAsia="es-ES"/>
              </w:rPr>
            </w:pPr>
            <w:r w:rsidRPr="00596158">
              <w:rPr>
                <w:rFonts w:ascii="Verdana" w:eastAsia="Calibri" w:hAnsi="Verdana" w:cs="Arial"/>
                <w:b/>
                <w:bCs/>
                <w:lang w:eastAsia="es-ES"/>
              </w:rPr>
              <w:t>Concepto C- 1</w:t>
            </w:r>
            <w:r>
              <w:rPr>
                <w:rFonts w:ascii="Verdana" w:eastAsia="Calibri" w:hAnsi="Verdana" w:cs="Arial"/>
                <w:b/>
                <w:bCs/>
                <w:lang w:eastAsia="es-ES"/>
              </w:rPr>
              <w:t>430</w:t>
            </w:r>
            <w:r w:rsidRPr="00596158">
              <w:rPr>
                <w:rFonts w:ascii="Verdana" w:eastAsia="Calibri" w:hAnsi="Verdana" w:cs="Arial"/>
                <w:b/>
                <w:bCs/>
                <w:lang w:eastAsia="es-ES"/>
              </w:rPr>
              <w:t xml:space="preserve"> de 202</w:t>
            </w:r>
            <w:r w:rsidR="00CF4D17">
              <w:rPr>
                <w:rFonts w:ascii="Verdana" w:eastAsia="Calibri" w:hAnsi="Verdana" w:cs="Arial"/>
                <w:b/>
                <w:bCs/>
                <w:lang w:eastAsia="es-ES"/>
              </w:rPr>
              <w:t>6</w:t>
            </w:r>
          </w:p>
          <w:p w14:paraId="562A7E19" w14:textId="77777777" w:rsidR="006C6A36" w:rsidRPr="00801462" w:rsidRDefault="006C6A36" w:rsidP="005A2A12">
            <w:pPr>
              <w:jc w:val="both"/>
              <w:rPr>
                <w:rFonts w:ascii="Verdana" w:eastAsia="Calibri" w:hAnsi="Verdana" w:cs="Arial"/>
                <w:b/>
                <w:bCs/>
                <w:color w:val="7030A0"/>
                <w:lang w:eastAsia="es-ES"/>
              </w:rPr>
            </w:pPr>
          </w:p>
        </w:tc>
      </w:tr>
      <w:tr w:rsidR="006C6A36" w:rsidRPr="002842E0" w14:paraId="5517830E" w14:textId="77777777" w:rsidTr="005A2A12">
        <w:trPr>
          <w:trHeight w:val="884"/>
        </w:trPr>
        <w:tc>
          <w:tcPr>
            <w:tcW w:w="3119" w:type="dxa"/>
          </w:tcPr>
          <w:p w14:paraId="7215B3C7" w14:textId="77777777" w:rsidR="006C6A36" w:rsidRPr="00801462" w:rsidRDefault="006C6A36" w:rsidP="005A2A12">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459EDBBE" w14:textId="77777777" w:rsidR="006C6A36" w:rsidRPr="00EE72EC" w:rsidRDefault="006C6A36" w:rsidP="005A2A12">
            <w:pPr>
              <w:jc w:val="both"/>
              <w:rPr>
                <w:rFonts w:ascii="Verdana" w:eastAsia="Times New Roman" w:hAnsi="Verdana" w:cs="Arial"/>
                <w:bCs/>
                <w:lang w:eastAsia="es-CO"/>
              </w:rPr>
            </w:pPr>
            <w:r w:rsidRPr="00EE72EC">
              <w:rPr>
                <w:rFonts w:ascii="Verdana" w:eastAsia="Calibri" w:hAnsi="Verdana" w:cs="Arial"/>
                <w:bCs/>
                <w:lang w:val="es-ES_tradnl"/>
              </w:rPr>
              <w:t>COMPETENCIA CONSULTIVA – Alcance – Colombia Compra Eficiente – Subdirección de Gestión Contractual</w:t>
            </w:r>
            <w:r>
              <w:rPr>
                <w:rFonts w:ascii="Verdana" w:eastAsia="Calibri" w:hAnsi="Verdana" w:cs="Arial"/>
                <w:bCs/>
                <w:lang w:val="es-ES_tradnl"/>
              </w:rPr>
              <w:t xml:space="preserve"> / </w:t>
            </w:r>
            <w:r w:rsidRPr="00642EA6">
              <w:rPr>
                <w:rFonts w:ascii="Verdana" w:eastAsia="Calibri" w:hAnsi="Verdana" w:cs="Arial"/>
                <w:lang w:val="es-ES" w:eastAsia="es-ES"/>
              </w:rPr>
              <w:t>SOCIEDADES DE ECONOMÍA MIXTA – Naturaleza jurídica – Régimen de contratación</w:t>
            </w:r>
            <w:r>
              <w:rPr>
                <w:rFonts w:ascii="Verdana" w:eastAsia="Calibri" w:hAnsi="Verdana" w:cs="Arial"/>
                <w:lang w:val="es-ES" w:eastAsia="es-ES"/>
              </w:rPr>
              <w:t xml:space="preserve"> / </w:t>
            </w:r>
            <w:r w:rsidRPr="002D2E27">
              <w:rPr>
                <w:rFonts w:ascii="Verdana" w:eastAsia="Calibri" w:hAnsi="Verdana" w:cs="Arial"/>
                <w:lang w:val="es-ES" w:eastAsia="es-ES"/>
              </w:rPr>
              <w:t>SISTEMA GENERAL DE REGALÍAS – Ley 2056 de 2020 – artículo 37 / RÉGIMEN CONTRACTUAL – Entidades ejecutoras – Régimen especial – Aplicación del Estatuto General de Contratación de la Administración Pública</w:t>
            </w:r>
            <w:r>
              <w:rPr>
                <w:rFonts w:ascii="Verdana" w:eastAsia="Calibri" w:hAnsi="Verdana" w:cs="Arial"/>
                <w:lang w:val="es-ES" w:eastAsia="es-ES"/>
              </w:rPr>
              <w:t xml:space="preserve"> / </w:t>
            </w:r>
            <w:r w:rsidRPr="002D2E27">
              <w:rPr>
                <w:rFonts w:ascii="Verdana" w:eastAsia="Calibri" w:hAnsi="Verdana" w:cs="Arial"/>
                <w:lang w:val="es-ES" w:eastAsia="es-ES"/>
              </w:rPr>
              <w:t>SISTEMA GENERAL DE REGALÍAS</w:t>
            </w:r>
            <w:r>
              <w:rPr>
                <w:rFonts w:ascii="Verdana" w:eastAsia="Calibri" w:hAnsi="Verdana" w:cs="Arial"/>
                <w:lang w:val="es-ES" w:eastAsia="es-ES"/>
              </w:rPr>
              <w:t xml:space="preserve"> / Documentos tipo – Aplicación </w:t>
            </w:r>
          </w:p>
          <w:p w14:paraId="7A60EB00" w14:textId="77777777" w:rsidR="006C6A36" w:rsidRPr="00343900" w:rsidRDefault="006C6A36" w:rsidP="005A2A12">
            <w:pPr>
              <w:jc w:val="both"/>
              <w:rPr>
                <w:rFonts w:ascii="Verdana" w:eastAsiaTheme="minorEastAsia" w:hAnsi="Verdana" w:cs="Arial"/>
                <w:color w:val="000000" w:themeColor="text1"/>
              </w:rPr>
            </w:pPr>
          </w:p>
          <w:p w14:paraId="73245D2D" w14:textId="77777777" w:rsidR="006C6A36" w:rsidRPr="00343900" w:rsidRDefault="006C6A36" w:rsidP="005A2A12">
            <w:pPr>
              <w:jc w:val="both"/>
              <w:rPr>
                <w:rFonts w:ascii="Verdana" w:eastAsia="Calibri" w:hAnsi="Verdana" w:cs="Arial"/>
                <w:lang w:val="es-ES_tradnl" w:eastAsia="es-ES"/>
              </w:rPr>
            </w:pPr>
          </w:p>
        </w:tc>
      </w:tr>
      <w:tr w:rsidR="006C6A36" w:rsidRPr="00596158" w14:paraId="6CA19FD1" w14:textId="77777777" w:rsidTr="005A2A12">
        <w:tc>
          <w:tcPr>
            <w:tcW w:w="3119" w:type="dxa"/>
          </w:tcPr>
          <w:p w14:paraId="020B85BC" w14:textId="77777777" w:rsidR="006C6A36" w:rsidRPr="00EB42FF" w:rsidRDefault="006C6A36" w:rsidP="005A2A12">
            <w:pPr>
              <w:jc w:val="both"/>
              <w:rPr>
                <w:rFonts w:ascii="Verdana" w:eastAsia="Calibri" w:hAnsi="Verdana" w:cs="Arial"/>
                <w:b/>
                <w:lang w:eastAsia="es-ES_tradnl"/>
              </w:rPr>
            </w:pPr>
            <w:r w:rsidRPr="00EB42FF">
              <w:rPr>
                <w:rFonts w:ascii="Verdana" w:eastAsia="Calibri" w:hAnsi="Verdana" w:cs="Arial"/>
                <w:b/>
                <w:lang w:eastAsia="es-ES_tradnl"/>
              </w:rPr>
              <w:t>Radicación:</w:t>
            </w:r>
            <w:r w:rsidRPr="00EB42FF">
              <w:rPr>
                <w:rFonts w:ascii="Verdana" w:eastAsia="Calibri" w:hAnsi="Verdana" w:cs="Arial"/>
                <w:lang w:eastAsia="es-ES_tradnl"/>
              </w:rPr>
              <w:t xml:space="preserve">               </w:t>
            </w:r>
          </w:p>
        </w:tc>
        <w:tc>
          <w:tcPr>
            <w:tcW w:w="5670" w:type="dxa"/>
          </w:tcPr>
          <w:p w14:paraId="0F162204" w14:textId="77777777" w:rsidR="006C6A36" w:rsidRPr="00EB42FF" w:rsidRDefault="006C6A36" w:rsidP="005A2A12">
            <w:pPr>
              <w:jc w:val="both"/>
              <w:rPr>
                <w:rFonts w:ascii="Verdana" w:eastAsia="Calibri" w:hAnsi="Verdana" w:cs="Arial"/>
                <w:lang w:eastAsia="es-ES_tradnl"/>
              </w:rPr>
            </w:pPr>
            <w:r w:rsidRPr="00EB42FF">
              <w:rPr>
                <w:rFonts w:ascii="Verdana" w:eastAsia="Calibri" w:hAnsi="Verdana" w:cs="Arial"/>
                <w:lang w:eastAsia="es-ES_tradnl"/>
              </w:rPr>
              <w:t xml:space="preserve">Respuesta a consulta con radicado </w:t>
            </w:r>
            <w:r w:rsidRPr="00EB42FF">
              <w:rPr>
                <w:rFonts w:ascii="Verdana" w:hAnsi="Verdana" w:cs="Segoe UI"/>
                <w:color w:val="2B2B2B"/>
                <w:shd w:val="clear" w:color="auto" w:fill="FFFFFF"/>
              </w:rPr>
              <w:t>1_2025_12_16_014017,</w:t>
            </w:r>
            <w:r>
              <w:rPr>
                <w:rFonts w:ascii="Verdana" w:hAnsi="Verdana" w:cs="Segoe UI"/>
                <w:color w:val="2B2B2B"/>
                <w:shd w:val="clear" w:color="auto" w:fill="FFFFFF"/>
              </w:rPr>
              <w:t xml:space="preserve"> </w:t>
            </w:r>
            <w:r w:rsidRPr="00EB42FF">
              <w:rPr>
                <w:rFonts w:ascii="Verdana" w:hAnsi="Verdana"/>
                <w:color w:val="242424"/>
              </w:rPr>
              <w:t>1_2026_09_10_012110 &amp; 1_2026_09_11_012134</w:t>
            </w:r>
            <w:r>
              <w:rPr>
                <w:rFonts w:ascii="Verdana" w:hAnsi="Verdana"/>
                <w:color w:val="242424"/>
              </w:rPr>
              <w:t xml:space="preserve"> (Acumuladas)</w:t>
            </w:r>
          </w:p>
          <w:p w14:paraId="5F23A714" w14:textId="77777777" w:rsidR="006C6A36" w:rsidRPr="00EB42FF" w:rsidRDefault="006C6A36" w:rsidP="005A2A12">
            <w:pPr>
              <w:jc w:val="both"/>
              <w:rPr>
                <w:rFonts w:ascii="Verdana" w:eastAsia="Calibri" w:hAnsi="Verdana" w:cs="Arial"/>
                <w:lang w:eastAsia="es-ES_tradnl"/>
              </w:rPr>
            </w:pPr>
          </w:p>
          <w:p w14:paraId="75CDA0E0" w14:textId="77777777" w:rsidR="006C6A36" w:rsidRPr="00EB42FF" w:rsidRDefault="006C6A36" w:rsidP="005A2A12">
            <w:pPr>
              <w:jc w:val="both"/>
              <w:rPr>
                <w:rFonts w:ascii="Verdana" w:eastAsia="Calibri" w:hAnsi="Verdana" w:cs="Arial"/>
                <w:lang w:eastAsia="es-ES_tradnl"/>
              </w:rPr>
            </w:pPr>
          </w:p>
        </w:tc>
      </w:tr>
    </w:tbl>
    <w:p w14:paraId="0F7D0B3E" w14:textId="77777777" w:rsidR="006C6A36" w:rsidRPr="008E4F36" w:rsidRDefault="006C6A36" w:rsidP="006C6A36">
      <w:pPr>
        <w:spacing w:after="0" w:line="276" w:lineRule="auto"/>
        <w:jc w:val="both"/>
        <w:rPr>
          <w:rFonts w:ascii="Verdana" w:eastAsia="Calibri" w:hAnsi="Verdana" w:cs="Arial"/>
          <w:lang w:eastAsia="es-ES"/>
        </w:rPr>
      </w:pPr>
      <w:r w:rsidRPr="00596158">
        <w:rPr>
          <w:rFonts w:ascii="Verdana" w:eastAsia="Calibri" w:hAnsi="Verdana" w:cs="Arial"/>
          <w:lang w:eastAsia="es-ES"/>
        </w:rPr>
        <w:t>Estimado señor Riaño:</w:t>
      </w:r>
      <w:r w:rsidRPr="008E4F36">
        <w:rPr>
          <w:rFonts w:ascii="Verdana" w:eastAsia="Calibri" w:hAnsi="Verdana" w:cs="Arial"/>
          <w:lang w:eastAsia="es-ES"/>
        </w:rPr>
        <w:t xml:space="preserve"> </w:t>
      </w:r>
    </w:p>
    <w:p w14:paraId="4B24F5CE" w14:textId="77777777" w:rsidR="006C6A36" w:rsidRDefault="006C6A36" w:rsidP="006C6A36">
      <w:pPr>
        <w:tabs>
          <w:tab w:val="left" w:pos="3768"/>
        </w:tabs>
        <w:spacing w:after="0" w:line="240" w:lineRule="auto"/>
        <w:jc w:val="both"/>
        <w:rPr>
          <w:rFonts w:ascii="Verdana" w:eastAsia="Calibri" w:hAnsi="Verdana" w:cs="Arial"/>
          <w:lang w:eastAsia="es-ES"/>
        </w:rPr>
      </w:pPr>
    </w:p>
    <w:p w14:paraId="63F6C716" w14:textId="77777777" w:rsidR="006C6A36" w:rsidRPr="008E4F36" w:rsidRDefault="006C6A36" w:rsidP="006C6A36">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10</w:t>
      </w:r>
      <w:r w:rsidRPr="00596158">
        <w:rPr>
          <w:rFonts w:ascii="Verdana" w:eastAsia="Calibri" w:hAnsi="Verdana" w:cs="Arial"/>
          <w:lang w:eastAsia="es-ES"/>
        </w:rPr>
        <w:t xml:space="preserve"> de</w:t>
      </w:r>
      <w:r>
        <w:rPr>
          <w:rFonts w:ascii="Verdana" w:eastAsia="Calibri" w:hAnsi="Verdana" w:cs="Arial"/>
          <w:lang w:eastAsia="es-ES"/>
        </w:rPr>
        <w:t xml:space="preserve"> septiembre </w:t>
      </w:r>
      <w:r w:rsidRPr="00596158">
        <w:rPr>
          <w:rFonts w:ascii="Verdana" w:eastAsia="Calibri" w:hAnsi="Verdana" w:cs="Arial"/>
          <w:lang w:eastAsia="es-ES"/>
        </w:rPr>
        <w:t>de 202</w:t>
      </w:r>
      <w:r>
        <w:rPr>
          <w:rFonts w:ascii="Verdana" w:eastAsia="Calibri" w:hAnsi="Verdana" w:cs="Arial"/>
          <w:lang w:eastAsia="es-ES"/>
        </w:rPr>
        <w:t>6</w:t>
      </w:r>
      <w:r w:rsidRPr="005961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D407C60" w14:textId="77777777" w:rsidR="006C6A36" w:rsidRPr="008E4F36" w:rsidRDefault="006C6A36" w:rsidP="006C6A36">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DF01922" w14:textId="77777777" w:rsidR="006C6A36" w:rsidRPr="00A02607" w:rsidRDefault="006C6A36" w:rsidP="006C6A36">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A02607">
        <w:rPr>
          <w:rFonts w:ascii="Verdana" w:eastAsia="Century Gothic" w:hAnsi="Verdana" w:cs="Century Gothic"/>
          <w:i/>
          <w:iCs/>
          <w:sz w:val="20"/>
          <w:szCs w:val="20"/>
        </w:rPr>
        <w:t xml:space="preserve">De conformidad con el artículo 37 de la Ley 2056 de 2020, cuando una entidad de naturaleza mixta, sometida a un régimen contractual especial de derecho privado, sea designada como entidad ejecutora de un proyecto financiado con recursos del Sistema General de Regalías: </w:t>
      </w:r>
    </w:p>
    <w:p w14:paraId="7F011845"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A02607">
        <w:rPr>
          <w:rFonts w:ascii="Verdana" w:eastAsia="Century Gothic" w:hAnsi="Verdana" w:cs="Century Gothic"/>
          <w:i/>
          <w:iCs/>
          <w:sz w:val="20"/>
          <w:szCs w:val="20"/>
        </w:rPr>
        <w:lastRenderedPageBreak/>
        <w:t>¿Debe aplicar integralmente el Estatuto General de Contratación de la Administración Pública —Ley 80 de 1993, Ley 1150 de 2007, Ley 1474 de</w:t>
      </w:r>
      <w:r>
        <w:rPr>
          <w:rFonts w:ascii="Verdana" w:eastAsia="Century Gothic" w:hAnsi="Verdana" w:cs="Century Gothic"/>
          <w:i/>
          <w:iCs/>
          <w:sz w:val="20"/>
          <w:szCs w:val="20"/>
        </w:rPr>
        <w:t xml:space="preserve"> </w:t>
      </w:r>
      <w:r w:rsidRPr="00FA4BB0">
        <w:rPr>
          <w:rFonts w:ascii="Verdana" w:eastAsia="Century Gothic" w:hAnsi="Verdana" w:cs="Century Gothic"/>
          <w:i/>
          <w:iCs/>
          <w:sz w:val="20"/>
          <w:szCs w:val="20"/>
        </w:rPr>
        <w:t>2011, Decreto 1082 de 2015 y demás normas reglamentarias— o conserva su régimen contractual especial y debe ejecutar los recursos mediante su manual interno de contratación, ¿incorporando las exigencias específicas derivadas del régimen del SGR?</w:t>
      </w:r>
    </w:p>
    <w:p w14:paraId="680D170F"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593A8E5D"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56C57">
        <w:rPr>
          <w:rFonts w:ascii="Verdana" w:eastAsia="Century Gothic" w:hAnsi="Verdana" w:cs="Century Gothic"/>
          <w:i/>
          <w:iCs/>
          <w:sz w:val="20"/>
          <w:szCs w:val="20"/>
        </w:rPr>
        <w:t xml:space="preserve">¿Debe entenderse que la expresión “régimen de contratación pública”, contenida en el parágrafo segundo del artículo 37 de la Ley 2056 de 2020, implica una modificación temporal o especial del régimen contractual de la entidad ejecutora para la ejecución del proyecto financiado con recursos del SGR? En caso afirmativo: </w:t>
      </w:r>
    </w:p>
    <w:p w14:paraId="36745F8D" w14:textId="77777777" w:rsidR="006C6A36" w:rsidRPr="00656C57" w:rsidRDefault="006C6A36" w:rsidP="006C6A36">
      <w:pPr>
        <w:spacing w:after="0" w:line="240" w:lineRule="auto"/>
        <w:ind w:left="709" w:right="709"/>
        <w:jc w:val="both"/>
        <w:rPr>
          <w:rFonts w:ascii="Verdana" w:eastAsia="Century Gothic" w:hAnsi="Verdana" w:cs="Century Gothic"/>
          <w:sz w:val="20"/>
          <w:szCs w:val="20"/>
        </w:rPr>
      </w:pPr>
    </w:p>
    <w:p w14:paraId="29826EEE"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56C57">
        <w:rPr>
          <w:rFonts w:ascii="Verdana" w:eastAsia="Century Gothic" w:hAnsi="Verdana" w:cs="Century Gothic"/>
          <w:i/>
          <w:iCs/>
          <w:sz w:val="20"/>
          <w:szCs w:val="20"/>
        </w:rPr>
        <w:t>¿Cuál es el alcance concreto de dicha modificación frente a una entidad que, por su naturaleza jurídica, ordinariamente se encuentra sometida al derecho privado?</w:t>
      </w:r>
    </w:p>
    <w:p w14:paraId="0BE6579D"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1EBBC986" w14:textId="77777777" w:rsidR="006C6A36" w:rsidRPr="00656C57" w:rsidRDefault="006C6A36" w:rsidP="006C6A36">
      <w:pPr>
        <w:spacing w:after="0" w:line="240" w:lineRule="auto"/>
        <w:ind w:left="709" w:right="709"/>
        <w:jc w:val="both"/>
        <w:rPr>
          <w:rFonts w:ascii="Verdana" w:eastAsia="Century Gothic" w:hAnsi="Verdana" w:cs="Century Gothic"/>
          <w:sz w:val="20"/>
          <w:szCs w:val="20"/>
        </w:rPr>
      </w:pPr>
      <w:r w:rsidRPr="00656C57">
        <w:rPr>
          <w:rFonts w:ascii="Verdana" w:eastAsia="Century Gothic" w:hAnsi="Verdana" w:cs="Century Gothic"/>
          <w:i/>
          <w:iCs/>
          <w:sz w:val="20"/>
          <w:szCs w:val="20"/>
        </w:rPr>
        <w:t xml:space="preserve">Si el fondo mixto tiene un régimen contractual especial expresamente reconocido por las normas que regulan su naturaleza jurídica: </w:t>
      </w:r>
    </w:p>
    <w:p w14:paraId="252EE8F5"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13ABB93A"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56C57">
        <w:rPr>
          <w:rFonts w:ascii="Verdana" w:eastAsia="Century Gothic" w:hAnsi="Verdana" w:cs="Century Gothic"/>
          <w:i/>
          <w:iCs/>
          <w:sz w:val="20"/>
          <w:szCs w:val="20"/>
        </w:rPr>
        <w:t>¿La aplicación del artículo 37 de la Ley 2056 de 2020 desplaza completamente dicho régimen especial exclusivamente durante la ejecución del proyecto financiado con recursos del SGR, o permite que el fondo conserve su manual de contratación siempre que este garantice los principios y reglas exigidos por el Sistema General de Regalías y la contratación pública?</w:t>
      </w:r>
    </w:p>
    <w:p w14:paraId="3DED9EB7"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5FEEB89B"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 xml:space="preserve">En caso de que el fondo mantenga su régimen contractual especial: </w:t>
      </w:r>
    </w:p>
    <w:p w14:paraId="642D0240" w14:textId="77777777" w:rsidR="006C6A36" w:rsidRPr="006D6BBF" w:rsidRDefault="006C6A36" w:rsidP="006C6A36">
      <w:pPr>
        <w:spacing w:after="0" w:line="240" w:lineRule="auto"/>
        <w:ind w:left="709" w:right="709"/>
        <w:jc w:val="both"/>
        <w:rPr>
          <w:rFonts w:ascii="Verdana" w:eastAsia="Century Gothic" w:hAnsi="Verdana" w:cs="Century Gothic"/>
          <w:sz w:val="20"/>
          <w:szCs w:val="20"/>
        </w:rPr>
      </w:pPr>
    </w:p>
    <w:p w14:paraId="2DBC3954"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 xml:space="preserve">¿Puede utilizar su manual interno de contratación para ejecutar proyectos financiados con recursos del SGR, siempre que dicho manual contemple mecanismos de planeación, publicidad, pluralidad de oferentes, selección objetiva, transparencia, igualdad, estudios previos, términos de referencia, evaluación y supervisión? </w:t>
      </w:r>
    </w:p>
    <w:p w14:paraId="28F00A75" w14:textId="77777777" w:rsidR="006C6A36" w:rsidRPr="006D6BBF" w:rsidRDefault="006C6A36" w:rsidP="006C6A36">
      <w:pPr>
        <w:spacing w:after="0" w:line="240" w:lineRule="auto"/>
        <w:ind w:left="709" w:right="709"/>
        <w:jc w:val="both"/>
        <w:rPr>
          <w:rFonts w:ascii="Verdana" w:eastAsia="Century Gothic" w:hAnsi="Verdana" w:cs="Century Gothic"/>
          <w:sz w:val="20"/>
          <w:szCs w:val="20"/>
        </w:rPr>
      </w:pPr>
    </w:p>
    <w:p w14:paraId="1BCDF429"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 xml:space="preserve">De ser posible: </w:t>
      </w:r>
    </w:p>
    <w:p w14:paraId="471C9193" w14:textId="77777777" w:rsidR="006C6A36" w:rsidRPr="006D6BBF" w:rsidRDefault="006C6A36" w:rsidP="006C6A36">
      <w:pPr>
        <w:spacing w:after="0" w:line="240" w:lineRule="auto"/>
        <w:ind w:left="709" w:right="709"/>
        <w:jc w:val="both"/>
        <w:rPr>
          <w:rFonts w:ascii="Verdana" w:eastAsia="Century Gothic" w:hAnsi="Verdana" w:cs="Century Gothic"/>
          <w:sz w:val="20"/>
          <w:szCs w:val="20"/>
        </w:rPr>
      </w:pPr>
    </w:p>
    <w:p w14:paraId="2E099596"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¿Qué disposiciones adicionales debería incorporar el manual para garantizar el cumplimiento del artículo 37 de la Ley 2056 de 2020?</w:t>
      </w:r>
    </w:p>
    <w:p w14:paraId="40BC6586"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168F8AD7"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 xml:space="preserve">En el evento de que el fondo opte voluntariamente por incorporar dentro de su manual procedimientos propios del Estatuto General de Contratación Pública: </w:t>
      </w:r>
    </w:p>
    <w:p w14:paraId="1BCE26AF" w14:textId="77777777" w:rsidR="006C6A36" w:rsidRPr="006D6BBF" w:rsidRDefault="006C6A36" w:rsidP="006C6A36">
      <w:pPr>
        <w:spacing w:after="0" w:line="240" w:lineRule="auto"/>
        <w:ind w:left="709" w:right="709"/>
        <w:jc w:val="both"/>
        <w:rPr>
          <w:rFonts w:ascii="Verdana" w:eastAsia="Century Gothic" w:hAnsi="Verdana" w:cs="Century Gothic"/>
          <w:sz w:val="20"/>
          <w:szCs w:val="20"/>
        </w:rPr>
      </w:pPr>
    </w:p>
    <w:p w14:paraId="4EAED37A"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 xml:space="preserve">¿La adopción de dichos procedimientos puede entenderse como una aplicación válida y complementaria del régimen especial del fondo, sin que </w:t>
      </w:r>
      <w:r w:rsidRPr="006D6BBF">
        <w:rPr>
          <w:rFonts w:ascii="Verdana" w:eastAsia="Century Gothic" w:hAnsi="Verdana" w:cs="Century Gothic"/>
          <w:i/>
          <w:iCs/>
          <w:sz w:val="20"/>
          <w:szCs w:val="20"/>
        </w:rPr>
        <w:lastRenderedPageBreak/>
        <w:t>ello implique que la entidad haya modificado su naturaleza jurídica o quedado sometida integralmente al Estatuto General de Contratación Pública para todas sus actividades?</w:t>
      </w:r>
    </w:p>
    <w:p w14:paraId="23F3C93C"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5A7BDB70"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 xml:space="preserve">Si se concluye que el fondo debe aplicar el Estatuto General de Contratación Pública durante la ejecución del proyecto del SGR: </w:t>
      </w:r>
    </w:p>
    <w:p w14:paraId="5C9E2CF4" w14:textId="77777777" w:rsidR="006C6A36" w:rsidRPr="006D6BBF" w:rsidRDefault="006C6A36" w:rsidP="006C6A36">
      <w:pPr>
        <w:spacing w:after="0" w:line="240" w:lineRule="auto"/>
        <w:ind w:left="709" w:right="709"/>
        <w:jc w:val="both"/>
        <w:rPr>
          <w:rFonts w:ascii="Verdana" w:eastAsia="Century Gothic" w:hAnsi="Verdana" w:cs="Century Gothic"/>
          <w:sz w:val="20"/>
          <w:szCs w:val="20"/>
        </w:rPr>
      </w:pPr>
    </w:p>
    <w:p w14:paraId="3B2F819B"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6D6BBF">
        <w:rPr>
          <w:rFonts w:ascii="Verdana" w:eastAsia="Century Gothic" w:hAnsi="Verdana" w:cs="Century Gothic"/>
          <w:i/>
          <w:iCs/>
          <w:sz w:val="20"/>
          <w:szCs w:val="20"/>
        </w:rPr>
        <w:t>¿Debe aplicar obligatoriamente las modalidades de selección previstas en la Ley 80 de 1993 y la Ley 1150 de 2007 —licitación pública, selección abreviada, concurso de méritos, contratación directa, mínima cuantía, según corresponda— o puede utilizar los procedimientos establecidos en su manual especial siempre que estos garanticen los principios y condiciones exigidos por el SGR?</w:t>
      </w:r>
    </w:p>
    <w:p w14:paraId="288BDF8B"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190B8EDF"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C10DEA">
        <w:rPr>
          <w:rFonts w:ascii="Verdana" w:eastAsia="Century Gothic" w:hAnsi="Verdana" w:cs="Century Gothic"/>
          <w:i/>
          <w:iCs/>
          <w:sz w:val="20"/>
          <w:szCs w:val="20"/>
        </w:rPr>
        <w:t xml:space="preserve">Cuando el objeto contractual se encuentre dentro del ámbito obligatorio de los documentos tipo: </w:t>
      </w:r>
    </w:p>
    <w:p w14:paraId="6B74BD67" w14:textId="77777777" w:rsidR="006C6A36" w:rsidRPr="00C10DEA" w:rsidRDefault="006C6A36" w:rsidP="006C6A36">
      <w:pPr>
        <w:spacing w:after="0" w:line="240" w:lineRule="auto"/>
        <w:ind w:left="709" w:right="709"/>
        <w:jc w:val="both"/>
        <w:rPr>
          <w:rFonts w:ascii="Verdana" w:eastAsia="Century Gothic" w:hAnsi="Verdana" w:cs="Century Gothic"/>
          <w:i/>
          <w:iCs/>
          <w:sz w:val="20"/>
          <w:szCs w:val="20"/>
        </w:rPr>
      </w:pPr>
    </w:p>
    <w:p w14:paraId="789301B0"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C10DEA">
        <w:rPr>
          <w:rFonts w:ascii="Verdana" w:eastAsia="Century Gothic" w:hAnsi="Verdana" w:cs="Century Gothic"/>
          <w:i/>
          <w:iCs/>
          <w:sz w:val="20"/>
          <w:szCs w:val="20"/>
        </w:rPr>
        <w:t>¿Una entidad de régimen especial que sea designada como ejecutora de recursos del SGR está obligada a utilizar los documentos tipo expedidos por Colombia Compra Eficiente?</w:t>
      </w:r>
    </w:p>
    <w:p w14:paraId="3AB4C515"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43F9921E"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C10DEA">
        <w:rPr>
          <w:rFonts w:ascii="Verdana" w:eastAsia="Century Gothic" w:hAnsi="Verdana" w:cs="Century Gothic"/>
          <w:i/>
          <w:iCs/>
          <w:sz w:val="20"/>
          <w:szCs w:val="20"/>
        </w:rPr>
        <w:t xml:space="preserve">Teniendo en cuenta los conceptos emitidos por la Agencia Nacional de Contratación Pública – Colombia Compra Eficiente sobre el régimen contractual de las entidades ejecutoras del SGR: </w:t>
      </w:r>
    </w:p>
    <w:p w14:paraId="58675A6B" w14:textId="77777777" w:rsidR="006C6A36" w:rsidRPr="00C10DEA" w:rsidRDefault="006C6A36" w:rsidP="006C6A36">
      <w:pPr>
        <w:spacing w:after="0" w:line="240" w:lineRule="auto"/>
        <w:ind w:left="709" w:right="709"/>
        <w:jc w:val="both"/>
        <w:rPr>
          <w:rFonts w:ascii="Verdana" w:eastAsia="Century Gothic" w:hAnsi="Verdana" w:cs="Century Gothic"/>
          <w:i/>
          <w:iCs/>
          <w:sz w:val="20"/>
          <w:szCs w:val="20"/>
        </w:rPr>
      </w:pPr>
    </w:p>
    <w:p w14:paraId="1004ACB1"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C10DEA">
        <w:rPr>
          <w:rFonts w:ascii="Verdana" w:eastAsia="Century Gothic" w:hAnsi="Verdana" w:cs="Century Gothic"/>
          <w:i/>
          <w:iCs/>
          <w:sz w:val="20"/>
          <w:szCs w:val="20"/>
        </w:rPr>
        <w:t>¿Cuál es el criterio que actualmente debe adoptar una entidad mixta de régimen especial frente a la aparente tensión entre su régimen contractual ordinario y la obligación prevista en el artículo 37 de la Ley 2056 de 2020?</w:t>
      </w:r>
    </w:p>
    <w:p w14:paraId="1E61B268"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25060AC9"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033B15">
        <w:rPr>
          <w:rFonts w:ascii="Verdana" w:eastAsia="Century Gothic" w:hAnsi="Verdana" w:cs="Century Gothic"/>
          <w:i/>
          <w:iCs/>
          <w:sz w:val="20"/>
          <w:szCs w:val="20"/>
        </w:rPr>
        <w:t>De esta pregunta se traslada el componente relacionado con la determinación de las normas y procedimientos de contratación pública aplicables a las</w:t>
      </w:r>
      <w:r>
        <w:rPr>
          <w:rFonts w:ascii="Verdana" w:eastAsia="Century Gothic" w:hAnsi="Verdana" w:cs="Century Gothic"/>
          <w:i/>
          <w:iCs/>
          <w:sz w:val="20"/>
          <w:szCs w:val="20"/>
        </w:rPr>
        <w:t xml:space="preserve"> </w:t>
      </w:r>
      <w:r w:rsidRPr="00033B15">
        <w:rPr>
          <w:rFonts w:ascii="Verdana" w:eastAsia="Century Gothic" w:hAnsi="Verdana" w:cs="Century Gothic"/>
          <w:i/>
          <w:iCs/>
          <w:sz w:val="20"/>
          <w:szCs w:val="20"/>
        </w:rPr>
        <w:t>contrataciones realizadas para ejecutar proyectos financiados con recursos del SGR, contenido en el siguiente interrogante:</w:t>
      </w:r>
      <w:r>
        <w:rPr>
          <w:rFonts w:ascii="Verdana" w:eastAsia="Century Gothic" w:hAnsi="Verdana" w:cs="Century Gothic"/>
          <w:i/>
          <w:iCs/>
          <w:sz w:val="20"/>
          <w:szCs w:val="20"/>
        </w:rPr>
        <w:t xml:space="preserve"> </w:t>
      </w:r>
    </w:p>
    <w:p w14:paraId="73D8940A"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56B4275C"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033B15">
        <w:rPr>
          <w:rFonts w:ascii="Verdana" w:eastAsia="Century Gothic" w:hAnsi="Verdana" w:cs="Century Gothic"/>
          <w:i/>
          <w:iCs/>
          <w:sz w:val="20"/>
          <w:szCs w:val="20"/>
        </w:rPr>
        <w:t>¿Qué normas y procedimientos concretos deben aplicarse en el segundo escenario?</w:t>
      </w:r>
    </w:p>
    <w:p w14:paraId="5856EBA2"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199A7F52"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591FBE">
        <w:rPr>
          <w:rFonts w:ascii="Verdana" w:eastAsia="Century Gothic" w:hAnsi="Verdana" w:cs="Century Gothic"/>
          <w:i/>
          <w:iCs/>
          <w:sz w:val="20"/>
          <w:szCs w:val="20"/>
        </w:rPr>
        <w:t xml:space="preserve">Se traslada el componente relacionado con el alcance de las obligaciones generales de publicidad en el SECOP aplicables a una entidad sometida ordinariamente a un régimen contractual de derecho privado. El DNP conservará el análisis de las obligaciones específicas derivadas de la Ley 2056 de 2020. El interrogante formulado es el siguiente: </w:t>
      </w:r>
    </w:p>
    <w:p w14:paraId="57131B9E" w14:textId="77777777" w:rsidR="006C6A36" w:rsidRPr="00591FBE" w:rsidRDefault="006C6A36" w:rsidP="006C6A36">
      <w:pPr>
        <w:spacing w:after="0" w:line="240" w:lineRule="auto"/>
        <w:ind w:left="709" w:right="709"/>
        <w:jc w:val="both"/>
        <w:rPr>
          <w:rFonts w:ascii="Verdana" w:eastAsia="Century Gothic" w:hAnsi="Verdana" w:cs="Century Gothic"/>
          <w:i/>
          <w:iCs/>
          <w:sz w:val="20"/>
          <w:szCs w:val="20"/>
        </w:rPr>
      </w:pPr>
    </w:p>
    <w:p w14:paraId="13176A65" w14:textId="77777777" w:rsidR="006C6A36" w:rsidRPr="00591FBE" w:rsidRDefault="006C6A36" w:rsidP="006C6A36">
      <w:pPr>
        <w:spacing w:after="0" w:line="240" w:lineRule="auto"/>
        <w:ind w:left="709" w:right="709"/>
        <w:jc w:val="both"/>
        <w:rPr>
          <w:rFonts w:ascii="Verdana" w:eastAsia="Century Gothic" w:hAnsi="Verdana" w:cs="Century Gothic"/>
          <w:i/>
          <w:iCs/>
          <w:sz w:val="20"/>
          <w:szCs w:val="20"/>
        </w:rPr>
      </w:pPr>
      <w:r w:rsidRPr="00591FBE">
        <w:rPr>
          <w:rFonts w:ascii="Verdana" w:eastAsia="Century Gothic" w:hAnsi="Verdana" w:cs="Century Gothic"/>
          <w:i/>
          <w:iCs/>
          <w:sz w:val="20"/>
          <w:szCs w:val="20"/>
        </w:rPr>
        <w:t xml:space="preserve">Teniendo en cuenta las obligaciones establecidas por la Ley 2056 de 2020 respecto de la publicidad de los procesos de contratación: </w:t>
      </w:r>
    </w:p>
    <w:p w14:paraId="0459710C"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591FBE">
        <w:rPr>
          <w:rFonts w:ascii="Verdana" w:eastAsia="Century Gothic" w:hAnsi="Verdana" w:cs="Century Gothic"/>
          <w:i/>
          <w:iCs/>
          <w:sz w:val="20"/>
          <w:szCs w:val="20"/>
        </w:rPr>
        <w:lastRenderedPageBreak/>
        <w:t>¿El fondo debe publicar la totalidad del proceso contractual en SECOP o en la plataforma que haga sus veces, aun cuando su régimen contractual ordinario sea de derecho privado?</w:t>
      </w:r>
    </w:p>
    <w:p w14:paraId="7652905B" w14:textId="77777777" w:rsidR="006C6A36" w:rsidRDefault="006C6A36" w:rsidP="006C6A36">
      <w:pPr>
        <w:spacing w:after="0" w:line="240" w:lineRule="auto"/>
        <w:ind w:left="709" w:right="709"/>
        <w:jc w:val="both"/>
        <w:rPr>
          <w:rFonts w:ascii="Verdana" w:eastAsia="Century Gothic" w:hAnsi="Verdana" w:cs="Century Gothic"/>
          <w:i/>
          <w:iCs/>
          <w:sz w:val="20"/>
          <w:szCs w:val="20"/>
        </w:rPr>
      </w:pPr>
    </w:p>
    <w:p w14:paraId="5878D956" w14:textId="77777777" w:rsidR="006C6A36" w:rsidRDefault="006C6A36" w:rsidP="006C6A36">
      <w:pPr>
        <w:spacing w:after="0" w:line="240" w:lineRule="auto"/>
        <w:ind w:left="709" w:right="709"/>
        <w:jc w:val="both"/>
        <w:rPr>
          <w:rFonts w:ascii="Verdana" w:eastAsia="Century Gothic" w:hAnsi="Verdana" w:cs="Century Gothic"/>
          <w:b/>
          <w:bCs/>
          <w:i/>
          <w:iCs/>
          <w:sz w:val="20"/>
          <w:szCs w:val="20"/>
        </w:rPr>
      </w:pPr>
      <w:r w:rsidRPr="00222149">
        <w:rPr>
          <w:rFonts w:ascii="Verdana" w:eastAsia="Century Gothic" w:hAnsi="Verdana" w:cs="Century Gothic"/>
          <w:b/>
          <w:bCs/>
          <w:i/>
          <w:iCs/>
          <w:sz w:val="20"/>
          <w:szCs w:val="20"/>
        </w:rPr>
        <w:t xml:space="preserve">Pregunta 19. Términos y duración de los procedimientos de selección </w:t>
      </w:r>
    </w:p>
    <w:p w14:paraId="2F368FD6" w14:textId="77777777" w:rsidR="006C6A36" w:rsidRPr="00222149" w:rsidRDefault="006C6A36" w:rsidP="006C6A36">
      <w:pPr>
        <w:spacing w:after="0" w:line="240" w:lineRule="auto"/>
        <w:ind w:left="709" w:right="709"/>
        <w:jc w:val="both"/>
        <w:rPr>
          <w:rFonts w:ascii="Verdana" w:eastAsia="Century Gothic" w:hAnsi="Verdana" w:cs="Century Gothic"/>
          <w:i/>
          <w:iCs/>
          <w:sz w:val="20"/>
          <w:szCs w:val="20"/>
        </w:rPr>
      </w:pPr>
    </w:p>
    <w:p w14:paraId="5B38C52E"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222149">
        <w:rPr>
          <w:rFonts w:ascii="Verdana" w:eastAsia="Century Gothic" w:hAnsi="Verdana" w:cs="Century Gothic"/>
          <w:i/>
          <w:iCs/>
          <w:sz w:val="20"/>
          <w:szCs w:val="20"/>
        </w:rPr>
        <w:t xml:space="preserve">Se trasladan los componentes relacionados con la posibilidad de establecer procedimientos y términos propios de selección, su diferencia frente a los previstos en el Estatuto General de Contratación de la Administración Pública y la existencia de términos mínimos. El DNP conservará el análisis referido a las obligaciones y principios específicos del SGR. Los interrogantes son los siguientes: </w:t>
      </w:r>
    </w:p>
    <w:p w14:paraId="2BF157A5" w14:textId="77777777" w:rsidR="006C6A36" w:rsidRPr="00222149" w:rsidRDefault="006C6A36" w:rsidP="006C6A36">
      <w:pPr>
        <w:spacing w:after="0" w:line="240" w:lineRule="auto"/>
        <w:ind w:left="709" w:right="709"/>
        <w:jc w:val="both"/>
        <w:rPr>
          <w:rFonts w:ascii="Verdana" w:eastAsia="Century Gothic" w:hAnsi="Verdana" w:cs="Century Gothic"/>
          <w:i/>
          <w:iCs/>
          <w:sz w:val="20"/>
          <w:szCs w:val="20"/>
        </w:rPr>
      </w:pPr>
    </w:p>
    <w:p w14:paraId="64BC17ED"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222149">
        <w:rPr>
          <w:rFonts w:ascii="Verdana" w:eastAsia="Century Gothic" w:hAnsi="Verdana" w:cs="Century Gothic"/>
          <w:i/>
          <w:iCs/>
          <w:sz w:val="20"/>
          <w:szCs w:val="20"/>
        </w:rPr>
        <w:t xml:space="preserve">En caso de que una entidad de naturaleza mixta, sometida a un régimen contractual especial de derecho privado, sea designada como ejecutora de un proyecto financiado con recursos del Sistema General de Regalías, y adopte dentro de su manual de contratación un capítulo específico para la ejecución de dichos recursos, incorporando las exigencias de transparencia, publicidad, planeación, pluralidad de oferentes, selección objetiva, igualdad, debido proceso y demás principios aplicables: </w:t>
      </w:r>
    </w:p>
    <w:p w14:paraId="1EEEC7C6" w14:textId="77777777" w:rsidR="006C6A36" w:rsidRPr="00222149" w:rsidRDefault="006C6A36" w:rsidP="006C6A36">
      <w:pPr>
        <w:spacing w:after="0" w:line="240" w:lineRule="auto"/>
        <w:ind w:left="709" w:right="709"/>
        <w:jc w:val="both"/>
        <w:rPr>
          <w:rFonts w:ascii="Verdana" w:eastAsia="Century Gothic" w:hAnsi="Verdana" w:cs="Century Gothic"/>
          <w:i/>
          <w:iCs/>
          <w:sz w:val="20"/>
          <w:szCs w:val="20"/>
        </w:rPr>
      </w:pPr>
    </w:p>
    <w:p w14:paraId="4972C741" w14:textId="77777777" w:rsidR="006C6A36" w:rsidRDefault="006C6A36" w:rsidP="006C6A36">
      <w:pPr>
        <w:spacing w:after="0" w:line="240" w:lineRule="auto"/>
        <w:ind w:left="709" w:right="709"/>
        <w:jc w:val="both"/>
        <w:rPr>
          <w:rFonts w:ascii="Verdana" w:eastAsia="Century Gothic" w:hAnsi="Verdana" w:cs="Century Gothic"/>
          <w:i/>
          <w:iCs/>
          <w:sz w:val="20"/>
          <w:szCs w:val="20"/>
        </w:rPr>
      </w:pPr>
      <w:r w:rsidRPr="00222149">
        <w:rPr>
          <w:rFonts w:ascii="Verdana" w:eastAsia="Century Gothic" w:hAnsi="Verdana" w:cs="Century Gothic"/>
          <w:i/>
          <w:iCs/>
          <w:sz w:val="20"/>
          <w:szCs w:val="20"/>
        </w:rPr>
        <w:t>¿Puede la entidad establecer términos y plazos propios para las diferentes etapas de sus procedimientos de selección, distintos de los previstos en el Estatuto General de Contratación de la Administración Pública, siempre que dichos términos sean razonables, garanticen la pluralidad y participación efectiva de los oferentes, permitan la adecuada preparación y presentación de las propuestas y aseguren el cumplimiento de los principios y obligaciones establecidos para la ejecución de recursos del Sistema General de Regalías?</w:t>
      </w:r>
      <w:r>
        <w:rPr>
          <w:rFonts w:ascii="Verdana" w:eastAsia="Century Gothic" w:hAnsi="Verdana" w:cs="Century Gothic"/>
          <w:i/>
          <w:iCs/>
          <w:sz w:val="20"/>
          <w:szCs w:val="20"/>
        </w:rPr>
        <w:t>”</w:t>
      </w:r>
    </w:p>
    <w:p w14:paraId="5352D7A9" w14:textId="77777777" w:rsidR="006C6A36" w:rsidRPr="008E4F36" w:rsidRDefault="006C6A36" w:rsidP="006C6A36">
      <w:pPr>
        <w:spacing w:after="0" w:line="276" w:lineRule="auto"/>
        <w:ind w:right="709"/>
        <w:jc w:val="both"/>
        <w:rPr>
          <w:rFonts w:ascii="Verdana" w:hAnsi="Verdana"/>
          <w:sz w:val="20"/>
          <w:szCs w:val="20"/>
        </w:rPr>
      </w:pPr>
    </w:p>
    <w:p w14:paraId="2C286070" w14:textId="77777777" w:rsidR="006C6A36" w:rsidRDefault="006C6A36" w:rsidP="006C6A36">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4086DB3" w14:textId="77777777" w:rsidR="006C6A36" w:rsidRPr="00054383" w:rsidRDefault="006C6A36" w:rsidP="006C6A36">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2652AAA" w14:textId="77777777" w:rsidR="006C6A36" w:rsidRPr="008E4F36" w:rsidRDefault="006C6A36" w:rsidP="006C6A36">
      <w:pPr>
        <w:spacing w:after="0" w:line="276" w:lineRule="auto"/>
        <w:ind w:firstLine="709"/>
        <w:jc w:val="both"/>
        <w:rPr>
          <w:rFonts w:ascii="Verdana" w:eastAsia="Calibri" w:hAnsi="Verdana" w:cs="Arial"/>
          <w:color w:val="000000"/>
          <w:lang w:eastAsia="es-ES"/>
        </w:rPr>
      </w:pPr>
    </w:p>
    <w:p w14:paraId="2E22B644" w14:textId="77777777" w:rsidR="006C6A36" w:rsidRDefault="006C6A36" w:rsidP="006C6A36">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4B727F2" w14:textId="77777777" w:rsidR="006C6A36" w:rsidRDefault="006C6A36" w:rsidP="006C6A36">
      <w:pPr>
        <w:pStyle w:val="NormalWeb"/>
        <w:spacing w:before="0" w:beforeAutospacing="0" w:after="0" w:afterAutospacing="0" w:line="276" w:lineRule="auto"/>
        <w:jc w:val="both"/>
        <w:rPr>
          <w:rFonts w:ascii="Verdana" w:eastAsia="Calibri" w:hAnsi="Verdana" w:cs="Arial"/>
          <w:color w:val="000000"/>
          <w:sz w:val="22"/>
          <w:szCs w:val="22"/>
          <w:lang w:eastAsia="es-ES"/>
        </w:rPr>
      </w:pPr>
    </w:p>
    <w:p w14:paraId="01842F35" w14:textId="77777777" w:rsidR="006C6A36" w:rsidRDefault="006C6A36" w:rsidP="006C6A36">
      <w:pPr>
        <w:pStyle w:val="NormalWeb"/>
        <w:spacing w:before="0" w:beforeAutospacing="0" w:after="0" w:afterAutospacing="0" w:line="276" w:lineRule="auto"/>
        <w:jc w:val="both"/>
        <w:rPr>
          <w:rFonts w:ascii="Verdana" w:eastAsia="Calibri" w:hAnsi="Verdana" w:cs="Arial"/>
          <w:color w:val="000000"/>
          <w:sz w:val="22"/>
          <w:szCs w:val="22"/>
          <w:lang w:eastAsia="es-ES"/>
        </w:rPr>
      </w:pPr>
      <w:r w:rsidRPr="007E330B">
        <w:rPr>
          <w:rFonts w:ascii="Verdana" w:eastAsia="Calibri" w:hAnsi="Verdana" w:cs="Arial"/>
          <w:color w:val="000000"/>
          <w:sz w:val="22"/>
          <w:szCs w:val="22"/>
          <w:lang w:eastAsia="es-ES"/>
        </w:rPr>
        <w:t xml:space="preserve">De acuerdo con el contenido de su solicitud, esta Agencia resolverá el siguiente problema jurídico: </w:t>
      </w:r>
      <w:r w:rsidRPr="00CE3C97">
        <w:rPr>
          <w:rFonts w:ascii="Verdana" w:eastAsia="Calibri" w:hAnsi="Verdana" w:cs="Arial"/>
          <w:b/>
          <w:bCs/>
          <w:color w:val="000000"/>
          <w:sz w:val="22"/>
          <w:szCs w:val="22"/>
          <w:lang w:eastAsia="es-ES"/>
        </w:rPr>
        <w:t>i)</w:t>
      </w:r>
      <w:r w:rsidRPr="00CE3C97">
        <w:rPr>
          <w:rFonts w:ascii="Verdana" w:eastAsia="Calibri" w:hAnsi="Verdana" w:cs="Arial"/>
          <w:color w:val="000000"/>
          <w:sz w:val="22"/>
          <w:szCs w:val="22"/>
          <w:lang w:eastAsia="es-ES"/>
        </w:rPr>
        <w:t xml:space="preserve"> ¿Una entidad de naturaleza mixta sometida a un régimen contractual especial de derecho privado, designada como ejecutora de un proyecto financiado con recursos del Sistema General de Regalías (SGR), debe aplicar integralmente el Estatuto General de Contratación de la Administración Pública o puede conservar su régimen especial y ejecutar </w:t>
      </w:r>
      <w:r>
        <w:rPr>
          <w:rFonts w:ascii="Verdana" w:eastAsia="Calibri" w:hAnsi="Verdana" w:cs="Arial"/>
          <w:color w:val="000000"/>
          <w:sz w:val="22"/>
          <w:szCs w:val="22"/>
          <w:lang w:eastAsia="es-ES"/>
        </w:rPr>
        <w:t>dich</w:t>
      </w:r>
      <w:r w:rsidRPr="00CE3C97">
        <w:rPr>
          <w:rFonts w:ascii="Verdana" w:eastAsia="Calibri" w:hAnsi="Verdana" w:cs="Arial"/>
          <w:color w:val="000000"/>
          <w:sz w:val="22"/>
          <w:szCs w:val="22"/>
          <w:lang w:eastAsia="es-ES"/>
        </w:rPr>
        <w:t>os recursos conforme a su manual de contratación, incorporando las exigencias previstas en el artículo 37 de la Ley 2056 de 2020?</w:t>
      </w:r>
      <w:r>
        <w:rPr>
          <w:rFonts w:ascii="Verdana" w:eastAsia="Calibri" w:hAnsi="Verdana" w:cs="Arial"/>
          <w:color w:val="000000"/>
          <w:sz w:val="22"/>
          <w:szCs w:val="22"/>
          <w:lang w:eastAsia="es-ES"/>
        </w:rPr>
        <w:t>;</w:t>
      </w:r>
      <w:r w:rsidRPr="00CE3C97">
        <w:rPr>
          <w:rFonts w:ascii="Verdana" w:eastAsia="Calibri" w:hAnsi="Verdana" w:cs="Arial"/>
          <w:color w:val="000000"/>
          <w:sz w:val="22"/>
          <w:szCs w:val="22"/>
          <w:lang w:eastAsia="es-ES"/>
        </w:rPr>
        <w:t xml:space="preserve"> </w:t>
      </w:r>
      <w:proofErr w:type="spellStart"/>
      <w:r w:rsidRPr="00CE3C97">
        <w:rPr>
          <w:rFonts w:ascii="Verdana" w:eastAsia="Calibri" w:hAnsi="Verdana" w:cs="Arial"/>
          <w:b/>
          <w:bCs/>
          <w:color w:val="000000"/>
          <w:sz w:val="22"/>
          <w:szCs w:val="22"/>
          <w:lang w:eastAsia="es-ES"/>
        </w:rPr>
        <w:t>ii</w:t>
      </w:r>
      <w:proofErr w:type="spellEnd"/>
      <w:r w:rsidRPr="00CE3C97">
        <w:rPr>
          <w:rFonts w:ascii="Verdana" w:eastAsia="Calibri" w:hAnsi="Verdana" w:cs="Arial"/>
          <w:b/>
          <w:bCs/>
          <w:color w:val="000000"/>
          <w:sz w:val="22"/>
          <w:szCs w:val="22"/>
          <w:lang w:eastAsia="es-ES"/>
        </w:rPr>
        <w:t>)</w:t>
      </w:r>
      <w:r w:rsidRPr="00CE3C97">
        <w:rPr>
          <w:rFonts w:ascii="Verdana" w:eastAsiaTheme="minorHAnsi" w:hAnsi="Verdana" w:cstheme="minorBidi"/>
          <w:sz w:val="22"/>
          <w:szCs w:val="22"/>
          <w:lang w:eastAsia="en-US"/>
        </w:rPr>
        <w:t xml:space="preserve"> ¿Cuál es el alcance de la expresión “régimen de contratación pública” contenida en el parágrafo segundo del artículo 37 de la Ley </w:t>
      </w:r>
      <w:r w:rsidRPr="007636B1">
        <w:rPr>
          <w:rFonts w:ascii="Verdana" w:eastAsiaTheme="minorHAnsi" w:hAnsi="Verdana" w:cstheme="minorBidi"/>
          <w:sz w:val="22"/>
          <w:szCs w:val="22"/>
          <w:lang w:eastAsia="en-US"/>
        </w:rPr>
        <w:t>2056 de 2020 y qué efectos produce sobre el régimen contractual especial de las entidades ejecutoras del SGR, particularmente respecto de la aplicación complementaria o el desplazamiento temporal de dicho régimen?</w:t>
      </w:r>
      <w:r w:rsidRPr="007636B1">
        <w:rPr>
          <w:rFonts w:asciiTheme="minorHAnsi" w:eastAsiaTheme="minorHAnsi" w:hAnsiTheme="minorHAnsi" w:cstheme="minorBidi"/>
          <w:sz w:val="22"/>
          <w:szCs w:val="22"/>
          <w:lang w:eastAsia="en-US"/>
        </w:rPr>
        <w:t xml:space="preserve"> </w:t>
      </w:r>
      <w:r w:rsidRPr="007636B1">
        <w:rPr>
          <w:rFonts w:ascii="Verdana" w:eastAsia="Calibri" w:hAnsi="Verdana" w:cs="Arial"/>
          <w:color w:val="000000"/>
          <w:sz w:val="22"/>
          <w:szCs w:val="22"/>
          <w:lang w:eastAsia="es-ES"/>
        </w:rPr>
        <w:t xml:space="preserve"> </w:t>
      </w:r>
      <w:proofErr w:type="spellStart"/>
      <w:r w:rsidRPr="007636B1">
        <w:rPr>
          <w:rFonts w:ascii="Verdana" w:eastAsia="Calibri" w:hAnsi="Verdana" w:cs="Arial"/>
          <w:b/>
          <w:bCs/>
          <w:color w:val="000000"/>
          <w:sz w:val="22"/>
          <w:szCs w:val="22"/>
          <w:lang w:eastAsia="es-ES"/>
        </w:rPr>
        <w:t>iii</w:t>
      </w:r>
      <w:proofErr w:type="spellEnd"/>
      <w:r w:rsidRPr="007636B1">
        <w:rPr>
          <w:rFonts w:ascii="Verdana" w:eastAsia="Calibri" w:hAnsi="Verdana" w:cs="Arial"/>
          <w:b/>
          <w:bCs/>
          <w:color w:val="000000"/>
          <w:sz w:val="22"/>
          <w:szCs w:val="22"/>
          <w:lang w:eastAsia="es-ES"/>
        </w:rPr>
        <w:t xml:space="preserve">) </w:t>
      </w:r>
      <w:r w:rsidRPr="007636B1">
        <w:rPr>
          <w:rFonts w:ascii="Verdana" w:eastAsia="Calibri" w:hAnsi="Verdana" w:cs="Arial"/>
          <w:color w:val="000000"/>
          <w:sz w:val="22"/>
          <w:szCs w:val="22"/>
          <w:lang w:eastAsia="es-ES"/>
        </w:rPr>
        <w:t xml:space="preserve">¿Qué normas, modalidades de selección y procedimientos contractuales debe aplicar una entidad de régimen especial durante la ejecución de proyectos financiados con recursos del SGR, y en qué condiciones puede establecer procedimientos propios en su manual de contratación o incorporar voluntariamente reglas del Estatuto General de Contratación de la Administración Pública? </w:t>
      </w:r>
      <w:proofErr w:type="spellStart"/>
      <w:r w:rsidRPr="007636B1">
        <w:rPr>
          <w:rFonts w:ascii="Verdana" w:eastAsia="Calibri" w:hAnsi="Verdana" w:cs="Arial"/>
          <w:b/>
          <w:bCs/>
          <w:color w:val="000000"/>
          <w:sz w:val="22"/>
          <w:szCs w:val="22"/>
          <w:lang w:eastAsia="es-ES"/>
        </w:rPr>
        <w:t>iiii</w:t>
      </w:r>
      <w:proofErr w:type="spellEnd"/>
      <w:r w:rsidRPr="007636B1">
        <w:rPr>
          <w:rFonts w:ascii="Verdana" w:eastAsia="Calibri" w:hAnsi="Verdana" w:cs="Arial"/>
          <w:b/>
          <w:bCs/>
          <w:color w:val="000000"/>
          <w:sz w:val="22"/>
          <w:szCs w:val="22"/>
          <w:lang w:eastAsia="es-ES"/>
        </w:rPr>
        <w:t>)</w:t>
      </w:r>
      <w:r w:rsidRPr="007636B1">
        <w:rPr>
          <w:rFonts w:asciiTheme="minorHAnsi" w:eastAsiaTheme="minorHAnsi" w:hAnsiTheme="minorHAnsi" w:cstheme="minorBidi"/>
          <w:sz w:val="22"/>
          <w:szCs w:val="22"/>
          <w:lang w:eastAsia="en-US"/>
        </w:rPr>
        <w:t xml:space="preserve"> </w:t>
      </w:r>
      <w:r w:rsidRPr="007636B1">
        <w:rPr>
          <w:rFonts w:ascii="Verdana" w:eastAsia="Calibri" w:hAnsi="Verdana" w:cs="Arial"/>
          <w:color w:val="000000"/>
          <w:sz w:val="22"/>
          <w:szCs w:val="22"/>
          <w:lang w:eastAsia="es-ES"/>
        </w:rPr>
        <w:t>¿Están las entidades de régimen contractual especial designadas como ejecutoras de proyectos financiados con recursos del SGR obligadas a utilizar los documentos tipo expedidos por Colombia Compra Eficiente cuando el objeto contractual se encuentre comprendido en su ámbito de aplicación?</w:t>
      </w:r>
      <w:r>
        <w:rPr>
          <w:rFonts w:ascii="Verdana" w:eastAsia="Calibri" w:hAnsi="Verdana" w:cs="Arial"/>
          <w:color w:val="000000"/>
          <w:sz w:val="22"/>
          <w:szCs w:val="22"/>
          <w:lang w:eastAsia="es-ES"/>
        </w:rPr>
        <w:t>;</w:t>
      </w:r>
      <w:r w:rsidRPr="007636B1">
        <w:rPr>
          <w:rFonts w:ascii="Verdana" w:eastAsia="Calibri" w:hAnsi="Verdana" w:cs="Arial"/>
          <w:color w:val="000000"/>
          <w:sz w:val="22"/>
          <w:szCs w:val="22"/>
          <w:lang w:eastAsia="es-ES"/>
        </w:rPr>
        <w:t xml:space="preserve"> </w:t>
      </w:r>
      <w:proofErr w:type="spellStart"/>
      <w:r w:rsidRPr="007636B1">
        <w:rPr>
          <w:rFonts w:ascii="Verdana" w:eastAsia="Calibri" w:hAnsi="Verdana" w:cs="Arial"/>
          <w:b/>
          <w:bCs/>
          <w:color w:val="000000"/>
          <w:sz w:val="22"/>
          <w:szCs w:val="22"/>
          <w:lang w:eastAsia="es-ES"/>
        </w:rPr>
        <w:t>iv</w:t>
      </w:r>
      <w:proofErr w:type="spellEnd"/>
      <w:r w:rsidRPr="007636B1">
        <w:rPr>
          <w:rFonts w:ascii="Verdana" w:eastAsia="Calibri" w:hAnsi="Verdana" w:cs="Arial"/>
          <w:b/>
          <w:bCs/>
          <w:color w:val="000000"/>
          <w:sz w:val="22"/>
          <w:szCs w:val="22"/>
          <w:lang w:eastAsia="es-ES"/>
        </w:rPr>
        <w:t>)</w:t>
      </w:r>
      <w:r w:rsidRPr="007636B1">
        <w:rPr>
          <w:rFonts w:asciiTheme="minorHAnsi" w:eastAsiaTheme="minorHAnsi" w:hAnsiTheme="minorHAnsi" w:cstheme="minorBidi"/>
          <w:sz w:val="22"/>
          <w:szCs w:val="22"/>
          <w:lang w:eastAsia="en-US"/>
        </w:rPr>
        <w:t xml:space="preserve"> </w:t>
      </w:r>
      <w:r w:rsidRPr="007636B1">
        <w:rPr>
          <w:rFonts w:ascii="Verdana" w:eastAsia="Calibri" w:hAnsi="Verdana" w:cs="Arial"/>
          <w:color w:val="000000"/>
          <w:sz w:val="22"/>
          <w:szCs w:val="22"/>
          <w:lang w:eastAsia="es-ES"/>
        </w:rPr>
        <w:t xml:space="preserve">¿Está obligada una entidad de naturaleza mixta sometida a un régimen contractual especial de derecho privado, designada como ejecutora de recursos del SGR, a publicar la totalidad de sus procesos contractuales en el SECOP o en la plataforma correspondiente, y cuál es el alcance de dicha obligación frente a su régimen contractual ordinario? </w:t>
      </w:r>
    </w:p>
    <w:p w14:paraId="4713B1E3" w14:textId="77777777" w:rsidR="006C6A36" w:rsidRPr="00772009" w:rsidRDefault="006C6A36" w:rsidP="006C6A36">
      <w:pPr>
        <w:pStyle w:val="NormalWeb"/>
        <w:spacing w:before="0" w:beforeAutospacing="0" w:after="0" w:afterAutospacing="0" w:line="276" w:lineRule="auto"/>
        <w:jc w:val="both"/>
        <w:rPr>
          <w:sz w:val="22"/>
          <w:szCs w:val="22"/>
        </w:rPr>
      </w:pPr>
    </w:p>
    <w:p w14:paraId="599C1CB1" w14:textId="77777777" w:rsidR="006C6A36" w:rsidRPr="008E4F36" w:rsidRDefault="006C6A36" w:rsidP="006C6A36">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505A5B0" w14:textId="77777777" w:rsidR="006C6A36" w:rsidRPr="008E4F36" w:rsidRDefault="006C6A36" w:rsidP="006C6A3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C6A36" w:rsidRPr="008E4F36" w14:paraId="30902E2F" w14:textId="77777777" w:rsidTr="005A2A12">
        <w:tc>
          <w:tcPr>
            <w:tcW w:w="8828" w:type="dxa"/>
          </w:tcPr>
          <w:p w14:paraId="54B246A6" w14:textId="77777777" w:rsidR="006C6A36" w:rsidRPr="00934FD2" w:rsidRDefault="006C6A36" w:rsidP="005A2A12">
            <w:pPr>
              <w:spacing w:after="120" w:line="276" w:lineRule="auto"/>
              <w:jc w:val="both"/>
              <w:rPr>
                <w:rFonts w:ascii="Verdana" w:eastAsia="Arial" w:hAnsi="Verdana" w:cs="Arial"/>
              </w:rPr>
            </w:pPr>
            <w:r w:rsidRPr="00E563CE">
              <w:rPr>
                <w:rFonts w:ascii="Verdana" w:eastAsia="Arial" w:hAnsi="Verdana" w:cs="Arial"/>
                <w:b/>
                <w:bCs/>
                <w:lang w:val="es-ES"/>
              </w:rPr>
              <w:t>i.</w:t>
            </w:r>
            <w:r>
              <w:rPr>
                <w:rFonts w:ascii="Verdana" w:eastAsia="Arial" w:hAnsi="Verdana" w:cs="Arial"/>
                <w:lang w:val="es-ES"/>
              </w:rPr>
              <w:t xml:space="preserve"> </w:t>
            </w:r>
            <w:r w:rsidRPr="00934FD2">
              <w:rPr>
                <w:rFonts w:ascii="Verdana" w:eastAsia="Arial" w:hAnsi="Verdana" w:cs="Arial"/>
              </w:rPr>
              <w:t>De conformidad con el parágrafo primero del artículo 37 de la Ley 2056 de 2020, la ejecución de los proyectos de inversión financiados con recursos del Sistema General de Regalías (SGR) debe adelantarse con estricta sujeción al régimen presupuestal previsto en dicha ley, al régimen de contratación pública y a las demás normas legales vigentes. En concordancia con la interpretación sostenida por esta Subdirección, esta disposición implica que las entidades designadas como ejecutoras deben aplicar el Estatuto General de Contratación de la Administración Pública (EGCAP) respecto de los procesos contractuales necesarios para ejecutar dichos proyectos, independientemente del régimen contractual que gobierne ordinariamente sus actividades.</w:t>
            </w:r>
          </w:p>
          <w:p w14:paraId="564D35DB" w14:textId="77777777" w:rsidR="006C6A36" w:rsidRDefault="006C6A36" w:rsidP="005A2A12">
            <w:pPr>
              <w:spacing w:line="276" w:lineRule="auto"/>
              <w:ind w:firstLine="709"/>
              <w:jc w:val="both"/>
              <w:rPr>
                <w:rFonts w:ascii="Verdana" w:eastAsia="Arial" w:hAnsi="Verdana" w:cs="Arial"/>
              </w:rPr>
            </w:pPr>
            <w:r w:rsidRPr="00934FD2">
              <w:rPr>
                <w:rFonts w:ascii="Verdana" w:eastAsia="Arial" w:hAnsi="Verdana" w:cs="Arial"/>
              </w:rPr>
              <w:t>En consecuencia, una entidad de naturaleza mixta sometida a un régimen contractual especial de derecho privado no puede ejecutar los recursos del SGR con fundamento exclusivo en su régimen especial ni en su manual de contratación, invocando las excepciones a la aplicación de la Ley 80 de 1993. No obstante, esta sujeción no supone una modificación general o permanente de su régimen jurídico, ni transforma su naturaleza jurídica, pues se limita a la contratación requerida para ejecutar los proyectos financiados con estos recursos. Por tanto, la entidad deberá observar las disposiciones del EGCAP que resulten aplicables, sin perjuicio de conservar su régimen especial para las demás actividades comprendidas en su objeto y funciones.</w:t>
            </w:r>
          </w:p>
          <w:p w14:paraId="6B17ED72" w14:textId="77777777" w:rsidR="006C6A36" w:rsidRDefault="006C6A36" w:rsidP="005A2A12">
            <w:pPr>
              <w:spacing w:line="276" w:lineRule="auto"/>
              <w:ind w:firstLine="709"/>
              <w:jc w:val="both"/>
              <w:rPr>
                <w:rFonts w:ascii="Verdana" w:eastAsia="Arial" w:hAnsi="Verdana" w:cs="Arial"/>
              </w:rPr>
            </w:pPr>
          </w:p>
          <w:p w14:paraId="0FFD14EB" w14:textId="77777777" w:rsidR="006C6A36" w:rsidRPr="00E563CE" w:rsidRDefault="006C6A36" w:rsidP="005A2A12">
            <w:pPr>
              <w:spacing w:after="120" w:line="276" w:lineRule="auto"/>
              <w:jc w:val="both"/>
              <w:rPr>
                <w:rFonts w:ascii="Verdana" w:eastAsia="Arial" w:hAnsi="Verdana" w:cs="Arial"/>
              </w:rPr>
            </w:pPr>
            <w:proofErr w:type="spellStart"/>
            <w:r w:rsidRPr="00E563CE">
              <w:rPr>
                <w:rFonts w:ascii="Verdana" w:eastAsia="Arial" w:hAnsi="Verdana" w:cs="Arial"/>
                <w:b/>
                <w:bCs/>
              </w:rPr>
              <w:t>ii</w:t>
            </w:r>
            <w:proofErr w:type="spellEnd"/>
            <w:r w:rsidRPr="00E563CE">
              <w:rPr>
                <w:rFonts w:ascii="Verdana" w:eastAsia="Arial" w:hAnsi="Verdana" w:cs="Arial"/>
                <w:b/>
                <w:bCs/>
              </w:rPr>
              <w:t>.</w:t>
            </w:r>
            <w:r w:rsidRPr="00E563CE">
              <w:rPr>
                <w:rFonts w:ascii="Times New Roman" w:eastAsia="Times New Roman" w:hAnsi="Times New Roman" w:cs="Times New Roman"/>
                <w:sz w:val="24"/>
                <w:szCs w:val="24"/>
                <w:lang w:eastAsia="es-CO"/>
              </w:rPr>
              <w:t xml:space="preserve"> </w:t>
            </w:r>
            <w:r w:rsidRPr="00E563CE">
              <w:rPr>
                <w:rFonts w:ascii="Verdana" w:eastAsia="Arial" w:hAnsi="Verdana" w:cs="Arial"/>
              </w:rPr>
              <w:t xml:space="preserve">La expresión </w:t>
            </w:r>
            <w:r>
              <w:rPr>
                <w:rFonts w:ascii="Verdana" w:eastAsia="Arial" w:hAnsi="Verdana" w:cs="Arial"/>
              </w:rPr>
              <w:t>“</w:t>
            </w:r>
            <w:r w:rsidRPr="00E563CE">
              <w:rPr>
                <w:rFonts w:ascii="Verdana" w:eastAsia="Arial" w:hAnsi="Verdana" w:cs="Arial"/>
              </w:rPr>
              <w:t>régimen de contratación pública</w:t>
            </w:r>
            <w:r>
              <w:rPr>
                <w:rFonts w:ascii="Verdana" w:eastAsia="Arial" w:hAnsi="Verdana" w:cs="Arial"/>
              </w:rPr>
              <w:t>”</w:t>
            </w:r>
            <w:r w:rsidRPr="00E563CE">
              <w:rPr>
                <w:rFonts w:ascii="Verdana" w:eastAsia="Arial" w:hAnsi="Verdana" w:cs="Arial"/>
              </w:rPr>
              <w:t>, contenida en el parágrafo primero del artículo 37 de la Ley 2056 de 2020, debe interpretarse como una remisión al EGCAP y a las normas que lo modifican, sustituyen o reglamentan, para efectos de la ejecución contractual de los proyectos financiados con recursos del SGR. Esta remisión establece una regla especial de sujeción que prevalece sobre las excepciones al régimen general de contratación que, de ordinario, resulten aplicables a la entidad ejecutora.</w:t>
            </w:r>
          </w:p>
          <w:p w14:paraId="7B18416D" w14:textId="77777777" w:rsidR="006C6A36" w:rsidRDefault="006C6A36" w:rsidP="005A2A12">
            <w:pPr>
              <w:spacing w:line="276" w:lineRule="auto"/>
              <w:ind w:firstLine="709"/>
              <w:jc w:val="both"/>
              <w:rPr>
                <w:rFonts w:ascii="Verdana" w:eastAsia="Arial" w:hAnsi="Verdana" w:cs="Arial"/>
              </w:rPr>
            </w:pPr>
            <w:r w:rsidRPr="00E563CE">
              <w:rPr>
                <w:rFonts w:ascii="Verdana" w:eastAsia="Arial" w:hAnsi="Verdana" w:cs="Arial"/>
              </w:rPr>
              <w:t xml:space="preserve">Por consiguiente, no se trata de una aplicación meramente complementaria del EGCAP, en virtud de la cual la entidad pueda mantener como régimen principal su normativa contractual privada e incorporar únicamente algunas exigencias de contratación pública. Se trata de la aplicación del EGCAP a la contratación necesaria para ejecutar los proyectos del SGR, en los términos y condiciones previstos por la normativa aplicable. </w:t>
            </w:r>
            <w:r w:rsidRPr="00E563CE">
              <w:rPr>
                <w:rFonts w:ascii="Verdana" w:eastAsia="Arial" w:hAnsi="Verdana" w:cs="Arial"/>
              </w:rPr>
              <w:lastRenderedPageBreak/>
              <w:t>Sin embargo, dicho desplazamiento opera exclusivamente respecto de esa actividad contractual y no implica la derogación, sustitución general o inaplicación permanente del régimen especial de la entidad para el desarrollo de sus demás actividades.</w:t>
            </w:r>
          </w:p>
          <w:p w14:paraId="6C92EC6E" w14:textId="77777777" w:rsidR="006C6A36" w:rsidRDefault="006C6A36" w:rsidP="005A2A12">
            <w:pPr>
              <w:spacing w:line="276" w:lineRule="auto"/>
              <w:jc w:val="both"/>
              <w:rPr>
                <w:rFonts w:ascii="Verdana" w:eastAsia="Arial" w:hAnsi="Verdana" w:cs="Arial"/>
                <w:b/>
                <w:bCs/>
              </w:rPr>
            </w:pPr>
          </w:p>
          <w:p w14:paraId="5B851F49" w14:textId="77777777" w:rsidR="006C6A36" w:rsidRPr="001746AB" w:rsidRDefault="006C6A36" w:rsidP="005A2A12">
            <w:pPr>
              <w:spacing w:after="120" w:line="276" w:lineRule="auto"/>
              <w:jc w:val="both"/>
              <w:rPr>
                <w:rFonts w:ascii="Verdana" w:eastAsia="Arial" w:hAnsi="Verdana" w:cs="Arial"/>
              </w:rPr>
            </w:pPr>
            <w:proofErr w:type="spellStart"/>
            <w:r w:rsidRPr="001746AB">
              <w:rPr>
                <w:rFonts w:ascii="Verdana" w:eastAsia="Arial" w:hAnsi="Verdana" w:cs="Arial"/>
                <w:b/>
                <w:bCs/>
              </w:rPr>
              <w:t>iii</w:t>
            </w:r>
            <w:proofErr w:type="spellEnd"/>
            <w:r w:rsidRPr="001746AB">
              <w:rPr>
                <w:rFonts w:ascii="Verdana" w:eastAsia="Arial" w:hAnsi="Verdana" w:cs="Arial"/>
                <w:b/>
                <w:bCs/>
              </w:rPr>
              <w:t>.</w:t>
            </w:r>
            <w:r>
              <w:rPr>
                <w:rFonts w:ascii="Verdana" w:eastAsia="Arial" w:hAnsi="Verdana" w:cs="Arial"/>
              </w:rPr>
              <w:t xml:space="preserve"> </w:t>
            </w:r>
            <w:r w:rsidRPr="001746AB">
              <w:rPr>
                <w:rFonts w:ascii="Verdana" w:eastAsia="Arial" w:hAnsi="Verdana" w:cs="Arial"/>
              </w:rPr>
              <w:t>Las entidades sometidas a regímenes especiales que sean designadas como ejecutoras de proyectos financiados con recursos del SGR deben adelantar la contratación de los bienes, obras y servicios requeridos para su ejecución con sujeción al EGCAP, particularmente a la Ley 80 de 1993, la Ley 1150 de 2007 y sus normas reglamentarias, así como a las disposiciones especiales que regulan la gestión y ejecución de los recursos del Sistema General de Regalías, entre ellas la Ley 2056 de 2020 y el Decreto 1821 de 2020.</w:t>
            </w:r>
          </w:p>
          <w:p w14:paraId="1D0E1FF1" w14:textId="77777777" w:rsidR="006C6A36" w:rsidRPr="001746AB" w:rsidRDefault="006C6A36" w:rsidP="005A2A12">
            <w:pPr>
              <w:spacing w:after="120" w:line="276" w:lineRule="auto"/>
              <w:ind w:firstLine="709"/>
              <w:jc w:val="both"/>
              <w:rPr>
                <w:rFonts w:ascii="Verdana" w:eastAsia="Arial" w:hAnsi="Verdana" w:cs="Arial"/>
              </w:rPr>
            </w:pPr>
            <w:r w:rsidRPr="001746AB">
              <w:rPr>
                <w:rFonts w:ascii="Verdana" w:eastAsia="Arial" w:hAnsi="Verdana" w:cs="Arial"/>
              </w:rPr>
              <w:t>En consecuencia, los procesos de selección deberán desarrollarse conforme a las modalidades previstas en el artículo 2 de la Ley 1150 de 2007, atendiendo a la naturaleza, el objeto y la cuantía del contrato, así como a las demás condiciones establecidas en el ordenamiento jurídico. Esto comprende la observancia de las etapas, los términos, los procedimientos y las reglas aplicables a cada modalidad de selección, además de los principios de transparencia, economía y selección objetiva, entre otros que resulten pertinentes.</w:t>
            </w:r>
          </w:p>
          <w:p w14:paraId="41EC3405" w14:textId="77777777" w:rsidR="006C6A36" w:rsidRDefault="006C6A36" w:rsidP="005A2A12">
            <w:pPr>
              <w:spacing w:line="276" w:lineRule="auto"/>
              <w:ind w:firstLine="709"/>
              <w:jc w:val="both"/>
              <w:rPr>
                <w:rFonts w:ascii="Verdana" w:eastAsia="Arial" w:hAnsi="Verdana" w:cs="Arial"/>
              </w:rPr>
            </w:pPr>
            <w:r w:rsidRPr="001746AB">
              <w:rPr>
                <w:rFonts w:ascii="Verdana" w:eastAsia="Arial" w:hAnsi="Verdana" w:cs="Arial"/>
              </w:rPr>
              <w:t>En cuanto al manual de contratación, la entidad podrá adecuarlo para incorporar las reglas y los procedimientos internos necesarios para gestionar los contratos financiados con recursos del SGR. Sin embargo, dicha facultad no la habilita para sustituir las modalidades de selección ni los procedimientos obligatorios del EGCAP por reglas propias de su régimen especial. Por tanto, el manual podrá desarrollar aspectos operativos y organizacionales compatibles con el régimen aplicable, pero no establecer disposiciones contrarias a las normas legales y reglamentarias que gobiernan la contratación de estos proyectos.</w:t>
            </w:r>
          </w:p>
          <w:p w14:paraId="1D948AFF" w14:textId="77777777" w:rsidR="006C6A36" w:rsidRPr="001746AB" w:rsidRDefault="006C6A36" w:rsidP="005A2A12">
            <w:pPr>
              <w:spacing w:line="276" w:lineRule="auto"/>
              <w:ind w:firstLine="709"/>
              <w:jc w:val="both"/>
              <w:rPr>
                <w:rFonts w:ascii="Verdana" w:eastAsia="Arial" w:hAnsi="Verdana" w:cs="Arial"/>
              </w:rPr>
            </w:pPr>
          </w:p>
          <w:p w14:paraId="66A510AE" w14:textId="77777777" w:rsidR="006C6A36" w:rsidRPr="001746AB" w:rsidRDefault="006C6A36" w:rsidP="005A2A12">
            <w:pPr>
              <w:spacing w:after="120" w:line="276" w:lineRule="auto"/>
              <w:jc w:val="both"/>
              <w:rPr>
                <w:rFonts w:ascii="Verdana" w:eastAsia="Arial" w:hAnsi="Verdana" w:cs="Arial"/>
              </w:rPr>
            </w:pPr>
            <w:proofErr w:type="spellStart"/>
            <w:r w:rsidRPr="001746AB">
              <w:rPr>
                <w:rFonts w:ascii="Verdana" w:eastAsia="Arial" w:hAnsi="Verdana" w:cs="Arial"/>
                <w:b/>
                <w:bCs/>
              </w:rPr>
              <w:t>iv</w:t>
            </w:r>
            <w:proofErr w:type="spellEnd"/>
            <w:r w:rsidRPr="001746AB">
              <w:rPr>
                <w:rFonts w:ascii="Verdana" w:eastAsia="Arial" w:hAnsi="Verdana" w:cs="Arial"/>
                <w:b/>
                <w:bCs/>
              </w:rPr>
              <w:t>.</w:t>
            </w:r>
            <w:r w:rsidRPr="001746AB">
              <w:rPr>
                <w:rFonts w:ascii="Times New Roman" w:eastAsia="Times New Roman" w:hAnsi="Times New Roman" w:cs="Times New Roman"/>
                <w:sz w:val="24"/>
                <w:szCs w:val="24"/>
                <w:lang w:eastAsia="es-CO"/>
              </w:rPr>
              <w:t xml:space="preserve"> </w:t>
            </w:r>
            <w:r w:rsidRPr="001746AB">
              <w:rPr>
                <w:rFonts w:ascii="Verdana" w:eastAsia="Arial" w:hAnsi="Verdana" w:cs="Arial"/>
              </w:rPr>
              <w:t xml:space="preserve">Las entidades sometidas a regímenes contractuales especiales que sean designadas como ejecutoras de proyectos financiados con recursos del SGR deben aplicar los documentos tipo expedidos por Colombia Compra Eficiente </w:t>
            </w:r>
            <w:r w:rsidRPr="001746AB">
              <w:rPr>
                <w:rFonts w:ascii="Verdana" w:eastAsia="Arial" w:hAnsi="Verdana" w:cs="Arial"/>
              </w:rPr>
              <w:lastRenderedPageBreak/>
              <w:t>cuando adelanten procesos de contratación cuyo objeto y modalidad de selección se encuentren comprendidos en su ámbito de aplicación.</w:t>
            </w:r>
          </w:p>
          <w:p w14:paraId="657DDE51" w14:textId="77777777" w:rsidR="006C6A36" w:rsidRPr="001746AB" w:rsidRDefault="006C6A36" w:rsidP="005A2A12">
            <w:pPr>
              <w:spacing w:after="120" w:line="276" w:lineRule="auto"/>
              <w:ind w:firstLine="709"/>
              <w:jc w:val="both"/>
              <w:rPr>
                <w:rFonts w:ascii="Verdana" w:eastAsia="Arial" w:hAnsi="Verdana" w:cs="Arial"/>
              </w:rPr>
            </w:pPr>
            <w:r w:rsidRPr="001746AB">
              <w:rPr>
                <w:rFonts w:ascii="Verdana" w:eastAsia="Arial" w:hAnsi="Verdana" w:cs="Arial"/>
              </w:rPr>
              <w:t>Lo anterior se fundamenta en el parágrafo 7 del artículo 2 de la Ley 1150 de 2007, adicionado por la Ley 1882 de 2018 y modificado por la Ley 2022 de 2020, que establece la obligatoriedad de los documentos tipo para los procesos de contratación cobijados por estos instrumentos. En consecuencia, la remisión al EGCAP prevista en el parágrafo primero del artículo 37 de la Ley 2056 de 2020 comporta también la aplicación de los documentos tipo que correspondan.</w:t>
            </w:r>
          </w:p>
          <w:p w14:paraId="28C6B3FA" w14:textId="77777777" w:rsidR="006C6A36" w:rsidRDefault="006C6A36" w:rsidP="005A2A12">
            <w:pPr>
              <w:spacing w:after="120" w:line="276" w:lineRule="auto"/>
              <w:ind w:firstLine="709"/>
              <w:jc w:val="both"/>
              <w:rPr>
                <w:rFonts w:ascii="Verdana" w:eastAsia="Arial" w:hAnsi="Verdana" w:cs="Arial"/>
              </w:rPr>
            </w:pPr>
            <w:r w:rsidRPr="001746AB">
              <w:rPr>
                <w:rFonts w:ascii="Verdana" w:eastAsia="Arial" w:hAnsi="Verdana" w:cs="Arial"/>
              </w:rPr>
              <w:t>Por tanto, las entidades ejecutoras no pueden modificar los requisitos establecidos en dichos documentos, salvo en los aspectos expresamente habilitados para su diligenciamiento. Esta obligación opera siempre que el objeto contractual y la modalidad de selección estén efectivamente comprendidos en el ámbito de aplicación de los documentos tipo vigentes; si no se cumplen tales condiciones, no será obligatoria su utilización.</w:t>
            </w:r>
          </w:p>
          <w:p w14:paraId="69F33C88" w14:textId="77777777" w:rsidR="006C6A36" w:rsidRDefault="006C6A36" w:rsidP="005A2A12">
            <w:pPr>
              <w:spacing w:line="276" w:lineRule="auto"/>
              <w:jc w:val="both"/>
              <w:rPr>
                <w:rFonts w:ascii="Verdana" w:eastAsia="Arial" w:hAnsi="Verdana" w:cs="Arial"/>
                <w:b/>
                <w:bCs/>
              </w:rPr>
            </w:pPr>
          </w:p>
          <w:p w14:paraId="33662EE2" w14:textId="77777777" w:rsidR="006C6A36" w:rsidRPr="00C24FA6" w:rsidRDefault="006C6A36" w:rsidP="005A2A12">
            <w:pPr>
              <w:spacing w:after="120" w:line="276" w:lineRule="auto"/>
              <w:jc w:val="both"/>
              <w:rPr>
                <w:rFonts w:ascii="Verdana" w:eastAsia="Arial" w:hAnsi="Verdana" w:cs="Arial"/>
              </w:rPr>
            </w:pPr>
            <w:r w:rsidRPr="00704919">
              <w:rPr>
                <w:rFonts w:ascii="Verdana" w:eastAsia="Arial" w:hAnsi="Verdana" w:cs="Arial"/>
                <w:b/>
                <w:bCs/>
              </w:rPr>
              <w:t>vi.</w:t>
            </w:r>
            <w:r>
              <w:rPr>
                <w:rFonts w:ascii="Verdana" w:eastAsia="Arial" w:hAnsi="Verdana" w:cs="Arial"/>
              </w:rPr>
              <w:t xml:space="preserve"> </w:t>
            </w:r>
            <w:r w:rsidRPr="00C24FA6">
              <w:rPr>
                <w:rFonts w:ascii="Verdana" w:eastAsia="Arial" w:hAnsi="Verdana" w:cs="Arial"/>
              </w:rPr>
              <w:t>Las entidades designadas como ejecutoras de recursos del SGR deben cumplir las obligaciones de publicidad de su actividad contractual en el Sistema Electrónico para la Contratación Pública (SECOP), de conformidad con el parágrafo segundo del artículo 27 y el artículo 37 de la Ley 2056 de 2020, así como con las demás disposiciones aplicables.</w:t>
            </w:r>
          </w:p>
          <w:p w14:paraId="72216924" w14:textId="77777777" w:rsidR="006C6A36" w:rsidRPr="00C24FA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En particular, el parágrafo segundo del artículo 27 de la Ley 2056 de 2020 establece que las entidades ejecutoras y los beneficiarios de los recursos del Sistema, al momento de afectar las apropiaciones en el Sistema de Presupuesto y Giro de Regalías (SPGR), deben publicar el proceso de contratación en el SECOP. A su vez, la sujeción al EGCAP derivada del artículo 37 refuerza el deber de publicidad de la actividad contractual relacionada con la ejecución de dichos proyectos.</w:t>
            </w:r>
          </w:p>
          <w:p w14:paraId="06CB9081" w14:textId="77777777" w:rsidR="006C6A36" w:rsidRPr="00C24FA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 xml:space="preserve">Esta obligación debe distinguirse de la que corresponde a las entidades exceptuadas del EGCAP, respecto de las cuales el artículo 53 de la Ley 2195 de 2022 establece el deber de publicar en el SECOP II los documentos expedidos durante las diferentes etapas del proceso contractual, desde la fase previa a la celebración del contrato hasta su ejecución y la etapa posterior a </w:t>
            </w:r>
            <w:r w:rsidRPr="00C24FA6">
              <w:rPr>
                <w:rFonts w:ascii="Verdana" w:eastAsia="Arial" w:hAnsi="Verdana" w:cs="Arial"/>
              </w:rPr>
              <w:lastRenderedPageBreak/>
              <w:t>esta, sin perjuicio de las reservas de información previstas en la Constitución y la ley.</w:t>
            </w:r>
          </w:p>
          <w:p w14:paraId="4A73533E" w14:textId="77777777" w:rsidR="006C6A36" w:rsidRPr="00C24FA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En consecuencia, el régimen contractual especial que gobierna ordinariamente a la entidad no la exime de cumplir las obligaciones de publicidad correspondientes a la ejecución de los proyectos del SGR. No obstante, el alcance concreto de la publicación deberá determinarse de acuerdo con las disposiciones aplicables a la entidad y a la actividad contractual de que se trate.</w:t>
            </w:r>
          </w:p>
          <w:p w14:paraId="454D5C12" w14:textId="77777777" w:rsidR="006C6A3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En consecuencia, el régimen contractual especial que gobierna ordinariamente a la entidad no la exime de cumplir las obligaciones de publicidad correspondientes a la ejecución de los proyectos del SGR. No obstante, el alcance concreto de la publicación deberá determinarse de acuerdo con las disposiciones aplicables a la entidad y a la actividad contractual de que se trate.</w:t>
            </w:r>
          </w:p>
          <w:p w14:paraId="43D2039E" w14:textId="77777777" w:rsidR="006C6A36" w:rsidRPr="00C24FA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Las entidades sometidas a regímenes contractuales especiales que sean designadas como ejecutoras de proyectos financiados con recursos del SGR no pueden establecer, mediante sus manuales de contratación, términos y plazos que sustituyan o contradigan los previstos en el EGCAP para las etapas de los procedimientos de selección que deban adelantar.</w:t>
            </w:r>
          </w:p>
          <w:p w14:paraId="6AE19F82" w14:textId="77777777" w:rsidR="006C6A36" w:rsidRPr="00C24FA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En efecto, la sujeción establecida en el parágrafo primero del artículo 37 de la Ley 2056 de 2020 comprende la observancia de las modalidades de selección, las etapas, los términos y los procedimientos previstos en el régimen general de contratación pública. Por consiguiente, la autonomía de la entidad para regular sus procedimientos internos no le permite apartarse de las disposiciones legales y reglamentarias de obligatorio cumplimiento, aunque considere que los plazos alternativos son razonables o que garantizan la publicidad, la pluralidad de oferentes y la participación efectiva.</w:t>
            </w:r>
          </w:p>
          <w:p w14:paraId="6CB139A2" w14:textId="77777777" w:rsidR="006C6A36" w:rsidRPr="00C24FA6" w:rsidRDefault="006C6A36" w:rsidP="005A2A12">
            <w:pPr>
              <w:spacing w:after="120" w:line="276" w:lineRule="auto"/>
              <w:ind w:firstLine="709"/>
              <w:jc w:val="both"/>
              <w:rPr>
                <w:rFonts w:ascii="Verdana" w:eastAsia="Arial" w:hAnsi="Verdana" w:cs="Arial"/>
              </w:rPr>
            </w:pPr>
            <w:r w:rsidRPr="00C24FA6">
              <w:rPr>
                <w:rFonts w:ascii="Verdana" w:eastAsia="Arial" w:hAnsi="Verdana" w:cs="Arial"/>
              </w:rPr>
              <w:t>Lo anterior no impide que la entidad adopte reglas internas para organizar y gestionar sus actuaciones contractuales, siempre que sean compatibles con el EGCAP y no alteren los requisitos, términos o procedimientos obligatorios de la modalidad de selección aplicable. En consecuencia, el manual de contratación podrá desarrollar aspectos operativos no regulados de manera imperativa por el ordenamiento jurídico, pero no modificar las reglas vinculantes del procedimiento de selección.</w:t>
            </w:r>
          </w:p>
          <w:p w14:paraId="65FCDBFC" w14:textId="77777777" w:rsidR="006C6A36" w:rsidRPr="001940E6" w:rsidRDefault="006C6A36" w:rsidP="005A2A12">
            <w:pPr>
              <w:spacing w:after="120" w:line="276" w:lineRule="auto"/>
              <w:ind w:firstLine="709"/>
              <w:jc w:val="both"/>
              <w:rPr>
                <w:rFonts w:ascii="Verdana" w:eastAsia="Arial" w:hAnsi="Verdana" w:cs="Arial"/>
              </w:rPr>
            </w:pPr>
            <w:r w:rsidRPr="00BF70E2">
              <w:rPr>
                <w:rFonts w:ascii="Verdana" w:hAnsi="Verdana"/>
              </w:rPr>
              <w:lastRenderedPageBreak/>
              <w:t>Finalmente, se precisa que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las irregularidades de un proceso de contratación.</w:t>
            </w:r>
          </w:p>
        </w:tc>
      </w:tr>
    </w:tbl>
    <w:p w14:paraId="2648A089" w14:textId="77777777" w:rsidR="006C6A36" w:rsidRDefault="006C6A36" w:rsidP="006C6A36">
      <w:pPr>
        <w:tabs>
          <w:tab w:val="left" w:pos="142"/>
          <w:tab w:val="left" w:pos="284"/>
        </w:tabs>
        <w:spacing w:after="0" w:line="276" w:lineRule="auto"/>
        <w:jc w:val="both"/>
        <w:rPr>
          <w:rFonts w:ascii="Verdana" w:eastAsia="Century Gothic" w:hAnsi="Verdana" w:cs="Century Gothic"/>
          <w:b/>
          <w:bCs/>
        </w:rPr>
      </w:pPr>
    </w:p>
    <w:p w14:paraId="4B436AFB" w14:textId="77777777" w:rsidR="006C6A36" w:rsidRPr="008E4F36" w:rsidRDefault="006C6A36" w:rsidP="006C6A36">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746BF666" w14:textId="77777777" w:rsidR="006C6A36" w:rsidRDefault="006C6A36" w:rsidP="006C6A36">
      <w:pPr>
        <w:pStyle w:val="Prrafodelista"/>
        <w:tabs>
          <w:tab w:val="left" w:pos="142"/>
          <w:tab w:val="left" w:pos="284"/>
        </w:tabs>
        <w:spacing w:after="0" w:line="276" w:lineRule="auto"/>
        <w:ind w:left="0"/>
        <w:contextualSpacing w:val="0"/>
        <w:jc w:val="both"/>
        <w:rPr>
          <w:rFonts w:ascii="Verdana" w:eastAsia="Calibri" w:hAnsi="Verdana" w:cs="Arial"/>
        </w:rPr>
      </w:pPr>
    </w:p>
    <w:p w14:paraId="6CD89160" w14:textId="77777777" w:rsidR="006C6A36" w:rsidRPr="00F54450" w:rsidRDefault="006C6A36" w:rsidP="006C6A36">
      <w:pPr>
        <w:tabs>
          <w:tab w:val="left" w:pos="142"/>
          <w:tab w:val="left" w:pos="284"/>
        </w:tabs>
        <w:spacing w:after="0" w:line="276" w:lineRule="auto"/>
        <w:jc w:val="both"/>
        <w:rPr>
          <w:rFonts w:ascii="Verdana" w:eastAsia="Calibri" w:hAnsi="Verdana" w:cs="Arial"/>
        </w:rPr>
      </w:pPr>
      <w:r w:rsidRPr="00F54450">
        <w:rPr>
          <w:rFonts w:ascii="Verdana" w:eastAsia="Calibri" w:hAnsi="Verdana" w:cs="Arial"/>
        </w:rPr>
        <w:t xml:space="preserve">Lo anterior se sustenta en las siguientes consideraciones: </w:t>
      </w:r>
    </w:p>
    <w:p w14:paraId="4B4E067C" w14:textId="77777777" w:rsidR="006C6A36" w:rsidRDefault="006C6A36" w:rsidP="006C6A36">
      <w:pPr>
        <w:tabs>
          <w:tab w:val="left" w:pos="426"/>
        </w:tabs>
        <w:spacing w:after="0" w:line="276" w:lineRule="auto"/>
        <w:jc w:val="both"/>
        <w:rPr>
          <w:rFonts w:ascii="Verdana" w:eastAsia="Aptos" w:hAnsi="Verdana" w:cs="Arial"/>
          <w:bCs/>
          <w:color w:val="000000"/>
        </w:rPr>
      </w:pPr>
      <w:bookmarkStart w:id="4" w:name="_Hlk204856061"/>
      <w:bookmarkStart w:id="5" w:name="_Hlk78820161"/>
      <w:bookmarkStart w:id="6" w:name="_Hlk204854194"/>
    </w:p>
    <w:p w14:paraId="0B5BB192" w14:textId="77777777" w:rsidR="006C6A36" w:rsidRPr="00C21DFF" w:rsidRDefault="006C6A36" w:rsidP="006C6A36">
      <w:pPr>
        <w:spacing w:after="120" w:line="276" w:lineRule="auto"/>
        <w:jc w:val="both"/>
        <w:rPr>
          <w:rFonts w:ascii="Verdana" w:hAnsi="Verdana" w:cs="Arial"/>
          <w:color w:val="000000" w:themeColor="text1"/>
          <w:shd w:val="clear" w:color="auto" w:fill="FFFFFF"/>
          <w:lang w:val="es-ES_tradnl"/>
        </w:rPr>
      </w:pPr>
      <w:r w:rsidRPr="006F6341">
        <w:rPr>
          <w:rFonts w:ascii="Verdana" w:eastAsia="Aptos" w:hAnsi="Verdana" w:cs="Arial"/>
          <w:b/>
          <w:color w:val="000000"/>
        </w:rPr>
        <w:t>i.</w:t>
      </w:r>
      <w:r w:rsidRPr="00C21DFF">
        <w:rPr>
          <w:rFonts w:ascii="Verdana" w:eastAsia="Aptos" w:hAnsi="Verdana" w:cs="Arial"/>
          <w:bCs/>
          <w:color w:val="000000"/>
        </w:rPr>
        <w:t xml:space="preserve"> </w:t>
      </w:r>
      <w:r>
        <w:rPr>
          <w:rFonts w:ascii="Verdana" w:eastAsia="Aptos" w:hAnsi="Verdana" w:cs="Arial"/>
          <w:bCs/>
          <w:color w:val="000000"/>
        </w:rPr>
        <w:t xml:space="preserve">De forma preliminar a adentrarse en el estudio de los problemas jurídicos planteados, es necesario señalar que, </w:t>
      </w:r>
      <w:r>
        <w:rPr>
          <w:rFonts w:ascii="Verdana" w:eastAsia="Arial" w:hAnsi="Verdana" w:cs="Arial"/>
          <w:lang w:val="es-MX"/>
        </w:rPr>
        <w:t>e</w:t>
      </w:r>
      <w:r w:rsidRPr="00C21DFF">
        <w:rPr>
          <w:rFonts w:ascii="Verdana" w:eastAsia="Arial" w:hAnsi="Verdana" w:cs="Arial"/>
          <w:lang w:val="es-MX"/>
        </w:rPr>
        <w:t>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21DFF">
        <w:rPr>
          <w:rFonts w:ascii="Verdana" w:eastAsia="Arial" w:hAnsi="Verdana" w:cs="Arial"/>
          <w:vertAlign w:val="superscript"/>
          <w:lang w:val="es-MX"/>
        </w:rPr>
        <w:footnoteReference w:id="1"/>
      </w:r>
      <w:r w:rsidRPr="00C21DFF">
        <w:rPr>
          <w:rFonts w:ascii="Verdana" w:eastAsia="Arial" w:hAnsi="Verdana" w:cs="Arial"/>
          <w:lang w:val="es-MX"/>
        </w:rPr>
        <w:t xml:space="preserve">. </w:t>
      </w:r>
    </w:p>
    <w:p w14:paraId="57B7DE71" w14:textId="77777777" w:rsidR="006C6A36" w:rsidRPr="00856F20" w:rsidRDefault="006C6A36" w:rsidP="006C6A36">
      <w:pPr>
        <w:tabs>
          <w:tab w:val="left" w:pos="426"/>
        </w:tabs>
        <w:spacing w:after="0" w:line="276" w:lineRule="auto"/>
        <w:jc w:val="both"/>
        <w:rPr>
          <w:rFonts w:ascii="Verdana" w:eastAsia="Calibri" w:hAnsi="Verdana" w:cs="Arial"/>
          <w:bCs/>
          <w:lang w:val="es-ES_tradnl"/>
        </w:rPr>
      </w:pPr>
      <w:r>
        <w:rPr>
          <w:rFonts w:ascii="Verdana" w:eastAsia="Calibri" w:hAnsi="Verdana" w:cs="Arial"/>
          <w:bCs/>
          <w:lang w:val="es-ES_tradnl"/>
        </w:rPr>
        <w:tab/>
      </w:r>
      <w:r w:rsidRPr="00856F20">
        <w:rPr>
          <w:rFonts w:ascii="Verdana" w:eastAsia="Calibri" w:hAnsi="Verdana" w:cs="Arial"/>
          <w:bCs/>
          <w:lang w:val="es-ES_tradnl"/>
        </w:rPr>
        <w:t>Esta competencia consultiva se relaciona con el artículo 28 de la Ley 1437 de 2011, sustituido por el artículo 1 de la Ley 1755, que dispone lo siguiente:</w:t>
      </w:r>
    </w:p>
    <w:p w14:paraId="43DD7BED" w14:textId="77777777" w:rsidR="006C6A36" w:rsidRPr="00856F20" w:rsidRDefault="006C6A36" w:rsidP="006C6A36">
      <w:pPr>
        <w:tabs>
          <w:tab w:val="left" w:pos="426"/>
        </w:tabs>
        <w:spacing w:after="0" w:line="276" w:lineRule="auto"/>
        <w:jc w:val="both"/>
        <w:rPr>
          <w:rFonts w:ascii="Verdana" w:eastAsia="Calibri" w:hAnsi="Verdana" w:cs="Arial"/>
          <w:bCs/>
          <w:lang w:val="es-ES_tradnl"/>
        </w:rPr>
      </w:pPr>
    </w:p>
    <w:p w14:paraId="22E81C00" w14:textId="77777777" w:rsidR="006C6A36" w:rsidRPr="00603CFA" w:rsidRDefault="006C6A36" w:rsidP="006C6A36">
      <w:pPr>
        <w:tabs>
          <w:tab w:val="left" w:pos="426"/>
        </w:tabs>
        <w:spacing w:after="0" w:line="240" w:lineRule="auto"/>
        <w:ind w:left="709" w:right="709"/>
        <w:jc w:val="both"/>
        <w:rPr>
          <w:rFonts w:ascii="Verdana" w:eastAsia="Calibri" w:hAnsi="Verdana" w:cs="Arial"/>
          <w:bCs/>
          <w:sz w:val="20"/>
          <w:szCs w:val="20"/>
          <w:lang w:val="es-ES_tradnl"/>
        </w:rPr>
      </w:pPr>
      <w:r w:rsidRPr="00603CFA">
        <w:rPr>
          <w:rFonts w:ascii="Verdana" w:eastAsia="Calibri" w:hAnsi="Verdana" w:cs="Arial"/>
          <w:bCs/>
          <w:sz w:val="20"/>
          <w:szCs w:val="20"/>
          <w:lang w:val="es-ES_tradnl"/>
        </w:rPr>
        <w:lastRenderedPageBreak/>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3D86EADE" w14:textId="77777777" w:rsidR="006C6A36" w:rsidRPr="00856F20" w:rsidRDefault="006C6A36" w:rsidP="006C6A36">
      <w:pPr>
        <w:tabs>
          <w:tab w:val="left" w:pos="426"/>
        </w:tabs>
        <w:spacing w:after="0" w:line="276" w:lineRule="auto"/>
        <w:jc w:val="both"/>
        <w:rPr>
          <w:rFonts w:ascii="Verdana" w:eastAsia="Calibri" w:hAnsi="Verdana" w:cs="Arial"/>
          <w:bCs/>
          <w:lang w:val="es-ES_tradnl"/>
        </w:rPr>
      </w:pPr>
    </w:p>
    <w:p w14:paraId="7BED0955" w14:textId="77777777" w:rsidR="006C6A36" w:rsidRPr="00856F20" w:rsidRDefault="006C6A36" w:rsidP="006C6A36">
      <w:pPr>
        <w:tabs>
          <w:tab w:val="left" w:pos="709"/>
        </w:tabs>
        <w:spacing w:after="120" w:line="276" w:lineRule="auto"/>
        <w:jc w:val="both"/>
        <w:rPr>
          <w:rFonts w:ascii="Verdana" w:eastAsia="Calibri" w:hAnsi="Verdana" w:cs="Arial"/>
          <w:bCs/>
          <w:lang w:val="es-ES_tradnl"/>
        </w:rPr>
      </w:pPr>
      <w:r w:rsidRPr="00856F20">
        <w:rPr>
          <w:rFonts w:ascii="Verdana" w:eastAsia="Calibri" w:hAnsi="Verdana" w:cs="Arial"/>
          <w:bCs/>
          <w:lang w:val="es-ES_tradnl"/>
        </w:rPr>
        <w:tab/>
        <w:t>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asesorías puntuales a los partícipes de la contratación estatal.</w:t>
      </w:r>
    </w:p>
    <w:p w14:paraId="4F8BF50B" w14:textId="77777777" w:rsidR="006C6A36" w:rsidRPr="00856F20" w:rsidRDefault="006C6A36" w:rsidP="006C6A36">
      <w:pPr>
        <w:tabs>
          <w:tab w:val="left" w:pos="709"/>
        </w:tabs>
        <w:spacing w:after="120" w:line="276" w:lineRule="auto"/>
        <w:jc w:val="both"/>
        <w:rPr>
          <w:rFonts w:ascii="Verdana" w:eastAsia="Calibri" w:hAnsi="Verdana" w:cs="Arial"/>
          <w:bCs/>
          <w:sz w:val="21"/>
          <w:szCs w:val="21"/>
          <w:lang w:val="es-ES_tradnl"/>
        </w:rPr>
      </w:pPr>
      <w:r w:rsidRPr="00856F20">
        <w:rPr>
          <w:rFonts w:ascii="Verdana" w:eastAsia="Calibri" w:hAnsi="Verdana" w:cs="Arial"/>
          <w:bCs/>
          <w:lang w:val="es-ES_tradnl"/>
        </w:rPr>
        <w:tab/>
        <w:t xml:space="preserve">Esta posición es compartida por varias entidades públicas que ejercen la misma función. Por ejemplo, la Procuraduría General de la Nación aclaró que el concepto </w:t>
      </w:r>
      <w:r>
        <w:rPr>
          <w:rFonts w:ascii="Verdana" w:eastAsia="Calibri" w:hAnsi="Verdana" w:cs="Arial"/>
          <w:bCs/>
          <w:lang w:val="es-ES_tradnl"/>
        </w:rPr>
        <w:t>“</w:t>
      </w:r>
      <w:r w:rsidRPr="00856F20">
        <w:rPr>
          <w:rFonts w:ascii="Verdana" w:eastAsia="Calibri" w:hAnsi="Verdana" w:cs="Arial"/>
          <w:bCs/>
          <w:lang w:val="es-ES_tradnl"/>
        </w:rPr>
        <w:t>sólo constituye un criterio auxiliar de interpretación y que no tiene carácter vinculante de acuerdo con lo dispuesto en los artículos 230 de la Constitución Política, 5° de la Ley 153 de 1887 y 28 de la ley 1437 de 2011</w:t>
      </w:r>
      <w:r>
        <w:rPr>
          <w:rFonts w:ascii="Verdana" w:eastAsia="Calibri" w:hAnsi="Verdana" w:cs="Arial"/>
          <w:bCs/>
          <w:lang w:val="es-ES_tradnl"/>
        </w:rPr>
        <w:t>”</w:t>
      </w:r>
      <w:r w:rsidRPr="00856F20">
        <w:rPr>
          <w:rStyle w:val="Refdenotaalpie"/>
          <w:rFonts w:ascii="Verdana" w:eastAsia="Calibri" w:hAnsi="Verdana" w:cs="Arial"/>
          <w:bCs/>
          <w:lang w:val="es-ES_tradnl"/>
        </w:rPr>
        <w:footnoteReference w:id="2"/>
      </w:r>
      <w:r w:rsidRPr="00856F20">
        <w:rPr>
          <w:rFonts w:ascii="Verdana" w:eastAsia="Calibri" w:hAnsi="Verdana" w:cs="Arial"/>
          <w:bCs/>
          <w:lang w:val="es-ES_tradnl"/>
        </w:rPr>
        <w:t>. Igualmente, en concepto del año 2017</w:t>
      </w:r>
      <w:r w:rsidRPr="00856F20">
        <w:rPr>
          <w:rStyle w:val="Refdenotaalpie"/>
          <w:rFonts w:ascii="Verdana" w:eastAsia="Calibri" w:hAnsi="Verdana" w:cs="Arial"/>
          <w:bCs/>
          <w:lang w:val="es-ES_tradnl"/>
        </w:rPr>
        <w:footnoteReference w:id="3"/>
      </w:r>
      <w:r w:rsidRPr="00856F20">
        <w:rPr>
          <w:rFonts w:ascii="Verdana" w:eastAsia="Calibri" w:hAnsi="Verdana" w:cs="Arial"/>
          <w:bCs/>
          <w:lang w:val="es-ES_tradnl"/>
        </w:rPr>
        <w:t xml:space="preserve">, la Contraloría General de la República precisó que los </w:t>
      </w:r>
      <w:r>
        <w:rPr>
          <w:rFonts w:ascii="Verdana" w:eastAsia="Calibri" w:hAnsi="Verdana" w:cs="Arial"/>
          <w:bCs/>
          <w:lang w:val="es-ES_tradnl"/>
        </w:rPr>
        <w:t>“</w:t>
      </w:r>
      <w:r w:rsidRPr="00856F20">
        <w:rPr>
          <w:rFonts w:ascii="Verdana" w:eastAsia="Calibri" w:hAnsi="Verdana" w:cs="Arial"/>
          <w:bCs/>
          <w:lang w:val="es-ES_tradnl"/>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Pr>
          <w:rFonts w:ascii="Verdana" w:eastAsia="Calibri" w:hAnsi="Verdana" w:cs="Arial"/>
          <w:bCs/>
          <w:lang w:val="es-ES_tradnl"/>
        </w:rPr>
        <w:t>”</w:t>
      </w:r>
      <w:r w:rsidRPr="00856F20">
        <w:rPr>
          <w:rFonts w:ascii="Verdana" w:eastAsia="Calibri" w:hAnsi="Verdana" w:cs="Arial"/>
          <w:bCs/>
          <w:lang w:val="es-ES_tradnl"/>
        </w:rPr>
        <w:t>.</w:t>
      </w:r>
    </w:p>
    <w:p w14:paraId="474487E1" w14:textId="77777777" w:rsidR="006C6A36" w:rsidRPr="00856F20" w:rsidRDefault="006C6A36" w:rsidP="006C6A36">
      <w:pPr>
        <w:tabs>
          <w:tab w:val="left" w:pos="709"/>
        </w:tabs>
        <w:spacing w:after="120" w:line="276" w:lineRule="auto"/>
        <w:jc w:val="both"/>
        <w:rPr>
          <w:rFonts w:ascii="Verdana" w:eastAsia="Calibri" w:hAnsi="Verdana" w:cs="Arial"/>
          <w:bCs/>
          <w:lang w:val="es-ES_tradnl"/>
        </w:rPr>
      </w:pPr>
      <w:r w:rsidRPr="00856F20">
        <w:rPr>
          <w:rFonts w:ascii="Verdana" w:eastAsia="Calibri" w:hAnsi="Verdana" w:cs="Arial"/>
          <w:bCs/>
          <w:lang w:val="es-ES_tradnl"/>
        </w:rPr>
        <w:tab/>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856F20">
        <w:rPr>
          <w:rFonts w:ascii="Verdana" w:eastAsia="Calibri" w:hAnsi="Verdana" w:cs="Arial"/>
          <w:bCs/>
          <w:i/>
          <w:iCs/>
          <w:lang w:val="es-ES_tradnl"/>
        </w:rPr>
        <w:t>única</w:t>
      </w:r>
      <w:r w:rsidRPr="00856F20">
        <w:rPr>
          <w:rFonts w:ascii="Verdana" w:eastAsia="Calibri" w:hAnsi="Verdana" w:cs="Arial"/>
          <w:bCs/>
          <w:lang w:val="es-ES_tradnl"/>
        </w:rPr>
        <w:t xml:space="preserve"> posible interpretación de una disposición normativa. Esto no descarta que, en la práctica, al emitirse la opinión sobre la interpretación del ordenamiento jurídico, exista coincidencia con el criterio que expone alguna de </w:t>
      </w:r>
      <w:r w:rsidRPr="00856F20">
        <w:rPr>
          <w:rFonts w:ascii="Verdana" w:eastAsia="Calibri" w:hAnsi="Verdana" w:cs="Arial"/>
          <w:bCs/>
          <w:lang w:val="es-ES_tradnl"/>
        </w:rPr>
        <w:lastRenderedPageBreak/>
        <w:t>las partes o la persona que solicita la consulta, circunstancia que no descarta interpretaciones diferentes</w:t>
      </w:r>
      <w:r w:rsidRPr="00856F20">
        <w:rPr>
          <w:rStyle w:val="Refdenotaalpie"/>
          <w:rFonts w:ascii="Verdana" w:eastAsia="Calibri" w:hAnsi="Verdana" w:cs="Arial"/>
          <w:bCs/>
          <w:lang w:val="es-ES_tradnl"/>
        </w:rPr>
        <w:footnoteReference w:id="4"/>
      </w:r>
      <w:r w:rsidRPr="00856F20">
        <w:rPr>
          <w:rFonts w:ascii="Verdana" w:eastAsia="Calibri" w:hAnsi="Verdana" w:cs="Arial"/>
          <w:bCs/>
          <w:lang w:val="es-ES_tradnl"/>
        </w:rPr>
        <w:t>.</w:t>
      </w:r>
    </w:p>
    <w:p w14:paraId="2B1D9742" w14:textId="77777777" w:rsidR="006C6A36" w:rsidRPr="00856F20" w:rsidRDefault="006C6A36" w:rsidP="006C6A36">
      <w:pPr>
        <w:tabs>
          <w:tab w:val="left" w:pos="709"/>
        </w:tabs>
        <w:spacing w:after="120" w:line="276" w:lineRule="auto"/>
        <w:ind w:firstLine="709"/>
        <w:jc w:val="both"/>
        <w:rPr>
          <w:rFonts w:ascii="Verdana" w:eastAsia="Calibri" w:hAnsi="Verdana" w:cs="Arial"/>
          <w:bCs/>
          <w:lang w:val="es-ES_tradnl"/>
        </w:rPr>
      </w:pPr>
      <w:r w:rsidRPr="00856F20">
        <w:rPr>
          <w:rFonts w:ascii="Verdana" w:eastAsia="Calibri" w:hAnsi="Verdana" w:cs="Arial"/>
          <w:bCs/>
          <w:lang w:val="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w:t>
      </w:r>
      <w:r>
        <w:rPr>
          <w:rFonts w:ascii="Verdana" w:eastAsia="Calibri" w:hAnsi="Verdana" w:cs="Arial"/>
          <w:bCs/>
          <w:lang w:val="es-ES_tradnl"/>
        </w:rPr>
        <w:t>“</w:t>
      </w:r>
      <w:r w:rsidRPr="00856F20">
        <w:rPr>
          <w:rFonts w:ascii="Verdana" w:eastAsia="Calibri" w:hAnsi="Verdana" w:cs="Arial"/>
          <w:bCs/>
          <w:lang w:val="es-ES_tradnl"/>
        </w:rPr>
        <w:t>no serán de obligatorio cumplimiento o ejecución</w:t>
      </w:r>
      <w:r>
        <w:rPr>
          <w:rFonts w:ascii="Verdana" w:eastAsia="Calibri" w:hAnsi="Verdana" w:cs="Arial"/>
          <w:bCs/>
          <w:lang w:val="es-ES_tradnl"/>
        </w:rPr>
        <w:t>”</w:t>
      </w:r>
      <w:r w:rsidRPr="00856F20">
        <w:rPr>
          <w:rFonts w:ascii="Verdana" w:eastAsia="Calibri" w:hAnsi="Verdana" w:cs="Arial"/>
          <w:bCs/>
          <w:lang w:val="es-ES_tradnl"/>
        </w:rPr>
        <w:t xml:space="preserve">. </w:t>
      </w:r>
    </w:p>
    <w:p w14:paraId="2940949F" w14:textId="77777777" w:rsidR="006C6A36" w:rsidRPr="00856F20" w:rsidRDefault="006C6A36" w:rsidP="006C6A36">
      <w:pPr>
        <w:tabs>
          <w:tab w:val="left" w:pos="709"/>
        </w:tabs>
        <w:spacing w:before="120" w:after="0" w:line="276" w:lineRule="auto"/>
        <w:jc w:val="both"/>
        <w:rPr>
          <w:rFonts w:ascii="Verdana" w:eastAsia="Calibri" w:hAnsi="Verdana" w:cs="Arial"/>
          <w:bCs/>
          <w:lang w:val="es-ES_tradnl"/>
        </w:rPr>
      </w:pPr>
      <w:r w:rsidRPr="00856F20">
        <w:rPr>
          <w:rFonts w:ascii="Verdana" w:eastAsia="Calibri" w:hAnsi="Verdana" w:cs="Arial"/>
          <w:bCs/>
          <w:lang w:val="es-ES_tradnl"/>
        </w:rPr>
        <w:tab/>
        <w:t xml:space="preserve">En similares términos, el artículo 112 de la Ley 1437 de 2011 establece, en relación con la Sala de Consulta y Servicio Civil, que </w:t>
      </w:r>
      <w:r>
        <w:rPr>
          <w:rFonts w:ascii="Verdana" w:eastAsia="Calibri" w:hAnsi="Verdana" w:cs="Arial"/>
          <w:bCs/>
          <w:lang w:val="es-ES_tradnl"/>
        </w:rPr>
        <w:t>“</w:t>
      </w:r>
      <w:r w:rsidRPr="00856F20">
        <w:rPr>
          <w:rFonts w:ascii="Verdana" w:eastAsia="Calibri" w:hAnsi="Verdana" w:cs="Arial"/>
          <w:bCs/>
          <w:lang w:val="es-ES_tradnl"/>
        </w:rPr>
        <w:t>los conceptos de la Sala no serán vinculantes, salvo que la ley disponga lo contrario</w:t>
      </w:r>
      <w:r>
        <w:rPr>
          <w:rFonts w:ascii="Verdana" w:eastAsia="Calibri" w:hAnsi="Verdana" w:cs="Arial"/>
          <w:bCs/>
          <w:lang w:val="es-ES_tradnl"/>
        </w:rPr>
        <w:t>”</w:t>
      </w:r>
      <w:r w:rsidRPr="00856F20">
        <w:rPr>
          <w:rStyle w:val="Refdenotaalpie"/>
          <w:rFonts w:ascii="Verdana" w:eastAsia="Calibri" w:hAnsi="Verdana" w:cs="Arial"/>
          <w:bCs/>
          <w:lang w:val="es-ES_tradnl"/>
        </w:rPr>
        <w:footnoteReference w:id="5"/>
      </w:r>
      <w:r w:rsidRPr="00856F20">
        <w:rPr>
          <w:rFonts w:ascii="Verdana" w:eastAsia="Calibri" w:hAnsi="Verdana" w:cs="Arial"/>
          <w:bCs/>
          <w:lang w:val="es-ES_tradnl"/>
        </w:rPr>
        <w:t xml:space="preserve">. Se trata, </w:t>
      </w:r>
      <w:r w:rsidRPr="00856F20">
        <w:rPr>
          <w:rFonts w:ascii="Verdana" w:eastAsia="Calibri" w:hAnsi="Verdana" w:cs="Arial"/>
          <w:bCs/>
          <w:i/>
          <w:iCs/>
          <w:lang w:val="es-ES_tradnl"/>
        </w:rPr>
        <w:t>mutatis mutandis</w:t>
      </w:r>
      <w:r w:rsidRPr="00856F20">
        <w:rPr>
          <w:rFonts w:ascii="Verdana" w:eastAsia="Calibri" w:hAnsi="Verdana" w:cs="Arial"/>
          <w:bCs/>
          <w:lang w:val="es-ES_tradnl"/>
        </w:rPr>
        <w:t>,</w:t>
      </w:r>
      <w:r w:rsidRPr="00856F20">
        <w:rPr>
          <w:rFonts w:ascii="Verdana" w:eastAsia="Calibri" w:hAnsi="Verdana" w:cs="Arial"/>
          <w:bCs/>
          <w:i/>
          <w:iCs/>
          <w:lang w:val="es-ES_tradnl"/>
        </w:rPr>
        <w:t xml:space="preserve"> </w:t>
      </w:r>
      <w:r w:rsidRPr="00856F20">
        <w:rPr>
          <w:rFonts w:ascii="Verdana" w:eastAsia="Calibri" w:hAnsi="Verdana" w:cs="Arial"/>
          <w:bCs/>
          <w:lang w:val="es-ES_tradnl"/>
        </w:rPr>
        <w:t>del ejercicio de una función consultiva, cuyos efectos, por ende, serán los mismos: no vinculantes ni de obligatorio cumplimiento. En relación con el tema, la Sala de Consulta y Servicio Civil del Consejo de Estado, se pronunció en los siguientes términos:</w:t>
      </w:r>
    </w:p>
    <w:p w14:paraId="2D9262D7" w14:textId="77777777" w:rsidR="006C6A36" w:rsidRPr="00856F20" w:rsidRDefault="006C6A36" w:rsidP="006C6A36">
      <w:pPr>
        <w:tabs>
          <w:tab w:val="left" w:pos="426"/>
        </w:tabs>
        <w:spacing w:after="0" w:line="276" w:lineRule="auto"/>
        <w:jc w:val="both"/>
        <w:rPr>
          <w:rFonts w:ascii="Verdana" w:eastAsia="Calibri" w:hAnsi="Verdana" w:cs="Arial"/>
          <w:bCs/>
          <w:lang w:val="es-ES_tradnl"/>
        </w:rPr>
      </w:pPr>
    </w:p>
    <w:p w14:paraId="63E6AC18" w14:textId="77777777" w:rsidR="006C6A36" w:rsidRDefault="006C6A36" w:rsidP="006C6A36">
      <w:pPr>
        <w:tabs>
          <w:tab w:val="left" w:pos="426"/>
        </w:tabs>
        <w:spacing w:after="0" w:line="240" w:lineRule="auto"/>
        <w:ind w:left="709" w:right="709"/>
        <w:jc w:val="both"/>
        <w:rPr>
          <w:rFonts w:ascii="Verdana" w:eastAsia="Calibri" w:hAnsi="Verdana" w:cs="Arial"/>
          <w:bCs/>
          <w:sz w:val="20"/>
          <w:szCs w:val="20"/>
          <w:lang w:val="es-ES_tradnl"/>
        </w:rPr>
      </w:pPr>
      <w:r w:rsidRPr="00603CFA">
        <w:rPr>
          <w:rFonts w:ascii="Verdana" w:eastAsia="Calibri" w:hAnsi="Verdana" w:cs="Arial"/>
          <w:bCs/>
          <w:sz w:val="20"/>
          <w:szCs w:val="20"/>
          <w:lang w:val="es-ES_tradnl"/>
        </w:rPr>
        <w:lastRenderedPageBreak/>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2364F454" w14:textId="77777777" w:rsidR="006C6A36" w:rsidRPr="00603CFA" w:rsidRDefault="006C6A36" w:rsidP="006C6A36">
      <w:pPr>
        <w:tabs>
          <w:tab w:val="left" w:pos="426"/>
        </w:tabs>
        <w:spacing w:after="0" w:line="240" w:lineRule="auto"/>
        <w:ind w:left="709" w:right="709"/>
        <w:jc w:val="both"/>
        <w:rPr>
          <w:rFonts w:ascii="Verdana" w:eastAsia="Calibri" w:hAnsi="Verdana" w:cs="Arial"/>
          <w:bCs/>
          <w:sz w:val="20"/>
          <w:szCs w:val="20"/>
          <w:lang w:val="es-ES_tradnl"/>
        </w:rPr>
      </w:pPr>
    </w:p>
    <w:p w14:paraId="72FE0BA9" w14:textId="77777777" w:rsidR="006C6A36" w:rsidRPr="00603CFA" w:rsidRDefault="006C6A36" w:rsidP="006C6A36">
      <w:pPr>
        <w:tabs>
          <w:tab w:val="left" w:pos="426"/>
        </w:tabs>
        <w:spacing w:after="0" w:line="240" w:lineRule="auto"/>
        <w:ind w:left="709" w:right="709"/>
        <w:jc w:val="both"/>
        <w:rPr>
          <w:rFonts w:ascii="Verdana" w:eastAsia="Calibri" w:hAnsi="Verdana" w:cs="Arial"/>
          <w:bCs/>
          <w:sz w:val="20"/>
          <w:szCs w:val="20"/>
          <w:lang w:val="es-ES_tradnl"/>
        </w:rPr>
      </w:pPr>
      <w:r w:rsidRPr="00603CFA">
        <w:rPr>
          <w:rFonts w:ascii="Verdana" w:eastAsia="Calibri" w:hAnsi="Verdana" w:cs="Arial"/>
          <w:bCs/>
          <w:sz w:val="20"/>
          <w:szCs w:val="20"/>
          <w:lang w:val="es-ES_tradnl"/>
        </w:rPr>
        <w:t>No se trata entonces de dar la razón a una u otra posición en temas controvertibles, sino de rendir un concepto jurídico que sirva a la Administración en la búsqueda del cumplimiento de las finalidades esenciales del Estado”</w:t>
      </w:r>
      <w:r w:rsidRPr="00603CFA">
        <w:rPr>
          <w:rStyle w:val="Refdenotaalpie"/>
          <w:rFonts w:ascii="Verdana" w:eastAsia="Calibri" w:hAnsi="Verdana" w:cs="Arial"/>
          <w:bCs/>
          <w:sz w:val="20"/>
          <w:szCs w:val="20"/>
          <w:lang w:val="es-ES_tradnl"/>
        </w:rPr>
        <w:footnoteReference w:id="6"/>
      </w:r>
      <w:r w:rsidRPr="00603CFA">
        <w:rPr>
          <w:rFonts w:ascii="Verdana" w:eastAsia="Calibri" w:hAnsi="Verdana" w:cs="Arial"/>
          <w:bCs/>
          <w:sz w:val="20"/>
          <w:szCs w:val="20"/>
          <w:lang w:val="es-ES_tradnl"/>
        </w:rPr>
        <w:t>.</w:t>
      </w:r>
    </w:p>
    <w:p w14:paraId="171247BC" w14:textId="77777777" w:rsidR="006C6A36" w:rsidRPr="00C21DFF" w:rsidRDefault="006C6A36" w:rsidP="006C6A36">
      <w:pPr>
        <w:spacing w:after="0" w:line="276" w:lineRule="auto"/>
        <w:ind w:firstLine="709"/>
        <w:jc w:val="both"/>
        <w:rPr>
          <w:rFonts w:ascii="Verdana" w:eastAsia="Calibri" w:hAnsi="Verdana" w:cs="Arial"/>
          <w:lang w:val="es-ES_tradnl"/>
        </w:rPr>
      </w:pPr>
    </w:p>
    <w:p w14:paraId="3356BC28" w14:textId="77777777" w:rsidR="006C6A36" w:rsidRPr="00772B58" w:rsidRDefault="006C6A36" w:rsidP="006C6A36">
      <w:pPr>
        <w:spacing w:after="0" w:line="276" w:lineRule="auto"/>
        <w:ind w:firstLine="709"/>
        <w:jc w:val="both"/>
        <w:rPr>
          <w:rFonts w:ascii="Verdana" w:eastAsia="Times New Roman" w:hAnsi="Verdana" w:cs="Segoe UI"/>
          <w:lang w:eastAsia="es-ES_tradnl"/>
        </w:rPr>
      </w:pPr>
      <w:r w:rsidRPr="00772B58">
        <w:rPr>
          <w:rFonts w:ascii="Verdana" w:eastAsia="Times New Roman" w:hAnsi="Verdana" w:cs="Segoe UI"/>
          <w:lang w:val="es-ES_tradnl" w:eastAsia="es-ES_tradnl"/>
        </w:rPr>
        <w:t xml:space="preserve">Así las cosas, </w:t>
      </w:r>
      <w:r w:rsidRPr="00772B58">
        <w:rPr>
          <w:rFonts w:ascii="Verdana" w:eastAsia="Times New Roman" w:hAnsi="Verdana" w:cs="Segoe UI"/>
          <w:lang w:eastAsia="es-ES_tradnl"/>
        </w:rPr>
        <w:t>debe tenerse en cuenta que los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conceptos emitidos por las autoridades en respuesta a consultas no son de obligatorio cumplimiento o ejecución y, por tanto, carecen de efectos vinculantes. En esa medida, constituyen una posición jurídica institucional que orienta a los partícipes del sistema, sin perjuicio de la autonomía de las entidades para adoptar sus decisiones y de la competencia que corresponde a las autoridades judiciales para resolver definitivamente las controversias sobre interpretación y aplicación del ordenamiento jurídico.</w:t>
      </w:r>
    </w:p>
    <w:p w14:paraId="217D219A" w14:textId="77777777" w:rsidR="006C6A36" w:rsidRDefault="006C6A36" w:rsidP="006C6A36">
      <w:pPr>
        <w:spacing w:after="0" w:line="276" w:lineRule="auto"/>
        <w:ind w:firstLine="708"/>
        <w:jc w:val="both"/>
        <w:rPr>
          <w:rFonts w:ascii="Verdana" w:eastAsia="Calibri" w:hAnsi="Verdana" w:cs="Arial"/>
          <w:lang w:val="es-ES"/>
        </w:rPr>
      </w:pPr>
    </w:p>
    <w:p w14:paraId="587EC6F8" w14:textId="77777777" w:rsidR="006C6A36" w:rsidRDefault="006C6A36" w:rsidP="006C6A36">
      <w:pPr>
        <w:spacing w:after="120" w:line="276" w:lineRule="auto"/>
        <w:jc w:val="both"/>
        <w:textAlignment w:val="baseline"/>
        <w:rPr>
          <w:rFonts w:ascii="Verdana" w:hAnsi="Verdana"/>
          <w:lang w:val="es-ES" w:eastAsia="es-ES"/>
        </w:rPr>
      </w:pPr>
      <w:proofErr w:type="spellStart"/>
      <w:r w:rsidRPr="005249F7">
        <w:rPr>
          <w:rFonts w:ascii="Verdana" w:eastAsia="Aptos" w:hAnsi="Verdana" w:cs="Arial"/>
          <w:b/>
          <w:bCs/>
          <w:lang w:val="es-ES" w:eastAsia="es-MX"/>
        </w:rPr>
        <w:t>ii</w:t>
      </w:r>
      <w:proofErr w:type="spellEnd"/>
      <w:r w:rsidRPr="005249F7">
        <w:rPr>
          <w:rFonts w:ascii="Verdana" w:eastAsia="Aptos" w:hAnsi="Verdana" w:cs="Arial"/>
          <w:b/>
          <w:bCs/>
          <w:lang w:val="es-ES" w:eastAsia="es-MX"/>
        </w:rPr>
        <w:t>.</w:t>
      </w:r>
      <w:r>
        <w:rPr>
          <w:rFonts w:ascii="Verdana" w:eastAsia="Aptos" w:hAnsi="Verdana" w:cs="Arial"/>
          <w:lang w:val="es-ES" w:eastAsia="es-MX"/>
        </w:rPr>
        <w:t xml:space="preserve"> Precisado lo anterior</w:t>
      </w:r>
      <w:r w:rsidRPr="4E3C208C">
        <w:rPr>
          <w:rFonts w:ascii="Verdana" w:eastAsia="Aptos" w:hAnsi="Verdana" w:cs="Arial"/>
          <w:lang w:val="es-ES" w:eastAsia="es-MX"/>
        </w:rPr>
        <w:t xml:space="preserve">, resulta importante resaltar que, </w:t>
      </w:r>
      <w:r>
        <w:rPr>
          <w:rFonts w:ascii="Verdana" w:eastAsia="Aptos" w:hAnsi="Verdana" w:cs="Arial"/>
          <w:lang w:val="es-ES" w:eastAsia="es-MX"/>
        </w:rPr>
        <w:t>en</w:t>
      </w:r>
      <w:r>
        <w:rPr>
          <w:rFonts w:ascii="Verdana" w:hAnsi="Verdana"/>
          <w:lang w:val="es-ES" w:eastAsia="es-ES"/>
        </w:rPr>
        <w:t xml:space="preserve"> </w:t>
      </w:r>
      <w:r w:rsidRPr="00393943">
        <w:rPr>
          <w:rFonts w:ascii="Verdana" w:hAnsi="Verdana"/>
        </w:rPr>
        <w:t xml:space="preserve">los </w:t>
      </w:r>
      <w:r>
        <w:rPr>
          <w:rFonts w:ascii="Verdana" w:hAnsi="Verdana"/>
        </w:rPr>
        <w:t>C</w:t>
      </w:r>
      <w:r w:rsidRPr="00393943">
        <w:rPr>
          <w:rFonts w:ascii="Verdana" w:hAnsi="Verdana"/>
        </w:rPr>
        <w:t>onceptos 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Pr>
          <w:rFonts w:ascii="Verdana" w:hAnsi="Verdana" w:cs="Arial"/>
        </w:rPr>
        <w:t>,</w:t>
      </w:r>
      <w:r w:rsidRPr="00393943">
        <w:rPr>
          <w:rFonts w:ascii="Verdana" w:hAnsi="Verdana" w:cs="Arial"/>
        </w:rPr>
        <w:t xml:space="preserve"> C-764 del 29 de mayo de 2026</w:t>
      </w:r>
      <w:r>
        <w:rPr>
          <w:rFonts w:ascii="Verdana" w:hAnsi="Verdana" w:cs="Arial"/>
        </w:rPr>
        <w:t xml:space="preserve"> y C-1010 del 21 de julio de 2026</w:t>
      </w:r>
      <w:r w:rsidRPr="00393943">
        <w:rPr>
          <w:rFonts w:ascii="Verdana" w:hAnsi="Verdana"/>
          <w:shd w:val="clear" w:color="auto" w:fill="FFFFFF"/>
        </w:rPr>
        <w:t>,</w:t>
      </w:r>
      <w:r>
        <w:rPr>
          <w:rFonts w:ascii="Verdana" w:hAnsi="Verdana"/>
          <w:shd w:val="clear" w:color="auto" w:fill="FFFFFF"/>
        </w:rPr>
        <w:t xml:space="preserve"> esta Subdirección</w:t>
      </w:r>
      <w:r w:rsidRPr="00393943">
        <w:rPr>
          <w:rFonts w:ascii="Verdana" w:hAnsi="Verdana"/>
          <w:shd w:val="clear" w:color="auto" w:fill="FFFFFF"/>
        </w:rPr>
        <w:t xml:space="preserve"> ha </w:t>
      </w:r>
      <w:r>
        <w:rPr>
          <w:rFonts w:ascii="Verdana" w:hAnsi="Verdana"/>
          <w:shd w:val="clear" w:color="auto" w:fill="FFFFFF"/>
        </w:rPr>
        <w:t>sostenido que</w:t>
      </w:r>
      <w:r w:rsidRPr="00393943">
        <w:rPr>
          <w:rFonts w:ascii="Verdana" w:hAnsi="Verdana"/>
          <w:shd w:val="clear" w:color="auto" w:fill="FFFFFF"/>
        </w:rPr>
        <w:t xml:space="preserve"> </w:t>
      </w:r>
      <w:r w:rsidRPr="00393943">
        <w:rPr>
          <w:rFonts w:ascii="Verdana" w:hAnsi="Verdana"/>
          <w:lang w:val="es-ES" w:eastAsia="es-ES"/>
        </w:rPr>
        <w:t xml:space="preserve">de acuerdo con el parágrafo primero del artículo 37 de la Ley 2056 de 2020, el ejecutor de los proyectos de inversión del Sistema General de </w:t>
      </w:r>
      <w:r w:rsidRPr="00393943">
        <w:rPr>
          <w:rFonts w:ascii="Verdana" w:hAnsi="Verdana"/>
          <w:lang w:val="es-ES" w:eastAsia="es-ES"/>
        </w:rPr>
        <w:lastRenderedPageBreak/>
        <w:t>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12A3F083" w14:textId="77777777" w:rsidR="006C6A36" w:rsidRPr="00393943" w:rsidRDefault="006C6A36" w:rsidP="006C6A36">
      <w:pPr>
        <w:spacing w:after="120" w:line="276" w:lineRule="auto"/>
        <w:ind w:firstLine="709"/>
        <w:jc w:val="both"/>
        <w:rPr>
          <w:rFonts w:ascii="Verdana" w:hAnsi="Verdana" w:cs="Arial"/>
          <w:noProof/>
        </w:rPr>
      </w:pPr>
      <w:r>
        <w:rPr>
          <w:rFonts w:ascii="Verdana" w:hAnsi="Verdana"/>
          <w:lang w:val="es-ES"/>
        </w:rPr>
        <w:t>Como se explica en los conceptos citados en el párrafo precedente</w:t>
      </w:r>
      <w:r w:rsidRPr="00393943">
        <w:rPr>
          <w:rFonts w:ascii="Verdana" w:eastAsia="Calibri" w:hAnsi="Verdana" w:cs="Arial"/>
          <w:color w:val="000000"/>
          <w:lang w:val="es-ES" w:eastAsia="es-ES"/>
        </w:rPr>
        <w:t xml:space="preserve">, </w:t>
      </w:r>
      <w:r w:rsidRPr="00393943">
        <w:rPr>
          <w:rFonts w:ascii="Verdana" w:hAnsi="Verdana" w:cs="Arial"/>
          <w:noProof/>
        </w:rPr>
        <w:t>el Título IV, Capítulo I,</w:t>
      </w:r>
      <w:r>
        <w:rPr>
          <w:rFonts w:ascii="Verdana" w:hAnsi="Verdana" w:cs="Arial"/>
          <w:noProof/>
        </w:rPr>
        <w:t xml:space="preserve"> de</w:t>
      </w:r>
      <w:r w:rsidRPr="00393943">
        <w:rPr>
          <w:rFonts w:ascii="Verdana" w:hAnsi="Verdana" w:cs="Arial"/>
          <w:noProof/>
        </w:rPr>
        <w:t xml:space="preserve">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w:t>
      </w:r>
      <w:r>
        <w:rPr>
          <w:rFonts w:ascii="Verdana" w:hAnsi="Verdana" w:cs="Arial"/>
          <w:noProof/>
        </w:rPr>
        <w:t xml:space="preserve">la </w:t>
      </w:r>
      <w:r w:rsidRPr="00393943">
        <w:rPr>
          <w:rFonts w:ascii="Verdana" w:hAnsi="Verdana" w:cs="Arial"/>
          <w:noProof/>
        </w:rPr>
        <w:t xml:space="preserve">formulación y presentación de los proyectos de inversión –artículo 33–, </w:t>
      </w:r>
      <w:r>
        <w:rPr>
          <w:rFonts w:ascii="Verdana" w:hAnsi="Verdana" w:cs="Arial"/>
          <w:noProof/>
        </w:rPr>
        <w:t xml:space="preserve">la </w:t>
      </w:r>
      <w:r w:rsidRPr="00393943">
        <w:rPr>
          <w:rFonts w:ascii="Verdana" w:hAnsi="Verdana" w:cs="Arial"/>
          <w:noProof/>
        </w:rPr>
        <w:t xml:space="preserve">viabilidad de los proyectos de inversión–artículo 34–, </w:t>
      </w:r>
      <w:r>
        <w:rPr>
          <w:rFonts w:ascii="Verdana" w:hAnsi="Verdana" w:cs="Arial"/>
          <w:noProof/>
        </w:rPr>
        <w:t xml:space="preserve">la </w:t>
      </w:r>
      <w:r w:rsidRPr="00393943">
        <w:rPr>
          <w:rFonts w:ascii="Verdana" w:hAnsi="Verdana" w:cs="Arial"/>
          <w:noProof/>
        </w:rPr>
        <w:t xml:space="preserve">priorización y aprobación de los proyectos de inversión de la asignación para la inversión regional –artículo 35–, </w:t>
      </w:r>
      <w:r>
        <w:rPr>
          <w:rFonts w:ascii="Verdana" w:hAnsi="Verdana" w:cs="Arial"/>
          <w:noProof/>
        </w:rPr>
        <w:t xml:space="preserve">la </w:t>
      </w:r>
      <w:r w:rsidRPr="00393943">
        <w:rPr>
          <w:rFonts w:ascii="Verdana" w:hAnsi="Verdana" w:cs="Arial"/>
          <w:noProof/>
        </w:rPr>
        <w:t>priorización y aprobación de proyectos de inversión para las asignaciones directas y asignación para la inversión local –artículo 36–, así como la ejecución de proyectos de inversión –artículo 37–.</w:t>
      </w:r>
    </w:p>
    <w:p w14:paraId="364E91F4" w14:textId="77777777" w:rsidR="006C6A36" w:rsidRPr="00393943" w:rsidRDefault="006C6A36" w:rsidP="006C6A36">
      <w:pPr>
        <w:spacing w:after="120" w:line="276" w:lineRule="auto"/>
        <w:ind w:firstLine="709"/>
        <w:jc w:val="both"/>
        <w:rPr>
          <w:rFonts w:ascii="Verdana" w:hAnsi="Verdana" w:cs="Arial"/>
        </w:rPr>
      </w:pPr>
      <w:r w:rsidRPr="00393943">
        <w:rPr>
          <w:rFonts w:ascii="Verdana" w:hAnsi="Verdana" w:cs="Arial"/>
          <w:noProof/>
        </w:rPr>
        <w:t xml:space="preserve">Particularmente, el artículo 37 </w:t>
      </w:r>
      <w:r w:rsidRPr="00393943">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393943">
        <w:rPr>
          <w:rFonts w:ascii="Verdana" w:hAnsi="Verdana" w:cs="Arial"/>
          <w:i/>
          <w:iCs/>
        </w:rPr>
        <w:t>ibidem</w:t>
      </w:r>
      <w:r w:rsidRPr="00393943">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393943">
        <w:rPr>
          <w:rFonts w:ascii="Verdana" w:hAnsi="Verdana" w:cs="Arial"/>
        </w:rPr>
        <w:t>los mismos</w:t>
      </w:r>
      <w:proofErr w:type="gramEnd"/>
      <w:r w:rsidRPr="00393943">
        <w:rPr>
          <w:rFonts w:ascii="Verdana" w:hAnsi="Verdana" w:cs="Arial"/>
        </w:rPr>
        <w:t xml:space="preserve">, sin perjuicio de las acciones de control a las que haya lugar. </w:t>
      </w:r>
    </w:p>
    <w:p w14:paraId="7F42189A" w14:textId="77777777" w:rsidR="006C6A36" w:rsidRPr="00393943" w:rsidRDefault="006C6A36" w:rsidP="006C6A36">
      <w:pPr>
        <w:spacing w:after="120" w:line="276" w:lineRule="auto"/>
        <w:ind w:firstLine="709"/>
        <w:jc w:val="both"/>
        <w:rPr>
          <w:rFonts w:ascii="Verdana" w:hAnsi="Verdana" w:cs="Arial"/>
        </w:rPr>
      </w:pPr>
      <w:r w:rsidRPr="00393943">
        <w:rPr>
          <w:rFonts w:ascii="Verdana" w:hAnsi="Verdana" w:cs="Arial"/>
        </w:rPr>
        <w:t xml:space="preserve">El parágrafo primero del artículo 37 </w:t>
      </w:r>
      <w:r w:rsidRPr="42E92A9E">
        <w:rPr>
          <w:rFonts w:ascii="Verdana" w:hAnsi="Verdana" w:cs="Arial"/>
          <w:i/>
          <w:iCs/>
        </w:rPr>
        <w:t>ibidem</w:t>
      </w:r>
      <w:r w:rsidRPr="00393943">
        <w:rPr>
          <w:rFonts w:ascii="Verdana" w:hAnsi="Verdana" w:cs="Arial"/>
        </w:rPr>
        <w:t xml:space="preserve"> dispone lo siguiente: “La ejecución de proyectos de que trata este artículo, se adelantará, con estricta sujeción al régimen presupuestal definido en esta ley, </w:t>
      </w:r>
      <w:r w:rsidRPr="00A1541B">
        <w:rPr>
          <w:rFonts w:ascii="Verdana" w:hAnsi="Verdana" w:cs="Arial"/>
          <w:i/>
          <w:iCs/>
        </w:rPr>
        <w:t>al de contratación pública</w:t>
      </w:r>
      <w:r w:rsidRPr="00393943">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w:t>
      </w:r>
      <w:r w:rsidRPr="00393943">
        <w:rPr>
          <w:rFonts w:ascii="Verdana" w:hAnsi="Verdana" w:cs="Arial"/>
        </w:rPr>
        <w:lastRenderedPageBreak/>
        <w:t>evaluación y control”</w:t>
      </w:r>
      <w:r w:rsidRPr="00393943">
        <w:rPr>
          <w:rFonts w:ascii="Verdana" w:hAnsi="Verdana" w:cs="Arial"/>
          <w:vertAlign w:val="superscript"/>
        </w:rPr>
        <w:footnoteReference w:id="7"/>
      </w:r>
      <w:r>
        <w:rPr>
          <w:rFonts w:ascii="Verdana" w:hAnsi="Verdana" w:cs="Arial"/>
        </w:rPr>
        <w:t xml:space="preserve"> (Énfasis fuera de texto)</w:t>
      </w:r>
      <w:r w:rsidRPr="00393943">
        <w:rPr>
          <w:rFonts w:ascii="Verdana" w:hAnsi="Verdana" w:cs="Arial"/>
        </w:rPr>
        <w:t>.</w:t>
      </w:r>
      <w:r w:rsidRPr="00393943">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25B6B96B" w14:textId="77777777" w:rsidR="006C6A36" w:rsidRDefault="006C6A36" w:rsidP="006C6A36">
      <w:pPr>
        <w:spacing w:after="120" w:line="276" w:lineRule="auto"/>
        <w:ind w:firstLine="709"/>
        <w:jc w:val="both"/>
        <w:rPr>
          <w:rFonts w:ascii="Verdana" w:hAnsi="Verdana" w:cs="Arial"/>
          <w:bdr w:val="none" w:sz="0" w:space="0" w:color="auto" w:frame="1"/>
        </w:rPr>
      </w:pPr>
      <w:r w:rsidRPr="00393943">
        <w:rPr>
          <w:rFonts w:ascii="Verdana" w:hAnsi="Verdana" w:cs="Arial"/>
        </w:rPr>
        <w:t xml:space="preserve">Por tanto, en caso de que se realicen proyectos de inversión en el marco del Sistema General de Regalías, como también aquellos proyectos especiales referenciados </w:t>
      </w:r>
      <w:r w:rsidRPr="00393943">
        <w:rPr>
          <w:rFonts w:ascii="Verdana" w:hAnsi="Verdana" w:cs="Arial"/>
          <w:i/>
          <w:iCs/>
        </w:rPr>
        <w:t>ut supra</w:t>
      </w:r>
      <w:r w:rsidRPr="00393943">
        <w:rPr>
          <w:rFonts w:ascii="Verdana" w:hAnsi="Verdana" w:cs="Arial"/>
        </w:rPr>
        <w:t>, los ejecutores designados para desarrollarlos</w:t>
      </w:r>
      <w:r>
        <w:rPr>
          <w:rFonts w:ascii="Verdana" w:hAnsi="Verdana" w:cs="Arial"/>
        </w:rPr>
        <w:t xml:space="preserve">, </w:t>
      </w:r>
      <w:proofErr w:type="spellStart"/>
      <w:r>
        <w:rPr>
          <w:rFonts w:ascii="Verdana" w:hAnsi="Verdana" w:cs="Arial"/>
        </w:rPr>
        <w:t>cinluidos</w:t>
      </w:r>
      <w:proofErr w:type="spellEnd"/>
      <w:r>
        <w:rPr>
          <w:rFonts w:ascii="Verdana" w:hAnsi="Verdana" w:cs="Arial"/>
        </w:rPr>
        <w:t xml:space="preserve"> los fondos mixtos,</w:t>
      </w:r>
      <w:r w:rsidRPr="00393943">
        <w:rPr>
          <w:rFonts w:ascii="Verdana" w:hAnsi="Verdana" w:cs="Arial"/>
        </w:rPr>
        <w:t xml:space="preserve"> deben sujetarse al Estatuto General de Contratación de la Administración Pública</w:t>
      </w:r>
      <w:r w:rsidRPr="00393943">
        <w:rPr>
          <w:rFonts w:ascii="Verdana" w:eastAsia="Calibri" w:hAnsi="Verdana" w:cs="Arial"/>
        </w:rPr>
        <w:t>.</w:t>
      </w:r>
      <w:r w:rsidRPr="00393943">
        <w:rPr>
          <w:rFonts w:ascii="Verdana" w:hAnsi="Verdana" w:cs="Arial"/>
        </w:rPr>
        <w:t xml:space="preserve"> </w:t>
      </w:r>
      <w:r w:rsidRPr="00393943">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6DF3FFE1" w14:textId="77777777" w:rsidR="006C6A36" w:rsidRPr="00393943" w:rsidRDefault="006C6A36" w:rsidP="006C6A36">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lastRenderedPageBreak/>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4AC5BEA" w14:textId="77777777" w:rsidR="006C6A36" w:rsidRDefault="006C6A36" w:rsidP="006C6A36">
      <w:pPr>
        <w:spacing w:after="0" w:line="276" w:lineRule="auto"/>
        <w:ind w:firstLine="709"/>
        <w:jc w:val="both"/>
        <w:rPr>
          <w:rFonts w:ascii="Verdana" w:eastAsia="Calibri" w:hAnsi="Verdana" w:cs="Arial"/>
        </w:rPr>
      </w:pPr>
      <w:r w:rsidRPr="00393943">
        <w:rPr>
          <w:rFonts w:ascii="Verdana" w:eastAsia="Calibri" w:hAnsi="Verdana" w:cs="Arial"/>
        </w:rPr>
        <w:t xml:space="preserve">En este contexto, </w:t>
      </w:r>
      <w:r w:rsidRPr="00E15837">
        <w:rPr>
          <w:rFonts w:ascii="Verdana" w:eastAsia="Calibri" w:hAnsi="Verdana" w:cs="Arial"/>
        </w:rPr>
        <w:t>se plantea determinar si las entidades de naturaleza mixta sometidas a un régimen contractual especial de derecho privado, cuando sean designadas como ejecutoras de proyectos de inversión financiados con recursos del Sistema General de Regalías, deben aplicar el Estatuto General de Contratación de la Administración Pública, en virtud de lo dispuesto en el parágrafo primero del artículo 37 de la Ley 2056 de 2020, con independencia del régimen contractual que las rige de manera general.</w:t>
      </w:r>
      <w:r>
        <w:rPr>
          <w:rFonts w:ascii="Verdana" w:eastAsia="Calibri" w:hAnsi="Verdana" w:cs="Arial"/>
        </w:rPr>
        <w:t xml:space="preserve"> </w:t>
      </w:r>
    </w:p>
    <w:p w14:paraId="234EFF8B" w14:textId="77777777" w:rsidR="006C6A36" w:rsidRDefault="006C6A36" w:rsidP="006C6A36">
      <w:pPr>
        <w:spacing w:after="0" w:line="276" w:lineRule="auto"/>
        <w:ind w:firstLine="709"/>
        <w:jc w:val="both"/>
        <w:rPr>
          <w:rFonts w:ascii="Verdana" w:eastAsia="Calibri" w:hAnsi="Verdana" w:cs="Arial"/>
          <w:color w:val="000000" w:themeColor="text1"/>
          <w:lang w:eastAsia="es-ES"/>
        </w:rPr>
      </w:pPr>
    </w:p>
    <w:p w14:paraId="28AE41AD" w14:textId="77777777" w:rsidR="006C6A36" w:rsidRPr="00515A31" w:rsidRDefault="006C6A36" w:rsidP="006C6A36">
      <w:pPr>
        <w:spacing w:after="120" w:line="276" w:lineRule="auto"/>
        <w:jc w:val="both"/>
        <w:rPr>
          <w:rFonts w:ascii="Verdana" w:hAnsi="Verdana" w:cs="Arial"/>
          <w:iCs/>
          <w:color w:val="000000" w:themeColor="text1"/>
          <w:lang w:val="es-ES_tradnl"/>
        </w:rPr>
      </w:pPr>
      <w:proofErr w:type="spellStart"/>
      <w:r w:rsidRPr="006F6341">
        <w:rPr>
          <w:rFonts w:ascii="Verdana" w:eastAsia="Calibri" w:hAnsi="Verdana" w:cs="Arial"/>
          <w:b/>
          <w:bCs/>
          <w:color w:val="000000" w:themeColor="text1"/>
          <w:lang w:eastAsia="es-ES"/>
        </w:rPr>
        <w:t>ii</w:t>
      </w:r>
      <w:r>
        <w:rPr>
          <w:rFonts w:ascii="Verdana" w:eastAsia="Calibri" w:hAnsi="Verdana" w:cs="Arial"/>
          <w:b/>
          <w:bCs/>
          <w:color w:val="000000" w:themeColor="text1"/>
          <w:lang w:eastAsia="es-ES"/>
        </w:rPr>
        <w:t>i</w:t>
      </w:r>
      <w:proofErr w:type="spellEnd"/>
      <w:r>
        <w:rPr>
          <w:rFonts w:ascii="Verdana" w:eastAsia="Calibri" w:hAnsi="Verdana" w:cs="Arial"/>
          <w:b/>
          <w:bCs/>
          <w:color w:val="000000" w:themeColor="text1"/>
          <w:lang w:eastAsia="es-ES"/>
        </w:rPr>
        <w:t xml:space="preserve">. </w:t>
      </w:r>
      <w:r w:rsidRPr="00552507">
        <w:rPr>
          <w:rFonts w:ascii="Verdana" w:eastAsia="Calibri" w:hAnsi="Verdana" w:cs="Arial"/>
          <w:color w:val="000000" w:themeColor="text1"/>
          <w:lang w:val="es-ES"/>
        </w:rPr>
        <w:t>En cuanto a la aplicabilidad de las potestades excepcionales previstas en los artículos 14 a 18 de la Ley 80 de 1993, la conclusión guarda correspondencia con la expuesta respecto de las multas y la cláusula penal. En efecto, cuando una entidad se encuentra sometida a un régimen especial de contratación, dichas potestades no hacen parte, por regla general, del régimen jurídico que gobierna su actividad contractual, sin perjuicio de que, en ejercicio de la autonomía de la voluntad y dentro de los límites que resulten aplicables, pueda pactar determinadas facultades unilaterales y establecer contractualmente los mecanismos para su ejercicio</w:t>
      </w:r>
      <w:r>
        <w:rPr>
          <w:rStyle w:val="Refdenotaalpie"/>
          <w:rFonts w:ascii="Verdana" w:eastAsia="Calibri" w:hAnsi="Verdana" w:cs="Arial"/>
          <w:color w:val="000000" w:themeColor="text1"/>
          <w:lang w:val="es-ES"/>
        </w:rPr>
        <w:footnoteReference w:id="8"/>
      </w:r>
      <w:r w:rsidRPr="00552507">
        <w:rPr>
          <w:rFonts w:ascii="Verdana" w:eastAsia="Calibri" w:hAnsi="Verdana" w:cs="Arial"/>
          <w:color w:val="000000" w:themeColor="text1"/>
          <w:lang w:val="es-ES"/>
        </w:rPr>
        <w:t xml:space="preserve">. No obstante, esta situación </w:t>
      </w:r>
      <w:r>
        <w:rPr>
          <w:rFonts w:ascii="Verdana" w:eastAsia="Calibri" w:hAnsi="Verdana" w:cs="Arial"/>
          <w:color w:val="000000" w:themeColor="text1"/>
          <w:lang w:val="es-ES"/>
        </w:rPr>
        <w:t>varía</w:t>
      </w:r>
      <w:r w:rsidRPr="00552507">
        <w:rPr>
          <w:rFonts w:ascii="Verdana" w:eastAsia="Calibri" w:hAnsi="Verdana" w:cs="Arial"/>
          <w:color w:val="000000" w:themeColor="text1"/>
          <w:lang w:val="es-ES"/>
        </w:rPr>
        <w:t xml:space="preserve"> cuando la entidad es designada ejecutora de recursos del SGR, pues, respecto de los contratos que celebre para la ejecución de tales recursos, su actividad contractual queda sometida al régimen previsto en el artículo 37 de la Ley 2056 de 2020</w:t>
      </w:r>
      <w:r>
        <w:rPr>
          <w:rFonts w:ascii="Verdana" w:eastAsia="Calibri" w:hAnsi="Verdana" w:cs="Arial"/>
          <w:color w:val="000000" w:themeColor="text1"/>
          <w:lang w:val="es-ES"/>
        </w:rPr>
        <w:t xml:space="preserve">, esto es, </w:t>
      </w:r>
      <w:r w:rsidRPr="00552507">
        <w:rPr>
          <w:rFonts w:ascii="Verdana" w:eastAsia="Calibri" w:hAnsi="Verdana" w:cs="Arial"/>
          <w:color w:val="000000" w:themeColor="text1"/>
          <w:lang w:val="es-ES"/>
        </w:rPr>
        <w:t>al EGCAP.</w:t>
      </w:r>
    </w:p>
    <w:p w14:paraId="401A5CF2" w14:textId="77777777" w:rsidR="006C6A36" w:rsidRPr="000A5B23" w:rsidRDefault="006C6A36" w:rsidP="006C6A36">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En efecto,</w:t>
      </w:r>
      <w:r w:rsidRPr="00027D86">
        <w:rPr>
          <w:rFonts w:ascii="Verdana" w:eastAsia="Calibri" w:hAnsi="Verdana" w:cs="Arial"/>
          <w:color w:val="000000" w:themeColor="text1"/>
          <w:lang w:eastAsia="es-ES"/>
        </w:rPr>
        <w:t xml:space="preserve"> </w:t>
      </w:r>
      <w:r w:rsidRPr="00FB6807">
        <w:rPr>
          <w:rFonts w:ascii="Verdana" w:eastAsia="Calibri" w:hAnsi="Verdana" w:cs="Arial"/>
          <w:color w:val="000000" w:themeColor="text1"/>
          <w:lang w:eastAsia="es-ES"/>
        </w:rPr>
        <w:t>de acuerdo con la interpretación explicada</w:t>
      </w:r>
      <w:r>
        <w:rPr>
          <w:rFonts w:ascii="Verdana" w:eastAsia="Calibri" w:hAnsi="Verdana" w:cs="Arial"/>
          <w:color w:val="000000" w:themeColor="text1"/>
          <w:lang w:eastAsia="es-ES"/>
        </w:rPr>
        <w:t xml:space="preserve"> en este concepto</w:t>
      </w:r>
      <w:r w:rsidRPr="00FB6807">
        <w:rPr>
          <w:rFonts w:ascii="Verdana" w:eastAsia="Calibri" w:hAnsi="Verdana" w:cs="Arial"/>
          <w:color w:val="000000" w:themeColor="text1"/>
          <w:lang w:eastAsia="es-ES"/>
        </w:rPr>
        <w:t xml:space="preserve">, teniendo en cuenta lo dispuesto en el artículo 37 de la Ley 2056 de 2020, las </w:t>
      </w:r>
      <w:r w:rsidRPr="00FB6807">
        <w:rPr>
          <w:rFonts w:ascii="Verdana" w:eastAsia="Calibri" w:hAnsi="Verdana" w:cs="Arial"/>
          <w:color w:val="000000" w:themeColor="text1"/>
          <w:lang w:eastAsia="es-ES"/>
        </w:rPr>
        <w:lastRenderedPageBreak/>
        <w:t xml:space="preserve">entidades ejecutoras designadas </w:t>
      </w:r>
      <w:r w:rsidRPr="00FB6807">
        <w:rPr>
          <w:rFonts w:ascii="Verdana" w:eastAsia="Calibri" w:hAnsi="Verdana" w:cs="Arial"/>
          <w:i/>
          <w:iCs/>
          <w:color w:val="000000" w:themeColor="text1"/>
          <w:lang w:eastAsia="es-ES"/>
        </w:rPr>
        <w:t>deben</w:t>
      </w:r>
      <w:r w:rsidRPr="00FB6807">
        <w:rPr>
          <w:rFonts w:ascii="Verdana" w:eastAsia="Calibri" w:hAnsi="Verdana" w:cs="Arial"/>
          <w:color w:val="000000" w:themeColor="text1"/>
          <w:lang w:eastAsia="es-ES"/>
        </w:rPr>
        <w:t xml:space="preserve"> sujetarse al EGCAP,</w:t>
      </w:r>
      <w:r w:rsidRPr="00FB6807">
        <w:rPr>
          <w:rFonts w:ascii="Verdana" w:eastAsia="Calibri" w:hAnsi="Verdana" w:cs="Arial"/>
          <w:color w:val="000000"/>
          <w:lang w:val="es-ES" w:eastAsia="es-ES"/>
        </w:rPr>
        <w:t xml:space="preserve"> sin perjuicio de que en sus demás actividades apliquen el régimen especial que les corresponda</w:t>
      </w:r>
      <w:r w:rsidRPr="00FB6807">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374F20">
        <w:rPr>
          <w:rFonts w:ascii="Verdana" w:eastAsia="Calibri" w:hAnsi="Verdana" w:cs="Arial"/>
          <w:color w:val="000000" w:themeColor="text1"/>
          <w:lang w:eastAsia="es-ES"/>
        </w:rPr>
        <w:t>deberá</w:t>
      </w:r>
      <w:r w:rsidRPr="00FB6807">
        <w:rPr>
          <w:rFonts w:ascii="Verdana" w:eastAsia="Calibri" w:hAnsi="Verdana" w:cs="Arial"/>
          <w:color w:val="000000" w:themeColor="text1"/>
          <w:lang w:eastAsia="es-ES"/>
        </w:rPr>
        <w:t xml:space="preserve"> sujetarse a las disposiciones del EGCAP </w:t>
      </w:r>
      <w:proofErr w:type="gramStart"/>
      <w:r w:rsidRPr="00FB6807">
        <w:rPr>
          <w:rFonts w:ascii="Verdana" w:eastAsia="Calibri" w:hAnsi="Verdana" w:cs="Arial"/>
          <w:color w:val="000000" w:themeColor="text1"/>
          <w:lang w:eastAsia="es-ES"/>
        </w:rPr>
        <w:t>y</w:t>
      </w:r>
      <w:proofErr w:type="gramEnd"/>
      <w:r w:rsidRPr="00FB6807">
        <w:rPr>
          <w:rFonts w:ascii="Verdana" w:eastAsia="Calibri" w:hAnsi="Verdana" w:cs="Arial"/>
          <w:color w:val="000000" w:themeColor="text1"/>
          <w:lang w:eastAsia="es-ES"/>
        </w:rPr>
        <w:t xml:space="preserve"> en consecuencia, los procesos de contratación </w:t>
      </w:r>
      <w:r w:rsidRPr="00FB6807">
        <w:rPr>
          <w:rFonts w:ascii="Verdana" w:eastAsia="Calibri" w:hAnsi="Verdana" w:cs="Arial"/>
          <w:i/>
          <w:iCs/>
          <w:color w:val="000000" w:themeColor="text1"/>
          <w:lang w:eastAsia="es-ES"/>
        </w:rPr>
        <w:t>deberán</w:t>
      </w:r>
      <w:r w:rsidRPr="00FB6807">
        <w:rPr>
          <w:rFonts w:ascii="Verdana" w:eastAsia="Calibri" w:hAnsi="Verdana" w:cs="Arial"/>
          <w:color w:val="000000" w:themeColor="text1"/>
          <w:lang w:eastAsia="es-ES"/>
        </w:rPr>
        <w:t xml:space="preserve"> desarrollarse observando las etapas, términos, procedimientos y demás reglas previstas en dicho estatuto, </w:t>
      </w:r>
      <w:r w:rsidRPr="00FB6807">
        <w:rPr>
          <w:rFonts w:ascii="Verdana" w:hAnsi="Verdana" w:cs="Arial"/>
        </w:rPr>
        <w:t>acudiendo a las modalidades de selección establecidas por el artículo 2 de la Ley 1150 de 2007.</w:t>
      </w:r>
    </w:p>
    <w:p w14:paraId="4E6C7440"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contexto, a juicio de esta Agencia cuando las </w:t>
      </w:r>
      <w:r>
        <w:rPr>
          <w:rFonts w:ascii="Verdana" w:eastAsia="Calibri" w:hAnsi="Verdana" w:cs="Arial"/>
          <w:color w:val="000000" w:themeColor="text1"/>
          <w:lang w:eastAsia="es-ES"/>
        </w:rPr>
        <w:t xml:space="preserve">entidades con régimen especial </w:t>
      </w:r>
      <w:r w:rsidRPr="00FB6807">
        <w:rPr>
          <w:rFonts w:ascii="Verdana" w:eastAsia="Calibri" w:hAnsi="Verdana" w:cs="Arial"/>
          <w:color w:val="000000" w:themeColor="text1"/>
          <w:lang w:eastAsia="es-ES"/>
        </w:rPr>
        <w:t xml:space="preserve">sean designadas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31B487E7"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Bajo esta premisa, e</w:t>
      </w:r>
      <w:r w:rsidRPr="00336762">
        <w:rPr>
          <w:rFonts w:ascii="Verdana" w:eastAsia="Calibri" w:hAnsi="Verdana" w:cs="Arial"/>
          <w:color w:val="000000" w:themeColor="text1"/>
          <w:lang w:eastAsia="es-ES"/>
        </w:rPr>
        <w:t>sta sujeción comprende no solamente la aplicación de las modalidades de selección y de las reglas correspondientes a las diferentes etapas del procedimiento contractual, sino también</w:t>
      </w:r>
      <w:r>
        <w:rPr>
          <w:rFonts w:ascii="Verdana" w:eastAsia="Calibri" w:hAnsi="Verdana" w:cs="Arial"/>
          <w:color w:val="000000" w:themeColor="text1"/>
          <w:lang w:eastAsia="es-ES"/>
        </w:rPr>
        <w:t xml:space="preserve"> las</w:t>
      </w:r>
      <w:r w:rsidRPr="00336762">
        <w:rPr>
          <w:rFonts w:ascii="Verdana" w:eastAsia="Calibri" w:hAnsi="Verdana" w:cs="Arial"/>
          <w:color w:val="000000" w:themeColor="text1"/>
          <w:lang w:eastAsia="es-ES"/>
        </w:rPr>
        <w:t xml:space="preserve"> facultades, obligaciones y mecanismos de ejecución previstos en el EGCAP que resulten aplicables al contrato. Por consiguiente, en la contratación con recursos del SGR, las entidades ejecutoras deberán observar, cuando corresponda, las reglas sobre documentos tipo, garantías, multas, cláusula penal y las potestades excepcionales de la </w:t>
      </w:r>
      <w:r>
        <w:rPr>
          <w:rFonts w:ascii="Verdana" w:eastAsia="Calibri" w:hAnsi="Verdana" w:cs="Arial"/>
          <w:color w:val="000000" w:themeColor="text1"/>
          <w:lang w:eastAsia="es-ES"/>
        </w:rPr>
        <w:t>a</w:t>
      </w:r>
      <w:r w:rsidRPr="00336762">
        <w:rPr>
          <w:rFonts w:ascii="Verdana" w:eastAsia="Calibri" w:hAnsi="Verdana" w:cs="Arial"/>
          <w:color w:val="000000" w:themeColor="text1"/>
          <w:lang w:eastAsia="es-ES"/>
        </w:rPr>
        <w:t xml:space="preserve">dministración, en los términos y bajo las condiciones establecidos por </w:t>
      </w:r>
      <w:r>
        <w:rPr>
          <w:rFonts w:ascii="Verdana" w:eastAsia="Calibri" w:hAnsi="Verdana" w:cs="Arial"/>
          <w:color w:val="000000" w:themeColor="text1"/>
          <w:lang w:eastAsia="es-ES"/>
        </w:rPr>
        <w:t>dicho estatuto.</w:t>
      </w:r>
    </w:p>
    <w:p w14:paraId="75CE7BC9"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sidRPr="008D6E92">
        <w:rPr>
          <w:rFonts w:ascii="Verdana" w:eastAsia="Calibri" w:hAnsi="Verdana" w:cs="Arial"/>
          <w:color w:val="000000" w:themeColor="text1"/>
          <w:lang w:eastAsia="es-ES"/>
        </w:rPr>
        <w:t xml:space="preserve">En particular, </w:t>
      </w:r>
      <w:r>
        <w:rPr>
          <w:rFonts w:ascii="Verdana" w:eastAsia="Calibri" w:hAnsi="Verdana" w:cs="Arial"/>
          <w:color w:val="000000" w:themeColor="text1"/>
          <w:lang w:eastAsia="es-ES"/>
        </w:rPr>
        <w:t xml:space="preserve">a diferencia de lo que sucede con las multas y la cláusula penal, </w:t>
      </w:r>
      <w:r w:rsidRPr="008D6E92">
        <w:rPr>
          <w:rFonts w:ascii="Verdana" w:eastAsia="Calibri" w:hAnsi="Verdana" w:cs="Arial"/>
          <w:color w:val="000000" w:themeColor="text1"/>
          <w:lang w:eastAsia="es-ES"/>
        </w:rPr>
        <w:t xml:space="preserve">respecto de las potestades previstas en los artículos 14 </w:t>
      </w:r>
      <w:r>
        <w:rPr>
          <w:rFonts w:ascii="Verdana" w:eastAsia="Calibri" w:hAnsi="Verdana" w:cs="Arial"/>
          <w:color w:val="000000" w:themeColor="text1"/>
          <w:lang w:eastAsia="es-ES"/>
        </w:rPr>
        <w:t>y siguientes</w:t>
      </w:r>
      <w:r w:rsidRPr="008D6E92">
        <w:rPr>
          <w:rFonts w:ascii="Verdana" w:eastAsia="Calibri" w:hAnsi="Verdana" w:cs="Arial"/>
          <w:color w:val="000000" w:themeColor="text1"/>
          <w:lang w:eastAsia="es-ES"/>
        </w:rPr>
        <w:t xml:space="preserve"> de la Ley 80 de 1993, </w:t>
      </w:r>
      <w:r>
        <w:rPr>
          <w:rFonts w:ascii="Verdana" w:eastAsia="Calibri" w:hAnsi="Verdana" w:cs="Arial"/>
          <w:color w:val="000000" w:themeColor="text1"/>
          <w:lang w:eastAsia="es-ES"/>
        </w:rPr>
        <w:t xml:space="preserve">incluyendo la caducidad, </w:t>
      </w:r>
      <w:r w:rsidRPr="008D6E92">
        <w:rPr>
          <w:rFonts w:ascii="Verdana" w:eastAsia="Calibri" w:hAnsi="Verdana" w:cs="Arial"/>
          <w:color w:val="000000" w:themeColor="text1"/>
          <w:lang w:eastAsia="es-ES"/>
        </w:rPr>
        <w:t xml:space="preserve">su aplicación no depende de que la entidad ejecutora haya incorporado previamente dichas facultades en su manual de contratación ni de que las haya pactado expresamente en el contrato como consecuencia de su régimen especial. La fuente de estas potestades, en este supuesto, se encuentra directamente en el régimen jurídico al que la entidad </w:t>
      </w:r>
      <w:r w:rsidRPr="008D6E92">
        <w:rPr>
          <w:rFonts w:ascii="Verdana" w:eastAsia="Calibri" w:hAnsi="Verdana" w:cs="Arial"/>
          <w:color w:val="000000" w:themeColor="text1"/>
          <w:lang w:eastAsia="es-ES"/>
        </w:rPr>
        <w:lastRenderedPageBreak/>
        <w:t>queda sometida para efectos de la ejecución contractual de los recursos del SGR. Por tanto, cuando el contrato se encuentre dentro de los supuestos en los cuales el EGCAP prevé el ejercicio de una determinada potestad excepcional, la entidad ejecutora podrá ejercerla con fundamento en las disposiciones de la Ley 80 de 1993, observando las condiciones, límites y procedimientos establecidos en ellas.</w:t>
      </w:r>
    </w:p>
    <w:p w14:paraId="0D6FCA2E"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sidRPr="001F0DD2">
        <w:rPr>
          <w:rFonts w:ascii="Verdana" w:eastAsia="Calibri" w:hAnsi="Verdana" w:cs="Arial"/>
          <w:color w:val="000000" w:themeColor="text1"/>
          <w:lang w:eastAsia="es-ES"/>
        </w:rPr>
        <w:t xml:space="preserve">Así, la aplicación del EGCAP en este ámbito comporta también que la entidad ejecutora </w:t>
      </w:r>
      <w:r>
        <w:rPr>
          <w:rFonts w:ascii="Verdana" w:eastAsia="Calibri" w:hAnsi="Verdana" w:cs="Arial"/>
          <w:color w:val="000000" w:themeColor="text1"/>
          <w:lang w:eastAsia="es-ES"/>
        </w:rPr>
        <w:t xml:space="preserve">de los recursos del SGR </w:t>
      </w:r>
      <w:r w:rsidRPr="001F0DD2">
        <w:rPr>
          <w:rFonts w:ascii="Verdana" w:eastAsia="Calibri" w:hAnsi="Verdana" w:cs="Arial"/>
          <w:color w:val="000000" w:themeColor="text1"/>
          <w:lang w:eastAsia="es-ES"/>
        </w:rPr>
        <w:t>pueda ejercer las potestades excepcionales que legalmente resulten procedentes</w:t>
      </w:r>
      <w:r>
        <w:rPr>
          <w:rFonts w:ascii="Verdana" w:eastAsia="Calibri" w:hAnsi="Verdana" w:cs="Arial"/>
          <w:color w:val="000000" w:themeColor="text1"/>
          <w:lang w:eastAsia="es-ES"/>
        </w:rPr>
        <w:t xml:space="preserve">, </w:t>
      </w:r>
      <w:r w:rsidRPr="001F0DD2">
        <w:rPr>
          <w:rFonts w:ascii="Verdana" w:eastAsia="Calibri" w:hAnsi="Verdana" w:cs="Arial"/>
          <w:color w:val="000000" w:themeColor="text1"/>
          <w:lang w:eastAsia="es-ES"/>
        </w:rPr>
        <w:t>entre ellas, cuando se configuren los presupuestos previstos en la ley, la interpretación, modificación o terminación unilateral y la declaratoria de caducidad, sin que para ello sea necesaria una disposición legal adicional que atribuya tales competencias</w:t>
      </w:r>
      <w:r>
        <w:rPr>
          <w:rFonts w:ascii="Verdana" w:eastAsia="Calibri" w:hAnsi="Verdana" w:cs="Arial"/>
          <w:color w:val="000000" w:themeColor="text1"/>
          <w:lang w:eastAsia="es-ES"/>
        </w:rPr>
        <w:t>, puesto que l</w:t>
      </w:r>
      <w:r w:rsidRPr="001F0DD2">
        <w:rPr>
          <w:rFonts w:ascii="Verdana" w:eastAsia="Calibri" w:hAnsi="Verdana" w:cs="Arial"/>
          <w:color w:val="000000" w:themeColor="text1"/>
          <w:lang w:eastAsia="es-ES"/>
        </w:rPr>
        <w:t>a habilitación deriva de la propia regla de sujeción establecida por e</w:t>
      </w:r>
      <w:r>
        <w:rPr>
          <w:rFonts w:ascii="Verdana" w:eastAsia="Calibri" w:hAnsi="Verdana" w:cs="Arial"/>
          <w:color w:val="000000" w:themeColor="text1"/>
          <w:lang w:eastAsia="es-ES"/>
        </w:rPr>
        <w:t>l parágrafo del</w:t>
      </w:r>
      <w:r w:rsidRPr="001F0DD2">
        <w:rPr>
          <w:rFonts w:ascii="Verdana" w:eastAsia="Calibri" w:hAnsi="Verdana" w:cs="Arial"/>
          <w:color w:val="000000" w:themeColor="text1"/>
          <w:lang w:eastAsia="es-ES"/>
        </w:rPr>
        <w:t xml:space="preserve"> artículo 37 de la Ley 2056 de 2020. Lo anterior debe entenderse sin perjuicio de que la entidad adecúe su manual de contratación y demás instrumentos internos, con el fin de incorporar las reglas y procedimientos necesarios para la gestión de los contratos sometidos al EGCAP, sin que dicha regulación interna pueda crear, restringir o modificar las competencias que directamente reconoce la ley.</w:t>
      </w:r>
    </w:p>
    <w:p w14:paraId="14ABF971"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Sobre el particular, vale </w:t>
      </w:r>
      <w:r w:rsidRPr="00FB6807">
        <w:rPr>
          <w:rFonts w:ascii="Verdana" w:eastAsia="Calibri" w:hAnsi="Verdana" w:cs="Arial"/>
          <w:color w:val="000000" w:themeColor="text1"/>
          <w:lang w:eastAsia="es-ES"/>
        </w:rPr>
        <w:t>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248D1668"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Finalmente, frente al supuesto refe</w:t>
      </w:r>
      <w:r w:rsidRPr="00AB207D">
        <w:rPr>
          <w:rFonts w:ascii="Verdana" w:eastAsia="Calibri" w:hAnsi="Verdana" w:cs="Arial"/>
          <w:color w:val="000000" w:themeColor="text1"/>
          <w:lang w:eastAsia="es-ES"/>
        </w:rPr>
        <w:t xml:space="preserve">rente a la existencia de una diferencia entre una entidad sometida a un régimen especial que ejecuta directamente recursos del SGR y aquella que, en su condición de ejecutora, celebra un contrato interadministrativo con otra entidad estatal para que esta última </w:t>
      </w:r>
      <w:r w:rsidRPr="00AB207D">
        <w:rPr>
          <w:rFonts w:ascii="Verdana" w:eastAsia="Calibri" w:hAnsi="Verdana" w:cs="Arial"/>
          <w:color w:val="000000" w:themeColor="text1"/>
          <w:lang w:eastAsia="es-ES"/>
        </w:rPr>
        <w:lastRenderedPageBreak/>
        <w:t>adelante materialmente la ejecución del proyecto o de una parte de este, debe</w:t>
      </w:r>
      <w:r>
        <w:rPr>
          <w:rFonts w:ascii="Verdana" w:eastAsia="Calibri" w:hAnsi="Verdana" w:cs="Arial"/>
          <w:color w:val="000000" w:themeColor="text1"/>
          <w:lang w:eastAsia="es-ES"/>
        </w:rPr>
        <w:t xml:space="preserve"> señalarse que </w:t>
      </w:r>
      <w:r w:rsidRPr="00FB6807">
        <w:rPr>
          <w:rFonts w:ascii="Verdana" w:eastAsia="Calibri" w:hAnsi="Verdana" w:cs="Arial"/>
          <w:color w:val="000000" w:themeColor="text1"/>
          <w:lang w:eastAsia="es-ES"/>
        </w:rPr>
        <w:t>para la gestión de los recursos del SGR las entidades ejecutoras deberán aplicar las normas especiales establecidas en el Decreto 1821 de 2020 “Por el cual se expide el Decreto Único Reglamentario del Sistema General de Regalías”</w:t>
      </w:r>
      <w:r>
        <w:rPr>
          <w:rFonts w:ascii="Verdana" w:eastAsia="Calibri" w:hAnsi="Verdana" w:cs="Arial"/>
          <w:color w:val="000000" w:themeColor="text1"/>
          <w:lang w:eastAsia="es-ES"/>
        </w:rPr>
        <w:t>. En esta normativa sé</w:t>
      </w:r>
      <w:r w:rsidRPr="00FB6807">
        <w:rPr>
          <w:rFonts w:ascii="Verdana" w:eastAsia="Calibri" w:hAnsi="Verdana" w:cs="Arial"/>
          <w:color w:val="000000" w:themeColor="text1"/>
          <w:lang w:eastAsia="es-ES"/>
        </w:rPr>
        <w:t xml:space="preserve"> establecen reglas precisas sobre dichos recursos cuando los órganos y demás entidades designadas como ejecutoras, contraten a una persona natural o jurídica que se encargue de suministrar los bienes y/o servicios</w:t>
      </w:r>
      <w:r w:rsidRPr="00FB6807">
        <w:rPr>
          <w:rFonts w:ascii="Verdana" w:eastAsia="Calibri" w:hAnsi="Verdana" w:cs="Arial"/>
          <w:color w:val="000000" w:themeColor="text1"/>
          <w:vertAlign w:val="superscript"/>
          <w:lang w:eastAsia="es-ES"/>
        </w:rPr>
        <w:footnoteReference w:id="9"/>
      </w:r>
      <w:r w:rsidRPr="00FB6807">
        <w:rPr>
          <w:rFonts w:ascii="Verdana" w:eastAsia="Calibri" w:hAnsi="Verdana" w:cs="Arial"/>
          <w:color w:val="000000" w:themeColor="text1"/>
          <w:lang w:eastAsia="es-ES"/>
        </w:rPr>
        <w:t xml:space="preserve">, así como cuando la entidad ejecutora sea la responsable de producir o proveer directamente bienes o servicios contemplados dentro de las actividades del proyecto de inversión financiado con recursos del Sistema General de Regalías. En este último caso, el artículo 2.1.1.3.18. </w:t>
      </w:r>
      <w:r w:rsidRPr="00FB6807">
        <w:rPr>
          <w:rFonts w:ascii="Verdana" w:eastAsia="Calibri" w:hAnsi="Verdana" w:cs="Arial"/>
          <w:i/>
          <w:iCs/>
          <w:color w:val="000000" w:themeColor="text1"/>
          <w:lang w:eastAsia="es-ES"/>
        </w:rPr>
        <w:t xml:space="preserve">ibidem </w:t>
      </w:r>
      <w:r w:rsidRPr="00FB6807">
        <w:rPr>
          <w:rFonts w:ascii="Verdana" w:eastAsia="Calibri" w:hAnsi="Verdana" w:cs="Arial"/>
          <w:color w:val="000000" w:themeColor="text1"/>
          <w:lang w:eastAsia="es-ES"/>
        </w:rPr>
        <w:t>señala que “Será responsabilidad de la entidad ejecutora contar con la capacidad técnica, legal, administrativa y financiera de producir o proveer directamente los bienes o servicios contemplados dentro de las actividades del proyecto de inversión</w:t>
      </w:r>
      <w:r w:rsidRPr="00FB6807">
        <w:rPr>
          <w:rFonts w:ascii="Verdana" w:eastAsia="Calibri" w:hAnsi="Verdana" w:cs="Arial"/>
          <w:color w:val="000000" w:themeColor="text1"/>
          <w:vertAlign w:val="superscript"/>
          <w:lang w:eastAsia="es-ES"/>
        </w:rPr>
        <w:footnoteReference w:id="10"/>
      </w:r>
      <w:r w:rsidRPr="00FB6807">
        <w:rPr>
          <w:rFonts w:ascii="Verdana" w:eastAsia="Calibri" w:hAnsi="Verdana" w:cs="Arial"/>
          <w:color w:val="000000" w:themeColor="text1"/>
          <w:lang w:eastAsia="es-ES"/>
        </w:rPr>
        <w:t>”.</w:t>
      </w:r>
    </w:p>
    <w:p w14:paraId="53A149A7"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lastRenderedPageBreak/>
        <w:t>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FB6807">
        <w:rPr>
          <w:rFonts w:ascii="Verdana" w:eastAsia="Calibri" w:hAnsi="Verdana" w:cs="Arial"/>
          <w:color w:val="000000" w:themeColor="text1"/>
          <w:vertAlign w:val="superscript"/>
          <w:lang w:eastAsia="es-ES"/>
        </w:rPr>
        <w:footnoteReference w:id="11"/>
      </w:r>
      <w:r w:rsidRPr="00FB6807">
        <w:rPr>
          <w:rFonts w:ascii="Verdana" w:eastAsia="Calibri" w:hAnsi="Verdana" w:cs="Arial"/>
          <w:color w:val="000000" w:themeColor="text1"/>
          <w:lang w:eastAsia="es-ES"/>
        </w:rPr>
        <w:t>.”</w:t>
      </w:r>
    </w:p>
    <w:p w14:paraId="6D937C82"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4E1C7632" w14:textId="77777777" w:rsidR="006C6A36" w:rsidRPr="00674FE5"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En atención a lo anterior, cuando el ente ejecutor carezca de capacidad técnica, administrativa u operativa para desarrollar directamente las actividades del proyecto —según el deber de autoevaluación del artículo 2.1.1.3.18 del Decreto 1821 de 2020—, podrá vincular a otra entidad idónea, </w:t>
      </w:r>
      <w:r w:rsidRPr="00674FE5">
        <w:rPr>
          <w:rFonts w:ascii="Verdana" w:eastAsia="Calibri" w:hAnsi="Verdana" w:cs="Arial"/>
          <w:color w:val="000000" w:themeColor="text1"/>
          <w:lang w:eastAsia="es-ES"/>
        </w:rPr>
        <w:t xml:space="preserve">pública o privada, a través de la modalidad de selección que corresponda conforme al EGCAP, atendiendo al objeto contractual.  Ahora bien, esa vinculación no puede instrumentarse mediante contrato o convenio interadministrativo (literal c del numeral 4 del artículo 2 de la Ley 1150 de 2007), por el criterio orgánico respecto de aquellas </w:t>
      </w:r>
      <w:r>
        <w:rPr>
          <w:rFonts w:ascii="Verdana" w:eastAsia="Calibri" w:hAnsi="Verdana" w:cs="Arial"/>
          <w:color w:val="000000" w:themeColor="text1"/>
          <w:lang w:eastAsia="es-ES"/>
        </w:rPr>
        <w:t xml:space="preserve">organizaciones </w:t>
      </w:r>
      <w:r w:rsidRPr="00674FE5">
        <w:rPr>
          <w:rFonts w:ascii="Verdana" w:eastAsia="Calibri" w:hAnsi="Verdana" w:cs="Arial"/>
          <w:color w:val="000000" w:themeColor="text1"/>
          <w:lang w:eastAsia="es-ES"/>
        </w:rPr>
        <w:t xml:space="preserve">que no tengan el carácter de entidad estatal pues esta es una figura reservada para esta categoría, por lo que es necesario revisar su naturaleza jurídica para establecer su procedencia. En todo caso, la vinculación de un tercero para la ejecución técnica no traslada la condición de ejecutor: por expreso mandato del </w:t>
      </w:r>
      <w:r w:rsidRPr="00C9478A">
        <w:rPr>
          <w:rFonts w:ascii="Verdana" w:eastAsia="Calibri" w:hAnsi="Verdana" w:cs="Arial"/>
          <w:color w:val="000000" w:themeColor="text1"/>
          <w:lang w:eastAsia="es-ES"/>
        </w:rPr>
        <w:t xml:space="preserve">parágrafo </w:t>
      </w:r>
      <w:r>
        <w:rPr>
          <w:rFonts w:ascii="Verdana" w:eastAsia="Calibri" w:hAnsi="Verdana" w:cs="Arial"/>
          <w:color w:val="000000" w:themeColor="text1"/>
          <w:lang w:eastAsia="es-ES"/>
        </w:rPr>
        <w:t>1</w:t>
      </w:r>
      <w:r w:rsidRPr="00C9478A">
        <w:rPr>
          <w:rFonts w:ascii="Verdana" w:eastAsia="Calibri" w:hAnsi="Verdana" w:cs="Arial"/>
          <w:color w:val="000000" w:themeColor="text1"/>
          <w:lang w:eastAsia="es-ES"/>
        </w:rPr>
        <w:t>º del</w:t>
      </w:r>
      <w:r w:rsidRPr="00674FE5">
        <w:rPr>
          <w:rFonts w:ascii="Verdana" w:eastAsia="Calibri" w:hAnsi="Verdana" w:cs="Arial"/>
          <w:color w:val="000000" w:themeColor="text1"/>
          <w:lang w:eastAsia="es-ES"/>
        </w:rPr>
        <w:t xml:space="preserve"> artículo 84 de la Ley 2056 de 2020, el ejecutor es el ordenador del gasto y garantiza la correcta ejecución de los recursos, responsabilidad que resulta indelegable.</w:t>
      </w:r>
    </w:p>
    <w:p w14:paraId="34EF3674" w14:textId="77777777" w:rsidR="006C6A36" w:rsidRDefault="006C6A36" w:rsidP="006C6A36">
      <w:pPr>
        <w:spacing w:after="0" w:line="276" w:lineRule="auto"/>
        <w:ind w:firstLine="709"/>
        <w:jc w:val="both"/>
        <w:rPr>
          <w:rFonts w:ascii="Verdana" w:eastAsia="Calibri" w:hAnsi="Verdana" w:cs="Arial"/>
          <w:color w:val="000000" w:themeColor="text1"/>
          <w:lang w:eastAsia="es-ES"/>
        </w:rPr>
      </w:pPr>
      <w:r w:rsidRPr="00674FE5">
        <w:rPr>
          <w:rFonts w:ascii="Verdana" w:eastAsia="Calibri" w:hAnsi="Verdana" w:cs="Arial"/>
          <w:color w:val="000000" w:themeColor="text1"/>
          <w:lang w:eastAsia="es-ES"/>
        </w:rPr>
        <w:lastRenderedPageBreak/>
        <w:t>En este contexto</w:t>
      </w:r>
      <w:r>
        <w:rPr>
          <w:rFonts w:ascii="Verdana" w:eastAsia="Calibri" w:hAnsi="Verdana" w:cs="Arial"/>
          <w:color w:val="000000" w:themeColor="text1"/>
          <w:lang w:eastAsia="es-ES"/>
        </w:rPr>
        <w:t xml:space="preserve">, la </w:t>
      </w:r>
      <w:r w:rsidRPr="00674FE5">
        <w:rPr>
          <w:rFonts w:ascii="Verdana" w:eastAsia="Calibri" w:hAnsi="Verdana" w:cs="Arial"/>
          <w:color w:val="000000" w:themeColor="text1"/>
          <w:lang w:eastAsia="es-ES"/>
        </w:rPr>
        <w:t>entidad ejecutora puede subcontratar legítimamente las actividades que requiera y celebrar los contratos necesarios para materializar la asignación que administra, conforme a las decisiones de la instancia de decisión competente. Lo que no puede es trasladar a un tercero su condición de ejecutora ni la responsabilidad que de ella se deriva, pues el subcontrato no constituye un mecanismo para delegar dicho rol en el marco del SGR. Ese traslado íntegro no solo compromete la validez del contrato, por las razones expuestas, sino que puede generar detrimento patrimonial por los sobrecostos propios de la intermediación. Por ello, cuando la ejecución exija contratar con terceros bajo el EGCAP, la ejecutora debe garantizar la selección objetiva del contratista y el respeto del régimen de inhabilidades e incompatibilidades, además de las demás reglas y principios del estatuto</w:t>
      </w:r>
      <w:r>
        <w:rPr>
          <w:rFonts w:ascii="Verdana" w:eastAsia="Calibri" w:hAnsi="Verdana" w:cs="Arial"/>
          <w:color w:val="000000" w:themeColor="text1"/>
          <w:lang w:eastAsia="es-ES"/>
        </w:rPr>
        <w:t>, y la aplicación de las cláusulas excepcionales, según corresponda.</w:t>
      </w:r>
    </w:p>
    <w:p w14:paraId="5808D542" w14:textId="77777777" w:rsidR="006C6A36" w:rsidRDefault="006C6A36" w:rsidP="006C6A36">
      <w:pPr>
        <w:spacing w:after="0" w:line="276" w:lineRule="auto"/>
        <w:ind w:firstLine="709"/>
        <w:jc w:val="both"/>
        <w:rPr>
          <w:rFonts w:ascii="Verdana" w:eastAsia="Calibri" w:hAnsi="Verdana" w:cs="Arial"/>
          <w:color w:val="000000" w:themeColor="text1"/>
          <w:lang w:eastAsia="es-ES"/>
        </w:rPr>
      </w:pPr>
    </w:p>
    <w:p w14:paraId="65EA2C00" w14:textId="77777777" w:rsidR="006C6A36" w:rsidRDefault="006C6A36" w:rsidP="006C6A36">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b/>
          <w:bCs/>
          <w:color w:val="000000" w:themeColor="text1"/>
          <w:lang w:val="es-ES_tradnl" w:eastAsia="es-ES"/>
        </w:rPr>
        <w:t>iv</w:t>
      </w:r>
      <w:proofErr w:type="spellEnd"/>
      <w:r w:rsidRPr="006F6341">
        <w:rPr>
          <w:rFonts w:ascii="Verdana" w:eastAsia="Calibri" w:hAnsi="Verdana" w:cs="Arial"/>
          <w:b/>
          <w:bCs/>
          <w:color w:val="000000" w:themeColor="text1"/>
          <w:lang w:val="es-ES_tradnl" w:eastAsia="es-ES"/>
        </w:rPr>
        <w:t>.</w:t>
      </w:r>
      <w:r>
        <w:rPr>
          <w:rFonts w:ascii="Verdana" w:eastAsia="Calibri" w:hAnsi="Verdana" w:cs="Arial"/>
          <w:color w:val="000000" w:themeColor="text1"/>
          <w:lang w:val="es-ES"/>
        </w:rPr>
        <w:t xml:space="preserve"> </w:t>
      </w:r>
      <w:r w:rsidRPr="00552507">
        <w:rPr>
          <w:rFonts w:ascii="Verdana" w:eastAsia="Calibri" w:hAnsi="Verdana" w:cs="Arial"/>
          <w:color w:val="000000" w:themeColor="text1"/>
          <w:lang w:val="es-ES"/>
        </w:rPr>
        <w:t>En cuanto a la aplicabilidad de las potestades excepcionales previstas en los artículos 14 a 18 de la Ley 80 de 1993, la conclusión guarda correspondencia con la expuesta respecto de las multas y la cláusula penal. En efecto, cuando una entidad se encuentra sometida a un régimen especial de contratación, dichas potestades no hacen parte, por regla general, del régimen jurídico que gobierna su actividad contractual, sin perjuicio de que, en ejercicio de la autonomía de la voluntad y dentro de los límites que resulten aplicables, pueda pactar determinadas facultades unilaterales y establecer contractualmente los mecanismos para su ejercicio</w:t>
      </w:r>
      <w:r>
        <w:rPr>
          <w:rStyle w:val="Refdenotaalpie"/>
          <w:rFonts w:ascii="Verdana" w:eastAsia="Calibri" w:hAnsi="Verdana" w:cs="Arial"/>
          <w:color w:val="000000" w:themeColor="text1"/>
          <w:lang w:val="es-ES"/>
        </w:rPr>
        <w:footnoteReference w:id="12"/>
      </w:r>
      <w:r w:rsidRPr="00552507">
        <w:rPr>
          <w:rFonts w:ascii="Verdana" w:eastAsia="Calibri" w:hAnsi="Verdana" w:cs="Arial"/>
          <w:color w:val="000000" w:themeColor="text1"/>
          <w:lang w:val="es-ES"/>
        </w:rPr>
        <w:t xml:space="preserve">. No obstante, esta situación </w:t>
      </w:r>
      <w:r>
        <w:rPr>
          <w:rFonts w:ascii="Verdana" w:eastAsia="Calibri" w:hAnsi="Verdana" w:cs="Arial"/>
          <w:color w:val="000000" w:themeColor="text1"/>
          <w:lang w:val="es-ES"/>
        </w:rPr>
        <w:t>varía</w:t>
      </w:r>
      <w:r w:rsidRPr="00552507">
        <w:rPr>
          <w:rFonts w:ascii="Verdana" w:eastAsia="Calibri" w:hAnsi="Verdana" w:cs="Arial"/>
          <w:color w:val="000000" w:themeColor="text1"/>
          <w:lang w:val="es-ES"/>
        </w:rPr>
        <w:t xml:space="preserve"> cuando la entidad es designada ejecutora de recursos del SGR, pues, respecto de los contratos que celebre para la ejecución de tales recursos, su actividad contractual queda sometida al régimen previsto en el artículo 37 de la Ley 2056 de 2020</w:t>
      </w:r>
      <w:r>
        <w:rPr>
          <w:rFonts w:ascii="Verdana" w:eastAsia="Calibri" w:hAnsi="Verdana" w:cs="Arial"/>
          <w:color w:val="000000" w:themeColor="text1"/>
          <w:lang w:val="es-ES"/>
        </w:rPr>
        <w:t xml:space="preserve">, esto es, </w:t>
      </w:r>
      <w:r w:rsidRPr="00552507">
        <w:rPr>
          <w:rFonts w:ascii="Verdana" w:eastAsia="Calibri" w:hAnsi="Verdana" w:cs="Arial"/>
          <w:color w:val="000000" w:themeColor="text1"/>
          <w:lang w:val="es-ES"/>
        </w:rPr>
        <w:t>al EGCAP.</w:t>
      </w:r>
    </w:p>
    <w:p w14:paraId="63A6F2D6" w14:textId="77777777" w:rsidR="006C6A36" w:rsidRPr="000A5B23" w:rsidRDefault="006C6A36" w:rsidP="006C6A36">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En efecto,</w:t>
      </w:r>
      <w:r w:rsidRPr="00027D86">
        <w:rPr>
          <w:rFonts w:ascii="Verdana" w:eastAsia="Calibri" w:hAnsi="Verdana" w:cs="Arial"/>
          <w:color w:val="000000" w:themeColor="text1"/>
          <w:lang w:eastAsia="es-ES"/>
        </w:rPr>
        <w:t xml:space="preserve"> </w:t>
      </w:r>
      <w:r w:rsidRPr="00FB6807">
        <w:rPr>
          <w:rFonts w:ascii="Verdana" w:eastAsia="Calibri" w:hAnsi="Verdana" w:cs="Arial"/>
          <w:color w:val="000000" w:themeColor="text1"/>
          <w:lang w:eastAsia="es-ES"/>
        </w:rPr>
        <w:t>de acuerdo con la interpretación explicada</w:t>
      </w:r>
      <w:r>
        <w:rPr>
          <w:rFonts w:ascii="Verdana" w:eastAsia="Calibri" w:hAnsi="Verdana" w:cs="Arial"/>
          <w:color w:val="000000" w:themeColor="text1"/>
          <w:lang w:eastAsia="es-ES"/>
        </w:rPr>
        <w:t xml:space="preserve"> en este concepto</w:t>
      </w:r>
      <w:r w:rsidRPr="00FB6807">
        <w:rPr>
          <w:rFonts w:ascii="Verdana" w:eastAsia="Calibri" w:hAnsi="Verdana" w:cs="Arial"/>
          <w:color w:val="000000" w:themeColor="text1"/>
          <w:lang w:eastAsia="es-ES"/>
        </w:rPr>
        <w:t xml:space="preserve">, teniendo en cuenta lo dispuesto en el artículo 37 de la Ley 2056 de 2020, las entidades ejecutoras designadas </w:t>
      </w:r>
      <w:r w:rsidRPr="00FB6807">
        <w:rPr>
          <w:rFonts w:ascii="Verdana" w:eastAsia="Calibri" w:hAnsi="Verdana" w:cs="Arial"/>
          <w:i/>
          <w:iCs/>
          <w:color w:val="000000" w:themeColor="text1"/>
          <w:lang w:eastAsia="es-ES"/>
        </w:rPr>
        <w:t>deben</w:t>
      </w:r>
      <w:r w:rsidRPr="00FB6807">
        <w:rPr>
          <w:rFonts w:ascii="Verdana" w:eastAsia="Calibri" w:hAnsi="Verdana" w:cs="Arial"/>
          <w:color w:val="000000" w:themeColor="text1"/>
          <w:lang w:eastAsia="es-ES"/>
        </w:rPr>
        <w:t xml:space="preserve"> sujetarse al EGCAP,</w:t>
      </w:r>
      <w:r w:rsidRPr="00FB6807">
        <w:rPr>
          <w:rFonts w:ascii="Verdana" w:eastAsia="Calibri" w:hAnsi="Verdana" w:cs="Arial"/>
          <w:color w:val="000000"/>
          <w:lang w:val="es-ES" w:eastAsia="es-ES"/>
        </w:rPr>
        <w:t xml:space="preserve"> sin perjuicio de que en sus demás actividades apliquen el régimen especial que les corresponda</w:t>
      </w:r>
      <w:r w:rsidRPr="00FB6807">
        <w:rPr>
          <w:rFonts w:ascii="Verdana" w:eastAsia="Calibri" w:hAnsi="Verdana" w:cs="Arial"/>
          <w:color w:val="000000" w:themeColor="text1"/>
          <w:lang w:eastAsia="es-ES"/>
        </w:rPr>
        <w:t xml:space="preserve">. Esto </w:t>
      </w:r>
      <w:r w:rsidRPr="00FB6807">
        <w:rPr>
          <w:rFonts w:ascii="Verdana" w:eastAsia="Calibri" w:hAnsi="Verdana" w:cs="Arial"/>
          <w:color w:val="000000" w:themeColor="text1"/>
          <w:lang w:eastAsia="es-ES"/>
        </w:rPr>
        <w:lastRenderedPageBreak/>
        <w:t xml:space="preserve">significa que la contratación de los bienes, obras o servicios que se adelante con fundamento en dicha normativa, </w:t>
      </w:r>
      <w:r w:rsidRPr="00374F20">
        <w:rPr>
          <w:rFonts w:ascii="Verdana" w:eastAsia="Calibri" w:hAnsi="Verdana" w:cs="Arial"/>
          <w:color w:val="000000" w:themeColor="text1"/>
          <w:lang w:eastAsia="es-ES"/>
        </w:rPr>
        <w:t>deberá</w:t>
      </w:r>
      <w:r w:rsidRPr="00FB6807">
        <w:rPr>
          <w:rFonts w:ascii="Verdana" w:eastAsia="Calibri" w:hAnsi="Verdana" w:cs="Arial"/>
          <w:color w:val="000000" w:themeColor="text1"/>
          <w:lang w:eastAsia="es-ES"/>
        </w:rPr>
        <w:t xml:space="preserve"> sujetarse a las disposiciones del EGCAP </w:t>
      </w:r>
      <w:proofErr w:type="gramStart"/>
      <w:r w:rsidRPr="00FB6807">
        <w:rPr>
          <w:rFonts w:ascii="Verdana" w:eastAsia="Calibri" w:hAnsi="Verdana" w:cs="Arial"/>
          <w:color w:val="000000" w:themeColor="text1"/>
          <w:lang w:eastAsia="es-ES"/>
        </w:rPr>
        <w:t>y</w:t>
      </w:r>
      <w:proofErr w:type="gramEnd"/>
      <w:r w:rsidRPr="00FB6807">
        <w:rPr>
          <w:rFonts w:ascii="Verdana" w:eastAsia="Calibri" w:hAnsi="Verdana" w:cs="Arial"/>
          <w:color w:val="000000" w:themeColor="text1"/>
          <w:lang w:eastAsia="es-ES"/>
        </w:rPr>
        <w:t xml:space="preserve"> en consecuencia, los procesos de contratación </w:t>
      </w:r>
      <w:r w:rsidRPr="00FB6807">
        <w:rPr>
          <w:rFonts w:ascii="Verdana" w:eastAsia="Calibri" w:hAnsi="Verdana" w:cs="Arial"/>
          <w:i/>
          <w:iCs/>
          <w:color w:val="000000" w:themeColor="text1"/>
          <w:lang w:eastAsia="es-ES"/>
        </w:rPr>
        <w:t>deberán</w:t>
      </w:r>
      <w:r w:rsidRPr="00FB6807">
        <w:rPr>
          <w:rFonts w:ascii="Verdana" w:eastAsia="Calibri" w:hAnsi="Verdana" w:cs="Arial"/>
          <w:color w:val="000000" w:themeColor="text1"/>
          <w:lang w:eastAsia="es-ES"/>
        </w:rPr>
        <w:t xml:space="preserve"> desarrollarse observando las etapas, términos, procedimientos y demás reglas previstas en dicho estatuto, </w:t>
      </w:r>
      <w:r w:rsidRPr="00FB6807">
        <w:rPr>
          <w:rFonts w:ascii="Verdana" w:hAnsi="Verdana" w:cs="Arial"/>
        </w:rPr>
        <w:t>acudiendo a las modalidades de selección establecidas por el artículo 2 de la Ley 1150 de 2007.</w:t>
      </w:r>
    </w:p>
    <w:p w14:paraId="16BED8BB"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contexto, a juicio de esta Agencia cuando las </w:t>
      </w:r>
      <w:r>
        <w:rPr>
          <w:rFonts w:ascii="Verdana" w:eastAsia="Calibri" w:hAnsi="Verdana" w:cs="Arial"/>
          <w:color w:val="000000" w:themeColor="text1"/>
          <w:lang w:eastAsia="es-ES"/>
        </w:rPr>
        <w:t xml:space="preserve">entidades con régimen especial </w:t>
      </w:r>
      <w:r w:rsidRPr="00FB6807">
        <w:rPr>
          <w:rFonts w:ascii="Verdana" w:eastAsia="Calibri" w:hAnsi="Verdana" w:cs="Arial"/>
          <w:color w:val="000000" w:themeColor="text1"/>
          <w:lang w:eastAsia="es-ES"/>
        </w:rPr>
        <w:t xml:space="preserve">sean designadas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328D415F"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Bajo esta premisa, e</w:t>
      </w:r>
      <w:r w:rsidRPr="00336762">
        <w:rPr>
          <w:rFonts w:ascii="Verdana" w:eastAsia="Calibri" w:hAnsi="Verdana" w:cs="Arial"/>
          <w:color w:val="000000" w:themeColor="text1"/>
          <w:lang w:eastAsia="es-ES"/>
        </w:rPr>
        <w:t>sta sujeción comprende no solamente la aplicación de las modalidades de selección y de las reglas correspondientes a las diferentes etapas del procedimiento contractual, sino también</w:t>
      </w:r>
      <w:r>
        <w:rPr>
          <w:rFonts w:ascii="Verdana" w:eastAsia="Calibri" w:hAnsi="Verdana" w:cs="Arial"/>
          <w:color w:val="000000" w:themeColor="text1"/>
          <w:lang w:eastAsia="es-ES"/>
        </w:rPr>
        <w:t xml:space="preserve"> las</w:t>
      </w:r>
      <w:r w:rsidRPr="00336762">
        <w:rPr>
          <w:rFonts w:ascii="Verdana" w:eastAsia="Calibri" w:hAnsi="Verdana" w:cs="Arial"/>
          <w:color w:val="000000" w:themeColor="text1"/>
          <w:lang w:eastAsia="es-ES"/>
        </w:rPr>
        <w:t xml:space="preserve"> facultades, obligaciones y mecanismos de ejecución previstos en el EGCAP que resulten aplicables al contrato. Por consiguiente, en la contratación con recursos del SGR, las entidades ejecutoras deberán observar, cuando corresponda, las reglas sobre documentos tipo, garantías, multas, cláusula penal y las potestades excepcionales de la </w:t>
      </w:r>
      <w:r>
        <w:rPr>
          <w:rFonts w:ascii="Verdana" w:eastAsia="Calibri" w:hAnsi="Verdana" w:cs="Arial"/>
          <w:color w:val="000000" w:themeColor="text1"/>
          <w:lang w:eastAsia="es-ES"/>
        </w:rPr>
        <w:t>a</w:t>
      </w:r>
      <w:r w:rsidRPr="00336762">
        <w:rPr>
          <w:rFonts w:ascii="Verdana" w:eastAsia="Calibri" w:hAnsi="Verdana" w:cs="Arial"/>
          <w:color w:val="000000" w:themeColor="text1"/>
          <w:lang w:eastAsia="es-ES"/>
        </w:rPr>
        <w:t xml:space="preserve">dministración, en los términos y bajo las condiciones establecidos por </w:t>
      </w:r>
      <w:r>
        <w:rPr>
          <w:rFonts w:ascii="Verdana" w:eastAsia="Calibri" w:hAnsi="Verdana" w:cs="Arial"/>
          <w:color w:val="000000" w:themeColor="text1"/>
          <w:lang w:eastAsia="es-ES"/>
        </w:rPr>
        <w:t>dicho estatuto.</w:t>
      </w:r>
    </w:p>
    <w:p w14:paraId="70119F44"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sidRPr="008D6E92">
        <w:rPr>
          <w:rFonts w:ascii="Verdana" w:eastAsia="Calibri" w:hAnsi="Verdana" w:cs="Arial"/>
          <w:color w:val="000000" w:themeColor="text1"/>
          <w:lang w:eastAsia="es-ES"/>
        </w:rPr>
        <w:t xml:space="preserve">En particular, </w:t>
      </w:r>
      <w:r>
        <w:rPr>
          <w:rFonts w:ascii="Verdana" w:eastAsia="Calibri" w:hAnsi="Verdana" w:cs="Arial"/>
          <w:color w:val="000000" w:themeColor="text1"/>
          <w:lang w:eastAsia="es-ES"/>
        </w:rPr>
        <w:t xml:space="preserve">a diferencia de lo que sucede con las multas y la cláusula penal, </w:t>
      </w:r>
      <w:r w:rsidRPr="008D6E92">
        <w:rPr>
          <w:rFonts w:ascii="Verdana" w:eastAsia="Calibri" w:hAnsi="Verdana" w:cs="Arial"/>
          <w:color w:val="000000" w:themeColor="text1"/>
          <w:lang w:eastAsia="es-ES"/>
        </w:rPr>
        <w:t xml:space="preserve">respecto de las potestades previstas en los artículos 14 </w:t>
      </w:r>
      <w:r>
        <w:rPr>
          <w:rFonts w:ascii="Verdana" w:eastAsia="Calibri" w:hAnsi="Verdana" w:cs="Arial"/>
          <w:color w:val="000000" w:themeColor="text1"/>
          <w:lang w:eastAsia="es-ES"/>
        </w:rPr>
        <w:t>y siguientes</w:t>
      </w:r>
      <w:r w:rsidRPr="008D6E92">
        <w:rPr>
          <w:rFonts w:ascii="Verdana" w:eastAsia="Calibri" w:hAnsi="Verdana" w:cs="Arial"/>
          <w:color w:val="000000" w:themeColor="text1"/>
          <w:lang w:eastAsia="es-ES"/>
        </w:rPr>
        <w:t xml:space="preserve"> de la Ley 80 de 1993, </w:t>
      </w:r>
      <w:r>
        <w:rPr>
          <w:rFonts w:ascii="Verdana" w:eastAsia="Calibri" w:hAnsi="Verdana" w:cs="Arial"/>
          <w:color w:val="000000" w:themeColor="text1"/>
          <w:lang w:eastAsia="es-ES"/>
        </w:rPr>
        <w:t xml:space="preserve">incluyendo la caducidad, </w:t>
      </w:r>
      <w:r w:rsidRPr="008D6E92">
        <w:rPr>
          <w:rFonts w:ascii="Verdana" w:eastAsia="Calibri" w:hAnsi="Verdana" w:cs="Arial"/>
          <w:color w:val="000000" w:themeColor="text1"/>
          <w:lang w:eastAsia="es-ES"/>
        </w:rPr>
        <w:t xml:space="preserve">su aplicación no depende de que la entidad ejecutora haya incorporado previamente dichas facultades en su manual de contratación ni de que las haya pactado expresamente en el contrato como consecuencia de su régimen especial. La fuente de estas potestades, en este supuesto, se encuentra directamente en el régimen jurídico al que la entidad queda sometida para efectos de la ejecución contractual de los recursos del SGR. Por tanto, cuando el contrato se encuentre dentro de los supuestos en los cuales </w:t>
      </w:r>
      <w:r w:rsidRPr="008D6E92">
        <w:rPr>
          <w:rFonts w:ascii="Verdana" w:eastAsia="Calibri" w:hAnsi="Verdana" w:cs="Arial"/>
          <w:color w:val="000000" w:themeColor="text1"/>
          <w:lang w:eastAsia="es-ES"/>
        </w:rPr>
        <w:lastRenderedPageBreak/>
        <w:t>el EGCAP prevé el ejercicio de una determinada potestad excepcional, la entidad ejecutora podrá ejercerla con fundamento en las disposiciones de la Ley 80 de 1993, observando las condiciones, límites y procedimientos establecidos en ellas.</w:t>
      </w:r>
    </w:p>
    <w:p w14:paraId="6F17F806"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sidRPr="001F0DD2">
        <w:rPr>
          <w:rFonts w:ascii="Verdana" w:eastAsia="Calibri" w:hAnsi="Verdana" w:cs="Arial"/>
          <w:color w:val="000000" w:themeColor="text1"/>
          <w:lang w:eastAsia="es-ES"/>
        </w:rPr>
        <w:t xml:space="preserve">Así, la aplicación del EGCAP en este ámbito comporta también que la entidad ejecutora </w:t>
      </w:r>
      <w:r>
        <w:rPr>
          <w:rFonts w:ascii="Verdana" w:eastAsia="Calibri" w:hAnsi="Verdana" w:cs="Arial"/>
          <w:color w:val="000000" w:themeColor="text1"/>
          <w:lang w:eastAsia="es-ES"/>
        </w:rPr>
        <w:t xml:space="preserve">de los recursos del SGR </w:t>
      </w:r>
      <w:r w:rsidRPr="001F0DD2">
        <w:rPr>
          <w:rFonts w:ascii="Verdana" w:eastAsia="Calibri" w:hAnsi="Verdana" w:cs="Arial"/>
          <w:color w:val="000000" w:themeColor="text1"/>
          <w:lang w:eastAsia="es-ES"/>
        </w:rPr>
        <w:t>pueda ejercer las potestades excepcionales que legalmente resulten procedentes</w:t>
      </w:r>
      <w:r>
        <w:rPr>
          <w:rFonts w:ascii="Verdana" w:eastAsia="Calibri" w:hAnsi="Verdana" w:cs="Arial"/>
          <w:color w:val="000000" w:themeColor="text1"/>
          <w:lang w:eastAsia="es-ES"/>
        </w:rPr>
        <w:t xml:space="preserve">, </w:t>
      </w:r>
      <w:r w:rsidRPr="001F0DD2">
        <w:rPr>
          <w:rFonts w:ascii="Verdana" w:eastAsia="Calibri" w:hAnsi="Verdana" w:cs="Arial"/>
          <w:color w:val="000000" w:themeColor="text1"/>
          <w:lang w:eastAsia="es-ES"/>
        </w:rPr>
        <w:t>entre ellas, cuando se configuren los presupuestos previstos en la ley, la interpretación, modificación o terminación unilateral y la declaratoria de caducidad, sin que para ello sea necesaria una disposición legal adicional que atribuya tales competencias</w:t>
      </w:r>
      <w:r>
        <w:rPr>
          <w:rFonts w:ascii="Verdana" w:eastAsia="Calibri" w:hAnsi="Verdana" w:cs="Arial"/>
          <w:color w:val="000000" w:themeColor="text1"/>
          <w:lang w:eastAsia="es-ES"/>
        </w:rPr>
        <w:t>, puesto que l</w:t>
      </w:r>
      <w:r w:rsidRPr="001F0DD2">
        <w:rPr>
          <w:rFonts w:ascii="Verdana" w:eastAsia="Calibri" w:hAnsi="Verdana" w:cs="Arial"/>
          <w:color w:val="000000" w:themeColor="text1"/>
          <w:lang w:eastAsia="es-ES"/>
        </w:rPr>
        <w:t>a habilitación deriva de la propia regla de sujeción establecida por e</w:t>
      </w:r>
      <w:r>
        <w:rPr>
          <w:rFonts w:ascii="Verdana" w:eastAsia="Calibri" w:hAnsi="Verdana" w:cs="Arial"/>
          <w:color w:val="000000" w:themeColor="text1"/>
          <w:lang w:eastAsia="es-ES"/>
        </w:rPr>
        <w:t>l parágrafo del</w:t>
      </w:r>
      <w:r w:rsidRPr="001F0DD2">
        <w:rPr>
          <w:rFonts w:ascii="Verdana" w:eastAsia="Calibri" w:hAnsi="Verdana" w:cs="Arial"/>
          <w:color w:val="000000" w:themeColor="text1"/>
          <w:lang w:eastAsia="es-ES"/>
        </w:rPr>
        <w:t xml:space="preserve"> artículo 37 de la Ley 2056 de 2020. Lo anterior debe entenderse sin perjuicio de que la entidad adecúe su manual de contratación y demás instrumentos internos, con el fin de incorporar las reglas y procedimientos necesarios para la gestión de los contratos sometidos al EGCAP, sin que dicha regulación interna pueda crear, restringir o modificar las competencias que directamente reconoce la ley.</w:t>
      </w:r>
    </w:p>
    <w:p w14:paraId="0592F5FE"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Sobre el particular, vale </w:t>
      </w:r>
      <w:r w:rsidRPr="00FB6807">
        <w:rPr>
          <w:rFonts w:ascii="Verdana" w:eastAsia="Calibri" w:hAnsi="Verdana" w:cs="Arial"/>
          <w:color w:val="000000" w:themeColor="text1"/>
          <w:lang w:eastAsia="es-ES"/>
        </w:rPr>
        <w:t>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71F3D5D5"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w:t>
      </w:r>
      <w:r w:rsidRPr="00FB6807">
        <w:rPr>
          <w:rFonts w:ascii="Verdana" w:eastAsia="Calibri" w:hAnsi="Verdana" w:cs="Arial"/>
          <w:color w:val="000000" w:themeColor="text1"/>
          <w:lang w:eastAsia="es-ES"/>
        </w:rPr>
        <w:lastRenderedPageBreak/>
        <w:t>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FB6807">
        <w:rPr>
          <w:rFonts w:ascii="Verdana" w:eastAsia="Calibri" w:hAnsi="Verdana" w:cs="Arial"/>
          <w:color w:val="000000" w:themeColor="text1"/>
          <w:vertAlign w:val="superscript"/>
          <w:lang w:eastAsia="es-ES"/>
        </w:rPr>
        <w:footnoteReference w:id="13"/>
      </w:r>
      <w:r w:rsidRPr="00FB6807">
        <w:rPr>
          <w:rFonts w:ascii="Verdana" w:eastAsia="Calibri" w:hAnsi="Verdana" w:cs="Arial"/>
          <w:color w:val="000000" w:themeColor="text1"/>
          <w:lang w:eastAsia="es-ES"/>
        </w:rPr>
        <w:t>.”</w:t>
      </w:r>
    </w:p>
    <w:p w14:paraId="325F2DF0" w14:textId="77777777" w:rsidR="006C6A36" w:rsidRPr="00FB6807" w:rsidRDefault="006C6A36" w:rsidP="006C6A36">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087216D9" w14:textId="77777777" w:rsidR="006C6A36" w:rsidRPr="00674FE5" w:rsidRDefault="006C6A36" w:rsidP="006C6A3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En atención a lo anterior, cuando el ente ejecutor carezca de capacidad técnica, administrativa u operativa para desarrollar directamente las actividades del proyecto —según el deber de autoevaluación del artículo 2.1.1.3.18 del Decreto 1821 de 2020—, podrá vincular a otra entidad idónea, </w:t>
      </w:r>
      <w:r w:rsidRPr="00674FE5">
        <w:rPr>
          <w:rFonts w:ascii="Verdana" w:eastAsia="Calibri" w:hAnsi="Verdana" w:cs="Arial"/>
          <w:color w:val="000000" w:themeColor="text1"/>
          <w:lang w:eastAsia="es-ES"/>
        </w:rPr>
        <w:t xml:space="preserve">pública o privada, a través de la modalidad de selección que corresponda conforme al EGCAP, atendiendo al objeto contractual.  Ahora bien, esa vinculación no puede instrumentarse mediante contrato o convenio interadministrativo (literal c del numeral 4 del artículo 2 de la Ley 1150 de 2007), por el criterio orgánico respecto de aquellas </w:t>
      </w:r>
      <w:r>
        <w:rPr>
          <w:rFonts w:ascii="Verdana" w:eastAsia="Calibri" w:hAnsi="Verdana" w:cs="Arial"/>
          <w:color w:val="000000" w:themeColor="text1"/>
          <w:lang w:eastAsia="es-ES"/>
        </w:rPr>
        <w:t xml:space="preserve">organizaciones </w:t>
      </w:r>
      <w:r w:rsidRPr="00674FE5">
        <w:rPr>
          <w:rFonts w:ascii="Verdana" w:eastAsia="Calibri" w:hAnsi="Verdana" w:cs="Arial"/>
          <w:color w:val="000000" w:themeColor="text1"/>
          <w:lang w:eastAsia="es-ES"/>
        </w:rPr>
        <w:t xml:space="preserve">que no tengan el carácter de entidad estatal pues esta es una figura reservada para esta categoría, por lo que es necesario revisar su naturaleza jurídica para establecer su procedencia. En todo caso, la vinculación de un tercero para la ejecución técnica no traslada la condición de ejecutor: por expreso mandato del </w:t>
      </w:r>
      <w:r w:rsidRPr="00C9478A">
        <w:rPr>
          <w:rFonts w:ascii="Verdana" w:eastAsia="Calibri" w:hAnsi="Verdana" w:cs="Arial"/>
          <w:color w:val="000000" w:themeColor="text1"/>
          <w:lang w:eastAsia="es-ES"/>
        </w:rPr>
        <w:t xml:space="preserve">parágrafo </w:t>
      </w:r>
      <w:r>
        <w:rPr>
          <w:rFonts w:ascii="Verdana" w:eastAsia="Calibri" w:hAnsi="Verdana" w:cs="Arial"/>
          <w:color w:val="000000" w:themeColor="text1"/>
          <w:lang w:eastAsia="es-ES"/>
        </w:rPr>
        <w:t>1</w:t>
      </w:r>
      <w:r w:rsidRPr="00C9478A">
        <w:rPr>
          <w:rFonts w:ascii="Verdana" w:eastAsia="Calibri" w:hAnsi="Verdana" w:cs="Arial"/>
          <w:color w:val="000000" w:themeColor="text1"/>
          <w:lang w:eastAsia="es-ES"/>
        </w:rPr>
        <w:t>º del</w:t>
      </w:r>
      <w:r w:rsidRPr="00674FE5">
        <w:rPr>
          <w:rFonts w:ascii="Verdana" w:eastAsia="Calibri" w:hAnsi="Verdana" w:cs="Arial"/>
          <w:color w:val="000000" w:themeColor="text1"/>
          <w:lang w:eastAsia="es-ES"/>
        </w:rPr>
        <w:t xml:space="preserve"> artículo 84 de la Ley 2056 de 2020, el ejecutor es el ordenador del gasto y garantiza la correcta ejecución de los recursos, responsabilidad que resulta indelegable.</w:t>
      </w:r>
    </w:p>
    <w:p w14:paraId="1BE34153" w14:textId="77777777" w:rsidR="006C6A36" w:rsidRDefault="006C6A36" w:rsidP="006C6A36">
      <w:pPr>
        <w:spacing w:after="120" w:line="276" w:lineRule="auto"/>
        <w:ind w:firstLine="709"/>
        <w:jc w:val="both"/>
        <w:rPr>
          <w:rFonts w:ascii="Verdana" w:eastAsia="Calibri" w:hAnsi="Verdana" w:cs="Arial"/>
          <w:color w:val="000000" w:themeColor="text1"/>
          <w:lang w:eastAsia="es-ES"/>
        </w:rPr>
      </w:pPr>
      <w:r w:rsidRPr="00674FE5">
        <w:rPr>
          <w:rFonts w:ascii="Verdana" w:eastAsia="Calibri" w:hAnsi="Verdana" w:cs="Arial"/>
          <w:color w:val="000000" w:themeColor="text1"/>
          <w:lang w:eastAsia="es-ES"/>
        </w:rPr>
        <w:t>En este contexto</w:t>
      </w:r>
      <w:r>
        <w:rPr>
          <w:rFonts w:ascii="Verdana" w:eastAsia="Calibri" w:hAnsi="Verdana" w:cs="Arial"/>
          <w:color w:val="000000" w:themeColor="text1"/>
          <w:lang w:eastAsia="es-ES"/>
        </w:rPr>
        <w:t xml:space="preserve">, la </w:t>
      </w:r>
      <w:r w:rsidRPr="00674FE5">
        <w:rPr>
          <w:rFonts w:ascii="Verdana" w:eastAsia="Calibri" w:hAnsi="Verdana" w:cs="Arial"/>
          <w:color w:val="000000" w:themeColor="text1"/>
          <w:lang w:eastAsia="es-ES"/>
        </w:rPr>
        <w:t xml:space="preserve">entidad ejecutora puede subcontratar legítimamente las actividades que requiera y celebrar los contratos necesarios para materializar la asignación que administra, conforme a las decisiones de la instancia de decisión competente. Lo que no puede es trasladar a un tercero su condición de ejecutora ni la responsabilidad que de ella se deriva, pues el subcontrato no constituye un mecanismo para delegar dicho rol en el marco del SGR. Ese </w:t>
      </w:r>
      <w:r w:rsidRPr="00674FE5">
        <w:rPr>
          <w:rFonts w:ascii="Verdana" w:eastAsia="Calibri" w:hAnsi="Verdana" w:cs="Arial"/>
          <w:color w:val="000000" w:themeColor="text1"/>
          <w:lang w:eastAsia="es-ES"/>
        </w:rPr>
        <w:lastRenderedPageBreak/>
        <w:t>traslado íntegro no solo compromete la validez del contrato, por las razones expuestas, sino que puede generar detrimento patrimonial por los sobrecostos propios de la intermediación. Por ello, cuando la ejecución exija contratar con terceros bajo el EGCAP, la ejecutora debe garantizar la selección objetiva del contratista y el respeto del régimen de inhabilidades e incompatibilidades, además de las demás reglas y principios del estatuto</w:t>
      </w:r>
      <w:r>
        <w:rPr>
          <w:rFonts w:ascii="Verdana" w:eastAsia="Calibri" w:hAnsi="Verdana" w:cs="Arial"/>
          <w:color w:val="000000" w:themeColor="text1"/>
          <w:lang w:eastAsia="es-ES"/>
        </w:rPr>
        <w:t>, y la aplicación de las cláusulas excepcionales, según corresponda.</w:t>
      </w:r>
    </w:p>
    <w:p w14:paraId="784DD35B" w14:textId="77777777" w:rsidR="006C6A36" w:rsidRPr="00BF70E2" w:rsidRDefault="006C6A36" w:rsidP="006C6A36">
      <w:pPr>
        <w:spacing w:after="120" w:line="276" w:lineRule="auto"/>
        <w:jc w:val="both"/>
        <w:rPr>
          <w:rFonts w:ascii="Verdana" w:eastAsia="Calibri" w:hAnsi="Verdana" w:cs="Arial"/>
          <w:color w:val="000000" w:themeColor="text1"/>
          <w:lang w:eastAsia="es-ES"/>
        </w:rPr>
      </w:pPr>
      <w:r w:rsidRPr="00C743F4">
        <w:rPr>
          <w:rFonts w:ascii="Verdana" w:eastAsia="Calibri" w:hAnsi="Verdana" w:cs="Arial"/>
          <w:b/>
          <w:bCs/>
          <w:color w:val="000000" w:themeColor="text1"/>
          <w:lang w:eastAsia="es-ES"/>
        </w:rPr>
        <w:t xml:space="preserve">vi. </w:t>
      </w:r>
      <w:r w:rsidRPr="00BF70E2">
        <w:rPr>
          <w:rFonts w:ascii="Verdana" w:eastAsia="Calibri" w:hAnsi="Verdana" w:cs="Arial"/>
          <w:color w:val="000000" w:themeColor="text1"/>
          <w:lang w:eastAsia="es-ES"/>
        </w:rPr>
        <w:t>Ahora bien, de acuerdo con la interpretación explicada, las entidades ejecutoras para efectos de los recursos de regalías deben sujetarse al EGCAP,</w:t>
      </w:r>
      <w:r w:rsidRPr="00BF70E2">
        <w:rPr>
          <w:rFonts w:ascii="Verdana" w:eastAsia="Calibri" w:hAnsi="Verdana" w:cs="Arial"/>
          <w:color w:val="000000"/>
          <w:lang w:val="es-ES" w:eastAsia="es-ES"/>
        </w:rPr>
        <w:t xml:space="preserve"> sin perjuicio de que en sus demás actividades apliquen el régimen especial que les corresponda</w:t>
      </w:r>
      <w:r w:rsidRPr="00BF70E2">
        <w:rPr>
          <w:rFonts w:ascii="Verdana" w:eastAsia="Calibri" w:hAnsi="Verdana" w:cs="Arial"/>
          <w:color w:val="000000" w:themeColor="text1"/>
          <w:lang w:eastAsia="es-ES"/>
        </w:rPr>
        <w:t xml:space="preserve">. Esto significa que, en el marco de la ejecución de estos proyectos, la contratación de los bienes, obras o servicios deberá adelantarse conforme las reglas establecidos en el EGCAP, lo que implica la aplicación de los documentos tipo cuando se adelanten procesos de contratación con objetos contractuales cobijados por alguno de los Documentos Tipo vigentes en los diferentes sectores. </w:t>
      </w:r>
    </w:p>
    <w:p w14:paraId="5CB251D4" w14:textId="77777777" w:rsidR="006C6A36" w:rsidRPr="00BF70E2" w:rsidRDefault="006C6A36" w:rsidP="006C6A36">
      <w:pPr>
        <w:spacing w:after="120" w:line="276" w:lineRule="auto"/>
        <w:ind w:firstLine="708"/>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En efecto, de conformidad con el parágrafo 7 del artículo 2 de la Ley 1150 de 2007, adicionado por la Ley 1882 de 2018 y modificado por la Ley 2022 de 2020, las Entidades Estatales regidas por el EGCAP, se encuentran obligadas a aplicar los Documentos Tipo implementados por esta Agencia para adelantar los Procesos de Contratación que se encuentren cobijados por los Documentos Tipo expedidos. </w:t>
      </w:r>
    </w:p>
    <w:p w14:paraId="3FFA10F3" w14:textId="77777777" w:rsidR="006C6A36" w:rsidRPr="00BF70E2" w:rsidRDefault="006C6A36" w:rsidP="006C6A36">
      <w:pPr>
        <w:spacing w:after="120" w:line="276" w:lineRule="auto"/>
        <w:ind w:firstLine="708"/>
        <w:jc w:val="both"/>
        <w:rPr>
          <w:rFonts w:ascii="Verdana" w:eastAsia="Calibri" w:hAnsi="Verdana" w:cs="Arial"/>
          <w:lang w:val="es-ES"/>
        </w:rPr>
      </w:pPr>
      <w:r w:rsidRPr="00BF70E2">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r w:rsidRPr="00BF70E2">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7769196F" w14:textId="77777777" w:rsidR="006C6A36" w:rsidRPr="00BF70E2" w:rsidRDefault="006C6A36" w:rsidP="006C6A36">
      <w:pPr>
        <w:spacing w:after="120" w:line="276" w:lineRule="auto"/>
        <w:ind w:firstLine="708"/>
        <w:jc w:val="both"/>
        <w:rPr>
          <w:rFonts w:ascii="Verdana" w:eastAsia="Calibri" w:hAnsi="Verdana" w:cs="Arial"/>
          <w:color w:val="000000" w:themeColor="text1"/>
          <w:lang w:eastAsia="es-ES"/>
        </w:rPr>
      </w:pPr>
      <w:r w:rsidRPr="00BF70E2">
        <w:rPr>
          <w:rFonts w:ascii="Verdana" w:eastAsia="Calibri" w:hAnsi="Verdana" w:cs="Arial"/>
          <w:lang w:val="es-ES"/>
        </w:rPr>
        <w:lastRenderedPageBreak/>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BF70E2">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1601AB64" w14:textId="77777777" w:rsidR="006C6A36" w:rsidRPr="00BF70E2" w:rsidRDefault="006C6A36" w:rsidP="006C6A36">
      <w:pPr>
        <w:spacing w:before="120" w:line="276" w:lineRule="auto"/>
        <w:jc w:val="both"/>
        <w:rPr>
          <w:rFonts w:ascii="Verdana" w:eastAsia="Calibri" w:hAnsi="Verdana" w:cs="Times New Roman"/>
        </w:rPr>
      </w:pPr>
      <w:proofErr w:type="spellStart"/>
      <w:r w:rsidRPr="00147DFD">
        <w:rPr>
          <w:rFonts w:ascii="Verdana" w:eastAsia="Calibri" w:hAnsi="Verdana" w:cs="Times New Roman"/>
          <w:b/>
          <w:bCs/>
        </w:rPr>
        <w:t>vii</w:t>
      </w:r>
      <w:proofErr w:type="spellEnd"/>
      <w:r w:rsidRPr="00147DFD">
        <w:rPr>
          <w:rFonts w:ascii="Verdana" w:eastAsia="Calibri" w:hAnsi="Verdana" w:cs="Times New Roman"/>
          <w:b/>
          <w:bCs/>
        </w:rPr>
        <w:t>.</w:t>
      </w:r>
      <w:r>
        <w:rPr>
          <w:rFonts w:ascii="Verdana" w:eastAsia="Calibri" w:hAnsi="Verdana" w:cs="Times New Roman"/>
        </w:rPr>
        <w:t xml:space="preserve"> </w:t>
      </w:r>
      <w:r w:rsidRPr="00BF70E2">
        <w:rPr>
          <w:rFonts w:ascii="Verdana" w:eastAsia="Calibri" w:hAnsi="Verdana" w:cs="Times New Roman"/>
        </w:rPr>
        <w:t>Por último, de acuerdo con lo planteado en la consulta, 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w:t>
      </w:r>
    </w:p>
    <w:p w14:paraId="5918DCBD" w14:textId="77777777" w:rsidR="006C6A36" w:rsidRPr="00C743F4" w:rsidRDefault="006C6A36" w:rsidP="006C6A36">
      <w:pPr>
        <w:spacing w:before="120" w:line="276" w:lineRule="auto"/>
        <w:ind w:firstLine="709"/>
        <w:jc w:val="both"/>
        <w:rPr>
          <w:rFonts w:ascii="Verdana" w:eastAsia="Calibri" w:hAnsi="Verdana" w:cs="Arial"/>
          <w:noProof/>
        </w:rPr>
      </w:pPr>
      <w:bookmarkStart w:id="7" w:name="_Hlk109111956"/>
      <w:r w:rsidRPr="00BF70E2">
        <w:rPr>
          <w:rFonts w:ascii="Verdana" w:eastAsia="Calibri" w:hAnsi="Verdana" w:cs="Times New Roman"/>
        </w:rPr>
        <w:t>Conforme a lo expuesto, en el marco del Sistema General de Regalías</w:t>
      </w:r>
      <w:r w:rsidRPr="00BF70E2">
        <w:rPr>
          <w:rFonts w:ascii="Verdana" w:eastAsia="Calibri" w:hAnsi="Verdana" w:cs="Arial"/>
        </w:rPr>
        <w:t xml:space="preserve"> las entidades ejecutoras tienen la</w:t>
      </w:r>
      <w:r w:rsidRPr="00BF70E2">
        <w:rPr>
          <w:rFonts w:ascii="Verdana" w:eastAsia="Calibri" w:hAnsi="Verdana" w:cs="Times New Roman"/>
        </w:rPr>
        <w:t xml:space="preserve"> obligación de registro y publicación en el SECOP de toda la actividad contractual. Además,</w:t>
      </w:r>
      <w:r w:rsidRPr="00BF70E2">
        <w:rPr>
          <w:rFonts w:ascii="Verdana" w:eastAsia="Calibri" w:hAnsi="Verdana" w:cs="Arial"/>
          <w:noProof/>
        </w:rPr>
        <w:t xml:space="preserve"> este deber de publicación en el SECOP, se hace extensivo a la entidades ejecutoras teniendo en cuenta que su actividad en esta materia se encuentra sometida al Estatuto General de Contratación de la Administración Pública, en virtud de la remisión del </w:t>
      </w:r>
      <w:r w:rsidRPr="00BF70E2">
        <w:rPr>
          <w:rFonts w:ascii="Verdana" w:eastAsia="Calibri" w:hAnsi="Verdana" w:cs="Arial"/>
          <w:color w:val="000000" w:themeColor="text1"/>
          <w:lang w:eastAsia="es-ES"/>
        </w:rPr>
        <w:t xml:space="preserve">artículo 37 de la Ley 2056 de 2020. De cualquier modo, es importante aclarar que el deber de publicidad también es extensible a las entidades exceptuadas, en los términos del artículo 53 </w:t>
      </w:r>
      <w:r w:rsidRPr="00BF70E2">
        <w:rPr>
          <w:rFonts w:ascii="Verdana" w:eastAsia="Calibri" w:hAnsi="Verdana" w:cs="Arial"/>
          <w:lang w:val="es-ES_tradnl"/>
        </w:rPr>
        <w:t>de la Ley 2195 de 2022</w:t>
      </w:r>
      <w:r w:rsidRPr="00BF70E2">
        <w:rPr>
          <w:rFonts w:ascii="Verdana" w:eastAsia="Calibri" w:hAnsi="Verdana" w:cs="Arial"/>
          <w:vertAlign w:val="superscript"/>
          <w:lang w:val="es-ES_tradnl"/>
        </w:rPr>
        <w:footnoteReference w:id="14"/>
      </w:r>
      <w:r w:rsidRPr="00BF70E2">
        <w:rPr>
          <w:rFonts w:ascii="Verdana" w:eastAsia="Calibri" w:hAnsi="Verdana" w:cs="Arial"/>
          <w:lang w:val="es-ES_tradnl"/>
        </w:rPr>
        <w:t>, quienes</w:t>
      </w:r>
      <w:r w:rsidRPr="00BF70E2">
        <w:rPr>
          <w:rFonts w:ascii="Verdana" w:eastAsia="Calibri" w:hAnsi="Verdana" w:cs="Arial"/>
          <w:noProof/>
        </w:rPr>
        <w:t xml:space="preserve"> deben </w:t>
      </w:r>
      <w:r w:rsidRPr="00BF70E2">
        <w:rPr>
          <w:rFonts w:ascii="Verdana" w:eastAsia="Calibri" w:hAnsi="Verdana" w:cs="Arial"/>
          <w:lang w:val="es-ES_tradnl"/>
        </w:rPr>
        <w:t xml:space="preserve">publicar en el SECOP II todo documento expedido durante las diferentes etapas del proceso contractual, abarcando desde la fase previa a su celebración, pasando por la ejecución y </w:t>
      </w:r>
      <w:r w:rsidRPr="00BF70E2">
        <w:rPr>
          <w:rFonts w:ascii="Verdana" w:eastAsia="Calibri" w:hAnsi="Verdana" w:cs="Arial"/>
          <w:lang w:val="es-ES_tradnl"/>
        </w:rPr>
        <w:lastRenderedPageBreak/>
        <w:t>hasta la fase posterior a su ejecución. Lo anterior sin perjuicio de las reservas de información establecidas en normas de orden constitucional o legal.</w:t>
      </w:r>
      <w:bookmarkEnd w:id="7"/>
    </w:p>
    <w:p w14:paraId="29D92E74" w14:textId="77777777" w:rsidR="006C6A36" w:rsidRPr="00ED169D" w:rsidRDefault="006C6A36" w:rsidP="006C6A36">
      <w:pPr>
        <w:tabs>
          <w:tab w:val="left" w:pos="426"/>
        </w:tabs>
        <w:spacing w:after="0" w:line="276" w:lineRule="auto"/>
        <w:ind w:firstLine="709"/>
        <w:jc w:val="both"/>
        <w:rPr>
          <w:rFonts w:ascii="Arial" w:eastAsia="Times New Roman" w:hAnsi="Arial" w:cs="Arial"/>
          <w:bCs/>
          <w:lang w:eastAsia="es-CO"/>
        </w:rPr>
      </w:pPr>
    </w:p>
    <w:bookmarkEnd w:id="4"/>
    <w:bookmarkEnd w:id="5"/>
    <w:p w14:paraId="0BD7F248" w14:textId="77777777" w:rsidR="006C6A36" w:rsidRPr="001F283D" w:rsidRDefault="006C6A36" w:rsidP="006C6A36">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76767B56" w14:textId="77777777" w:rsidR="006C6A36" w:rsidRPr="00593A5F" w:rsidRDefault="006C6A36" w:rsidP="006C6A3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C6A36" w:rsidRPr="002407CE" w14:paraId="231246A0" w14:textId="77777777" w:rsidTr="005A2A12">
        <w:trPr>
          <w:trHeight w:val="870"/>
          <w:jc w:val="center"/>
        </w:trPr>
        <w:tc>
          <w:tcPr>
            <w:tcW w:w="8647" w:type="dxa"/>
          </w:tcPr>
          <w:p w14:paraId="3A668183" w14:textId="77777777" w:rsidR="006C6A36" w:rsidRPr="00D37120" w:rsidRDefault="006C6A36" w:rsidP="005A2A12">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sidRPr="00393943">
              <w:rPr>
                <w:rFonts w:ascii="Verdana" w:hAnsi="Verdana" w:cs="Arial"/>
              </w:rPr>
              <w:t xml:space="preserve">Constitución Política de 1991, artículos </w:t>
            </w:r>
            <w:r>
              <w:rPr>
                <w:rFonts w:ascii="Verdana" w:hAnsi="Verdana" w:cs="Arial"/>
              </w:rPr>
              <w:t xml:space="preserve">29, </w:t>
            </w:r>
            <w:r w:rsidRPr="00393943">
              <w:rPr>
                <w:rFonts w:ascii="Verdana" w:hAnsi="Verdana" w:cs="Arial"/>
              </w:rPr>
              <w:t>360 y 361</w:t>
            </w:r>
            <w:r>
              <w:rPr>
                <w:rFonts w:ascii="Verdana" w:hAnsi="Verdana" w:cs="Arial"/>
              </w:rPr>
              <w:t>.</w:t>
            </w:r>
            <w:r w:rsidRPr="00B87E7A">
              <w:rPr>
                <w:rFonts w:ascii="Verdana" w:hAnsi="Verdana" w:cs="Arial"/>
              </w:rPr>
              <w:t xml:space="preserve"> </w:t>
            </w:r>
          </w:p>
          <w:p w14:paraId="09834E64" w14:textId="77777777" w:rsidR="006C6A36" w:rsidRPr="00642EA6" w:rsidRDefault="006C6A36" w:rsidP="005A2A12">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489 de 1998. Artículo 38, 68 y 97</w:t>
            </w:r>
          </w:p>
          <w:p w14:paraId="0D6316F7" w14:textId="77777777" w:rsidR="006C6A36" w:rsidRDefault="006C6A36" w:rsidP="005A2A12">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80 de 1993. Artículo 2, literal a)</w:t>
            </w:r>
          </w:p>
          <w:p w14:paraId="2D74C3E5" w14:textId="77777777" w:rsidR="006C6A36" w:rsidRDefault="006C6A36" w:rsidP="005A2A12">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17</w:t>
            </w:r>
          </w:p>
          <w:p w14:paraId="738BEA93" w14:textId="77777777" w:rsidR="006C6A36" w:rsidRDefault="006C6A36" w:rsidP="005A2A12">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3.</w:t>
            </w:r>
          </w:p>
          <w:p w14:paraId="59B3070E" w14:textId="77777777" w:rsidR="006C6A36" w:rsidRDefault="006C6A36" w:rsidP="005A2A12">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86.</w:t>
            </w:r>
          </w:p>
          <w:p w14:paraId="44229574" w14:textId="77777777" w:rsidR="006C6A36" w:rsidRDefault="006C6A36" w:rsidP="005A2A12">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2056 de 2020, artículos 27 y 37</w:t>
            </w:r>
          </w:p>
          <w:p w14:paraId="7DCC5628" w14:textId="77777777" w:rsidR="006C6A36" w:rsidRPr="009F2E5C" w:rsidRDefault="006C6A36" w:rsidP="005A2A12">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sidRPr="00BF70E2">
              <w:rPr>
                <w:rFonts w:ascii="Verdana" w:eastAsia="Calibri" w:hAnsi="Verdana" w:cs="Arial"/>
                <w:lang w:val="es-ES_tradnl"/>
              </w:rPr>
              <w:t>Ley 2195 de 2022</w:t>
            </w:r>
            <w:r>
              <w:rPr>
                <w:rFonts w:ascii="Verdana" w:eastAsia="Calibri" w:hAnsi="Verdana" w:cs="Arial"/>
                <w:lang w:val="es-ES_tradnl"/>
              </w:rPr>
              <w:t>, articulo 53</w:t>
            </w:r>
          </w:p>
        </w:tc>
      </w:tr>
    </w:tbl>
    <w:p w14:paraId="0F2C38FA" w14:textId="77777777" w:rsidR="006C6A36" w:rsidRPr="00277E26" w:rsidRDefault="006C6A36" w:rsidP="006C6A36">
      <w:pPr>
        <w:widowControl w:val="0"/>
        <w:autoSpaceDE w:val="0"/>
        <w:autoSpaceDN w:val="0"/>
        <w:spacing w:after="0" w:line="276" w:lineRule="auto"/>
        <w:jc w:val="both"/>
        <w:rPr>
          <w:rFonts w:ascii="Verdana" w:hAnsi="Verdana" w:cs="Arial"/>
        </w:rPr>
      </w:pPr>
    </w:p>
    <w:p w14:paraId="2E9281EC" w14:textId="77777777" w:rsidR="006C6A36" w:rsidRPr="001F283D" w:rsidRDefault="006C6A36" w:rsidP="006C6A36">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58F0FEE" w14:textId="77777777" w:rsidR="006C6A36" w:rsidRDefault="006C6A36" w:rsidP="006C6A36">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1C62E518" w14:textId="77777777" w:rsidR="006C6A36" w:rsidRPr="00ED0098" w:rsidRDefault="006C6A36" w:rsidP="006C6A36">
      <w:pPr>
        <w:widowControl w:val="0"/>
        <w:autoSpaceDE w:val="0"/>
        <w:autoSpaceDN w:val="0"/>
        <w:spacing w:after="0" w:line="276" w:lineRule="auto"/>
        <w:jc w:val="both"/>
        <w:rPr>
          <w:rStyle w:val="normaltextrun"/>
          <w:rFonts w:ascii="Verdana" w:hAnsi="Verdana" w:cs="Arial"/>
          <w:shd w:val="clear" w:color="auto" w:fill="FFFFFF"/>
        </w:rPr>
      </w:pPr>
      <w:r w:rsidRPr="008554C1">
        <w:rPr>
          <w:rFonts w:ascii="Verdana" w:hAnsi="Verdana" w:cs="Arial"/>
          <w:shd w:val="clear" w:color="auto" w:fill="FFFFFF"/>
        </w:rPr>
        <w:t>Esta Subdirección se ha pronunciado sobre el régimen de contratación de las entidades ejecutoras cuando ejecutan recursos del SGR en los conceptos C-370 del 2021,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Pr>
          <w:rFonts w:ascii="Verdana" w:hAnsi="Verdana" w:cs="Arial"/>
          <w:shd w:val="clear" w:color="auto" w:fill="FFFFFF"/>
        </w:rPr>
        <w:t>,</w:t>
      </w:r>
      <w:r w:rsidRPr="008554C1">
        <w:rPr>
          <w:rFonts w:ascii="Verdana" w:hAnsi="Verdana" w:cs="Arial"/>
          <w:shd w:val="clear" w:color="auto" w:fill="FFFFFF"/>
        </w:rPr>
        <w:t xml:space="preserve"> C-764 del 29 de mayo de 2026</w:t>
      </w:r>
      <w:r>
        <w:rPr>
          <w:rFonts w:ascii="Verdana" w:hAnsi="Verdana" w:cs="Arial"/>
          <w:shd w:val="clear" w:color="auto" w:fill="FFFFFF"/>
        </w:rPr>
        <w:t xml:space="preserve"> y C-1050 del 21 de julio de 2026</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9"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8FB9613" w14:textId="77777777" w:rsidR="006C6A36" w:rsidRPr="00900D7D" w:rsidRDefault="006C6A36" w:rsidP="006C6A36">
      <w:pPr>
        <w:widowControl w:val="0"/>
        <w:autoSpaceDE w:val="0"/>
        <w:autoSpaceDN w:val="0"/>
        <w:spacing w:after="0" w:line="276" w:lineRule="auto"/>
        <w:jc w:val="both"/>
        <w:rPr>
          <w:rFonts w:ascii="Verdana" w:eastAsia="Calibri" w:hAnsi="Verdana" w:cs="Arial"/>
          <w:color w:val="000000" w:themeColor="text1"/>
          <w:lang w:eastAsia="es-ES_tradnl"/>
        </w:rPr>
      </w:pPr>
    </w:p>
    <w:p w14:paraId="06B90DE7" w14:textId="77777777" w:rsidR="006C6A36" w:rsidRPr="00237766" w:rsidRDefault="006C6A36" w:rsidP="006C6A36">
      <w:pPr>
        <w:spacing w:after="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45716D6" w14:textId="77777777" w:rsidR="006C6A36" w:rsidRPr="008E4F36" w:rsidRDefault="006C6A36" w:rsidP="006C6A36">
      <w:pPr>
        <w:pStyle w:val="Prrafodelista"/>
        <w:numPr>
          <w:ilvl w:val="0"/>
          <w:numId w:val="1"/>
        </w:numPr>
        <w:spacing w:after="0" w:line="276" w:lineRule="auto"/>
        <w:contextualSpacing w:val="0"/>
        <w:jc w:val="both"/>
        <w:rPr>
          <w:rFonts w:ascii="Verdana" w:hAnsi="Verdana"/>
        </w:rPr>
      </w:pPr>
      <w:r w:rsidRPr="008E4F36">
        <w:rPr>
          <w:rFonts w:ascii="Verdana" w:hAnsi="Verdana"/>
        </w:rPr>
        <w:lastRenderedPageBreak/>
        <w:t>Línea nacional gratuita o servicio a la ciudadanía: 01800 0520808</w:t>
      </w:r>
    </w:p>
    <w:p w14:paraId="1C13C0E6" w14:textId="77777777" w:rsidR="006C6A36" w:rsidRPr="008E4F36" w:rsidRDefault="006C6A36" w:rsidP="006C6A36">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3CDBF106" w14:textId="77777777" w:rsidR="006C6A36" w:rsidRPr="008E4F36" w:rsidRDefault="006C6A36" w:rsidP="006C6A36">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5CBA593B" w14:textId="77777777" w:rsidR="006C6A36" w:rsidRPr="008E4F36" w:rsidRDefault="006C6A36" w:rsidP="006C6A36">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73FE1568" w14:textId="77777777" w:rsidR="006C6A36" w:rsidRPr="008E4F36" w:rsidRDefault="006C6A36" w:rsidP="006C6A36">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758822FA" w14:textId="77777777" w:rsidR="006C6A36" w:rsidRPr="008E4F36" w:rsidRDefault="006C6A36" w:rsidP="006C6A36">
      <w:pPr>
        <w:spacing w:after="0" w:line="276" w:lineRule="auto"/>
        <w:jc w:val="both"/>
        <w:rPr>
          <w:rFonts w:ascii="Verdana" w:hAnsi="Verdana"/>
        </w:rPr>
      </w:pPr>
    </w:p>
    <w:p w14:paraId="02B2B5C1" w14:textId="77777777" w:rsidR="006C6A36" w:rsidRPr="008E4F36" w:rsidRDefault="006C6A36" w:rsidP="006C6A36">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1CF35401" w14:textId="77777777" w:rsidR="006C6A36" w:rsidRPr="008E4F36" w:rsidRDefault="006C6A36" w:rsidP="006C6A36">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3DEA6842" w14:textId="77777777" w:rsidR="006C6A36" w:rsidRPr="008E4F36" w:rsidRDefault="006C6A36" w:rsidP="006C6A36">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64AE77CD" w14:textId="77777777" w:rsidR="006C6A36" w:rsidRDefault="006C6A36" w:rsidP="006C6A36">
      <w:pPr>
        <w:spacing w:after="0" w:line="276" w:lineRule="auto"/>
        <w:jc w:val="both"/>
        <w:rPr>
          <w:rFonts w:ascii="Verdana" w:hAnsi="Verdana"/>
        </w:rPr>
      </w:pPr>
    </w:p>
    <w:p w14:paraId="1436ECC9" w14:textId="77777777" w:rsidR="006C6A36" w:rsidRPr="00FB6C33" w:rsidRDefault="006C6A36" w:rsidP="006C6A36">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A26916C" w14:textId="77777777" w:rsidR="006C6A36" w:rsidRPr="008E4F36" w:rsidRDefault="006C6A36" w:rsidP="006C6A36">
      <w:pPr>
        <w:spacing w:after="0" w:line="276" w:lineRule="auto"/>
        <w:jc w:val="both"/>
        <w:rPr>
          <w:rFonts w:ascii="Verdana" w:eastAsia="Calibri" w:hAnsi="Verdana" w:cs="Times New Roman"/>
        </w:rPr>
      </w:pPr>
    </w:p>
    <w:p w14:paraId="54A58AC4" w14:textId="77777777" w:rsidR="006C6A36" w:rsidRDefault="006C6A36" w:rsidP="006C6A36">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6DC95352" w14:textId="618AE663" w:rsidR="006C6A36" w:rsidRDefault="00A678D1" w:rsidP="006C6A36">
      <w:pPr>
        <w:spacing w:after="0" w:line="256" w:lineRule="auto"/>
        <w:jc w:val="both"/>
        <w:rPr>
          <w:rFonts w:ascii="Verdana" w:eastAsia="Calibri" w:hAnsi="Verdana" w:cs="Times New Roman"/>
        </w:rPr>
      </w:pPr>
      <w:r>
        <w:rPr>
          <w:rFonts w:ascii="Verdana" w:hAnsi="Verdana"/>
          <w:noProof/>
          <w14:ligatures w14:val="standardContextual"/>
        </w:rPr>
        <w:drawing>
          <wp:anchor distT="0" distB="0" distL="114300" distR="114300" simplePos="0" relativeHeight="251659264" behindDoc="1" locked="0" layoutInCell="1" allowOverlap="1" wp14:anchorId="3958882A" wp14:editId="111BFC5A">
            <wp:simplePos x="0" y="0"/>
            <wp:positionH relativeFrom="column">
              <wp:posOffset>1495425</wp:posOffset>
            </wp:positionH>
            <wp:positionV relativeFrom="paragraph">
              <wp:posOffset>111125</wp:posOffset>
            </wp:positionV>
            <wp:extent cx="2947670" cy="1097280"/>
            <wp:effectExtent l="0" t="0" r="5080" b="7620"/>
            <wp:wrapTight wrapText="bothSides">
              <wp:wrapPolygon edited="0">
                <wp:start x="0" y="0"/>
                <wp:lineTo x="0" y="21375"/>
                <wp:lineTo x="21498" y="21375"/>
                <wp:lineTo x="21498" y="0"/>
                <wp:lineTo x="0" y="0"/>
              </wp:wrapPolygon>
            </wp:wrapTight>
            <wp:docPr id="14515603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60380" name="Imagen 1451560380"/>
                    <pic:cNvPicPr/>
                  </pic:nvPicPr>
                  <pic:blipFill>
                    <a:blip r:embed="rId11">
                      <a:extLst>
                        <a:ext uri="{28A0092B-C50C-407E-A947-70E740481C1C}">
                          <a14:useLocalDpi xmlns:a14="http://schemas.microsoft.com/office/drawing/2010/main" val="0"/>
                        </a:ext>
                      </a:extLst>
                    </a:blip>
                    <a:stretch>
                      <a:fillRect/>
                    </a:stretch>
                  </pic:blipFill>
                  <pic:spPr>
                    <a:xfrm>
                      <a:off x="0" y="0"/>
                      <a:ext cx="2947670" cy="1097280"/>
                    </a:xfrm>
                    <a:prstGeom prst="rect">
                      <a:avLst/>
                    </a:prstGeom>
                  </pic:spPr>
                </pic:pic>
              </a:graphicData>
            </a:graphic>
            <wp14:sizeRelH relativeFrom="margin">
              <wp14:pctWidth>0</wp14:pctWidth>
            </wp14:sizeRelH>
            <wp14:sizeRelV relativeFrom="margin">
              <wp14:pctHeight>0</wp14:pctHeight>
            </wp14:sizeRelV>
          </wp:anchor>
        </w:drawing>
      </w:r>
    </w:p>
    <w:p w14:paraId="5F8E73FD" w14:textId="79EBAE4E" w:rsidR="006C6A36" w:rsidRDefault="006C6A36" w:rsidP="006C6A36">
      <w:pPr>
        <w:spacing w:after="0"/>
        <w:rPr>
          <w:rFonts w:ascii="Verdana" w:hAnsi="Verdana"/>
        </w:rPr>
      </w:pPr>
    </w:p>
    <w:p w14:paraId="77048CD8" w14:textId="77777777" w:rsidR="006C6A36" w:rsidRDefault="006C6A36" w:rsidP="006C6A36">
      <w:pPr>
        <w:spacing w:after="0"/>
        <w:rPr>
          <w:rFonts w:ascii="Verdana" w:hAnsi="Verdana"/>
        </w:rPr>
      </w:pPr>
    </w:p>
    <w:p w14:paraId="049C35CE" w14:textId="77777777" w:rsidR="006C6A36" w:rsidRDefault="006C6A36" w:rsidP="006C6A36">
      <w:pPr>
        <w:contextualSpacing/>
        <w:rPr>
          <w:rFonts w:ascii="Verdana" w:eastAsia="Calibri" w:hAnsi="Verdana" w:cs="Arial"/>
          <w:color w:val="000000" w:themeColor="text1"/>
          <w:sz w:val="16"/>
          <w:szCs w:val="16"/>
          <w:lang w:val="pt-BR" w:eastAsia="es-ES"/>
        </w:rPr>
      </w:pPr>
    </w:p>
    <w:p w14:paraId="77C8D2B6" w14:textId="77777777" w:rsidR="006C6A36" w:rsidRDefault="006C6A36" w:rsidP="006C6A36">
      <w:pPr>
        <w:contextualSpacing/>
        <w:rPr>
          <w:rFonts w:ascii="Verdana" w:eastAsia="Calibri" w:hAnsi="Verdana" w:cs="Arial"/>
          <w:color w:val="000000" w:themeColor="text1"/>
          <w:sz w:val="16"/>
          <w:szCs w:val="16"/>
          <w:lang w:val="pt-BR" w:eastAsia="es-ES"/>
        </w:rPr>
      </w:pPr>
    </w:p>
    <w:bookmarkEnd w:id="0"/>
    <w:bookmarkEnd w:id="1"/>
    <w:p w14:paraId="62C31A5B" w14:textId="77777777" w:rsidR="006C6A36" w:rsidRDefault="006C6A36" w:rsidP="006C6A36">
      <w:pPr>
        <w:spacing w:after="0"/>
        <w:rPr>
          <w:rFonts w:ascii="Verdana" w:hAnsi="Verdana"/>
        </w:rPr>
      </w:pPr>
    </w:p>
    <w:p w14:paraId="71D6FBC8" w14:textId="77777777" w:rsidR="006C6A36" w:rsidRDefault="006C6A36" w:rsidP="006C6A36">
      <w:pPr>
        <w:spacing w:after="0"/>
        <w:rPr>
          <w:rFonts w:ascii="Verdana" w:hAnsi="Verdana"/>
        </w:rPr>
      </w:pPr>
    </w:p>
    <w:p w14:paraId="2F58F94C" w14:textId="77777777" w:rsidR="00A678D1" w:rsidRDefault="00A678D1" w:rsidP="006C6A36">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C6A36" w:rsidRPr="002423D6" w14:paraId="3B4969B8" w14:textId="77777777" w:rsidTr="005A2A12">
        <w:trPr>
          <w:trHeight w:val="315"/>
        </w:trPr>
        <w:tc>
          <w:tcPr>
            <w:tcW w:w="893" w:type="dxa"/>
            <w:vAlign w:val="center"/>
            <w:hideMark/>
          </w:tcPr>
          <w:p w14:paraId="5F8628FB" w14:textId="77777777" w:rsidR="006C6A36" w:rsidRPr="002423D6" w:rsidRDefault="006C6A36" w:rsidP="005A2A1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DF12CE" w14:textId="77777777" w:rsidR="006C6A36" w:rsidRPr="002423D6" w:rsidRDefault="006C6A36" w:rsidP="005A2A12">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60E138B5" w14:textId="77777777" w:rsidR="006C6A36" w:rsidRPr="002423D6" w:rsidRDefault="006C6A36" w:rsidP="005A2A12">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6C6A36" w:rsidRPr="002423D6" w14:paraId="1C52F89C" w14:textId="77777777" w:rsidTr="005A2A12">
        <w:trPr>
          <w:trHeight w:val="330"/>
        </w:trPr>
        <w:tc>
          <w:tcPr>
            <w:tcW w:w="893" w:type="dxa"/>
            <w:vAlign w:val="center"/>
            <w:hideMark/>
          </w:tcPr>
          <w:p w14:paraId="0A699C40" w14:textId="77777777" w:rsidR="006C6A36" w:rsidRPr="002423D6" w:rsidRDefault="006C6A36" w:rsidP="005A2A1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9C0604" w14:textId="77777777" w:rsidR="006C6A36" w:rsidRPr="002423D6" w:rsidRDefault="006C6A36" w:rsidP="005A2A12">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4C9F74DC" w14:textId="77777777" w:rsidR="006C6A36" w:rsidRPr="002423D6" w:rsidRDefault="006C6A36" w:rsidP="005A2A12">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6C6A36" w:rsidRPr="002423D6" w14:paraId="7EB05FEA" w14:textId="77777777" w:rsidTr="005A2A12">
        <w:trPr>
          <w:trHeight w:val="300"/>
        </w:trPr>
        <w:tc>
          <w:tcPr>
            <w:tcW w:w="893" w:type="dxa"/>
            <w:vAlign w:val="center"/>
          </w:tcPr>
          <w:p w14:paraId="36184699" w14:textId="77777777" w:rsidR="006C6A36" w:rsidRPr="002423D6" w:rsidRDefault="006C6A36" w:rsidP="005A2A1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C5931D3" w14:textId="77777777" w:rsidR="006C6A36" w:rsidRPr="002423D6" w:rsidRDefault="006C6A36" w:rsidP="005A2A12">
            <w:pPr>
              <w:contextualSpacing/>
              <w:rPr>
                <w:rFonts w:ascii="Verdana" w:eastAsia="Calibri" w:hAnsi="Verdana" w:cs="Arial"/>
                <w:color w:val="000000" w:themeColor="text1"/>
                <w:sz w:val="16"/>
                <w:szCs w:val="16"/>
                <w:lang w:val="pt-BR" w:eastAsia="es-ES"/>
              </w:rPr>
            </w:pPr>
            <w:r>
              <w:rPr>
                <w:rFonts w:ascii="Verdana" w:eastAsia="Calibri" w:hAnsi="Verdana" w:cs="Arial"/>
                <w:color w:val="000000" w:themeColor="text1"/>
                <w:sz w:val="16"/>
                <w:szCs w:val="16"/>
                <w:lang w:val="pt-BR" w:eastAsia="es-ES"/>
              </w:rPr>
              <w:t xml:space="preserve">William Javier Murcia </w:t>
            </w:r>
            <w:proofErr w:type="spellStart"/>
            <w:r>
              <w:rPr>
                <w:rFonts w:ascii="Verdana" w:eastAsia="Calibri" w:hAnsi="Verdana" w:cs="Arial"/>
                <w:color w:val="000000" w:themeColor="text1"/>
                <w:sz w:val="16"/>
                <w:szCs w:val="16"/>
                <w:lang w:val="pt-BR" w:eastAsia="es-ES"/>
              </w:rPr>
              <w:t>Acevedo</w:t>
            </w:r>
            <w:proofErr w:type="spellEnd"/>
          </w:p>
          <w:p w14:paraId="64D9481D" w14:textId="77777777" w:rsidR="006C6A36" w:rsidRPr="002423D6" w:rsidRDefault="006C6A36" w:rsidP="005A2A12">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w:t>
            </w:r>
            <w:r>
              <w:rPr>
                <w:rFonts w:ascii="Verdana" w:eastAsia="Calibri" w:hAnsi="Verdana" w:cs="Arial"/>
                <w:color w:val="000000" w:themeColor="text1"/>
                <w:sz w:val="16"/>
                <w:szCs w:val="16"/>
                <w:lang w:val="pt-BR" w:eastAsia="es-ES"/>
              </w:rPr>
              <w:t>(E)</w:t>
            </w:r>
            <w:r w:rsidRPr="002423D6">
              <w:rPr>
                <w:rFonts w:ascii="Verdana" w:eastAsia="Calibri" w:hAnsi="Verdana" w:cs="Arial"/>
                <w:color w:val="000000" w:themeColor="text1"/>
                <w:sz w:val="16"/>
                <w:szCs w:val="16"/>
                <w:lang w:val="pt-BR" w:eastAsia="es-ES"/>
              </w:rPr>
              <w:t>ANCP – CCE</w:t>
            </w:r>
          </w:p>
        </w:tc>
      </w:tr>
    </w:tbl>
    <w:p w14:paraId="4F5C9CFA" w14:textId="77777777" w:rsidR="006C6A36" w:rsidRPr="0069505A" w:rsidRDefault="006C6A36" w:rsidP="006C6A36"/>
    <w:p w14:paraId="0ADDDD42" w14:textId="77777777" w:rsidR="000F5A42" w:rsidRPr="006C6A36" w:rsidRDefault="000F5A42" w:rsidP="006C6A36"/>
    <w:sectPr w:rsidR="000F5A42" w:rsidRPr="006C6A36" w:rsidSect="00847E3F">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90835" w14:textId="77777777" w:rsidR="00E6619F" w:rsidRDefault="00E6619F" w:rsidP="00847E3F">
      <w:pPr>
        <w:spacing w:after="0" w:line="240" w:lineRule="auto"/>
      </w:pPr>
      <w:r>
        <w:separator/>
      </w:r>
    </w:p>
  </w:endnote>
  <w:endnote w:type="continuationSeparator" w:id="0">
    <w:p w14:paraId="7AA3E781" w14:textId="77777777" w:rsidR="00E6619F" w:rsidRDefault="00E6619F" w:rsidP="00847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E26A" w14:textId="77777777" w:rsidR="00847E3F" w:rsidRDefault="00847E3F">
    <w:pPr>
      <w:pStyle w:val="Piedepgina"/>
    </w:pPr>
  </w:p>
  <w:p w14:paraId="218AC45E" w14:textId="77777777" w:rsidR="00847E3F" w:rsidRPr="00174B77" w:rsidRDefault="00847E3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39C050A" w14:textId="77777777" w:rsidR="00847E3F" w:rsidRDefault="00847E3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37A47FE" w14:textId="77777777" w:rsidR="00847E3F" w:rsidRPr="00E41027" w:rsidRDefault="00847E3F" w:rsidP="00D520D8">
    <w:pPr>
      <w:spacing w:after="0"/>
      <w:jc w:val="both"/>
      <w:rPr>
        <w:rFonts w:ascii="Verdana" w:hAnsi="Verdana"/>
        <w:sz w:val="18"/>
        <w:szCs w:val="18"/>
      </w:rPr>
    </w:pPr>
    <w:r w:rsidRPr="00E41027">
      <w:rPr>
        <w:rFonts w:ascii="Verdana" w:hAnsi="Verdana"/>
        <w:sz w:val="18"/>
        <w:szCs w:val="18"/>
      </w:rPr>
      <w:t>Mesa de servicio: (+57) 601 7456788</w:t>
    </w:r>
  </w:p>
  <w:p w14:paraId="3528C2AD" w14:textId="77777777" w:rsidR="00847E3F" w:rsidRDefault="00847E3F"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6BB1A" w14:textId="77777777" w:rsidR="00E6619F" w:rsidRDefault="00E6619F" w:rsidP="00847E3F">
      <w:pPr>
        <w:spacing w:after="0" w:line="240" w:lineRule="auto"/>
      </w:pPr>
      <w:r>
        <w:separator/>
      </w:r>
    </w:p>
  </w:footnote>
  <w:footnote w:type="continuationSeparator" w:id="0">
    <w:p w14:paraId="09B9CFCA" w14:textId="77777777" w:rsidR="00E6619F" w:rsidRDefault="00E6619F" w:rsidP="00847E3F">
      <w:pPr>
        <w:spacing w:after="0" w:line="240" w:lineRule="auto"/>
      </w:pPr>
      <w:r>
        <w:continuationSeparator/>
      </w:r>
    </w:p>
  </w:footnote>
  <w:footnote w:id="1">
    <w:p w14:paraId="6928F860" w14:textId="77777777" w:rsidR="006C6A36" w:rsidRPr="006438E3" w:rsidRDefault="006C6A36" w:rsidP="006C6A36">
      <w:pPr>
        <w:pBdr>
          <w:top w:val="nil"/>
          <w:left w:val="nil"/>
          <w:bottom w:val="nil"/>
          <w:right w:val="nil"/>
          <w:between w:val="nil"/>
        </w:pBdr>
        <w:ind w:firstLine="709"/>
        <w:jc w:val="both"/>
        <w:rPr>
          <w:rFonts w:ascii="Arial" w:eastAsia="Arial" w:hAnsi="Arial" w:cs="Arial"/>
          <w:sz w:val="16"/>
          <w:szCs w:val="16"/>
        </w:rPr>
      </w:pPr>
      <w:r w:rsidRPr="00056095">
        <w:rPr>
          <w:rFonts w:ascii="Verdana" w:hAnsi="Verdana" w:cs="Arial"/>
          <w:sz w:val="16"/>
          <w:szCs w:val="16"/>
          <w:vertAlign w:val="superscript"/>
        </w:rPr>
        <w:footnoteRef/>
      </w:r>
      <w:r w:rsidRPr="00056095">
        <w:rPr>
          <w:rFonts w:ascii="Verdana" w:eastAsia="Arial" w:hAnsi="Verdana"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056095">
        <w:rPr>
          <w:rFonts w:ascii="Verdana" w:eastAsia="Arial" w:hAnsi="Verdana" w:cs="Arial"/>
          <w:i/>
          <w:sz w:val="16"/>
          <w:szCs w:val="16"/>
        </w:rPr>
        <w:t>ibídem</w:t>
      </w:r>
      <w:proofErr w:type="spellEnd"/>
      <w:r w:rsidRPr="00056095">
        <w:rPr>
          <w:rFonts w:ascii="Verdana" w:eastAsia="Arial" w:hAnsi="Verdana" w:cs="Arial"/>
          <w:i/>
          <w:sz w:val="16"/>
          <w:szCs w:val="16"/>
        </w:rPr>
        <w:t xml:space="preserve"> </w:t>
      </w:r>
      <w:r w:rsidRPr="00056095">
        <w:rPr>
          <w:rFonts w:ascii="Verdana" w:eastAsia="Arial" w:hAnsi="Verdana" w:cs="Arial"/>
          <w:sz w:val="16"/>
          <w:szCs w:val="16"/>
        </w:rPr>
        <w:t>señala, de manera precisa, las funciones de Colombia Compra Eficiente. Concretamente, el numeral 5º de este artículo establece que le corresponde a esta entidad: “[a]</w:t>
      </w:r>
      <w:proofErr w:type="spellStart"/>
      <w:r w:rsidRPr="00056095">
        <w:rPr>
          <w:rFonts w:ascii="Verdana" w:eastAsia="Arial" w:hAnsi="Verdana" w:cs="Arial"/>
          <w:sz w:val="16"/>
          <w:szCs w:val="16"/>
        </w:rPr>
        <w:t>bsolver</w:t>
      </w:r>
      <w:proofErr w:type="spellEnd"/>
      <w:r w:rsidRPr="00056095">
        <w:rPr>
          <w:rFonts w:ascii="Verdana" w:eastAsia="Arial" w:hAnsi="Verdana" w:cs="Arial"/>
          <w:sz w:val="16"/>
          <w:szCs w:val="16"/>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r w:rsidRPr="006438E3">
        <w:rPr>
          <w:rFonts w:ascii="Arial" w:eastAsia="Arial" w:hAnsi="Arial" w:cs="Arial"/>
          <w:sz w:val="16"/>
          <w:szCs w:val="16"/>
        </w:rPr>
        <w:t>.</w:t>
      </w:r>
    </w:p>
    <w:p w14:paraId="63CD76F4" w14:textId="77777777" w:rsidR="006C6A36" w:rsidRPr="009C3D43" w:rsidRDefault="006C6A36" w:rsidP="006C6A36">
      <w:pPr>
        <w:pBdr>
          <w:top w:val="nil"/>
          <w:left w:val="nil"/>
          <w:bottom w:val="nil"/>
          <w:right w:val="nil"/>
          <w:between w:val="nil"/>
        </w:pBdr>
        <w:ind w:firstLine="709"/>
        <w:jc w:val="both"/>
        <w:rPr>
          <w:rFonts w:ascii="Arial" w:eastAsia="Arial" w:hAnsi="Arial" w:cs="Arial"/>
          <w:sz w:val="19"/>
          <w:szCs w:val="19"/>
        </w:rPr>
      </w:pPr>
    </w:p>
  </w:footnote>
  <w:footnote w:id="2">
    <w:p w14:paraId="6CD33397" w14:textId="77777777" w:rsidR="006C6A36" w:rsidRPr="00836EE8" w:rsidRDefault="006C6A36" w:rsidP="006C6A36">
      <w:pPr>
        <w:pStyle w:val="Textonotapie"/>
        <w:ind w:firstLine="709"/>
        <w:jc w:val="both"/>
        <w:rPr>
          <w:rFonts w:ascii="Verdana" w:hAnsi="Verdana" w:cs="Arial"/>
          <w:sz w:val="16"/>
          <w:szCs w:val="16"/>
        </w:rPr>
      </w:pPr>
      <w:r w:rsidRPr="00836EE8">
        <w:rPr>
          <w:rStyle w:val="Refdenotaalpie"/>
          <w:rFonts w:ascii="Verdana" w:hAnsi="Verdana" w:cs="Arial"/>
          <w:sz w:val="16"/>
          <w:szCs w:val="16"/>
        </w:rPr>
        <w:footnoteRef/>
      </w:r>
      <w:r w:rsidRPr="00836EE8">
        <w:rPr>
          <w:rFonts w:ascii="Verdana" w:hAnsi="Verdana" w:cs="Arial"/>
          <w:sz w:val="16"/>
          <w:szCs w:val="16"/>
        </w:rPr>
        <w:t xml:space="preserve"> Procuraduría General de la Nación. Concepto del 15 de octubre de 2014. Procuraduría </w:t>
      </w:r>
      <w:proofErr w:type="gramStart"/>
      <w:r w:rsidRPr="00836EE8">
        <w:rPr>
          <w:rFonts w:ascii="Verdana" w:hAnsi="Verdana" w:cs="Arial"/>
          <w:sz w:val="16"/>
          <w:szCs w:val="16"/>
        </w:rPr>
        <w:t>Delegada</w:t>
      </w:r>
      <w:proofErr w:type="gramEnd"/>
      <w:r w:rsidRPr="00836EE8">
        <w:rPr>
          <w:rFonts w:ascii="Verdana" w:hAnsi="Verdana" w:cs="Arial"/>
          <w:sz w:val="16"/>
          <w:szCs w:val="16"/>
        </w:rPr>
        <w:t xml:space="preserve"> para Asuntos Disciplinarios. Radicado PAD C-114-2014.</w:t>
      </w:r>
    </w:p>
  </w:footnote>
  <w:footnote w:id="3">
    <w:p w14:paraId="7D6F07D6" w14:textId="77777777" w:rsidR="006C6A36" w:rsidRPr="00836EE8" w:rsidRDefault="006C6A36" w:rsidP="006C6A36">
      <w:pPr>
        <w:pStyle w:val="Textonotapie"/>
        <w:ind w:firstLine="708"/>
        <w:jc w:val="both"/>
        <w:rPr>
          <w:rFonts w:ascii="Verdana" w:hAnsi="Verdana" w:cs="Arial"/>
          <w:sz w:val="16"/>
          <w:szCs w:val="16"/>
        </w:rPr>
      </w:pPr>
      <w:r w:rsidRPr="00836EE8">
        <w:rPr>
          <w:rStyle w:val="Refdenotaalpie"/>
          <w:rFonts w:ascii="Verdana" w:hAnsi="Verdana" w:cs="Arial"/>
          <w:sz w:val="16"/>
          <w:szCs w:val="16"/>
        </w:rPr>
        <w:footnoteRef/>
      </w:r>
      <w:r w:rsidRPr="00836EE8">
        <w:rPr>
          <w:rFonts w:ascii="Verdana" w:hAnsi="Verdana" w:cs="Arial"/>
          <w:sz w:val="16"/>
          <w:szCs w:val="16"/>
        </w:rPr>
        <w:t xml:space="preserve"> Contraloría General de la República. Oficina Jurídica. Concepto 80112-OJ-008 2017.</w:t>
      </w:r>
    </w:p>
  </w:footnote>
  <w:footnote w:id="4">
    <w:p w14:paraId="278C90CF" w14:textId="77777777" w:rsidR="006C6A36" w:rsidRPr="00836EE8" w:rsidRDefault="006C6A36" w:rsidP="006C6A36">
      <w:pPr>
        <w:pStyle w:val="Textonotapie"/>
        <w:ind w:firstLine="708"/>
        <w:jc w:val="both"/>
        <w:rPr>
          <w:rFonts w:ascii="Verdana" w:hAnsi="Verdana" w:cs="Arial"/>
          <w:sz w:val="16"/>
          <w:szCs w:val="16"/>
        </w:rPr>
      </w:pPr>
      <w:r w:rsidRPr="00836EE8">
        <w:rPr>
          <w:rStyle w:val="Refdenotaalpie"/>
          <w:rFonts w:ascii="Verdana" w:hAnsi="Verdana" w:cs="Arial"/>
          <w:sz w:val="16"/>
          <w:szCs w:val="16"/>
        </w:rPr>
        <w:footnoteRef/>
      </w:r>
      <w:r w:rsidRPr="00836EE8">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5">
    <w:p w14:paraId="569C169C" w14:textId="77777777" w:rsidR="006C6A36" w:rsidRPr="00836EE8" w:rsidRDefault="006C6A36" w:rsidP="006C6A36">
      <w:pPr>
        <w:pStyle w:val="Textonotapie"/>
        <w:ind w:firstLine="709"/>
        <w:jc w:val="both"/>
        <w:rPr>
          <w:rFonts w:ascii="Verdana" w:hAnsi="Verdana" w:cs="Arial"/>
          <w:sz w:val="16"/>
          <w:szCs w:val="16"/>
        </w:rPr>
      </w:pPr>
      <w:r w:rsidRPr="00836EE8">
        <w:rPr>
          <w:rStyle w:val="Refdenotaalpie"/>
          <w:rFonts w:ascii="Verdana" w:hAnsi="Verdana" w:cs="Arial"/>
          <w:sz w:val="16"/>
          <w:szCs w:val="16"/>
        </w:rPr>
        <w:footnoteRef/>
      </w:r>
      <w:r w:rsidRPr="00836EE8">
        <w:rPr>
          <w:rFonts w:ascii="Verdana" w:hAnsi="Verdana" w:cs="Arial"/>
          <w:sz w:val="16"/>
          <w:szCs w:val="16"/>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836EE8">
          <w:rPr>
            <w:rStyle w:val="Hipervnculo"/>
            <w:rFonts w:ascii="Verdana" w:hAnsi="Verdana" w:cs="Arial"/>
            <w:sz w:val="16"/>
            <w:szCs w:val="16"/>
          </w:rPr>
          <w:t>https://issuu.com/estudiolegalhernandez/docs/ahb._funci__n_consultiva_y_consejo_</w:t>
        </w:r>
      </w:hyperlink>
      <w:r w:rsidRPr="00836EE8">
        <w:rPr>
          <w:rFonts w:ascii="Verdana" w:hAnsi="Verdana" w:cs="Arial"/>
          <w:sz w:val="16"/>
          <w:szCs w:val="16"/>
        </w:rPr>
        <w:t>.</w:t>
      </w:r>
    </w:p>
  </w:footnote>
  <w:footnote w:id="6">
    <w:p w14:paraId="3D1C4E77" w14:textId="77777777" w:rsidR="006C6A36" w:rsidRPr="00836EE8" w:rsidRDefault="006C6A36" w:rsidP="006C6A36">
      <w:pPr>
        <w:pStyle w:val="Textonotapie"/>
        <w:ind w:firstLine="708"/>
        <w:jc w:val="both"/>
        <w:rPr>
          <w:rFonts w:ascii="Verdana" w:hAnsi="Verdana" w:cs="Arial"/>
          <w:sz w:val="16"/>
          <w:szCs w:val="16"/>
        </w:rPr>
      </w:pPr>
      <w:r w:rsidRPr="00836EE8">
        <w:rPr>
          <w:rStyle w:val="Refdenotaalpie"/>
          <w:rFonts w:ascii="Verdana" w:hAnsi="Verdana" w:cs="Arial"/>
          <w:sz w:val="16"/>
          <w:szCs w:val="16"/>
        </w:rPr>
        <w:footnoteRef/>
      </w:r>
      <w:r w:rsidRPr="00836EE8">
        <w:rPr>
          <w:rFonts w:ascii="Verdana" w:hAnsi="Verdana" w:cs="Arial"/>
          <w:sz w:val="16"/>
          <w:szCs w:val="16"/>
        </w:rPr>
        <w:t xml:space="preserve"> Consejo de Estado. Sala de Consulta y Servicio Civil. Concepto del 5 de octubre de 2009. Expediente 11001-03-06-000-2009-00049-00(1966). C.P. William Zambrano Cetina.</w:t>
      </w:r>
    </w:p>
  </w:footnote>
  <w:footnote w:id="7">
    <w:p w14:paraId="01FB0560" w14:textId="77777777" w:rsidR="006C6A36" w:rsidRPr="00591347" w:rsidRDefault="006C6A36" w:rsidP="006C6A36">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2" w:anchor="35" w:history="1">
        <w:r w:rsidRPr="00591347">
          <w:rPr>
            <w:rFonts w:ascii="Verdana" w:hAnsi="Verdana" w:cs="Arial"/>
            <w:sz w:val="16"/>
            <w:szCs w:val="16"/>
          </w:rPr>
          <w:t>35</w:t>
        </w:r>
      </w:hyperlink>
      <w:r w:rsidRPr="00591347">
        <w:rPr>
          <w:rFonts w:ascii="Verdana" w:hAnsi="Verdana" w:cs="Arial"/>
          <w:sz w:val="16"/>
          <w:szCs w:val="16"/>
        </w:rPr>
        <w:t> y </w:t>
      </w:r>
      <w:hyperlink r:id="rId3"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1609D4B2" w14:textId="77777777" w:rsidR="006C6A36" w:rsidRPr="00591347" w:rsidRDefault="006C6A36" w:rsidP="006C6A36">
      <w:pPr>
        <w:spacing w:after="0"/>
        <w:ind w:firstLine="708"/>
        <w:jc w:val="both"/>
        <w:rPr>
          <w:rFonts w:ascii="Verdana" w:hAnsi="Verdana" w:cs="Arial"/>
          <w:sz w:val="16"/>
          <w:szCs w:val="16"/>
        </w:rPr>
      </w:pPr>
      <w:r w:rsidRPr="00591347">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591347">
        <w:rPr>
          <w:rFonts w:ascii="Verdana" w:hAnsi="Verdana" w:cs="Arial"/>
          <w:sz w:val="16"/>
          <w:szCs w:val="16"/>
        </w:rPr>
        <w:t>los mismos</w:t>
      </w:r>
      <w:proofErr w:type="gramEnd"/>
      <w:r w:rsidRPr="00591347">
        <w:rPr>
          <w:rFonts w:ascii="Verdana" w:hAnsi="Verdana" w:cs="Arial"/>
          <w:sz w:val="16"/>
          <w:szCs w:val="16"/>
        </w:rPr>
        <w:t>, sin perjuicio de las acciones de control a las que haya lugar.</w:t>
      </w:r>
    </w:p>
    <w:p w14:paraId="12317993" w14:textId="77777777" w:rsidR="006C6A36" w:rsidRPr="00591347" w:rsidRDefault="006C6A36" w:rsidP="006C6A36">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w:t>
      </w:r>
      <w:proofErr w:type="gramStart"/>
      <w:r w:rsidRPr="00591347">
        <w:rPr>
          <w:rFonts w:ascii="Verdana" w:hAnsi="Verdana" w:cs="Arial"/>
          <w:sz w:val="16"/>
          <w:szCs w:val="16"/>
        </w:rPr>
        <w:t>artículo,</w:t>
      </w:r>
      <w:proofErr w:type="gramEnd"/>
      <w:r w:rsidRPr="00591347">
        <w:rPr>
          <w:rFonts w:ascii="Verdana" w:hAnsi="Verdana" w:cs="Arial"/>
          <w:sz w:val="16"/>
          <w:szCs w:val="16"/>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0F11BCC5" w14:textId="77777777" w:rsidR="006C6A36" w:rsidRPr="00591347" w:rsidRDefault="006C6A36" w:rsidP="006C6A36">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3683862B" w14:textId="77777777" w:rsidR="006C6A36" w:rsidRPr="00591347" w:rsidRDefault="006C6A36" w:rsidP="006C6A36">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4"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5"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6EBEE6BA" w14:textId="77777777" w:rsidR="006C6A36" w:rsidRPr="00591347" w:rsidRDefault="006C6A36" w:rsidP="006C6A36">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2CA655DF" w14:textId="77777777" w:rsidR="006C6A36" w:rsidRPr="00591347" w:rsidRDefault="006C6A36" w:rsidP="006C6A36">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8">
    <w:p w14:paraId="04391FDC" w14:textId="77777777" w:rsidR="006C6A36" w:rsidRPr="00552507" w:rsidRDefault="006C6A36" w:rsidP="006C6A36">
      <w:pPr>
        <w:pStyle w:val="Textonotapie"/>
        <w:ind w:firstLine="709"/>
        <w:rPr>
          <w:lang w:val="es-CO"/>
        </w:rPr>
      </w:pPr>
      <w:r>
        <w:rPr>
          <w:rStyle w:val="Refdenotaalpie"/>
        </w:rPr>
        <w:footnoteRef/>
      </w:r>
      <w:r>
        <w:t xml:space="preserve"> </w:t>
      </w:r>
      <w:r>
        <w:rPr>
          <w:rFonts w:ascii="Verdana" w:hAnsi="Verdana" w:cs="Arial"/>
          <w:iCs/>
          <w:color w:val="000000" w:themeColor="text1"/>
          <w:sz w:val="16"/>
          <w:szCs w:val="16"/>
        </w:rPr>
        <w:t>D</w:t>
      </w:r>
      <w:r w:rsidRPr="00716334">
        <w:rPr>
          <w:rFonts w:ascii="Verdana" w:hAnsi="Verdana" w:cs="Arial"/>
          <w:iCs/>
          <w:color w:val="000000" w:themeColor="text1"/>
          <w:sz w:val="16"/>
          <w:szCs w:val="16"/>
        </w:rPr>
        <w:t>e acuerdo con la jurisprudencia de la Sala Plena de la Sección Tercera del Consejo de Estado, es viable que entidades estatales exceptuadas del EGCP, ejerzan la autonomía de la voluntad estableciendo potestades de ejercicio unilateral y fijando los mecanismos para hacerlas efectivas.</w:t>
      </w:r>
      <w:r w:rsidRPr="00661431">
        <w:rPr>
          <w:rFonts w:ascii="Verdana" w:hAnsi="Verdana"/>
          <w:sz w:val="16"/>
          <w:szCs w:val="16"/>
        </w:rPr>
        <w:t xml:space="preserve"> </w:t>
      </w:r>
      <w:r w:rsidRPr="003E2347">
        <w:rPr>
          <w:rFonts w:ascii="Verdana" w:hAnsi="Verdana"/>
          <w:sz w:val="16"/>
          <w:szCs w:val="16"/>
        </w:rPr>
        <w:t>C</w:t>
      </w:r>
      <w:r>
        <w:rPr>
          <w:rFonts w:ascii="Verdana" w:hAnsi="Verdana"/>
          <w:sz w:val="16"/>
          <w:szCs w:val="16"/>
        </w:rPr>
        <w:t>onsejo de Estado</w:t>
      </w:r>
      <w:r w:rsidRPr="003E2347">
        <w:rPr>
          <w:rFonts w:ascii="Verdana" w:hAnsi="Verdana"/>
          <w:sz w:val="16"/>
          <w:szCs w:val="16"/>
        </w:rPr>
        <w:t xml:space="preserve">. </w:t>
      </w:r>
      <w:r>
        <w:rPr>
          <w:rFonts w:ascii="Verdana" w:hAnsi="Verdana"/>
          <w:sz w:val="16"/>
          <w:szCs w:val="16"/>
        </w:rPr>
        <w:t xml:space="preserve">Sala Plena. </w:t>
      </w:r>
      <w:r w:rsidRPr="003E2347">
        <w:rPr>
          <w:rFonts w:ascii="Verdana" w:hAnsi="Verdana"/>
          <w:sz w:val="16"/>
          <w:szCs w:val="16"/>
        </w:rPr>
        <w:t>Sección Tercera</w:t>
      </w:r>
      <w:r>
        <w:rPr>
          <w:rFonts w:ascii="Verdana" w:hAnsi="Verdana"/>
          <w:sz w:val="16"/>
          <w:szCs w:val="16"/>
        </w:rPr>
        <w:t xml:space="preserve">. </w:t>
      </w:r>
      <w:r w:rsidRPr="003E2347">
        <w:rPr>
          <w:rFonts w:ascii="Verdana" w:hAnsi="Verdana"/>
          <w:sz w:val="16"/>
          <w:szCs w:val="16"/>
        </w:rPr>
        <w:t xml:space="preserve">Sentencia de Unificación del 9 de mayo de 2024, C.P. José Roberto Sáchica Méndez, </w:t>
      </w:r>
      <w:proofErr w:type="spellStart"/>
      <w:r w:rsidRPr="003E2347">
        <w:rPr>
          <w:rFonts w:ascii="Verdana" w:hAnsi="Verdana"/>
          <w:sz w:val="16"/>
          <w:szCs w:val="16"/>
        </w:rPr>
        <w:t>Exp</w:t>
      </w:r>
      <w:proofErr w:type="spellEnd"/>
      <w:r w:rsidRPr="003E2347">
        <w:rPr>
          <w:rFonts w:ascii="Verdana" w:hAnsi="Verdana"/>
          <w:sz w:val="16"/>
          <w:szCs w:val="16"/>
        </w:rPr>
        <w:t>. No. 53.962.</w:t>
      </w:r>
    </w:p>
  </w:footnote>
  <w:footnote w:id="9">
    <w:p w14:paraId="1E87F837" w14:textId="77777777" w:rsidR="006C6A36" w:rsidRPr="00EE4BC2" w:rsidRDefault="006C6A36" w:rsidP="006C6A36">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614A1FC8" w14:textId="77777777" w:rsidR="006C6A36" w:rsidRPr="0036147A" w:rsidRDefault="006C6A36" w:rsidP="006C6A36">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0">
    <w:p w14:paraId="73B238A2" w14:textId="77777777" w:rsidR="006C6A36" w:rsidRPr="00EE4BC2" w:rsidRDefault="006C6A36" w:rsidP="006C6A36">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17339E28" w14:textId="77777777" w:rsidR="006C6A36" w:rsidRPr="00EE4BC2" w:rsidRDefault="006C6A36" w:rsidP="006C6A36">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32472F63" w14:textId="77777777" w:rsidR="006C6A36" w:rsidRPr="00EE4BC2" w:rsidRDefault="006C6A36" w:rsidP="006C6A36">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6FF1AE0C" w14:textId="77777777" w:rsidR="006C6A36" w:rsidRPr="00EE4BC2" w:rsidRDefault="006C6A36" w:rsidP="006C6A36">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1">
    <w:p w14:paraId="25AEEE55" w14:textId="77777777" w:rsidR="006C6A36" w:rsidRPr="00CF531C" w:rsidRDefault="006C6A36" w:rsidP="006C6A36">
      <w:pPr>
        <w:pStyle w:val="Textonotapie"/>
        <w:ind w:firstLine="709"/>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2">
    <w:p w14:paraId="42FA02FA" w14:textId="77777777" w:rsidR="006C6A36" w:rsidRPr="00552507" w:rsidRDefault="006C6A36" w:rsidP="006C6A36">
      <w:pPr>
        <w:pStyle w:val="Textonotapie"/>
        <w:ind w:firstLine="709"/>
        <w:rPr>
          <w:lang w:val="es-CO"/>
        </w:rPr>
      </w:pPr>
      <w:r>
        <w:rPr>
          <w:rStyle w:val="Refdenotaalpie"/>
        </w:rPr>
        <w:footnoteRef/>
      </w:r>
      <w:r>
        <w:t xml:space="preserve"> </w:t>
      </w:r>
      <w:r>
        <w:rPr>
          <w:rFonts w:ascii="Verdana" w:hAnsi="Verdana" w:cs="Arial"/>
          <w:iCs/>
          <w:color w:val="000000" w:themeColor="text1"/>
          <w:sz w:val="16"/>
          <w:szCs w:val="16"/>
        </w:rPr>
        <w:t>D</w:t>
      </w:r>
      <w:r w:rsidRPr="00716334">
        <w:rPr>
          <w:rFonts w:ascii="Verdana" w:hAnsi="Verdana" w:cs="Arial"/>
          <w:iCs/>
          <w:color w:val="000000" w:themeColor="text1"/>
          <w:sz w:val="16"/>
          <w:szCs w:val="16"/>
        </w:rPr>
        <w:t>e acuerdo con la jurisprudencia de la Sala Plena de la Sección Tercera del Consejo de Estado, es viable que entidades estatales exceptuadas del EGCP, ejerzan la autonomía de la voluntad estableciendo potestades de ejercicio unilateral y fijando los mecanismos para hacerlas efectivas.</w:t>
      </w:r>
      <w:r w:rsidRPr="00661431">
        <w:rPr>
          <w:rFonts w:ascii="Verdana" w:hAnsi="Verdana"/>
          <w:sz w:val="16"/>
          <w:szCs w:val="16"/>
        </w:rPr>
        <w:t xml:space="preserve"> </w:t>
      </w:r>
      <w:r w:rsidRPr="003E2347">
        <w:rPr>
          <w:rFonts w:ascii="Verdana" w:hAnsi="Verdana"/>
          <w:sz w:val="16"/>
          <w:szCs w:val="16"/>
        </w:rPr>
        <w:t>C</w:t>
      </w:r>
      <w:r>
        <w:rPr>
          <w:rFonts w:ascii="Verdana" w:hAnsi="Verdana"/>
          <w:sz w:val="16"/>
          <w:szCs w:val="16"/>
        </w:rPr>
        <w:t>onsejo de Estado</w:t>
      </w:r>
      <w:r w:rsidRPr="003E2347">
        <w:rPr>
          <w:rFonts w:ascii="Verdana" w:hAnsi="Verdana"/>
          <w:sz w:val="16"/>
          <w:szCs w:val="16"/>
        </w:rPr>
        <w:t xml:space="preserve">. </w:t>
      </w:r>
      <w:r>
        <w:rPr>
          <w:rFonts w:ascii="Verdana" w:hAnsi="Verdana"/>
          <w:sz w:val="16"/>
          <w:szCs w:val="16"/>
        </w:rPr>
        <w:t xml:space="preserve">Sala Plena. </w:t>
      </w:r>
      <w:r w:rsidRPr="003E2347">
        <w:rPr>
          <w:rFonts w:ascii="Verdana" w:hAnsi="Verdana"/>
          <w:sz w:val="16"/>
          <w:szCs w:val="16"/>
        </w:rPr>
        <w:t>Sección Tercera</w:t>
      </w:r>
      <w:r>
        <w:rPr>
          <w:rFonts w:ascii="Verdana" w:hAnsi="Verdana"/>
          <w:sz w:val="16"/>
          <w:szCs w:val="16"/>
        </w:rPr>
        <w:t xml:space="preserve">. </w:t>
      </w:r>
      <w:r w:rsidRPr="003E2347">
        <w:rPr>
          <w:rFonts w:ascii="Verdana" w:hAnsi="Verdana"/>
          <w:sz w:val="16"/>
          <w:szCs w:val="16"/>
        </w:rPr>
        <w:t xml:space="preserve">Sentencia de Unificación del 9 de mayo de 2024, C.P. José Roberto Sáchica Méndez, </w:t>
      </w:r>
      <w:proofErr w:type="spellStart"/>
      <w:r w:rsidRPr="003E2347">
        <w:rPr>
          <w:rFonts w:ascii="Verdana" w:hAnsi="Verdana"/>
          <w:sz w:val="16"/>
          <w:szCs w:val="16"/>
        </w:rPr>
        <w:t>Exp</w:t>
      </w:r>
      <w:proofErr w:type="spellEnd"/>
      <w:r w:rsidRPr="003E2347">
        <w:rPr>
          <w:rFonts w:ascii="Verdana" w:hAnsi="Verdana"/>
          <w:sz w:val="16"/>
          <w:szCs w:val="16"/>
        </w:rPr>
        <w:t>. No. 53.962.</w:t>
      </w:r>
    </w:p>
  </w:footnote>
  <w:footnote w:id="13">
    <w:p w14:paraId="0C511155" w14:textId="77777777" w:rsidR="006C6A36" w:rsidRPr="00CF531C" w:rsidRDefault="006C6A36" w:rsidP="006C6A36">
      <w:pPr>
        <w:pStyle w:val="Textonotapie"/>
        <w:ind w:firstLine="709"/>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4">
    <w:p w14:paraId="1D129B8F" w14:textId="77777777" w:rsidR="006C6A36" w:rsidRDefault="006C6A36" w:rsidP="006C6A36">
      <w:pPr>
        <w:pStyle w:val="Textonotapie"/>
        <w:ind w:firstLine="708"/>
        <w:jc w:val="both"/>
        <w:rPr>
          <w:rFonts w:ascii="Verdana" w:hAnsi="Verdana" w:cs="Times New Roman"/>
          <w:sz w:val="16"/>
          <w:szCs w:val="16"/>
          <w:lang w:val="es-ES"/>
        </w:rPr>
      </w:pPr>
      <w:r>
        <w:rPr>
          <w:rStyle w:val="Refdenotaalpie"/>
          <w:rFonts w:ascii="Verdana" w:hAnsi="Verdana"/>
          <w:sz w:val="16"/>
          <w:szCs w:val="16"/>
        </w:rPr>
        <w:footnoteRef/>
      </w:r>
      <w:r>
        <w:rPr>
          <w:rFonts w:ascii="Verdana" w:hAnsi="Verdana"/>
          <w:sz w:val="16"/>
          <w:szCs w:val="16"/>
        </w:rPr>
        <w:t xml:space="preserve"> Frente a la obligación de publicar los Procesos de Contratación en el SECOP II,</w:t>
      </w:r>
      <w:r>
        <w:rPr>
          <w:rFonts w:ascii="Verdana" w:hAnsi="Verdana"/>
          <w:spacing w:val="40"/>
          <w:sz w:val="16"/>
          <w:szCs w:val="16"/>
        </w:rPr>
        <w:t xml:space="preserve"> </w:t>
      </w:r>
      <w:r>
        <w:rPr>
          <w:rFonts w:ascii="Verdana" w:hAnsi="Verdana"/>
          <w:sz w:val="16"/>
          <w:szCs w:val="16"/>
        </w:rPr>
        <w:t>el 18 de enero de 2022 fue expedida la Ley 2195 de 2022 “</w:t>
      </w:r>
      <w:r>
        <w:rPr>
          <w:rFonts w:ascii="Verdana" w:hAnsi="Verdana"/>
          <w:i/>
          <w:sz w:val="16"/>
          <w:szCs w:val="16"/>
        </w:rPr>
        <w:t>Por medio</w:t>
      </w:r>
      <w:r>
        <w:rPr>
          <w:rFonts w:ascii="Verdana" w:hAnsi="Verdana"/>
          <w:i/>
          <w:spacing w:val="-20"/>
          <w:sz w:val="16"/>
          <w:szCs w:val="16"/>
        </w:rPr>
        <w:t xml:space="preserve"> </w:t>
      </w:r>
      <w:r>
        <w:rPr>
          <w:rFonts w:ascii="Verdana" w:hAnsi="Verdana"/>
          <w:i/>
          <w:sz w:val="16"/>
          <w:szCs w:val="16"/>
        </w:rPr>
        <w:t>de</w:t>
      </w:r>
      <w:r>
        <w:rPr>
          <w:rFonts w:ascii="Verdana" w:hAnsi="Verdana"/>
          <w:i/>
          <w:spacing w:val="-19"/>
          <w:sz w:val="16"/>
          <w:szCs w:val="16"/>
        </w:rPr>
        <w:t xml:space="preserve"> </w:t>
      </w:r>
      <w:r>
        <w:rPr>
          <w:rFonts w:ascii="Verdana" w:hAnsi="Verdana"/>
          <w:i/>
          <w:sz w:val="16"/>
          <w:szCs w:val="16"/>
        </w:rPr>
        <w:t>la</w:t>
      </w:r>
      <w:r>
        <w:rPr>
          <w:rFonts w:ascii="Verdana" w:hAnsi="Verdana"/>
          <w:i/>
          <w:spacing w:val="-19"/>
          <w:sz w:val="16"/>
          <w:szCs w:val="16"/>
        </w:rPr>
        <w:t xml:space="preserve"> </w:t>
      </w:r>
      <w:r>
        <w:rPr>
          <w:rFonts w:ascii="Verdana" w:hAnsi="Verdana"/>
          <w:i/>
          <w:sz w:val="16"/>
          <w:szCs w:val="16"/>
        </w:rPr>
        <w:t>cual</w:t>
      </w:r>
      <w:r>
        <w:rPr>
          <w:rFonts w:ascii="Verdana" w:hAnsi="Verdana"/>
          <w:i/>
          <w:spacing w:val="-20"/>
          <w:sz w:val="16"/>
          <w:szCs w:val="16"/>
        </w:rPr>
        <w:t xml:space="preserve"> </w:t>
      </w:r>
      <w:r>
        <w:rPr>
          <w:rFonts w:ascii="Verdana" w:hAnsi="Verdana"/>
          <w:i/>
          <w:sz w:val="16"/>
          <w:szCs w:val="16"/>
        </w:rPr>
        <w:t>se</w:t>
      </w:r>
      <w:r>
        <w:rPr>
          <w:rFonts w:ascii="Verdana" w:hAnsi="Verdana"/>
          <w:i/>
          <w:spacing w:val="-19"/>
          <w:sz w:val="16"/>
          <w:szCs w:val="16"/>
        </w:rPr>
        <w:t xml:space="preserve"> </w:t>
      </w:r>
      <w:r>
        <w:rPr>
          <w:rFonts w:ascii="Verdana" w:hAnsi="Verdana"/>
          <w:i/>
          <w:sz w:val="16"/>
          <w:szCs w:val="16"/>
        </w:rPr>
        <w:t>adoptan</w:t>
      </w:r>
      <w:r>
        <w:rPr>
          <w:rFonts w:ascii="Verdana" w:hAnsi="Verdana"/>
          <w:i/>
          <w:spacing w:val="-20"/>
          <w:sz w:val="16"/>
          <w:szCs w:val="16"/>
        </w:rPr>
        <w:t xml:space="preserve"> </w:t>
      </w:r>
      <w:r>
        <w:rPr>
          <w:rFonts w:ascii="Verdana" w:hAnsi="Verdana"/>
          <w:i/>
          <w:sz w:val="16"/>
          <w:szCs w:val="16"/>
        </w:rPr>
        <w:t>medidas</w:t>
      </w:r>
      <w:r>
        <w:rPr>
          <w:rFonts w:ascii="Verdana" w:hAnsi="Verdana"/>
          <w:i/>
          <w:spacing w:val="-19"/>
          <w:sz w:val="16"/>
          <w:szCs w:val="16"/>
        </w:rPr>
        <w:t xml:space="preserve"> </w:t>
      </w:r>
      <w:r>
        <w:rPr>
          <w:rFonts w:ascii="Verdana" w:hAnsi="Verdana"/>
          <w:i/>
          <w:sz w:val="16"/>
          <w:szCs w:val="16"/>
        </w:rPr>
        <w:t>en</w:t>
      </w:r>
      <w:r>
        <w:rPr>
          <w:rFonts w:ascii="Verdana" w:hAnsi="Verdana"/>
          <w:i/>
          <w:spacing w:val="-19"/>
          <w:sz w:val="16"/>
          <w:szCs w:val="16"/>
        </w:rPr>
        <w:t xml:space="preserve"> </w:t>
      </w:r>
      <w:r>
        <w:rPr>
          <w:rFonts w:ascii="Verdana" w:hAnsi="Verdana"/>
          <w:i/>
          <w:sz w:val="16"/>
          <w:szCs w:val="16"/>
        </w:rPr>
        <w:t>materia</w:t>
      </w:r>
      <w:r>
        <w:rPr>
          <w:rFonts w:ascii="Verdana" w:hAnsi="Verdana"/>
          <w:i/>
          <w:spacing w:val="-20"/>
          <w:sz w:val="16"/>
          <w:szCs w:val="16"/>
        </w:rPr>
        <w:t xml:space="preserve"> </w:t>
      </w:r>
      <w:r>
        <w:rPr>
          <w:rFonts w:ascii="Verdana" w:hAnsi="Verdana"/>
          <w:i/>
          <w:sz w:val="16"/>
          <w:szCs w:val="16"/>
        </w:rPr>
        <w:t>de</w:t>
      </w:r>
      <w:r>
        <w:rPr>
          <w:rFonts w:ascii="Verdana" w:hAnsi="Verdana"/>
          <w:i/>
          <w:spacing w:val="-19"/>
          <w:sz w:val="16"/>
          <w:szCs w:val="16"/>
        </w:rPr>
        <w:t xml:space="preserve"> </w:t>
      </w:r>
      <w:r>
        <w:rPr>
          <w:rFonts w:ascii="Verdana" w:hAnsi="Verdana"/>
          <w:i/>
          <w:sz w:val="16"/>
          <w:szCs w:val="16"/>
        </w:rPr>
        <w:t>transparencia,</w:t>
      </w:r>
      <w:r>
        <w:rPr>
          <w:rFonts w:ascii="Verdana" w:hAnsi="Verdana"/>
          <w:i/>
          <w:spacing w:val="-19"/>
          <w:sz w:val="16"/>
          <w:szCs w:val="16"/>
        </w:rPr>
        <w:t xml:space="preserve"> </w:t>
      </w:r>
      <w:r>
        <w:rPr>
          <w:rFonts w:ascii="Verdana" w:hAnsi="Verdana"/>
          <w:i/>
          <w:sz w:val="16"/>
          <w:szCs w:val="16"/>
        </w:rPr>
        <w:t>prevención y</w:t>
      </w:r>
      <w:r>
        <w:rPr>
          <w:rFonts w:ascii="Verdana" w:hAnsi="Verdana"/>
          <w:i/>
          <w:spacing w:val="-13"/>
          <w:sz w:val="16"/>
          <w:szCs w:val="16"/>
        </w:rPr>
        <w:t xml:space="preserve"> </w:t>
      </w:r>
      <w:r>
        <w:rPr>
          <w:rFonts w:ascii="Verdana" w:hAnsi="Verdana"/>
          <w:i/>
          <w:sz w:val="16"/>
          <w:szCs w:val="16"/>
        </w:rPr>
        <w:t>lucha</w:t>
      </w:r>
      <w:r>
        <w:rPr>
          <w:rFonts w:ascii="Verdana" w:hAnsi="Verdana"/>
          <w:i/>
          <w:spacing w:val="-11"/>
          <w:sz w:val="16"/>
          <w:szCs w:val="16"/>
        </w:rPr>
        <w:t xml:space="preserve"> </w:t>
      </w:r>
      <w:r>
        <w:rPr>
          <w:rFonts w:ascii="Verdana" w:hAnsi="Verdana"/>
          <w:i/>
          <w:sz w:val="16"/>
          <w:szCs w:val="16"/>
        </w:rPr>
        <w:t>contra</w:t>
      </w:r>
      <w:r>
        <w:rPr>
          <w:rFonts w:ascii="Verdana" w:hAnsi="Verdana"/>
          <w:i/>
          <w:spacing w:val="-12"/>
          <w:sz w:val="16"/>
          <w:szCs w:val="16"/>
        </w:rPr>
        <w:t xml:space="preserve"> </w:t>
      </w:r>
      <w:r>
        <w:rPr>
          <w:rFonts w:ascii="Verdana" w:hAnsi="Verdana"/>
          <w:i/>
          <w:sz w:val="16"/>
          <w:szCs w:val="16"/>
        </w:rPr>
        <w:t>la</w:t>
      </w:r>
      <w:r>
        <w:rPr>
          <w:rFonts w:ascii="Verdana" w:hAnsi="Verdana"/>
          <w:i/>
          <w:spacing w:val="-11"/>
          <w:sz w:val="16"/>
          <w:szCs w:val="16"/>
        </w:rPr>
        <w:t xml:space="preserve"> </w:t>
      </w:r>
      <w:r>
        <w:rPr>
          <w:rFonts w:ascii="Verdana" w:hAnsi="Verdana"/>
          <w:i/>
          <w:sz w:val="16"/>
          <w:szCs w:val="16"/>
        </w:rPr>
        <w:t>corrupción</w:t>
      </w:r>
      <w:r>
        <w:rPr>
          <w:rFonts w:ascii="Verdana" w:hAnsi="Verdana"/>
          <w:i/>
          <w:spacing w:val="-12"/>
          <w:sz w:val="16"/>
          <w:szCs w:val="16"/>
        </w:rPr>
        <w:t xml:space="preserve"> </w:t>
      </w:r>
      <w:r>
        <w:rPr>
          <w:rFonts w:ascii="Verdana" w:hAnsi="Verdana"/>
          <w:i/>
          <w:sz w:val="16"/>
          <w:szCs w:val="16"/>
        </w:rPr>
        <w:t>y</w:t>
      </w:r>
      <w:r>
        <w:rPr>
          <w:rFonts w:ascii="Verdana" w:hAnsi="Verdana"/>
          <w:i/>
          <w:spacing w:val="-13"/>
          <w:sz w:val="16"/>
          <w:szCs w:val="16"/>
        </w:rPr>
        <w:t xml:space="preserve"> </w:t>
      </w:r>
      <w:r>
        <w:rPr>
          <w:rFonts w:ascii="Verdana" w:hAnsi="Verdana"/>
          <w:i/>
          <w:sz w:val="16"/>
          <w:szCs w:val="16"/>
        </w:rPr>
        <w:t>se</w:t>
      </w:r>
      <w:r>
        <w:rPr>
          <w:rFonts w:ascii="Verdana" w:hAnsi="Verdana"/>
          <w:i/>
          <w:spacing w:val="-11"/>
          <w:sz w:val="16"/>
          <w:szCs w:val="16"/>
        </w:rPr>
        <w:t xml:space="preserve"> </w:t>
      </w:r>
      <w:r>
        <w:rPr>
          <w:rFonts w:ascii="Verdana" w:hAnsi="Verdana"/>
          <w:i/>
          <w:sz w:val="16"/>
          <w:szCs w:val="16"/>
        </w:rPr>
        <w:t>dictan</w:t>
      </w:r>
      <w:r>
        <w:rPr>
          <w:rFonts w:ascii="Verdana" w:hAnsi="Verdana"/>
          <w:i/>
          <w:spacing w:val="-12"/>
          <w:sz w:val="16"/>
          <w:szCs w:val="16"/>
        </w:rPr>
        <w:t xml:space="preserve"> </w:t>
      </w:r>
      <w:r>
        <w:rPr>
          <w:rFonts w:ascii="Verdana" w:hAnsi="Verdana"/>
          <w:i/>
          <w:sz w:val="16"/>
          <w:szCs w:val="16"/>
        </w:rPr>
        <w:t>otras</w:t>
      </w:r>
      <w:r>
        <w:rPr>
          <w:rFonts w:ascii="Verdana" w:hAnsi="Verdana"/>
          <w:i/>
          <w:spacing w:val="-11"/>
          <w:sz w:val="16"/>
          <w:szCs w:val="16"/>
        </w:rPr>
        <w:t xml:space="preserve"> </w:t>
      </w:r>
      <w:r>
        <w:rPr>
          <w:rFonts w:ascii="Verdana" w:hAnsi="Verdana"/>
          <w:i/>
          <w:sz w:val="16"/>
          <w:szCs w:val="16"/>
        </w:rPr>
        <w:t>disposiciones</w:t>
      </w:r>
      <w:r>
        <w:rPr>
          <w:rFonts w:ascii="Verdana" w:hAnsi="Verdana"/>
          <w:sz w:val="16"/>
          <w:szCs w:val="16"/>
        </w:rPr>
        <w:t>”,</w:t>
      </w:r>
      <w:r>
        <w:rPr>
          <w:rFonts w:ascii="Verdana" w:hAnsi="Verdana"/>
          <w:spacing w:val="-14"/>
          <w:sz w:val="16"/>
          <w:szCs w:val="16"/>
        </w:rPr>
        <w:t xml:space="preserve"> </w:t>
      </w:r>
      <w:r>
        <w:rPr>
          <w:rFonts w:ascii="Verdana" w:hAnsi="Verdana"/>
          <w:sz w:val="16"/>
          <w:szCs w:val="16"/>
        </w:rPr>
        <w:t>mediante</w:t>
      </w:r>
      <w:r>
        <w:rPr>
          <w:rFonts w:ascii="Verdana" w:hAnsi="Verdana"/>
          <w:spacing w:val="-11"/>
          <w:sz w:val="16"/>
          <w:szCs w:val="16"/>
        </w:rPr>
        <w:t xml:space="preserve"> </w:t>
      </w:r>
      <w:r>
        <w:rPr>
          <w:rFonts w:ascii="Verdana" w:hAnsi="Verdana"/>
          <w:sz w:val="16"/>
          <w:szCs w:val="16"/>
        </w:rPr>
        <w:t>la</w:t>
      </w:r>
      <w:r>
        <w:rPr>
          <w:rFonts w:ascii="Verdana" w:hAnsi="Verdana"/>
          <w:spacing w:val="-10"/>
          <w:sz w:val="16"/>
          <w:szCs w:val="16"/>
        </w:rPr>
        <w:t xml:space="preserve"> </w:t>
      </w:r>
      <w:r>
        <w:rPr>
          <w:rFonts w:ascii="Verdana" w:hAnsi="Verdana"/>
          <w:sz w:val="16"/>
          <w:szCs w:val="16"/>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Pr>
          <w:rFonts w:ascii="Verdana" w:hAnsi="Verdana"/>
          <w:spacing w:val="-2"/>
          <w:sz w:val="16"/>
          <w:szCs w:val="16"/>
        </w:rPr>
        <w:t xml:space="preserve"> </w:t>
      </w:r>
      <w:r>
        <w:rPr>
          <w:rFonts w:ascii="Verdana" w:hAnsi="Verdana"/>
          <w:sz w:val="16"/>
          <w:szCs w:val="16"/>
        </w:rPr>
        <w:t>para</w:t>
      </w:r>
      <w:r>
        <w:rPr>
          <w:rFonts w:ascii="Verdana" w:hAnsi="Verdana"/>
          <w:spacing w:val="-4"/>
          <w:sz w:val="16"/>
          <w:szCs w:val="16"/>
        </w:rPr>
        <w:t xml:space="preserve"> </w:t>
      </w:r>
      <w:r>
        <w:rPr>
          <w:rFonts w:ascii="Verdana" w:hAnsi="Verdana"/>
          <w:sz w:val="16"/>
          <w:szCs w:val="16"/>
        </w:rPr>
        <w:t>la</w:t>
      </w:r>
      <w:r>
        <w:rPr>
          <w:rFonts w:ascii="Verdana" w:hAnsi="Verdana"/>
          <w:spacing w:val="-2"/>
          <w:sz w:val="16"/>
          <w:szCs w:val="16"/>
        </w:rPr>
        <w:t xml:space="preserve"> </w:t>
      </w:r>
      <w:r>
        <w:rPr>
          <w:rFonts w:ascii="Verdana" w:hAnsi="Verdana"/>
          <w:sz w:val="16"/>
          <w:szCs w:val="16"/>
        </w:rPr>
        <w:t>Contratación</w:t>
      </w:r>
      <w:r>
        <w:rPr>
          <w:rFonts w:ascii="Verdana" w:hAnsi="Verdana"/>
          <w:spacing w:val="-3"/>
          <w:sz w:val="16"/>
          <w:szCs w:val="16"/>
        </w:rPr>
        <w:t xml:space="preserve"> </w:t>
      </w:r>
      <w:r>
        <w:rPr>
          <w:rFonts w:ascii="Verdana" w:hAnsi="Verdana"/>
          <w:sz w:val="16"/>
          <w:szCs w:val="16"/>
        </w:rPr>
        <w:t>Pública</w:t>
      </w:r>
      <w:r>
        <w:rPr>
          <w:rFonts w:ascii="Verdana" w:hAnsi="Verdana"/>
          <w:spacing w:val="-4"/>
          <w:sz w:val="16"/>
          <w:szCs w:val="16"/>
        </w:rPr>
        <w:t xml:space="preserve"> </w:t>
      </w:r>
      <w:r>
        <w:rPr>
          <w:rFonts w:ascii="Verdana" w:hAnsi="Verdana"/>
          <w:sz w:val="16"/>
          <w:szCs w:val="16"/>
        </w:rPr>
        <w:t>en</w:t>
      </w:r>
      <w:r>
        <w:rPr>
          <w:rFonts w:ascii="Verdana" w:hAnsi="Verdana"/>
          <w:spacing w:val="-1"/>
          <w:sz w:val="16"/>
          <w:szCs w:val="16"/>
        </w:rPr>
        <w:t xml:space="preserve"> </w:t>
      </w:r>
      <w:r>
        <w:rPr>
          <w:rFonts w:ascii="Verdana" w:hAnsi="Verdana"/>
          <w:sz w:val="16"/>
          <w:szCs w:val="16"/>
        </w:rPr>
        <w:t>su</w:t>
      </w:r>
      <w:r>
        <w:rPr>
          <w:rFonts w:ascii="Verdana" w:hAnsi="Verdana"/>
          <w:spacing w:val="-3"/>
          <w:sz w:val="16"/>
          <w:szCs w:val="16"/>
        </w:rPr>
        <w:t xml:space="preserve"> </w:t>
      </w:r>
      <w:r>
        <w:rPr>
          <w:rFonts w:ascii="Verdana" w:hAnsi="Verdana"/>
          <w:sz w:val="16"/>
          <w:szCs w:val="16"/>
        </w:rPr>
        <w:t>versión</w:t>
      </w:r>
      <w:r>
        <w:rPr>
          <w:rFonts w:ascii="Verdana" w:hAnsi="Verdana"/>
          <w:spacing w:val="-3"/>
          <w:sz w:val="16"/>
          <w:szCs w:val="16"/>
        </w:rPr>
        <w:t xml:space="preserve"> </w:t>
      </w:r>
      <w:r>
        <w:rPr>
          <w:rFonts w:ascii="Verdana" w:hAnsi="Verdana"/>
          <w:sz w:val="16"/>
          <w:szCs w:val="16"/>
        </w:rPr>
        <w:t>transaccional,</w:t>
      </w:r>
      <w:r>
        <w:rPr>
          <w:rFonts w:ascii="Verdana" w:hAnsi="Verdana"/>
          <w:spacing w:val="-2"/>
          <w:sz w:val="16"/>
          <w:szCs w:val="16"/>
        </w:rPr>
        <w:t xml:space="preserve"> </w:t>
      </w:r>
      <w:r>
        <w:rPr>
          <w:rFonts w:ascii="Verdana" w:hAnsi="Verdana"/>
          <w:sz w:val="16"/>
          <w:szCs w:val="16"/>
        </w:rPr>
        <w:t>es</w:t>
      </w:r>
      <w:r>
        <w:rPr>
          <w:rFonts w:ascii="Verdana" w:hAnsi="Verdana"/>
          <w:spacing w:val="-2"/>
          <w:sz w:val="16"/>
          <w:szCs w:val="16"/>
        </w:rPr>
        <w:t xml:space="preserve"> </w:t>
      </w:r>
      <w:r>
        <w:rPr>
          <w:rFonts w:ascii="Verdana" w:hAnsi="Verdana"/>
          <w:sz w:val="16"/>
          <w:szCs w:val="16"/>
        </w:rPr>
        <w:t>decir en la plataforma SECOP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7CB7" w14:textId="77777777" w:rsidR="00847E3F" w:rsidRDefault="00847E3F"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91D4E7D" wp14:editId="6458E4C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14E930B" wp14:editId="7E6BEF8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0FC2A29" w14:textId="77777777" w:rsidR="00847E3F" w:rsidRDefault="00847E3F">
    <w:pPr>
      <w:pStyle w:val="Encabezado"/>
    </w:pPr>
  </w:p>
  <w:p w14:paraId="64EA2AC7" w14:textId="77777777" w:rsidR="00847E3F" w:rsidRPr="004A305D" w:rsidRDefault="00847E3F" w:rsidP="00B01B1A">
    <w:pPr>
      <w:spacing w:after="0" w:line="120" w:lineRule="auto"/>
      <w:rPr>
        <w:rFonts w:ascii="Century Gothic" w:eastAsia="Geo" w:hAnsi="Century Gothic" w:cs="Geo"/>
        <w:sz w:val="16"/>
        <w:szCs w:val="16"/>
        <w:lang w:eastAsia="es-CO"/>
      </w:rPr>
    </w:pPr>
  </w:p>
  <w:p w14:paraId="067803DE" w14:textId="77777777" w:rsidR="00847E3F" w:rsidRDefault="00847E3F" w:rsidP="00844AE9">
    <w:pPr>
      <w:spacing w:after="0" w:line="240" w:lineRule="auto"/>
      <w:rPr>
        <w:rFonts w:ascii="Verdana" w:hAnsi="Verdana"/>
        <w:sz w:val="24"/>
        <w:szCs w:val="24"/>
      </w:rPr>
    </w:pPr>
  </w:p>
  <w:p w14:paraId="453905FC" w14:textId="77777777" w:rsidR="00847E3F" w:rsidRPr="00C925AC" w:rsidRDefault="00847E3F" w:rsidP="00844AE9">
    <w:pPr>
      <w:spacing w:after="0" w:line="240" w:lineRule="auto"/>
      <w:rPr>
        <w:rFonts w:ascii="Verdana" w:hAnsi="Verdana"/>
        <w:sz w:val="24"/>
        <w:szCs w:val="24"/>
      </w:rPr>
    </w:pPr>
  </w:p>
  <w:p w14:paraId="37A76013" w14:textId="77777777" w:rsidR="00847E3F" w:rsidRPr="00C925AC" w:rsidRDefault="00847E3F"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021395840">
    <w:abstractNumId w:val="2"/>
  </w:num>
  <w:num w:numId="2" w16cid:durableId="1178156914">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E3F"/>
    <w:rsid w:val="00024ED0"/>
    <w:rsid w:val="00033B15"/>
    <w:rsid w:val="00056095"/>
    <w:rsid w:val="000651AC"/>
    <w:rsid w:val="0006733A"/>
    <w:rsid w:val="00091C70"/>
    <w:rsid w:val="000A6B66"/>
    <w:rsid w:val="000C00C3"/>
    <w:rsid w:val="000E3BF6"/>
    <w:rsid w:val="000F5A42"/>
    <w:rsid w:val="0010405D"/>
    <w:rsid w:val="00113427"/>
    <w:rsid w:val="00147DFD"/>
    <w:rsid w:val="00152557"/>
    <w:rsid w:val="00160A00"/>
    <w:rsid w:val="00162DB4"/>
    <w:rsid w:val="00170F2C"/>
    <w:rsid w:val="001746AB"/>
    <w:rsid w:val="001940E6"/>
    <w:rsid w:val="001C4B13"/>
    <w:rsid w:val="00222149"/>
    <w:rsid w:val="002310F7"/>
    <w:rsid w:val="00267CF0"/>
    <w:rsid w:val="00291EE3"/>
    <w:rsid w:val="002D0A38"/>
    <w:rsid w:val="003049FA"/>
    <w:rsid w:val="003052E5"/>
    <w:rsid w:val="00307921"/>
    <w:rsid w:val="00332B1E"/>
    <w:rsid w:val="0033574D"/>
    <w:rsid w:val="00396F2D"/>
    <w:rsid w:val="003B42FC"/>
    <w:rsid w:val="004455BB"/>
    <w:rsid w:val="004514F6"/>
    <w:rsid w:val="00472FBB"/>
    <w:rsid w:val="004810E5"/>
    <w:rsid w:val="004B0C9E"/>
    <w:rsid w:val="004B72BE"/>
    <w:rsid w:val="004D3646"/>
    <w:rsid w:val="00514670"/>
    <w:rsid w:val="00515A31"/>
    <w:rsid w:val="005249F7"/>
    <w:rsid w:val="00535A31"/>
    <w:rsid w:val="005548E8"/>
    <w:rsid w:val="00572944"/>
    <w:rsid w:val="00591FBE"/>
    <w:rsid w:val="005C456D"/>
    <w:rsid w:val="005E2F2A"/>
    <w:rsid w:val="00603172"/>
    <w:rsid w:val="006111A8"/>
    <w:rsid w:val="006117F3"/>
    <w:rsid w:val="0062720D"/>
    <w:rsid w:val="006438E3"/>
    <w:rsid w:val="00652479"/>
    <w:rsid w:val="00656C57"/>
    <w:rsid w:val="00693A87"/>
    <w:rsid w:val="006A73C2"/>
    <w:rsid w:val="006C6A36"/>
    <w:rsid w:val="006D6BBF"/>
    <w:rsid w:val="006F6341"/>
    <w:rsid w:val="00704919"/>
    <w:rsid w:val="00725E4F"/>
    <w:rsid w:val="007636B1"/>
    <w:rsid w:val="00772009"/>
    <w:rsid w:val="00782965"/>
    <w:rsid w:val="007D7466"/>
    <w:rsid w:val="008019C5"/>
    <w:rsid w:val="00826014"/>
    <w:rsid w:val="00837C3E"/>
    <w:rsid w:val="008478D8"/>
    <w:rsid w:val="00847E3F"/>
    <w:rsid w:val="008770C3"/>
    <w:rsid w:val="00884857"/>
    <w:rsid w:val="008A1B1F"/>
    <w:rsid w:val="008B107A"/>
    <w:rsid w:val="008B372E"/>
    <w:rsid w:val="008F2B8E"/>
    <w:rsid w:val="008F640B"/>
    <w:rsid w:val="00934FD2"/>
    <w:rsid w:val="00971AD3"/>
    <w:rsid w:val="009D13D4"/>
    <w:rsid w:val="009D4640"/>
    <w:rsid w:val="009F2E5C"/>
    <w:rsid w:val="00A02607"/>
    <w:rsid w:val="00A12218"/>
    <w:rsid w:val="00A678D1"/>
    <w:rsid w:val="00A70FAC"/>
    <w:rsid w:val="00A90678"/>
    <w:rsid w:val="00A96AAE"/>
    <w:rsid w:val="00AB73C0"/>
    <w:rsid w:val="00B5363A"/>
    <w:rsid w:val="00B93409"/>
    <w:rsid w:val="00BC695F"/>
    <w:rsid w:val="00BD590E"/>
    <w:rsid w:val="00BD67A5"/>
    <w:rsid w:val="00C01BD8"/>
    <w:rsid w:val="00C10DEA"/>
    <w:rsid w:val="00C17189"/>
    <w:rsid w:val="00C20039"/>
    <w:rsid w:val="00C21DFF"/>
    <w:rsid w:val="00C24FA6"/>
    <w:rsid w:val="00C540A7"/>
    <w:rsid w:val="00C743F4"/>
    <w:rsid w:val="00C81441"/>
    <w:rsid w:val="00CA2095"/>
    <w:rsid w:val="00CE26DB"/>
    <w:rsid w:val="00CE3C97"/>
    <w:rsid w:val="00CF4D17"/>
    <w:rsid w:val="00D37120"/>
    <w:rsid w:val="00D61EFB"/>
    <w:rsid w:val="00D90A61"/>
    <w:rsid w:val="00E040FD"/>
    <w:rsid w:val="00E15837"/>
    <w:rsid w:val="00E563CE"/>
    <w:rsid w:val="00E6199B"/>
    <w:rsid w:val="00E6619F"/>
    <w:rsid w:val="00E835E4"/>
    <w:rsid w:val="00EA1811"/>
    <w:rsid w:val="00EB42FF"/>
    <w:rsid w:val="00EB7B3C"/>
    <w:rsid w:val="00EC2766"/>
    <w:rsid w:val="00EE72EC"/>
    <w:rsid w:val="00F062F6"/>
    <w:rsid w:val="00F54450"/>
    <w:rsid w:val="00F62AAF"/>
    <w:rsid w:val="00F84F2A"/>
    <w:rsid w:val="00FA4B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FB82E"/>
  <w15:chartTrackingRefBased/>
  <w15:docId w15:val="{64AA396E-C09D-42B6-81FD-A0EC215F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E3F"/>
    <w:rPr>
      <w:kern w:val="0"/>
      <w14:ligatures w14:val="none"/>
    </w:rPr>
  </w:style>
  <w:style w:type="paragraph" w:styleId="Ttulo1">
    <w:name w:val="heading 1"/>
    <w:basedOn w:val="Normal"/>
    <w:next w:val="Normal"/>
    <w:link w:val="Ttulo1Car"/>
    <w:uiPriority w:val="9"/>
    <w:qFormat/>
    <w:rsid w:val="00847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47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47E3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47E3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47E3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47E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47E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47E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47E3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7E3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47E3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47E3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47E3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47E3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47E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47E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47E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47E3F"/>
    <w:rPr>
      <w:rFonts w:eastAsiaTheme="majorEastAsia" w:cstheme="majorBidi"/>
      <w:color w:val="272727" w:themeColor="text1" w:themeTint="D8"/>
    </w:rPr>
  </w:style>
  <w:style w:type="paragraph" w:styleId="Ttulo">
    <w:name w:val="Title"/>
    <w:basedOn w:val="Normal"/>
    <w:next w:val="Normal"/>
    <w:link w:val="TtuloCar"/>
    <w:uiPriority w:val="10"/>
    <w:qFormat/>
    <w:rsid w:val="00847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47E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47E3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47E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47E3F"/>
    <w:pPr>
      <w:spacing w:before="160"/>
      <w:jc w:val="center"/>
    </w:pPr>
    <w:rPr>
      <w:i/>
      <w:iCs/>
      <w:color w:val="404040" w:themeColor="text1" w:themeTint="BF"/>
    </w:rPr>
  </w:style>
  <w:style w:type="character" w:customStyle="1" w:styleId="CitaCar">
    <w:name w:val="Cita Car"/>
    <w:basedOn w:val="Fuentedeprrafopredeter"/>
    <w:link w:val="Cita"/>
    <w:uiPriority w:val="29"/>
    <w:rsid w:val="00847E3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847E3F"/>
    <w:pPr>
      <w:ind w:left="720"/>
      <w:contextualSpacing/>
    </w:pPr>
  </w:style>
  <w:style w:type="character" w:styleId="nfasisintenso">
    <w:name w:val="Intense Emphasis"/>
    <w:basedOn w:val="Fuentedeprrafopredeter"/>
    <w:uiPriority w:val="21"/>
    <w:qFormat/>
    <w:rsid w:val="00847E3F"/>
    <w:rPr>
      <w:i/>
      <w:iCs/>
      <w:color w:val="0F4761" w:themeColor="accent1" w:themeShade="BF"/>
    </w:rPr>
  </w:style>
  <w:style w:type="paragraph" w:styleId="Citadestacada">
    <w:name w:val="Intense Quote"/>
    <w:basedOn w:val="Normal"/>
    <w:next w:val="Normal"/>
    <w:link w:val="CitadestacadaCar"/>
    <w:uiPriority w:val="30"/>
    <w:qFormat/>
    <w:rsid w:val="00847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47E3F"/>
    <w:rPr>
      <w:i/>
      <w:iCs/>
      <w:color w:val="0F4761" w:themeColor="accent1" w:themeShade="BF"/>
    </w:rPr>
  </w:style>
  <w:style w:type="character" w:styleId="Referenciaintensa">
    <w:name w:val="Intense Reference"/>
    <w:basedOn w:val="Fuentedeprrafopredeter"/>
    <w:uiPriority w:val="32"/>
    <w:qFormat/>
    <w:rsid w:val="00847E3F"/>
    <w:rPr>
      <w:b/>
      <w:bCs/>
      <w:smallCaps/>
      <w:color w:val="0F4761" w:themeColor="accent1" w:themeShade="BF"/>
      <w:spacing w:val="5"/>
    </w:rPr>
  </w:style>
  <w:style w:type="paragraph" w:styleId="Encabezado">
    <w:name w:val="header"/>
    <w:basedOn w:val="Normal"/>
    <w:link w:val="EncabezadoCar"/>
    <w:uiPriority w:val="99"/>
    <w:unhideWhenUsed/>
    <w:rsid w:val="00847E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7E3F"/>
  </w:style>
  <w:style w:type="paragraph" w:styleId="Piedepgina">
    <w:name w:val="footer"/>
    <w:basedOn w:val="Normal"/>
    <w:link w:val="PiedepginaCar"/>
    <w:uiPriority w:val="99"/>
    <w:unhideWhenUsed/>
    <w:rsid w:val="00847E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7E3F"/>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47E3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47E3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47E3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47E3F"/>
    <w:rPr>
      <w:vertAlign w:val="superscript"/>
    </w:rPr>
  </w:style>
  <w:style w:type="character" w:customStyle="1" w:styleId="normaltextrun">
    <w:name w:val="normaltextrun"/>
    <w:basedOn w:val="Fuentedeprrafopredeter"/>
    <w:rsid w:val="00847E3F"/>
  </w:style>
  <w:style w:type="table" w:styleId="Tablaconcuadrcula">
    <w:name w:val="Table Grid"/>
    <w:basedOn w:val="Tablanormal"/>
    <w:uiPriority w:val="39"/>
    <w:qFormat/>
    <w:rsid w:val="00847E3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47E3F"/>
    <w:rPr>
      <w:color w:val="0000FF"/>
      <w:u w:val="single"/>
    </w:rPr>
  </w:style>
  <w:style w:type="paragraph" w:customStyle="1" w:styleId="paragraph">
    <w:name w:val="paragraph"/>
    <w:basedOn w:val="Normal"/>
    <w:rsid w:val="00847E3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847E3F"/>
  </w:style>
  <w:style w:type="paragraph" w:styleId="NormalWeb">
    <w:name w:val="Normal (Web)"/>
    <w:basedOn w:val="Normal"/>
    <w:link w:val="NormalWebCar"/>
    <w:uiPriority w:val="99"/>
    <w:unhideWhenUsed/>
    <w:rsid w:val="00847E3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847E3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7E3F"/>
  </w:style>
  <w:style w:type="character" w:customStyle="1" w:styleId="NormalWebCar">
    <w:name w:val="Normal (Web) Car"/>
    <w:link w:val="NormalWeb"/>
    <w:uiPriority w:val="99"/>
    <w:locked/>
    <w:rsid w:val="00847E3F"/>
    <w:rPr>
      <w:rFonts w:ascii="Times New Roman" w:eastAsia="Times New Roman" w:hAnsi="Times New Roman" w:cs="Times New Roman"/>
      <w:kern w:val="0"/>
      <w:sz w:val="24"/>
      <w:szCs w:val="24"/>
      <w:lang w:eastAsia="es-CO"/>
      <w14:ligatures w14:val="none"/>
    </w:rPr>
  </w:style>
  <w:style w:type="character" w:customStyle="1" w:styleId="baj">
    <w:name w:val="b_aj"/>
    <w:basedOn w:val="Fuentedeprrafopredeter"/>
    <w:rsid w:val="00847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anogerman218@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about:blank" TargetMode="External"/><Relationship Id="rId5"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480C7-FF04-4CC5-8CD4-4C1EFDF75568}"/>
</file>

<file path=customXml/itemProps2.xml><?xml version="1.0" encoding="utf-8"?>
<ds:datastoreItem xmlns:ds="http://schemas.openxmlformats.org/officeDocument/2006/customXml" ds:itemID="{BF9D094D-77EF-4829-B9D6-6E8143F06AAB}"/>
</file>

<file path=customXml/itemProps3.xml><?xml version="1.0" encoding="utf-8"?>
<ds:datastoreItem xmlns:ds="http://schemas.openxmlformats.org/officeDocument/2006/customXml" ds:itemID="{1639BE08-26DA-4691-BC52-BFAA1EC9D22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670</TotalTime>
  <Pages>30</Pages>
  <Words>10006</Words>
  <Characters>55035</Characters>
  <Application>Microsoft Office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110</cp:revision>
  <dcterms:created xsi:type="dcterms:W3CDTF">2026-09-28T14:57:00Z</dcterms:created>
  <dcterms:modified xsi:type="dcterms:W3CDTF">2026-10-22T13:33:00Z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