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20577"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INTERVENTORÍA – Naturaleza – Actividad especializada – Artículo 83 de la Ley 1474 de 2011</w:t>
      </w:r>
    </w:p>
    <w:p w14:paraId="7038901A" w14:textId="77777777" w:rsidR="00F2171E" w:rsidRDefault="00F2171E" w:rsidP="00F2171E">
      <w:pPr>
        <w:spacing w:after="0" w:line="240" w:lineRule="auto"/>
        <w:jc w:val="both"/>
        <w:rPr>
          <w:rFonts w:ascii="Verdana" w:hAnsi="Verdana" w:cs="Arial"/>
          <w:b/>
          <w:bCs/>
          <w:color w:val="000000"/>
          <w:lang w:val="es-ES"/>
        </w:rPr>
      </w:pPr>
    </w:p>
    <w:p w14:paraId="44FD289C"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artículo 83 de la Ley 1474 de 2011 define la interventoría como el seguimiento que sobre la ejecución contractual realiza una persona natural o jurídica contratada para tal fin por la entidad estatal, y la hace exigible cuando el seguimiento del contrato suponga conocimiento especializado en la materia o cuando la complejidad o la extensión del contrato lo justifiquen. Esta Subdirección ha caracterizado la figura señalando que se trata de un mecanismo de vigilancia que exige, en su ejecución, la utilización de conocimientos especializados, y que por esa razón la entidad contrata a un experto, por regla general mediante concurso de méritos, al tratarse de una especie del contrato de consultoría.</w:t>
      </w:r>
    </w:p>
    <w:p w14:paraId="3F0BC98E" w14:textId="77777777" w:rsidR="00F2171E" w:rsidRDefault="00F2171E" w:rsidP="00F2171E">
      <w:pPr>
        <w:spacing w:after="0" w:line="240" w:lineRule="auto"/>
        <w:jc w:val="both"/>
        <w:rPr>
          <w:rFonts w:ascii="Verdana" w:hAnsi="Verdana" w:cs="Arial"/>
          <w:b/>
          <w:bCs/>
          <w:color w:val="000000"/>
          <w:lang w:val="es-ES"/>
        </w:rPr>
      </w:pPr>
    </w:p>
    <w:p w14:paraId="4240211B"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INTERVENTORÍA – Conocimiento especializado – Contenido – Seguimiento técnico y demás componentes</w:t>
      </w:r>
    </w:p>
    <w:p w14:paraId="3142DE74" w14:textId="77777777" w:rsidR="00F2171E" w:rsidRDefault="00F2171E" w:rsidP="00F2171E">
      <w:pPr>
        <w:spacing w:after="0" w:line="240" w:lineRule="auto"/>
        <w:jc w:val="both"/>
        <w:rPr>
          <w:rFonts w:ascii="Verdana" w:hAnsi="Verdana" w:cs="Arial"/>
          <w:b/>
          <w:bCs/>
          <w:color w:val="000000"/>
          <w:lang w:val="es-ES"/>
        </w:rPr>
      </w:pPr>
    </w:p>
    <w:p w14:paraId="6D5CD337"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conocimiento especializado que la interventoría demanda se determina por el objeto del contrato vigilado. A la interventoría le es inherente el seguimiento técnico sobre la correcta ejecución del contrato, y el artículo 83 de la Ley 1474 de 2011 permite que en el respectivo contrato se pacten además obligaciones de seguimiento administrativo, financiero, contable o jurídico. Cuando no se encomienda al interventor el seguimiento total, el contrato debe indicar las actividades técnicas a su cargo, y las restantes quedan a cargo de la entidad a través del supervisor.</w:t>
      </w:r>
    </w:p>
    <w:p w14:paraId="1D1FE556" w14:textId="77777777" w:rsidR="00F2171E" w:rsidRDefault="00F2171E" w:rsidP="00F2171E">
      <w:pPr>
        <w:spacing w:after="0" w:line="240" w:lineRule="auto"/>
        <w:jc w:val="both"/>
        <w:rPr>
          <w:rFonts w:ascii="Verdana" w:hAnsi="Verdana" w:cs="Arial"/>
          <w:b/>
          <w:bCs/>
          <w:color w:val="000000"/>
          <w:lang w:val="es-ES"/>
        </w:rPr>
      </w:pPr>
    </w:p>
    <w:p w14:paraId="6BADCD8F"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INTERVENTORÍA – Ausencia de exigencia legal de un nivel profesional determinado</w:t>
      </w:r>
    </w:p>
    <w:p w14:paraId="05B3E56F" w14:textId="77777777" w:rsidR="00F2171E" w:rsidRDefault="00F2171E" w:rsidP="00F2171E">
      <w:pPr>
        <w:spacing w:after="0" w:line="240" w:lineRule="auto"/>
        <w:jc w:val="both"/>
        <w:rPr>
          <w:rFonts w:ascii="Verdana" w:hAnsi="Verdana" w:cs="Arial"/>
          <w:b/>
          <w:bCs/>
          <w:color w:val="000000"/>
          <w:lang w:val="es-ES"/>
        </w:rPr>
      </w:pPr>
    </w:p>
    <w:p w14:paraId="617577D0"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Las normas del Estatuto General de Contratación de la Administración Pública y sus disposiciones complementarias exigen conocimiento especializado e idoneidad, sin fijar el nivel de formación ni el título que debe acreditar quien ejerce la interventoría. Esta Subdirección ha constatado que no existe una disposición de carácter general que establezca un listado único y obligatorio de profesionales aplicable a todos los contratos de obra pública, y ha precisado que la determinación del equipo comprende a los profesionales, técnicos y demás personal de apoyo que el proyecto requiera.</w:t>
      </w:r>
    </w:p>
    <w:p w14:paraId="72825202" w14:textId="77777777" w:rsidR="00F2171E" w:rsidRDefault="00F2171E" w:rsidP="00F2171E">
      <w:pPr>
        <w:spacing w:after="0" w:line="240" w:lineRule="auto"/>
        <w:jc w:val="both"/>
        <w:rPr>
          <w:rFonts w:ascii="Verdana" w:hAnsi="Verdana" w:cs="Arial"/>
          <w:b/>
          <w:bCs/>
          <w:color w:val="000000"/>
          <w:lang w:val="es-ES"/>
        </w:rPr>
      </w:pPr>
    </w:p>
    <w:p w14:paraId="0C9102B4"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PERFIL DEL INTERVENTOR – Determinación en la planeación – Competencia de la entidad</w:t>
      </w:r>
    </w:p>
    <w:p w14:paraId="32215D20" w14:textId="77777777" w:rsidR="00F2171E" w:rsidRDefault="00F2171E" w:rsidP="00F2171E">
      <w:pPr>
        <w:spacing w:after="0" w:line="240" w:lineRule="auto"/>
        <w:jc w:val="both"/>
        <w:rPr>
          <w:rFonts w:ascii="Verdana" w:hAnsi="Verdana" w:cs="Arial"/>
          <w:b/>
          <w:bCs/>
          <w:color w:val="000000"/>
          <w:lang w:val="es-ES"/>
        </w:rPr>
      </w:pPr>
    </w:p>
    <w:p w14:paraId="44FE7522"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Corresponde a la entidad estatal determinar, en los estudios y documentos previos, el personal mínimo requerido para la adecuada ejecución del contrato, considerando el objeto contractual, la complejidad técnica del proyecto, la magnitud física de la obra, los riesgos asociados, el plazo y las especialidades requeridas, con exigencias objetivas, razonables y proporcionales. Esa determinación constituye una decisión propia de la </w:t>
      </w:r>
      <w:r>
        <w:rPr>
          <w:rFonts w:ascii="Verdana" w:hAnsi="Verdana" w:cs="Arial"/>
          <w:bCs/>
          <w:color w:val="000000"/>
          <w:sz w:val="20"/>
          <w:lang w:val="es-ES"/>
        </w:rPr>
        <w:lastRenderedPageBreak/>
        <w:t>planeación técnica y financiera de la entidad, debe quedar soportada en los estudios previos y no puede traducirse en restricciones injustificadas a la libre concurrencia.</w:t>
      </w:r>
    </w:p>
    <w:p w14:paraId="70E07164" w14:textId="77777777" w:rsidR="00F2171E" w:rsidRDefault="00F2171E" w:rsidP="00F2171E">
      <w:pPr>
        <w:spacing w:after="0" w:line="240" w:lineRule="auto"/>
        <w:jc w:val="both"/>
        <w:rPr>
          <w:rFonts w:ascii="Verdana" w:hAnsi="Verdana" w:cs="Arial"/>
          <w:b/>
          <w:bCs/>
          <w:color w:val="000000"/>
          <w:lang w:val="es-ES"/>
        </w:rPr>
      </w:pPr>
    </w:p>
    <w:p w14:paraId="6D6AF393"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DOCUMENTOS TIPO DE INTERVENTORÍA – Matriz 4 – Configuración de los perfiles por la entidad</w:t>
      </w:r>
    </w:p>
    <w:p w14:paraId="3B0F3DF9" w14:textId="77777777" w:rsidR="00F2171E" w:rsidRDefault="00F2171E" w:rsidP="00F2171E">
      <w:pPr>
        <w:spacing w:after="0" w:line="240" w:lineRule="auto"/>
        <w:jc w:val="both"/>
        <w:rPr>
          <w:rFonts w:ascii="Verdana" w:hAnsi="Verdana" w:cs="Arial"/>
          <w:b/>
          <w:bCs/>
          <w:color w:val="000000"/>
          <w:lang w:val="es-ES"/>
        </w:rPr>
      </w:pPr>
    </w:p>
    <w:p w14:paraId="52C93EC4"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En los procesos regidos por documentos tipo la determinación del perfil se realiza conforme a sus reglas. El documento base identifica el personal clave evaluable —Director de Interventoría, Residente de Interventoría, Especialista Principal del Proyecto y, según el sector, Coordinador de Interventoría— y remite a la “Matriz 4 – Lineamientos de requisitos del personal”. Conforme a esos lineamientos, la entidad contratante puede configurar libremente los perfiles exigidos, solicitando tanto el título profesional y de posgrado como la experiencia general y específica, pues los títulos no vienen predeterminados en el documento base ni en la matriz, que reservan a la entidad las casillas correspondientes.</w:t>
      </w:r>
    </w:p>
    <w:p w14:paraId="0D79BFB8" w14:textId="77777777" w:rsidR="00F2171E" w:rsidRDefault="00F2171E" w:rsidP="00F2171E">
      <w:pPr>
        <w:spacing w:after="0" w:line="240" w:lineRule="auto"/>
        <w:jc w:val="both"/>
        <w:rPr>
          <w:rFonts w:ascii="Verdana" w:hAnsi="Verdana" w:cs="Arial"/>
          <w:b/>
          <w:bCs/>
          <w:color w:val="000000"/>
          <w:lang w:val="es-ES"/>
        </w:rPr>
      </w:pPr>
    </w:p>
    <w:p w14:paraId="12BCB982"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EJERCICIO DE LA INGENIERÍA – Interventoría – Literal a) del artículo 2 de la Ley 842 de 2003</w:t>
      </w:r>
    </w:p>
    <w:p w14:paraId="6D256486" w14:textId="77777777" w:rsidR="00F2171E" w:rsidRDefault="00F2171E" w:rsidP="00F2171E">
      <w:pPr>
        <w:spacing w:after="0" w:line="240" w:lineRule="auto"/>
        <w:jc w:val="both"/>
        <w:rPr>
          <w:rFonts w:ascii="Verdana" w:hAnsi="Verdana" w:cs="Arial"/>
          <w:b/>
          <w:bCs/>
          <w:color w:val="000000"/>
          <w:lang w:val="es-ES"/>
        </w:rPr>
      </w:pPr>
    </w:p>
    <w:p w14:paraId="4E8E60A4"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literal a) del artículo 2 de la Ley 842 de 2003 enuncia entre las actividades que constituyen ejercicio de la ingeniería los estudios, la planeación, el diseño, el cálculo, la programación, la asesoría, la consultoría, la interventoría, la construcción, el mantenimiento y la administración de construcciones de edificios y viviendas de toda índole y de obras de infraestructura para el servicio de la comunidad. La interventoría de obras de esa naturaleza queda comprendida, por disposición legal, en el ámbito del ejercicio profesional de la ingeniería.</w:t>
      </w:r>
    </w:p>
    <w:p w14:paraId="471E4613" w14:textId="77777777" w:rsidR="00F2171E" w:rsidRDefault="00F2171E" w:rsidP="00F2171E">
      <w:pPr>
        <w:spacing w:after="0" w:line="240" w:lineRule="auto"/>
        <w:jc w:val="both"/>
        <w:rPr>
          <w:rFonts w:ascii="Verdana" w:hAnsi="Verdana" w:cs="Arial"/>
          <w:b/>
          <w:bCs/>
          <w:color w:val="000000"/>
          <w:lang w:val="es-ES"/>
        </w:rPr>
      </w:pPr>
    </w:p>
    <w:p w14:paraId="6F732037"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EJERCICIO DE LA INGENIERÍA – Modalidades – Profesión, profesiones afines y profesiones auxiliares</w:t>
      </w:r>
    </w:p>
    <w:p w14:paraId="2EA7CB9A" w14:textId="77777777" w:rsidR="00F2171E" w:rsidRDefault="00F2171E" w:rsidP="00F2171E">
      <w:pPr>
        <w:spacing w:after="0" w:line="240" w:lineRule="auto"/>
        <w:jc w:val="both"/>
        <w:rPr>
          <w:rFonts w:ascii="Verdana" w:hAnsi="Verdana" w:cs="Arial"/>
          <w:b/>
          <w:bCs/>
          <w:color w:val="000000"/>
          <w:lang w:val="es-ES"/>
        </w:rPr>
      </w:pPr>
    </w:p>
    <w:p w14:paraId="763AA2E4"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Ley 842 de 2003 distingue tres modalidades. El artículo 2 define el ejercicio profesional de la ingeniería. El artículo 4 define las profesiones afines como aquellas del nivel profesional cuyo ejercicio se desarrolla en actividades relacionadas con la ingeniería o cuyo campo ocupacional es conexo a ella, entre las que menciona la administración de obras civiles. El artículo 3 define las profesiones auxiliares como las actividades que se ejercen en nivel medio, como auxiliares de los ingenieros, amparadas por título académico de formación técnica y tecnológica profesional, y enuncia entre ellas a los técnicos y tecnólogos en obras civiles. Esta Subdirección ha señalado que la obra civil supone como mínimo el ejercicio de la ingeniería, de sus profesiones auxiliares o afines.</w:t>
      </w:r>
    </w:p>
    <w:p w14:paraId="4287FDC3" w14:textId="77777777" w:rsidR="00F2171E" w:rsidRDefault="00F2171E" w:rsidP="00F2171E">
      <w:pPr>
        <w:spacing w:after="0" w:line="240" w:lineRule="auto"/>
        <w:jc w:val="both"/>
        <w:rPr>
          <w:rFonts w:ascii="Verdana" w:hAnsi="Verdana" w:cs="Arial"/>
          <w:b/>
          <w:bCs/>
          <w:color w:val="000000"/>
          <w:lang w:val="es-ES"/>
        </w:rPr>
      </w:pPr>
    </w:p>
    <w:p w14:paraId="761F021F"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REGISTRO PROFESIONAL – Artículo 6 de la Ley 842 de 2003 – Acreditación por modalidad</w:t>
      </w:r>
    </w:p>
    <w:p w14:paraId="1EA148C3" w14:textId="77777777" w:rsidR="00F2171E" w:rsidRDefault="00F2171E" w:rsidP="00F2171E">
      <w:pPr>
        <w:spacing w:after="0" w:line="240" w:lineRule="auto"/>
        <w:jc w:val="both"/>
        <w:rPr>
          <w:rFonts w:ascii="Verdana" w:hAnsi="Verdana" w:cs="Arial"/>
          <w:b/>
          <w:bCs/>
          <w:color w:val="000000"/>
          <w:lang w:val="es-ES"/>
        </w:rPr>
      </w:pPr>
    </w:p>
    <w:p w14:paraId="2C713117"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lastRenderedPageBreak/>
        <w:t>El ejercicio de la ingeniería, de sus profesiones afines y de sus profesiones auxiliares requiere estar matriculado o inscrito en el Registro Profesional respectivo, que administra el Consejo Profesional Nacional de Ingeniería. Ese Consejo expide las tarjetas de matrícula y los certificados de inscripción a los ingenieros, profesionales afines y profesionales auxiliares de la ingeniería, respectivamente, de manera que cada modalidad obtiene el documento que corresponde a su propia habilitación. Quien contrate servicios de ingeniería puede solicitar al Consejo el certificado de vigencia para verificar la habilitación.</w:t>
      </w:r>
    </w:p>
    <w:p w14:paraId="0D750771" w14:textId="77777777" w:rsidR="00F2171E" w:rsidRDefault="00F2171E" w:rsidP="00F2171E">
      <w:pPr>
        <w:spacing w:after="0" w:line="240" w:lineRule="auto"/>
        <w:jc w:val="both"/>
        <w:rPr>
          <w:rFonts w:ascii="Verdana" w:hAnsi="Verdana" w:cs="Arial"/>
          <w:b/>
          <w:bCs/>
          <w:color w:val="000000"/>
          <w:lang w:val="es-ES"/>
        </w:rPr>
      </w:pPr>
    </w:p>
    <w:p w14:paraId="5DAB237C"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COMPETENCIA – Atribuciones de cada modalidad – Consejo Profesional Nacional de Ingeniería</w:t>
      </w:r>
    </w:p>
    <w:p w14:paraId="097D370C" w14:textId="77777777" w:rsidR="00F2171E" w:rsidRDefault="00F2171E" w:rsidP="00F2171E">
      <w:pPr>
        <w:spacing w:after="0" w:line="240" w:lineRule="auto"/>
        <w:jc w:val="both"/>
        <w:rPr>
          <w:rFonts w:ascii="Verdana" w:hAnsi="Verdana" w:cs="Arial"/>
          <w:b/>
          <w:bCs/>
          <w:color w:val="000000"/>
          <w:lang w:val="es-ES"/>
        </w:rPr>
      </w:pPr>
    </w:p>
    <w:p w14:paraId="23B58986"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determinación de las atribuciones específicas que corresponden a cada modalidad del ejercicio de la ingeniería compete al Consejo Profesional Nacional de Ingeniería, que administra el Registro Profesional, expide los certificados de vigencia y denuncia el ejercicio ilegal de la profesión. Esta Subdirección ha indicado que, cuando la normatividad aplicable al ejercicio de determinada actividad exija matrícula, licencia, tarjeta profesional o documento equivalente, la entidad podrá requerir su acreditación de conformidad con la regulación correspondiente.</w:t>
      </w:r>
    </w:p>
    <w:p w14:paraId="06699C12" w14:textId="77777777" w:rsidR="00F2171E" w:rsidRDefault="00F2171E" w:rsidP="00F2171E">
      <w:pPr>
        <w:spacing w:after="0" w:line="240" w:lineRule="auto"/>
        <w:jc w:val="both"/>
        <w:rPr>
          <w:rFonts w:ascii="Verdana" w:hAnsi="Verdana" w:cs="Arial"/>
          <w:b/>
          <w:bCs/>
          <w:color w:val="000000"/>
          <w:lang w:val="es-ES"/>
        </w:rPr>
      </w:pPr>
    </w:p>
    <w:p w14:paraId="01281922" w14:textId="77777777" w:rsidR="009D7575" w:rsidRDefault="009D7575" w:rsidP="00F2171E">
      <w:pPr>
        <w:spacing w:after="0" w:line="240" w:lineRule="auto"/>
        <w:jc w:val="both"/>
        <w:rPr>
          <w:rFonts w:ascii="Verdana" w:eastAsia="Geomanist Light" w:hAnsi="Verdana" w:cs="Arial"/>
          <w:color w:val="000000" w:themeColor="text1"/>
          <w:lang w:val="es-MX"/>
        </w:rPr>
      </w:pPr>
    </w:p>
    <w:p w14:paraId="68AA7774" w14:textId="77777777" w:rsidR="009D7575" w:rsidRDefault="009D7575" w:rsidP="00F2171E">
      <w:pPr>
        <w:spacing w:after="0" w:line="240" w:lineRule="auto"/>
        <w:jc w:val="both"/>
        <w:rPr>
          <w:rFonts w:ascii="Verdana" w:eastAsia="Geomanist Light" w:hAnsi="Verdana" w:cs="Arial"/>
          <w:color w:val="000000" w:themeColor="text1"/>
          <w:lang w:val="es-MX"/>
        </w:rPr>
      </w:pPr>
    </w:p>
    <w:p w14:paraId="4343459D" w14:textId="77777777" w:rsidR="009D7575" w:rsidRDefault="009D7575" w:rsidP="00F2171E">
      <w:pPr>
        <w:spacing w:after="0" w:line="240" w:lineRule="auto"/>
        <w:jc w:val="both"/>
        <w:rPr>
          <w:rFonts w:ascii="Verdana" w:eastAsia="Geomanist Light" w:hAnsi="Verdana" w:cs="Arial"/>
          <w:color w:val="000000" w:themeColor="text1"/>
          <w:lang w:val="es-MX"/>
        </w:rPr>
      </w:pPr>
    </w:p>
    <w:p w14:paraId="523F31DB" w14:textId="77777777" w:rsidR="009D7575" w:rsidRDefault="009D7575" w:rsidP="00F2171E">
      <w:pPr>
        <w:spacing w:after="0" w:line="240" w:lineRule="auto"/>
        <w:jc w:val="both"/>
        <w:rPr>
          <w:rFonts w:ascii="Verdana" w:eastAsia="Geomanist Light" w:hAnsi="Verdana" w:cs="Arial"/>
          <w:color w:val="000000" w:themeColor="text1"/>
          <w:lang w:val="es-MX"/>
        </w:rPr>
      </w:pPr>
    </w:p>
    <w:p w14:paraId="0EB41224" w14:textId="77777777" w:rsidR="009D7575" w:rsidRDefault="009D7575" w:rsidP="00F2171E">
      <w:pPr>
        <w:spacing w:after="0" w:line="240" w:lineRule="auto"/>
        <w:jc w:val="both"/>
        <w:rPr>
          <w:rFonts w:ascii="Verdana" w:eastAsia="Geomanist Light" w:hAnsi="Verdana" w:cs="Arial"/>
          <w:color w:val="000000" w:themeColor="text1"/>
          <w:lang w:val="es-MX"/>
        </w:rPr>
      </w:pPr>
    </w:p>
    <w:p w14:paraId="0A7838B1" w14:textId="77777777" w:rsidR="009D7575" w:rsidRDefault="009D7575" w:rsidP="00F2171E">
      <w:pPr>
        <w:spacing w:after="0" w:line="240" w:lineRule="auto"/>
        <w:jc w:val="both"/>
        <w:rPr>
          <w:rFonts w:ascii="Verdana" w:eastAsia="Geomanist Light" w:hAnsi="Verdana" w:cs="Arial"/>
          <w:color w:val="000000" w:themeColor="text1"/>
          <w:lang w:val="es-MX"/>
        </w:rPr>
      </w:pPr>
    </w:p>
    <w:p w14:paraId="0F7C2FDC" w14:textId="77777777" w:rsidR="009D7575" w:rsidRDefault="009D7575" w:rsidP="00F2171E">
      <w:pPr>
        <w:spacing w:after="0" w:line="240" w:lineRule="auto"/>
        <w:jc w:val="both"/>
        <w:rPr>
          <w:rFonts w:ascii="Verdana" w:eastAsia="Geomanist Light" w:hAnsi="Verdana" w:cs="Arial"/>
          <w:color w:val="000000" w:themeColor="text1"/>
          <w:lang w:val="es-MX"/>
        </w:rPr>
      </w:pPr>
    </w:p>
    <w:p w14:paraId="2D17C066" w14:textId="77777777" w:rsidR="009D7575" w:rsidRDefault="009D7575" w:rsidP="00F2171E">
      <w:pPr>
        <w:spacing w:after="0" w:line="240" w:lineRule="auto"/>
        <w:jc w:val="both"/>
        <w:rPr>
          <w:rFonts w:ascii="Verdana" w:eastAsia="Geomanist Light" w:hAnsi="Verdana" w:cs="Arial"/>
          <w:color w:val="000000" w:themeColor="text1"/>
          <w:lang w:val="es-MX"/>
        </w:rPr>
      </w:pPr>
    </w:p>
    <w:p w14:paraId="4CDCF649" w14:textId="77777777" w:rsidR="009D7575" w:rsidRDefault="009D7575" w:rsidP="00F2171E">
      <w:pPr>
        <w:spacing w:after="0" w:line="240" w:lineRule="auto"/>
        <w:jc w:val="both"/>
        <w:rPr>
          <w:rFonts w:ascii="Verdana" w:eastAsia="Geomanist Light" w:hAnsi="Verdana" w:cs="Arial"/>
          <w:color w:val="000000" w:themeColor="text1"/>
          <w:lang w:val="es-MX"/>
        </w:rPr>
      </w:pPr>
    </w:p>
    <w:p w14:paraId="7E048F0B" w14:textId="77777777" w:rsidR="009D7575" w:rsidRDefault="009D7575" w:rsidP="00F2171E">
      <w:pPr>
        <w:spacing w:after="0" w:line="240" w:lineRule="auto"/>
        <w:jc w:val="both"/>
        <w:rPr>
          <w:rFonts w:ascii="Verdana" w:eastAsia="Geomanist Light" w:hAnsi="Verdana" w:cs="Arial"/>
          <w:color w:val="000000" w:themeColor="text1"/>
          <w:lang w:val="es-MX"/>
        </w:rPr>
      </w:pPr>
    </w:p>
    <w:p w14:paraId="1D1520FC" w14:textId="77777777" w:rsidR="009D7575" w:rsidRDefault="009D7575" w:rsidP="00F2171E">
      <w:pPr>
        <w:spacing w:after="0" w:line="240" w:lineRule="auto"/>
        <w:jc w:val="both"/>
        <w:rPr>
          <w:rFonts w:ascii="Verdana" w:eastAsia="Geomanist Light" w:hAnsi="Verdana" w:cs="Arial"/>
          <w:color w:val="000000" w:themeColor="text1"/>
          <w:lang w:val="es-MX"/>
        </w:rPr>
      </w:pPr>
    </w:p>
    <w:p w14:paraId="4B25D19D" w14:textId="77777777" w:rsidR="009D7575" w:rsidRDefault="009D7575" w:rsidP="00F2171E">
      <w:pPr>
        <w:spacing w:after="0" w:line="240" w:lineRule="auto"/>
        <w:jc w:val="both"/>
        <w:rPr>
          <w:rFonts w:ascii="Verdana" w:eastAsia="Geomanist Light" w:hAnsi="Verdana" w:cs="Arial"/>
          <w:color w:val="000000" w:themeColor="text1"/>
          <w:lang w:val="es-MX"/>
        </w:rPr>
      </w:pPr>
    </w:p>
    <w:p w14:paraId="3AD3E2D4" w14:textId="77777777" w:rsidR="009D7575" w:rsidRDefault="009D7575" w:rsidP="00F2171E">
      <w:pPr>
        <w:spacing w:after="0" w:line="240" w:lineRule="auto"/>
        <w:jc w:val="both"/>
        <w:rPr>
          <w:rFonts w:ascii="Verdana" w:eastAsia="Geomanist Light" w:hAnsi="Verdana" w:cs="Arial"/>
          <w:color w:val="000000" w:themeColor="text1"/>
          <w:lang w:val="es-MX"/>
        </w:rPr>
      </w:pPr>
    </w:p>
    <w:p w14:paraId="5649D883" w14:textId="77777777" w:rsidR="009D7575" w:rsidRDefault="009D7575" w:rsidP="00F2171E">
      <w:pPr>
        <w:spacing w:after="0" w:line="240" w:lineRule="auto"/>
        <w:jc w:val="both"/>
        <w:rPr>
          <w:rFonts w:ascii="Verdana" w:eastAsia="Geomanist Light" w:hAnsi="Verdana" w:cs="Arial"/>
          <w:color w:val="000000" w:themeColor="text1"/>
          <w:lang w:val="es-MX"/>
        </w:rPr>
      </w:pPr>
    </w:p>
    <w:p w14:paraId="38D76402" w14:textId="77777777" w:rsidR="009D7575" w:rsidRDefault="009D7575" w:rsidP="00F2171E">
      <w:pPr>
        <w:spacing w:after="0" w:line="240" w:lineRule="auto"/>
        <w:jc w:val="both"/>
        <w:rPr>
          <w:rFonts w:ascii="Verdana" w:eastAsia="Geomanist Light" w:hAnsi="Verdana" w:cs="Arial"/>
          <w:color w:val="000000" w:themeColor="text1"/>
          <w:lang w:val="es-MX"/>
        </w:rPr>
      </w:pPr>
    </w:p>
    <w:p w14:paraId="222EB8FE" w14:textId="77777777" w:rsidR="009D7575" w:rsidRDefault="009D7575" w:rsidP="00F2171E">
      <w:pPr>
        <w:spacing w:after="0" w:line="240" w:lineRule="auto"/>
        <w:jc w:val="both"/>
        <w:rPr>
          <w:rFonts w:ascii="Verdana" w:eastAsia="Geomanist Light" w:hAnsi="Verdana" w:cs="Arial"/>
          <w:color w:val="000000" w:themeColor="text1"/>
          <w:lang w:val="es-MX"/>
        </w:rPr>
      </w:pPr>
    </w:p>
    <w:p w14:paraId="22BF5EAA" w14:textId="77777777" w:rsidR="009D7575" w:rsidRDefault="009D7575" w:rsidP="00F2171E">
      <w:pPr>
        <w:spacing w:after="0" w:line="240" w:lineRule="auto"/>
        <w:jc w:val="both"/>
        <w:rPr>
          <w:rFonts w:ascii="Verdana" w:eastAsia="Geomanist Light" w:hAnsi="Verdana" w:cs="Arial"/>
          <w:color w:val="000000" w:themeColor="text1"/>
          <w:lang w:val="es-MX"/>
        </w:rPr>
      </w:pPr>
    </w:p>
    <w:p w14:paraId="58681284" w14:textId="77777777" w:rsidR="009D7575" w:rsidRDefault="009D7575" w:rsidP="00F2171E">
      <w:pPr>
        <w:spacing w:after="0" w:line="240" w:lineRule="auto"/>
        <w:jc w:val="both"/>
        <w:rPr>
          <w:rFonts w:ascii="Verdana" w:eastAsia="Geomanist Light" w:hAnsi="Verdana" w:cs="Arial"/>
          <w:color w:val="000000" w:themeColor="text1"/>
          <w:lang w:val="es-MX"/>
        </w:rPr>
      </w:pPr>
    </w:p>
    <w:p w14:paraId="7BA3D423" w14:textId="77777777" w:rsidR="009D7575" w:rsidRDefault="009D7575" w:rsidP="00F2171E">
      <w:pPr>
        <w:spacing w:after="0" w:line="240" w:lineRule="auto"/>
        <w:jc w:val="both"/>
        <w:rPr>
          <w:rFonts w:ascii="Verdana" w:eastAsia="Geomanist Light" w:hAnsi="Verdana" w:cs="Arial"/>
          <w:color w:val="000000" w:themeColor="text1"/>
          <w:lang w:val="es-MX"/>
        </w:rPr>
      </w:pPr>
    </w:p>
    <w:p w14:paraId="59D0BB9E" w14:textId="77777777" w:rsidR="009D7575" w:rsidRDefault="009D7575" w:rsidP="00F2171E">
      <w:pPr>
        <w:spacing w:after="0" w:line="240" w:lineRule="auto"/>
        <w:jc w:val="both"/>
        <w:rPr>
          <w:rFonts w:ascii="Verdana" w:eastAsia="Geomanist Light" w:hAnsi="Verdana" w:cs="Arial"/>
          <w:color w:val="000000" w:themeColor="text1"/>
          <w:lang w:val="es-MX"/>
        </w:rPr>
      </w:pPr>
    </w:p>
    <w:p w14:paraId="06FDB7D8" w14:textId="77777777" w:rsidR="009D7575" w:rsidRDefault="009D7575" w:rsidP="00F2171E">
      <w:pPr>
        <w:spacing w:after="0" w:line="240" w:lineRule="auto"/>
        <w:jc w:val="both"/>
        <w:rPr>
          <w:rFonts w:ascii="Verdana" w:eastAsia="Geomanist Light" w:hAnsi="Verdana" w:cs="Arial"/>
          <w:color w:val="000000" w:themeColor="text1"/>
          <w:lang w:val="es-MX"/>
        </w:rPr>
      </w:pPr>
    </w:p>
    <w:p w14:paraId="033A7C83" w14:textId="77777777" w:rsidR="009D7575" w:rsidRDefault="009D7575" w:rsidP="00F2171E">
      <w:pPr>
        <w:spacing w:after="0" w:line="240" w:lineRule="auto"/>
        <w:jc w:val="both"/>
        <w:rPr>
          <w:rFonts w:ascii="Verdana" w:eastAsia="Geomanist Light" w:hAnsi="Verdana" w:cs="Arial"/>
          <w:color w:val="000000" w:themeColor="text1"/>
          <w:lang w:val="es-MX"/>
        </w:rPr>
      </w:pPr>
    </w:p>
    <w:p w14:paraId="453305F7" w14:textId="77777777" w:rsidR="00F421C2" w:rsidRDefault="00F421C2" w:rsidP="00F421C2">
      <w:pPr>
        <w:spacing w:after="0" w:line="240" w:lineRule="auto"/>
        <w:jc w:val="both"/>
        <w:rPr>
          <w:rFonts w:ascii="Verdana" w:eastAsia="Geomanist Light" w:hAnsi="Verdana" w:cs="Arial"/>
          <w:color w:val="000000" w:themeColor="text1"/>
          <w:lang w:val="es-MX"/>
        </w:rPr>
      </w:pPr>
    </w:p>
    <w:p w14:paraId="51789B76" w14:textId="4490C587" w:rsidR="00F421C2" w:rsidRDefault="00F421C2" w:rsidP="00F421C2">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t xml:space="preserve">Bogotá D.C., </w:t>
      </w:r>
      <w:r w:rsidR="00E17976">
        <w:rPr>
          <w:rFonts w:ascii="Verdana" w:eastAsia="Geomanist Light" w:hAnsi="Verdana" w:cs="Arial"/>
          <w:color w:val="000000" w:themeColor="text1"/>
          <w:lang w:val="es-MX"/>
        </w:rPr>
        <w:t>21 de octubre de 2026</w:t>
      </w:r>
    </w:p>
    <w:p w14:paraId="1AF0E9B1" w14:textId="77777777" w:rsidR="00F421C2" w:rsidRDefault="00F421C2" w:rsidP="00F421C2">
      <w:pPr>
        <w:spacing w:after="0" w:line="240" w:lineRule="auto"/>
        <w:rPr>
          <w:rFonts w:ascii="Verdana" w:eastAsia="Verdana" w:hAnsi="Verdana" w:cs="Verdana"/>
        </w:rPr>
      </w:pPr>
    </w:p>
    <w:p w14:paraId="04833E15" w14:textId="6C48A644" w:rsidR="00E17976" w:rsidRDefault="00E17976" w:rsidP="00E17976">
      <w:pPr>
        <w:spacing w:after="0" w:line="240" w:lineRule="auto"/>
        <w:jc w:val="right"/>
        <w:rPr>
          <w:rFonts w:ascii="Verdana" w:eastAsia="Verdana" w:hAnsi="Verdana" w:cs="Verdana"/>
        </w:rPr>
      </w:pPr>
    </w:p>
    <w:p w14:paraId="2741ED64" w14:textId="3A1F7AA3" w:rsidR="00F421C2" w:rsidRPr="002B4BE9" w:rsidRDefault="00FC06ED" w:rsidP="00F421C2">
      <w:pPr>
        <w:spacing w:after="0" w:line="240" w:lineRule="auto"/>
        <w:rPr>
          <w:rFonts w:ascii="Verdana" w:hAnsi="Verdana"/>
        </w:rPr>
      </w:pPr>
      <w:r w:rsidRPr="00E17976">
        <w:rPr>
          <w:rFonts w:ascii="Verdana" w:eastAsia="Verdana" w:hAnsi="Verdana" w:cs="Verdana"/>
          <w:noProof/>
        </w:rPr>
        <w:drawing>
          <wp:anchor distT="0" distB="0" distL="114300" distR="114300" simplePos="0" relativeHeight="251658240" behindDoc="0" locked="0" layoutInCell="1" allowOverlap="1" wp14:anchorId="16587E63" wp14:editId="64B08379">
            <wp:simplePos x="0" y="0"/>
            <wp:positionH relativeFrom="margin">
              <wp:align>right</wp:align>
            </wp:positionH>
            <wp:positionV relativeFrom="paragraph">
              <wp:posOffset>71755</wp:posOffset>
            </wp:positionV>
            <wp:extent cx="2449195" cy="711835"/>
            <wp:effectExtent l="0" t="0" r="8255" b="0"/>
            <wp:wrapSquare wrapText="bothSides"/>
            <wp:docPr id="12197653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65313" name=""/>
                    <pic:cNvPicPr/>
                  </pic:nvPicPr>
                  <pic:blipFill>
                    <a:blip r:embed="rId11">
                      <a:extLst>
                        <a:ext uri="{28A0092B-C50C-407E-A947-70E740481C1C}">
                          <a14:useLocalDpi xmlns:a14="http://schemas.microsoft.com/office/drawing/2010/main" val="0"/>
                        </a:ext>
                      </a:extLst>
                    </a:blip>
                    <a:stretch>
                      <a:fillRect/>
                    </a:stretch>
                  </pic:blipFill>
                  <pic:spPr>
                    <a:xfrm>
                      <a:off x="0" y="0"/>
                      <a:ext cx="2449195" cy="711835"/>
                    </a:xfrm>
                    <a:prstGeom prst="rect">
                      <a:avLst/>
                    </a:prstGeom>
                  </pic:spPr>
                </pic:pic>
              </a:graphicData>
            </a:graphic>
            <wp14:sizeRelH relativeFrom="margin">
              <wp14:pctWidth>0</wp14:pctWidth>
            </wp14:sizeRelH>
            <wp14:sizeRelV relativeFrom="margin">
              <wp14:pctHeight>0</wp14:pctHeight>
            </wp14:sizeRelV>
          </wp:anchor>
        </w:drawing>
      </w:r>
    </w:p>
    <w:p w14:paraId="273CD0C0" w14:textId="77777777" w:rsidR="00F421C2" w:rsidRPr="00524422" w:rsidRDefault="00F421C2" w:rsidP="00F421C2">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p>
    <w:p w14:paraId="63210ACC" w14:textId="77777777" w:rsidR="00F421C2" w:rsidRPr="009D7575" w:rsidRDefault="00F421C2" w:rsidP="00F421C2">
      <w:pPr>
        <w:spacing w:after="0" w:line="240" w:lineRule="auto"/>
        <w:rPr>
          <w:rFonts w:ascii="Verdana" w:eastAsia="Calibri" w:hAnsi="Verdana" w:cs="Times New Roman"/>
          <w:b/>
          <w:bCs/>
          <w:lang w:val="es-MX"/>
        </w:rPr>
      </w:pPr>
      <w:r w:rsidRPr="009D7575">
        <w:rPr>
          <w:rFonts w:ascii="Verdana" w:eastAsia="Calibri" w:hAnsi="Verdana" w:cs="Times New Roman"/>
          <w:b/>
          <w:bCs/>
          <w:lang w:val="es-MX"/>
        </w:rPr>
        <w:t>YOSER GABRIEL SÁNCHEZ CÁRDENAS</w:t>
      </w:r>
    </w:p>
    <w:p w14:paraId="05A82508" w14:textId="77777777" w:rsidR="00F421C2" w:rsidRPr="00524422" w:rsidRDefault="00F421C2" w:rsidP="00F421C2">
      <w:pPr>
        <w:spacing w:after="0" w:line="240" w:lineRule="auto"/>
        <w:rPr>
          <w:rFonts w:ascii="Verdana" w:eastAsia="Calibri" w:hAnsi="Verdana" w:cs="Times New Roman"/>
          <w:lang w:val="es-MX"/>
        </w:rPr>
      </w:pPr>
      <w:r w:rsidRPr="00524422">
        <w:rPr>
          <w:rFonts w:ascii="Verdana" w:eastAsia="Calibri" w:hAnsi="Verdana" w:cs="Times New Roman"/>
          <w:lang w:val="es-MX"/>
        </w:rPr>
        <w:t>yoser360@hotmail.com</w:t>
      </w:r>
    </w:p>
    <w:p w14:paraId="1EA14D1F" w14:textId="77777777" w:rsidR="00F421C2" w:rsidRPr="00524422" w:rsidRDefault="00F421C2" w:rsidP="00F421C2">
      <w:pPr>
        <w:spacing w:after="0" w:line="240" w:lineRule="auto"/>
        <w:rPr>
          <w:rFonts w:ascii="Verdana" w:eastAsia="Calibri" w:hAnsi="Verdana" w:cs="Times New Roman"/>
          <w:lang w:val="es-MX"/>
        </w:rPr>
      </w:pPr>
      <w:r w:rsidRPr="00524422">
        <w:rPr>
          <w:rFonts w:ascii="Verdana" w:eastAsia="Calibri" w:hAnsi="Verdana" w:cs="Times New Roman"/>
          <w:lang w:val="es-MX"/>
        </w:rPr>
        <w:t>Medellín, Antioquia</w:t>
      </w:r>
    </w:p>
    <w:p w14:paraId="2D184DFE" w14:textId="77777777" w:rsidR="00F421C2" w:rsidRPr="002B4BE9" w:rsidRDefault="00F421C2" w:rsidP="00F421C2">
      <w:pPr>
        <w:spacing w:after="0" w:line="240" w:lineRule="auto"/>
        <w:rPr>
          <w:rFonts w:ascii="Verdana" w:eastAsia="Calibri" w:hAnsi="Verdana" w:cs="Times New Roman"/>
        </w:rPr>
      </w:pPr>
    </w:p>
    <w:p w14:paraId="1874D7CD" w14:textId="77777777" w:rsidR="00F421C2" w:rsidRPr="002B4BE9" w:rsidRDefault="00F421C2" w:rsidP="00F421C2">
      <w:pPr>
        <w:spacing w:after="0" w:line="240" w:lineRule="auto"/>
        <w:rPr>
          <w:rFonts w:ascii="Verdana" w:eastAsia="Calibri" w:hAnsi="Verdana" w:cs="Times New Roman"/>
        </w:rPr>
      </w:pPr>
    </w:p>
    <w:p w14:paraId="558794BC" w14:textId="77777777" w:rsidR="00F421C2" w:rsidRPr="002B4BE9" w:rsidRDefault="00F421C2" w:rsidP="00F421C2">
      <w:pPr>
        <w:spacing w:after="0" w:line="240" w:lineRule="auto"/>
        <w:rPr>
          <w:rFonts w:ascii="Verdana" w:eastAsia="Calibri" w:hAnsi="Verdana" w:cs="Times New Roman"/>
          <w:b/>
          <w:bCs/>
          <w:lang w:val="es-ES"/>
        </w:rPr>
      </w:pPr>
      <w:r>
        <w:rPr>
          <w:rFonts w:ascii="Verdana" w:eastAsia="Calibri" w:hAnsi="Verdana" w:cs="Times New Roman"/>
          <w:b/>
          <w:bCs/>
          <w:lang w:val="es-ES"/>
        </w:rPr>
        <w:t xml:space="preserve">                                    </w:t>
      </w:r>
      <w:r w:rsidRPr="002B4BE9">
        <w:rPr>
          <w:rFonts w:ascii="Verdana" w:eastAsia="Calibri" w:hAnsi="Verdana" w:cs="Times New Roman"/>
          <w:b/>
          <w:bCs/>
          <w:lang w:val="es-ES"/>
        </w:rPr>
        <w:t xml:space="preserve">Concepto </w:t>
      </w:r>
      <w:r w:rsidRPr="00D9379D">
        <w:rPr>
          <w:rFonts w:ascii="Verdana" w:eastAsia="Calibri" w:hAnsi="Verdana" w:cs="Times New Roman"/>
          <w:b/>
          <w:bCs/>
          <w:lang w:val="es-ES"/>
        </w:rPr>
        <w:t>C-1431</w:t>
      </w:r>
      <w:r>
        <w:rPr>
          <w:rFonts w:ascii="Verdana" w:eastAsia="Calibri" w:hAnsi="Verdana" w:cs="Times New Roman"/>
          <w:b/>
          <w:bCs/>
          <w:lang w:val="es-ES"/>
        </w:rPr>
        <w:t xml:space="preserve"> </w:t>
      </w:r>
      <w:r w:rsidRPr="002B4BE9">
        <w:rPr>
          <w:rFonts w:ascii="Verdana" w:eastAsia="Calibri" w:hAnsi="Verdana" w:cs="Times New Roman"/>
          <w:b/>
          <w:bCs/>
          <w:lang w:val="es-ES"/>
        </w:rPr>
        <w:t>de 2026</w:t>
      </w:r>
      <w:r>
        <w:rPr>
          <w:rFonts w:ascii="Verdana" w:eastAsia="Calibri" w:hAnsi="Verdana" w:cs="Times New Roman"/>
          <w:b/>
          <w:bCs/>
          <w:lang w:val="es-ES"/>
        </w:rPr>
        <w:t xml:space="preserve"> </w:t>
      </w:r>
    </w:p>
    <w:p w14:paraId="4D61D227" w14:textId="77777777" w:rsidR="00F421C2" w:rsidRPr="002B4BE9" w:rsidRDefault="00F421C2" w:rsidP="00F421C2">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421C2" w:rsidRPr="002B4BE9" w14:paraId="08778632" w14:textId="77777777" w:rsidTr="00780D17">
        <w:trPr>
          <w:trHeight w:val="645"/>
        </w:trPr>
        <w:tc>
          <w:tcPr>
            <w:tcW w:w="2685" w:type="dxa"/>
            <w:hideMark/>
          </w:tcPr>
          <w:p w14:paraId="3CC8048D" w14:textId="77777777" w:rsidR="00F421C2" w:rsidRPr="00403388" w:rsidRDefault="00F421C2" w:rsidP="00780D17">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60635BA7" w14:textId="77777777" w:rsidR="00F421C2" w:rsidRDefault="00F421C2" w:rsidP="00780D17">
            <w:pPr>
              <w:spacing w:line="276" w:lineRule="auto"/>
              <w:jc w:val="both"/>
              <w:rPr>
                <w:rFonts w:ascii="Verdana" w:hAnsi="Verdana" w:cs="Arial"/>
                <w:bCs/>
                <w:color w:val="000000"/>
                <w:lang w:val="es-ES"/>
              </w:rPr>
            </w:pPr>
            <w:r w:rsidRPr="001B49B3">
              <w:rPr>
                <w:rFonts w:ascii="Verdana" w:hAnsi="Verdana" w:cs="Arial"/>
                <w:bCs/>
                <w:color w:val="000000"/>
                <w:lang w:val="es-ES"/>
              </w:rPr>
              <w:t>INTERVENTORÍA – Naturaleza – Actividad especializada – Artículo 83 de la Ley 1474 de 2011 / INTERVENTORÍA – Conocimiento especializado – Contenido – Seguimiento técnico y demás componentes / INTERVENTORÍA – Ausencia de exigencia legal de un nivel profesional determinado / PERFIL DEL INTERVENTOR – Determinación en la planeación – Competencia de la entidad / EJERCICIO DE LA INGENIERÍA – Interventoría – Literal a) del artículo 2 de la Ley 842 de 2003 / EJERCICIO DE LA INGENIERÍA – Modalidades – Profesión, profesiones afines y profesiones auxiliares / REGISTRO PROFESIONAL – Artículo 6 de la Ley 842 de 2003 – Acreditación por modalidad / COMPETENCIA – Atribuciones de cada modalidad – Consejo Profesional Nacional de Ingeniería</w:t>
            </w:r>
          </w:p>
          <w:p w14:paraId="5EC00BFA" w14:textId="77777777" w:rsidR="00F421C2" w:rsidRDefault="00F421C2" w:rsidP="00780D17">
            <w:pPr>
              <w:spacing w:line="276" w:lineRule="auto"/>
              <w:jc w:val="both"/>
              <w:rPr>
                <w:rFonts w:ascii="Verdana" w:hAnsi="Verdana" w:cs="Arial"/>
                <w:bCs/>
                <w:color w:val="000000"/>
                <w:lang w:val="es-ES"/>
              </w:rPr>
            </w:pPr>
          </w:p>
          <w:p w14:paraId="08986EC2" w14:textId="77777777" w:rsidR="00F421C2" w:rsidRPr="00403388" w:rsidRDefault="00F421C2" w:rsidP="00780D17">
            <w:pPr>
              <w:spacing w:line="276" w:lineRule="auto"/>
              <w:jc w:val="both"/>
              <w:rPr>
                <w:rFonts w:ascii="Verdana" w:hAnsi="Verdana" w:cs="Arial"/>
                <w:lang w:val="es-ES" w:eastAsia="es-ES"/>
              </w:rPr>
            </w:pPr>
          </w:p>
        </w:tc>
        <w:tc>
          <w:tcPr>
            <w:tcW w:w="6237" w:type="dxa"/>
          </w:tcPr>
          <w:p w14:paraId="5ADDC265" w14:textId="77777777" w:rsidR="00F421C2" w:rsidRPr="002B4BE9" w:rsidRDefault="00F421C2" w:rsidP="00780D17">
            <w:pPr>
              <w:rPr>
                <w:rFonts w:ascii="Verdana" w:hAnsi="Verdana"/>
                <w:lang w:val="es-ES"/>
              </w:rPr>
            </w:pPr>
          </w:p>
        </w:tc>
      </w:tr>
      <w:tr w:rsidR="00F421C2" w:rsidRPr="002B4BE9" w14:paraId="1E4EABB5" w14:textId="77777777" w:rsidTr="00780D17">
        <w:tc>
          <w:tcPr>
            <w:tcW w:w="2685" w:type="dxa"/>
          </w:tcPr>
          <w:p w14:paraId="6C63D60C" w14:textId="77777777" w:rsidR="00F421C2" w:rsidRPr="009D7575" w:rsidRDefault="00F421C2" w:rsidP="00780D17">
            <w:pPr>
              <w:rPr>
                <w:rFonts w:ascii="Verdana" w:hAnsi="Verdana"/>
                <w:b/>
                <w:bCs/>
                <w:lang w:val="es-ES_tradnl"/>
              </w:rPr>
            </w:pPr>
            <w:r w:rsidRPr="009D7575">
              <w:rPr>
                <w:rFonts w:ascii="Verdana" w:hAnsi="Verdana"/>
                <w:b/>
                <w:bCs/>
                <w:lang w:val="es-ES_tradnl"/>
              </w:rPr>
              <w:t xml:space="preserve">Radicación:               </w:t>
            </w:r>
          </w:p>
        </w:tc>
        <w:tc>
          <w:tcPr>
            <w:tcW w:w="6241" w:type="dxa"/>
          </w:tcPr>
          <w:p w14:paraId="4D1778CE" w14:textId="77777777" w:rsidR="00F421C2" w:rsidRDefault="00F421C2" w:rsidP="00780D17">
            <w:pPr>
              <w:spacing w:line="276" w:lineRule="auto"/>
              <w:jc w:val="both"/>
              <w:rPr>
                <w:rFonts w:ascii="Verdana" w:hAnsi="Verdana"/>
              </w:rPr>
            </w:pPr>
            <w:r w:rsidRPr="009D7575">
              <w:rPr>
                <w:rFonts w:ascii="Verdana" w:hAnsi="Verdana"/>
              </w:rPr>
              <w:t>Respuesta a consulta con radicado No. 1_2026_09_10_012109</w:t>
            </w:r>
          </w:p>
          <w:p w14:paraId="188246A3" w14:textId="77777777" w:rsidR="00F421C2" w:rsidRDefault="00F421C2" w:rsidP="00780D17">
            <w:pPr>
              <w:spacing w:line="276" w:lineRule="auto"/>
              <w:jc w:val="both"/>
              <w:rPr>
                <w:rFonts w:ascii="Verdana" w:hAnsi="Verdana"/>
              </w:rPr>
            </w:pPr>
          </w:p>
          <w:p w14:paraId="58DC9FD9" w14:textId="77777777" w:rsidR="00F421C2" w:rsidRPr="009D7575" w:rsidRDefault="00F421C2" w:rsidP="00780D17">
            <w:pPr>
              <w:spacing w:line="276" w:lineRule="auto"/>
              <w:jc w:val="both"/>
              <w:rPr>
                <w:rFonts w:ascii="Verdana" w:hAnsi="Verdana"/>
                <w:lang w:val="es-ES_tradnl"/>
              </w:rPr>
            </w:pPr>
          </w:p>
        </w:tc>
        <w:tc>
          <w:tcPr>
            <w:tcW w:w="6237" w:type="dxa"/>
          </w:tcPr>
          <w:p w14:paraId="22ED305C" w14:textId="77777777" w:rsidR="00F421C2" w:rsidRDefault="00F421C2" w:rsidP="00780D17">
            <w:pPr>
              <w:rPr>
                <w:rFonts w:ascii="Verdana" w:hAnsi="Verdana"/>
              </w:rPr>
            </w:pPr>
          </w:p>
          <w:p w14:paraId="0064FBD0" w14:textId="77777777" w:rsidR="00F421C2" w:rsidRDefault="00F421C2" w:rsidP="00780D17">
            <w:pPr>
              <w:rPr>
                <w:rFonts w:ascii="Verdana" w:hAnsi="Verdana"/>
              </w:rPr>
            </w:pPr>
          </w:p>
          <w:p w14:paraId="3D1D0B7E" w14:textId="77777777" w:rsidR="00F421C2" w:rsidRPr="002B4BE9" w:rsidRDefault="00F421C2" w:rsidP="00780D17">
            <w:pPr>
              <w:rPr>
                <w:rFonts w:ascii="Verdana" w:hAnsi="Verdana"/>
              </w:rPr>
            </w:pPr>
          </w:p>
        </w:tc>
      </w:tr>
    </w:tbl>
    <w:p w14:paraId="4B1DF2D4" w14:textId="77777777" w:rsidR="00F421C2" w:rsidRPr="009037F6" w:rsidRDefault="00F421C2" w:rsidP="00F421C2">
      <w:pPr>
        <w:spacing w:after="0" w:line="276" w:lineRule="auto"/>
        <w:rPr>
          <w:rFonts w:ascii="Verdana" w:eastAsia="Calibri" w:hAnsi="Verdana" w:cs="Times New Roman"/>
          <w:lang w:val="es-ES"/>
        </w:rPr>
      </w:pPr>
      <w:r>
        <w:rPr>
          <w:rFonts w:ascii="Verdana" w:eastAsia="Calibri" w:hAnsi="Verdana" w:cs="Times New Roman"/>
          <w:lang w:val="es-ES"/>
        </w:rPr>
        <w:t>Estimado señor Sánchez:</w:t>
      </w:r>
    </w:p>
    <w:p w14:paraId="56F99212" w14:textId="77777777" w:rsidR="00F421C2" w:rsidRPr="009037F6" w:rsidRDefault="00F421C2" w:rsidP="00F421C2">
      <w:pPr>
        <w:spacing w:after="0" w:line="276" w:lineRule="auto"/>
        <w:rPr>
          <w:rFonts w:ascii="Verdana" w:eastAsia="Calibri" w:hAnsi="Verdana" w:cs="Times New Roman"/>
          <w:lang w:val="es-ES"/>
        </w:rPr>
      </w:pPr>
    </w:p>
    <w:p w14:paraId="3F659B53" w14:textId="77777777" w:rsidR="00F421C2" w:rsidRDefault="00F421C2" w:rsidP="00F421C2">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w:t>
      </w:r>
      <w:r w:rsidRPr="009037F6">
        <w:rPr>
          <w:rFonts w:ascii="Verdana" w:eastAsia="Calibri" w:hAnsi="Verdana" w:cs="Times New Roman"/>
          <w:bCs/>
          <w:lang w:bidi="es-ES"/>
        </w:rPr>
        <w:lastRenderedPageBreak/>
        <w:t>numeral 8 del artículo 11 del Decreto Ley 4170 de 2011, así como lo establecido en la Resolución 469 de 2025 expedida por esta Entidad, responde su solicitud del 9 de septiembre de 2026, en la que plantea el siguiente interrogante:</w:t>
      </w:r>
    </w:p>
    <w:p w14:paraId="38049060" w14:textId="77777777" w:rsidR="00F421C2" w:rsidRDefault="00F421C2" w:rsidP="00F421C2">
      <w:pPr>
        <w:spacing w:after="0" w:line="276" w:lineRule="auto"/>
        <w:jc w:val="both"/>
        <w:rPr>
          <w:rFonts w:ascii="Verdana" w:eastAsia="Calibri" w:hAnsi="Verdana" w:cs="Times New Roman"/>
          <w:lang w:bidi="es-ES"/>
        </w:rPr>
      </w:pPr>
    </w:p>
    <w:p w14:paraId="222388D2" w14:textId="77777777" w:rsidR="00F421C2" w:rsidRDefault="00F421C2" w:rsidP="00F421C2">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“Se solicita emitir concepto técnico-jurídico sobre si un Tecnólogo en Obras Civiles (profesión auxiliar bajo la Ley 842 de 2003) se encuentra legal y facultativamente habilitado para desempeñarse como Interventor Titular y suscribir con su firma actas de avance, modificaciones, aprobaciones técnicas y acta de liquidación en un contrato de obra/interventoría de $1.300 millones, o si dichas funciones están reservadas de manera exclusiva a profesionales universitarios con título de Ingeniero Civil o Arquitecto”.</w:t>
      </w:r>
    </w:p>
    <w:p w14:paraId="4844A0E1" w14:textId="77777777" w:rsidR="00F421C2" w:rsidRDefault="00F421C2" w:rsidP="00F421C2">
      <w:pPr>
        <w:tabs>
          <w:tab w:val="left" w:pos="709"/>
        </w:tabs>
        <w:spacing w:after="0" w:line="240" w:lineRule="auto"/>
        <w:ind w:left="709" w:right="709"/>
        <w:jc w:val="both"/>
        <w:rPr>
          <w:rFonts w:ascii="Verdana" w:hAnsi="Verdana" w:cs="Arial"/>
          <w:sz w:val="20"/>
          <w:szCs w:val="20"/>
          <w:lang w:val="es-ES" w:eastAsia="es-ES"/>
        </w:rPr>
      </w:pPr>
    </w:p>
    <w:p w14:paraId="0BDCA13F" w14:textId="77777777" w:rsidR="00F421C2" w:rsidRPr="009037F6" w:rsidRDefault="00F421C2" w:rsidP="00F421C2">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A22A8A2" w14:textId="77777777" w:rsidR="00F421C2" w:rsidRPr="009037F6" w:rsidRDefault="00F421C2" w:rsidP="00F421C2">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0EAC11EA" w14:textId="77777777" w:rsidR="00F421C2" w:rsidRPr="009037F6" w:rsidRDefault="00F421C2" w:rsidP="00F421C2">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En aplicación de ese límite, la respuesta se circunscribe a las normas del sistema de compras y contratación pública que regulan la interventoría y la determinación de los requisitos del personal. La consulta incorpora además un componente que pertenece al régimen del ejercicio profesional, consistente en </w:t>
      </w:r>
      <w:r w:rsidRPr="009037F6">
        <w:rPr>
          <w:rFonts w:ascii="Verdana" w:eastAsia="Calibri" w:hAnsi="Verdana" w:cs="Times New Roman"/>
          <w:lang w:val="es-ES"/>
        </w:rPr>
        <w:lastRenderedPageBreak/>
        <w:t>establecer qué atribuciones corresponden a cada una de las modalidades que la Ley 842 de 2003 distingue y si una titulación determinada habilita a su titular para desarrollar una actividad específica. Ese componente compete al Consejo Profesional Nacional de Ingeniería, autoridad que administra el Registro Profesional, expide los certificados de vigencia y denuncia el ejercicio ilegal de la profesión.</w:t>
      </w:r>
    </w:p>
    <w:p w14:paraId="7A380749" w14:textId="77777777" w:rsidR="00F421C2" w:rsidRPr="009037F6" w:rsidRDefault="00F421C2" w:rsidP="00F421C2">
      <w:pPr>
        <w:spacing w:after="0" w:line="276" w:lineRule="auto"/>
        <w:rPr>
          <w:rFonts w:ascii="Verdana" w:eastAsia="Calibri" w:hAnsi="Verdana" w:cs="Times New Roman"/>
          <w:lang w:val="es-ES"/>
        </w:rPr>
      </w:pPr>
    </w:p>
    <w:p w14:paraId="527C6E16" w14:textId="77777777" w:rsidR="00F421C2" w:rsidRPr="009037F6" w:rsidRDefault="00F421C2" w:rsidP="00F421C2">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0A98117F" w14:textId="77777777" w:rsidR="00F421C2" w:rsidRPr="009037F6" w:rsidRDefault="00F421C2" w:rsidP="00F421C2">
      <w:pPr>
        <w:spacing w:after="0" w:line="276" w:lineRule="auto"/>
        <w:rPr>
          <w:rFonts w:ascii="Verdana" w:eastAsia="Calibri" w:hAnsi="Verdana" w:cs="Times New Roman"/>
        </w:rPr>
      </w:pPr>
    </w:p>
    <w:p w14:paraId="06E3DDE7" w14:textId="77777777" w:rsidR="00F421C2" w:rsidRPr="00D1210B" w:rsidRDefault="00F421C2" w:rsidP="00F421C2">
      <w:pPr>
        <w:spacing w:after="0" w:line="276" w:lineRule="auto"/>
        <w:jc w:val="both"/>
        <w:rPr>
          <w:rFonts w:ascii="Verdana" w:eastAsia="Calibri" w:hAnsi="Verdana" w:cs="Times New Roman"/>
        </w:rPr>
      </w:pPr>
      <w:r w:rsidRPr="009037F6">
        <w:rPr>
          <w:rFonts w:ascii="Verdana" w:eastAsia="Calibri" w:hAnsi="Verdana" w:cs="Times New Roman"/>
        </w:rPr>
        <w:t>De acuerdo con el contenido de su solicitud, y abstrayendo de ella los problemas jurídicos generales que la comprenden, la Agencia procede a resolver: i) ¿Cuál es el alcance de la interventoría como actividad especializada en los términos del artículo 83 de la Ley 1474 de 2011?</w:t>
      </w:r>
      <w:r>
        <w:rPr>
          <w:rFonts w:ascii="Verdana" w:eastAsia="Calibri" w:hAnsi="Verdana" w:cs="Times New Roman"/>
        </w:rPr>
        <w:t>,</w:t>
      </w:r>
      <w:r w:rsidRPr="009037F6">
        <w:rPr>
          <w:rFonts w:ascii="Verdana" w:eastAsia="Calibri" w:hAnsi="Verdana" w:cs="Times New Roman"/>
        </w:rPr>
        <w:t xml:space="preserve"> </w:t>
      </w:r>
      <w:proofErr w:type="spellStart"/>
      <w:r>
        <w:rPr>
          <w:rFonts w:ascii="Verdana" w:eastAsia="Calibri" w:hAnsi="Verdana" w:cs="Times New Roman"/>
        </w:rPr>
        <w:t>i</w:t>
      </w:r>
      <w:r w:rsidRPr="009037F6">
        <w:rPr>
          <w:rFonts w:ascii="Verdana" w:eastAsia="Calibri" w:hAnsi="Verdana" w:cs="Times New Roman"/>
        </w:rPr>
        <w:t>i</w:t>
      </w:r>
      <w:proofErr w:type="spellEnd"/>
      <w:r>
        <w:rPr>
          <w:rFonts w:ascii="Verdana" w:eastAsia="Calibri" w:hAnsi="Verdana" w:cs="Times New Roman"/>
        </w:rPr>
        <w:t>)</w:t>
      </w:r>
      <w:r w:rsidRPr="006C1139">
        <w:rPr>
          <w:rFonts w:ascii="Verdana" w:eastAsia="Calibri" w:hAnsi="Verdana" w:cs="Times New Roman"/>
        </w:rPr>
        <w:t>¿Establecen las normas generales de contratación estatal un nivel de formación o título profesional determinado para ejercer la interventoría y qué criterios debe observar la entidad al estructurar los perfiles requeridos para su ejecución?</w:t>
      </w:r>
      <w:r>
        <w:rPr>
          <w:rFonts w:ascii="Verdana" w:eastAsia="Calibri" w:hAnsi="Verdana" w:cs="Times New Roman"/>
        </w:rPr>
        <w:t xml:space="preserve">, </w:t>
      </w:r>
      <w:proofErr w:type="spellStart"/>
      <w:r w:rsidRPr="009037F6">
        <w:rPr>
          <w:rFonts w:ascii="Verdana" w:eastAsia="Calibri" w:hAnsi="Verdana" w:cs="Times New Roman"/>
        </w:rPr>
        <w:t>iii</w:t>
      </w:r>
      <w:proofErr w:type="spellEnd"/>
      <w:r w:rsidRPr="009037F6">
        <w:rPr>
          <w:rFonts w:ascii="Verdana" w:eastAsia="Calibri" w:hAnsi="Verdana" w:cs="Times New Roman"/>
        </w:rPr>
        <w:t>) ¿Qué alcance tiene la calificación de la interventoría como actividad del ejercicio de la ingeniería y qué autoridad define las atribuciones de cada una de las modalidades que la Ley 842 de 2003 distingue?</w:t>
      </w:r>
    </w:p>
    <w:p w14:paraId="6EC49333" w14:textId="77777777" w:rsidR="00F421C2" w:rsidRPr="00E27EDD" w:rsidRDefault="00F421C2" w:rsidP="00F421C2">
      <w:pPr>
        <w:spacing w:after="0" w:line="276" w:lineRule="auto"/>
        <w:jc w:val="both"/>
        <w:rPr>
          <w:rFonts w:ascii="Verdana" w:eastAsia="Calibri" w:hAnsi="Verdana" w:cs="Times New Roman"/>
          <w:i/>
          <w:iCs/>
        </w:rPr>
      </w:pPr>
    </w:p>
    <w:p w14:paraId="064FF2C8" w14:textId="77777777" w:rsidR="00F421C2" w:rsidRPr="009037F6" w:rsidRDefault="00F421C2" w:rsidP="00F421C2">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4421A1AC" w14:textId="77777777" w:rsidR="00F421C2" w:rsidRPr="009037F6" w:rsidRDefault="00F421C2" w:rsidP="00F421C2">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421C2" w:rsidRPr="009037F6" w14:paraId="4CB40E0C" w14:textId="77777777" w:rsidTr="00780D17">
        <w:trPr>
          <w:trHeight w:val="345"/>
          <w:jc w:val="center"/>
        </w:trPr>
        <w:tc>
          <w:tcPr>
            <w:tcW w:w="8784" w:type="dxa"/>
            <w:tcBorders>
              <w:bottom w:val="single" w:sz="4" w:space="0" w:color="auto"/>
            </w:tcBorders>
          </w:tcPr>
          <w:p w14:paraId="5944141B" w14:textId="77777777" w:rsidR="00F421C2" w:rsidRDefault="00F421C2" w:rsidP="00780D17">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sidRPr="009D7575">
              <w:rPr>
                <w:rFonts w:ascii="Verdana" w:eastAsia="Times New Roman" w:hAnsi="Verdana" w:cs="Arial"/>
                <w:bCs/>
                <w:color w:val="000000" w:themeColor="text1"/>
                <w:lang w:val="es-ES" w:eastAsia="es-ES"/>
              </w:rPr>
              <w:t>La interventoría es una actividad especializada, y esa calificación proviene de la ley.</w:t>
            </w:r>
            <w:r w:rsidRPr="004F3256">
              <w:rPr>
                <w:rFonts w:ascii="Verdana" w:eastAsia="Times New Roman" w:hAnsi="Verdana" w:cs="Arial"/>
                <w:color w:val="000000" w:themeColor="text1"/>
                <w:lang w:val="es-ES" w:eastAsia="es-ES"/>
              </w:rPr>
              <w:t xml:space="preserve"> El artículo 83 de la Ley 1474 de 2011 la define como el seguimiento que sobre la ejecución contractual realiza “una persona natural o jurídica contratada para tal fin por la Entidad Estatal”, y la hace exigible cuando el seguimiento del contrato “suponga conocimiento especializado en la materia, o cuando la complejidad o la extensión </w:t>
            </w:r>
            <w:proofErr w:type="gramStart"/>
            <w:r w:rsidRPr="004F3256">
              <w:rPr>
                <w:rFonts w:ascii="Verdana" w:eastAsia="Times New Roman" w:hAnsi="Verdana" w:cs="Arial"/>
                <w:color w:val="000000" w:themeColor="text1"/>
                <w:lang w:val="es-ES" w:eastAsia="es-ES"/>
              </w:rPr>
              <w:t>del mismo</w:t>
            </w:r>
            <w:proofErr w:type="gramEnd"/>
            <w:r w:rsidRPr="004F3256">
              <w:rPr>
                <w:rFonts w:ascii="Verdana" w:eastAsia="Times New Roman" w:hAnsi="Verdana" w:cs="Arial"/>
                <w:color w:val="000000" w:themeColor="text1"/>
                <w:lang w:val="es-ES" w:eastAsia="es-ES"/>
              </w:rPr>
              <w:t xml:space="preserve"> lo justifique”. Para los contratos de obra adjudicados mediante licitación pública la interventoría es obligatoria por disposición del numeral 1 del artículo 32 de la Ley 80 de 1993</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23C43ABC" w14:textId="77777777" w:rsidR="00F421C2" w:rsidRDefault="00F421C2" w:rsidP="00780D17">
            <w:pPr>
              <w:spacing w:after="120" w:line="276" w:lineRule="auto"/>
              <w:jc w:val="both"/>
              <w:rPr>
                <w:rFonts w:ascii="Verdana" w:hAnsi="Verdana" w:cs="Arial"/>
                <w:lang w:val="es-ES" w:eastAsia="es-ES"/>
              </w:rPr>
            </w:pPr>
            <w:r w:rsidRPr="009D7575">
              <w:rPr>
                <w:rFonts w:ascii="Verdana" w:eastAsia="Times New Roman" w:hAnsi="Verdana" w:cs="Arial"/>
                <w:bCs/>
                <w:color w:val="000000" w:themeColor="text1"/>
                <w:lang w:val="es-ES" w:eastAsia="es-ES"/>
              </w:rPr>
              <w:t xml:space="preserve">Esta Subdirección ha desarrollado el contenido de esa calificación. </w:t>
            </w:r>
            <w:r>
              <w:rPr>
                <w:rFonts w:ascii="Verdana" w:eastAsia="Times New Roman" w:hAnsi="Verdana" w:cs="Arial"/>
                <w:bCs/>
                <w:color w:val="000000" w:themeColor="text1"/>
                <w:lang w:val="es-ES" w:eastAsia="es-ES"/>
              </w:rPr>
              <w:t xml:space="preserve">Se ha </w:t>
            </w:r>
            <w:r w:rsidRPr="004F3256">
              <w:rPr>
                <w:rFonts w:ascii="Verdana" w:eastAsia="Times New Roman" w:hAnsi="Verdana" w:cs="Arial"/>
                <w:color w:val="000000" w:themeColor="text1"/>
                <w:lang w:val="es-ES" w:eastAsia="es-ES"/>
              </w:rPr>
              <w:t xml:space="preserve">señalado que la interventoría “es un mecanismo de vigilancia que exige, en </w:t>
            </w:r>
            <w:r w:rsidRPr="004F3256">
              <w:rPr>
                <w:rFonts w:ascii="Verdana" w:eastAsia="Times New Roman" w:hAnsi="Verdana" w:cs="Arial"/>
                <w:color w:val="000000" w:themeColor="text1"/>
                <w:lang w:val="es-ES" w:eastAsia="es-ES"/>
              </w:rPr>
              <w:lastRenderedPageBreak/>
              <w:t>su ejecución, la utilización de conocimientos especializados”, y que “por lo anterior, la entidad contrata un experto, por regla general, mediante la modalidad de selección de concurso de méritos, al tratarse la interventoría de una especie del contrato de consultoría”. La especialización opera, en consecuencia, como el elemento que justifica acudir a un tercero experto y que explica la modalidad de selección aplicable</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3A0DF97E" w14:textId="77777777" w:rsidR="00F421C2" w:rsidRDefault="00F421C2" w:rsidP="00780D17">
            <w:pPr>
              <w:spacing w:after="120" w:line="276" w:lineRule="auto"/>
              <w:jc w:val="both"/>
              <w:rPr>
                <w:rFonts w:ascii="Verdana" w:hAnsi="Verdana" w:cs="Arial"/>
                <w:lang w:val="es-ES" w:eastAsia="es-ES"/>
              </w:rPr>
            </w:pPr>
            <w:r w:rsidRPr="009D7575">
              <w:rPr>
                <w:rFonts w:ascii="Verdana" w:eastAsia="Times New Roman" w:hAnsi="Verdana" w:cs="Arial"/>
                <w:bCs/>
                <w:color w:val="000000" w:themeColor="text1"/>
                <w:lang w:val="es-ES" w:eastAsia="es-ES"/>
              </w:rPr>
              <w:t>El contenido concreto del conocimiento especializado lo determina el objeto del contrato vigilado.</w:t>
            </w:r>
            <w:r w:rsidRPr="004F3256">
              <w:rPr>
                <w:rFonts w:ascii="Verdana" w:eastAsia="Times New Roman" w:hAnsi="Verdana" w:cs="Arial"/>
                <w:color w:val="000000" w:themeColor="text1"/>
                <w:lang w:val="es-ES" w:eastAsia="es-ES"/>
              </w:rPr>
              <w:t xml:space="preserve"> A la interventoría le es inherente el seguimiento técnico sobre la correcta ejecución del contrato, y el artículo 83 de la Ley 1474 de 2011 permite que en el contrato de interventoría se pacten también obligaciones de seguimiento administrativo, financiero, contable o jurídico. Cuando no se encomienda al interventor el seguimiento total, el contrato debe indicar las actividades técnicas a su cargo, y las demás quedan a cargo de la entidad a través del supervisor</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45291D48" w14:textId="77777777" w:rsidR="00F421C2" w:rsidRDefault="00F421C2" w:rsidP="00780D17">
            <w:pPr>
              <w:spacing w:after="120" w:line="276" w:lineRule="auto"/>
              <w:jc w:val="both"/>
              <w:rPr>
                <w:rFonts w:ascii="Verdana" w:hAnsi="Verdana" w:cs="Arial"/>
                <w:lang w:val="es-ES" w:eastAsia="es-ES"/>
              </w:rPr>
            </w:pPr>
            <w:proofErr w:type="spellStart"/>
            <w:r w:rsidRPr="004F3256">
              <w:rPr>
                <w:rFonts w:ascii="Verdana" w:eastAsia="Times New Roman" w:hAnsi="Verdana" w:cs="Arial"/>
                <w:color w:val="000000" w:themeColor="text1"/>
                <w:lang w:val="es-ES" w:eastAsia="es-ES"/>
              </w:rPr>
              <w:t>ii</w:t>
            </w:r>
            <w:proofErr w:type="spellEnd"/>
            <w:r w:rsidRPr="004F3256">
              <w:rPr>
                <w:rFonts w:ascii="Verdana" w:eastAsia="Times New Roman" w:hAnsi="Verdana" w:cs="Arial"/>
                <w:color w:val="000000" w:themeColor="text1"/>
                <w:lang w:val="es-ES" w:eastAsia="es-ES"/>
              </w:rPr>
              <w:t xml:space="preserve">) </w:t>
            </w:r>
            <w:r w:rsidRPr="009D7575">
              <w:rPr>
                <w:rFonts w:ascii="Verdana" w:eastAsia="Times New Roman" w:hAnsi="Verdana" w:cs="Arial"/>
                <w:bCs/>
                <w:color w:val="000000" w:themeColor="text1"/>
                <w:lang w:val="es-ES" w:eastAsia="es-ES"/>
              </w:rPr>
              <w:t>Las normas de la contratación estatal exigen conocimiento especializado e idoneidad, y no fijan el nivel de formación ni el título que debe acreditar quien ejerce la interventoría.</w:t>
            </w:r>
            <w:r w:rsidRPr="004F3256">
              <w:rPr>
                <w:rFonts w:ascii="Verdana" w:eastAsia="Times New Roman" w:hAnsi="Verdana" w:cs="Arial"/>
                <w:color w:val="000000" w:themeColor="text1"/>
                <w:lang w:val="es-ES" w:eastAsia="es-ES"/>
              </w:rPr>
              <w:t xml:space="preserve"> El artículo 83 de la Ley 1474 de 2011 identifica al interventor por su posición contractual y por la especialidad que el seguimiento demanda. Esta Subdirección ha constatado, en el mismo sentido, que “no existe una disposición de carácter general que establezca un listado único y obligatorio de profesionales aplicable a todos los contratos de obra pública”</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55552A12" w14:textId="77777777" w:rsidR="00F421C2" w:rsidRDefault="00F421C2" w:rsidP="00780D17">
            <w:pPr>
              <w:spacing w:after="120" w:line="276" w:lineRule="auto"/>
              <w:jc w:val="both"/>
              <w:rPr>
                <w:rFonts w:ascii="Verdana" w:hAnsi="Verdana" w:cs="Arial"/>
                <w:lang w:val="es-ES" w:eastAsia="es-ES"/>
              </w:rPr>
            </w:pPr>
            <w:r w:rsidRPr="006C1139">
              <w:rPr>
                <w:rFonts w:ascii="Verdana" w:eastAsia="Times New Roman" w:hAnsi="Verdana" w:cs="Arial"/>
                <w:color w:val="000000" w:themeColor="text1"/>
                <w:lang w:val="es-ES" w:eastAsia="es-ES"/>
              </w:rPr>
              <w:t xml:space="preserve">En ausencia de una regla general de contratación estatal que imponga un único título o nivel de formación para toda interventoría, corresponde a la entidad estructurar los perfiles requeridos conforme a la naturaleza, </w:t>
            </w:r>
            <w:r w:rsidRPr="006C1139">
              <w:rPr>
                <w:rFonts w:ascii="Verdana" w:eastAsia="Times New Roman" w:hAnsi="Verdana" w:cs="Arial"/>
                <w:color w:val="000000" w:themeColor="text1"/>
                <w:lang w:val="es-ES" w:eastAsia="es-ES"/>
              </w:rPr>
              <w:lastRenderedPageBreak/>
              <w:t xml:space="preserve">complejidad, alcance y necesidades del contrato, respetando en todo caso las disposiciones especiales que regulen el ejercicio de las profesiones u ocupaciones </w:t>
            </w:r>
            <w:proofErr w:type="gramStart"/>
            <w:r w:rsidRPr="006C1139">
              <w:rPr>
                <w:rFonts w:ascii="Verdana" w:eastAsia="Times New Roman" w:hAnsi="Verdana" w:cs="Arial"/>
                <w:color w:val="000000" w:themeColor="text1"/>
                <w:lang w:val="es-ES" w:eastAsia="es-ES"/>
              </w:rPr>
              <w:t>involucradas.</w:t>
            </w:r>
            <w:r w:rsidRPr="009D7575">
              <w:rPr>
                <w:rFonts w:ascii="Verdana" w:eastAsia="Times New Roman" w:hAnsi="Verdana" w:cs="Arial"/>
                <w:bCs/>
                <w:color w:val="000000" w:themeColor="text1"/>
                <w:lang w:val="es-ES" w:eastAsia="es-ES"/>
              </w:rPr>
              <w:t>.</w:t>
            </w:r>
            <w:proofErr w:type="gramEnd"/>
            <w:r w:rsidRPr="009D7575">
              <w:rPr>
                <w:rFonts w:ascii="Verdana" w:eastAsia="Times New Roman" w:hAnsi="Verdana" w:cs="Arial"/>
                <w:bCs/>
                <w:color w:val="000000" w:themeColor="text1"/>
                <w:lang w:val="es-ES" w:eastAsia="es-ES"/>
              </w:rPr>
              <w:t xml:space="preserve"> En</w:t>
            </w:r>
            <w:r w:rsidRPr="004F3256">
              <w:rPr>
                <w:rFonts w:ascii="Verdana" w:eastAsia="Times New Roman" w:hAnsi="Verdana" w:cs="Arial"/>
                <w:color w:val="000000" w:themeColor="text1"/>
                <w:lang w:val="es-ES" w:eastAsia="es-ES"/>
              </w:rPr>
              <w:t xml:space="preserve"> aplicación de los principios de planeación, responsabilidad y selección objetiva, compete a cada entidad establecer en los estudios y documentos previos el personal mínimo requerido, considerando “el objeto contractual, la complejidad técnica del proyecto, la magnitud física de la obra, los riesgos asociados a la ejecución, el plazo contractual y las especialidades profesionales requeridas”, con requisitos “objetivos, razonables y proporcionales al objeto contractual”. El artículo 2.2.1.1.1.6.2 del Decreto 1082 de 2015 ordena fijar los requisitos habilitantes de manera adecuada y proporcional</w:t>
            </w:r>
            <w:r w:rsidRPr="004F3256">
              <w:rPr>
                <w:rStyle w:val="Refdenotaalpie"/>
                <w:rFonts w:ascii="Verdana" w:hAnsi="Verdana"/>
                <w:sz w:val="20"/>
              </w:rPr>
              <w:footnoteReference w:id="5"/>
            </w:r>
            <w:r w:rsidRPr="004F3256">
              <w:rPr>
                <w:rFonts w:ascii="Verdana" w:eastAsia="Times New Roman" w:hAnsi="Verdana" w:cs="Arial"/>
                <w:color w:val="000000" w:themeColor="text1"/>
                <w:lang w:val="es-ES" w:eastAsia="es-ES"/>
              </w:rPr>
              <w:t>.</w:t>
            </w:r>
          </w:p>
          <w:p w14:paraId="3F3BE95A" w14:textId="77777777" w:rsidR="00F421C2" w:rsidRDefault="00F421C2" w:rsidP="00780D17">
            <w:pPr>
              <w:spacing w:after="120" w:line="276" w:lineRule="auto"/>
              <w:jc w:val="both"/>
              <w:rPr>
                <w:rFonts w:ascii="Verdana" w:hAnsi="Verdana" w:cs="Arial"/>
                <w:lang w:val="es-ES" w:eastAsia="es-ES"/>
              </w:rPr>
            </w:pPr>
            <w:r w:rsidRPr="009D7575">
              <w:rPr>
                <w:rFonts w:ascii="Verdana" w:eastAsia="Times New Roman" w:hAnsi="Verdana" w:cs="Arial"/>
                <w:bCs/>
                <w:color w:val="000000" w:themeColor="text1"/>
                <w:lang w:val="es-ES" w:eastAsia="es-ES"/>
              </w:rPr>
              <w:t>Esa determinación comprende tanto personal profesional como personal de otros niveles.</w:t>
            </w:r>
            <w:r w:rsidRPr="004F3256">
              <w:rPr>
                <w:rFonts w:ascii="Verdana" w:eastAsia="Times New Roman" w:hAnsi="Verdana" w:cs="Arial"/>
                <w:color w:val="000000" w:themeColor="text1"/>
                <w:lang w:val="es-ES" w:eastAsia="es-ES"/>
              </w:rPr>
              <w:t xml:space="preserve"> Esta Subdirección ha señalado que “la determinación de los profesionales, técnicos y demás personal de apoyo que integrarán el equipo requerido para la ejecución del contrato deberá responder a las necesidades reales del proyecto”, y ha indicado que el personal requerido “puede corresponder tanto a personal operacional como a personal profesional”. La entidad define cada perfil en función de las actividades que ese perfil va a desarrollar dentro del proyecto</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7874025A" w14:textId="77777777" w:rsidR="00F421C2" w:rsidRDefault="00F421C2" w:rsidP="00780D17">
            <w:pPr>
              <w:spacing w:after="120" w:line="276" w:lineRule="auto"/>
              <w:jc w:val="both"/>
              <w:rPr>
                <w:rFonts w:ascii="Verdana" w:hAnsi="Verdana" w:cs="Arial"/>
                <w:lang w:val="es-ES" w:eastAsia="es-ES"/>
              </w:rPr>
            </w:pPr>
            <w:r w:rsidRPr="00AB2719">
              <w:rPr>
                <w:rFonts w:ascii="Verdana" w:eastAsia="Times New Roman" w:hAnsi="Verdana" w:cs="Arial"/>
                <w:bCs/>
                <w:color w:val="000000" w:themeColor="text1"/>
                <w:lang w:val="es-ES" w:eastAsia="es-ES"/>
              </w:rPr>
              <w:t>Sin embargo, esa potestad tiene dos límites.</w:t>
            </w:r>
            <w:r w:rsidRPr="004F3256">
              <w:rPr>
                <w:rFonts w:ascii="Verdana" w:eastAsia="Times New Roman" w:hAnsi="Verdana" w:cs="Arial"/>
                <w:color w:val="000000" w:themeColor="text1"/>
                <w:lang w:val="es-ES" w:eastAsia="es-ES"/>
              </w:rPr>
              <w:t xml:space="preserve"> El primero consiste en que las exigencias deben encontrarse justificadas en los estudios previos, guardar relación con el objeto contractual y atender criterios de razonabilidad y proporcionalidad, “sin que puedan traducirse en restricciones injustificadas a la libre concurrencia de oferentes”. El segundo consiste en que, “cuando la normatividad aplicable al ejercicio de determinada actividad exija matrícula, licencia, tarjeta profesional o documento equivalente, la Entidad podrá requerir su acreditación de conformidad con la regulación correspondiente”</w:t>
            </w:r>
            <w:r w:rsidRPr="004F3256">
              <w:rPr>
                <w:rStyle w:val="Refdenotaalpie"/>
                <w:rFonts w:ascii="Verdana" w:hAnsi="Verdana"/>
                <w:sz w:val="20"/>
              </w:rPr>
              <w:footnoteReference w:id="7"/>
            </w:r>
            <w:r w:rsidRPr="004F3256">
              <w:rPr>
                <w:rFonts w:ascii="Verdana" w:eastAsia="Times New Roman" w:hAnsi="Verdana" w:cs="Arial"/>
                <w:color w:val="000000" w:themeColor="text1"/>
                <w:lang w:val="es-ES" w:eastAsia="es-ES"/>
              </w:rPr>
              <w:t>.</w:t>
            </w:r>
          </w:p>
          <w:p w14:paraId="158B1CAD" w14:textId="77777777" w:rsidR="00F421C2" w:rsidRDefault="00F421C2" w:rsidP="00780D17">
            <w:pPr>
              <w:spacing w:after="120" w:line="276" w:lineRule="auto"/>
              <w:jc w:val="both"/>
              <w:rPr>
                <w:rFonts w:ascii="Verdana" w:hAnsi="Verdana" w:cs="Arial"/>
                <w:lang w:val="es-ES" w:eastAsia="es-ES"/>
              </w:rPr>
            </w:pPr>
            <w:proofErr w:type="spellStart"/>
            <w:r w:rsidRPr="004F3256">
              <w:rPr>
                <w:rFonts w:ascii="Verdana" w:eastAsia="Times New Roman" w:hAnsi="Verdana" w:cs="Arial"/>
                <w:color w:val="000000" w:themeColor="text1"/>
                <w:lang w:val="es-ES" w:eastAsia="es-ES"/>
              </w:rPr>
              <w:lastRenderedPageBreak/>
              <w:t>iii</w:t>
            </w:r>
            <w:proofErr w:type="spellEnd"/>
            <w:r w:rsidRPr="004F3256">
              <w:rPr>
                <w:rFonts w:ascii="Verdana" w:eastAsia="Times New Roman" w:hAnsi="Verdana" w:cs="Arial"/>
                <w:color w:val="000000" w:themeColor="text1"/>
                <w:lang w:val="es-ES" w:eastAsia="es-ES"/>
              </w:rPr>
              <w:t xml:space="preserve">) </w:t>
            </w:r>
            <w:r w:rsidRPr="00AB2719">
              <w:rPr>
                <w:rFonts w:ascii="Verdana" w:eastAsia="Times New Roman" w:hAnsi="Verdana" w:cs="Arial"/>
                <w:bCs/>
                <w:color w:val="000000" w:themeColor="text1"/>
                <w:lang w:val="es-ES" w:eastAsia="es-ES"/>
              </w:rPr>
              <w:t>La interventoría de obra está enunciada en la ley entre las actividades que constituyen ejercicio de la ingeniería.</w:t>
            </w:r>
            <w:r w:rsidRPr="004F3256">
              <w:rPr>
                <w:rFonts w:ascii="Verdana" w:eastAsia="Times New Roman" w:hAnsi="Verdana" w:cs="Arial"/>
                <w:color w:val="000000" w:themeColor="text1"/>
                <w:lang w:val="es-ES" w:eastAsia="es-ES"/>
              </w:rPr>
              <w:t xml:space="preserve"> El literal a) del artículo 2 de la Ley 842 de 2003 relaciona entre ellas “los estudios, la planeación, el diseño, el cálculo, la programación, la asesoría, la consultoría, </w:t>
            </w:r>
            <w:r w:rsidRPr="00AB2719">
              <w:rPr>
                <w:rFonts w:ascii="Verdana" w:eastAsia="Times New Roman" w:hAnsi="Verdana" w:cs="Arial"/>
                <w:bCs/>
                <w:color w:val="000000" w:themeColor="text1"/>
                <w:lang w:val="es-ES" w:eastAsia="es-ES"/>
              </w:rPr>
              <w:t>la interventoría,</w:t>
            </w:r>
            <w:r w:rsidRPr="004F3256">
              <w:rPr>
                <w:rFonts w:ascii="Verdana" w:eastAsia="Times New Roman" w:hAnsi="Verdana" w:cs="Arial"/>
                <w:color w:val="000000" w:themeColor="text1"/>
                <w:lang w:val="es-ES" w:eastAsia="es-ES"/>
              </w:rPr>
              <w:t xml:space="preserve"> la construcción, el mantenimiento y la administración de construcciones de edificios y viviendas de toda índole, de puentes, presas, muelles, canales, puertos, carreteras, vías urbanas y rurales […] y en general todas aquellas obras de infraestructura para el servicio de la comunidad”</w:t>
            </w:r>
            <w:r w:rsidRPr="004F3256">
              <w:rPr>
                <w:rStyle w:val="Refdenotaalpie"/>
                <w:rFonts w:ascii="Verdana" w:hAnsi="Verdana"/>
                <w:sz w:val="20"/>
              </w:rPr>
              <w:footnoteReference w:id="8"/>
            </w:r>
            <w:r w:rsidRPr="004F3256">
              <w:rPr>
                <w:rFonts w:ascii="Verdana" w:eastAsia="Times New Roman" w:hAnsi="Verdana" w:cs="Arial"/>
                <w:color w:val="000000" w:themeColor="text1"/>
                <w:lang w:val="es-ES" w:eastAsia="es-ES"/>
              </w:rPr>
              <w:t>.</w:t>
            </w:r>
          </w:p>
          <w:p w14:paraId="14D7D492" w14:textId="77777777" w:rsidR="00F421C2" w:rsidRDefault="00F421C2" w:rsidP="00780D17">
            <w:pPr>
              <w:spacing w:after="120" w:line="276" w:lineRule="auto"/>
              <w:jc w:val="both"/>
              <w:rPr>
                <w:rFonts w:ascii="Verdana" w:hAnsi="Verdana" w:cs="Arial"/>
                <w:lang w:val="es-ES" w:eastAsia="es-ES"/>
              </w:rPr>
            </w:pPr>
            <w:r w:rsidRPr="00AB2719">
              <w:rPr>
                <w:rFonts w:ascii="Verdana" w:eastAsia="Times New Roman" w:hAnsi="Verdana" w:cs="Arial"/>
                <w:bCs/>
                <w:color w:val="000000" w:themeColor="text1"/>
                <w:lang w:val="es-ES" w:eastAsia="es-ES"/>
              </w:rPr>
              <w:t>La misma ley distingue tres modalidades dentro de ese ámbito.</w:t>
            </w:r>
            <w:r w:rsidRPr="004F3256">
              <w:rPr>
                <w:rFonts w:ascii="Verdana" w:eastAsia="Times New Roman" w:hAnsi="Verdana" w:cs="Arial"/>
                <w:color w:val="000000" w:themeColor="text1"/>
                <w:lang w:val="es-ES" w:eastAsia="es-ES"/>
              </w:rPr>
              <w:t xml:space="preserve"> El artículo 2 define el ejercicio profesional de la ingeniería. El artículo 4 define las profesiones afines como aquellas “del nivel profesional” cuyo ejercicio se desarrolla en actividades relacionadas con la ingeniería o cuyo campo ocupacional es conexo a ella, y menciona entre ellas la administración de obras civiles. El artículo 3 define las profesiones auxiliares como “las actividades que se ejercen en nivel medio, como auxiliares de los ingenieros, amparadas por un título académico en las modalidades educativas de formación técnica y tecnológica profesional”, y enuncia entre ellas a los “técnicos y tecnólogos en obras civiles”</w:t>
            </w:r>
            <w:r w:rsidRPr="004F3256">
              <w:rPr>
                <w:rStyle w:val="Refdenotaalpie"/>
                <w:rFonts w:ascii="Verdana" w:hAnsi="Verdana"/>
                <w:sz w:val="20"/>
              </w:rPr>
              <w:footnoteReference w:id="9"/>
            </w:r>
            <w:r w:rsidRPr="004F3256">
              <w:rPr>
                <w:rFonts w:ascii="Verdana" w:eastAsia="Times New Roman" w:hAnsi="Verdana" w:cs="Arial"/>
                <w:color w:val="000000" w:themeColor="text1"/>
                <w:lang w:val="es-ES" w:eastAsia="es-ES"/>
              </w:rPr>
              <w:t>.</w:t>
            </w:r>
          </w:p>
          <w:p w14:paraId="37028F99" w14:textId="77777777" w:rsidR="00F421C2" w:rsidRDefault="00F421C2" w:rsidP="00780D17">
            <w:pPr>
              <w:spacing w:after="120" w:line="276" w:lineRule="auto"/>
              <w:jc w:val="both"/>
              <w:rPr>
                <w:rFonts w:ascii="Verdana" w:hAnsi="Verdana" w:cs="Arial"/>
                <w:lang w:val="es-ES" w:eastAsia="es-ES"/>
              </w:rPr>
            </w:pPr>
            <w:r w:rsidRPr="00AB2719">
              <w:rPr>
                <w:rFonts w:ascii="Verdana" w:eastAsia="Times New Roman" w:hAnsi="Verdana" w:cs="Arial"/>
                <w:bCs/>
                <w:color w:val="000000" w:themeColor="text1"/>
                <w:lang w:val="es-ES" w:eastAsia="es-ES"/>
              </w:rPr>
              <w:t>Las tres modalidades concurren en la ejecución de los proyectos de obra.</w:t>
            </w:r>
            <w:r w:rsidRPr="004F3256">
              <w:rPr>
                <w:rFonts w:ascii="Verdana" w:eastAsia="Times New Roman" w:hAnsi="Verdana" w:cs="Arial"/>
                <w:color w:val="000000" w:themeColor="text1"/>
                <w:lang w:val="es-ES" w:eastAsia="es-ES"/>
              </w:rPr>
              <w:t xml:space="preserve"> Esta Subdirección ha señalado que la obra civil “generalmente supone como mínimo el ejercicio de la ingeniería, de sus profesiones auxiliares o afines”. El artículo 6 de la Ley 842 de 2003 exige a las tres estar matriculadas o inscritas en el Registro Profesional, y el literal c) del artículo 26 atribuye al Consejo Profesional Nacional de Ingeniería la expedición de las tarjetas de matrícula y los certificados de inscripción “a los ingenieros, profesionales afines y </w:t>
            </w:r>
            <w:r w:rsidRPr="004F3256">
              <w:rPr>
                <w:rFonts w:ascii="Verdana" w:eastAsia="Times New Roman" w:hAnsi="Verdana" w:cs="Arial"/>
                <w:color w:val="000000" w:themeColor="text1"/>
                <w:lang w:val="es-ES" w:eastAsia="es-ES"/>
              </w:rPr>
              <w:lastRenderedPageBreak/>
              <w:t xml:space="preserve">profesionales auxiliares de la ingeniería, </w:t>
            </w:r>
            <w:r w:rsidRPr="004F3256">
              <w:rPr>
                <w:rFonts w:ascii="Verdana" w:eastAsia="Times New Roman" w:hAnsi="Verdana" w:cs="Arial"/>
                <w:i/>
                <w:color w:val="000000" w:themeColor="text1"/>
                <w:lang w:val="es-ES" w:eastAsia="es-ES"/>
              </w:rPr>
              <w:t>respectivamente</w:t>
            </w:r>
            <w:r w:rsidRPr="004F3256">
              <w:rPr>
                <w:rFonts w:ascii="Verdana" w:eastAsia="Times New Roman" w:hAnsi="Verdana" w:cs="Arial"/>
                <w:color w:val="000000" w:themeColor="text1"/>
                <w:lang w:val="es-ES" w:eastAsia="es-ES"/>
              </w:rPr>
              <w:t>”, de modo que cada modalidad obtiene el documento correspondiente a su propia habilitación</w:t>
            </w:r>
            <w:r w:rsidRPr="004F3256">
              <w:rPr>
                <w:rStyle w:val="Refdenotaalpie"/>
                <w:rFonts w:ascii="Verdana" w:hAnsi="Verdana"/>
                <w:sz w:val="20"/>
              </w:rPr>
              <w:footnoteReference w:id="10"/>
            </w:r>
            <w:r w:rsidRPr="004F3256">
              <w:rPr>
                <w:rFonts w:ascii="Verdana" w:eastAsia="Times New Roman" w:hAnsi="Verdana" w:cs="Arial"/>
                <w:color w:val="000000" w:themeColor="text1"/>
                <w:lang w:val="es-ES" w:eastAsia="es-ES"/>
              </w:rPr>
              <w:t>.</w:t>
            </w:r>
          </w:p>
          <w:p w14:paraId="784BC103" w14:textId="77777777" w:rsidR="00F421C2" w:rsidRDefault="00F421C2" w:rsidP="00780D17">
            <w:pPr>
              <w:spacing w:after="120" w:line="276" w:lineRule="auto"/>
              <w:jc w:val="both"/>
              <w:rPr>
                <w:rFonts w:ascii="Verdana" w:hAnsi="Verdana" w:cs="Arial"/>
                <w:lang w:val="es-ES" w:eastAsia="es-ES"/>
              </w:rPr>
            </w:pPr>
            <w:r w:rsidRPr="00AB2719">
              <w:rPr>
                <w:rFonts w:ascii="Verdana" w:eastAsia="Times New Roman" w:hAnsi="Verdana" w:cs="Arial"/>
                <w:bCs/>
                <w:color w:val="000000" w:themeColor="text1"/>
                <w:lang w:val="es-ES" w:eastAsia="es-ES"/>
              </w:rPr>
              <w:t>La determinación de las atribuciones propias de cada modalidad compete al Consejo Profesional Nacional de Ingeniería.</w:t>
            </w:r>
            <w:r w:rsidRPr="004F3256">
              <w:rPr>
                <w:rFonts w:ascii="Verdana" w:eastAsia="Times New Roman" w:hAnsi="Verdana" w:cs="Arial"/>
                <w:color w:val="000000" w:themeColor="text1"/>
                <w:lang w:val="es-ES" w:eastAsia="es-ES"/>
              </w:rPr>
              <w:t xml:space="preserve"> A esa autoridad corresponde administrar el Registro Profesional, expedir los certificados de vigencia que permiten a los contratantes verificar la habilitación de una persona y denunciar el ejercicio ilegal de la profesión. La entidad contratante aplica ese régimen al verificar los requisitos que haya establecido, y puede acudir al certificado de vigencia para ese efecto. En consecuencia, establecer si la titulación de tecnólogo en obras civiles habilita a su titular para asumir la interventoría de un contrato determinado es cuestión que resuelve ese Consejo</w:t>
            </w:r>
            <w:r w:rsidRPr="004F3256">
              <w:rPr>
                <w:rStyle w:val="Refdenotaalpie"/>
                <w:rFonts w:ascii="Verdana" w:hAnsi="Verdana"/>
                <w:sz w:val="20"/>
              </w:rPr>
              <w:footnoteReference w:id="11"/>
            </w:r>
            <w:r w:rsidRPr="004F3256">
              <w:rPr>
                <w:rFonts w:ascii="Verdana" w:eastAsia="Times New Roman" w:hAnsi="Verdana" w:cs="Arial"/>
                <w:color w:val="000000" w:themeColor="text1"/>
                <w:lang w:val="es-ES" w:eastAsia="es-ES"/>
              </w:rPr>
              <w:t>.</w:t>
            </w:r>
          </w:p>
          <w:p w14:paraId="0D388787" w14:textId="77777777" w:rsidR="00F421C2" w:rsidRDefault="00F421C2" w:rsidP="00780D17">
            <w:pPr>
              <w:spacing w:after="120" w:line="276" w:lineRule="auto"/>
              <w:jc w:val="both"/>
              <w:rPr>
                <w:rFonts w:ascii="Verdana" w:hAnsi="Verdana" w:cs="Arial"/>
                <w:lang w:val="es-ES" w:eastAsia="es-ES"/>
              </w:rPr>
            </w:pPr>
            <w:r w:rsidRPr="00AB2719">
              <w:rPr>
                <w:rFonts w:ascii="Verdana" w:eastAsia="Times New Roman" w:hAnsi="Verdana" w:cs="Arial"/>
                <w:bCs/>
                <w:color w:val="000000" w:themeColor="text1"/>
                <w:lang w:val="es-ES" w:eastAsia="es-ES"/>
              </w:rPr>
              <w:t>Po</w:t>
            </w:r>
            <w:r>
              <w:rPr>
                <w:rFonts w:ascii="Verdana" w:eastAsia="Times New Roman" w:hAnsi="Verdana" w:cs="Arial"/>
                <w:bCs/>
                <w:color w:val="000000" w:themeColor="text1"/>
                <w:lang w:val="es-ES" w:eastAsia="es-ES"/>
              </w:rPr>
              <w:t>r</w:t>
            </w:r>
            <w:r w:rsidRPr="00AB2719">
              <w:rPr>
                <w:rFonts w:ascii="Verdana" w:eastAsia="Times New Roman" w:hAnsi="Verdana" w:cs="Arial"/>
                <w:bCs/>
                <w:color w:val="000000" w:themeColor="text1"/>
                <w:lang w:val="es-ES" w:eastAsia="es-ES"/>
              </w:rPr>
              <w:t xml:space="preserve"> último, las</w:t>
            </w:r>
            <w:r w:rsidRPr="004F3256">
              <w:rPr>
                <w:rFonts w:ascii="Verdana" w:eastAsia="Times New Roman" w:hAnsi="Verdana" w:cs="Arial"/>
                <w:color w:val="000000" w:themeColor="text1"/>
                <w:lang w:val="es-ES" w:eastAsia="es-ES"/>
              </w:rPr>
              <w:t xml:space="preserve"> actas de avance, de modificación, de aprobación técnica y de liquidación son documentos del respectivo contrato, y su suscripción corresponde a quien ostente la representación del interventor conforme al contrato de interventoría y a las reglas del proceso de contratación. El régimen profesional opera sobre las actividades que esos documentos reflejan, de manera que quien emite los juicios técnicos incorporados en ellos debe contar con la habilitación que ese régimen exige para la actividad de que se trate, cuya verificación compete a la entidad contratante con el apoyo del certificado de vigencia</w:t>
            </w:r>
            <w:r w:rsidRPr="004F3256">
              <w:rPr>
                <w:rStyle w:val="Refdenotaalpie"/>
                <w:rFonts w:ascii="Verdana" w:hAnsi="Verdana"/>
                <w:sz w:val="20"/>
              </w:rPr>
              <w:footnoteReference w:id="12"/>
            </w:r>
            <w:r w:rsidRPr="004F3256">
              <w:rPr>
                <w:rFonts w:ascii="Verdana" w:eastAsia="Times New Roman" w:hAnsi="Verdana" w:cs="Arial"/>
                <w:color w:val="000000" w:themeColor="text1"/>
                <w:lang w:val="es-ES" w:eastAsia="es-ES"/>
              </w:rPr>
              <w:t>.</w:t>
            </w:r>
            <w:r>
              <w:rPr>
                <w:rFonts w:ascii="Verdana" w:eastAsia="Times New Roman" w:hAnsi="Verdana" w:cs="Arial"/>
                <w:color w:val="000000" w:themeColor="text1"/>
                <w:lang w:val="es-ES" w:eastAsia="es-ES"/>
              </w:rPr>
              <w:t xml:space="preserve"> </w:t>
            </w:r>
          </w:p>
        </w:tc>
      </w:tr>
    </w:tbl>
    <w:p w14:paraId="328BD18E" w14:textId="77777777" w:rsidR="00F421C2" w:rsidRPr="00B57A1B" w:rsidRDefault="00F421C2" w:rsidP="00F421C2">
      <w:pPr>
        <w:spacing w:after="0" w:line="276" w:lineRule="auto"/>
        <w:jc w:val="both"/>
        <w:rPr>
          <w:rFonts w:ascii="Verdana" w:eastAsia="Calibri" w:hAnsi="Verdana" w:cs="Arial"/>
          <w:bCs/>
          <w:color w:val="000000" w:themeColor="text1"/>
        </w:rPr>
      </w:pPr>
      <w:bookmarkStart w:id="0" w:name="_Hlk37703813"/>
    </w:p>
    <w:p w14:paraId="38F2FD58" w14:textId="77777777" w:rsidR="00F421C2" w:rsidRPr="00B57A1B" w:rsidRDefault="00F421C2" w:rsidP="00F421C2">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5CEDDAC1" w14:textId="77777777" w:rsidR="00F421C2" w:rsidRPr="003C0ED7" w:rsidRDefault="00F421C2" w:rsidP="00F421C2">
      <w:pPr>
        <w:spacing w:after="0" w:line="276" w:lineRule="auto"/>
        <w:jc w:val="both"/>
        <w:rPr>
          <w:rFonts w:ascii="Verdana" w:eastAsia="Calibri" w:hAnsi="Verdana" w:cs="Arial"/>
          <w:lang w:val="es-ES"/>
        </w:rPr>
      </w:pPr>
    </w:p>
    <w:p w14:paraId="2BEE0A63" w14:textId="77777777" w:rsidR="00F421C2" w:rsidRDefault="00F421C2" w:rsidP="00F421C2">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66113D7F" w14:textId="77777777" w:rsidR="00F421C2" w:rsidRPr="00C22134" w:rsidRDefault="00F421C2" w:rsidP="00F421C2">
      <w:pPr>
        <w:spacing w:after="0" w:line="276" w:lineRule="auto"/>
        <w:jc w:val="both"/>
        <w:rPr>
          <w:rFonts w:ascii="Verdana" w:eastAsia="Calibri" w:hAnsi="Verdana" w:cs="Arial"/>
          <w:lang w:val="es-ES"/>
        </w:rPr>
      </w:pPr>
    </w:p>
    <w:p w14:paraId="3E71208E"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 xml:space="preserve">i) El artículo 83 de la Ley 1474 de 2011 regula la vigilancia de la ejecución contractual y dispone en su inciso primero que las entidades estatales están obligadas a vigilar permanentemente la correcta ejecución del objeto contratado a través de un supervisor o de un interventor, según corresponda. En el mismo inciso define la interventoría como el seguimiento técnico que sobre el cumplimiento del contrato realice “una persona natural o jurídica contratada para tal fin por la Entidad Estatal”, en dos supuestos: cuando así lo establezca la ley y cuando el seguimiento del contrato “suponga conocimiento especializado en la materia, o cuando la complejidad o la extensión </w:t>
      </w:r>
      <w:proofErr w:type="gramStart"/>
      <w:r>
        <w:rPr>
          <w:rFonts w:ascii="Verdana" w:hAnsi="Verdana" w:cs="Arial"/>
          <w:bCs/>
          <w:szCs w:val="24"/>
          <w:lang w:val="es-ES_tradnl" w:eastAsia="es-ES_tradnl"/>
        </w:rPr>
        <w:t>del mismo</w:t>
      </w:r>
      <w:proofErr w:type="gramEnd"/>
      <w:r>
        <w:rPr>
          <w:rFonts w:ascii="Verdana" w:hAnsi="Verdana" w:cs="Arial"/>
          <w:bCs/>
          <w:szCs w:val="24"/>
          <w:lang w:val="es-ES_tradnl" w:eastAsia="es-ES_tradnl"/>
        </w:rPr>
        <w:t xml:space="preserve"> lo justifique”</w:t>
      </w:r>
      <w:r>
        <w:rPr>
          <w:rStyle w:val="Refdenotaalpie"/>
          <w:rFonts w:ascii="Verdana" w:hAnsi="Verdana"/>
          <w:sz w:val="20"/>
        </w:rPr>
        <w:footnoteReference w:id="13"/>
      </w:r>
      <w:r>
        <w:rPr>
          <w:rFonts w:ascii="Verdana" w:hAnsi="Verdana" w:cs="Arial"/>
          <w:bCs/>
          <w:szCs w:val="24"/>
          <w:lang w:val="es-ES_tradnl" w:eastAsia="es-ES_tradnl"/>
        </w:rPr>
        <w:t>.</w:t>
      </w:r>
    </w:p>
    <w:p w14:paraId="14FAC540" w14:textId="77777777" w:rsidR="00F421C2" w:rsidRPr="00C22134" w:rsidRDefault="00F421C2" w:rsidP="00F421C2">
      <w:pPr>
        <w:spacing w:after="0" w:line="276" w:lineRule="auto"/>
        <w:jc w:val="both"/>
        <w:rPr>
          <w:rFonts w:ascii="Verdana" w:eastAsia="Calibri" w:hAnsi="Verdana" w:cs="Arial"/>
          <w:lang w:val="es-ES"/>
        </w:rPr>
      </w:pPr>
    </w:p>
    <w:p w14:paraId="736DDDAC"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ley establece además un supuesto de obligatoriedad. El numeral 1 del artículo 32 de la Ley 80 de 1993 exige interventoría en los contratos de obra celebrados como resultado de un proceso de licitación pública. En los demás casos la procedencia de la interventoría depende del análisis que la entidad realice sobre la necesidad y la extensión de la vigilancia, conforme a los criterios del artículo 83</w:t>
      </w:r>
      <w:r>
        <w:rPr>
          <w:rStyle w:val="Refdenotaalpie"/>
          <w:rFonts w:ascii="Verdana" w:hAnsi="Verdana"/>
          <w:sz w:val="20"/>
        </w:rPr>
        <w:footnoteReference w:id="14"/>
      </w:r>
      <w:r>
        <w:rPr>
          <w:rFonts w:ascii="Verdana" w:hAnsi="Verdana" w:cs="Arial"/>
          <w:bCs/>
          <w:szCs w:val="24"/>
          <w:lang w:val="es-ES_tradnl" w:eastAsia="es-ES_tradnl"/>
        </w:rPr>
        <w:t>.</w:t>
      </w:r>
    </w:p>
    <w:p w14:paraId="58DDFCE1" w14:textId="77777777" w:rsidR="00F421C2" w:rsidRPr="00C22134" w:rsidRDefault="00F421C2" w:rsidP="00F421C2">
      <w:pPr>
        <w:spacing w:after="0" w:line="276" w:lineRule="auto"/>
        <w:jc w:val="both"/>
        <w:rPr>
          <w:rFonts w:ascii="Verdana" w:eastAsia="Calibri" w:hAnsi="Verdana" w:cs="Arial"/>
          <w:lang w:val="es-ES"/>
        </w:rPr>
      </w:pPr>
    </w:p>
    <w:p w14:paraId="573B2512"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Esta Subdirección ha sistematizado las características de la figura. Entre ellas destaca que la interventoría “es un mecanismo de vigilancia que exige, en su ejecución, la utilización de conocimientos especializados”, y que “por lo anterior, la entidad contrata un experto, por regla general, mediante la modalidad de selección de concurso de méritos, al tratarse la interventoría de una especie del contrato de consultoría”. La especialización constituye, entonces, el fundamento de la figura y la razón de la modalidad de selección que le corresponde</w:t>
      </w:r>
      <w:r>
        <w:rPr>
          <w:rStyle w:val="Refdenotaalpie"/>
          <w:rFonts w:ascii="Verdana" w:hAnsi="Verdana"/>
          <w:sz w:val="20"/>
        </w:rPr>
        <w:footnoteReference w:id="15"/>
      </w:r>
      <w:r>
        <w:rPr>
          <w:rFonts w:ascii="Verdana" w:hAnsi="Verdana" w:cs="Arial"/>
          <w:bCs/>
          <w:szCs w:val="24"/>
          <w:lang w:val="es-ES_tradnl" w:eastAsia="es-ES_tradnl"/>
        </w:rPr>
        <w:t>.</w:t>
      </w:r>
    </w:p>
    <w:p w14:paraId="1309FB82" w14:textId="77777777" w:rsidR="00F421C2" w:rsidRPr="00C22134" w:rsidRDefault="00F421C2" w:rsidP="00F421C2">
      <w:pPr>
        <w:spacing w:after="0" w:line="276" w:lineRule="auto"/>
        <w:jc w:val="both"/>
        <w:rPr>
          <w:rFonts w:ascii="Verdana" w:eastAsia="Calibri" w:hAnsi="Verdana" w:cs="Arial"/>
          <w:lang w:val="es-ES"/>
        </w:rPr>
      </w:pPr>
    </w:p>
    <w:p w14:paraId="01026726"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El alcance del seguimiento también proviene de la ley. A la interventoría le es inherente el seguimiento técnico sobre la correcta ejecución del contrato vigilado, y el artículo 83 permite que en el contrato de interventoría se pacten </w:t>
      </w:r>
      <w:r>
        <w:rPr>
          <w:rFonts w:ascii="Verdana" w:hAnsi="Verdana" w:cs="Arial"/>
          <w:bCs/>
          <w:szCs w:val="24"/>
          <w:lang w:val="es-ES_tradnl" w:eastAsia="es-ES_tradnl"/>
        </w:rPr>
        <w:lastRenderedPageBreak/>
        <w:t>obligaciones para que el contratista realice además el seguimiento administrativo, financiero, contable o jurídico. Cuando no se encomienda el seguimiento total, el contrato de interventoría “deberá indicar las actividades técnicas a cargo del interventor y las demás quedarán a cargo de la Entidad a través del supervisor”</w:t>
      </w:r>
      <w:r>
        <w:rPr>
          <w:rStyle w:val="Refdenotaalpie"/>
          <w:rFonts w:ascii="Verdana" w:hAnsi="Verdana"/>
          <w:sz w:val="20"/>
        </w:rPr>
        <w:footnoteReference w:id="16"/>
      </w:r>
      <w:r>
        <w:rPr>
          <w:rFonts w:ascii="Verdana" w:hAnsi="Verdana" w:cs="Arial"/>
          <w:bCs/>
          <w:szCs w:val="24"/>
          <w:lang w:val="es-ES_tradnl" w:eastAsia="es-ES_tradnl"/>
        </w:rPr>
        <w:t>.</w:t>
      </w:r>
    </w:p>
    <w:p w14:paraId="543BC3C4" w14:textId="77777777" w:rsidR="00F421C2" w:rsidRPr="00C22134" w:rsidRDefault="00F421C2" w:rsidP="00F421C2">
      <w:pPr>
        <w:spacing w:after="0" w:line="276" w:lineRule="auto"/>
        <w:jc w:val="both"/>
        <w:rPr>
          <w:rFonts w:ascii="Verdana" w:eastAsia="Calibri" w:hAnsi="Verdana" w:cs="Arial"/>
          <w:lang w:val="es-ES"/>
        </w:rPr>
      </w:pPr>
    </w:p>
    <w:p w14:paraId="13D2216E"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 lo anterior se obtiene el primer criterio aplicable al caso. La especialidad que la ley exige se define por relación con la materia del contrato vigilado, lo que significa que el conocimiento especializado de una interventoría de obra civil difiere del que demanda una interventoría de un contrato de suministro, de consultoría o de prestación de servicios. La identificación de ese conocimiento forma parte del análisis que la entidad realiza al estructurar el proceso</w:t>
      </w:r>
      <w:r>
        <w:rPr>
          <w:rStyle w:val="Refdenotaalpie"/>
          <w:rFonts w:ascii="Verdana" w:hAnsi="Verdana"/>
          <w:sz w:val="20"/>
        </w:rPr>
        <w:footnoteReference w:id="17"/>
      </w:r>
      <w:r>
        <w:rPr>
          <w:rFonts w:ascii="Verdana" w:hAnsi="Verdana" w:cs="Arial"/>
          <w:bCs/>
          <w:szCs w:val="24"/>
          <w:lang w:val="es-ES_tradnl" w:eastAsia="es-ES_tradnl"/>
        </w:rPr>
        <w:t>.</w:t>
      </w:r>
    </w:p>
    <w:p w14:paraId="7F593520" w14:textId="77777777" w:rsidR="00F421C2" w:rsidRPr="00C22134" w:rsidRDefault="00F421C2" w:rsidP="00F421C2">
      <w:pPr>
        <w:spacing w:after="0" w:line="276" w:lineRule="auto"/>
        <w:jc w:val="both"/>
        <w:rPr>
          <w:rFonts w:ascii="Verdana" w:eastAsia="Calibri" w:hAnsi="Verdana" w:cs="Arial"/>
          <w:lang w:val="es-ES"/>
        </w:rPr>
      </w:pPr>
    </w:p>
    <w:p w14:paraId="1C58075C" w14:textId="77777777" w:rsidR="00F421C2" w:rsidRPr="00A0389A" w:rsidRDefault="00F421C2" w:rsidP="00F421C2">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El segundo problema atiende a quién fija el nivel de formación exigible. La lectura del artículo 83 de la Ley 1474 de 2011 muestra que la norma identifica al interventor por su posición —una persona natural o jurídica contratada para tal fin por la entidad— y por la especialidad que el seguimiento demanda, sin referirse al título académico ni al nivel de formación de quien desarrolla la actividad</w:t>
      </w:r>
      <w:r>
        <w:rPr>
          <w:rStyle w:val="Refdenotaalpie"/>
          <w:rFonts w:ascii="Verdana" w:hAnsi="Verdana"/>
          <w:sz w:val="20"/>
        </w:rPr>
        <w:footnoteReference w:id="18"/>
      </w:r>
      <w:r>
        <w:rPr>
          <w:rFonts w:ascii="Verdana" w:hAnsi="Verdana" w:cs="Arial"/>
          <w:bCs/>
          <w:szCs w:val="24"/>
          <w:lang w:val="es-ES_tradnl" w:eastAsia="es-ES_tradnl"/>
        </w:rPr>
        <w:t>.</w:t>
      </w:r>
    </w:p>
    <w:p w14:paraId="781F1C20" w14:textId="77777777" w:rsidR="00F421C2" w:rsidRPr="00C22134" w:rsidRDefault="00F421C2" w:rsidP="00F421C2">
      <w:pPr>
        <w:spacing w:after="0" w:line="276" w:lineRule="auto"/>
        <w:jc w:val="both"/>
        <w:rPr>
          <w:rFonts w:ascii="Verdana" w:eastAsia="Calibri" w:hAnsi="Verdana" w:cs="Arial"/>
          <w:lang w:val="es-ES"/>
        </w:rPr>
      </w:pPr>
    </w:p>
    <w:p w14:paraId="5C86F14F"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misma constatación aparece en la doctrina de esta Subdirección respecto del personal de los contratos de obra. Al resolver si existe un conjunto predeterminado de profesionales exigible en todos los casos, se concluyó que “no existe una disposición de carácter general que establezca un listado único y obligatorio de profesionales aplicable a todos los contratos de obra pública”</w:t>
      </w:r>
      <w:r>
        <w:rPr>
          <w:rStyle w:val="Refdenotaalpie"/>
          <w:rFonts w:ascii="Verdana" w:hAnsi="Verdana"/>
          <w:sz w:val="20"/>
        </w:rPr>
        <w:footnoteReference w:id="19"/>
      </w:r>
      <w:r>
        <w:rPr>
          <w:rFonts w:ascii="Verdana" w:hAnsi="Verdana" w:cs="Arial"/>
          <w:bCs/>
          <w:szCs w:val="24"/>
          <w:lang w:val="es-ES_tradnl" w:eastAsia="es-ES_tradnl"/>
        </w:rPr>
        <w:t>.</w:t>
      </w:r>
    </w:p>
    <w:p w14:paraId="3FE43CF0" w14:textId="77777777" w:rsidR="00F421C2" w:rsidRPr="00C22134" w:rsidRDefault="00F421C2" w:rsidP="00F421C2">
      <w:pPr>
        <w:spacing w:after="0" w:line="276" w:lineRule="auto"/>
        <w:jc w:val="both"/>
        <w:rPr>
          <w:rFonts w:ascii="Verdana" w:eastAsia="Calibri" w:hAnsi="Verdana" w:cs="Arial"/>
          <w:lang w:val="es-ES"/>
        </w:rPr>
      </w:pPr>
    </w:p>
    <w:p w14:paraId="3202A9D7"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La competencia para fijar esos requisitos radica en la entidad contratante y se ejerce durante la planeación. En aplicación de los principios de planeación, responsabilidad y selección objetiva, “corresponde a cada entidad estatal determinar, en los estudios y documentos previos, el personal mínimo requerido para la adecuada ejecución del contrato, para lo cual deberá realizar el cálculo presupuestal necesario y considerar variables tales como el objeto contractual, la complejidad técnica del proyecto, la magnitud física de la obra, los riesgos asociados a la ejecución, el plazo contractual y las especialidades profesionales requeridas”</w:t>
      </w:r>
      <w:r>
        <w:rPr>
          <w:rStyle w:val="Refdenotaalpie"/>
          <w:rFonts w:ascii="Verdana" w:hAnsi="Verdana"/>
          <w:sz w:val="20"/>
        </w:rPr>
        <w:footnoteReference w:id="20"/>
      </w:r>
      <w:r>
        <w:rPr>
          <w:rFonts w:ascii="Verdana" w:hAnsi="Verdana" w:cs="Arial"/>
          <w:bCs/>
          <w:szCs w:val="24"/>
          <w:lang w:val="es-ES_tradnl" w:eastAsia="es-ES_tradnl"/>
        </w:rPr>
        <w:t>.</w:t>
      </w:r>
    </w:p>
    <w:p w14:paraId="2B3A711A" w14:textId="77777777" w:rsidR="00F421C2" w:rsidRPr="00C22134" w:rsidRDefault="00F421C2" w:rsidP="00F421C2">
      <w:pPr>
        <w:spacing w:after="0" w:line="276" w:lineRule="auto"/>
        <w:jc w:val="both"/>
        <w:rPr>
          <w:rFonts w:ascii="Verdana" w:eastAsia="Calibri" w:hAnsi="Verdana" w:cs="Arial"/>
          <w:lang w:val="es-ES"/>
        </w:rPr>
      </w:pPr>
    </w:p>
    <w:p w14:paraId="7C11BDAC"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mismo pronunciamiento precisa el objeto de esa decisión: “la definición del equipo técnico requerido constituye una decisión propia de la planeación técnica y financiera de la Entidad contratante, que deberá encontrarse debidamente soportada en los estudios y documentos previos y guardar una relación directa y proporcional con el objeto contractual”. Y delimita su cobertura al indicar que comprende “los profesionales, técnicos y demás personal de apoyo que integrarán el equipo requerido para la ejecución del contrato”</w:t>
      </w:r>
      <w:r>
        <w:rPr>
          <w:rStyle w:val="Refdenotaalpie"/>
          <w:rFonts w:ascii="Verdana" w:hAnsi="Verdana"/>
          <w:sz w:val="20"/>
        </w:rPr>
        <w:footnoteReference w:id="21"/>
      </w:r>
      <w:r>
        <w:rPr>
          <w:rFonts w:ascii="Verdana" w:hAnsi="Verdana" w:cs="Arial"/>
          <w:bCs/>
          <w:szCs w:val="24"/>
          <w:lang w:val="es-ES_tradnl" w:eastAsia="es-ES_tradnl"/>
        </w:rPr>
        <w:t>.</w:t>
      </w:r>
    </w:p>
    <w:p w14:paraId="4FA65769" w14:textId="77777777" w:rsidR="00F421C2" w:rsidRPr="00C22134" w:rsidRDefault="00F421C2" w:rsidP="00F421C2">
      <w:pPr>
        <w:spacing w:after="0" w:line="276" w:lineRule="auto"/>
        <w:jc w:val="both"/>
        <w:rPr>
          <w:rFonts w:ascii="Verdana" w:eastAsia="Calibri" w:hAnsi="Verdana" w:cs="Arial"/>
          <w:lang w:val="es-ES"/>
        </w:rPr>
      </w:pPr>
    </w:p>
    <w:p w14:paraId="3B742E96"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En el mismo sentido se ha señalado que los documentos tipo reconocen que el personal requerido para la ejecución del contrato “puede corresponder tanto a personal operacional como a personal profesional”, y que la entidad debe definir los requisitos del personal de acuerdo con las necesidades particulares del proyecto, sin que los instrumentos estandarizados impongan de manera obligatoria e invariable determinados perfiles profesionales</w:t>
      </w:r>
      <w:r>
        <w:rPr>
          <w:rStyle w:val="Refdenotaalpie"/>
          <w:rFonts w:ascii="Verdana" w:hAnsi="Verdana"/>
          <w:sz w:val="20"/>
        </w:rPr>
        <w:footnoteReference w:id="22"/>
      </w:r>
      <w:r>
        <w:rPr>
          <w:rFonts w:ascii="Verdana" w:hAnsi="Verdana" w:cs="Arial"/>
          <w:bCs/>
          <w:szCs w:val="24"/>
          <w:lang w:val="es-ES_tradnl" w:eastAsia="es-ES_tradnl"/>
        </w:rPr>
        <w:t>.</w:t>
      </w:r>
    </w:p>
    <w:p w14:paraId="732C095B" w14:textId="77777777" w:rsidR="00F421C2" w:rsidRPr="00C22134" w:rsidRDefault="00F421C2" w:rsidP="00F421C2">
      <w:pPr>
        <w:spacing w:after="0" w:line="276" w:lineRule="auto"/>
        <w:jc w:val="both"/>
        <w:rPr>
          <w:rFonts w:ascii="Verdana" w:eastAsia="Calibri" w:hAnsi="Verdana" w:cs="Arial"/>
          <w:lang w:val="es-ES"/>
        </w:rPr>
      </w:pPr>
    </w:p>
    <w:p w14:paraId="7B6FD23B"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El mismo concepto precisa el fundamento de esa libertad de configuración: “la entidad estatal contratante tiene la potestad discrecional de definir la conformación del personal clave evaluable, de acuerdo con las particularidades del objeto a contratar”, y la definición “dependerá de las necesidades del objeto </w:t>
      </w:r>
      <w:r>
        <w:rPr>
          <w:rFonts w:ascii="Verdana" w:hAnsi="Verdana" w:cs="Arial"/>
          <w:bCs/>
          <w:szCs w:val="24"/>
          <w:lang w:val="es-ES_tradnl" w:eastAsia="es-ES_tradnl"/>
        </w:rPr>
        <w:lastRenderedPageBreak/>
        <w:t>contractual, según lo establezca la entidad en la etapa de planeación a su cargo, la cual debe justificar y soportar la estructuración del proceso de selección del futuro interventor del contrato de obra”</w:t>
      </w:r>
      <w:r>
        <w:rPr>
          <w:rStyle w:val="Refdenotaalpie"/>
          <w:rFonts w:ascii="Verdana" w:hAnsi="Verdana"/>
          <w:sz w:val="20"/>
        </w:rPr>
        <w:footnoteReference w:id="23"/>
      </w:r>
      <w:r>
        <w:rPr>
          <w:rFonts w:ascii="Verdana" w:hAnsi="Verdana" w:cs="Arial"/>
          <w:bCs/>
          <w:szCs w:val="24"/>
          <w:lang w:val="es-ES_tradnl" w:eastAsia="es-ES_tradnl"/>
        </w:rPr>
        <w:t>.</w:t>
      </w:r>
    </w:p>
    <w:p w14:paraId="0BE10A1D" w14:textId="77777777" w:rsidR="00F421C2" w:rsidRPr="00C22134" w:rsidRDefault="00F421C2" w:rsidP="00F421C2">
      <w:pPr>
        <w:spacing w:after="0" w:line="276" w:lineRule="auto"/>
        <w:jc w:val="both"/>
        <w:rPr>
          <w:rFonts w:ascii="Verdana" w:eastAsia="Calibri" w:hAnsi="Verdana" w:cs="Arial"/>
          <w:lang w:val="es-ES"/>
        </w:rPr>
      </w:pPr>
    </w:p>
    <w:p w14:paraId="534DA492"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Esa potestad encuentra dos límites. El primero atañe a la proporcionalidad: las exigencias “deberán encontrarse debidamente justificadas en los estudios previos, guardar relación con el objeto contractual y atender criterios de razonabilidad y proporcionalidad, sin que puedan traducirse en restricciones injustificadas a la libre concurrencia de oferentes”. En los documentos tipo opera, adicionalmente, la prohibición de exigir títulos de posgrado particulares en atención a su nivel académico</w:t>
      </w:r>
      <w:r>
        <w:rPr>
          <w:rStyle w:val="Refdenotaalpie"/>
          <w:rFonts w:ascii="Verdana" w:hAnsi="Verdana"/>
          <w:sz w:val="20"/>
        </w:rPr>
        <w:footnoteReference w:id="24"/>
      </w:r>
      <w:r>
        <w:rPr>
          <w:rFonts w:ascii="Verdana" w:hAnsi="Verdana" w:cs="Arial"/>
          <w:bCs/>
          <w:szCs w:val="24"/>
          <w:lang w:val="es-ES_tradnl" w:eastAsia="es-ES_tradnl"/>
        </w:rPr>
        <w:t>.</w:t>
      </w:r>
    </w:p>
    <w:p w14:paraId="64AF4B0E" w14:textId="77777777" w:rsidR="00F421C2" w:rsidRPr="00C22134" w:rsidRDefault="00F421C2" w:rsidP="00F421C2">
      <w:pPr>
        <w:spacing w:after="0" w:line="276" w:lineRule="auto"/>
        <w:jc w:val="both"/>
        <w:rPr>
          <w:rFonts w:ascii="Verdana" w:eastAsia="Calibri" w:hAnsi="Verdana" w:cs="Arial"/>
          <w:lang w:val="es-ES"/>
        </w:rPr>
      </w:pPr>
    </w:p>
    <w:p w14:paraId="33DF4602"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segundo límite consiste en la remisión al régimen del ejercicio profesional. Esta Subdirección ha indicado que “cuando la normatividad aplicable al ejercicio de determinada actividad exija matrícula, licencia, tarjeta profesional o documento equivalente, la Entidad podrá requerir su acreditación de conformidad con la regulación correspondiente”. La entidad configura el perfil dentro del marco que ese régimen establece para la actividad de que se trate</w:t>
      </w:r>
      <w:r>
        <w:rPr>
          <w:rStyle w:val="Refdenotaalpie"/>
          <w:rFonts w:ascii="Verdana" w:hAnsi="Verdana"/>
          <w:sz w:val="20"/>
        </w:rPr>
        <w:footnoteReference w:id="25"/>
      </w:r>
      <w:r>
        <w:rPr>
          <w:rFonts w:ascii="Verdana" w:hAnsi="Verdana" w:cs="Arial"/>
          <w:bCs/>
          <w:szCs w:val="24"/>
          <w:lang w:val="es-ES_tradnl" w:eastAsia="es-ES_tradnl"/>
        </w:rPr>
        <w:t>.</w:t>
      </w:r>
    </w:p>
    <w:p w14:paraId="178D801D" w14:textId="77777777" w:rsidR="00F421C2" w:rsidRPr="00C22134" w:rsidRDefault="00F421C2" w:rsidP="00F421C2">
      <w:pPr>
        <w:spacing w:after="0" w:line="276" w:lineRule="auto"/>
        <w:jc w:val="both"/>
        <w:rPr>
          <w:rFonts w:ascii="Verdana" w:eastAsia="Calibri" w:hAnsi="Verdana" w:cs="Arial"/>
          <w:lang w:val="es-ES"/>
        </w:rPr>
      </w:pPr>
    </w:p>
    <w:p w14:paraId="2A7893A8" w14:textId="77777777" w:rsidR="00F421C2" w:rsidRPr="00A0389A" w:rsidRDefault="00F421C2" w:rsidP="00F421C2">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El tercer problema conduce al régimen del ejercicio profesional al que remiten las normas de contratación. El literal a) del artículo 2 de la Ley 842 de 2003 enumera las actividades que constituyen ejercicio de la ingeniería en los siguientes términos:</w:t>
      </w:r>
    </w:p>
    <w:p w14:paraId="6EC55391" w14:textId="77777777" w:rsidR="00F421C2" w:rsidRPr="00C22134" w:rsidRDefault="00F421C2" w:rsidP="00F421C2">
      <w:pPr>
        <w:spacing w:after="0" w:line="276" w:lineRule="auto"/>
        <w:jc w:val="both"/>
        <w:rPr>
          <w:rFonts w:ascii="Verdana" w:eastAsia="Calibri" w:hAnsi="Verdana" w:cs="Arial"/>
          <w:lang w:val="es-ES"/>
        </w:rPr>
      </w:pPr>
    </w:p>
    <w:p w14:paraId="2323E314" w14:textId="77777777" w:rsidR="00F421C2" w:rsidRPr="000B3A60" w:rsidRDefault="00F421C2" w:rsidP="00F421C2">
      <w:pPr>
        <w:spacing w:after="0" w:line="276" w:lineRule="auto"/>
        <w:ind w:left="1134" w:right="1467"/>
        <w:jc w:val="both"/>
        <w:rPr>
          <w:rFonts w:ascii="Verdana" w:hAnsi="Verdana" w:cs="Arial"/>
          <w:bCs/>
          <w:sz w:val="21"/>
          <w:lang w:val="es-ES_tradnl" w:eastAsia="es-ES_tradnl"/>
        </w:rPr>
      </w:pPr>
      <w:r w:rsidRPr="000B3A60">
        <w:rPr>
          <w:rFonts w:ascii="Verdana" w:hAnsi="Verdana" w:cs="Arial"/>
          <w:bCs/>
          <w:sz w:val="21"/>
          <w:lang w:val="es-ES_tradnl" w:eastAsia="es-ES_tradnl"/>
        </w:rPr>
        <w:t xml:space="preserve">“Los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w:t>
      </w:r>
      <w:r w:rsidRPr="000B3A60">
        <w:rPr>
          <w:rFonts w:ascii="Verdana" w:hAnsi="Verdana" w:cs="Arial"/>
          <w:bCs/>
          <w:sz w:val="21"/>
          <w:lang w:val="es-ES_tradnl" w:eastAsia="es-ES_tradnl"/>
        </w:rPr>
        <w:lastRenderedPageBreak/>
        <w:t>urbanas y rurales, aeropuertos, ferrocarriles, teleféricos, acueductos, alcantarillados, riesgos, drenajes y pavimentos; oleoductos, gasoductos, poliductos y en general líneas de conducción y transporte de hidrocarburos; líneas de transmisión eléctrica y en general todas aquellas obras de infraestructura para el servicio de la comunidad”</w:t>
      </w:r>
      <w:r w:rsidRPr="000B3A60">
        <w:rPr>
          <w:rStyle w:val="Refdenotaalpie"/>
          <w:rFonts w:ascii="Verdana" w:hAnsi="Verdana"/>
          <w:sz w:val="18"/>
          <w:szCs w:val="21"/>
        </w:rPr>
        <w:footnoteReference w:id="26"/>
      </w:r>
      <w:r w:rsidRPr="000B3A60">
        <w:rPr>
          <w:rFonts w:ascii="Verdana" w:hAnsi="Verdana" w:cs="Arial"/>
          <w:bCs/>
          <w:sz w:val="21"/>
          <w:lang w:val="es-ES_tradnl" w:eastAsia="es-ES_tradnl"/>
        </w:rPr>
        <w:t>.</w:t>
      </w:r>
    </w:p>
    <w:p w14:paraId="32CB446B" w14:textId="77777777" w:rsidR="00F421C2" w:rsidRPr="00C22134" w:rsidRDefault="00F421C2" w:rsidP="00F421C2">
      <w:pPr>
        <w:spacing w:after="0" w:line="276" w:lineRule="auto"/>
        <w:jc w:val="both"/>
        <w:rPr>
          <w:rFonts w:ascii="Verdana" w:eastAsia="Calibri" w:hAnsi="Verdana" w:cs="Arial"/>
          <w:lang w:val="es-ES"/>
        </w:rPr>
      </w:pPr>
    </w:p>
    <w:p w14:paraId="3B0C81A8"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Dentro de ese ámbito la ley distingue tres modalidades. El ejercicio profesional de la ingeniería, regulado en el artículo 2. Las profesiones afines, que el artículo 4 define como aquellas “que siendo del nivel profesional, su ejercicio se desarrolla en actividades relacionadas con la ingeniería en cualquiera de sus áreas, o cuyo campo ocupacional es conexo a la ingeniería”, entre las que menciona la administración de obras civiles y la construcción en ingeniería y arquitectura. Y las profesiones auxiliares, que el artículo 3 define como “aquellas actividades que se ejercen en nivel medio, como auxiliares de los ingenieros, amparadas por un título académico en las modalidades educativas de formación técnica y tecnológica profesional”, enunciando entre ellas a los “técnicos y tecnólogos en obras civiles”</w:t>
      </w:r>
      <w:r>
        <w:rPr>
          <w:rStyle w:val="Refdenotaalpie"/>
          <w:rFonts w:ascii="Verdana" w:hAnsi="Verdana"/>
          <w:sz w:val="20"/>
        </w:rPr>
        <w:footnoteReference w:id="27"/>
      </w:r>
      <w:r>
        <w:rPr>
          <w:rFonts w:ascii="Verdana" w:hAnsi="Verdana" w:cs="Arial"/>
          <w:bCs/>
          <w:szCs w:val="24"/>
          <w:lang w:val="es-ES_tradnl" w:eastAsia="es-ES_tradnl"/>
        </w:rPr>
        <w:t>.</w:t>
      </w:r>
    </w:p>
    <w:p w14:paraId="69D6DA21" w14:textId="77777777" w:rsidR="00F421C2" w:rsidRPr="00C22134" w:rsidRDefault="00F421C2" w:rsidP="00F421C2">
      <w:pPr>
        <w:spacing w:after="0" w:line="276" w:lineRule="auto"/>
        <w:jc w:val="both"/>
        <w:rPr>
          <w:rFonts w:ascii="Verdana" w:eastAsia="Calibri" w:hAnsi="Verdana" w:cs="Arial"/>
          <w:lang w:val="es-ES"/>
        </w:rPr>
      </w:pPr>
    </w:p>
    <w:p w14:paraId="727B047E"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Esta Subdirección ha recogido esa clasificación al examinar la noción de obra civil. Señaló que la obra civil “generalmente supone como mínimo el ejercicio de la ingeniería, de sus profesiones auxiliares o afines”, y precisó que “mientras que el artículo 3 ibidem cataloga a los técnicos y tecnólogos en obras civiles como profesiones auxiliares, el artículo 4 ibidem establece como afín la administración de obras civiles”. Las tres modalidades concurren, por tanto, en la ejecución de los proyectos de obra</w:t>
      </w:r>
      <w:r>
        <w:rPr>
          <w:rStyle w:val="Refdenotaalpie"/>
          <w:rFonts w:ascii="Verdana" w:hAnsi="Verdana"/>
          <w:sz w:val="20"/>
        </w:rPr>
        <w:footnoteReference w:id="28"/>
      </w:r>
      <w:r>
        <w:rPr>
          <w:rFonts w:ascii="Verdana" w:hAnsi="Verdana" w:cs="Arial"/>
          <w:bCs/>
          <w:szCs w:val="24"/>
          <w:lang w:val="es-ES_tradnl" w:eastAsia="es-ES_tradnl"/>
        </w:rPr>
        <w:t>.</w:t>
      </w:r>
    </w:p>
    <w:p w14:paraId="7468542D" w14:textId="77777777" w:rsidR="00F421C2" w:rsidRPr="00C22134" w:rsidRDefault="00F421C2" w:rsidP="00F421C2">
      <w:pPr>
        <w:spacing w:after="0" w:line="276" w:lineRule="auto"/>
        <w:jc w:val="both"/>
        <w:rPr>
          <w:rFonts w:ascii="Verdana" w:eastAsia="Calibri" w:hAnsi="Verdana" w:cs="Arial"/>
          <w:lang w:val="es-ES"/>
        </w:rPr>
      </w:pPr>
    </w:p>
    <w:p w14:paraId="61722CAB"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El artículo 6 de la Ley 842 de 2003 somete a las tres modalidades a una misma exigencia de registro: para ejercer la ingeniería, sus profesiones afines o sus profesiones auxiliares se requiere estar matriculado o inscrito en el Registro Profesional respectivo, que administra el Consejo Profesional Nacional de Ingeniería, lo que se acredita con la tarjeta o el documento que este adopte. La </w:t>
      </w:r>
      <w:r>
        <w:rPr>
          <w:rFonts w:ascii="Verdana" w:hAnsi="Verdana" w:cs="Arial"/>
          <w:bCs/>
          <w:szCs w:val="24"/>
          <w:lang w:val="es-ES_tradnl" w:eastAsia="es-ES_tradnl"/>
        </w:rPr>
        <w:lastRenderedPageBreak/>
        <w:t>misma norma prevé que los contratantes del sector público o privado puedan solicitar al Consejo el certificado de vigencia cuando pretendan verificar si una persona se encuentra legalmente habilitada para ejercer</w:t>
      </w:r>
      <w:r>
        <w:rPr>
          <w:rStyle w:val="Refdenotaalpie"/>
          <w:rFonts w:ascii="Verdana" w:hAnsi="Verdana"/>
          <w:sz w:val="20"/>
        </w:rPr>
        <w:footnoteReference w:id="29"/>
      </w:r>
      <w:r>
        <w:rPr>
          <w:rFonts w:ascii="Verdana" w:hAnsi="Verdana" w:cs="Arial"/>
          <w:bCs/>
          <w:szCs w:val="24"/>
          <w:lang w:val="es-ES_tradnl" w:eastAsia="es-ES_tradnl"/>
        </w:rPr>
        <w:t>.</w:t>
      </w:r>
    </w:p>
    <w:p w14:paraId="742892BB" w14:textId="77777777" w:rsidR="00F421C2" w:rsidRPr="00C22134" w:rsidRDefault="00F421C2" w:rsidP="00F421C2">
      <w:pPr>
        <w:spacing w:after="0" w:line="276" w:lineRule="auto"/>
        <w:jc w:val="both"/>
        <w:rPr>
          <w:rFonts w:ascii="Verdana" w:eastAsia="Calibri" w:hAnsi="Verdana" w:cs="Arial"/>
          <w:lang w:val="es-ES"/>
        </w:rPr>
      </w:pPr>
    </w:p>
    <w:p w14:paraId="5391FE61"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registro se expide, sin embargo, de manera diferenciada. El literal c) del artículo 26 atribuye al Consejo la función de “Expedir las tarjetas de matrícula, de certificados de inscripción profesional y de certificado de matrícula a los ingenieros, profesionales afines y profesionales auxiliares de la ingeniería, respectivamente”. El adverbio final indica que cada modalidad obtiene el documento correspondiente a su propia habilitación, de modo que la inscripción acredita el ejercicio dentro del ámbito que a cada una corresponde</w:t>
      </w:r>
      <w:r>
        <w:rPr>
          <w:rStyle w:val="Refdenotaalpie"/>
          <w:rFonts w:ascii="Verdana" w:hAnsi="Verdana"/>
          <w:sz w:val="20"/>
        </w:rPr>
        <w:footnoteReference w:id="30"/>
      </w:r>
      <w:r>
        <w:rPr>
          <w:rFonts w:ascii="Verdana" w:hAnsi="Verdana" w:cs="Arial"/>
          <w:bCs/>
          <w:szCs w:val="24"/>
          <w:lang w:val="es-ES_tradnl" w:eastAsia="es-ES_tradnl"/>
        </w:rPr>
        <w:t>.</w:t>
      </w:r>
    </w:p>
    <w:p w14:paraId="22D89F0A" w14:textId="77777777" w:rsidR="00F421C2" w:rsidRPr="00C22134" w:rsidRDefault="00F421C2" w:rsidP="00F421C2">
      <w:pPr>
        <w:spacing w:after="0" w:line="276" w:lineRule="auto"/>
        <w:jc w:val="both"/>
        <w:rPr>
          <w:rFonts w:ascii="Verdana" w:eastAsia="Calibri" w:hAnsi="Verdana" w:cs="Arial"/>
          <w:lang w:val="es-ES"/>
        </w:rPr>
      </w:pPr>
    </w:p>
    <w:p w14:paraId="6B5A0744"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Determinar cuál es ese ámbito en cada caso compete al Consejo Profesional Nacional de Ingeniería. A esa autoridad corresponde administrar el Registro Profesional, expedir los certificados de vigencia y denunciar el ejercicio ilegal de la profesión, funciones que suponen la facultad de establecer qué actividades quedan comprendidas en la habilitación de cada modalidad. Esta Agencia carece de competencia para definir ese alcance, y lo que le corresponde es señalar que la entidad contratante debe exigir y verificar la habilitación que el régimen profesional imponga para la actividad contratada</w:t>
      </w:r>
      <w:r>
        <w:rPr>
          <w:rStyle w:val="Refdenotaalpie"/>
          <w:rFonts w:ascii="Verdana" w:hAnsi="Verdana"/>
          <w:sz w:val="20"/>
        </w:rPr>
        <w:footnoteReference w:id="31"/>
      </w:r>
      <w:r>
        <w:rPr>
          <w:rFonts w:ascii="Verdana" w:hAnsi="Verdana" w:cs="Arial"/>
          <w:bCs/>
          <w:szCs w:val="24"/>
          <w:lang w:val="es-ES_tradnl" w:eastAsia="es-ES_tradnl"/>
        </w:rPr>
        <w:t>.</w:t>
      </w:r>
    </w:p>
    <w:p w14:paraId="77D5A43A" w14:textId="77777777" w:rsidR="00F421C2" w:rsidRPr="00C22134" w:rsidRDefault="00F421C2" w:rsidP="00F421C2">
      <w:pPr>
        <w:spacing w:after="0" w:line="276" w:lineRule="auto"/>
        <w:jc w:val="both"/>
        <w:rPr>
          <w:rFonts w:ascii="Verdana" w:eastAsia="Calibri" w:hAnsi="Verdana" w:cs="Arial"/>
          <w:lang w:val="es-ES"/>
        </w:rPr>
      </w:pPr>
    </w:p>
    <w:p w14:paraId="5A0A2DE5" w14:textId="77777777" w:rsidR="00F421C2" w:rsidRPr="00A0389A"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Resta la suscripción de actas, que la consulta menciona. Las actas de avance, de modificación, de aprobación técnica y de liquidación son documentos del respectivo contrato, y su suscripción corresponde a quien ostente la representación del interventor conforme al contrato de interventoría y a las reglas del proceso de contratación. El régimen profesional opera sobre las actividades que esos documentos reflejan: la aprobación técnica de una obra, la </w:t>
      </w:r>
      <w:r>
        <w:rPr>
          <w:rFonts w:ascii="Verdana" w:hAnsi="Verdana" w:cs="Arial"/>
          <w:bCs/>
          <w:szCs w:val="24"/>
          <w:lang w:val="es-ES_tradnl" w:eastAsia="es-ES_tradnl"/>
        </w:rPr>
        <w:lastRenderedPageBreak/>
        <w:t>certificación de su avance o la constancia de su estado final incorporan juicios propios de la actividad vigilada, y quien los emite debe contar con la habilitación que ese régimen exija para ella</w:t>
      </w:r>
      <w:r>
        <w:rPr>
          <w:rStyle w:val="Refdenotaalpie"/>
          <w:rFonts w:ascii="Verdana" w:hAnsi="Verdana"/>
          <w:sz w:val="20"/>
        </w:rPr>
        <w:footnoteReference w:id="32"/>
      </w:r>
      <w:r>
        <w:rPr>
          <w:rFonts w:ascii="Verdana" w:hAnsi="Verdana" w:cs="Arial"/>
          <w:bCs/>
          <w:szCs w:val="24"/>
          <w:lang w:val="es-ES_tradnl" w:eastAsia="es-ES_tradnl"/>
        </w:rPr>
        <w:t>.</w:t>
      </w:r>
    </w:p>
    <w:p w14:paraId="538F8886" w14:textId="77777777" w:rsidR="00F421C2" w:rsidRPr="00C22134" w:rsidRDefault="00F421C2" w:rsidP="00F421C2">
      <w:pPr>
        <w:spacing w:after="0" w:line="276" w:lineRule="auto"/>
        <w:jc w:val="both"/>
        <w:rPr>
          <w:rFonts w:ascii="Verdana" w:eastAsia="Calibri" w:hAnsi="Verdana" w:cs="Arial"/>
          <w:lang w:val="es-ES"/>
        </w:rPr>
      </w:pPr>
    </w:p>
    <w:p w14:paraId="447570D2" w14:textId="77777777" w:rsidR="00F421C2" w:rsidRDefault="00F421C2" w:rsidP="00F421C2">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Se reitera, para cerrar, que esta Agencia no determina si una persona se encuentra habilitada para ejercer una profesión ni califica la situación particular descrita en la consulta; que la verificación de los requisitos corresponde a la entidad contratante en el caso concreto, con el apoyo del certificado de vigencia que expide el Consejo Profesional Nacional de Ingeniería; y que la definición de las atribuciones propias de cada modalidad del ejercicio de la ingeniería compete a ese Consejo, a quien puede dirigirse para obtener un pronunciamiento sobre el alcance de su titulación</w:t>
      </w:r>
      <w:r>
        <w:rPr>
          <w:rStyle w:val="Refdenotaalpie"/>
          <w:rFonts w:ascii="Verdana" w:hAnsi="Verdana"/>
          <w:sz w:val="20"/>
        </w:rPr>
        <w:footnoteReference w:id="33"/>
      </w:r>
      <w:r>
        <w:rPr>
          <w:rFonts w:ascii="Verdana" w:hAnsi="Verdana" w:cs="Arial"/>
          <w:bCs/>
          <w:szCs w:val="24"/>
          <w:lang w:val="es-ES_tradnl" w:eastAsia="es-ES_tradnl"/>
        </w:rPr>
        <w:t>.</w:t>
      </w:r>
    </w:p>
    <w:p w14:paraId="6875F098" w14:textId="77777777" w:rsidR="00F421C2" w:rsidRPr="00A0389A" w:rsidRDefault="00F421C2" w:rsidP="00F421C2">
      <w:pPr>
        <w:spacing w:after="0" w:line="276" w:lineRule="auto"/>
        <w:jc w:val="both"/>
        <w:rPr>
          <w:rFonts w:ascii="Verdana" w:hAnsi="Verdana" w:cs="Arial"/>
          <w:bCs/>
          <w:szCs w:val="24"/>
          <w:lang w:val="es-ES_tradnl" w:eastAsia="es-ES_tradnl"/>
        </w:rPr>
      </w:pPr>
    </w:p>
    <w:bookmarkEnd w:id="0"/>
    <w:p w14:paraId="0F9BDBED" w14:textId="77777777" w:rsidR="00F421C2" w:rsidRDefault="00F421C2" w:rsidP="00F421C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6950CB5E" w14:textId="77777777" w:rsidR="00F421C2" w:rsidRPr="00215B71" w:rsidRDefault="00F421C2" w:rsidP="00F421C2">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21C2" w:rsidRPr="009037F6" w14:paraId="27416954" w14:textId="77777777" w:rsidTr="00780D17">
        <w:trPr>
          <w:trHeight w:val="487"/>
          <w:jc w:val="center"/>
        </w:trPr>
        <w:tc>
          <w:tcPr>
            <w:tcW w:w="8647" w:type="dxa"/>
          </w:tcPr>
          <w:p w14:paraId="5B96BECC" w14:textId="77777777" w:rsidR="00F421C2" w:rsidRDefault="00F421C2" w:rsidP="00780D17">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23 y 26. Ley 80 de 1993, artículos 24 —numeral 5—, 29, 32 —numerales 1 y 2—, 60 y 61. Ley 842 de 2003, artículos 2 —literal a)—, 3, 4, 6, 20, 21 y 26 —literal c)—. Ley 1150 de 2007, artículos 5 y 11. Ley 1437 de 2011, artículo 28, sustituido por el artículo 1 de la Ley 1755 de 2015. Ley 1474 de 2011, artículos 83 y 84. Ley 2022 de 2020, artículo 1. Decreto Ley 4170 de 2011, artículos 3 —numeral 5— y 11 —numeral 8—. Decreto 1082 de 2015, artículos 2.2.1.1.1.6.2 y 2.2.1.2.1.3.1. Resolución 469 de 2025 de la ANCP-CCE.</w:t>
            </w:r>
          </w:p>
          <w:p w14:paraId="4122764B" w14:textId="77777777" w:rsidR="00F421C2" w:rsidRDefault="00F421C2" w:rsidP="00780D17">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Documentos de la ANCP-CCE: Documentos tipo de concurso de méritos para la interventoría de obra pública de infraestructura de transporte y de infraestructura social, en particular el documento base y la “Matriz 4 – Lineamientos de requisitos del personal”. Guía para el ejercicio de las funciones de supervisión e interventoría de los contratos del Estado.</w:t>
            </w:r>
          </w:p>
          <w:p w14:paraId="62210172" w14:textId="77777777" w:rsidR="00F421C2" w:rsidRDefault="00F421C2" w:rsidP="00780D17">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lastRenderedPageBreak/>
              <w:t>Conceptos de la ANCP-CCE: Subdirección de Gestión Contractual. Conceptos C-167 de 2022, C-972 de 2024, C-325 de 2025, C-1064 de 2025, C-012 de 2026, C-020 de 2026, C-047 de 2026, C-179 de 2026, C-253 de 2026, C-441 de 2026, C-551 de 2026, C-1020 de 2026, C-1153 de 2026, C-1214 de 2026, C-1262 de 2026 y C-1294 de 2026.</w:t>
            </w:r>
          </w:p>
        </w:tc>
      </w:tr>
    </w:tbl>
    <w:p w14:paraId="1372791C" w14:textId="77777777" w:rsidR="00F421C2" w:rsidRPr="009037F6" w:rsidRDefault="00F421C2" w:rsidP="00F421C2">
      <w:pPr>
        <w:widowControl w:val="0"/>
        <w:autoSpaceDE w:val="0"/>
        <w:autoSpaceDN w:val="0"/>
        <w:spacing w:after="0" w:line="276" w:lineRule="auto"/>
        <w:jc w:val="both"/>
        <w:rPr>
          <w:rFonts w:ascii="Verdana" w:hAnsi="Verdana" w:cs="Arial"/>
        </w:rPr>
      </w:pPr>
    </w:p>
    <w:p w14:paraId="299CE67D" w14:textId="77777777" w:rsidR="00F421C2" w:rsidRPr="009037F6" w:rsidRDefault="00F421C2" w:rsidP="00F421C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03430F8C" w14:textId="77777777" w:rsidR="00F421C2" w:rsidRPr="009037F6" w:rsidRDefault="00F421C2" w:rsidP="00F421C2">
      <w:pPr>
        <w:widowControl w:val="0"/>
        <w:autoSpaceDE w:val="0"/>
        <w:autoSpaceDN w:val="0"/>
        <w:spacing w:after="0" w:line="276" w:lineRule="auto"/>
        <w:jc w:val="both"/>
        <w:rPr>
          <w:rFonts w:ascii="Verdana" w:hAnsi="Verdana" w:cs="Arial"/>
        </w:rPr>
      </w:pPr>
    </w:p>
    <w:p w14:paraId="3EB821EF" w14:textId="77777777" w:rsidR="00F421C2" w:rsidRDefault="00F421C2" w:rsidP="00F421C2">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 se ha pronunciado sobre la interventoría como mecanismo de vigilancia que exige conocimientos especializados, sobre sus diferencias con la supervisión y sobre el alcance del seguimiento, en los Conceptos C-1294 de 2026, C-1262 de 2026 y C-972 de 2024; sobre la inexistencia de un listado único y obligatorio de profesionales, la determinación del personal mínimo en la planeación y la remisión al régimen del ejercicio profesional, en el Concepto C-1153 de 2026; sobre los requisitos habilitantes adecuados y proporcionales, en el Concepto C-012 de 2026; sobre la configuración de los perfiles del personal clave evaluable en la Matriz 4 y la potestad discrecional de la entidad, en los Conceptos C-020 de 2026 y C-253 de 2026; sobre el personal operacional y profesional y la ausencia de perfiles obligatorios invariables, en el Concepto C-1020 de 2026; sobre el personal clave evaluable y la regla de inalterabilidad de los documentos tipo, en los Conceptos C-179 de 2026, C-441 de 2026, C-551 de 2026 y C-325 de 2025; sobre la interventoría como actividad del ejercicio de la ingeniería y la exigencia de título y matrícula en los documentos tipo del sector de infraestructura de transporte, en los Conceptos C-167 de 2022 y C-047 de 2026; sobre las modalidades del ejercicio de la ingeniería y su concurrencia en la obra civil, en el Concepto C-1214 de 2026; y sobre la expedición diferenciada del registro profesional por el Consejo Profesional Nacional de Ingeniería, en el Concepto C-1064 de 2025. Los conceptos emitidos por la Agencia pueden consultarse en el siguiente enlace:</w:t>
      </w:r>
    </w:p>
    <w:p w14:paraId="38FAB0E2" w14:textId="77777777" w:rsidR="00F421C2" w:rsidRDefault="00F421C2" w:rsidP="00F421C2">
      <w:pPr>
        <w:widowControl w:val="0"/>
        <w:autoSpaceDE w:val="0"/>
        <w:autoSpaceDN w:val="0"/>
        <w:spacing w:after="0" w:line="276" w:lineRule="auto"/>
        <w:jc w:val="both"/>
        <w:rPr>
          <w:rStyle w:val="normaltextrun"/>
          <w:rFonts w:ascii="Verdana" w:hAnsi="Verdana" w:cs="Arial"/>
          <w:shd w:val="clear" w:color="auto" w:fill="FFFFFF"/>
        </w:rPr>
      </w:pPr>
    </w:p>
    <w:p w14:paraId="04609D88" w14:textId="77777777" w:rsidR="00F421C2" w:rsidRPr="009037F6" w:rsidRDefault="00F421C2" w:rsidP="00F421C2">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09880C34" w14:textId="77777777" w:rsidR="00F421C2" w:rsidRPr="009037F6" w:rsidRDefault="00F421C2" w:rsidP="00F421C2">
      <w:pPr>
        <w:spacing w:after="0"/>
        <w:jc w:val="both"/>
        <w:rPr>
          <w:rFonts w:ascii="Verdana" w:hAnsi="Verdana"/>
        </w:rPr>
      </w:pPr>
    </w:p>
    <w:p w14:paraId="4348D74B" w14:textId="77777777" w:rsidR="00F421C2" w:rsidRDefault="00F421C2" w:rsidP="00F421C2">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 xml:space="preserve">Nacional de Contratación Pública –Colombia Compra Eficiente– te invita a realizar el Curso de Contratación Pública Sostenible y Socialmente Responsable, </w:t>
      </w:r>
      <w:r w:rsidRPr="00215B71">
        <w:rPr>
          <w:rFonts w:ascii="Verdana" w:hAnsi="Verdana"/>
        </w:rPr>
        <w:lastRenderedPageBreak/>
        <w:t>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5C783F1F" w14:textId="77777777" w:rsidR="00F421C2" w:rsidRPr="009A385A" w:rsidRDefault="00F421C2" w:rsidP="00F421C2">
      <w:pPr>
        <w:spacing w:after="0"/>
        <w:jc w:val="both"/>
        <w:rPr>
          <w:rFonts w:ascii="Verdana" w:hAnsi="Verdana"/>
        </w:rPr>
      </w:pPr>
    </w:p>
    <w:p w14:paraId="0C1A712A" w14:textId="77777777" w:rsidR="00F421C2" w:rsidRDefault="00F421C2" w:rsidP="00F421C2">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6D74171F" w14:textId="77777777" w:rsidR="00F421C2" w:rsidRDefault="00F421C2" w:rsidP="00F421C2">
      <w:pPr>
        <w:spacing w:after="0"/>
        <w:jc w:val="both"/>
        <w:rPr>
          <w:rFonts w:ascii="Verdana" w:hAnsi="Verdana"/>
        </w:rPr>
      </w:pPr>
    </w:p>
    <w:p w14:paraId="19A7E950" w14:textId="77777777" w:rsidR="00F421C2" w:rsidRPr="008E1CD7" w:rsidRDefault="00F421C2" w:rsidP="00F421C2">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9AE6EDD" w14:textId="77777777" w:rsidR="00F421C2" w:rsidRDefault="00F421C2" w:rsidP="00F421C2">
      <w:pPr>
        <w:shd w:val="clear" w:color="auto" w:fill="FFFFFF"/>
        <w:spacing w:after="0" w:line="276" w:lineRule="auto"/>
        <w:jc w:val="both"/>
        <w:rPr>
          <w:rFonts w:ascii="Verdana" w:hAnsi="Verdana"/>
          <w:color w:val="000000"/>
          <w:u w:val="single"/>
        </w:rPr>
      </w:pPr>
    </w:p>
    <w:p w14:paraId="13DFF518" w14:textId="77777777" w:rsidR="00F421C2" w:rsidRPr="0038088D" w:rsidRDefault="00F421C2" w:rsidP="00F421C2">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11CA6746" w14:textId="77777777" w:rsidR="00F421C2" w:rsidRPr="0038088D" w:rsidRDefault="00F421C2" w:rsidP="00F421C2">
      <w:pPr>
        <w:spacing w:after="0"/>
        <w:jc w:val="both"/>
        <w:rPr>
          <w:rFonts w:ascii="Verdana" w:hAnsi="Verdana"/>
        </w:rPr>
      </w:pPr>
    </w:p>
    <w:p w14:paraId="1CE89BD5" w14:textId="77777777" w:rsidR="00F421C2" w:rsidRPr="0038088D" w:rsidRDefault="00F421C2" w:rsidP="00F421C2">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lastRenderedPageBreak/>
        <w:t xml:space="preserve">Línea nacional gratuita o servicio a la ciudadanía (Mesa de servicio): </w:t>
      </w:r>
      <w:r w:rsidRPr="0038088D">
        <w:rPr>
          <w:rStyle w:val="Hipervnculo"/>
          <w:rFonts w:ascii="Verdana" w:hAnsi="Verdana"/>
        </w:rPr>
        <w:t>01800 0520808</w:t>
      </w:r>
    </w:p>
    <w:p w14:paraId="22AF0516" w14:textId="77777777" w:rsidR="00F421C2" w:rsidRPr="0038088D" w:rsidRDefault="00F421C2" w:rsidP="00F421C2">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2F62D424" w14:textId="77777777" w:rsidR="00F421C2" w:rsidRPr="0038088D" w:rsidRDefault="00F421C2" w:rsidP="00F421C2">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7D7136ED" w14:textId="77777777" w:rsidR="00F421C2" w:rsidRPr="0038088D" w:rsidRDefault="00F421C2" w:rsidP="00F421C2">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7B5517BB" w14:textId="77777777" w:rsidR="00F421C2" w:rsidRPr="0038088D" w:rsidRDefault="00F421C2" w:rsidP="00F421C2">
      <w:pPr>
        <w:spacing w:after="0" w:line="240" w:lineRule="auto"/>
        <w:ind w:left="720"/>
        <w:jc w:val="both"/>
        <w:rPr>
          <w:rFonts w:ascii="Verdana" w:hAnsi="Verdana"/>
        </w:rPr>
      </w:pPr>
    </w:p>
    <w:p w14:paraId="0A7C67E2" w14:textId="77777777" w:rsidR="00F421C2" w:rsidRPr="0038088D" w:rsidRDefault="00F421C2" w:rsidP="00F421C2">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1AA01D2" w14:textId="77777777" w:rsidR="00F421C2" w:rsidRPr="0038088D" w:rsidRDefault="00F421C2" w:rsidP="00F421C2">
      <w:pPr>
        <w:spacing w:after="0" w:line="240" w:lineRule="auto"/>
        <w:rPr>
          <w:rFonts w:ascii="Verdana" w:hAnsi="Verdana"/>
        </w:rPr>
      </w:pPr>
    </w:p>
    <w:p w14:paraId="5214C262" w14:textId="77777777" w:rsidR="00F421C2" w:rsidRPr="0038088D" w:rsidRDefault="00F421C2" w:rsidP="00F421C2">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0172156D" w14:textId="77777777" w:rsidR="00F421C2" w:rsidRPr="00116940" w:rsidRDefault="00F421C2" w:rsidP="00F421C2">
      <w:pPr>
        <w:spacing w:after="0" w:line="240" w:lineRule="auto"/>
        <w:jc w:val="both"/>
        <w:rPr>
          <w:rFonts w:ascii="Verdana" w:hAnsi="Verdana"/>
        </w:rPr>
      </w:pPr>
    </w:p>
    <w:p w14:paraId="10ACB8B0" w14:textId="77777777" w:rsidR="00F421C2" w:rsidRPr="00116940" w:rsidRDefault="00F421C2" w:rsidP="00F421C2">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D35F35B" w14:textId="77777777" w:rsidR="00F421C2" w:rsidRPr="00116940" w:rsidRDefault="00F421C2" w:rsidP="00F421C2">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9C5D0F9" w14:textId="77777777" w:rsidR="00F421C2" w:rsidRPr="00E22E6E" w:rsidRDefault="00F421C2" w:rsidP="00F421C2">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4EEB9B3" w14:textId="77777777" w:rsidR="00F421C2" w:rsidRPr="009C4035" w:rsidRDefault="00F421C2" w:rsidP="00F421C2">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556C850" w14:textId="77777777" w:rsidR="00F421C2" w:rsidRPr="00593A5F" w:rsidRDefault="00F421C2" w:rsidP="00F421C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1D4F9F6C" w14:textId="77777777" w:rsidR="00F421C2" w:rsidRDefault="00F421C2" w:rsidP="00F421C2">
      <w:pPr>
        <w:widowControl w:val="0"/>
        <w:autoSpaceDE w:val="0"/>
        <w:autoSpaceDN w:val="0"/>
        <w:spacing w:after="0" w:line="276" w:lineRule="auto"/>
        <w:jc w:val="both"/>
        <w:rPr>
          <w:rFonts w:ascii="Verdana" w:hAnsi="Verdana" w:cs="Arial"/>
        </w:rPr>
      </w:pPr>
    </w:p>
    <w:p w14:paraId="12A3BD8A" w14:textId="330A32FF" w:rsidR="00F421C2" w:rsidRPr="00215B71" w:rsidRDefault="00F421C2" w:rsidP="00F421C2">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2EAB1FAA" w14:textId="750DDB74" w:rsidR="00F421C2" w:rsidRDefault="00F421C2" w:rsidP="00F421C2">
      <w:pPr>
        <w:spacing w:after="0" w:line="254" w:lineRule="auto"/>
        <w:jc w:val="center"/>
        <w:rPr>
          <w:rFonts w:ascii="Verdana" w:eastAsia="Times New Roman" w:hAnsi="Verdana" w:cs="Arial"/>
          <w:lang w:eastAsia="es-ES"/>
        </w:rPr>
      </w:pPr>
    </w:p>
    <w:p w14:paraId="75EA9000" w14:textId="2FA8EE92" w:rsidR="00F421C2" w:rsidRDefault="005A0E2F" w:rsidP="00F421C2">
      <w:pPr>
        <w:spacing w:after="0" w:line="254" w:lineRule="auto"/>
        <w:rPr>
          <w:rFonts w:ascii="Verdana" w:eastAsia="Times New Roman" w:hAnsi="Verdana" w:cs="Arial"/>
          <w:lang w:eastAsia="es-ES"/>
        </w:rPr>
      </w:pPr>
      <w:r w:rsidRPr="00E17976">
        <w:rPr>
          <w:rFonts w:ascii="Verdana" w:eastAsia="Times New Roman" w:hAnsi="Verdana" w:cs="Arial"/>
          <w:noProof/>
          <w:lang w:eastAsia="es-ES"/>
        </w:rPr>
        <w:drawing>
          <wp:anchor distT="0" distB="0" distL="114300" distR="114300" simplePos="0" relativeHeight="251659264" behindDoc="0" locked="0" layoutInCell="1" allowOverlap="1" wp14:anchorId="555F73F1" wp14:editId="6E9BF82D">
            <wp:simplePos x="0" y="0"/>
            <wp:positionH relativeFrom="margin">
              <wp:align>center</wp:align>
            </wp:positionH>
            <wp:positionV relativeFrom="paragraph">
              <wp:posOffset>4776</wp:posOffset>
            </wp:positionV>
            <wp:extent cx="3193152" cy="1189032"/>
            <wp:effectExtent l="0" t="0" r="7620" b="0"/>
            <wp:wrapSquare wrapText="bothSides"/>
            <wp:docPr id="138941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1894" name=""/>
                    <pic:cNvPicPr/>
                  </pic:nvPicPr>
                  <pic:blipFill>
                    <a:blip r:embed="rId19">
                      <a:extLst>
                        <a:ext uri="{28A0092B-C50C-407E-A947-70E740481C1C}">
                          <a14:useLocalDpi xmlns:a14="http://schemas.microsoft.com/office/drawing/2010/main" val="0"/>
                        </a:ext>
                      </a:extLst>
                    </a:blip>
                    <a:stretch>
                      <a:fillRect/>
                    </a:stretch>
                  </pic:blipFill>
                  <pic:spPr>
                    <a:xfrm>
                      <a:off x="0" y="0"/>
                      <a:ext cx="3193152" cy="1189032"/>
                    </a:xfrm>
                    <a:prstGeom prst="rect">
                      <a:avLst/>
                    </a:prstGeom>
                  </pic:spPr>
                </pic:pic>
              </a:graphicData>
            </a:graphic>
          </wp:anchor>
        </w:drawing>
      </w:r>
    </w:p>
    <w:p w14:paraId="42A348A2" w14:textId="77777777" w:rsidR="00F421C2" w:rsidRDefault="00F421C2" w:rsidP="00F421C2">
      <w:pPr>
        <w:spacing w:after="0" w:line="254" w:lineRule="auto"/>
        <w:rPr>
          <w:rFonts w:ascii="Verdana" w:eastAsia="Times New Roman" w:hAnsi="Verdana" w:cs="Arial"/>
          <w:lang w:eastAsia="es-ES"/>
        </w:rPr>
      </w:pPr>
    </w:p>
    <w:p w14:paraId="61EDE08F" w14:textId="77777777" w:rsidR="005A0E2F" w:rsidRDefault="005A0E2F" w:rsidP="00F421C2">
      <w:pPr>
        <w:spacing w:after="0" w:line="254" w:lineRule="auto"/>
        <w:rPr>
          <w:rFonts w:ascii="Verdana" w:eastAsia="Times New Roman" w:hAnsi="Verdana" w:cs="Arial"/>
          <w:b/>
          <w:bCs/>
          <w:lang w:eastAsia="es-ES"/>
        </w:rPr>
      </w:pPr>
    </w:p>
    <w:p w14:paraId="33589380" w14:textId="77777777" w:rsidR="005A0E2F" w:rsidRDefault="005A0E2F" w:rsidP="00F421C2">
      <w:pPr>
        <w:spacing w:after="0" w:line="254" w:lineRule="auto"/>
        <w:rPr>
          <w:rFonts w:ascii="Verdana" w:eastAsia="Times New Roman" w:hAnsi="Verdana" w:cs="Arial"/>
          <w:b/>
          <w:bCs/>
          <w:lang w:eastAsia="es-ES"/>
        </w:rPr>
      </w:pPr>
    </w:p>
    <w:p w14:paraId="1516DB49" w14:textId="77777777" w:rsidR="005A0E2F" w:rsidRDefault="005A0E2F" w:rsidP="00F421C2">
      <w:pPr>
        <w:spacing w:after="0" w:line="254" w:lineRule="auto"/>
        <w:rPr>
          <w:rFonts w:ascii="Verdana" w:eastAsia="Times New Roman" w:hAnsi="Verdana" w:cs="Arial"/>
          <w:b/>
          <w:bCs/>
          <w:lang w:eastAsia="es-ES"/>
        </w:rPr>
      </w:pPr>
    </w:p>
    <w:p w14:paraId="4ABE59BC" w14:textId="77777777" w:rsidR="005A0E2F" w:rsidRDefault="005A0E2F" w:rsidP="00F421C2">
      <w:pPr>
        <w:spacing w:after="0" w:line="254" w:lineRule="auto"/>
        <w:rPr>
          <w:rFonts w:ascii="Verdana" w:eastAsia="Times New Roman" w:hAnsi="Verdana" w:cs="Arial"/>
          <w:b/>
          <w:bCs/>
          <w:lang w:eastAsia="es-ES"/>
        </w:rPr>
      </w:pPr>
    </w:p>
    <w:p w14:paraId="3158F91C" w14:textId="77777777" w:rsidR="005A0E2F" w:rsidRDefault="005A0E2F" w:rsidP="00F421C2">
      <w:pPr>
        <w:spacing w:after="0" w:line="254" w:lineRule="auto"/>
        <w:rPr>
          <w:rFonts w:ascii="Verdana" w:eastAsia="Times New Roman" w:hAnsi="Verdana" w:cs="Arial"/>
          <w:b/>
          <w:bCs/>
          <w:lang w:eastAsia="es-ES"/>
        </w:rPr>
      </w:pPr>
    </w:p>
    <w:p w14:paraId="0D2659A1" w14:textId="03857152" w:rsidR="00F421C2" w:rsidRPr="005A0E2F" w:rsidRDefault="00F421C2" w:rsidP="005A0E2F">
      <w:pPr>
        <w:spacing w:after="0" w:line="254" w:lineRule="auto"/>
        <w:jc w:val="center"/>
        <w:rPr>
          <w:rFonts w:ascii="Verdana" w:eastAsia="Times New Roman" w:hAnsi="Verdana" w:cs="Arial"/>
          <w:b/>
          <w:bCs/>
          <w:lang w:eastAsia="es-ES"/>
        </w:rPr>
      </w:pPr>
      <w:r w:rsidRPr="005A0E2F">
        <w:rPr>
          <w:rFonts w:ascii="Verdana" w:eastAsia="Times New Roman" w:hAnsi="Verdana" w:cs="Arial"/>
          <w:b/>
          <w:bCs/>
          <w:lang w:eastAsia="es-ES"/>
        </w:rPr>
        <w:t>WILLIAM JAVIER MURCIA ACEVEDO</w:t>
      </w:r>
    </w:p>
    <w:p w14:paraId="134922BF" w14:textId="77777777" w:rsidR="00F421C2" w:rsidRPr="005A0E2F" w:rsidRDefault="00F421C2" w:rsidP="005A0E2F">
      <w:pPr>
        <w:spacing w:after="0" w:line="254" w:lineRule="auto"/>
        <w:jc w:val="center"/>
        <w:rPr>
          <w:rFonts w:ascii="Verdana" w:eastAsia="Times New Roman" w:hAnsi="Verdana" w:cs="Arial"/>
          <w:b/>
          <w:bCs/>
          <w:lang w:eastAsia="es-ES"/>
        </w:rPr>
      </w:pPr>
      <w:r w:rsidRPr="005A0E2F">
        <w:rPr>
          <w:rFonts w:ascii="Verdana" w:eastAsia="Times New Roman" w:hAnsi="Verdana" w:cs="Arial"/>
          <w:b/>
          <w:bCs/>
          <w:lang w:eastAsia="es-ES"/>
        </w:rPr>
        <w:t>Subdirectora de Gestión Contractual (E)</w:t>
      </w:r>
    </w:p>
    <w:p w14:paraId="77C6C822" w14:textId="77777777" w:rsidR="00F421C2" w:rsidRPr="008D539F" w:rsidRDefault="00F421C2" w:rsidP="00F421C2">
      <w:pPr>
        <w:spacing w:after="0" w:line="254" w:lineRule="auto"/>
        <w:rPr>
          <w:rFonts w:ascii="Verdana" w:eastAsia="Times New Roman" w:hAnsi="Verdana" w:cs="Arial"/>
          <w:lang w:eastAsia="es-ES"/>
        </w:rPr>
      </w:pPr>
    </w:p>
    <w:p w14:paraId="1FF8BCE2" w14:textId="77777777" w:rsidR="00F421C2" w:rsidRPr="008D539F" w:rsidRDefault="00F421C2" w:rsidP="00F421C2">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F421C2" w:rsidRPr="008D539F" w14:paraId="33D96B9F" w14:textId="77777777" w:rsidTr="00780D17">
        <w:trPr>
          <w:trHeight w:val="322"/>
        </w:trPr>
        <w:tc>
          <w:tcPr>
            <w:tcW w:w="733" w:type="dxa"/>
            <w:tcBorders>
              <w:top w:val="nil"/>
              <w:left w:val="nil"/>
              <w:bottom w:val="nil"/>
              <w:right w:val="nil"/>
            </w:tcBorders>
            <w:vAlign w:val="center"/>
            <w:hideMark/>
          </w:tcPr>
          <w:p w14:paraId="2472FF99" w14:textId="77777777" w:rsidR="00F421C2" w:rsidRPr="008D539F" w:rsidRDefault="00F421C2" w:rsidP="00780D17">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lastRenderedPageBreak/>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AC44DB9" w14:textId="77777777" w:rsidR="00F421C2" w:rsidRPr="008D539F" w:rsidRDefault="00F421C2" w:rsidP="00780D17">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 xml:space="preserve">Camilo José Martínez </w:t>
            </w:r>
            <w:proofErr w:type="spellStart"/>
            <w:r w:rsidRPr="008D539F">
              <w:rPr>
                <w:rFonts w:ascii="Verdana" w:eastAsia="Times New Roman" w:hAnsi="Verdana" w:cs="Arial"/>
                <w:sz w:val="16"/>
                <w:szCs w:val="16"/>
                <w:lang w:val="es-ES_tradnl" w:eastAsia="es-ES"/>
              </w:rPr>
              <w:t>Martínez</w:t>
            </w:r>
            <w:proofErr w:type="spellEnd"/>
          </w:p>
          <w:p w14:paraId="07E69471" w14:textId="77777777" w:rsidR="00F421C2" w:rsidRPr="008D539F" w:rsidRDefault="00F421C2" w:rsidP="00780D17">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F421C2" w:rsidRPr="008D539F" w14:paraId="6C2A8901" w14:textId="77777777" w:rsidTr="00780D17">
        <w:trPr>
          <w:trHeight w:val="322"/>
        </w:trPr>
        <w:tc>
          <w:tcPr>
            <w:tcW w:w="733" w:type="dxa"/>
            <w:tcBorders>
              <w:top w:val="nil"/>
              <w:left w:val="nil"/>
              <w:bottom w:val="nil"/>
              <w:right w:val="nil"/>
            </w:tcBorders>
            <w:vAlign w:val="center"/>
            <w:hideMark/>
          </w:tcPr>
          <w:p w14:paraId="370291EC" w14:textId="77777777" w:rsidR="00F421C2" w:rsidRPr="008D539F" w:rsidRDefault="00F421C2" w:rsidP="00780D17">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8A4D86F" w14:textId="77777777" w:rsidR="00F421C2" w:rsidRPr="008D539F" w:rsidRDefault="00F421C2" w:rsidP="00780D17">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Adriana López </w:t>
            </w:r>
          </w:p>
          <w:p w14:paraId="67100206" w14:textId="77777777" w:rsidR="00F421C2" w:rsidRPr="008D539F" w:rsidRDefault="00F421C2" w:rsidP="00780D17">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F421C2" w:rsidRPr="008D539F" w14:paraId="6EE23194" w14:textId="77777777" w:rsidTr="00780D17">
        <w:trPr>
          <w:trHeight w:val="307"/>
        </w:trPr>
        <w:tc>
          <w:tcPr>
            <w:tcW w:w="733" w:type="dxa"/>
            <w:tcBorders>
              <w:top w:val="nil"/>
              <w:left w:val="nil"/>
              <w:bottom w:val="nil"/>
              <w:right w:val="nil"/>
            </w:tcBorders>
            <w:vAlign w:val="center"/>
            <w:hideMark/>
          </w:tcPr>
          <w:p w14:paraId="36D6C9A0" w14:textId="77777777" w:rsidR="00F421C2" w:rsidRPr="008D539F" w:rsidRDefault="00F421C2" w:rsidP="00780D17">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901C5EE" w14:textId="77777777" w:rsidR="00F421C2" w:rsidRPr="008D539F" w:rsidRDefault="00F421C2" w:rsidP="00780D17">
            <w:pPr>
              <w:spacing w:after="0" w:line="254" w:lineRule="auto"/>
              <w:rPr>
                <w:rFonts w:ascii="Verdana" w:eastAsia="Times New Roman" w:hAnsi="Verdana" w:cs="Arial"/>
                <w:sz w:val="16"/>
                <w:szCs w:val="16"/>
                <w:lang w:eastAsia="es-ES"/>
              </w:rPr>
            </w:pPr>
            <w:r>
              <w:rPr>
                <w:rFonts w:ascii="Verdana" w:eastAsia="Times New Roman" w:hAnsi="Verdana" w:cs="Arial"/>
                <w:sz w:val="16"/>
                <w:szCs w:val="16"/>
                <w:lang w:eastAsia="es-ES"/>
              </w:rPr>
              <w:t xml:space="preserve">William Javier Murcia Acevedo </w:t>
            </w:r>
          </w:p>
          <w:p w14:paraId="04132E41" w14:textId="77777777" w:rsidR="00F421C2" w:rsidRPr="008D539F" w:rsidRDefault="00F421C2" w:rsidP="00780D17">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 xml:space="preserve">Subdirectora de Gestión Contractual </w:t>
            </w:r>
            <w:r>
              <w:rPr>
                <w:rFonts w:ascii="Verdana" w:eastAsia="Times New Roman" w:hAnsi="Verdana" w:cs="Arial"/>
                <w:sz w:val="16"/>
                <w:szCs w:val="16"/>
                <w:lang w:eastAsia="es-ES"/>
              </w:rPr>
              <w:t>(e)</w:t>
            </w:r>
          </w:p>
        </w:tc>
      </w:tr>
    </w:tbl>
    <w:p w14:paraId="7694DCEB" w14:textId="77777777" w:rsidR="00F421C2" w:rsidRPr="00F2171E" w:rsidRDefault="00F421C2" w:rsidP="00F421C2"/>
    <w:p w14:paraId="47EC21A0" w14:textId="77777777" w:rsidR="00F421C2" w:rsidRPr="008D539F" w:rsidRDefault="00F421C2" w:rsidP="00F421C2">
      <w:pPr>
        <w:spacing w:after="0" w:line="254" w:lineRule="auto"/>
        <w:jc w:val="center"/>
        <w:rPr>
          <w:rFonts w:ascii="Verdana" w:eastAsia="Times New Roman" w:hAnsi="Verdana" w:cs="Arial"/>
          <w:lang w:eastAsia="es-ES"/>
        </w:rPr>
      </w:pPr>
    </w:p>
    <w:p w14:paraId="48D2D383" w14:textId="77777777" w:rsidR="00F421C2" w:rsidRPr="00772FFD" w:rsidRDefault="00F421C2" w:rsidP="00F421C2"/>
    <w:p w14:paraId="5B092101" w14:textId="77777777" w:rsidR="00F421C2" w:rsidRPr="00F2171E" w:rsidRDefault="00F421C2" w:rsidP="00F421C2"/>
    <w:p w14:paraId="08440A18" w14:textId="77777777" w:rsidR="00F421C2" w:rsidRPr="00232C62" w:rsidRDefault="00F421C2" w:rsidP="00F421C2"/>
    <w:p w14:paraId="79E41D60" w14:textId="77777777" w:rsidR="009D7575" w:rsidRDefault="009D7575" w:rsidP="00F2171E">
      <w:pPr>
        <w:spacing w:after="0" w:line="240" w:lineRule="auto"/>
        <w:jc w:val="both"/>
        <w:rPr>
          <w:rFonts w:ascii="Verdana" w:eastAsia="Geomanist Light" w:hAnsi="Verdana" w:cs="Arial"/>
          <w:color w:val="000000" w:themeColor="text1"/>
          <w:lang w:val="es-MX"/>
        </w:rPr>
      </w:pPr>
    </w:p>
    <w:sectPr w:rsidR="009D7575"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5F594" w14:textId="77777777" w:rsidR="00EB478B" w:rsidRDefault="00EB478B" w:rsidP="004A1847">
      <w:pPr>
        <w:spacing w:after="0" w:line="240" w:lineRule="auto"/>
      </w:pPr>
      <w:r>
        <w:separator/>
      </w:r>
    </w:p>
  </w:endnote>
  <w:endnote w:type="continuationSeparator" w:id="0">
    <w:p w14:paraId="6E1345C5" w14:textId="77777777" w:rsidR="00EB478B" w:rsidRDefault="00EB478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AC90" w14:textId="77777777" w:rsidR="003332A8" w:rsidRDefault="003332A8">
    <w:pPr>
      <w:pStyle w:val="Piedepgina"/>
    </w:pPr>
  </w:p>
  <w:p w14:paraId="6118D89E"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13B0A1B"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0FF6615"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00FBF6EB"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BD659" w14:textId="77777777" w:rsidR="00EB478B" w:rsidRDefault="00EB478B" w:rsidP="004A1847">
      <w:pPr>
        <w:spacing w:after="0" w:line="240" w:lineRule="auto"/>
      </w:pPr>
      <w:r>
        <w:separator/>
      </w:r>
    </w:p>
  </w:footnote>
  <w:footnote w:type="continuationSeparator" w:id="0">
    <w:p w14:paraId="32A754DA" w14:textId="77777777" w:rsidR="00EB478B" w:rsidRDefault="00EB478B" w:rsidP="004A1847">
      <w:pPr>
        <w:spacing w:after="0" w:line="240" w:lineRule="auto"/>
      </w:pPr>
      <w:r>
        <w:continuationSeparator/>
      </w:r>
    </w:p>
  </w:footnote>
  <w:footnote w:id="1">
    <w:p w14:paraId="7673B07D"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Ley 80 de 1993, artículo 32, numeral 1. AGENCIA NACIONAL DE CONTRATACIÓN PÚBLICA – COLOMBIA COMPRA EFICIENTE. Subdirección de Gestión Contractual. Conceptos C-1294 de 2026, C-1262 de 2026 y C-972 de 2024.</w:t>
      </w:r>
    </w:p>
  </w:footnote>
  <w:footnote w:id="2">
    <w:p w14:paraId="644C8220"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2, inciso 2; Decreto 1082 de 2015, artículo 2.2.1.2.1.3.1. AGENCIA NACIONAL DE CONTRATACIÓN PÚBLICA – COLOMBIA COMPRA EFICIENTE. Subdirección de Gestión Contractual. Conceptos C-1294 de 2026 y C-1262 de 2026.</w:t>
      </w:r>
    </w:p>
  </w:footnote>
  <w:footnote w:id="3">
    <w:p w14:paraId="6628FCC2"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incisos primero y cuarto. AGENCIA NACIONAL DE CONTRATACIÓN PÚBLICA – COLOMBIA COMPRA EFICIENTE. Subdirección de Gestión Contractual. Conceptos C-1294 de 2026 y C-1262 de 2026.</w:t>
      </w:r>
    </w:p>
  </w:footnote>
  <w:footnote w:id="4">
    <w:p w14:paraId="4D759756"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AGENCIA NACIONAL DE CONTRATACIÓN PÚBLICA – COLOMBIA COMPRA EFICIENTE. Subdirección de Gestión Contractual. Concepto C-1153 de 2026.</w:t>
      </w:r>
    </w:p>
  </w:footnote>
  <w:footnote w:id="5">
    <w:p w14:paraId="333B978F"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5; Decreto 1082 de 2015, artículo 2.2.1.1.1.6.2. AGENCIA NACIONAL DE CONTRATACIÓN PÚBLICA – COLOMBIA COMPRA EFICIENTE. Subdirección de Gestión Contractual. Conceptos C-1153 de 2026 y C-012 de 2026.</w:t>
      </w:r>
    </w:p>
  </w:footnote>
  <w:footnote w:id="6">
    <w:p w14:paraId="10321036"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C-1153 de 2026 y C-1020 de 2026.</w:t>
      </w:r>
    </w:p>
  </w:footnote>
  <w:footnote w:id="7">
    <w:p w14:paraId="6BA49120"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24, numeral 5, y 29; Ley 1150 de 2007, artículo 5. AGENCIA NACIONAL DE CONTRATACIÓN PÚBLICA – COLOMBIA COMPRA EFICIENTE. Subdirección de Gestión Contractual. Concepto C-1153 de 2026.</w:t>
      </w:r>
    </w:p>
  </w:footnote>
  <w:footnote w:id="8">
    <w:p w14:paraId="23606A98"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 2, literal a). AGENCIA NACIONAL DE CONTRATACIÓN PÚBLICA – COLOMBIA COMPRA EFICIENTE. Subdirección de Gestión Contractual. Conceptos C-167 de 2022, C-1064 de 2025 y C-1214 de 2026.</w:t>
      </w:r>
    </w:p>
  </w:footnote>
  <w:footnote w:id="9">
    <w:p w14:paraId="44E60756"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artículos 2, 3 y 4. AGENCIA NACIONAL DE CONTRATACIÓN PÚBLICA – COLOMBIA COMPRA EFICIENTE. Subdirección de Gestión Contractual. Concepto C-1214 de 2026, conforme al cual “mientras que el artículo 3 ibidem cataloga a los técnicos y tecnólogos en obras civiles como profesiones auxiliares, el artículo 4 ibidem establece como afín la administración de obras civiles”.</w:t>
      </w:r>
    </w:p>
  </w:footnote>
  <w:footnote w:id="10">
    <w:p w14:paraId="47B437F9"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artículos 6 y 26, literal c). AGENCIA NACIONAL DE CONTRATACIÓN PÚBLICA – COLOMBIA COMPRA EFICIENTE. Subdirección de Gestión Contractual. Conceptos C-1214 de 2026 y C-1064 de 2025.</w:t>
      </w:r>
    </w:p>
  </w:footnote>
  <w:footnote w:id="11">
    <w:p w14:paraId="67D41B1B"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artículos 6, 21 y 26. AGENCIA NACIONAL DE CONTRATACIÓN PÚBLICA – COLOMBIA COMPRA EFICIENTE. Subdirección de Gestión Contractual. Conceptos C-1153 de 2026 y C-1064 de 2025.</w:t>
      </w:r>
    </w:p>
  </w:footnote>
  <w:footnote w:id="12">
    <w:p w14:paraId="4F20B7DE"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60 y 61; Ley 1150 de 2007, artículo 11; Ley 1474 de 2011, artículo 84. Ley 842 de 2003, artículos 2 —literal a)—, 6 y 26.</w:t>
      </w:r>
    </w:p>
  </w:footnote>
  <w:footnote w:id="13">
    <w:p w14:paraId="353AB06B"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inciso primero.</w:t>
      </w:r>
    </w:p>
  </w:footnote>
  <w:footnote w:id="14">
    <w:p w14:paraId="278EBA83"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1; Ley 1474 de 2011, artículo 83. AGENCIA NACIONAL DE CONTRATACIÓN PÚBLICA – COLOMBIA COMPRA EFICIENTE. Subdirección de Gestión Contractual. Conceptos C-1294 de 2026 y C-972 de 2024.</w:t>
      </w:r>
    </w:p>
  </w:footnote>
  <w:footnote w:id="15">
    <w:p w14:paraId="2995EB90"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2, inciso 2; Decreto 1082 de 2015, artículo 2.2.1.2.1.3.1. AGENCIA NACIONAL DE CONTRATACIÓN PÚBLICA – COLOMBIA COMPRA EFICIENTE. Subdirección de Gestión Contractual. Conceptos C-1294 de 2026 y C-1262 de 2026.</w:t>
      </w:r>
    </w:p>
  </w:footnote>
  <w:footnote w:id="16">
    <w:p w14:paraId="777AC116"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incisos primero y cuarto. AGENCIA NACIONAL DE CONTRATACIÓN PÚBLICA – COLOMBIA COMPRA EFICIENTE. Subdirección de Gestión Contractual. Concepto C-1294 de 2026.</w:t>
      </w:r>
    </w:p>
  </w:footnote>
  <w:footnote w:id="17">
    <w:p w14:paraId="3B4E57A9"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AGENCIA NACIONAL DE CONTRATACIÓN PÚBLICA – COLOMBIA COMPRA EFICIENTE. Subdirección de Gestión Contractual. Concepto C-1262 de 2026.</w:t>
      </w:r>
    </w:p>
  </w:footnote>
  <w:footnote w:id="18">
    <w:p w14:paraId="4785D32C"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w:t>
      </w:r>
    </w:p>
  </w:footnote>
  <w:footnote w:id="19">
    <w:p w14:paraId="74032496"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C-1153 de 2026.</w:t>
      </w:r>
    </w:p>
  </w:footnote>
  <w:footnote w:id="20">
    <w:p w14:paraId="379F7405"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5; Decreto 1082 de 2015, artículo 2.2.1.1.1.6.2. AGENCIA NACIONAL DE CONTRATACIÓN PÚBLICA – COLOMBIA COMPRA EFICIENTE. Subdirección de Gestión Contractual. Conceptos C-1153 de 2026 y C-012 de 2026.</w:t>
      </w:r>
    </w:p>
  </w:footnote>
  <w:footnote w:id="21">
    <w:p w14:paraId="7B32C273"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C-1153 de 2026.</w:t>
      </w:r>
    </w:p>
  </w:footnote>
  <w:footnote w:id="22">
    <w:p w14:paraId="655A9F6D"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C-1020 de 2026.</w:t>
      </w:r>
    </w:p>
  </w:footnote>
  <w:footnote w:id="23">
    <w:p w14:paraId="60A2F6C8"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C-020 de 2026.</w:t>
      </w:r>
    </w:p>
  </w:footnote>
  <w:footnote w:id="24">
    <w:p w14:paraId="66E23CDB"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24, numeral 5, y 29; Ley 1150 de 2007, artículo 5. AGENCIA NACIONAL DE CONTRATACIÓN PÚBLICA – COLOMBIA COMPRA EFICIENTE. Subdirección de Gestión Contractual. Conceptos C-1153 de 2026 y C-020 de 2026.</w:t>
      </w:r>
    </w:p>
  </w:footnote>
  <w:footnote w:id="25">
    <w:p w14:paraId="10459479"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C-1153 de 2026. Ley 842 de 2003, artículo 6.</w:t>
      </w:r>
    </w:p>
  </w:footnote>
  <w:footnote w:id="26">
    <w:p w14:paraId="585DA38C"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 2, literal a).</w:t>
      </w:r>
    </w:p>
  </w:footnote>
  <w:footnote w:id="27">
    <w:p w14:paraId="1B58178A"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artículos 2, 3 y 4.</w:t>
      </w:r>
    </w:p>
  </w:footnote>
  <w:footnote w:id="28">
    <w:p w14:paraId="1D8BCF45"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C-1214 de 2026.</w:t>
      </w:r>
    </w:p>
  </w:footnote>
  <w:footnote w:id="29">
    <w:p w14:paraId="179B3E25"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 6. AGENCIA NACIONAL DE CONTRATACIÓN PÚBLICA – COLOMBIA COMPRA EFICIENTE. Subdirección de Gestión Contractual. Conceptos C-1153 de 2026 y C-1064 de 2025.</w:t>
      </w:r>
    </w:p>
  </w:footnote>
  <w:footnote w:id="30">
    <w:p w14:paraId="39ABCE22"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 26, literal c). AGENCIA NACIONAL DE CONTRATACIÓN PÚBLICA – COLOMBIA COMPRA EFICIENTE. Subdirección de Gestión Contractual. Concepto C-1064 de 2025.</w:t>
      </w:r>
    </w:p>
  </w:footnote>
  <w:footnote w:id="31">
    <w:p w14:paraId="0F0FCD24"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artículos 6, 21 y 26. AGENCIA NACIONAL DE CONTRATACIÓN PÚBLICA – COLOMBIA COMPRA EFICIENTE. Subdirección de Gestión Contractual. Concepto C-1153 de 2026.</w:t>
      </w:r>
    </w:p>
  </w:footnote>
  <w:footnote w:id="32">
    <w:p w14:paraId="6C3D88EF"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60 y 61; Ley 1150 de 2007, artículo 11; Ley 1474 de 2011, artículo 84. Ley 842 de 2003, artículos 2 —literal a)—, 6 y 26.</w:t>
      </w:r>
    </w:p>
  </w:footnote>
  <w:footnote w:id="33">
    <w:p w14:paraId="0FBB3522" w14:textId="77777777" w:rsidR="00F421C2" w:rsidRDefault="00F421C2" w:rsidP="00F421C2">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842 de 2003, artículos 6, 21 y 26. Ley 1437 de 2011, artículo 28, sustituido por el artículo 1 de la Ley 1755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6B2A"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BA11A5A" w14:textId="77777777" w:rsidR="003332A8" w:rsidRDefault="003332A8">
    <w:pPr>
      <w:pStyle w:val="Encabezado"/>
    </w:pPr>
  </w:p>
  <w:p w14:paraId="7E7CBE57" w14:textId="77777777" w:rsidR="003332A8" w:rsidRPr="004A305D" w:rsidRDefault="003332A8" w:rsidP="00B01B1A">
    <w:pPr>
      <w:spacing w:after="0" w:line="120" w:lineRule="auto"/>
      <w:rPr>
        <w:rFonts w:ascii="Century Gothic" w:eastAsia="Geo" w:hAnsi="Century Gothic" w:cs="Geo"/>
        <w:sz w:val="16"/>
        <w:szCs w:val="16"/>
        <w:lang w:eastAsia="es-CO"/>
      </w:rPr>
    </w:pPr>
  </w:p>
  <w:p w14:paraId="129F1308" w14:textId="77777777" w:rsidR="003332A8" w:rsidRDefault="003332A8" w:rsidP="00844AE9">
    <w:pPr>
      <w:spacing w:after="0" w:line="240" w:lineRule="auto"/>
      <w:rPr>
        <w:rFonts w:ascii="Verdana" w:hAnsi="Verdana"/>
        <w:sz w:val="24"/>
        <w:szCs w:val="24"/>
      </w:rPr>
    </w:pPr>
  </w:p>
  <w:p w14:paraId="7BA9E44F" w14:textId="77777777" w:rsidR="003332A8" w:rsidRPr="00C925AC" w:rsidRDefault="003332A8" w:rsidP="00844AE9">
    <w:pPr>
      <w:spacing w:after="0" w:line="240" w:lineRule="auto"/>
      <w:rPr>
        <w:rFonts w:ascii="Verdana" w:hAnsi="Verdana"/>
        <w:sz w:val="24"/>
        <w:szCs w:val="24"/>
      </w:rPr>
    </w:pPr>
  </w:p>
  <w:p w14:paraId="3FA892B3"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B3A6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5105"/>
    <w:rsid w:val="00127233"/>
    <w:rsid w:val="001328F3"/>
    <w:rsid w:val="00134724"/>
    <w:rsid w:val="001428DC"/>
    <w:rsid w:val="00151D59"/>
    <w:rsid w:val="001521B3"/>
    <w:rsid w:val="0015699B"/>
    <w:rsid w:val="00165609"/>
    <w:rsid w:val="00171640"/>
    <w:rsid w:val="00174D6E"/>
    <w:rsid w:val="00180954"/>
    <w:rsid w:val="00183D9D"/>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5B71"/>
    <w:rsid w:val="00216E4C"/>
    <w:rsid w:val="00217FCA"/>
    <w:rsid w:val="002209DE"/>
    <w:rsid w:val="0022400B"/>
    <w:rsid w:val="0023515D"/>
    <w:rsid w:val="00236632"/>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730F"/>
    <w:rsid w:val="002C7A84"/>
    <w:rsid w:val="002E05EF"/>
    <w:rsid w:val="002E2BF8"/>
    <w:rsid w:val="002E4FD9"/>
    <w:rsid w:val="002F0847"/>
    <w:rsid w:val="002F2B42"/>
    <w:rsid w:val="0030657A"/>
    <w:rsid w:val="00311FF5"/>
    <w:rsid w:val="003136DC"/>
    <w:rsid w:val="003156BF"/>
    <w:rsid w:val="00316053"/>
    <w:rsid w:val="00322A85"/>
    <w:rsid w:val="00322C00"/>
    <w:rsid w:val="00322D77"/>
    <w:rsid w:val="00324168"/>
    <w:rsid w:val="00330834"/>
    <w:rsid w:val="003332A8"/>
    <w:rsid w:val="003448F4"/>
    <w:rsid w:val="003475FC"/>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0961"/>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0E2F"/>
    <w:rsid w:val="005A2CAB"/>
    <w:rsid w:val="005A4AF9"/>
    <w:rsid w:val="005A5114"/>
    <w:rsid w:val="005A52A7"/>
    <w:rsid w:val="005A57A5"/>
    <w:rsid w:val="005A65E0"/>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2E0A"/>
    <w:rsid w:val="00624A89"/>
    <w:rsid w:val="00624EEC"/>
    <w:rsid w:val="006302F7"/>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3801"/>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57043"/>
    <w:rsid w:val="007649AB"/>
    <w:rsid w:val="0076653D"/>
    <w:rsid w:val="00771AEF"/>
    <w:rsid w:val="00771D0C"/>
    <w:rsid w:val="00782ED2"/>
    <w:rsid w:val="007833AC"/>
    <w:rsid w:val="007853FB"/>
    <w:rsid w:val="00792C10"/>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002"/>
    <w:rsid w:val="0085545E"/>
    <w:rsid w:val="00857CF9"/>
    <w:rsid w:val="00867E8A"/>
    <w:rsid w:val="00867F95"/>
    <w:rsid w:val="00871AAC"/>
    <w:rsid w:val="00875356"/>
    <w:rsid w:val="008753FD"/>
    <w:rsid w:val="00876B28"/>
    <w:rsid w:val="008843B6"/>
    <w:rsid w:val="00886410"/>
    <w:rsid w:val="00891928"/>
    <w:rsid w:val="00891A0E"/>
    <w:rsid w:val="008A110C"/>
    <w:rsid w:val="008A2B6F"/>
    <w:rsid w:val="008A3BF4"/>
    <w:rsid w:val="008A446D"/>
    <w:rsid w:val="008B0D0F"/>
    <w:rsid w:val="008B25F1"/>
    <w:rsid w:val="008C11FD"/>
    <w:rsid w:val="008C4DD5"/>
    <w:rsid w:val="008C517A"/>
    <w:rsid w:val="008C6AE5"/>
    <w:rsid w:val="008C7B44"/>
    <w:rsid w:val="008D1660"/>
    <w:rsid w:val="008D180B"/>
    <w:rsid w:val="008D1C25"/>
    <w:rsid w:val="008D475B"/>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475C5"/>
    <w:rsid w:val="009500D5"/>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D7575"/>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2E64"/>
    <w:rsid w:val="00A33C78"/>
    <w:rsid w:val="00A3513E"/>
    <w:rsid w:val="00A42320"/>
    <w:rsid w:val="00A53338"/>
    <w:rsid w:val="00A53EB1"/>
    <w:rsid w:val="00A54DC9"/>
    <w:rsid w:val="00A61436"/>
    <w:rsid w:val="00A73F45"/>
    <w:rsid w:val="00A8776C"/>
    <w:rsid w:val="00AA1511"/>
    <w:rsid w:val="00AA1E47"/>
    <w:rsid w:val="00AB0ADB"/>
    <w:rsid w:val="00AB2719"/>
    <w:rsid w:val="00AB436E"/>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4FD2"/>
    <w:rsid w:val="00BF5C08"/>
    <w:rsid w:val="00BF7425"/>
    <w:rsid w:val="00C04FB3"/>
    <w:rsid w:val="00C11D8B"/>
    <w:rsid w:val="00C1215D"/>
    <w:rsid w:val="00C1350D"/>
    <w:rsid w:val="00C22134"/>
    <w:rsid w:val="00C2359C"/>
    <w:rsid w:val="00C251B0"/>
    <w:rsid w:val="00C330EB"/>
    <w:rsid w:val="00C33F4F"/>
    <w:rsid w:val="00C4112A"/>
    <w:rsid w:val="00C419DF"/>
    <w:rsid w:val="00C45A56"/>
    <w:rsid w:val="00C50D69"/>
    <w:rsid w:val="00C5365C"/>
    <w:rsid w:val="00C618AC"/>
    <w:rsid w:val="00C619D4"/>
    <w:rsid w:val="00C61D93"/>
    <w:rsid w:val="00C738EE"/>
    <w:rsid w:val="00C7520B"/>
    <w:rsid w:val="00C754BE"/>
    <w:rsid w:val="00C76B1C"/>
    <w:rsid w:val="00C82667"/>
    <w:rsid w:val="00C83BA0"/>
    <w:rsid w:val="00C90C96"/>
    <w:rsid w:val="00C925AC"/>
    <w:rsid w:val="00C94828"/>
    <w:rsid w:val="00C963BE"/>
    <w:rsid w:val="00C96B64"/>
    <w:rsid w:val="00CA2858"/>
    <w:rsid w:val="00CB02F1"/>
    <w:rsid w:val="00CB4CE6"/>
    <w:rsid w:val="00CB6357"/>
    <w:rsid w:val="00CB6FF3"/>
    <w:rsid w:val="00CC1B26"/>
    <w:rsid w:val="00CC2F6F"/>
    <w:rsid w:val="00CD47CD"/>
    <w:rsid w:val="00CD4C85"/>
    <w:rsid w:val="00CD4D52"/>
    <w:rsid w:val="00CD7FA1"/>
    <w:rsid w:val="00CE3C1C"/>
    <w:rsid w:val="00CE4026"/>
    <w:rsid w:val="00D05ED6"/>
    <w:rsid w:val="00D06146"/>
    <w:rsid w:val="00D0673A"/>
    <w:rsid w:val="00D0699E"/>
    <w:rsid w:val="00D1210B"/>
    <w:rsid w:val="00D222C0"/>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9379D"/>
    <w:rsid w:val="00DA1F04"/>
    <w:rsid w:val="00DA231B"/>
    <w:rsid w:val="00DB13F4"/>
    <w:rsid w:val="00DB55DA"/>
    <w:rsid w:val="00DB6DDE"/>
    <w:rsid w:val="00DC1EFB"/>
    <w:rsid w:val="00DC39FC"/>
    <w:rsid w:val="00DC7CCB"/>
    <w:rsid w:val="00DD7CCA"/>
    <w:rsid w:val="00DE0870"/>
    <w:rsid w:val="00DE18D0"/>
    <w:rsid w:val="00DE6EC3"/>
    <w:rsid w:val="00DE7692"/>
    <w:rsid w:val="00DF5254"/>
    <w:rsid w:val="00E02524"/>
    <w:rsid w:val="00E05E98"/>
    <w:rsid w:val="00E1159D"/>
    <w:rsid w:val="00E1449C"/>
    <w:rsid w:val="00E1451E"/>
    <w:rsid w:val="00E16408"/>
    <w:rsid w:val="00E17976"/>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478B"/>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124E5"/>
    <w:rsid w:val="00F2171E"/>
    <w:rsid w:val="00F23FEA"/>
    <w:rsid w:val="00F27B7B"/>
    <w:rsid w:val="00F3172F"/>
    <w:rsid w:val="00F31EDC"/>
    <w:rsid w:val="00F34294"/>
    <w:rsid w:val="00F3642F"/>
    <w:rsid w:val="00F421C2"/>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06ED"/>
    <w:rsid w:val="00FC2B5D"/>
    <w:rsid w:val="00FD1DDC"/>
    <w:rsid w:val="00FD2D1F"/>
    <w:rsid w:val="00FD3AD2"/>
    <w:rsid w:val="00FD4AD8"/>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073C2"/>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2.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5988</Words>
  <Characters>32934</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2026-10-20T22:26:00Z</dcterms:created>
  <dcterms:modified xsi:type="dcterms:W3CDTF">2026-10-23T15:07:00Z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