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594EB0" w14:textId="77777777" w:rsidR="0096161C" w:rsidRPr="000A6B2B" w:rsidRDefault="0096161C" w:rsidP="0096161C">
      <w:pPr>
        <w:spacing w:after="0" w:line="240" w:lineRule="auto"/>
        <w:rPr>
          <w:rFonts w:ascii="Verdana" w:eastAsia="Calibri" w:hAnsi="Verdana" w:cs="Arial"/>
          <w:b/>
          <w:bCs/>
          <w:lang w:val="es-ES_tradnl"/>
        </w:rPr>
      </w:pPr>
      <w:bookmarkStart w:id="0" w:name="_Hlk143780582"/>
      <w:r w:rsidRPr="000A6B2B">
        <w:rPr>
          <w:rFonts w:ascii="Verdana" w:eastAsia="Calibri" w:hAnsi="Verdana" w:cs="Arial"/>
          <w:b/>
          <w:bCs/>
          <w:lang w:val="es-ES_tradnl"/>
        </w:rPr>
        <w:t>DOCUMENTOS TIPO – Fundamento normativo – Obligatoriedad</w:t>
      </w:r>
    </w:p>
    <w:p w14:paraId="592C7699" w14:textId="77777777" w:rsidR="0096161C" w:rsidRPr="000A6B2B" w:rsidRDefault="0096161C" w:rsidP="0096161C">
      <w:pPr>
        <w:spacing w:after="0" w:line="240" w:lineRule="auto"/>
        <w:jc w:val="both"/>
        <w:rPr>
          <w:rFonts w:ascii="Verdana" w:eastAsia="Calibri" w:hAnsi="Verdana" w:cs="Arial"/>
          <w:b/>
          <w:bCs/>
          <w:sz w:val="20"/>
          <w:szCs w:val="20"/>
          <w:lang w:val="es-ES_tradnl"/>
        </w:rPr>
      </w:pPr>
    </w:p>
    <w:p w14:paraId="19CEC26C" w14:textId="77777777" w:rsidR="0096161C" w:rsidRPr="000A6B2B" w:rsidRDefault="0096161C" w:rsidP="0096161C">
      <w:pPr>
        <w:tabs>
          <w:tab w:val="left" w:pos="709"/>
        </w:tabs>
        <w:spacing w:after="0" w:line="240" w:lineRule="auto"/>
        <w:jc w:val="both"/>
        <w:rPr>
          <w:rFonts w:ascii="Verdana" w:eastAsia="Calibri" w:hAnsi="Verdana" w:cs="Arial"/>
          <w:sz w:val="20"/>
          <w:szCs w:val="20"/>
          <w:lang w:val="es-ES"/>
        </w:rPr>
      </w:pPr>
      <w:r w:rsidRPr="000A6B2B">
        <w:rPr>
          <w:rFonts w:ascii="Verdana" w:eastAsia="Calibri" w:hAnsi="Verdana" w:cs="Arial"/>
          <w:sz w:val="20"/>
          <w:szCs w:val="20"/>
          <w:lang w:val="es-ES"/>
        </w:rPr>
        <w:t>El artículo 1 de la Ley 2022 de 2020 “Por la cual modifica el artículo 4 de la Ley 1882 de 2018 y se dictan otras disposiciones” otorga a la Agencia Nacional de Contratación Pública – Colombia Compra Eficiente la competencia para adoptar los documentos tipo que serán de obligatorio cumplimiento en la actividad contractual de todas las entidades sometidas al Estatuto General de la Administración Pública.</w:t>
      </w:r>
    </w:p>
    <w:p w14:paraId="2C055FDC" w14:textId="77777777" w:rsidR="0096161C" w:rsidRPr="000A6B2B" w:rsidRDefault="0096161C" w:rsidP="0096161C">
      <w:pPr>
        <w:spacing w:after="0" w:line="240" w:lineRule="auto"/>
        <w:jc w:val="both"/>
        <w:rPr>
          <w:rFonts w:ascii="Verdana" w:eastAsia="Calibri" w:hAnsi="Verdana" w:cs="Arial"/>
          <w:b/>
          <w:bCs/>
          <w:lang w:val="es-ES_tradnl"/>
        </w:rPr>
      </w:pPr>
    </w:p>
    <w:p w14:paraId="653B3E5B" w14:textId="77777777" w:rsidR="0096161C" w:rsidRPr="000A6B2B" w:rsidRDefault="0096161C" w:rsidP="0096161C">
      <w:pPr>
        <w:widowControl w:val="0"/>
        <w:autoSpaceDE w:val="0"/>
        <w:autoSpaceDN w:val="0"/>
        <w:spacing w:after="0" w:line="240" w:lineRule="auto"/>
        <w:jc w:val="both"/>
        <w:rPr>
          <w:rFonts w:ascii="Verdana" w:eastAsia="Calibri" w:hAnsi="Verdana" w:cs="Times New Roman"/>
          <w:b/>
          <w:bCs/>
          <w:lang w:val="es-ES"/>
        </w:rPr>
      </w:pPr>
      <w:r w:rsidRPr="000A6B2B">
        <w:rPr>
          <w:rFonts w:ascii="Verdana" w:eastAsia="Calibri" w:hAnsi="Verdana" w:cs="Arial"/>
          <w:b/>
          <w:bCs/>
          <w:lang w:val="es-ES_tradnl"/>
        </w:rPr>
        <w:t>SECTOR SOCIAL</w:t>
      </w:r>
      <w:r w:rsidRPr="000A6B2B">
        <w:rPr>
          <w:rFonts w:ascii="Verdana" w:eastAsia="Calibri" w:hAnsi="Verdana" w:cs="Times New Roman"/>
          <w:lang w:val="es-ES"/>
        </w:rPr>
        <w:t xml:space="preserve"> </w:t>
      </w:r>
      <w:r w:rsidRPr="000A6B2B">
        <w:rPr>
          <w:rFonts w:ascii="Verdana" w:eastAsia="Calibri" w:hAnsi="Verdana" w:cs="Times New Roman"/>
          <w:b/>
          <w:bCs/>
          <w:lang w:val="es-ES"/>
        </w:rPr>
        <w:t>– Documentos tipo – Vigentes</w:t>
      </w:r>
    </w:p>
    <w:p w14:paraId="2CD4152E" w14:textId="77777777" w:rsidR="0096161C" w:rsidRPr="000A6B2B" w:rsidRDefault="0096161C" w:rsidP="0096161C">
      <w:pPr>
        <w:widowControl w:val="0"/>
        <w:autoSpaceDE w:val="0"/>
        <w:autoSpaceDN w:val="0"/>
        <w:spacing w:after="0" w:line="240" w:lineRule="auto"/>
        <w:jc w:val="both"/>
        <w:rPr>
          <w:rFonts w:ascii="Verdana" w:eastAsia="Calibri" w:hAnsi="Verdana" w:cs="Times New Roman"/>
          <w:b/>
          <w:bCs/>
          <w:lang w:val="es-ES"/>
        </w:rPr>
      </w:pPr>
    </w:p>
    <w:p w14:paraId="5F3D63AB" w14:textId="77777777" w:rsidR="0096161C" w:rsidRPr="000A6B2B" w:rsidRDefault="0096161C" w:rsidP="0096161C">
      <w:pPr>
        <w:widowControl w:val="0"/>
        <w:autoSpaceDE w:val="0"/>
        <w:autoSpaceDN w:val="0"/>
        <w:spacing w:after="0" w:line="240" w:lineRule="auto"/>
        <w:jc w:val="both"/>
        <w:rPr>
          <w:rFonts w:ascii="Verdana" w:eastAsia="Calibri" w:hAnsi="Verdana" w:cs="Times New Roman"/>
          <w:b/>
          <w:bCs/>
          <w:sz w:val="20"/>
          <w:szCs w:val="20"/>
          <w:lang w:val="es-ES"/>
        </w:rPr>
      </w:pPr>
      <w:r w:rsidRPr="000A6B2B">
        <w:rPr>
          <w:rFonts w:ascii="Verdana" w:eastAsia="Aptos" w:hAnsi="Verdana" w:cs="Times New Roman"/>
          <w:kern w:val="2"/>
          <w:sz w:val="20"/>
          <w:szCs w:val="20"/>
          <w14:ligatures w14:val="standardContextual"/>
        </w:rPr>
        <w:t xml:space="preserve">Las Resoluciones 539, 540 y 541 del 21 de agosto de 2025, así como las Resoluciones 952 y 953 del 15 de diciembre de 2025, adoptadas en el sector de infraestructura social, aplican de forma transversal a las modalidades de selección indicadas y a los proyectos de infraestructura, interventoría y consultoría enmarcados dentro de los sectores educativo, de salud, cultura, recreación y deporte, institucional y vivienda, en los procesos de selección cuyo aviso de convocatoria se publique a partir del 16 de febrero de 2026. </w:t>
      </w:r>
    </w:p>
    <w:p w14:paraId="51258EC8" w14:textId="77777777" w:rsidR="0096161C" w:rsidRPr="000A6B2B" w:rsidRDefault="0096161C" w:rsidP="0096161C">
      <w:pPr>
        <w:widowControl w:val="0"/>
        <w:autoSpaceDE w:val="0"/>
        <w:autoSpaceDN w:val="0"/>
        <w:spacing w:after="0" w:line="240" w:lineRule="auto"/>
        <w:jc w:val="both"/>
        <w:rPr>
          <w:rFonts w:ascii="Verdana" w:eastAsia="Calibri" w:hAnsi="Verdana" w:cs="Times New Roman"/>
          <w:lang w:val="es-ES"/>
        </w:rPr>
      </w:pPr>
    </w:p>
    <w:p w14:paraId="28E36B92" w14:textId="77777777" w:rsidR="0096161C" w:rsidRPr="000A6B2B" w:rsidRDefault="0096161C" w:rsidP="0096161C">
      <w:pPr>
        <w:spacing w:after="0" w:line="240" w:lineRule="auto"/>
        <w:jc w:val="both"/>
        <w:rPr>
          <w:rFonts w:ascii="Verdana" w:eastAsia="Calibri" w:hAnsi="Verdana" w:cs="Times New Roman"/>
          <w:sz w:val="20"/>
          <w:szCs w:val="20"/>
          <w:lang w:val="es-ES"/>
        </w:rPr>
      </w:pPr>
      <w:r w:rsidRPr="000A6B2B">
        <w:rPr>
          <w:rFonts w:ascii="Verdana" w:eastAsia="Calibri" w:hAnsi="Verdana" w:cs="Times New Roman"/>
          <w:b/>
          <w:bCs/>
          <w:lang w:val="es-ES"/>
        </w:rPr>
        <w:t xml:space="preserve">DOCUMENTOS TIPO – Aplicación – Matriz de Experiencia </w:t>
      </w:r>
      <w:r>
        <w:rPr>
          <w:rFonts w:ascii="Verdana" w:eastAsia="Calibri" w:hAnsi="Verdana" w:cs="Times New Roman"/>
          <w:b/>
          <w:bCs/>
          <w:lang w:val="es-ES"/>
        </w:rPr>
        <w:t>– Objeto contractual</w:t>
      </w:r>
    </w:p>
    <w:p w14:paraId="37A27C82" w14:textId="77777777" w:rsidR="0096161C" w:rsidRPr="000A6B2B" w:rsidRDefault="0096161C" w:rsidP="0096161C">
      <w:pPr>
        <w:spacing w:after="0" w:line="240" w:lineRule="auto"/>
        <w:rPr>
          <w:rFonts w:ascii="Verdana" w:eastAsia="Geomanist Light" w:hAnsi="Verdana" w:cs="Arial"/>
          <w:lang w:val="es-MX"/>
        </w:rPr>
      </w:pPr>
    </w:p>
    <w:p w14:paraId="6F8F511A" w14:textId="77777777" w:rsidR="0096161C" w:rsidRPr="000A6B2B" w:rsidRDefault="0096161C" w:rsidP="0096161C">
      <w:pPr>
        <w:widowControl w:val="0"/>
        <w:autoSpaceDE w:val="0"/>
        <w:autoSpaceDN w:val="0"/>
        <w:spacing w:after="0" w:line="240" w:lineRule="auto"/>
        <w:jc w:val="both"/>
        <w:rPr>
          <w:rFonts w:ascii="Verdana" w:eastAsia="Calibri" w:hAnsi="Verdana" w:cs="Times New Roman"/>
          <w:sz w:val="20"/>
          <w:szCs w:val="20"/>
          <w:lang w:val="es-ES"/>
        </w:rPr>
      </w:pPr>
      <w:r w:rsidRPr="000A6B2B">
        <w:rPr>
          <w:rFonts w:ascii="Verdana" w:eastAsia="Calibri" w:hAnsi="Verdana" w:cs="Times New Roman"/>
          <w:sz w:val="20"/>
          <w:szCs w:val="20"/>
          <w:lang w:val="es-ES"/>
        </w:rPr>
        <w:t>Para establecer si determinado objeto contractual se encuentra cobijado o no por los documentos tipo, es necesario determinar si el mismo se enmarca en los tipos de infraestructura, modalidades de selección y tipos de obra estandarizadas en las respectivas matrices de experiencia. De esta manera, solo resulta obligatoria la aplicación de un documento tipo en particular cuando se ha establecido que el objeto contractual y la modalidad en la que debe contratarse están dentro del ámbito de aplicación de las resoluciones expedidas por esta Agencia mediante las cuales se adoptan documentos tipo.</w:t>
      </w:r>
    </w:p>
    <w:p w14:paraId="68275664" w14:textId="77777777" w:rsidR="0096161C" w:rsidRPr="000A6B2B" w:rsidRDefault="0096161C" w:rsidP="0096161C">
      <w:pPr>
        <w:widowControl w:val="0"/>
        <w:autoSpaceDE w:val="0"/>
        <w:autoSpaceDN w:val="0"/>
        <w:spacing w:after="0" w:line="240" w:lineRule="auto"/>
        <w:jc w:val="both"/>
        <w:rPr>
          <w:rFonts w:ascii="Verdana" w:eastAsia="Calibri" w:hAnsi="Verdana" w:cs="Times New Roman"/>
          <w:sz w:val="20"/>
          <w:szCs w:val="20"/>
          <w:lang w:val="es-ES"/>
        </w:rPr>
      </w:pPr>
    </w:p>
    <w:p w14:paraId="482A3596" w14:textId="77777777" w:rsidR="0096161C" w:rsidRPr="000A6B2B" w:rsidRDefault="0096161C" w:rsidP="0096161C">
      <w:pPr>
        <w:widowControl w:val="0"/>
        <w:autoSpaceDE w:val="0"/>
        <w:autoSpaceDN w:val="0"/>
        <w:spacing w:after="0" w:line="240" w:lineRule="auto"/>
        <w:jc w:val="both"/>
        <w:rPr>
          <w:rFonts w:ascii="Verdana" w:eastAsia="Calibri" w:hAnsi="Verdana" w:cs="Times New Roman"/>
          <w:sz w:val="20"/>
          <w:szCs w:val="20"/>
          <w:lang w:val="es-ES"/>
        </w:rPr>
      </w:pPr>
      <w:r w:rsidRPr="000A6B2B">
        <w:rPr>
          <w:rFonts w:ascii="Verdana" w:eastAsia="Calibri" w:hAnsi="Verdana" w:cs="Times New Roman"/>
          <w:sz w:val="20"/>
          <w:szCs w:val="20"/>
          <w:lang w:val="es-ES"/>
        </w:rPr>
        <w:t>Uno de los elementos comunes a los diferentes documentos tipo es la “Matriz – Experiencia”. Esta consta de unas celdas en las que se describe la experiencia requerida en relación con el objeto a contratar, definiendo además qué tipo de actividades relacionadas con cada sector deben acogerse a los pliegos tipo. Por otro lado, encontramos el “Anexo – Glosario”, el cual contiene las definiciones de los términos usados en los documentos del proceso. Utilizando estos dos documentos, la entidad estatal puede definir si el objeto a contratarse debe emplear los documentos tipo adoptados por esta Agencia.</w:t>
      </w:r>
    </w:p>
    <w:p w14:paraId="16568D9E" w14:textId="77777777" w:rsidR="0096161C" w:rsidRDefault="0096161C" w:rsidP="0096161C">
      <w:pPr>
        <w:spacing w:after="0"/>
        <w:rPr>
          <w:rFonts w:ascii="Verdana" w:hAnsi="Verdana"/>
          <w:color w:val="000000" w:themeColor="text1"/>
        </w:rPr>
      </w:pPr>
    </w:p>
    <w:p w14:paraId="11839CE0" w14:textId="77777777" w:rsidR="0096161C" w:rsidRDefault="0096161C" w:rsidP="0096161C">
      <w:pPr>
        <w:spacing w:after="0"/>
        <w:rPr>
          <w:rFonts w:ascii="Verdana" w:hAnsi="Verdana"/>
          <w:color w:val="000000" w:themeColor="text1"/>
        </w:rPr>
      </w:pPr>
      <w:r>
        <w:rPr>
          <w:rFonts w:ascii="Verdana" w:hAnsi="Verdana"/>
          <w:color w:val="000000" w:themeColor="text1"/>
        </w:rPr>
        <w:t>(…)</w:t>
      </w:r>
    </w:p>
    <w:p w14:paraId="0125F2E1" w14:textId="77777777" w:rsidR="0096161C" w:rsidRPr="004C06A9" w:rsidRDefault="0096161C" w:rsidP="0096161C">
      <w:pPr>
        <w:spacing w:after="0"/>
        <w:rPr>
          <w:rFonts w:ascii="Verdana" w:hAnsi="Verdana"/>
          <w:color w:val="000000" w:themeColor="text1"/>
          <w:sz w:val="20"/>
          <w:szCs w:val="20"/>
        </w:rPr>
      </w:pPr>
    </w:p>
    <w:p w14:paraId="27E34961" w14:textId="77777777" w:rsidR="0096161C" w:rsidRPr="004C06A9" w:rsidRDefault="0096161C" w:rsidP="0096161C">
      <w:pPr>
        <w:widowControl w:val="0"/>
        <w:autoSpaceDE w:val="0"/>
        <w:autoSpaceDN w:val="0"/>
        <w:spacing w:after="0" w:line="276" w:lineRule="auto"/>
        <w:jc w:val="both"/>
        <w:rPr>
          <w:rFonts w:ascii="Verdana" w:eastAsia="Calibri" w:hAnsi="Verdana" w:cs="Times New Roman"/>
          <w:kern w:val="2"/>
          <w:sz w:val="20"/>
          <w:szCs w:val="20"/>
          <w:lang w:val="es-ES"/>
          <w14:ligatures w14:val="standardContextual"/>
        </w:rPr>
      </w:pPr>
      <w:r w:rsidRPr="004C06A9">
        <w:rPr>
          <w:rFonts w:ascii="Verdana" w:eastAsia="Calibri" w:hAnsi="Verdana" w:cs="Times New Roman"/>
          <w:kern w:val="2"/>
          <w:sz w:val="20"/>
          <w:szCs w:val="20"/>
          <w:lang w:val="es-ES"/>
          <w14:ligatures w14:val="standardContextual"/>
        </w:rPr>
        <w:t xml:space="preserve">De esta manera, para saber a qué actividades deben aplicarse los documentos tipo de infraestructura social expedidos por esta Agencia, la entidad debe verificar que estos apliquen para la modalidad de selección en la que debe celebrarse el proceso, </w:t>
      </w:r>
      <w:r w:rsidRPr="004C06A9">
        <w:rPr>
          <w:rFonts w:ascii="Verdana" w:eastAsia="Calibri" w:hAnsi="Verdana" w:cs="Times New Roman"/>
          <w:kern w:val="2"/>
          <w:sz w:val="20"/>
          <w:szCs w:val="20"/>
          <w:lang w:val="es-ES"/>
          <w14:ligatures w14:val="standardContextual"/>
        </w:rPr>
        <w:lastRenderedPageBreak/>
        <w:t>subsumiendo el objeto a contratar en los tipos de proyectos de infraestructura a contratarse. Por tanto, si el objeto contractual a ejecutar se encuadra materialmente dentro de alguno de los tipos actividades concretas señaladas en cada una de las matrices de experiencia, se tendrán que aplicar estos documentos tipo para los mencionados sectores −según corresponda−, mientras que en el caso contrario no será forzosa su aplicación.</w:t>
      </w:r>
    </w:p>
    <w:p w14:paraId="5582C516" w14:textId="77777777" w:rsidR="0096161C" w:rsidRPr="004C06A9" w:rsidRDefault="0096161C" w:rsidP="0096161C">
      <w:pPr>
        <w:spacing w:after="0"/>
        <w:rPr>
          <w:rFonts w:ascii="Verdana" w:hAnsi="Verdana"/>
          <w:color w:val="000000" w:themeColor="text1"/>
          <w:sz w:val="20"/>
          <w:szCs w:val="20"/>
          <w:lang w:val="es-ES"/>
        </w:rPr>
      </w:pPr>
    </w:p>
    <w:p w14:paraId="14CFC0D6" w14:textId="77777777" w:rsidR="0096161C" w:rsidRPr="004C06A9" w:rsidRDefault="0096161C" w:rsidP="0096161C">
      <w:pPr>
        <w:spacing w:after="0"/>
        <w:rPr>
          <w:rFonts w:ascii="Verdana" w:hAnsi="Verdana"/>
          <w:color w:val="000000" w:themeColor="text1"/>
          <w:sz w:val="20"/>
          <w:szCs w:val="20"/>
        </w:rPr>
      </w:pPr>
    </w:p>
    <w:p w14:paraId="012599D4" w14:textId="77777777" w:rsidR="0096161C" w:rsidRPr="004C06A9" w:rsidRDefault="0096161C" w:rsidP="0096161C">
      <w:pPr>
        <w:spacing w:after="0"/>
        <w:rPr>
          <w:rFonts w:ascii="Verdana" w:hAnsi="Verdana"/>
          <w:color w:val="000000" w:themeColor="text1"/>
          <w:sz w:val="20"/>
          <w:szCs w:val="20"/>
        </w:rPr>
      </w:pPr>
    </w:p>
    <w:p w14:paraId="1A8B0374" w14:textId="77777777" w:rsidR="0096161C" w:rsidRPr="004C06A9" w:rsidRDefault="0096161C" w:rsidP="0096161C">
      <w:pPr>
        <w:spacing w:after="0"/>
        <w:rPr>
          <w:rFonts w:ascii="Verdana" w:hAnsi="Verdana"/>
          <w:color w:val="000000" w:themeColor="text1"/>
          <w:sz w:val="20"/>
          <w:szCs w:val="20"/>
        </w:rPr>
      </w:pPr>
    </w:p>
    <w:p w14:paraId="62103DC6" w14:textId="77777777" w:rsidR="0096161C" w:rsidRPr="004C06A9" w:rsidRDefault="0096161C" w:rsidP="0096161C">
      <w:pPr>
        <w:spacing w:after="0"/>
        <w:rPr>
          <w:rFonts w:ascii="Verdana" w:hAnsi="Verdana"/>
          <w:color w:val="000000" w:themeColor="text1"/>
          <w:sz w:val="20"/>
          <w:szCs w:val="20"/>
        </w:rPr>
      </w:pPr>
    </w:p>
    <w:p w14:paraId="241EC8F5" w14:textId="77777777" w:rsidR="0096161C" w:rsidRDefault="0096161C" w:rsidP="0096161C">
      <w:pPr>
        <w:spacing w:after="0"/>
        <w:rPr>
          <w:rFonts w:ascii="Verdana" w:hAnsi="Verdana"/>
          <w:color w:val="000000" w:themeColor="text1"/>
        </w:rPr>
      </w:pPr>
    </w:p>
    <w:p w14:paraId="4C103013" w14:textId="77777777" w:rsidR="0096161C" w:rsidRDefault="0096161C" w:rsidP="0096161C">
      <w:pPr>
        <w:spacing w:after="0"/>
        <w:rPr>
          <w:rFonts w:ascii="Verdana" w:hAnsi="Verdana"/>
          <w:color w:val="000000" w:themeColor="text1"/>
        </w:rPr>
      </w:pPr>
    </w:p>
    <w:p w14:paraId="24113746" w14:textId="77777777" w:rsidR="0096161C" w:rsidRDefault="0096161C" w:rsidP="0096161C">
      <w:pPr>
        <w:spacing w:after="0"/>
        <w:rPr>
          <w:rFonts w:ascii="Verdana" w:hAnsi="Verdana"/>
          <w:color w:val="000000" w:themeColor="text1"/>
        </w:rPr>
      </w:pPr>
    </w:p>
    <w:p w14:paraId="43824143" w14:textId="77777777" w:rsidR="0096161C" w:rsidRDefault="0096161C" w:rsidP="0096161C">
      <w:pPr>
        <w:spacing w:after="0"/>
        <w:rPr>
          <w:rFonts w:ascii="Verdana" w:hAnsi="Verdana"/>
          <w:color w:val="000000" w:themeColor="text1"/>
        </w:rPr>
      </w:pPr>
    </w:p>
    <w:p w14:paraId="770E7018" w14:textId="77777777" w:rsidR="0096161C" w:rsidRDefault="0096161C" w:rsidP="0096161C">
      <w:pPr>
        <w:spacing w:after="0"/>
        <w:rPr>
          <w:rFonts w:ascii="Verdana" w:hAnsi="Verdana"/>
          <w:color w:val="000000" w:themeColor="text1"/>
        </w:rPr>
      </w:pPr>
    </w:p>
    <w:p w14:paraId="7FEF30DE" w14:textId="77777777" w:rsidR="0096161C" w:rsidRDefault="0096161C" w:rsidP="0096161C">
      <w:pPr>
        <w:spacing w:after="0"/>
        <w:rPr>
          <w:rFonts w:ascii="Verdana" w:hAnsi="Verdana"/>
          <w:color w:val="000000" w:themeColor="text1"/>
        </w:rPr>
      </w:pPr>
    </w:p>
    <w:p w14:paraId="1632A0EC" w14:textId="77777777" w:rsidR="0096161C" w:rsidRDefault="0096161C" w:rsidP="0096161C">
      <w:pPr>
        <w:spacing w:after="0"/>
        <w:rPr>
          <w:rFonts w:ascii="Verdana" w:hAnsi="Verdana"/>
          <w:color w:val="000000" w:themeColor="text1"/>
        </w:rPr>
      </w:pPr>
    </w:p>
    <w:p w14:paraId="2F544358" w14:textId="77777777" w:rsidR="0096161C" w:rsidRDefault="0096161C" w:rsidP="0096161C">
      <w:pPr>
        <w:spacing w:after="0"/>
        <w:rPr>
          <w:rFonts w:ascii="Verdana" w:hAnsi="Verdana"/>
          <w:color w:val="000000" w:themeColor="text1"/>
        </w:rPr>
      </w:pPr>
    </w:p>
    <w:p w14:paraId="4EA856FE" w14:textId="77777777" w:rsidR="0096161C" w:rsidRDefault="0096161C" w:rsidP="0096161C">
      <w:pPr>
        <w:spacing w:after="0"/>
        <w:rPr>
          <w:rFonts w:ascii="Verdana" w:hAnsi="Verdana"/>
          <w:color w:val="000000" w:themeColor="text1"/>
        </w:rPr>
      </w:pPr>
    </w:p>
    <w:p w14:paraId="2B1E27D0" w14:textId="77777777" w:rsidR="0096161C" w:rsidRDefault="0096161C" w:rsidP="0096161C">
      <w:pPr>
        <w:spacing w:after="0"/>
        <w:rPr>
          <w:rFonts w:ascii="Verdana" w:hAnsi="Verdana"/>
          <w:color w:val="000000" w:themeColor="text1"/>
        </w:rPr>
      </w:pPr>
    </w:p>
    <w:p w14:paraId="3EEA32BA" w14:textId="77777777" w:rsidR="0096161C" w:rsidRDefault="0096161C" w:rsidP="0096161C">
      <w:pPr>
        <w:spacing w:after="0"/>
        <w:rPr>
          <w:rFonts w:ascii="Verdana" w:hAnsi="Verdana"/>
          <w:color w:val="000000" w:themeColor="text1"/>
        </w:rPr>
      </w:pPr>
    </w:p>
    <w:p w14:paraId="39A8CD15" w14:textId="77777777" w:rsidR="0096161C" w:rsidRDefault="0096161C" w:rsidP="0096161C">
      <w:pPr>
        <w:spacing w:after="0"/>
        <w:rPr>
          <w:rFonts w:ascii="Verdana" w:hAnsi="Verdana"/>
          <w:color w:val="000000" w:themeColor="text1"/>
        </w:rPr>
      </w:pPr>
    </w:p>
    <w:p w14:paraId="1BD06B5C" w14:textId="77777777" w:rsidR="0096161C" w:rsidRDefault="0096161C" w:rsidP="0096161C">
      <w:pPr>
        <w:spacing w:after="0"/>
        <w:rPr>
          <w:rFonts w:ascii="Verdana" w:hAnsi="Verdana"/>
          <w:color w:val="000000" w:themeColor="text1"/>
        </w:rPr>
      </w:pPr>
    </w:p>
    <w:p w14:paraId="25B35BE6" w14:textId="77777777" w:rsidR="0096161C" w:rsidRDefault="0096161C" w:rsidP="0096161C">
      <w:pPr>
        <w:spacing w:after="0"/>
        <w:rPr>
          <w:rFonts w:ascii="Verdana" w:hAnsi="Verdana"/>
          <w:color w:val="000000" w:themeColor="text1"/>
        </w:rPr>
      </w:pPr>
    </w:p>
    <w:p w14:paraId="6CD95839" w14:textId="77777777" w:rsidR="0096161C" w:rsidRDefault="0096161C" w:rsidP="0096161C">
      <w:pPr>
        <w:spacing w:after="0"/>
        <w:rPr>
          <w:rFonts w:ascii="Verdana" w:hAnsi="Verdana"/>
          <w:color w:val="000000" w:themeColor="text1"/>
        </w:rPr>
      </w:pPr>
    </w:p>
    <w:p w14:paraId="691A8275" w14:textId="77777777" w:rsidR="0096161C" w:rsidRDefault="0096161C" w:rsidP="0096161C">
      <w:pPr>
        <w:spacing w:after="0"/>
        <w:rPr>
          <w:rFonts w:ascii="Verdana" w:hAnsi="Verdana"/>
          <w:color w:val="000000" w:themeColor="text1"/>
        </w:rPr>
      </w:pPr>
    </w:p>
    <w:p w14:paraId="390BB72B" w14:textId="77777777" w:rsidR="0096161C" w:rsidRDefault="0096161C" w:rsidP="0096161C">
      <w:pPr>
        <w:spacing w:after="0"/>
        <w:rPr>
          <w:rFonts w:ascii="Verdana" w:hAnsi="Verdana"/>
          <w:color w:val="000000" w:themeColor="text1"/>
        </w:rPr>
      </w:pPr>
    </w:p>
    <w:p w14:paraId="117EBF58" w14:textId="77777777" w:rsidR="0096161C" w:rsidRDefault="0096161C" w:rsidP="0096161C">
      <w:pPr>
        <w:spacing w:after="0"/>
        <w:rPr>
          <w:rFonts w:ascii="Verdana" w:hAnsi="Verdana"/>
          <w:color w:val="000000" w:themeColor="text1"/>
        </w:rPr>
      </w:pPr>
    </w:p>
    <w:p w14:paraId="467F5AD3" w14:textId="77777777" w:rsidR="0096161C" w:rsidRDefault="0096161C" w:rsidP="0096161C">
      <w:pPr>
        <w:spacing w:after="0"/>
        <w:rPr>
          <w:rFonts w:ascii="Verdana" w:hAnsi="Verdana"/>
          <w:color w:val="000000" w:themeColor="text1"/>
        </w:rPr>
      </w:pPr>
    </w:p>
    <w:p w14:paraId="1ECC31E9" w14:textId="77777777" w:rsidR="0096161C" w:rsidRDefault="0096161C" w:rsidP="0096161C">
      <w:pPr>
        <w:spacing w:after="0"/>
        <w:rPr>
          <w:rFonts w:ascii="Verdana" w:hAnsi="Verdana"/>
          <w:color w:val="000000" w:themeColor="text1"/>
        </w:rPr>
      </w:pPr>
    </w:p>
    <w:p w14:paraId="1AA388A5" w14:textId="77777777" w:rsidR="0096161C" w:rsidRDefault="0096161C" w:rsidP="0096161C">
      <w:pPr>
        <w:spacing w:after="0"/>
        <w:rPr>
          <w:rFonts w:ascii="Verdana" w:hAnsi="Verdana"/>
          <w:color w:val="000000" w:themeColor="text1"/>
        </w:rPr>
      </w:pPr>
    </w:p>
    <w:p w14:paraId="0EBDE2FC" w14:textId="77777777" w:rsidR="0096161C" w:rsidRDefault="0096161C" w:rsidP="0096161C">
      <w:pPr>
        <w:spacing w:after="0"/>
        <w:rPr>
          <w:rFonts w:ascii="Verdana" w:hAnsi="Verdana"/>
          <w:color w:val="000000" w:themeColor="text1"/>
        </w:rPr>
      </w:pPr>
    </w:p>
    <w:p w14:paraId="25B98423" w14:textId="77777777" w:rsidR="0096161C" w:rsidRDefault="0096161C" w:rsidP="0096161C">
      <w:pPr>
        <w:spacing w:after="0"/>
        <w:rPr>
          <w:rFonts w:ascii="Verdana" w:hAnsi="Verdana"/>
          <w:color w:val="000000" w:themeColor="text1"/>
        </w:rPr>
      </w:pPr>
    </w:p>
    <w:p w14:paraId="590EFB18" w14:textId="77777777" w:rsidR="0096161C" w:rsidRDefault="0096161C" w:rsidP="0096161C">
      <w:pPr>
        <w:spacing w:after="0"/>
        <w:rPr>
          <w:rFonts w:ascii="Verdana" w:hAnsi="Verdana"/>
          <w:color w:val="000000" w:themeColor="text1"/>
        </w:rPr>
      </w:pPr>
    </w:p>
    <w:p w14:paraId="2EC3B364" w14:textId="77777777" w:rsidR="0096161C" w:rsidRDefault="0096161C" w:rsidP="0096161C">
      <w:pPr>
        <w:spacing w:after="0"/>
        <w:rPr>
          <w:rFonts w:ascii="Verdana" w:hAnsi="Verdana"/>
          <w:color w:val="000000" w:themeColor="text1"/>
        </w:rPr>
      </w:pPr>
    </w:p>
    <w:p w14:paraId="24C5DDD8" w14:textId="77777777" w:rsidR="0096161C" w:rsidRDefault="0096161C" w:rsidP="0096161C">
      <w:pPr>
        <w:spacing w:after="0"/>
        <w:rPr>
          <w:rFonts w:ascii="Verdana" w:hAnsi="Verdana"/>
          <w:color w:val="000000" w:themeColor="text1"/>
        </w:rPr>
      </w:pPr>
    </w:p>
    <w:p w14:paraId="55DC6B21" w14:textId="77777777" w:rsidR="0096161C" w:rsidRDefault="0096161C" w:rsidP="0096161C">
      <w:pPr>
        <w:spacing w:after="0"/>
        <w:rPr>
          <w:rFonts w:ascii="Verdana" w:hAnsi="Verdana"/>
          <w:color w:val="000000" w:themeColor="text1"/>
        </w:rPr>
      </w:pPr>
    </w:p>
    <w:p w14:paraId="0406ABA8" w14:textId="77777777" w:rsidR="0096161C" w:rsidRDefault="0096161C" w:rsidP="0096161C">
      <w:pPr>
        <w:spacing w:after="0"/>
        <w:rPr>
          <w:rFonts w:ascii="Verdana" w:hAnsi="Verdana"/>
          <w:color w:val="000000" w:themeColor="text1"/>
        </w:rPr>
      </w:pPr>
    </w:p>
    <w:p w14:paraId="0EF3F745" w14:textId="01A8689F" w:rsidR="0096161C" w:rsidRDefault="0096161C" w:rsidP="0096161C">
      <w:pPr>
        <w:spacing w:after="0"/>
        <w:rPr>
          <w:rFonts w:ascii="Verdana" w:hAnsi="Verdana"/>
          <w:color w:val="000000" w:themeColor="text1"/>
        </w:rPr>
      </w:pPr>
    </w:p>
    <w:p w14:paraId="00C7A3FA" w14:textId="5A7CCFEF" w:rsidR="0096161C" w:rsidRDefault="00FD6F6E" w:rsidP="0096161C">
      <w:pPr>
        <w:spacing w:after="0"/>
        <w:rPr>
          <w:rFonts w:ascii="Verdana" w:hAnsi="Verdana"/>
          <w:color w:val="000000" w:themeColor="text1"/>
        </w:rPr>
      </w:pPr>
      <w:r w:rsidRPr="00FD6F6E">
        <w:rPr>
          <w:rFonts w:ascii="Verdana" w:hAnsi="Verdana"/>
        </w:rPr>
        <w:drawing>
          <wp:anchor distT="0" distB="0" distL="114300" distR="114300" simplePos="0" relativeHeight="251658240" behindDoc="0" locked="0" layoutInCell="1" allowOverlap="1" wp14:anchorId="5D037717" wp14:editId="3A9BC7D1">
            <wp:simplePos x="0" y="0"/>
            <wp:positionH relativeFrom="margin">
              <wp:posOffset>2995930</wp:posOffset>
            </wp:positionH>
            <wp:positionV relativeFrom="margin">
              <wp:posOffset>365125</wp:posOffset>
            </wp:positionV>
            <wp:extent cx="2905125" cy="887095"/>
            <wp:effectExtent l="0" t="0" r="9525" b="8255"/>
            <wp:wrapSquare wrapText="bothSides"/>
            <wp:docPr id="125234499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2344992" name=""/>
                    <pic:cNvPicPr/>
                  </pic:nvPicPr>
                  <pic:blipFill>
                    <a:blip r:embed="rId10">
                      <a:extLst>
                        <a:ext uri="{28A0092B-C50C-407E-A947-70E740481C1C}">
                          <a14:useLocalDpi xmlns:a14="http://schemas.microsoft.com/office/drawing/2010/main" val="0"/>
                        </a:ext>
                      </a:extLst>
                    </a:blip>
                    <a:stretch>
                      <a:fillRect/>
                    </a:stretch>
                  </pic:blipFill>
                  <pic:spPr>
                    <a:xfrm>
                      <a:off x="0" y="0"/>
                      <a:ext cx="2905125" cy="887095"/>
                    </a:xfrm>
                    <a:prstGeom prst="rect">
                      <a:avLst/>
                    </a:prstGeom>
                  </pic:spPr>
                </pic:pic>
              </a:graphicData>
            </a:graphic>
            <wp14:sizeRelH relativeFrom="margin">
              <wp14:pctWidth>0</wp14:pctWidth>
            </wp14:sizeRelH>
            <wp14:sizeRelV relativeFrom="margin">
              <wp14:pctHeight>0</wp14:pctHeight>
            </wp14:sizeRelV>
          </wp:anchor>
        </w:drawing>
      </w:r>
      <w:r w:rsidR="0096161C" w:rsidRPr="000D64E4">
        <w:rPr>
          <w:rFonts w:ascii="Verdana" w:hAnsi="Verdana"/>
          <w:color w:val="000000" w:themeColor="text1"/>
        </w:rPr>
        <w:t xml:space="preserve">Bogotá D.C, </w:t>
      </w:r>
      <w:r w:rsidR="00586E8A" w:rsidRPr="00586E8A">
        <w:rPr>
          <w:rFonts w:ascii="Verdana" w:hAnsi="Verdana"/>
          <w:color w:val="000000" w:themeColor="text1"/>
        </w:rPr>
        <w:t>20 Octubre 2026</w:t>
      </w:r>
    </w:p>
    <w:p w14:paraId="765E7B28" w14:textId="77777777" w:rsidR="00586E8A" w:rsidRPr="000D64E4" w:rsidRDefault="00586E8A" w:rsidP="0096161C">
      <w:pPr>
        <w:spacing w:after="0"/>
        <w:rPr>
          <w:rFonts w:ascii="Verdana" w:hAnsi="Verdana"/>
        </w:rPr>
      </w:pPr>
    </w:p>
    <w:p w14:paraId="05EA52D7" w14:textId="77777777" w:rsidR="0096161C" w:rsidRPr="000D64E4" w:rsidRDefault="0096161C" w:rsidP="0096161C">
      <w:pPr>
        <w:spacing w:after="0" w:line="276" w:lineRule="auto"/>
        <w:rPr>
          <w:rFonts w:ascii="Verdana" w:eastAsia="Calibri" w:hAnsi="Verdana" w:cs="Arial"/>
          <w:lang w:val="es-ES" w:eastAsia="es-ES"/>
        </w:rPr>
      </w:pPr>
      <w:r w:rsidRPr="000D64E4">
        <w:rPr>
          <w:rFonts w:ascii="Verdana" w:eastAsia="Calibri" w:hAnsi="Verdana" w:cs="Arial"/>
          <w:lang w:val="es-ES" w:eastAsia="es-ES"/>
        </w:rPr>
        <w:t>Señor</w:t>
      </w:r>
    </w:p>
    <w:p w14:paraId="0978AB3F" w14:textId="77777777" w:rsidR="0096161C" w:rsidRDefault="0096161C" w:rsidP="0096161C">
      <w:pPr>
        <w:spacing w:after="0" w:line="276" w:lineRule="auto"/>
        <w:rPr>
          <w:rFonts w:ascii="Verdana" w:eastAsia="Calibri" w:hAnsi="Verdana" w:cs="Arial"/>
          <w:b/>
          <w:bCs/>
          <w:lang w:eastAsia="es-ES"/>
        </w:rPr>
      </w:pPr>
      <w:r w:rsidRPr="0065354F">
        <w:rPr>
          <w:rFonts w:ascii="Verdana" w:eastAsia="Calibri" w:hAnsi="Verdana" w:cs="Arial"/>
          <w:b/>
          <w:bCs/>
          <w:lang w:eastAsia="es-ES"/>
        </w:rPr>
        <w:t>Juan David Cepeda Serrano</w:t>
      </w:r>
    </w:p>
    <w:p w14:paraId="754E4425" w14:textId="77777777" w:rsidR="0096161C" w:rsidRPr="0065354F" w:rsidRDefault="0096161C" w:rsidP="0096161C">
      <w:pPr>
        <w:spacing w:after="0" w:line="276" w:lineRule="auto"/>
        <w:rPr>
          <w:rFonts w:ascii="Verdana" w:eastAsia="Calibri" w:hAnsi="Verdana" w:cs="Arial"/>
          <w:lang w:val="es-ES" w:eastAsia="es-ES"/>
        </w:rPr>
      </w:pPr>
      <w:r w:rsidRPr="0065354F">
        <w:rPr>
          <w:rFonts w:ascii="Verdana" w:eastAsia="Calibri" w:hAnsi="Verdana" w:cs="Arial"/>
          <w:lang w:eastAsia="es-ES"/>
        </w:rPr>
        <w:t>TIERRASUA</w:t>
      </w:r>
    </w:p>
    <w:p w14:paraId="56994719" w14:textId="77777777" w:rsidR="0096161C" w:rsidRPr="000D64E4" w:rsidRDefault="0096161C" w:rsidP="0096161C">
      <w:pPr>
        <w:spacing w:after="0" w:line="276" w:lineRule="auto"/>
        <w:rPr>
          <w:rFonts w:ascii="Verdana" w:hAnsi="Verdana"/>
          <w:lang w:val="en-US"/>
        </w:rPr>
      </w:pPr>
      <w:hyperlink r:id="rId11" w:history="1">
        <w:r w:rsidRPr="000D64E4">
          <w:rPr>
            <w:rStyle w:val="Hipervnculo"/>
            <w:rFonts w:ascii="Verdana" w:hAnsi="Verdana"/>
            <w:lang w:val="en-US"/>
          </w:rPr>
          <w:t>david.cepeda@hotmail.com</w:t>
        </w:r>
      </w:hyperlink>
    </w:p>
    <w:p w14:paraId="514971B5" w14:textId="77777777" w:rsidR="0096161C" w:rsidRPr="000D64E4" w:rsidRDefault="0096161C" w:rsidP="0096161C">
      <w:pPr>
        <w:spacing w:after="0" w:line="276" w:lineRule="auto"/>
        <w:rPr>
          <w:rFonts w:ascii="Verdana" w:eastAsia="Calibri" w:hAnsi="Verdana" w:cs="Arial"/>
          <w:color w:val="66CCFF"/>
          <w:lang w:val="en-US" w:eastAsia="es-ES_tradnl"/>
        </w:rPr>
      </w:pPr>
      <w:r w:rsidRPr="000D64E4">
        <w:rPr>
          <w:rFonts w:ascii="Verdana" w:hAnsi="Verdana"/>
          <w:lang w:val="en-US"/>
        </w:rPr>
        <w:t>Tunja, Boyacá</w:t>
      </w:r>
    </w:p>
    <w:tbl>
      <w:tblPr>
        <w:tblStyle w:val="Tablaconcuadrcula1"/>
        <w:tblW w:w="92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261"/>
        <w:gridCol w:w="5972"/>
      </w:tblGrid>
      <w:tr w:rsidR="0096161C" w:rsidRPr="00C96899" w14:paraId="0D0A3486" w14:textId="77777777" w:rsidTr="002C4F43">
        <w:trPr>
          <w:trHeight w:val="463"/>
        </w:trPr>
        <w:tc>
          <w:tcPr>
            <w:tcW w:w="3261" w:type="dxa"/>
          </w:tcPr>
          <w:p w14:paraId="099C0E9D" w14:textId="77777777" w:rsidR="0096161C" w:rsidRPr="000D64E4" w:rsidRDefault="0096161C" w:rsidP="002C4F43">
            <w:pPr>
              <w:spacing w:line="276" w:lineRule="auto"/>
              <w:jc w:val="both"/>
              <w:rPr>
                <w:rFonts w:ascii="Verdana" w:eastAsia="Calibri" w:hAnsi="Verdana" w:cs="Arial"/>
                <w:b/>
                <w:bCs/>
                <w:color w:val="66CCFF"/>
                <w:lang w:val="en-US" w:eastAsia="es-ES_tradnl"/>
              </w:rPr>
            </w:pPr>
          </w:p>
        </w:tc>
        <w:tc>
          <w:tcPr>
            <w:tcW w:w="5972" w:type="dxa"/>
            <w:hideMark/>
          </w:tcPr>
          <w:p w14:paraId="42E9590E" w14:textId="77777777" w:rsidR="0096161C" w:rsidRPr="00C96899" w:rsidRDefault="0096161C" w:rsidP="002C4F43">
            <w:pPr>
              <w:spacing w:line="276" w:lineRule="auto"/>
              <w:jc w:val="both"/>
              <w:rPr>
                <w:rFonts w:ascii="Verdana" w:eastAsia="Calibri" w:hAnsi="Verdana" w:cs="Arial"/>
                <w:b/>
                <w:bCs/>
                <w:lang w:val="es-ES" w:eastAsia="es-ES"/>
              </w:rPr>
            </w:pPr>
            <w:r w:rsidRPr="00C96899">
              <w:rPr>
                <w:rFonts w:ascii="Verdana" w:eastAsia="Calibri" w:hAnsi="Verdana" w:cs="Arial"/>
                <w:b/>
                <w:bCs/>
                <w:lang w:val="es-ES" w:eastAsia="es-ES"/>
              </w:rPr>
              <w:t>Concepto C – 1</w:t>
            </w:r>
            <w:r>
              <w:rPr>
                <w:rFonts w:ascii="Verdana" w:eastAsia="Calibri" w:hAnsi="Verdana" w:cs="Arial"/>
                <w:b/>
                <w:bCs/>
                <w:lang w:val="es-ES" w:eastAsia="es-ES"/>
              </w:rPr>
              <w:t>432</w:t>
            </w:r>
            <w:r w:rsidRPr="00C96899">
              <w:rPr>
                <w:rFonts w:ascii="Verdana" w:eastAsia="Calibri" w:hAnsi="Verdana" w:cs="Arial"/>
                <w:b/>
                <w:bCs/>
                <w:lang w:val="es-ES" w:eastAsia="es-ES"/>
              </w:rPr>
              <w:t xml:space="preserve"> de 2026</w:t>
            </w:r>
          </w:p>
        </w:tc>
      </w:tr>
      <w:tr w:rsidR="0096161C" w:rsidRPr="00CF5CA3" w14:paraId="2DB3A6B7" w14:textId="77777777" w:rsidTr="002C4F43">
        <w:trPr>
          <w:trHeight w:val="861"/>
        </w:trPr>
        <w:tc>
          <w:tcPr>
            <w:tcW w:w="3261" w:type="dxa"/>
            <w:hideMark/>
          </w:tcPr>
          <w:p w14:paraId="5B8DA243" w14:textId="77777777" w:rsidR="0096161C" w:rsidRPr="00C96899" w:rsidRDefault="0096161C" w:rsidP="002C4F43">
            <w:pPr>
              <w:spacing w:line="276" w:lineRule="auto"/>
              <w:jc w:val="both"/>
              <w:rPr>
                <w:rFonts w:ascii="Verdana" w:eastAsia="Calibri" w:hAnsi="Verdana" w:cs="Arial"/>
                <w:lang w:val="es-ES_tradnl" w:eastAsia="es-ES_tradnl"/>
              </w:rPr>
            </w:pPr>
            <w:r w:rsidRPr="00C96899">
              <w:rPr>
                <w:rFonts w:ascii="Verdana" w:eastAsia="Calibri" w:hAnsi="Verdana" w:cs="Arial"/>
                <w:b/>
                <w:lang w:val="es-ES_tradnl" w:eastAsia="es-ES_tradnl"/>
              </w:rPr>
              <w:t>Temas:</w:t>
            </w:r>
            <w:r w:rsidRPr="00C96899">
              <w:rPr>
                <w:rFonts w:ascii="Verdana" w:eastAsia="Calibri" w:hAnsi="Verdana" w:cs="Arial"/>
                <w:lang w:val="es-ES_tradnl" w:eastAsia="es-ES_tradnl"/>
              </w:rPr>
              <w:t xml:space="preserve">                  </w:t>
            </w:r>
          </w:p>
        </w:tc>
        <w:tc>
          <w:tcPr>
            <w:tcW w:w="5972" w:type="dxa"/>
          </w:tcPr>
          <w:p w14:paraId="6396DD46" w14:textId="77777777" w:rsidR="0096161C" w:rsidRPr="00CF5CA3" w:rsidRDefault="0096161C" w:rsidP="002C4F43">
            <w:pPr>
              <w:jc w:val="both"/>
              <w:rPr>
                <w:rFonts w:ascii="Verdana" w:eastAsia="Calibri" w:hAnsi="Verdana" w:cs="Times New Roman"/>
                <w:sz w:val="20"/>
                <w:szCs w:val="20"/>
                <w:lang w:val="es-ES"/>
              </w:rPr>
            </w:pPr>
            <w:r w:rsidRPr="00CF5CA3">
              <w:rPr>
                <w:rFonts w:ascii="Verdana" w:eastAsia="Calibri" w:hAnsi="Verdana" w:cs="Arial"/>
                <w:lang w:val="es-ES_tradnl"/>
              </w:rPr>
              <w:t>DOCUMENTOS TIPO – Fundamento normativo – Obligatoriedad / SECTOR SOCIAL</w:t>
            </w:r>
            <w:r w:rsidRPr="00CF5CA3">
              <w:rPr>
                <w:rFonts w:ascii="Verdana" w:eastAsia="Calibri" w:hAnsi="Verdana" w:cs="Times New Roman"/>
                <w:lang w:val="es-ES"/>
              </w:rPr>
              <w:t xml:space="preserve"> – Documentos tipo – Vigentes / DOCUMENTOS TIPO – Aplicación – Matriz de Experiencia – Objeto contractual</w:t>
            </w:r>
          </w:p>
        </w:tc>
      </w:tr>
      <w:tr w:rsidR="0096161C" w:rsidRPr="00C96899" w14:paraId="129E43C4" w14:textId="77777777" w:rsidTr="002C4F43">
        <w:trPr>
          <w:trHeight w:val="597"/>
        </w:trPr>
        <w:tc>
          <w:tcPr>
            <w:tcW w:w="3261" w:type="dxa"/>
            <w:hideMark/>
          </w:tcPr>
          <w:p w14:paraId="600F7D9D" w14:textId="77777777" w:rsidR="0096161C" w:rsidRPr="00C96899" w:rsidRDefault="0096161C" w:rsidP="002C4F43">
            <w:pPr>
              <w:spacing w:line="276" w:lineRule="auto"/>
              <w:jc w:val="both"/>
              <w:rPr>
                <w:rFonts w:ascii="Verdana" w:eastAsia="Calibri" w:hAnsi="Verdana" w:cs="Arial"/>
                <w:b/>
                <w:lang w:val="es-ES_tradnl" w:eastAsia="es-ES_tradnl"/>
              </w:rPr>
            </w:pPr>
            <w:r w:rsidRPr="00C96899">
              <w:rPr>
                <w:rFonts w:ascii="Verdana" w:eastAsia="Calibri" w:hAnsi="Verdana" w:cs="Arial"/>
                <w:b/>
                <w:lang w:val="es-ES_tradnl" w:eastAsia="es-ES_tradnl"/>
              </w:rPr>
              <w:t xml:space="preserve">Radicación:               </w:t>
            </w:r>
          </w:p>
        </w:tc>
        <w:tc>
          <w:tcPr>
            <w:tcW w:w="5972" w:type="dxa"/>
          </w:tcPr>
          <w:p w14:paraId="4D52E6A5" w14:textId="77777777" w:rsidR="0096161C" w:rsidRPr="00B901A6" w:rsidRDefault="0096161C" w:rsidP="002C4F43">
            <w:pPr>
              <w:spacing w:line="276" w:lineRule="auto"/>
              <w:jc w:val="both"/>
              <w:rPr>
                <w:rFonts w:ascii="Verdana" w:eastAsia="Calibri" w:hAnsi="Verdana" w:cs="Arial"/>
                <w:lang w:val="es-ES" w:eastAsia="es-ES_tradnl"/>
              </w:rPr>
            </w:pPr>
            <w:r w:rsidRPr="00C96899">
              <w:rPr>
                <w:rFonts w:ascii="Verdana" w:eastAsia="Calibri" w:hAnsi="Verdana" w:cs="Arial"/>
                <w:bCs/>
                <w:lang w:val="es-ES_tradnl" w:eastAsia="es-ES_tradnl"/>
              </w:rPr>
              <w:t xml:space="preserve">Respuesta a las consultas con radicado </w:t>
            </w:r>
            <w:r w:rsidRPr="00C96899">
              <w:rPr>
                <w:rFonts w:ascii="Verdana" w:eastAsia="Calibri" w:hAnsi="Verdana" w:cs="Arial"/>
                <w:bCs/>
                <w:lang w:eastAsia="es-ES_tradnl"/>
              </w:rPr>
              <w:t xml:space="preserve">No. </w:t>
            </w:r>
            <w:r w:rsidRPr="00B901A6">
              <w:rPr>
                <w:rFonts w:ascii="Verdana" w:eastAsia="Calibri" w:hAnsi="Verdana" w:cs="Arial"/>
                <w:lang w:eastAsia="es-ES_tradnl"/>
              </w:rPr>
              <w:t>1_2026_09_10_012120</w:t>
            </w:r>
          </w:p>
          <w:p w14:paraId="00673664" w14:textId="77777777" w:rsidR="0096161C" w:rsidRPr="00AB27E6" w:rsidRDefault="0096161C" w:rsidP="002C4F43">
            <w:pPr>
              <w:spacing w:line="276" w:lineRule="auto"/>
              <w:jc w:val="both"/>
              <w:rPr>
                <w:rFonts w:ascii="Verdana" w:eastAsia="Calibri" w:hAnsi="Verdana" w:cs="Arial"/>
                <w:bCs/>
                <w:lang w:val="es-ES" w:eastAsia="es-ES_tradnl"/>
              </w:rPr>
            </w:pPr>
          </w:p>
        </w:tc>
      </w:tr>
    </w:tbl>
    <w:p w14:paraId="5C9A7AD6" w14:textId="77777777" w:rsidR="0096161C" w:rsidRPr="00C96899" w:rsidRDefault="0096161C" w:rsidP="0096161C">
      <w:pPr>
        <w:spacing w:after="0" w:line="276" w:lineRule="auto"/>
        <w:jc w:val="both"/>
        <w:rPr>
          <w:rFonts w:ascii="Verdana" w:eastAsia="Calibri" w:hAnsi="Verdana" w:cs="Arial"/>
          <w:bCs/>
          <w:lang w:val="es-ES_tradnl" w:eastAsia="es-ES_tradnl"/>
        </w:rPr>
      </w:pPr>
    </w:p>
    <w:p w14:paraId="2D675AA3" w14:textId="77777777" w:rsidR="0096161C" w:rsidRPr="00C96899" w:rsidRDefault="0096161C" w:rsidP="0096161C">
      <w:pPr>
        <w:spacing w:after="0" w:line="276" w:lineRule="auto"/>
        <w:jc w:val="both"/>
        <w:rPr>
          <w:rFonts w:ascii="Verdana" w:eastAsia="Calibri" w:hAnsi="Verdana" w:cs="Arial"/>
          <w:bCs/>
          <w:lang w:val="es-ES" w:eastAsia="es-ES"/>
        </w:rPr>
      </w:pPr>
      <w:r w:rsidRPr="00C96899">
        <w:rPr>
          <w:rFonts w:ascii="Verdana" w:eastAsia="Calibri" w:hAnsi="Verdana" w:cs="Arial"/>
          <w:bCs/>
          <w:lang w:val="es-ES" w:eastAsia="es-ES"/>
        </w:rPr>
        <w:t xml:space="preserve">Estimado señor Juan Sebastián, cordial saludo:  </w:t>
      </w:r>
    </w:p>
    <w:p w14:paraId="710CE4AC" w14:textId="77777777" w:rsidR="0096161C" w:rsidRPr="00C96899" w:rsidRDefault="0096161C" w:rsidP="0096161C">
      <w:pPr>
        <w:tabs>
          <w:tab w:val="left" w:pos="3768"/>
        </w:tabs>
        <w:spacing w:after="0" w:line="276" w:lineRule="auto"/>
        <w:jc w:val="both"/>
        <w:rPr>
          <w:rFonts w:ascii="Verdana" w:eastAsia="Calibri" w:hAnsi="Verdana" w:cs="Arial"/>
          <w:bCs/>
          <w:lang w:val="es-ES" w:eastAsia="es-ES"/>
        </w:rPr>
      </w:pPr>
      <w:r w:rsidRPr="00C96899">
        <w:rPr>
          <w:rFonts w:ascii="Verdana" w:eastAsia="Calibri" w:hAnsi="Verdana" w:cs="Arial"/>
          <w:bCs/>
          <w:lang w:val="es-ES" w:eastAsia="es-ES"/>
        </w:rPr>
        <w:tab/>
      </w:r>
    </w:p>
    <w:p w14:paraId="16AD82F0" w14:textId="77777777" w:rsidR="0096161C" w:rsidRPr="00C96899" w:rsidRDefault="0096161C" w:rsidP="0096161C">
      <w:pPr>
        <w:spacing w:after="0" w:line="276" w:lineRule="auto"/>
        <w:jc w:val="both"/>
        <w:rPr>
          <w:rFonts w:ascii="Verdana" w:eastAsia="Calibri" w:hAnsi="Verdana" w:cs="Arial"/>
          <w:lang w:val="es-ES" w:eastAsia="es-ES"/>
        </w:rPr>
      </w:pPr>
      <w:r w:rsidRPr="00C96899">
        <w:rPr>
          <w:rFonts w:ascii="Verdana" w:eastAsia="Calibri" w:hAnsi="Verdana" w:cs="Arial"/>
          <w:lang w:val="es-ES" w:eastAsia="es-ES"/>
        </w:rPr>
        <w:t>En ejercicio de la competencia otorgada por los artículos 3, numeral 5º, y 11, numeral 8º, del Decreto Ley 4170 de 2011,</w:t>
      </w:r>
      <w:r w:rsidRPr="00C96899">
        <w:rPr>
          <w:rFonts w:ascii="Verdana" w:eastAsia="Arial MT" w:hAnsi="Verdana" w:cs="Arial MT"/>
          <w:lang w:val="es-ES" w:eastAsia="es-ES"/>
        </w:rPr>
        <w:t xml:space="preserve"> </w:t>
      </w:r>
      <w:r w:rsidRPr="00C96899">
        <w:rPr>
          <w:rFonts w:ascii="Verdana" w:eastAsia="Calibri" w:hAnsi="Verdana" w:cs="Arial"/>
        </w:rPr>
        <w:t xml:space="preserve">así como lo establecido en el artículo 4 de la Resolución 1707 de 2018 expedida por esta Entidad, </w:t>
      </w:r>
      <w:r w:rsidRPr="00C96899">
        <w:rPr>
          <w:rFonts w:ascii="Verdana" w:eastAsia="Calibri" w:hAnsi="Verdana" w:cs="Arial"/>
          <w:lang w:val="es-ES" w:eastAsia="es-ES"/>
        </w:rPr>
        <w:t>la Agencia Nacional de Contratación Pública –Colombia Compra Eficiente– responde su solicitud de consulta de fecha 0</w:t>
      </w:r>
      <w:r>
        <w:rPr>
          <w:rFonts w:ascii="Verdana" w:eastAsia="Calibri" w:hAnsi="Verdana" w:cs="Arial"/>
          <w:lang w:val="es-ES" w:eastAsia="es-ES"/>
        </w:rPr>
        <w:t>9</w:t>
      </w:r>
      <w:r w:rsidRPr="00C96899">
        <w:rPr>
          <w:rFonts w:ascii="Verdana" w:eastAsia="Calibri" w:hAnsi="Verdana" w:cs="Arial"/>
          <w:lang w:val="es-ES" w:eastAsia="es-ES"/>
        </w:rPr>
        <w:t xml:space="preserve"> de septiembre de 2026, en la cual manifiesta lo siguiente: </w:t>
      </w:r>
      <w:bookmarkStart w:id="1" w:name="_Hlk95313578"/>
    </w:p>
    <w:p w14:paraId="1984EC9C" w14:textId="77777777" w:rsidR="0096161C" w:rsidRPr="00C96899" w:rsidRDefault="0096161C" w:rsidP="0096161C">
      <w:pPr>
        <w:spacing w:after="0" w:line="276" w:lineRule="auto"/>
        <w:jc w:val="both"/>
        <w:rPr>
          <w:rFonts w:ascii="Verdana" w:eastAsia="Calibri" w:hAnsi="Verdana" w:cs="Arial"/>
          <w:bCs/>
          <w:lang w:val="es-ES" w:eastAsia="es-ES"/>
        </w:rPr>
      </w:pPr>
    </w:p>
    <w:bookmarkEnd w:id="1"/>
    <w:p w14:paraId="1B75D1B9" w14:textId="77777777" w:rsidR="0096161C" w:rsidRPr="00C96899" w:rsidRDefault="0096161C" w:rsidP="0096161C">
      <w:pPr>
        <w:spacing w:after="0" w:line="240" w:lineRule="auto"/>
        <w:ind w:left="709" w:right="709"/>
        <w:jc w:val="both"/>
        <w:rPr>
          <w:rFonts w:ascii="Verdana" w:eastAsia="Calibri" w:hAnsi="Verdana" w:cs="Arial"/>
          <w:i/>
          <w:iCs/>
          <w:sz w:val="20"/>
          <w:szCs w:val="20"/>
          <w:lang w:val="es-ES" w:eastAsia="es-ES"/>
        </w:rPr>
      </w:pPr>
      <w:r w:rsidRPr="00C96899">
        <w:rPr>
          <w:rFonts w:ascii="Verdana" w:eastAsia="Calibri" w:hAnsi="Verdana" w:cs="Arial"/>
          <w:i/>
          <w:iCs/>
          <w:sz w:val="20"/>
          <w:szCs w:val="20"/>
          <w:lang w:val="es-ES" w:eastAsia="es-ES"/>
        </w:rPr>
        <w:t>“(…)</w:t>
      </w:r>
    </w:p>
    <w:p w14:paraId="11FB70C4" w14:textId="77777777" w:rsidR="0096161C" w:rsidRDefault="0096161C" w:rsidP="0096161C">
      <w:pPr>
        <w:spacing w:after="0" w:line="240" w:lineRule="auto"/>
        <w:ind w:left="709" w:right="709"/>
        <w:jc w:val="both"/>
        <w:rPr>
          <w:rFonts w:ascii="Verdana" w:eastAsia="Calibri" w:hAnsi="Verdana" w:cs="Arial"/>
          <w:i/>
          <w:iCs/>
          <w:sz w:val="20"/>
          <w:szCs w:val="20"/>
          <w:lang w:val="es-ES" w:eastAsia="es-ES"/>
        </w:rPr>
      </w:pPr>
    </w:p>
    <w:p w14:paraId="7621B869" w14:textId="77777777" w:rsidR="0096161C" w:rsidRPr="00C96899" w:rsidRDefault="0096161C" w:rsidP="0096161C">
      <w:pPr>
        <w:spacing w:after="0" w:line="240" w:lineRule="auto"/>
        <w:ind w:left="709" w:right="709"/>
        <w:jc w:val="both"/>
        <w:rPr>
          <w:rFonts w:ascii="Verdana" w:eastAsia="Calibri" w:hAnsi="Verdana" w:cs="Arial"/>
          <w:i/>
          <w:iCs/>
          <w:sz w:val="20"/>
          <w:szCs w:val="20"/>
          <w:lang w:val="es-ES" w:eastAsia="es-ES"/>
        </w:rPr>
      </w:pPr>
      <w:r w:rsidRPr="00661508">
        <w:rPr>
          <w:rFonts w:ascii="Verdana" w:eastAsia="Calibri" w:hAnsi="Verdana" w:cs="Arial"/>
          <w:i/>
          <w:iCs/>
          <w:sz w:val="20"/>
          <w:szCs w:val="20"/>
          <w:lang w:eastAsia="es-ES"/>
        </w:rPr>
        <w:t xml:space="preserve">Solicitud de información – Documentos Tipo para Interventoría a Consultoría de Ingeniería de Infraestructura </w:t>
      </w:r>
      <w:proofErr w:type="spellStart"/>
      <w:r w:rsidRPr="00661508">
        <w:rPr>
          <w:rFonts w:ascii="Verdana" w:eastAsia="Calibri" w:hAnsi="Verdana" w:cs="Arial"/>
          <w:i/>
          <w:iCs/>
          <w:sz w:val="20"/>
          <w:szCs w:val="20"/>
          <w:lang w:eastAsia="es-ES"/>
        </w:rPr>
        <w:t>SocialPQR:Buen</w:t>
      </w:r>
      <w:proofErr w:type="spellEnd"/>
      <w:r w:rsidRPr="00661508">
        <w:rPr>
          <w:rFonts w:ascii="Verdana" w:eastAsia="Calibri" w:hAnsi="Verdana" w:cs="Arial"/>
          <w:i/>
          <w:iCs/>
          <w:sz w:val="20"/>
          <w:szCs w:val="20"/>
          <w:lang w:eastAsia="es-ES"/>
        </w:rPr>
        <w:t xml:space="preserve"> </w:t>
      </w:r>
      <w:proofErr w:type="spellStart"/>
      <w:r w:rsidRPr="00661508">
        <w:rPr>
          <w:rFonts w:ascii="Verdana" w:eastAsia="Calibri" w:hAnsi="Verdana" w:cs="Arial"/>
          <w:i/>
          <w:iCs/>
          <w:sz w:val="20"/>
          <w:szCs w:val="20"/>
          <w:lang w:eastAsia="es-ES"/>
        </w:rPr>
        <w:t>día,Mi</w:t>
      </w:r>
      <w:proofErr w:type="spellEnd"/>
      <w:r w:rsidRPr="00661508">
        <w:rPr>
          <w:rFonts w:ascii="Verdana" w:eastAsia="Calibri" w:hAnsi="Verdana" w:cs="Arial"/>
          <w:i/>
          <w:iCs/>
          <w:sz w:val="20"/>
          <w:szCs w:val="20"/>
          <w:lang w:eastAsia="es-ES"/>
        </w:rPr>
        <w:t xml:space="preserve"> nombre es Juan David Cepeda Serrano y, respetuosamente, me permito solicitar información relacionada con los Documentos Tipo aplicables a la contratación de Interventoría a una Consultoría de Ingeniería de Infraestructura </w:t>
      </w:r>
      <w:proofErr w:type="spellStart"/>
      <w:r w:rsidRPr="00661508">
        <w:rPr>
          <w:rFonts w:ascii="Verdana" w:eastAsia="Calibri" w:hAnsi="Verdana" w:cs="Arial"/>
          <w:i/>
          <w:iCs/>
          <w:sz w:val="20"/>
          <w:szCs w:val="20"/>
          <w:lang w:eastAsia="es-ES"/>
        </w:rPr>
        <w:t>Social.Al</w:t>
      </w:r>
      <w:proofErr w:type="spellEnd"/>
      <w:r w:rsidRPr="00661508">
        <w:rPr>
          <w:rFonts w:ascii="Verdana" w:eastAsia="Calibri" w:hAnsi="Verdana" w:cs="Arial"/>
          <w:i/>
          <w:iCs/>
          <w:sz w:val="20"/>
          <w:szCs w:val="20"/>
          <w:lang w:eastAsia="es-ES"/>
        </w:rPr>
        <w:t xml:space="preserve"> realizar la consulta en la página oficial de Documentos Tipo, no ha sido posible identificar un Documento Tipo específico que contemple la modalidad de Interventoría a una Consultoría dentro de la categoría de Ingeniería de Infraestructura </w:t>
      </w:r>
      <w:proofErr w:type="spellStart"/>
      <w:r w:rsidRPr="00661508">
        <w:rPr>
          <w:rFonts w:ascii="Verdana" w:eastAsia="Calibri" w:hAnsi="Verdana" w:cs="Arial"/>
          <w:i/>
          <w:iCs/>
          <w:sz w:val="20"/>
          <w:szCs w:val="20"/>
          <w:lang w:eastAsia="es-ES"/>
        </w:rPr>
        <w:t>Social.En</w:t>
      </w:r>
      <w:proofErr w:type="spellEnd"/>
      <w:r w:rsidRPr="00661508">
        <w:rPr>
          <w:rFonts w:ascii="Verdana" w:eastAsia="Calibri" w:hAnsi="Verdana" w:cs="Arial"/>
          <w:i/>
          <w:iCs/>
          <w:sz w:val="20"/>
          <w:szCs w:val="20"/>
          <w:lang w:eastAsia="es-ES"/>
        </w:rPr>
        <w:t xml:space="preserve"> ese sentido, agradezco se sirvan </w:t>
      </w:r>
      <w:proofErr w:type="spellStart"/>
      <w:r w:rsidRPr="00661508">
        <w:rPr>
          <w:rFonts w:ascii="Verdana" w:eastAsia="Calibri" w:hAnsi="Verdana" w:cs="Arial"/>
          <w:i/>
          <w:iCs/>
          <w:sz w:val="20"/>
          <w:szCs w:val="20"/>
          <w:lang w:eastAsia="es-ES"/>
        </w:rPr>
        <w:t>informar:Si</w:t>
      </w:r>
      <w:proofErr w:type="spellEnd"/>
      <w:r w:rsidRPr="00661508">
        <w:rPr>
          <w:rFonts w:ascii="Verdana" w:eastAsia="Calibri" w:hAnsi="Verdana" w:cs="Arial"/>
          <w:i/>
          <w:iCs/>
          <w:sz w:val="20"/>
          <w:szCs w:val="20"/>
          <w:lang w:eastAsia="es-ES"/>
        </w:rPr>
        <w:t xml:space="preserve"> actualmente se encuentra vigente un Documento Tipo aplicable específicamente a procesos de Interventoría a Consultorías de Ingeniería de Infraestructura </w:t>
      </w:r>
      <w:proofErr w:type="spellStart"/>
      <w:r w:rsidRPr="00661508">
        <w:rPr>
          <w:rFonts w:ascii="Verdana" w:eastAsia="Calibri" w:hAnsi="Verdana" w:cs="Arial"/>
          <w:i/>
          <w:iCs/>
          <w:sz w:val="20"/>
          <w:szCs w:val="20"/>
          <w:lang w:eastAsia="es-ES"/>
        </w:rPr>
        <w:t>Social.En</w:t>
      </w:r>
      <w:proofErr w:type="spellEnd"/>
      <w:r w:rsidRPr="00661508">
        <w:rPr>
          <w:rFonts w:ascii="Verdana" w:eastAsia="Calibri" w:hAnsi="Verdana" w:cs="Arial"/>
          <w:i/>
          <w:iCs/>
          <w:sz w:val="20"/>
          <w:szCs w:val="20"/>
          <w:lang w:eastAsia="es-ES"/>
        </w:rPr>
        <w:t xml:space="preserve"> caso afirmativo, indicar el documento, versión o acto administrativo que </w:t>
      </w:r>
      <w:r w:rsidRPr="00661508">
        <w:rPr>
          <w:rFonts w:ascii="Verdana" w:eastAsia="Calibri" w:hAnsi="Verdana" w:cs="Arial"/>
          <w:i/>
          <w:iCs/>
          <w:sz w:val="20"/>
          <w:szCs w:val="20"/>
          <w:lang w:eastAsia="es-ES"/>
        </w:rPr>
        <w:lastRenderedPageBreak/>
        <w:t xml:space="preserve">lo adopta y el enlace o ruta para su consulta y </w:t>
      </w:r>
      <w:proofErr w:type="spellStart"/>
      <w:r w:rsidRPr="00661508">
        <w:rPr>
          <w:rFonts w:ascii="Verdana" w:eastAsia="Calibri" w:hAnsi="Verdana" w:cs="Arial"/>
          <w:i/>
          <w:iCs/>
          <w:sz w:val="20"/>
          <w:szCs w:val="20"/>
          <w:lang w:eastAsia="es-ES"/>
        </w:rPr>
        <w:t>descarga.En</w:t>
      </w:r>
      <w:proofErr w:type="spellEnd"/>
      <w:r w:rsidRPr="00661508">
        <w:rPr>
          <w:rFonts w:ascii="Verdana" w:eastAsia="Calibri" w:hAnsi="Verdana" w:cs="Arial"/>
          <w:i/>
          <w:iCs/>
          <w:sz w:val="20"/>
          <w:szCs w:val="20"/>
          <w:lang w:eastAsia="es-ES"/>
        </w:rPr>
        <w:t xml:space="preserve"> caso de no existir un Documento Tipo específico, indicar cuál Documento Tipo debe tomarse como referencia para la estructuración de este tipo de procesos de </w:t>
      </w:r>
      <w:proofErr w:type="spellStart"/>
      <w:r w:rsidRPr="00661508">
        <w:rPr>
          <w:rFonts w:ascii="Verdana" w:eastAsia="Calibri" w:hAnsi="Verdana" w:cs="Arial"/>
          <w:i/>
          <w:iCs/>
          <w:sz w:val="20"/>
          <w:szCs w:val="20"/>
          <w:lang w:eastAsia="es-ES"/>
        </w:rPr>
        <w:t>contratación.La</w:t>
      </w:r>
      <w:proofErr w:type="spellEnd"/>
      <w:r w:rsidRPr="00661508">
        <w:rPr>
          <w:rFonts w:ascii="Verdana" w:eastAsia="Calibri" w:hAnsi="Verdana" w:cs="Arial"/>
          <w:i/>
          <w:iCs/>
          <w:sz w:val="20"/>
          <w:szCs w:val="20"/>
          <w:lang w:eastAsia="es-ES"/>
        </w:rPr>
        <w:t xml:space="preserve"> información solicitada es requerida con el fin de adelantar correctamente la estructuración de un proceso de contratación y garantizar la aplicación de los lineamientos y disposiciones vigentes en materia de Documentos Tipo.</w:t>
      </w:r>
      <w:r w:rsidRPr="00C96899">
        <w:rPr>
          <w:rFonts w:ascii="Verdana" w:eastAsia="Calibri" w:hAnsi="Verdana" w:cs="Arial"/>
          <w:i/>
          <w:iCs/>
          <w:sz w:val="20"/>
          <w:szCs w:val="20"/>
          <w:lang w:val="es-ES" w:eastAsia="es-ES"/>
        </w:rPr>
        <w:t xml:space="preserve"> (…)</w:t>
      </w:r>
      <w:r w:rsidRPr="00C96899">
        <w:rPr>
          <w:rFonts w:ascii="Verdana" w:eastAsia="Calibri" w:hAnsi="Verdana" w:cs="Arial"/>
          <w:i/>
          <w:iCs/>
          <w:sz w:val="20"/>
          <w:szCs w:val="20"/>
          <w:lang w:eastAsia="es-ES"/>
        </w:rPr>
        <w:t>”</w:t>
      </w:r>
    </w:p>
    <w:p w14:paraId="06AC909B" w14:textId="77777777" w:rsidR="0096161C" w:rsidRPr="00C96899" w:rsidRDefault="0096161C" w:rsidP="0096161C">
      <w:pPr>
        <w:spacing w:after="0" w:line="276" w:lineRule="auto"/>
        <w:ind w:left="709" w:right="709"/>
        <w:jc w:val="both"/>
        <w:rPr>
          <w:rFonts w:ascii="Verdana" w:eastAsia="Times New Roman" w:hAnsi="Verdana" w:cs="Times New Roman"/>
          <w:sz w:val="20"/>
          <w:szCs w:val="20"/>
          <w:lang w:eastAsia="es-CO"/>
        </w:rPr>
      </w:pPr>
    </w:p>
    <w:p w14:paraId="2534328C" w14:textId="77777777" w:rsidR="0096161C" w:rsidRPr="00C96899" w:rsidRDefault="0096161C" w:rsidP="0096161C">
      <w:pPr>
        <w:spacing w:after="120" w:line="276" w:lineRule="auto"/>
        <w:ind w:firstLine="709"/>
        <w:jc w:val="both"/>
        <w:rPr>
          <w:rFonts w:ascii="Verdana" w:eastAsia="Calibri" w:hAnsi="Verdana" w:cs="Arial"/>
          <w:lang w:val="es-ES_tradnl" w:eastAsia="es-ES_tradnl"/>
        </w:rPr>
      </w:pPr>
      <w:r w:rsidRPr="00C96899">
        <w:rPr>
          <w:rFonts w:ascii="Verdana" w:eastAsia="Calibri" w:hAnsi="Verdana" w:cs="Arial"/>
          <w:lang w:val="es-ES" w:eastAsia="es-ES"/>
        </w:rPr>
        <w:t xml:space="preserve">De manera preliminar, resulta necesario resaltar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C96899">
        <w:rPr>
          <w:rFonts w:ascii="Verdana" w:eastAsia="Calibri" w:hAnsi="Verdana" w:cs="Arial"/>
          <w:lang w:val="es-ES_tradnl" w:eastAsia="es-ES_tradnl"/>
        </w:rPr>
        <w:tab/>
      </w:r>
    </w:p>
    <w:p w14:paraId="5E83ED17" w14:textId="77777777" w:rsidR="0096161C" w:rsidRPr="00C96899" w:rsidRDefault="0096161C" w:rsidP="0096161C">
      <w:pPr>
        <w:spacing w:after="0" w:line="276" w:lineRule="auto"/>
        <w:ind w:firstLine="708"/>
        <w:jc w:val="both"/>
        <w:rPr>
          <w:rFonts w:ascii="Verdana" w:eastAsia="Calibri" w:hAnsi="Verdana" w:cs="Arial"/>
          <w:lang w:val="es-ES" w:eastAsia="es-ES"/>
        </w:rPr>
      </w:pPr>
      <w:r w:rsidRPr="00C96899">
        <w:rPr>
          <w:rFonts w:ascii="Verdana" w:eastAsia="Calibri" w:hAnsi="Verdana" w:cs="Arial"/>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w:t>
      </w:r>
    </w:p>
    <w:p w14:paraId="062B6918" w14:textId="77777777" w:rsidR="0096161C" w:rsidRPr="00C96899" w:rsidRDefault="0096161C" w:rsidP="0096161C">
      <w:pPr>
        <w:spacing w:after="0" w:line="276" w:lineRule="auto"/>
        <w:ind w:firstLine="709"/>
        <w:jc w:val="both"/>
        <w:rPr>
          <w:rFonts w:ascii="Verdana" w:eastAsia="Calibri" w:hAnsi="Verdana" w:cs="Arial"/>
          <w:lang w:val="es-ES" w:eastAsia="es-ES"/>
        </w:rPr>
      </w:pPr>
    </w:p>
    <w:p w14:paraId="4A6B7A1C" w14:textId="77777777" w:rsidR="0096161C" w:rsidRPr="00C96899" w:rsidRDefault="0096161C" w:rsidP="0096161C">
      <w:pPr>
        <w:numPr>
          <w:ilvl w:val="0"/>
          <w:numId w:val="16"/>
        </w:numPr>
        <w:tabs>
          <w:tab w:val="left" w:pos="142"/>
          <w:tab w:val="left" w:pos="284"/>
        </w:tabs>
        <w:spacing w:after="0" w:line="276" w:lineRule="auto"/>
        <w:contextualSpacing/>
        <w:jc w:val="both"/>
        <w:rPr>
          <w:rFonts w:ascii="Verdana" w:eastAsia="Century Gothic" w:hAnsi="Verdana" w:cs="Century Gothic"/>
          <w:b/>
          <w:bCs/>
          <w:lang w:val="es-ES"/>
        </w:rPr>
      </w:pPr>
      <w:r w:rsidRPr="00C96899">
        <w:rPr>
          <w:rFonts w:ascii="Verdana" w:eastAsia="Century Gothic" w:hAnsi="Verdana" w:cs="Century Gothic"/>
          <w:b/>
          <w:bCs/>
          <w:lang w:val="es-ES"/>
        </w:rPr>
        <w:t>Problema planteado:</w:t>
      </w:r>
    </w:p>
    <w:p w14:paraId="18386D73" w14:textId="77777777" w:rsidR="0096161C" w:rsidRPr="0092095D" w:rsidRDefault="0096161C" w:rsidP="0096161C">
      <w:pPr>
        <w:tabs>
          <w:tab w:val="left" w:pos="426"/>
        </w:tabs>
        <w:spacing w:after="0" w:line="276" w:lineRule="auto"/>
        <w:jc w:val="both"/>
        <w:rPr>
          <w:rFonts w:ascii="Verdana" w:eastAsia="Century Gothic" w:hAnsi="Verdana" w:cs="Century Gothic"/>
          <w:lang w:val="es-ES"/>
        </w:rPr>
      </w:pPr>
    </w:p>
    <w:p w14:paraId="47CB901F" w14:textId="77777777" w:rsidR="0096161C" w:rsidRPr="00B3257B" w:rsidRDefault="0096161C" w:rsidP="0096161C">
      <w:pPr>
        <w:spacing w:line="276" w:lineRule="auto"/>
        <w:jc w:val="both"/>
        <w:rPr>
          <w:rFonts w:ascii="Verdana" w:eastAsia="Century Gothic" w:hAnsi="Verdana" w:cs="Century Gothic"/>
        </w:rPr>
      </w:pPr>
      <w:r w:rsidRPr="00B3257B">
        <w:rPr>
          <w:rFonts w:ascii="Verdana" w:eastAsia="Century Gothic" w:hAnsi="Verdana" w:cs="Century Gothic"/>
        </w:rPr>
        <w:t>De acuerdo con el contenido de su solicitud, esta Agencia resolverá el siguiente problema jurídico:</w:t>
      </w:r>
    </w:p>
    <w:p w14:paraId="6764C9B4" w14:textId="77777777" w:rsidR="0096161C" w:rsidRPr="005441A5" w:rsidRDefault="0096161C" w:rsidP="0096161C">
      <w:pPr>
        <w:pStyle w:val="Prrafodelista"/>
        <w:numPr>
          <w:ilvl w:val="0"/>
          <w:numId w:val="19"/>
        </w:numPr>
        <w:snapToGrid w:val="0"/>
        <w:spacing w:after="0" w:line="276" w:lineRule="auto"/>
        <w:jc w:val="both"/>
        <w:rPr>
          <w:rFonts w:ascii="Verdana" w:eastAsia="Century Gothic" w:hAnsi="Verdana" w:cs="Century Gothic"/>
        </w:rPr>
      </w:pPr>
      <w:r w:rsidRPr="005441A5">
        <w:rPr>
          <w:rFonts w:ascii="Verdana" w:eastAsia="Century Gothic" w:hAnsi="Verdana" w:cs="Century Gothic"/>
        </w:rPr>
        <w:t>¿Cuál es el alcance de los Documentos Tipo adoptados por la Agencia Nacional de Contratación Pública – Colombia Compra Eficiente para la contratación de interventoría en el sector de infraestructura social?</w:t>
      </w:r>
    </w:p>
    <w:p w14:paraId="209AF36E" w14:textId="77777777" w:rsidR="0096161C" w:rsidRPr="00B3257B" w:rsidRDefault="0096161C" w:rsidP="0096161C">
      <w:pPr>
        <w:pStyle w:val="Prrafodelista"/>
        <w:spacing w:line="276" w:lineRule="auto"/>
        <w:ind w:left="567"/>
        <w:jc w:val="both"/>
        <w:rPr>
          <w:rFonts w:ascii="Verdana" w:eastAsia="Century Gothic" w:hAnsi="Verdana" w:cs="Century Gothic"/>
        </w:rPr>
      </w:pPr>
    </w:p>
    <w:p w14:paraId="73799228" w14:textId="77777777" w:rsidR="0096161C" w:rsidRPr="002F0DEA" w:rsidRDefault="0096161C" w:rsidP="0096161C">
      <w:pPr>
        <w:pStyle w:val="Prrafodelista"/>
        <w:numPr>
          <w:ilvl w:val="0"/>
          <w:numId w:val="16"/>
        </w:numPr>
        <w:spacing w:line="276" w:lineRule="auto"/>
        <w:jc w:val="both"/>
        <w:rPr>
          <w:rFonts w:ascii="Verdana" w:eastAsia="Century Gothic" w:hAnsi="Verdana" w:cs="Century Gothic"/>
          <w:b/>
          <w:bCs/>
        </w:rPr>
      </w:pPr>
      <w:r w:rsidRPr="00C96899">
        <w:rPr>
          <w:rFonts w:ascii="Verdana" w:eastAsia="Century Gothic" w:hAnsi="Verdana" w:cs="Century Gothic"/>
          <w:b/>
          <w:bCs/>
        </w:rPr>
        <w:t>Respuesta:</w:t>
      </w:r>
    </w:p>
    <w:tbl>
      <w:tblPr>
        <w:tblStyle w:val="Tablaconcuadrcula1"/>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96161C" w:rsidRPr="00C96899" w14:paraId="3D4668A1" w14:textId="77777777" w:rsidTr="002C4F43">
        <w:trPr>
          <w:trHeight w:val="169"/>
        </w:trPr>
        <w:tc>
          <w:tcPr>
            <w:tcW w:w="8828" w:type="dxa"/>
            <w:tcBorders>
              <w:top w:val="dotted" w:sz="4" w:space="0" w:color="auto"/>
              <w:left w:val="dotted" w:sz="4" w:space="0" w:color="auto"/>
              <w:bottom w:val="dotted" w:sz="4" w:space="0" w:color="auto"/>
              <w:right w:val="dotted" w:sz="4" w:space="0" w:color="auto"/>
            </w:tcBorders>
          </w:tcPr>
          <w:p w14:paraId="19E90883" w14:textId="77777777" w:rsidR="0096161C" w:rsidRDefault="0096161C" w:rsidP="002C4F43">
            <w:pPr>
              <w:widowControl w:val="0"/>
              <w:autoSpaceDE w:val="0"/>
              <w:autoSpaceDN w:val="0"/>
              <w:spacing w:after="120" w:line="276" w:lineRule="auto"/>
              <w:jc w:val="both"/>
              <w:rPr>
                <w:rFonts w:ascii="Verdana" w:eastAsia="Calibri" w:hAnsi="Verdana" w:cs="Arial"/>
                <w:shd w:val="clear" w:color="auto" w:fill="FFFFFF"/>
                <w:lang w:val="es-ES"/>
              </w:rPr>
            </w:pPr>
            <w:r>
              <w:rPr>
                <w:rFonts w:ascii="Verdana" w:eastAsia="Calibri" w:hAnsi="Verdana" w:cs="Arial"/>
                <w:shd w:val="clear" w:color="auto" w:fill="FFFFFF"/>
              </w:rPr>
              <w:t xml:space="preserve">I). </w:t>
            </w:r>
            <w:r w:rsidRPr="007872A8">
              <w:rPr>
                <w:rFonts w:ascii="Verdana" w:eastAsia="Calibri" w:hAnsi="Verdana" w:cs="Arial"/>
                <w:shd w:val="clear" w:color="auto" w:fill="FFFFFF"/>
                <w:lang w:val="es-ES"/>
              </w:rPr>
              <w:t xml:space="preserve">En relación con los Documentos Tipo aplicables a los procesos de </w:t>
            </w:r>
            <w:r w:rsidRPr="007872A8">
              <w:rPr>
                <w:rFonts w:ascii="Verdana" w:eastAsia="Calibri" w:hAnsi="Verdana" w:cs="Arial"/>
                <w:shd w:val="clear" w:color="auto" w:fill="FFFFFF"/>
                <w:lang w:val="es-ES"/>
              </w:rPr>
              <w:lastRenderedPageBreak/>
              <w:t>contratación de interventoría de infraestructura social, la Agencia Nacional de Contratación Pública – Colombia Compra Eficiente expidió la Resolución 953 del 15 de diciembre de 2025, mediante la cual adoptó la versión 2 de los Documentos Tipo transversales para los procesos de selección mediante la modalidad de concurso de méritos para contratar la interventoría de obras públicas de infraestructura social, así como los documentos complementarios correspondientes a los sectores de educación, salud, cultura, recreación y deporte, institucional y vivienda.</w:t>
            </w:r>
          </w:p>
          <w:p w14:paraId="1BF8465C" w14:textId="77777777" w:rsidR="0096161C" w:rsidRPr="007872A8" w:rsidRDefault="0096161C" w:rsidP="002C4F43">
            <w:pPr>
              <w:widowControl w:val="0"/>
              <w:autoSpaceDE w:val="0"/>
              <w:autoSpaceDN w:val="0"/>
              <w:spacing w:after="120" w:line="276" w:lineRule="auto"/>
              <w:ind w:firstLine="709"/>
              <w:jc w:val="both"/>
              <w:rPr>
                <w:rFonts w:ascii="Verdana" w:eastAsia="Calibri" w:hAnsi="Verdana" w:cs="Arial"/>
                <w:shd w:val="clear" w:color="auto" w:fill="FFFFFF"/>
              </w:rPr>
            </w:pPr>
            <w:r w:rsidRPr="007872A8">
              <w:rPr>
                <w:rFonts w:ascii="Verdana" w:eastAsia="Calibri" w:hAnsi="Verdana" w:cs="Arial"/>
                <w:shd w:val="clear" w:color="auto" w:fill="FFFFFF"/>
                <w:lang w:val="es-ES"/>
              </w:rPr>
              <w:t>De conformidad con el artículo 22 de la citada resolución, estos Documentos Tipo son aplicables a los procesos de selección cuyo objeto sea contratar la interventoría de obras públicas de infraestructura social en los sectores señalados, siempre que el aviso de convocatoria se publique a partir del 16 de febrero de 2026. Asimismo, esta disposición derogó la Resolución 798 del 29 de diciembre de 2023 y sus modificaciones posteriores.</w:t>
            </w:r>
          </w:p>
          <w:p w14:paraId="1EAFF6D0" w14:textId="77777777" w:rsidR="0096161C" w:rsidRPr="00E20F97" w:rsidRDefault="0096161C" w:rsidP="002C4F43">
            <w:pPr>
              <w:widowControl w:val="0"/>
              <w:autoSpaceDE w:val="0"/>
              <w:autoSpaceDN w:val="0"/>
              <w:spacing w:after="120" w:line="276" w:lineRule="auto"/>
              <w:ind w:firstLine="709"/>
              <w:jc w:val="both"/>
              <w:rPr>
                <w:rFonts w:ascii="Verdana" w:eastAsia="Calibri" w:hAnsi="Verdana" w:cs="Arial"/>
                <w:shd w:val="clear" w:color="auto" w:fill="FFFFFF"/>
                <w:lang w:val="es-ES"/>
              </w:rPr>
            </w:pPr>
            <w:r w:rsidRPr="007872A8">
              <w:rPr>
                <w:rFonts w:ascii="Verdana" w:eastAsia="Calibri" w:hAnsi="Verdana" w:cs="Arial"/>
                <w:shd w:val="clear" w:color="auto" w:fill="FFFFFF"/>
                <w:lang w:val="es-ES"/>
              </w:rPr>
              <w:t>Por lo tanto, para estructurar los procesos de selección mediante concurso de méritos destinados a contratar la interventoría las entidades estatales deberán atender a los Documentos Tipo adoptados mediante la Resolución 953 de 2025, verificando que el objeto contractual y el sector del proyecto se encuentren comprendidos en su ámbito de aplicación y que se cumpla la regla de vigencia prevista en dicha disposición</w:t>
            </w:r>
            <w:r>
              <w:rPr>
                <w:rFonts w:ascii="Verdana" w:eastAsia="Calibri" w:hAnsi="Verdana" w:cs="Arial"/>
                <w:shd w:val="clear" w:color="auto" w:fill="FFFFFF"/>
                <w:lang w:val="es-ES"/>
              </w:rPr>
              <w:t xml:space="preserve">, esto es </w:t>
            </w:r>
            <w:r w:rsidRPr="0043346E">
              <w:rPr>
                <w:rFonts w:ascii="Verdana" w:eastAsia="Aptos" w:hAnsi="Verdana" w:cs="Times New Roman"/>
                <w:kern w:val="2"/>
                <w14:ligatures w14:val="standardContextual"/>
              </w:rPr>
              <w:t>en los procesos de selección cuyo aviso de convocatoria se publique a partir del 16 de febrero de 2026</w:t>
            </w:r>
            <w:r w:rsidRPr="0043346E">
              <w:rPr>
                <w:rFonts w:ascii="Verdana" w:eastAsia="Calibri" w:hAnsi="Verdana" w:cs="Arial"/>
                <w:kern w:val="2"/>
                <w:vertAlign w:val="superscript"/>
                <w14:ligatures w14:val="standardContextual"/>
              </w:rPr>
              <w:footnoteReference w:id="2"/>
            </w:r>
            <w:r w:rsidRPr="0043346E">
              <w:rPr>
                <w:rFonts w:ascii="Verdana" w:eastAsia="Calibri" w:hAnsi="Verdana" w:cs="Arial"/>
                <w:kern w:val="2"/>
                <w14:ligatures w14:val="standardContextual"/>
              </w:rPr>
              <w:t>.</w:t>
            </w:r>
          </w:p>
          <w:p w14:paraId="5F9C56AA" w14:textId="77777777" w:rsidR="0096161C" w:rsidRPr="0043346E" w:rsidRDefault="0096161C" w:rsidP="002C4F43">
            <w:pPr>
              <w:widowControl w:val="0"/>
              <w:autoSpaceDE w:val="0"/>
              <w:autoSpaceDN w:val="0"/>
              <w:spacing w:after="120" w:line="276" w:lineRule="auto"/>
              <w:ind w:firstLine="708"/>
              <w:jc w:val="both"/>
              <w:rPr>
                <w:rFonts w:ascii="Verdana" w:eastAsia="Calibri" w:hAnsi="Verdana" w:cs="Times New Roman"/>
                <w:kern w:val="2"/>
                <w:lang w:val="es-ES"/>
                <w14:ligatures w14:val="standardContextual"/>
              </w:rPr>
            </w:pPr>
            <w:r w:rsidRPr="0043346E">
              <w:rPr>
                <w:rFonts w:ascii="Verdana" w:eastAsia="Calibri" w:hAnsi="Verdana" w:cs="Times New Roman"/>
                <w:kern w:val="2"/>
                <w:lang w:val="es-ES"/>
                <w14:ligatures w14:val="standardContextual"/>
              </w:rPr>
              <w:lastRenderedPageBreak/>
              <w:t xml:space="preserve">Es importante resaltar que, en virtud de la regla de inalterabilidad, los documentos tipo solo pueden ser modificados en los aspectos en que estos lo permitan. Esto corresponde a aquellos elementos que se encuentran entre corchetes y resaltados en gris </w:t>
            </w:r>
            <w:r w:rsidRPr="0043346E">
              <w:rPr>
                <w:rFonts w:ascii="Verdana" w:eastAsia="Calibri" w:hAnsi="Verdana" w:cs="Times New Roman"/>
                <w:kern w:val="2"/>
                <w:shd w:val="clear" w:color="auto" w:fill="E8E8E8"/>
                <w:lang w:val="es-ES"/>
                <w14:ligatures w14:val="standardContextual"/>
              </w:rPr>
              <w:t>–[texto]–,</w:t>
            </w:r>
            <w:r w:rsidRPr="0043346E">
              <w:rPr>
                <w:rFonts w:ascii="Verdana" w:eastAsia="Calibri" w:hAnsi="Verdana" w:cs="Times New Roman"/>
                <w:kern w:val="2"/>
                <w:lang w:val="es-ES"/>
                <w14:ligatures w14:val="standardContextual"/>
              </w:rPr>
              <w:t xml:space="preserve"> para lo cual deberán observarse las instrucciones contenidas en los mismos para su diligenciamiento.</w:t>
            </w:r>
          </w:p>
          <w:p w14:paraId="0BB58E14" w14:textId="77777777" w:rsidR="0096161C" w:rsidRPr="0043346E" w:rsidRDefault="0096161C" w:rsidP="002C4F43">
            <w:pPr>
              <w:widowControl w:val="0"/>
              <w:autoSpaceDE w:val="0"/>
              <w:autoSpaceDN w:val="0"/>
              <w:spacing w:after="120" w:line="276" w:lineRule="auto"/>
              <w:ind w:firstLine="708"/>
              <w:jc w:val="both"/>
              <w:rPr>
                <w:rFonts w:ascii="Verdana" w:eastAsia="Calibri" w:hAnsi="Verdana" w:cs="Times New Roman"/>
                <w:kern w:val="2"/>
                <w:lang w:val="es-ES"/>
                <w14:ligatures w14:val="standardContextual"/>
              </w:rPr>
            </w:pPr>
            <w:r w:rsidRPr="0043346E">
              <w:rPr>
                <w:rFonts w:ascii="Verdana" w:eastAsia="Calibri" w:hAnsi="Verdana" w:cs="Times New Roman"/>
                <w:kern w:val="2"/>
                <w:lang w:val="es-ES"/>
                <w14:ligatures w14:val="standardContextual"/>
              </w:rPr>
              <w:t xml:space="preserve">Por lo tanto, la entidad solo podrá modificar aspectos de los documentos tipo cuando así esté permitido, en los términos expuestos. Lo anterior implica que, en los apartes en que los documentos tipo no lo permitan, la entidad deberá integrar el contenido de estos a su proceso de contratación sin ningún tipo de alteración. </w:t>
            </w:r>
          </w:p>
          <w:p w14:paraId="4F185255" w14:textId="77777777" w:rsidR="0096161C" w:rsidRPr="0043346E" w:rsidRDefault="0096161C" w:rsidP="002C4F43">
            <w:pPr>
              <w:widowControl w:val="0"/>
              <w:autoSpaceDE w:val="0"/>
              <w:autoSpaceDN w:val="0"/>
              <w:spacing w:after="120" w:line="276" w:lineRule="auto"/>
              <w:ind w:firstLine="708"/>
              <w:jc w:val="both"/>
              <w:rPr>
                <w:rFonts w:ascii="Verdana" w:eastAsia="Calibri" w:hAnsi="Verdana" w:cs="Times New Roman"/>
                <w:kern w:val="2"/>
                <w:lang w:val="es-ES"/>
                <w14:ligatures w14:val="standardContextual"/>
              </w:rPr>
            </w:pPr>
            <w:r w:rsidRPr="0043346E">
              <w:rPr>
                <w:rFonts w:ascii="Verdana" w:eastAsia="Calibri" w:hAnsi="Verdana" w:cs="Times New Roman"/>
                <w:kern w:val="2"/>
                <w:lang w:val="es-ES"/>
                <w14:ligatures w14:val="standardContextual"/>
              </w:rPr>
              <w:t>Para establecer si determinado objeto contractual se encuentra cobijado o no por los documentos tipo, es necesario determinar si el mismo se enmarca en los tipos de infraestructura, modalidades de selección y tipos de obra estandarizadas en las respectivas matrices de experiencia. De esta manera, solo resulta obligatoria la aplicación de un documento tipo en particular cuando se ha establecido que el objeto contractual y la modalidad en la que debe contratarse están dentro del ámbito de aplicación de las resoluciones expedidas por esta Agencia mediante las cuales se adoptan documentos tipo.</w:t>
            </w:r>
          </w:p>
          <w:p w14:paraId="731B6224" w14:textId="77777777" w:rsidR="0096161C" w:rsidRPr="0043346E" w:rsidRDefault="0096161C" w:rsidP="002C4F43">
            <w:pPr>
              <w:widowControl w:val="0"/>
              <w:autoSpaceDE w:val="0"/>
              <w:autoSpaceDN w:val="0"/>
              <w:spacing w:after="120" w:line="276" w:lineRule="auto"/>
              <w:ind w:firstLine="708"/>
              <w:jc w:val="both"/>
              <w:rPr>
                <w:rFonts w:ascii="Verdana" w:eastAsia="Calibri" w:hAnsi="Verdana" w:cs="Times New Roman"/>
                <w:kern w:val="2"/>
                <w:lang w:val="es-ES"/>
                <w14:ligatures w14:val="standardContextual"/>
              </w:rPr>
            </w:pPr>
            <w:r w:rsidRPr="0043346E">
              <w:rPr>
                <w:rFonts w:ascii="Verdana" w:eastAsia="Calibri" w:hAnsi="Verdana" w:cs="Times New Roman"/>
                <w:kern w:val="2"/>
                <w:lang w:val="es-ES"/>
                <w14:ligatures w14:val="standardContextual"/>
              </w:rPr>
              <w:t xml:space="preserve">Uno de los elementos comunes a los diferentes documentos tipo es la “Matriz – Experiencia”. Esta consta de unas celdas en las que se describe la experiencia requerida en relación con el objeto a contratar, definiendo además qué tipo de actividades relacionadas con cada sector deben acogerse a los pliegos tipo. Por otro lado, encontramos el “Anexo – Glosario”, el cual contiene las definiciones de los términos usados en los documentos del proceso. </w:t>
            </w:r>
            <w:r w:rsidRPr="0043346E">
              <w:rPr>
                <w:rFonts w:ascii="Verdana" w:eastAsia="Calibri" w:hAnsi="Verdana" w:cs="Times New Roman"/>
                <w:kern w:val="2"/>
                <w:lang w:val="es-ES"/>
                <w14:ligatures w14:val="standardContextual"/>
              </w:rPr>
              <w:lastRenderedPageBreak/>
              <w:t>Utilizando estos dos documentos, la entidad estatal puede definir si el objeto a contratarse debe emplear los documentos tipo adoptados por esta Agencia.</w:t>
            </w:r>
          </w:p>
          <w:p w14:paraId="7C90E20E" w14:textId="77777777" w:rsidR="0096161C" w:rsidRPr="0043346E" w:rsidRDefault="0096161C" w:rsidP="002C4F43">
            <w:pPr>
              <w:widowControl w:val="0"/>
              <w:autoSpaceDE w:val="0"/>
              <w:autoSpaceDN w:val="0"/>
              <w:spacing w:after="120" w:line="276" w:lineRule="auto"/>
              <w:ind w:firstLine="708"/>
              <w:jc w:val="both"/>
              <w:rPr>
                <w:rFonts w:ascii="Verdana" w:eastAsia="Calibri" w:hAnsi="Verdana" w:cs="Times New Roman"/>
                <w:kern w:val="2"/>
                <w:lang w:val="es-ES"/>
                <w14:ligatures w14:val="standardContextual"/>
              </w:rPr>
            </w:pPr>
            <w:r w:rsidRPr="0043346E">
              <w:rPr>
                <w:rFonts w:ascii="Verdana" w:eastAsia="Calibri" w:hAnsi="Verdana" w:cs="Times New Roman"/>
                <w:kern w:val="2"/>
                <w:lang w:val="es-ES"/>
                <w14:ligatures w14:val="standardContextual"/>
              </w:rPr>
              <w:t>La Matriz – Experiencia, cumple una doble función: Por un lado, sirve para estandarizar las condiciones de experiencia, conforme al parágrafo 7 del artículo 2 de la Ley 1150 de 2007. De otro lado, dicha matriz permite determinar el ámbito de aplicación de los documentos tipo respecto de objetos contractuales asociados, ya que son las actividades descritas en esta las que, obligatoriamente, deben contratarse aplicando documentos tipo.</w:t>
            </w:r>
          </w:p>
          <w:p w14:paraId="5D3D3157" w14:textId="77777777" w:rsidR="0096161C" w:rsidRDefault="0096161C" w:rsidP="002C4F43">
            <w:pPr>
              <w:widowControl w:val="0"/>
              <w:autoSpaceDE w:val="0"/>
              <w:autoSpaceDN w:val="0"/>
              <w:spacing w:line="276" w:lineRule="auto"/>
              <w:ind w:firstLine="708"/>
              <w:jc w:val="both"/>
              <w:rPr>
                <w:rFonts w:ascii="Verdana" w:eastAsia="Calibri" w:hAnsi="Verdana" w:cs="Times New Roman"/>
                <w:kern w:val="2"/>
                <w:lang w:val="es-ES"/>
                <w14:ligatures w14:val="standardContextual"/>
              </w:rPr>
            </w:pPr>
            <w:r w:rsidRPr="0043346E">
              <w:rPr>
                <w:rFonts w:ascii="Verdana" w:eastAsia="Calibri" w:hAnsi="Verdana" w:cs="Times New Roman"/>
                <w:kern w:val="2"/>
                <w:lang w:val="es-ES"/>
                <w14:ligatures w14:val="standardContextual"/>
              </w:rPr>
              <w:t>De esta manera, para saber a qué actividades deben aplicarse los documentos tipo de infraestructura social expedidos por esta Agencia, la entidad debe verificar que estos apliquen para la modalidad de selección en la que debe celebrarse el proceso, subsumiendo el objeto a contratar en los tipos de proyectos de infraestructura a contratarse. Por tanto, si el objeto contractual a ejecutar se encuadra materialmente dentro de alguno de los tipos actividades concretas señaladas en cada una de las matrices de experiencia, se tendrán que aplicar estos documentos tipo para los mencionados sectores −según corresponda−, mientras que en el caso contrario no será forzosa su aplicación.</w:t>
            </w:r>
          </w:p>
          <w:p w14:paraId="0F9AB2FF" w14:textId="77777777" w:rsidR="0096161C" w:rsidRDefault="0096161C" w:rsidP="002C4F43">
            <w:pPr>
              <w:widowControl w:val="0"/>
              <w:autoSpaceDE w:val="0"/>
              <w:autoSpaceDN w:val="0"/>
              <w:spacing w:line="276" w:lineRule="auto"/>
              <w:ind w:firstLine="708"/>
              <w:jc w:val="both"/>
              <w:rPr>
                <w:rFonts w:ascii="Verdana" w:eastAsia="Calibri" w:hAnsi="Verdana" w:cs="Times New Roman"/>
                <w:kern w:val="2"/>
                <w:lang w:val="es-ES"/>
                <w14:ligatures w14:val="standardContextual"/>
              </w:rPr>
            </w:pPr>
          </w:p>
          <w:p w14:paraId="3CD192B0" w14:textId="77777777" w:rsidR="0096161C" w:rsidRDefault="0096161C" w:rsidP="002C4F43">
            <w:pPr>
              <w:widowControl w:val="0"/>
              <w:autoSpaceDE w:val="0"/>
              <w:autoSpaceDN w:val="0"/>
              <w:spacing w:line="276" w:lineRule="auto"/>
              <w:ind w:firstLine="708"/>
              <w:jc w:val="both"/>
              <w:rPr>
                <w:rFonts w:ascii="Verdana" w:eastAsia="Calibri" w:hAnsi="Verdana" w:cs="Times New Roman"/>
                <w:kern w:val="2"/>
                <w:lang w:val="es-ES"/>
                <w14:ligatures w14:val="standardContextual"/>
              </w:rPr>
            </w:pPr>
            <w:r w:rsidRPr="00DB763F">
              <w:rPr>
                <w:rFonts w:ascii="Verdana" w:eastAsia="Calibri" w:hAnsi="Verdana" w:cs="Times New Roman"/>
                <w:kern w:val="2"/>
                <w:lang w:val="es-ES"/>
                <w14:ligatures w14:val="standardContextual"/>
              </w:rPr>
              <w:t>En el marco de los Documentos Tipo para la contratación de interventoría de obras públicas de infraestructura social, la Resolución 953 del 15 de diciembre de 2025 contempla documentos complementarios asociados a los sectores de educación, salud, cultura, recreación y deporte, institucional y vivienda. Estos documentos atienden a las particularidades de los proyectos comprendidos en cada subsector y complementan las disposiciones transversales aplicables a los procesos de selección mediante concurso de méritos. En este sentido, para determinar su aplicación, resulta pertinente identificar las actividades y tipos de proyectos comprendidos en cada uno de los subsectores previstos en la regulación.</w:t>
            </w:r>
          </w:p>
          <w:p w14:paraId="4EF550AA" w14:textId="77777777" w:rsidR="0096161C" w:rsidRDefault="0096161C" w:rsidP="002C4F43">
            <w:pPr>
              <w:widowControl w:val="0"/>
              <w:autoSpaceDE w:val="0"/>
              <w:autoSpaceDN w:val="0"/>
              <w:spacing w:line="276" w:lineRule="auto"/>
              <w:ind w:firstLine="708"/>
              <w:jc w:val="both"/>
              <w:rPr>
                <w:rFonts w:ascii="Verdana" w:eastAsia="Calibri" w:hAnsi="Verdana" w:cs="Times New Roman"/>
                <w:kern w:val="2"/>
                <w:lang w:val="es-ES"/>
                <w14:ligatures w14:val="standardContextual"/>
              </w:rPr>
            </w:pPr>
          </w:p>
          <w:p w14:paraId="342464B9" w14:textId="77777777" w:rsidR="0096161C" w:rsidRDefault="0096161C" w:rsidP="002C4F43">
            <w:pPr>
              <w:widowControl w:val="0"/>
              <w:autoSpaceDE w:val="0"/>
              <w:autoSpaceDN w:val="0"/>
              <w:spacing w:line="276" w:lineRule="auto"/>
              <w:ind w:firstLine="708"/>
              <w:jc w:val="both"/>
              <w:rPr>
                <w:rFonts w:ascii="Verdana" w:eastAsia="Calibri" w:hAnsi="Verdana" w:cs="Arial"/>
                <w:bCs/>
                <w:color w:val="000000"/>
                <w:lang w:eastAsia="es-MX"/>
              </w:rPr>
            </w:pPr>
            <w:r w:rsidRPr="00FE66BB">
              <w:rPr>
                <w:rFonts w:ascii="Verdana" w:eastAsia="Calibri" w:hAnsi="Verdana" w:cs="Arial"/>
                <w:bCs/>
                <w:color w:val="000000"/>
                <w:lang w:eastAsia="es-MX"/>
              </w:rPr>
              <w:t xml:space="preserve">Al margen de la explicación precedente debe advertirse que el análisis requerido para resolver problemas específicos en torno a la gestión contractual de las entidades públicas debe ser realizado por quienes tengan interés en ello, de acuerdo con lo explicado en la aclaración preliminar del presente oficio. De esta manera, las afirmaciones aquí realizadas no pueden ser interpretadas </w:t>
            </w:r>
            <w:r w:rsidRPr="00FE66BB">
              <w:rPr>
                <w:rFonts w:ascii="Verdana" w:eastAsia="Calibri" w:hAnsi="Verdana" w:cs="Arial"/>
                <w:bCs/>
                <w:color w:val="000000"/>
                <w:lang w:eastAsia="es-MX"/>
              </w:rPr>
              <w:lastRenderedPageBreak/>
              <w:t>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7338D450" w14:textId="77777777" w:rsidR="0096161C" w:rsidRPr="00365A67" w:rsidRDefault="0096161C" w:rsidP="002C4F43">
            <w:pPr>
              <w:widowControl w:val="0"/>
              <w:autoSpaceDE w:val="0"/>
              <w:autoSpaceDN w:val="0"/>
              <w:spacing w:line="276" w:lineRule="auto"/>
              <w:ind w:firstLine="708"/>
              <w:jc w:val="both"/>
              <w:rPr>
                <w:rFonts w:ascii="Verdana" w:eastAsia="Calibri" w:hAnsi="Verdana" w:cs="Times New Roman"/>
                <w:kern w:val="2"/>
                <w:lang w:val="es-ES"/>
                <w14:ligatures w14:val="standardContextual"/>
              </w:rPr>
            </w:pPr>
          </w:p>
          <w:p w14:paraId="6635E95C" w14:textId="77777777" w:rsidR="0096161C" w:rsidRPr="00365A67" w:rsidRDefault="0096161C" w:rsidP="002C4F43">
            <w:pPr>
              <w:spacing w:after="120" w:line="276" w:lineRule="auto"/>
              <w:ind w:firstLine="708"/>
              <w:jc w:val="both"/>
              <w:rPr>
                <w:rFonts w:ascii="Verdana" w:eastAsia="Calibri" w:hAnsi="Verdana" w:cs="Arial"/>
                <w:bCs/>
                <w:color w:val="000000"/>
                <w:lang w:eastAsia="es-MX"/>
              </w:rPr>
            </w:pPr>
            <w:r w:rsidRPr="00FE66BB">
              <w:rPr>
                <w:rFonts w:ascii="Verdana" w:eastAsia="Calibri" w:hAnsi="Verdana" w:cs="Arial"/>
                <w:bCs/>
                <w:color w:val="000000"/>
                <w:lang w:eastAsia="es-MX"/>
              </w:rPr>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w:t>
            </w:r>
          </w:p>
        </w:tc>
      </w:tr>
    </w:tbl>
    <w:p w14:paraId="5128CC24" w14:textId="77777777" w:rsidR="0096161C" w:rsidRPr="00C96899" w:rsidRDefault="0096161C" w:rsidP="0096161C">
      <w:pPr>
        <w:tabs>
          <w:tab w:val="left" w:pos="142"/>
          <w:tab w:val="left" w:pos="284"/>
        </w:tabs>
        <w:spacing w:after="0" w:line="276" w:lineRule="auto"/>
        <w:ind w:left="142" w:hanging="142"/>
        <w:jc w:val="both"/>
        <w:rPr>
          <w:rFonts w:ascii="Verdana" w:eastAsia="Century Gothic" w:hAnsi="Verdana" w:cs="Century Gothic"/>
          <w:b/>
          <w:bCs/>
          <w:lang w:val="es-ES"/>
        </w:rPr>
      </w:pPr>
    </w:p>
    <w:p w14:paraId="252C713F" w14:textId="77777777" w:rsidR="0096161C" w:rsidRPr="00C96899" w:rsidRDefault="0096161C" w:rsidP="0096161C">
      <w:pPr>
        <w:numPr>
          <w:ilvl w:val="0"/>
          <w:numId w:val="16"/>
        </w:numPr>
        <w:tabs>
          <w:tab w:val="left" w:pos="142"/>
          <w:tab w:val="left" w:pos="284"/>
        </w:tabs>
        <w:spacing w:after="0" w:line="276" w:lineRule="auto"/>
        <w:contextualSpacing/>
        <w:jc w:val="both"/>
        <w:rPr>
          <w:rFonts w:ascii="Verdana" w:eastAsia="Calibri" w:hAnsi="Verdana" w:cs="Arial"/>
          <w:lang w:val="es-ES" w:eastAsia="es-MX"/>
        </w:rPr>
      </w:pPr>
      <w:r w:rsidRPr="00C96899">
        <w:rPr>
          <w:rFonts w:ascii="Verdana" w:eastAsia="Century Gothic" w:hAnsi="Verdana" w:cs="Century Gothic"/>
          <w:b/>
          <w:bCs/>
          <w:lang w:val="es-ES"/>
        </w:rPr>
        <w:t>Razones de la respuesta:</w:t>
      </w:r>
    </w:p>
    <w:p w14:paraId="35015481" w14:textId="77777777" w:rsidR="0096161C" w:rsidRPr="00C96899" w:rsidRDefault="0096161C" w:rsidP="0096161C">
      <w:pPr>
        <w:tabs>
          <w:tab w:val="left" w:pos="142"/>
          <w:tab w:val="left" w:pos="284"/>
        </w:tabs>
        <w:spacing w:after="0" w:line="276" w:lineRule="auto"/>
        <w:contextualSpacing/>
        <w:jc w:val="both"/>
        <w:rPr>
          <w:rFonts w:ascii="Verdana" w:eastAsia="Century Gothic" w:hAnsi="Verdana" w:cs="Century Gothic"/>
          <w:b/>
          <w:bCs/>
          <w:lang w:val="es-ES"/>
        </w:rPr>
      </w:pPr>
    </w:p>
    <w:p w14:paraId="0F13B1CE" w14:textId="77777777" w:rsidR="0096161C" w:rsidRPr="00C96899" w:rsidRDefault="0096161C" w:rsidP="0096161C">
      <w:pPr>
        <w:tabs>
          <w:tab w:val="left" w:pos="142"/>
          <w:tab w:val="left" w:pos="284"/>
        </w:tabs>
        <w:spacing w:after="0" w:line="276" w:lineRule="auto"/>
        <w:contextualSpacing/>
        <w:jc w:val="both"/>
        <w:rPr>
          <w:rFonts w:ascii="Verdana" w:eastAsia="Calibri" w:hAnsi="Verdana" w:cs="Arial"/>
          <w:lang w:val="es-ES" w:eastAsia="es-MX"/>
        </w:rPr>
      </w:pPr>
      <w:r w:rsidRPr="00C96899">
        <w:rPr>
          <w:rFonts w:ascii="Verdana" w:eastAsia="Calibri" w:hAnsi="Verdana" w:cs="Arial"/>
          <w:lang w:val="es-ES" w:eastAsia="es-MX"/>
        </w:rPr>
        <w:t xml:space="preserve">Lo anterior se sustenta en las siguientes consideraciones: </w:t>
      </w:r>
    </w:p>
    <w:p w14:paraId="0198F69E" w14:textId="77777777" w:rsidR="0096161C" w:rsidRPr="00C96899" w:rsidRDefault="0096161C" w:rsidP="0096161C">
      <w:pPr>
        <w:tabs>
          <w:tab w:val="left" w:pos="142"/>
          <w:tab w:val="left" w:pos="284"/>
        </w:tabs>
        <w:spacing w:after="0" w:line="276" w:lineRule="auto"/>
        <w:contextualSpacing/>
        <w:jc w:val="both"/>
        <w:rPr>
          <w:rFonts w:ascii="Verdana" w:eastAsia="Calibri" w:hAnsi="Verdana" w:cs="Arial"/>
          <w:lang w:val="es-ES" w:eastAsia="es-MX"/>
        </w:rPr>
      </w:pPr>
    </w:p>
    <w:p w14:paraId="6439C983" w14:textId="77777777" w:rsidR="0096161C" w:rsidRPr="0066719F" w:rsidRDefault="0096161C" w:rsidP="0096161C">
      <w:pPr>
        <w:widowControl w:val="0"/>
        <w:autoSpaceDE w:val="0"/>
        <w:autoSpaceDN w:val="0"/>
        <w:spacing w:after="120" w:line="276" w:lineRule="auto"/>
        <w:jc w:val="both"/>
        <w:rPr>
          <w:rFonts w:ascii="Verdana" w:eastAsia="Aptos" w:hAnsi="Verdana" w:cs="Arial"/>
          <w:kern w:val="2"/>
          <w14:ligatures w14:val="standardContextual"/>
        </w:rPr>
      </w:pPr>
      <w:r w:rsidRPr="0066719F">
        <w:rPr>
          <w:rFonts w:ascii="Verdana" w:eastAsia="Aptos" w:hAnsi="Verdana" w:cs="Arial"/>
          <w:lang w:eastAsia="es-MX"/>
        </w:rPr>
        <w:t xml:space="preserve">I). </w:t>
      </w:r>
      <w:r w:rsidRPr="0066719F">
        <w:rPr>
          <w:rFonts w:ascii="Verdana" w:eastAsia="Aptos" w:hAnsi="Verdana" w:cs="Arial"/>
          <w:kern w:val="2"/>
          <w14:ligatures w14:val="standardContextual"/>
        </w:rPr>
        <w:t>El artículo 1 de la Ley 2022 de 2020 “Por la cual modifica el artículo 4 de la Ley 1882 de 2018 y se dictan otras disposiciones” otorga a la Agencia Nacional de Contratación Pública – Colombia Compra Eficiente la competencia para adoptar los documentos tipo que serán de obligatorio cumplimiento en la actividad contractual de todas las entidades sometidas al Estatuto General de la Administración Pública.</w:t>
      </w:r>
    </w:p>
    <w:p w14:paraId="17F496B0" w14:textId="77777777" w:rsidR="0096161C" w:rsidRPr="0066719F" w:rsidRDefault="0096161C" w:rsidP="0096161C">
      <w:pPr>
        <w:spacing w:after="120" w:line="276" w:lineRule="auto"/>
        <w:ind w:firstLine="708"/>
        <w:jc w:val="both"/>
        <w:rPr>
          <w:rFonts w:ascii="Verdana" w:eastAsia="Aptos" w:hAnsi="Verdana" w:cs="Arial"/>
          <w:kern w:val="2"/>
          <w14:ligatures w14:val="standardContextual"/>
        </w:rPr>
      </w:pPr>
      <w:r w:rsidRPr="0066719F">
        <w:rPr>
          <w:rFonts w:ascii="Verdana" w:eastAsia="Aptos" w:hAnsi="Verdana" w:cs="Arial"/>
          <w:kern w:val="2"/>
          <w:lang w:val="es-ES"/>
          <w14:ligatures w14:val="standardContextual"/>
        </w:rPr>
        <w:t xml:space="preserve">Con sustento en esta competencia, esta Agencia expidió diversos grupos de documentos tipo aplicables principalmente a la contratación de obras públicas de infraestructura de transporte, de agua potable y saneamiento básico y social, para interventoría y consultoría de estudios de ingeniería, pero también, para la celebración de convenios solidarios con Juntas de Acción Comunal y para los procesos de gestión catastral con enfoque multipropósito. De conformidad con las modalidades de selección establecidas en el artículo 2 de la Ley 1150 de 2007, estos documentos tipo se han expedido para las modalidades de selección </w:t>
      </w:r>
      <w:r w:rsidRPr="0066719F">
        <w:rPr>
          <w:rFonts w:ascii="Verdana" w:eastAsia="Aptos" w:hAnsi="Verdana" w:cs="Arial"/>
          <w:kern w:val="2"/>
          <w:lang w:val="es-ES"/>
          <w14:ligatures w14:val="standardContextual"/>
        </w:rPr>
        <w:lastRenderedPageBreak/>
        <w:t>de licitación pública, selección abreviada de menor cuantía, mínima cuantía, concurso de méritos y contratación directa.</w:t>
      </w:r>
    </w:p>
    <w:p w14:paraId="1D4592B1" w14:textId="77777777" w:rsidR="0096161C" w:rsidRPr="0066719F" w:rsidRDefault="0096161C" w:rsidP="0096161C">
      <w:pPr>
        <w:spacing w:after="120" w:line="276" w:lineRule="auto"/>
        <w:ind w:firstLine="708"/>
        <w:jc w:val="both"/>
        <w:rPr>
          <w:rFonts w:ascii="Verdana" w:eastAsia="Times New Roman" w:hAnsi="Verdana" w:cs="Times New Roman"/>
          <w:color w:val="000000"/>
          <w:kern w:val="2"/>
          <w:lang w:eastAsia="es-CO"/>
          <w14:ligatures w14:val="standardContextual"/>
        </w:rPr>
      </w:pPr>
      <w:r w:rsidRPr="0066719F">
        <w:rPr>
          <w:rFonts w:ascii="Verdana" w:eastAsia="Aptos" w:hAnsi="Verdana" w:cs="Arial"/>
          <w:kern w:val="2"/>
          <w14:ligatures w14:val="standardContextual"/>
        </w:rPr>
        <w:t xml:space="preserve">En el sector social, </w:t>
      </w:r>
      <w:r w:rsidRPr="0066719F">
        <w:rPr>
          <w:rFonts w:ascii="Verdana" w:eastAsia="Calibri" w:hAnsi="Verdana" w:cs="Arial"/>
          <w:kern w:val="2"/>
          <w:lang w:val="es-MX"/>
          <w14:ligatures w14:val="standardContextual"/>
        </w:rPr>
        <w:t xml:space="preserve">la Agencia Nacional de Contratación Pública – Colombia Compra </w:t>
      </w:r>
      <w:r w:rsidRPr="0066719F">
        <w:rPr>
          <w:rFonts w:ascii="Verdana" w:eastAsia="Calibri" w:hAnsi="Verdana" w:cs="Arial"/>
          <w:kern w:val="2"/>
          <w14:ligatures w14:val="standardContextual"/>
        </w:rPr>
        <w:t xml:space="preserve">Eficiente </w:t>
      </w:r>
      <w:r w:rsidRPr="0066719F">
        <w:rPr>
          <w:rFonts w:ascii="Verdana" w:eastAsia="Times New Roman" w:hAnsi="Verdana" w:cs="Times New Roman"/>
          <w:color w:val="000000"/>
          <w:kern w:val="2"/>
          <w:lang w:eastAsia="es-CO"/>
          <w14:ligatures w14:val="standardContextual"/>
        </w:rPr>
        <w:t xml:space="preserve">en el segundo semestre del año 2025 adoptó las siguientes Resoluciones para </w:t>
      </w:r>
      <w:r w:rsidRPr="0066719F">
        <w:rPr>
          <w:rFonts w:ascii="Verdana" w:eastAsia="Times New Roman" w:hAnsi="Verdana" w:cs="Times New Roman"/>
          <w:i/>
          <w:iCs/>
          <w:color w:val="000000"/>
          <w:kern w:val="2"/>
          <w:lang w:eastAsia="es-CO"/>
          <w14:ligatures w14:val="standardContextual"/>
        </w:rPr>
        <w:t>contratar obra pública</w:t>
      </w:r>
      <w:r w:rsidRPr="0066719F">
        <w:rPr>
          <w:rFonts w:ascii="Verdana" w:eastAsia="Times New Roman" w:hAnsi="Verdana" w:cs="Times New Roman"/>
          <w:color w:val="000000"/>
          <w:kern w:val="2"/>
          <w:lang w:eastAsia="es-CO"/>
          <w14:ligatures w14:val="standardContextual"/>
        </w:rPr>
        <w:t xml:space="preserve"> y concurso de méritos:</w:t>
      </w:r>
    </w:p>
    <w:p w14:paraId="11193EFC" w14:textId="77777777" w:rsidR="0096161C" w:rsidRPr="0066719F" w:rsidRDefault="0096161C" w:rsidP="0096161C">
      <w:pPr>
        <w:spacing w:after="120" w:line="276" w:lineRule="auto"/>
        <w:ind w:firstLine="708"/>
        <w:jc w:val="both"/>
        <w:rPr>
          <w:rFonts w:ascii="Verdana" w:eastAsia="Times New Roman" w:hAnsi="Verdana" w:cs="Times New Roman"/>
          <w:color w:val="000000"/>
          <w:kern w:val="2"/>
          <w:lang w:eastAsia="es-CO"/>
          <w14:ligatures w14:val="standardContextual"/>
        </w:rPr>
      </w:pPr>
      <w:r w:rsidRPr="0066719F">
        <w:rPr>
          <w:rFonts w:ascii="Verdana" w:eastAsia="Times New Roman" w:hAnsi="Verdana" w:cs="Times New Roman"/>
          <w:color w:val="000000"/>
          <w:kern w:val="2"/>
          <w:lang w:eastAsia="es-CO"/>
          <w14:ligatures w14:val="standardContextual"/>
        </w:rPr>
        <w:t>i) Resolución 539 del 21 de agosto de 2015 "Por la cual se adopta la versión -2- de los documentos tipo para los procesos de selección de licitación de obra pública del sector de infraestructura social y se deroga la Resolución 219 de 2021; se adoptan los documentos tipo complementarios para los procesos de licitación de obra pública de infraestructura social relacionados con los sectores de educación, salud, cultura, recreación y deporte - versión 2 y se derogan las Resoluciones 220, 392 у 454 de 2021; y se adoptan los documentos tipo complementarios para los procesos de licitación de obra pública de infraestructura social relacionados con los sectores institucional y vivienda".</w:t>
      </w:r>
    </w:p>
    <w:p w14:paraId="1092033F" w14:textId="77777777" w:rsidR="0096161C" w:rsidRPr="0066719F" w:rsidRDefault="0096161C" w:rsidP="0096161C">
      <w:pPr>
        <w:spacing w:after="120" w:line="276" w:lineRule="auto"/>
        <w:ind w:firstLine="708"/>
        <w:jc w:val="both"/>
        <w:rPr>
          <w:rFonts w:ascii="Verdana" w:eastAsia="Times New Roman" w:hAnsi="Verdana" w:cs="Times New Roman"/>
          <w:color w:val="000000"/>
          <w:kern w:val="2"/>
          <w:lang w:eastAsia="es-CO"/>
          <w14:ligatures w14:val="standardContextual"/>
        </w:rPr>
      </w:pPr>
      <w:r w:rsidRPr="0066719F">
        <w:rPr>
          <w:rFonts w:ascii="Verdana" w:eastAsia="Times New Roman" w:hAnsi="Verdana" w:cs="Times New Roman"/>
          <w:color w:val="000000"/>
          <w:kern w:val="2"/>
          <w:lang w:eastAsia="es-CO"/>
          <w14:ligatures w14:val="standardContextual"/>
        </w:rPr>
        <w:t xml:space="preserve"> </w:t>
      </w:r>
      <w:proofErr w:type="spellStart"/>
      <w:r w:rsidRPr="0066719F">
        <w:rPr>
          <w:rFonts w:ascii="Verdana" w:eastAsia="Times New Roman" w:hAnsi="Verdana" w:cs="Times New Roman"/>
          <w:color w:val="000000"/>
          <w:kern w:val="2"/>
          <w:lang w:eastAsia="es-CO"/>
          <w14:ligatures w14:val="standardContextual"/>
        </w:rPr>
        <w:t>ii</w:t>
      </w:r>
      <w:proofErr w:type="spellEnd"/>
      <w:r w:rsidRPr="0066719F">
        <w:rPr>
          <w:rFonts w:ascii="Verdana" w:eastAsia="Times New Roman" w:hAnsi="Verdana" w:cs="Times New Roman"/>
          <w:color w:val="000000"/>
          <w:kern w:val="2"/>
          <w:lang w:eastAsia="es-CO"/>
          <w14:ligatures w14:val="standardContextual"/>
        </w:rPr>
        <w:t>) Resolución 540 del 21 de agosto de 2025 "Por la cual se adoptan los documentos tipo para los procesos de selección abreviada de menor cuantía de obra pública de infraestructura social; y los documentos tipo complementarios para los procesos de selección abreviada de menor cuantía de obra pública de infraestructura social relacionados con los sectores educación, salud, cultura, recreación y deporte, institucional y vivienda".</w:t>
      </w:r>
    </w:p>
    <w:p w14:paraId="4C93361E" w14:textId="77777777" w:rsidR="0096161C" w:rsidRPr="0066719F" w:rsidRDefault="0096161C" w:rsidP="0096161C">
      <w:pPr>
        <w:spacing w:after="120" w:line="276" w:lineRule="auto"/>
        <w:ind w:firstLine="708"/>
        <w:jc w:val="both"/>
        <w:rPr>
          <w:rFonts w:ascii="Verdana" w:eastAsia="Times New Roman" w:hAnsi="Verdana" w:cs="Times New Roman"/>
          <w:color w:val="000000"/>
          <w:kern w:val="2"/>
          <w:lang w:eastAsia="es-CO"/>
          <w14:ligatures w14:val="standardContextual"/>
        </w:rPr>
      </w:pPr>
      <w:proofErr w:type="spellStart"/>
      <w:r w:rsidRPr="0066719F">
        <w:rPr>
          <w:rFonts w:ascii="Verdana" w:eastAsia="Times New Roman" w:hAnsi="Verdana" w:cs="Times New Roman"/>
          <w:color w:val="000000"/>
          <w:kern w:val="2"/>
          <w:lang w:eastAsia="es-CO"/>
          <w14:ligatures w14:val="standardContextual"/>
        </w:rPr>
        <w:t>iii</w:t>
      </w:r>
      <w:proofErr w:type="spellEnd"/>
      <w:r w:rsidRPr="0066719F">
        <w:rPr>
          <w:rFonts w:ascii="Verdana" w:eastAsia="Times New Roman" w:hAnsi="Verdana" w:cs="Times New Roman"/>
          <w:color w:val="000000"/>
          <w:kern w:val="2"/>
          <w:lang w:eastAsia="es-CO"/>
          <w14:ligatures w14:val="standardContextual"/>
        </w:rPr>
        <w:t xml:space="preserve">) Resolución 541 del 21 de agosto de 2025 “Por la cual se adoptan los documentos tipo para los procesos de mínima cuantía de obra pública de infraestructura social; y los documentos tipo complementarios para los procesos de mínima cuantía de obra pública de infraestructura social relacionados con los sectores educación, salud, cultura, recreación y deporte, institucional y vivienda”. </w:t>
      </w:r>
    </w:p>
    <w:p w14:paraId="468FF982" w14:textId="77777777" w:rsidR="0096161C" w:rsidRPr="0066719F" w:rsidRDefault="0096161C" w:rsidP="0096161C">
      <w:pPr>
        <w:spacing w:after="120" w:line="276" w:lineRule="auto"/>
        <w:ind w:firstLine="708"/>
        <w:jc w:val="both"/>
        <w:rPr>
          <w:rFonts w:ascii="Verdana" w:eastAsia="Times New Roman" w:hAnsi="Verdana" w:cs="Times New Roman"/>
          <w:color w:val="000000"/>
          <w:kern w:val="2"/>
          <w:lang w:eastAsia="es-CO"/>
          <w14:ligatures w14:val="standardContextual"/>
        </w:rPr>
      </w:pPr>
      <w:proofErr w:type="spellStart"/>
      <w:r w:rsidRPr="0066719F">
        <w:rPr>
          <w:rFonts w:ascii="Verdana" w:eastAsia="Times New Roman" w:hAnsi="Verdana" w:cs="Times New Roman"/>
          <w:color w:val="000000"/>
          <w:kern w:val="2"/>
          <w:lang w:eastAsia="es-CO"/>
          <w14:ligatures w14:val="standardContextual"/>
        </w:rPr>
        <w:t>iv</w:t>
      </w:r>
      <w:proofErr w:type="spellEnd"/>
      <w:r w:rsidRPr="0066719F">
        <w:rPr>
          <w:rFonts w:ascii="Verdana" w:eastAsia="Times New Roman" w:hAnsi="Verdana" w:cs="Times New Roman"/>
          <w:color w:val="000000"/>
          <w:kern w:val="2"/>
          <w:lang w:eastAsia="es-CO"/>
          <w14:ligatures w14:val="standardContextual"/>
        </w:rPr>
        <w:t>) Resolución 952 del 15 de diciembre de 2025 “Por la cual se adoptan los documentos tipo para los procesos de selección de concurso de méritos, para contratar la consultoría de estudios de ingeniería de infraestructura social; que agrupa los sectores de educación, salud, cultura, recreación y deporte, institucional y vivienda”.</w:t>
      </w:r>
    </w:p>
    <w:p w14:paraId="1C63DD8D" w14:textId="77777777" w:rsidR="0096161C" w:rsidRPr="0066719F" w:rsidRDefault="0096161C" w:rsidP="0096161C">
      <w:pPr>
        <w:spacing w:after="120" w:line="276" w:lineRule="auto"/>
        <w:ind w:firstLine="708"/>
        <w:jc w:val="both"/>
        <w:rPr>
          <w:rFonts w:ascii="Verdana" w:eastAsia="Times New Roman" w:hAnsi="Verdana" w:cs="Times New Roman"/>
          <w:color w:val="000000"/>
          <w:kern w:val="2"/>
          <w:lang w:eastAsia="es-CO"/>
          <w14:ligatures w14:val="standardContextual"/>
        </w:rPr>
      </w:pPr>
      <w:r w:rsidRPr="0066719F">
        <w:rPr>
          <w:rFonts w:ascii="Verdana" w:eastAsia="Times New Roman" w:hAnsi="Verdana" w:cs="Times New Roman"/>
          <w:color w:val="000000"/>
          <w:kern w:val="2"/>
          <w:lang w:eastAsia="es-CO"/>
          <w14:ligatures w14:val="standardContextual"/>
        </w:rPr>
        <w:t xml:space="preserve">v) Resolución 953 del 15 de diciembre de 2025 “Por la cual se adopta la versión - 2 de los documentos tipo transversales para los procesos de concurso de méritos para contratar la interventoría de obras públicas de infraestructura </w:t>
      </w:r>
      <w:r w:rsidRPr="0066719F">
        <w:rPr>
          <w:rFonts w:ascii="Verdana" w:eastAsia="Times New Roman" w:hAnsi="Verdana" w:cs="Times New Roman"/>
          <w:color w:val="000000"/>
          <w:kern w:val="2"/>
          <w:lang w:eastAsia="es-CO"/>
          <w14:ligatures w14:val="standardContextual"/>
        </w:rPr>
        <w:lastRenderedPageBreak/>
        <w:t>social, los documentos tipo complementarios para los procesos de concurso de méritos para contratar la interventoría de obras públicas de infraestructura social relacionados con el sector educación, salud, cultura, recreación y deporte, institucional y vivienda y se deroga la Resolución 798 del 29 de diciembre de 2023".</w:t>
      </w:r>
      <w:r w:rsidRPr="0066719F">
        <w:rPr>
          <w:rFonts w:ascii="Verdana" w:eastAsia="Aptos" w:hAnsi="Verdana" w:cs="Times New Roman"/>
          <w:kern w:val="2"/>
          <w14:ligatures w14:val="standardContextual"/>
        </w:rPr>
        <w:t xml:space="preserve"> </w:t>
      </w:r>
    </w:p>
    <w:p w14:paraId="3E371E39" w14:textId="77777777" w:rsidR="0096161C" w:rsidRPr="0066719F" w:rsidRDefault="0096161C" w:rsidP="0096161C">
      <w:pPr>
        <w:spacing w:after="120" w:line="276" w:lineRule="auto"/>
        <w:ind w:firstLine="708"/>
        <w:jc w:val="both"/>
        <w:textAlignment w:val="baseline"/>
        <w:rPr>
          <w:rFonts w:ascii="Verdana" w:eastAsia="Calibri" w:hAnsi="Verdana" w:cs="Arial"/>
          <w:kern w:val="2"/>
          <w14:ligatures w14:val="standardContextual"/>
        </w:rPr>
      </w:pPr>
      <w:r w:rsidRPr="0066719F">
        <w:rPr>
          <w:rFonts w:ascii="Verdana" w:eastAsia="Aptos" w:hAnsi="Verdana" w:cs="Times New Roman"/>
          <w:kern w:val="2"/>
          <w14:ligatures w14:val="standardContextual"/>
        </w:rPr>
        <w:t>Las Resoluciones 539, 540 y 541 del 21 de agosto de 2025, así como las Resoluciones 952 y 953 del 15 de diciembre de 2025, adoptadas en el sector de infraestructura social, aplican de forma transversal a las modalidades de selección indicadas y a los proyectos de infraestructura, interventoría y consultoría enmarcados dentro de los sectores educativo, salud, cultura, recreación y deporte, institucional y vivienda, en los procesos de selección cuyo aviso de convocatoria se publique a partir del 16 de febrero de 2026</w:t>
      </w:r>
      <w:r w:rsidRPr="0066719F">
        <w:rPr>
          <w:rFonts w:ascii="Verdana" w:eastAsia="Calibri" w:hAnsi="Verdana" w:cs="Arial"/>
          <w:kern w:val="2"/>
          <w:vertAlign w:val="superscript"/>
          <w14:ligatures w14:val="standardContextual"/>
        </w:rPr>
        <w:footnoteReference w:id="3"/>
      </w:r>
      <w:r w:rsidRPr="0066719F">
        <w:rPr>
          <w:rFonts w:ascii="Verdana" w:eastAsia="Calibri" w:hAnsi="Verdana" w:cs="Arial"/>
          <w:kern w:val="2"/>
          <w14:ligatures w14:val="standardContextual"/>
        </w:rPr>
        <w:t>.</w:t>
      </w:r>
    </w:p>
    <w:p w14:paraId="638F4CCB" w14:textId="77777777" w:rsidR="0096161C" w:rsidRPr="0066719F" w:rsidRDefault="0096161C" w:rsidP="0096161C">
      <w:pPr>
        <w:widowControl w:val="0"/>
        <w:autoSpaceDE w:val="0"/>
        <w:autoSpaceDN w:val="0"/>
        <w:spacing w:after="120" w:line="276" w:lineRule="auto"/>
        <w:ind w:firstLine="708"/>
        <w:jc w:val="both"/>
        <w:rPr>
          <w:rFonts w:ascii="Verdana" w:eastAsia="Calibri" w:hAnsi="Verdana" w:cs="Times New Roman"/>
          <w:kern w:val="2"/>
          <w:lang w:val="es-ES"/>
          <w14:ligatures w14:val="standardContextual"/>
        </w:rPr>
      </w:pPr>
      <w:r w:rsidRPr="0066719F">
        <w:rPr>
          <w:rFonts w:ascii="Verdana" w:eastAsia="Calibri" w:hAnsi="Verdana" w:cs="Times New Roman"/>
          <w:kern w:val="2"/>
          <w:lang w:val="es-ES"/>
          <w14:ligatures w14:val="standardContextual"/>
        </w:rPr>
        <w:t xml:space="preserve">Es importante resaltar que, en virtud de la regla de inalterabilidad, los </w:t>
      </w:r>
      <w:r w:rsidRPr="0066719F">
        <w:rPr>
          <w:rFonts w:ascii="Verdana" w:eastAsia="Calibri" w:hAnsi="Verdana" w:cs="Times New Roman"/>
          <w:kern w:val="2"/>
          <w:lang w:val="es-ES"/>
          <w14:ligatures w14:val="standardContextual"/>
        </w:rPr>
        <w:lastRenderedPageBreak/>
        <w:t xml:space="preserve">documentos tipo solo pueden ser modificados en los aspectos en que estos lo permitan. Esto corresponde a aquellos elementos que se encuentran entre corchetes y resaltados en gris </w:t>
      </w:r>
      <w:r w:rsidRPr="0066719F">
        <w:rPr>
          <w:rFonts w:ascii="Verdana" w:eastAsia="Calibri" w:hAnsi="Verdana" w:cs="Times New Roman"/>
          <w:kern w:val="2"/>
          <w:shd w:val="clear" w:color="auto" w:fill="E8E8E8"/>
          <w:lang w:val="es-ES"/>
          <w14:ligatures w14:val="standardContextual"/>
        </w:rPr>
        <w:t>–[texto]–,</w:t>
      </w:r>
      <w:r w:rsidRPr="0066719F">
        <w:rPr>
          <w:rFonts w:ascii="Verdana" w:eastAsia="Calibri" w:hAnsi="Verdana" w:cs="Times New Roman"/>
          <w:kern w:val="2"/>
          <w:lang w:val="es-ES"/>
          <w14:ligatures w14:val="standardContextual"/>
        </w:rPr>
        <w:t xml:space="preserve"> para lo cual deberán observarse las instrucciones contenidas en los mismos para su diligenciamiento.</w:t>
      </w:r>
    </w:p>
    <w:p w14:paraId="0B81EAA8" w14:textId="77777777" w:rsidR="0096161C" w:rsidRPr="0066719F" w:rsidRDefault="0096161C" w:rsidP="0096161C">
      <w:pPr>
        <w:widowControl w:val="0"/>
        <w:autoSpaceDE w:val="0"/>
        <w:autoSpaceDN w:val="0"/>
        <w:spacing w:after="120" w:line="276" w:lineRule="auto"/>
        <w:ind w:firstLine="708"/>
        <w:jc w:val="both"/>
        <w:rPr>
          <w:rFonts w:ascii="Verdana" w:eastAsia="Calibri" w:hAnsi="Verdana" w:cs="Times New Roman"/>
          <w:kern w:val="2"/>
          <w:lang w:val="es-ES"/>
          <w14:ligatures w14:val="standardContextual"/>
        </w:rPr>
      </w:pPr>
      <w:r w:rsidRPr="0066719F">
        <w:rPr>
          <w:rFonts w:ascii="Verdana" w:eastAsia="Calibri" w:hAnsi="Verdana" w:cs="Times New Roman"/>
          <w:kern w:val="2"/>
          <w:lang w:val="es-ES"/>
          <w14:ligatures w14:val="standardContextual"/>
        </w:rPr>
        <w:t xml:space="preserve">Por lo tanto, la entidad solo podrá modificar aspectos de los documentos tipo cuando así esté permitido, en los términos expuestos. Lo anterior implica que, en los apartes en que los documentos tipo no lo permitan, la entidad deberá integrar el contenido de estos a su proceso de contratación sin ningún tipo de alteración. </w:t>
      </w:r>
    </w:p>
    <w:p w14:paraId="1213D985" w14:textId="77777777" w:rsidR="0096161C" w:rsidRPr="0066719F" w:rsidRDefault="0096161C" w:rsidP="0096161C">
      <w:pPr>
        <w:widowControl w:val="0"/>
        <w:autoSpaceDE w:val="0"/>
        <w:autoSpaceDN w:val="0"/>
        <w:spacing w:after="120" w:line="276" w:lineRule="auto"/>
        <w:ind w:firstLine="708"/>
        <w:jc w:val="both"/>
        <w:rPr>
          <w:rFonts w:ascii="Verdana" w:eastAsia="Calibri" w:hAnsi="Verdana" w:cs="Times New Roman"/>
          <w:kern w:val="2"/>
          <w:lang w:val="es-ES"/>
          <w14:ligatures w14:val="standardContextual"/>
        </w:rPr>
      </w:pPr>
      <w:r w:rsidRPr="0066719F">
        <w:rPr>
          <w:rFonts w:ascii="Verdana" w:eastAsia="Calibri" w:hAnsi="Verdana" w:cs="Times New Roman"/>
          <w:kern w:val="2"/>
          <w:lang w:val="es-ES"/>
          <w14:ligatures w14:val="standardContextual"/>
        </w:rPr>
        <w:t>Para establecer si determinado objeto contractual se encuentra cobijado o no por los documentos tipo, es necesario determinar si el mismo se enmarca en los tipos de infraestructura, modalidades de selección y tipos de obra estandarizadas en las respectivas matrices de experiencia. De esta manera, solo resulta obligatoria la aplicación de un documento tipo en particular cuando se ha establecido que el objeto contractual y la modalidad en la que debe contratarse están dentro del ámbito de aplicación de las resoluciones expedidas por esta Agencia mediante las cuales se adoptan documentos tipo.</w:t>
      </w:r>
    </w:p>
    <w:p w14:paraId="1E8C766B" w14:textId="77777777" w:rsidR="0096161C" w:rsidRPr="0066719F" w:rsidRDefault="0096161C" w:rsidP="0096161C">
      <w:pPr>
        <w:widowControl w:val="0"/>
        <w:autoSpaceDE w:val="0"/>
        <w:autoSpaceDN w:val="0"/>
        <w:spacing w:after="120" w:line="276" w:lineRule="auto"/>
        <w:ind w:firstLine="708"/>
        <w:jc w:val="both"/>
        <w:rPr>
          <w:rFonts w:ascii="Verdana" w:eastAsia="Calibri" w:hAnsi="Verdana" w:cs="Times New Roman"/>
          <w:kern w:val="2"/>
          <w:lang w:val="es-ES"/>
          <w14:ligatures w14:val="standardContextual"/>
        </w:rPr>
      </w:pPr>
      <w:r w:rsidRPr="0066719F">
        <w:rPr>
          <w:rFonts w:ascii="Verdana" w:eastAsia="Calibri" w:hAnsi="Verdana" w:cs="Times New Roman"/>
          <w:kern w:val="2"/>
          <w:lang w:val="es-ES"/>
          <w14:ligatures w14:val="standardContextual"/>
        </w:rPr>
        <w:t>Uno de los elementos comunes a los diferentes documentos tipo es la “Matriz – Experiencia”. Esta consta de unas celdas en las que se describe la experiencia requerida en relación con el objeto a contratar, definiendo además qué tipo de actividades relacionadas con cada sector deben acogerse a los pliegos tipo. Por otro lado, encontramos el “Anexo – Glosario”, el cual contiene las definiciones de los términos usados en los documentos del proceso. Utilizando estos dos documentos, la entidad estatal puede definir si el objeto a contratarse debe emplear los documentos tipo adoptados por esta Agencia.</w:t>
      </w:r>
    </w:p>
    <w:p w14:paraId="0DA7BC11" w14:textId="77777777" w:rsidR="0096161C" w:rsidRPr="0066719F" w:rsidRDefault="0096161C" w:rsidP="0096161C">
      <w:pPr>
        <w:widowControl w:val="0"/>
        <w:autoSpaceDE w:val="0"/>
        <w:autoSpaceDN w:val="0"/>
        <w:spacing w:after="120" w:line="276" w:lineRule="auto"/>
        <w:ind w:firstLine="708"/>
        <w:jc w:val="both"/>
        <w:rPr>
          <w:rFonts w:ascii="Verdana" w:eastAsia="Calibri" w:hAnsi="Verdana" w:cs="Times New Roman"/>
          <w:kern w:val="2"/>
          <w:lang w:val="es-ES"/>
          <w14:ligatures w14:val="standardContextual"/>
        </w:rPr>
      </w:pPr>
      <w:r w:rsidRPr="0066719F">
        <w:rPr>
          <w:rFonts w:ascii="Verdana" w:eastAsia="Calibri" w:hAnsi="Verdana" w:cs="Times New Roman"/>
          <w:kern w:val="2"/>
          <w:lang w:val="es-ES"/>
          <w14:ligatures w14:val="standardContextual"/>
        </w:rPr>
        <w:t>La Matriz – Experiencia, cumple una doble función: Por un lado, sirve para estandarizar las condiciones de experiencia, conforme al parágrafo 7 del artículo 2 de la Ley 1150 de 2007. De otro lado, dicha matriz permite determinar el ámbito de aplicación de los documentos tipo respecto de objetos contractuales asociados, ya que son las actividades descritas en esta las que, obligatoriamente, deben contratarse aplicando documentos tipo.</w:t>
      </w:r>
    </w:p>
    <w:p w14:paraId="76E69FCE" w14:textId="77777777" w:rsidR="0096161C" w:rsidRDefault="0096161C" w:rsidP="0096161C">
      <w:pPr>
        <w:widowControl w:val="0"/>
        <w:autoSpaceDE w:val="0"/>
        <w:autoSpaceDN w:val="0"/>
        <w:spacing w:after="0" w:line="276" w:lineRule="auto"/>
        <w:ind w:firstLine="708"/>
        <w:jc w:val="both"/>
        <w:rPr>
          <w:rFonts w:ascii="Verdana" w:eastAsia="Calibri" w:hAnsi="Verdana" w:cs="Times New Roman"/>
          <w:kern w:val="2"/>
          <w:lang w:val="es-ES"/>
          <w14:ligatures w14:val="standardContextual"/>
        </w:rPr>
      </w:pPr>
      <w:r w:rsidRPr="0066719F">
        <w:rPr>
          <w:rFonts w:ascii="Verdana" w:eastAsia="Calibri" w:hAnsi="Verdana" w:cs="Times New Roman"/>
          <w:kern w:val="2"/>
          <w:lang w:val="es-ES"/>
          <w14:ligatures w14:val="standardContextual"/>
        </w:rPr>
        <w:t xml:space="preserve">De esta manera, para saber a qué actividades deben aplicarse los documentos tipo de infraestructura social expedidos por esta Agencia, la entidad debe verificar que estos apliquen para la modalidad de selección en la que debe </w:t>
      </w:r>
      <w:r w:rsidRPr="0066719F">
        <w:rPr>
          <w:rFonts w:ascii="Verdana" w:eastAsia="Calibri" w:hAnsi="Verdana" w:cs="Times New Roman"/>
          <w:kern w:val="2"/>
          <w:lang w:val="es-ES"/>
          <w14:ligatures w14:val="standardContextual"/>
        </w:rPr>
        <w:lastRenderedPageBreak/>
        <w:t>celebrarse el proceso, subsumiendo el objeto a contratar en los tipos de proyectos de infraestructura a contratarse. Por tanto, si el objeto contractual a ejecutar se encuadra materialmente dentro de alguno de los tipos actividades concretas señaladas en cada una de las matrices de experiencia, se tendrán que aplicar estos documentos tipo para los mencionados sectores −según corresponda−, mientras que en el caso contrario no será forzosa su aplicación.</w:t>
      </w:r>
    </w:p>
    <w:p w14:paraId="088D948E" w14:textId="77777777" w:rsidR="0096161C" w:rsidRPr="0005103D" w:rsidRDefault="0096161C" w:rsidP="0096161C">
      <w:pPr>
        <w:widowControl w:val="0"/>
        <w:autoSpaceDE w:val="0"/>
        <w:autoSpaceDN w:val="0"/>
        <w:spacing w:after="0" w:line="276" w:lineRule="auto"/>
        <w:ind w:firstLine="708"/>
        <w:jc w:val="both"/>
        <w:rPr>
          <w:rFonts w:ascii="Verdana" w:eastAsia="Calibri" w:hAnsi="Verdana" w:cs="Times New Roman"/>
          <w:kern w:val="2"/>
          <w:lang w:val="es-ES"/>
          <w14:ligatures w14:val="standardContextual"/>
        </w:rPr>
      </w:pPr>
    </w:p>
    <w:p w14:paraId="3A88C2A9" w14:textId="77777777" w:rsidR="0096161C" w:rsidRPr="00B22EFB" w:rsidRDefault="0096161C" w:rsidP="0096161C">
      <w:pPr>
        <w:spacing w:after="0" w:line="276" w:lineRule="auto"/>
        <w:jc w:val="both"/>
        <w:rPr>
          <w:rFonts w:ascii="Verdana" w:eastAsia="Calibri" w:hAnsi="Verdana" w:cs="Arial"/>
          <w:color w:val="000000" w:themeColor="text1"/>
          <w:lang w:val="es-ES"/>
        </w:rPr>
      </w:pPr>
      <w:r w:rsidRPr="003B2E70">
        <w:rPr>
          <w:rFonts w:ascii="Verdana" w:eastAsia="Calibri" w:hAnsi="Verdana" w:cs="Arial"/>
          <w:color w:val="000000" w:themeColor="text1"/>
          <w:lang w:val="es-ES"/>
        </w:rPr>
        <w:t xml:space="preserve">II). </w:t>
      </w:r>
      <w:r w:rsidRPr="003B2E70">
        <w:rPr>
          <w:rFonts w:ascii="Verdana" w:eastAsia="Calibri" w:hAnsi="Verdana" w:cs="Arial"/>
          <w:color w:val="000000" w:themeColor="text1"/>
        </w:rPr>
        <w:t>En el marco de los Documentos Tipo para la contratación de interventoría de obras públicas de infraestructura social, la Resolución 953 del 15 de diciembre de 2025 contempla documentos complementarios asociados a los sectores de educación, salud, cultura, recreación y deporte, institucional y vivienda. Estos documentos atienden a las particularidades de los proyectos comprendidos en cada subsector y complementan las disposiciones transversales aplicables a los procesos de selección mediante concurso de méritos. En este sentido, para determinar su aplicación, resulta pertinente identificar las actividades y tipos de proyectos comprendidos en cada uno de los subsectores previstos en la regulación.</w:t>
      </w:r>
    </w:p>
    <w:p w14:paraId="2BA09447" w14:textId="77777777" w:rsidR="0096161C" w:rsidRPr="00DC3977" w:rsidRDefault="0096161C" w:rsidP="0096161C">
      <w:pPr>
        <w:widowControl w:val="0"/>
        <w:autoSpaceDE w:val="0"/>
        <w:autoSpaceDN w:val="0"/>
        <w:snapToGrid w:val="0"/>
        <w:spacing w:after="120" w:line="276" w:lineRule="auto"/>
        <w:ind w:firstLine="708"/>
        <w:jc w:val="both"/>
        <w:rPr>
          <w:rFonts w:ascii="Verdana" w:eastAsia="Times New Roman" w:hAnsi="Verdana" w:cs="Arial"/>
          <w:color w:val="000000" w:themeColor="text1"/>
          <w:lang w:val="es-ES" w:eastAsia="es-CO"/>
        </w:rPr>
      </w:pPr>
      <w:r w:rsidRPr="00DC3977">
        <w:rPr>
          <w:rFonts w:ascii="Verdana" w:eastAsia="Times New Roman" w:hAnsi="Verdana" w:cs="Arial"/>
          <w:color w:val="000000" w:themeColor="text1"/>
          <w:lang w:val="es-ES" w:eastAsia="es-CO"/>
        </w:rPr>
        <w:t>A modo de ejemplo, en el subsector de educación, las actividades contempladas en la matriz de experiencia para la contratación de interventoría de obras públicas de infraestructura social comprenden, las siguientes:</w:t>
      </w:r>
    </w:p>
    <w:p w14:paraId="4A653B30" w14:textId="77777777" w:rsidR="0096161C" w:rsidRPr="00042B99" w:rsidRDefault="0096161C" w:rsidP="0096161C">
      <w:pPr>
        <w:widowControl w:val="0"/>
        <w:autoSpaceDE w:val="0"/>
        <w:autoSpaceDN w:val="0"/>
        <w:snapToGrid w:val="0"/>
        <w:spacing w:after="120" w:line="276" w:lineRule="auto"/>
        <w:ind w:left="709" w:right="709"/>
        <w:jc w:val="both"/>
        <w:rPr>
          <w:rFonts w:ascii="Verdana" w:eastAsia="Times New Roman" w:hAnsi="Verdana" w:cs="Arial"/>
          <w:color w:val="000000" w:themeColor="text1"/>
          <w:sz w:val="16"/>
          <w:szCs w:val="16"/>
          <w:lang w:val="es-ES" w:eastAsia="es-CO"/>
        </w:rPr>
      </w:pPr>
      <w:r w:rsidRPr="00042B99">
        <w:rPr>
          <w:rFonts w:ascii="Verdana" w:eastAsia="Times New Roman" w:hAnsi="Verdana" w:cs="Arial"/>
          <w:color w:val="000000" w:themeColor="text1"/>
          <w:sz w:val="20"/>
          <w:szCs w:val="20"/>
          <w:lang w:val="es-ES" w:eastAsia="es-CO"/>
        </w:rPr>
        <w:t>“</w:t>
      </w:r>
      <w:r w:rsidRPr="00E9789A">
        <w:rPr>
          <w:rFonts w:ascii="Verdana" w:eastAsia="Times New Roman" w:hAnsi="Verdana" w:cs="Arial"/>
          <w:b/>
          <w:bCs/>
          <w:color w:val="000000" w:themeColor="text1"/>
          <w:sz w:val="16"/>
          <w:szCs w:val="16"/>
          <w:lang w:val="es-ES" w:eastAsia="es-CO"/>
        </w:rPr>
        <w:t>1. INTERVENTORÍA A OBRAS EN INFRAESTRUCTURA DE EDUCACIÓN</w:t>
      </w:r>
      <w:r w:rsidRPr="00042B99">
        <w:rPr>
          <w:rFonts w:ascii="Verdana" w:eastAsia="Times New Roman" w:hAnsi="Verdana" w:cs="Arial"/>
          <w:color w:val="000000" w:themeColor="text1"/>
          <w:sz w:val="16"/>
          <w:szCs w:val="16"/>
          <w:lang w:val="es-ES" w:eastAsia="es-CO"/>
        </w:rPr>
        <w:tab/>
      </w:r>
      <w:r w:rsidRPr="00042B99">
        <w:rPr>
          <w:rFonts w:ascii="Verdana" w:eastAsia="Times New Roman" w:hAnsi="Verdana" w:cs="Arial"/>
          <w:color w:val="000000" w:themeColor="text1"/>
          <w:sz w:val="16"/>
          <w:szCs w:val="16"/>
          <w:lang w:val="es-ES" w:eastAsia="es-CO"/>
        </w:rPr>
        <w:tab/>
      </w:r>
      <w:r w:rsidRPr="00042B99">
        <w:rPr>
          <w:rFonts w:ascii="Verdana" w:eastAsia="Times New Roman" w:hAnsi="Verdana" w:cs="Arial"/>
          <w:color w:val="000000" w:themeColor="text1"/>
          <w:sz w:val="16"/>
          <w:szCs w:val="16"/>
          <w:lang w:val="es-ES" w:eastAsia="es-CO"/>
        </w:rPr>
        <w:tab/>
      </w:r>
      <w:r w:rsidRPr="00042B99">
        <w:rPr>
          <w:rFonts w:ascii="Verdana" w:eastAsia="Times New Roman" w:hAnsi="Verdana" w:cs="Arial"/>
          <w:color w:val="000000" w:themeColor="text1"/>
          <w:sz w:val="16"/>
          <w:szCs w:val="16"/>
          <w:lang w:val="es-ES" w:eastAsia="es-CO"/>
        </w:rPr>
        <w:tab/>
      </w:r>
      <w:r w:rsidRPr="00042B99">
        <w:rPr>
          <w:rFonts w:ascii="Verdana" w:eastAsia="Times New Roman" w:hAnsi="Verdana" w:cs="Arial"/>
          <w:color w:val="000000" w:themeColor="text1"/>
          <w:sz w:val="16"/>
          <w:szCs w:val="16"/>
          <w:lang w:val="es-ES" w:eastAsia="es-CO"/>
        </w:rPr>
        <w:tab/>
      </w:r>
      <w:r w:rsidRPr="00042B99">
        <w:rPr>
          <w:rFonts w:ascii="Verdana" w:eastAsia="Times New Roman" w:hAnsi="Verdana" w:cs="Arial"/>
          <w:color w:val="000000" w:themeColor="text1"/>
          <w:sz w:val="16"/>
          <w:szCs w:val="16"/>
          <w:lang w:val="es-ES" w:eastAsia="es-CO"/>
        </w:rPr>
        <w:tab/>
      </w:r>
      <w:r w:rsidRPr="00042B99">
        <w:rPr>
          <w:rFonts w:ascii="Verdana" w:eastAsia="Times New Roman" w:hAnsi="Verdana" w:cs="Arial"/>
          <w:color w:val="000000" w:themeColor="text1"/>
          <w:sz w:val="16"/>
          <w:szCs w:val="16"/>
          <w:lang w:val="es-ES" w:eastAsia="es-CO"/>
        </w:rPr>
        <w:tab/>
      </w:r>
      <w:r w:rsidRPr="00042B99">
        <w:rPr>
          <w:rFonts w:ascii="Verdana" w:eastAsia="Times New Roman" w:hAnsi="Verdana" w:cs="Arial"/>
          <w:color w:val="000000" w:themeColor="text1"/>
          <w:sz w:val="16"/>
          <w:szCs w:val="16"/>
          <w:lang w:val="es-ES" w:eastAsia="es-CO"/>
        </w:rPr>
        <w:tab/>
      </w:r>
      <w:r w:rsidRPr="00042B99">
        <w:rPr>
          <w:rFonts w:ascii="Verdana" w:eastAsia="Times New Roman" w:hAnsi="Verdana" w:cs="Arial"/>
          <w:color w:val="000000" w:themeColor="text1"/>
          <w:sz w:val="16"/>
          <w:szCs w:val="16"/>
          <w:lang w:val="es-ES" w:eastAsia="es-CO"/>
        </w:rPr>
        <w:tab/>
      </w:r>
      <w:r w:rsidRPr="00042B99">
        <w:rPr>
          <w:rFonts w:ascii="Verdana" w:eastAsia="Times New Roman" w:hAnsi="Verdana" w:cs="Arial"/>
          <w:color w:val="000000" w:themeColor="text1"/>
          <w:sz w:val="16"/>
          <w:szCs w:val="16"/>
          <w:lang w:val="es-ES" w:eastAsia="es-CO"/>
        </w:rPr>
        <w:tab/>
      </w:r>
      <w:r w:rsidRPr="00042B99">
        <w:rPr>
          <w:rFonts w:ascii="Verdana" w:eastAsia="Times New Roman" w:hAnsi="Verdana" w:cs="Arial"/>
          <w:color w:val="000000" w:themeColor="text1"/>
          <w:sz w:val="16"/>
          <w:szCs w:val="16"/>
          <w:lang w:val="es-ES" w:eastAsia="es-CO"/>
        </w:rPr>
        <w:tab/>
      </w:r>
      <w:r w:rsidRPr="00042B99">
        <w:rPr>
          <w:rFonts w:ascii="Verdana" w:eastAsia="Times New Roman" w:hAnsi="Verdana" w:cs="Arial"/>
          <w:color w:val="000000" w:themeColor="text1"/>
          <w:sz w:val="16"/>
          <w:szCs w:val="16"/>
          <w:lang w:val="es-ES" w:eastAsia="es-CO"/>
        </w:rPr>
        <w:tab/>
      </w:r>
      <w:r w:rsidRPr="00042B99">
        <w:rPr>
          <w:rFonts w:ascii="Verdana" w:eastAsia="Times New Roman" w:hAnsi="Verdana" w:cs="Arial"/>
          <w:color w:val="000000" w:themeColor="text1"/>
          <w:sz w:val="16"/>
          <w:szCs w:val="16"/>
          <w:lang w:val="es-ES" w:eastAsia="es-CO"/>
        </w:rPr>
        <w:tab/>
        <w:t>1.1. INTERVENTORÍA A PROYECTOS DE CONSTRUCCIÓN Y/O AMPLIACIÓN Y/O RECONSTRUCCIÓN DE INFRAESTRUCTURA EDUCATIVA</w:t>
      </w:r>
    </w:p>
    <w:p w14:paraId="289C80A6" w14:textId="77777777" w:rsidR="0096161C" w:rsidRPr="00042B99" w:rsidRDefault="0096161C" w:rsidP="0096161C">
      <w:pPr>
        <w:widowControl w:val="0"/>
        <w:autoSpaceDE w:val="0"/>
        <w:autoSpaceDN w:val="0"/>
        <w:snapToGrid w:val="0"/>
        <w:spacing w:after="120" w:line="276" w:lineRule="auto"/>
        <w:ind w:left="709" w:right="709" w:firstLine="709"/>
        <w:jc w:val="both"/>
        <w:rPr>
          <w:rFonts w:ascii="Verdana" w:eastAsia="Times New Roman" w:hAnsi="Verdana" w:cs="Arial"/>
          <w:color w:val="000000" w:themeColor="text1"/>
          <w:sz w:val="16"/>
          <w:szCs w:val="16"/>
          <w:lang w:val="es-ES" w:eastAsia="es-CO"/>
        </w:rPr>
      </w:pPr>
      <w:r w:rsidRPr="00042B99">
        <w:rPr>
          <w:rFonts w:ascii="Verdana" w:eastAsia="Times New Roman" w:hAnsi="Verdana" w:cs="Arial"/>
          <w:color w:val="000000" w:themeColor="text1"/>
          <w:sz w:val="16"/>
          <w:szCs w:val="16"/>
          <w:lang w:val="es-ES" w:eastAsia="es-CO"/>
        </w:rPr>
        <w:t>1.2. INTERVENTORÍA A PROYECTOS DE ADECUACIÓN Y/O CONSERVACIÓN Y/O INTERVENCIÓN Y/O INSTALACIÓN Y/O MANTENIMIENTO Y/O MEJORAMIENTO Y/O MODIFICACIÓN U OPTIMIZACIÓN Y/O REHABILITACIÓN Y/O REMODELACIÓN Y/O REPOSICIÓN Y/O REPARACIÓN LOCATIVA Y/O RESTAURACIÓN Y/O RESTITUCIÓN Y/O TERMINACIÓN DE INFRAESTRUCTURA EDUCATIVA</w:t>
      </w:r>
    </w:p>
    <w:p w14:paraId="17001C7A" w14:textId="77777777" w:rsidR="0096161C" w:rsidRPr="00042B99" w:rsidRDefault="0096161C" w:rsidP="0096161C">
      <w:pPr>
        <w:widowControl w:val="0"/>
        <w:autoSpaceDE w:val="0"/>
        <w:autoSpaceDN w:val="0"/>
        <w:snapToGrid w:val="0"/>
        <w:spacing w:after="120" w:line="276" w:lineRule="auto"/>
        <w:ind w:left="709" w:right="709" w:firstLine="709"/>
        <w:jc w:val="both"/>
        <w:rPr>
          <w:rFonts w:ascii="Verdana" w:eastAsia="Times New Roman" w:hAnsi="Verdana" w:cs="Arial"/>
          <w:color w:val="000000" w:themeColor="text1"/>
          <w:sz w:val="16"/>
          <w:szCs w:val="16"/>
          <w:lang w:val="es-ES" w:eastAsia="es-CO"/>
        </w:rPr>
      </w:pPr>
      <w:r w:rsidRPr="00042B99">
        <w:rPr>
          <w:rFonts w:ascii="Verdana" w:eastAsia="Times New Roman" w:hAnsi="Verdana" w:cs="Arial"/>
          <w:color w:val="000000" w:themeColor="text1"/>
          <w:sz w:val="16"/>
          <w:szCs w:val="16"/>
          <w:lang w:val="es-ES" w:eastAsia="es-CO"/>
        </w:rPr>
        <w:t>1.3. INTERVENTORÍA A PROYECTOS DE DEMOLICIÓN Y/O CONSTRUCCIÓN Y/O AMPLIACIÓN Y/O RECONSTRUCCIÓN Y/O ADECUACIÓN Y/O CONSERVACIÓN Y/O INTERVENCIÓN Y/O INSTALACIÓN Y/O MANTENIMIENTO Y/O MEJORAMIENTO Y/O MODIFICACIÓN U OPTIMIZACIÓN Y/O REHABILITACIÓN Y/O REMODELACIÓN Y/O REPOSICIÓN Y/O REPARACIÓN LOCATIVA Y/O RESTAURACIÓN Y/O RESTITUCIÓN Y/O TERMINACIÓN DE CERRAMIENTO PARA INFRAESTRUCTURA EDUCATIVA</w:t>
      </w:r>
    </w:p>
    <w:p w14:paraId="7A512253" w14:textId="77777777" w:rsidR="0096161C" w:rsidRPr="00042B99" w:rsidRDefault="0096161C" w:rsidP="0096161C">
      <w:pPr>
        <w:widowControl w:val="0"/>
        <w:autoSpaceDE w:val="0"/>
        <w:autoSpaceDN w:val="0"/>
        <w:snapToGrid w:val="0"/>
        <w:spacing w:after="120" w:line="276" w:lineRule="auto"/>
        <w:ind w:left="709" w:right="709" w:firstLine="709"/>
        <w:jc w:val="both"/>
        <w:rPr>
          <w:rFonts w:ascii="Verdana" w:eastAsia="Times New Roman" w:hAnsi="Verdana" w:cs="Arial"/>
          <w:color w:val="000000" w:themeColor="text1"/>
          <w:sz w:val="16"/>
          <w:szCs w:val="16"/>
          <w:lang w:val="es-ES" w:eastAsia="es-CO"/>
        </w:rPr>
      </w:pPr>
      <w:r w:rsidRPr="00042B99">
        <w:rPr>
          <w:rFonts w:ascii="Verdana" w:eastAsia="Times New Roman" w:hAnsi="Verdana" w:cs="Arial"/>
          <w:color w:val="000000" w:themeColor="text1"/>
          <w:sz w:val="16"/>
          <w:szCs w:val="16"/>
          <w:lang w:val="es-ES" w:eastAsia="es-CO"/>
        </w:rPr>
        <w:t>1.4. INTERVENTORÍA A PROYECTOS DE REFORZAMIENTO ESTRUCTURAL Y/O ACTUALIZACIÓN SÍSMICA Y/O REPOTENCIACIÓN ESTRUCTURAL DE INFRAESTRUCTURA EDUCATIVA</w:t>
      </w:r>
    </w:p>
    <w:p w14:paraId="159EB83A" w14:textId="77777777" w:rsidR="0096161C" w:rsidRPr="00042B99" w:rsidRDefault="0096161C" w:rsidP="0096161C">
      <w:pPr>
        <w:widowControl w:val="0"/>
        <w:autoSpaceDE w:val="0"/>
        <w:autoSpaceDN w:val="0"/>
        <w:snapToGrid w:val="0"/>
        <w:spacing w:after="120" w:line="276" w:lineRule="auto"/>
        <w:ind w:left="709" w:right="709" w:firstLine="709"/>
        <w:jc w:val="both"/>
        <w:rPr>
          <w:rFonts w:ascii="Verdana" w:eastAsia="Times New Roman" w:hAnsi="Verdana" w:cs="Arial"/>
          <w:color w:val="000000" w:themeColor="text1"/>
          <w:sz w:val="16"/>
          <w:szCs w:val="16"/>
          <w:lang w:val="es-ES" w:eastAsia="es-CO"/>
        </w:rPr>
      </w:pPr>
      <w:r w:rsidRPr="00042B99">
        <w:rPr>
          <w:rFonts w:ascii="Verdana" w:eastAsia="Times New Roman" w:hAnsi="Verdana" w:cs="Arial"/>
          <w:color w:val="000000" w:themeColor="text1"/>
          <w:sz w:val="16"/>
          <w:szCs w:val="16"/>
          <w:lang w:val="es-ES" w:eastAsia="es-CO"/>
        </w:rPr>
        <w:t xml:space="preserve">1.5. INTERVENTORÍA A PROYECTOS DE CONSTRUCCIÓN Y/O AMPLIACIÓN Y/O RECONSTRUCCIÓN Y/O ADECUACIÓN Y/O CONSERVACIÓN Y/O INTERVENCIÓN Y/O </w:t>
      </w:r>
      <w:r w:rsidRPr="00042B99">
        <w:rPr>
          <w:rFonts w:ascii="Verdana" w:eastAsia="Times New Roman" w:hAnsi="Verdana" w:cs="Arial"/>
          <w:color w:val="000000" w:themeColor="text1"/>
          <w:sz w:val="16"/>
          <w:szCs w:val="16"/>
          <w:lang w:val="es-ES" w:eastAsia="es-CO"/>
        </w:rPr>
        <w:lastRenderedPageBreak/>
        <w:t>INSTALACIÓN Y/O MANTENIMIENTO Y/O MEJORAMIENTO Y/O MODIFICACIÓN Y/U OPTIMIZACIÓN Y/O REHABILITACIÓN Y/O REMODELACIÓN Y/O REPOSICIÓN Y/O REPARACIÓN LOCATIVA Y/O RESTAURACIÓN Y/O RESTITUCIÓN Y/O TERMINACIÓN DE BATERÍAS SANITARIAS Y/O REDES HIDROSANITARIAS Y/O TANQUES DE ALMACENAMIENTO DE AGUA POTABLE Y/O SISTEMAS DE BOMBEO Y/O REDES CONTRA INCENDIOS DE INFRAESTRUCTURA EDUCATIVA</w:t>
      </w:r>
    </w:p>
    <w:p w14:paraId="050E361B" w14:textId="77777777" w:rsidR="0096161C" w:rsidRPr="00042B99" w:rsidRDefault="0096161C" w:rsidP="0096161C">
      <w:pPr>
        <w:widowControl w:val="0"/>
        <w:autoSpaceDE w:val="0"/>
        <w:autoSpaceDN w:val="0"/>
        <w:snapToGrid w:val="0"/>
        <w:spacing w:after="120" w:line="276" w:lineRule="auto"/>
        <w:ind w:left="709" w:right="709" w:firstLine="709"/>
        <w:jc w:val="both"/>
        <w:rPr>
          <w:rFonts w:ascii="Verdana" w:eastAsia="Times New Roman" w:hAnsi="Verdana" w:cs="Arial"/>
          <w:color w:val="000000" w:themeColor="text1"/>
          <w:sz w:val="16"/>
          <w:szCs w:val="16"/>
          <w:lang w:val="es-ES" w:eastAsia="es-CO"/>
        </w:rPr>
      </w:pPr>
      <w:r w:rsidRPr="00042B99">
        <w:rPr>
          <w:rFonts w:ascii="Verdana" w:eastAsia="Times New Roman" w:hAnsi="Verdana" w:cs="Arial"/>
          <w:color w:val="000000" w:themeColor="text1"/>
          <w:sz w:val="16"/>
          <w:szCs w:val="16"/>
          <w:lang w:val="es-ES" w:eastAsia="es-CO"/>
        </w:rPr>
        <w:t>1.6. INTERVENTORÍA A PROYECTOS DE CONSTRUCCIÓN Y/O AMPLIACIÓN Y/O RECONSTRUCCIÓN Y/O ADECUACIÓN Y/O CONSERVACIÓN Y/O INTERVENCIÓN Y/O INSTALACIÓN Y/O MANTENIMIENTO Y/O MEJORAMIENTO Y/O MODIFICACIÓN U OPTIMIZACIÓN Y/O REHABILITACIÓN Y/O REMODELACIÓN Y/O REPOSICIÓN Y/O REPARACIÓN LOCATIVA Y/O RESTAURACIÓN Y/O RESTITUCIÓN Y/O TERMINACIÓN Y/O REFORZAMIENTO ESTRUCTURAL Y/O ACTUALIZACIÓN SÍSMICA Y/O REPOTENCIACIÓN  ESTRUCTURAL DE COMEDORES, ZONAS DE ALMACENAMIENTO Y/O ZONAS DE CONSERVACIÓN DE ALIMENTOS Y/O ZONAS DE ALIMENTACIÓN DE INFRAESTRUCTURA EDUCATIVA</w:t>
      </w:r>
    </w:p>
    <w:p w14:paraId="0D3E63A8" w14:textId="77777777" w:rsidR="0096161C" w:rsidRPr="00042B99" w:rsidRDefault="0096161C" w:rsidP="0096161C">
      <w:pPr>
        <w:widowControl w:val="0"/>
        <w:autoSpaceDE w:val="0"/>
        <w:autoSpaceDN w:val="0"/>
        <w:snapToGrid w:val="0"/>
        <w:spacing w:after="120" w:line="276" w:lineRule="auto"/>
        <w:ind w:left="709" w:right="709" w:firstLine="709"/>
        <w:jc w:val="both"/>
        <w:rPr>
          <w:rFonts w:ascii="Verdana" w:eastAsia="Times New Roman" w:hAnsi="Verdana" w:cs="Arial"/>
          <w:color w:val="000000" w:themeColor="text1"/>
          <w:sz w:val="16"/>
          <w:szCs w:val="16"/>
          <w:lang w:val="es-ES" w:eastAsia="es-CO"/>
        </w:rPr>
      </w:pPr>
      <w:r w:rsidRPr="00042B99">
        <w:rPr>
          <w:rFonts w:ascii="Verdana" w:eastAsia="Times New Roman" w:hAnsi="Verdana" w:cs="Arial"/>
          <w:color w:val="000000" w:themeColor="text1"/>
          <w:sz w:val="16"/>
          <w:szCs w:val="16"/>
          <w:lang w:val="es-ES" w:eastAsia="es-CO"/>
        </w:rPr>
        <w:t>1.7. INTERVENTORÍA A PROYECTOS DE CONSTRUCCIÓN Y/O AMPLIACIÓN Y/O RECONSTRUCCIÓN Y/O ADECUACIÓN Y/O CONSERVACIÓN Y/O INTERVENCIÓN Y/O INSTALACIÓN Y/O MANTENIMIENTO Y/O MEJORAMIENTO Y/O MODIFICACIÓN U OPTIMIZACIÓN Y/O REHABILITACIÓN Y/O REMODELACIÓN Y/O REPOSICIÓN Y/O REPARACIÓN LOCATIVA Y/O RESTAURACIÓN Y/O RESTITUCIÓN Y/O TERMINACIÓN Y/O REFORZAMIENTO ESTRUCTURAL Y/O ACTUALIZACIÓN SÍSMICA Y/O REPOTENCIACIÓN ESTRUCTURAL DE CUBIERTAS DE INFRAESTRUCTURA EDUCATIVA</w:t>
      </w:r>
    </w:p>
    <w:p w14:paraId="2D81E033" w14:textId="77777777" w:rsidR="0096161C" w:rsidRPr="00042B99" w:rsidRDefault="0096161C" w:rsidP="0096161C">
      <w:pPr>
        <w:widowControl w:val="0"/>
        <w:autoSpaceDE w:val="0"/>
        <w:autoSpaceDN w:val="0"/>
        <w:snapToGrid w:val="0"/>
        <w:spacing w:after="120" w:line="276" w:lineRule="auto"/>
        <w:ind w:left="709" w:right="709" w:firstLine="709"/>
        <w:jc w:val="both"/>
        <w:rPr>
          <w:rFonts w:ascii="Verdana" w:eastAsia="Times New Roman" w:hAnsi="Verdana" w:cs="Arial"/>
          <w:color w:val="000000" w:themeColor="text1"/>
          <w:sz w:val="16"/>
          <w:szCs w:val="16"/>
          <w:lang w:val="es-ES" w:eastAsia="es-CO"/>
        </w:rPr>
      </w:pPr>
      <w:r w:rsidRPr="00042B99">
        <w:rPr>
          <w:rFonts w:ascii="Verdana" w:eastAsia="Times New Roman" w:hAnsi="Verdana" w:cs="Arial"/>
          <w:color w:val="000000" w:themeColor="text1"/>
          <w:sz w:val="16"/>
          <w:szCs w:val="16"/>
          <w:lang w:val="es-ES" w:eastAsia="es-CO"/>
        </w:rPr>
        <w:t>1.8. INTERVENTORÍA A PROYECTOS DE  CONSTRUCCIÓN Y/O AMPLIACIÓN Y/O RECONSTRUCCIÓN Y/O ADECUACIÓN Y/O CONSERVACIÓN Y/O INTERVENCIÓN Y/O INSTALACIÓN Y/O MANTENIMIENTO Y/O MEJORAMIENTO Y/O MODIFICACIÓN U OPTIMIZACIÓN Y/O REHABILITACIÓN Y/O REMODELACIÓN Y/O REPOSICIÓN Y/O REPARACIÓN LOCATIVA Y/O RESTAURACIÓN Y/O RESTITUCIÓN Y/O TERMINACIÓN Y/O REFORZAMIENTO ESTRUCTURAL Y/O ACTUALIZACIÓN SÍSMICA Y/O REPOTENCIACIÓN  ESTRUCTURAL EN BIENES DE INTERÉS CULTURAL Y/O CONSERVACIÓN PATRIMONIAL ASOCIADOS A INFRAESTRUCTURA EDUCATIVA</w:t>
      </w:r>
    </w:p>
    <w:p w14:paraId="6A82D8E5" w14:textId="77777777" w:rsidR="0096161C" w:rsidRPr="00042B99" w:rsidRDefault="0096161C" w:rsidP="0096161C">
      <w:pPr>
        <w:widowControl w:val="0"/>
        <w:autoSpaceDE w:val="0"/>
        <w:autoSpaceDN w:val="0"/>
        <w:snapToGrid w:val="0"/>
        <w:spacing w:after="120" w:line="276" w:lineRule="auto"/>
        <w:ind w:left="709" w:right="709" w:firstLine="709"/>
        <w:jc w:val="both"/>
        <w:rPr>
          <w:rFonts w:ascii="Verdana" w:eastAsia="Times New Roman" w:hAnsi="Verdana" w:cs="Arial"/>
          <w:color w:val="000000" w:themeColor="text1"/>
          <w:sz w:val="16"/>
          <w:szCs w:val="16"/>
          <w:lang w:val="es-ES" w:eastAsia="es-CO"/>
        </w:rPr>
      </w:pPr>
      <w:r w:rsidRPr="00042B99">
        <w:rPr>
          <w:rFonts w:ascii="Verdana" w:eastAsia="Times New Roman" w:hAnsi="Verdana" w:cs="Arial"/>
          <w:color w:val="000000" w:themeColor="text1"/>
          <w:sz w:val="16"/>
          <w:szCs w:val="16"/>
          <w:lang w:val="es-ES" w:eastAsia="es-CO"/>
        </w:rPr>
        <w:t>1.9. INTERVENTORÍA A PROYECTOS DE CONSTRUCCIÓN Y/O AMPLIACIÓN Y/O RECONSTRUCCIÓN Y/O ADECUACIÓN Y/O CONSERVACIÓN Y/O INTERVENCIÓN Y/O INSTALACIÓN Y/O MANTENIMIENTO Y/O MEJORAMIENTO Y/O MODIFICACIÓN U OPTIMIZACIÓN Y/O REHABILITACIÓN Y/O REMODELACIÓN Y/O REPOSICIÓN Y/O REPARACIÓN LOCATIVA Y/O RESTAURACIÓN Y/O RESTITUCIÓN Y/O TERMINACIÓN DE REDES ELÉCTRICAS Y/O CIRCUITOS CERRADOS DE TV Y/O SISTEMAS DE SEGURIDAD Y/O REDES DE VOZ Y DATOS Y/O PLANTAS ELÉCTRICAS Y/O SUBESTACIONES Y/O REDES DE TELEMÁTICA Y/O COMUNICACIÓN Y/O SONIDO Y/O TELEFONÍA Y/O REDES O SISTEMAS DE ILUMINACIÓN O LUMINARIAS INTERIORES O EXTERIORES DE INFRAESTRUCTURA EDUCATIVA</w:t>
      </w:r>
    </w:p>
    <w:p w14:paraId="38C7B743" w14:textId="77777777" w:rsidR="0096161C" w:rsidRPr="00042B99" w:rsidRDefault="0096161C" w:rsidP="0096161C">
      <w:pPr>
        <w:widowControl w:val="0"/>
        <w:autoSpaceDE w:val="0"/>
        <w:autoSpaceDN w:val="0"/>
        <w:snapToGrid w:val="0"/>
        <w:spacing w:after="120" w:line="276" w:lineRule="auto"/>
        <w:ind w:left="709" w:right="709" w:firstLine="709"/>
        <w:jc w:val="both"/>
        <w:rPr>
          <w:rFonts w:ascii="Verdana" w:eastAsia="Times New Roman" w:hAnsi="Verdana" w:cs="Arial"/>
          <w:color w:val="000000" w:themeColor="text1"/>
          <w:sz w:val="16"/>
          <w:szCs w:val="16"/>
          <w:lang w:val="es-ES" w:eastAsia="es-CO"/>
        </w:rPr>
      </w:pPr>
      <w:r w:rsidRPr="00042B99">
        <w:rPr>
          <w:rFonts w:ascii="Verdana" w:eastAsia="Times New Roman" w:hAnsi="Verdana" w:cs="Arial"/>
          <w:color w:val="000000" w:themeColor="text1"/>
          <w:sz w:val="16"/>
          <w:szCs w:val="16"/>
          <w:lang w:val="es-ES" w:eastAsia="es-CO"/>
        </w:rPr>
        <w:t>1.10. INTERVENTORÍA A PROYECTOS DE CONSTRUCCIÓN Y/O AMPLIACIÓN Y/O RECONSTRUCCIÓN Y/O ADECUACIÓN Y/O CONSERVACIÓN Y/O INTERVENCIÓN Y/O INSTALACIÓN Y/O MANTENIMIENTO Y/O MEJORAMIENTO Y/O MODIFICACIÓN U OPTIMIZACIÓN Y/O REHABILITACIÓN Y/O REMODELACIÓN Y/O REPOSICIÓN Y/O REPARACIÓN LOCATIVA Y/O RESTAURACIÓN Y/O RESTITUCIÓN Y/O TERMINACIÓN Y/O REFORZAMIENTO ESTRUCTURAL Y/O ACTUALIZACIÓN SÍSMICA Y/O REPOTENCIACIÓN ESTRUCTURAL DE LABORATORIOS</w:t>
      </w:r>
    </w:p>
    <w:p w14:paraId="60CE58A9" w14:textId="77777777" w:rsidR="0096161C" w:rsidRPr="00042B99" w:rsidRDefault="0096161C" w:rsidP="0096161C">
      <w:pPr>
        <w:widowControl w:val="0"/>
        <w:autoSpaceDE w:val="0"/>
        <w:autoSpaceDN w:val="0"/>
        <w:snapToGrid w:val="0"/>
        <w:spacing w:after="120" w:line="276" w:lineRule="auto"/>
        <w:ind w:left="709" w:right="709" w:firstLine="709"/>
        <w:jc w:val="both"/>
        <w:rPr>
          <w:rFonts w:ascii="Verdana" w:eastAsia="Times New Roman" w:hAnsi="Verdana" w:cs="Arial"/>
          <w:color w:val="000000" w:themeColor="text1"/>
          <w:sz w:val="16"/>
          <w:szCs w:val="16"/>
          <w:lang w:val="es-ES" w:eastAsia="es-CO"/>
        </w:rPr>
      </w:pPr>
      <w:r w:rsidRPr="00042B99">
        <w:rPr>
          <w:rFonts w:ascii="Verdana" w:eastAsia="Times New Roman" w:hAnsi="Verdana" w:cs="Arial"/>
          <w:color w:val="000000" w:themeColor="text1"/>
          <w:sz w:val="16"/>
          <w:szCs w:val="16"/>
          <w:lang w:val="es-ES" w:eastAsia="es-CO"/>
        </w:rPr>
        <w:lastRenderedPageBreak/>
        <w:t xml:space="preserve">1.11. INTERVENTORÍA A PROYECTOS DE CONSTRUCCIÓN Y/O AMPLIACIÓN Y/O RECONSTRUCCIÓN Y/O OPTIMIZACIÓN Y/O MEJORAMIENTO Y/O REHABILITACIÓN Y/O REPOSICIÓN Y/O INTERVENCIÓN Y/O INSTALACIÓN Y/O AMPLIACIÓN Y/O MANTENIMIENTO Y/O CONSERVACIÓN Y/O OPERACIÓN Y/O ADECUACIÓN Y/O MODIFICACIÓN Y/O RESTAURACIÓN Y/O REMODELACIÓN Y/O TERMINACIÓN Y/O REPARACIÓN Y/O RESTITUCIÓN Y/O </w:t>
      </w:r>
      <w:proofErr w:type="gramStart"/>
      <w:r w:rsidRPr="00042B99">
        <w:rPr>
          <w:rFonts w:ascii="Verdana" w:eastAsia="Times New Roman" w:hAnsi="Verdana" w:cs="Arial"/>
          <w:color w:val="000000" w:themeColor="text1"/>
          <w:sz w:val="16"/>
          <w:szCs w:val="16"/>
          <w:lang w:val="es-ES" w:eastAsia="es-CO"/>
        </w:rPr>
        <w:t>REFORZAMIENTO  ESTRUCTURAL</w:t>
      </w:r>
      <w:proofErr w:type="gramEnd"/>
      <w:r w:rsidRPr="00042B99">
        <w:rPr>
          <w:rFonts w:ascii="Verdana" w:eastAsia="Times New Roman" w:hAnsi="Verdana" w:cs="Arial"/>
          <w:color w:val="000000" w:themeColor="text1"/>
          <w:sz w:val="16"/>
          <w:szCs w:val="16"/>
          <w:lang w:val="es-ES" w:eastAsia="es-CO"/>
        </w:rPr>
        <w:t xml:space="preserve"> Y/O ACTUALIZACIÓN SÍSMICA Y/O REPOTENCIACIÓN   ESTRUCTURAL DE AUDITORIOS Y TEATROS EN INFRAESTRUCTURA EDUCATIVA</w:t>
      </w:r>
    </w:p>
    <w:p w14:paraId="672C24A2" w14:textId="77777777" w:rsidR="0096161C" w:rsidRPr="00042B99" w:rsidRDefault="0096161C" w:rsidP="0096161C">
      <w:pPr>
        <w:widowControl w:val="0"/>
        <w:autoSpaceDE w:val="0"/>
        <w:autoSpaceDN w:val="0"/>
        <w:snapToGrid w:val="0"/>
        <w:spacing w:after="120" w:line="276" w:lineRule="auto"/>
        <w:ind w:left="709" w:right="709" w:firstLine="709"/>
        <w:jc w:val="both"/>
        <w:rPr>
          <w:rFonts w:ascii="Verdana" w:eastAsia="Times New Roman" w:hAnsi="Verdana" w:cs="Arial"/>
          <w:color w:val="000000" w:themeColor="text1"/>
          <w:sz w:val="16"/>
          <w:szCs w:val="16"/>
          <w:lang w:val="es-ES" w:eastAsia="es-CO"/>
        </w:rPr>
      </w:pPr>
      <w:r w:rsidRPr="00042B99">
        <w:rPr>
          <w:rFonts w:ascii="Verdana" w:eastAsia="Times New Roman" w:hAnsi="Verdana" w:cs="Arial"/>
          <w:color w:val="000000" w:themeColor="text1"/>
          <w:sz w:val="16"/>
          <w:szCs w:val="16"/>
          <w:lang w:val="es-ES" w:eastAsia="es-CO"/>
        </w:rPr>
        <w:t>1.12. INTERVENTORIA A SUMINISTRO Y/O INSTALACIÓN DE DOTACIÓN Y/O DE MOBILIARIO INTERNO O EXTERNO PARA INFRAESTRUCTURA EDUCATIVA</w:t>
      </w:r>
    </w:p>
    <w:p w14:paraId="23864181" w14:textId="77777777" w:rsidR="0096161C" w:rsidRPr="00042B99" w:rsidRDefault="0096161C" w:rsidP="0096161C">
      <w:pPr>
        <w:widowControl w:val="0"/>
        <w:autoSpaceDE w:val="0"/>
        <w:autoSpaceDN w:val="0"/>
        <w:snapToGrid w:val="0"/>
        <w:spacing w:after="120" w:line="276" w:lineRule="auto"/>
        <w:ind w:left="709" w:right="709" w:firstLine="709"/>
        <w:jc w:val="both"/>
        <w:rPr>
          <w:rFonts w:ascii="Verdana" w:eastAsia="Times New Roman" w:hAnsi="Verdana" w:cs="Arial"/>
          <w:color w:val="000000" w:themeColor="text1"/>
          <w:sz w:val="16"/>
          <w:szCs w:val="16"/>
          <w:lang w:val="es-ES" w:eastAsia="es-CO"/>
        </w:rPr>
      </w:pPr>
      <w:r w:rsidRPr="00042B99">
        <w:rPr>
          <w:rFonts w:ascii="Verdana" w:eastAsia="Times New Roman" w:hAnsi="Verdana" w:cs="Arial"/>
          <w:color w:val="000000" w:themeColor="text1"/>
          <w:sz w:val="16"/>
          <w:szCs w:val="16"/>
          <w:lang w:val="es-ES" w:eastAsia="es-CO"/>
        </w:rPr>
        <w:t>1.13. INTERVENTORÍA A PROYECTOS DE CONSTRUCCIÓN Y/O AMPLIACIÓN Y/O RECONSTRUCCIÓN Y/O ADECUACIÓN Y/O CONSERVACIÓN Y/O INTERVENCIÓN Y/O INSTALACIÓN Y/O MANTENIMIENTO Y/O MEJORAMIENTO Y/O MODIFICACIÓN U OPTIMIZACIÓN Y/O REHABILITACIÓN Y/O REMODELACIÓN Y/O REPOSICIÓN Y/O REPARACIÓN LOCATIVA Y/O RESTAURACIÓN Y/O RESTITUCIÓN Y/O TERMINACIÓN DE CALDERAS O ZONAS DE LAVANDERÍAS O SIMILARES PARA INFRAESTRUCTURA EDUCATIVA</w:t>
      </w:r>
    </w:p>
    <w:p w14:paraId="708BC5DB" w14:textId="77777777" w:rsidR="0096161C" w:rsidRPr="00042B99" w:rsidRDefault="0096161C" w:rsidP="0096161C">
      <w:pPr>
        <w:widowControl w:val="0"/>
        <w:autoSpaceDE w:val="0"/>
        <w:autoSpaceDN w:val="0"/>
        <w:snapToGrid w:val="0"/>
        <w:spacing w:after="120" w:line="276" w:lineRule="auto"/>
        <w:ind w:left="709" w:right="709" w:firstLine="709"/>
        <w:jc w:val="both"/>
        <w:rPr>
          <w:rFonts w:ascii="Verdana" w:eastAsia="Times New Roman" w:hAnsi="Verdana" w:cs="Arial"/>
          <w:color w:val="000000" w:themeColor="text1"/>
          <w:sz w:val="16"/>
          <w:szCs w:val="16"/>
          <w:lang w:val="es-ES" w:eastAsia="es-CO"/>
        </w:rPr>
      </w:pPr>
      <w:r w:rsidRPr="00042B99">
        <w:rPr>
          <w:rFonts w:ascii="Verdana" w:eastAsia="Times New Roman" w:hAnsi="Verdana" w:cs="Arial"/>
          <w:color w:val="000000" w:themeColor="text1"/>
          <w:sz w:val="16"/>
          <w:szCs w:val="16"/>
          <w:lang w:val="es-ES" w:eastAsia="es-CO"/>
        </w:rPr>
        <w:t>1.14. SUMINISTRO Y/O INSTALACIÓN DE SISTEMAS DE AIRES ACONDICIONADOS O SISTEMAS DE VENTILACIÓN MECANICA O SIMILARES PARA INFRAESTRUCTURA EDUCATIVA</w:t>
      </w:r>
    </w:p>
    <w:p w14:paraId="3D325426" w14:textId="77777777" w:rsidR="0096161C" w:rsidRPr="00042B99" w:rsidRDefault="0096161C" w:rsidP="0096161C">
      <w:pPr>
        <w:widowControl w:val="0"/>
        <w:autoSpaceDE w:val="0"/>
        <w:autoSpaceDN w:val="0"/>
        <w:snapToGrid w:val="0"/>
        <w:spacing w:after="120" w:line="276" w:lineRule="auto"/>
        <w:ind w:left="709" w:right="709" w:firstLine="709"/>
        <w:jc w:val="both"/>
        <w:rPr>
          <w:rFonts w:ascii="Verdana" w:eastAsia="Times New Roman" w:hAnsi="Verdana" w:cs="Arial"/>
          <w:color w:val="000000" w:themeColor="text1"/>
          <w:sz w:val="16"/>
          <w:szCs w:val="16"/>
          <w:lang w:val="es-ES" w:eastAsia="es-CO"/>
        </w:rPr>
      </w:pPr>
      <w:r w:rsidRPr="00042B99">
        <w:rPr>
          <w:rFonts w:ascii="Verdana" w:eastAsia="Times New Roman" w:hAnsi="Verdana" w:cs="Arial"/>
          <w:color w:val="000000" w:themeColor="text1"/>
          <w:sz w:val="16"/>
          <w:szCs w:val="16"/>
          <w:lang w:val="es-ES" w:eastAsia="es-CO"/>
        </w:rPr>
        <w:t>1.15. INTERVENTORÍA A PROYECTOS DE CONSTRUCCIÓN Y/O AMPLIACIÓN Y/O RECONSTRUCCIÓN Y/O ADECUACIÓN Y/O CONSERVACIÓN Y/O INTERVENCIÓN Y/O INSTALACIÓN Y/O MANTENIMIENTO Y/O MEJORAMIENTO Y/O MODIFICACIÓN U OPTIMIZACIÓN Y/O REHABILITACIÓN Y/O REMODELACIÓN Y/O REPOSICIÓN Y/O REPARACIÓN LOCATIVA Y/O RESTAURACIÓN Y/O RESTITUCIÓN Y/O TERMINACIÓN DE REDES DE VAPOR Y/O REDES DE GASES Y/O REDES DE GAS NATURAL Y/O SISTEMAS DE COCCIÓN O SIMILARES PARA INFRAESTRUCTURA EDUCATIVA</w:t>
      </w:r>
    </w:p>
    <w:p w14:paraId="4ED31DBB" w14:textId="77777777" w:rsidR="0096161C" w:rsidRDefault="0096161C" w:rsidP="0096161C">
      <w:pPr>
        <w:widowControl w:val="0"/>
        <w:autoSpaceDE w:val="0"/>
        <w:autoSpaceDN w:val="0"/>
        <w:snapToGrid w:val="0"/>
        <w:spacing w:after="120" w:line="276" w:lineRule="auto"/>
        <w:ind w:left="709" w:right="709" w:firstLine="709"/>
        <w:jc w:val="both"/>
        <w:rPr>
          <w:rFonts w:ascii="Verdana" w:eastAsia="Times New Roman" w:hAnsi="Verdana" w:cs="Arial"/>
          <w:color w:val="000000" w:themeColor="text1"/>
          <w:sz w:val="16"/>
          <w:szCs w:val="16"/>
          <w:lang w:val="es-ES" w:eastAsia="es-CO"/>
        </w:rPr>
      </w:pPr>
      <w:r w:rsidRPr="00042B99">
        <w:rPr>
          <w:rFonts w:ascii="Verdana" w:eastAsia="Times New Roman" w:hAnsi="Verdana" w:cs="Arial"/>
          <w:color w:val="000000" w:themeColor="text1"/>
          <w:sz w:val="16"/>
          <w:szCs w:val="16"/>
          <w:lang w:val="es-ES" w:eastAsia="es-CO"/>
        </w:rPr>
        <w:t>1.16. INTERVENTORIA A SUMINISTRO E INSTALACIÓN DE EQUIPOS ESPECIALES Y/O ELECTROMECÁNICOS Y/O ELECTRÓNICOS Y/O MAQUINARIA U OTROS TIPOS DE EQUIPOS PARA EDIFICACIONES DE INFRAESTRUCTURA EDUCATIVA</w:t>
      </w:r>
      <w:r>
        <w:rPr>
          <w:rFonts w:ascii="Verdana" w:eastAsia="Times New Roman" w:hAnsi="Verdana" w:cs="Arial"/>
          <w:color w:val="000000" w:themeColor="text1"/>
          <w:sz w:val="16"/>
          <w:szCs w:val="16"/>
          <w:lang w:val="es-ES" w:eastAsia="es-CO"/>
        </w:rPr>
        <w:t>”.</w:t>
      </w:r>
    </w:p>
    <w:p w14:paraId="1428664E" w14:textId="77777777" w:rsidR="0096161C" w:rsidRPr="00E9789A" w:rsidRDefault="0096161C" w:rsidP="0096161C">
      <w:pPr>
        <w:widowControl w:val="0"/>
        <w:autoSpaceDE w:val="0"/>
        <w:autoSpaceDN w:val="0"/>
        <w:snapToGrid w:val="0"/>
        <w:spacing w:after="120" w:line="276" w:lineRule="auto"/>
        <w:ind w:left="709" w:right="709"/>
        <w:jc w:val="both"/>
        <w:rPr>
          <w:rFonts w:ascii="Verdana" w:eastAsia="Times New Roman" w:hAnsi="Verdana" w:cs="Arial"/>
          <w:color w:val="000000" w:themeColor="text1"/>
          <w:sz w:val="16"/>
          <w:szCs w:val="16"/>
          <w:lang w:val="es-ES" w:eastAsia="es-CO"/>
        </w:rPr>
      </w:pPr>
      <w:r w:rsidRPr="00476C36">
        <w:rPr>
          <w:rFonts w:ascii="Verdana" w:eastAsia="Times New Roman" w:hAnsi="Verdana" w:cs="Calibri"/>
          <w:b/>
          <w:bCs/>
          <w:sz w:val="16"/>
          <w:szCs w:val="16"/>
          <w:lang w:val="es-ES" w:eastAsia="es-ES_tradnl"/>
        </w:rPr>
        <w:t>2. INTERVENTORÍA A OBRAS EN INFRAESTRUCTURA RECREODEPORTIVA Y CULTURAL EN INFRAESTRUCTURA EDUCATIVA</w:t>
      </w:r>
    </w:p>
    <w:p w14:paraId="6CE969DE" w14:textId="77777777" w:rsidR="0096161C" w:rsidRPr="00D51CD8" w:rsidRDefault="0096161C" w:rsidP="0096161C">
      <w:pPr>
        <w:widowControl w:val="0"/>
        <w:autoSpaceDE w:val="0"/>
        <w:autoSpaceDN w:val="0"/>
        <w:snapToGrid w:val="0"/>
        <w:spacing w:after="120" w:line="276" w:lineRule="auto"/>
        <w:ind w:left="709" w:right="709" w:firstLine="709"/>
        <w:jc w:val="both"/>
        <w:rPr>
          <w:rFonts w:ascii="Verdana" w:eastAsia="Times New Roman" w:hAnsi="Verdana" w:cs="Arial"/>
          <w:color w:val="000000" w:themeColor="text1"/>
          <w:sz w:val="16"/>
          <w:szCs w:val="16"/>
          <w:lang w:val="es-ES" w:eastAsia="es-CO"/>
        </w:rPr>
      </w:pPr>
      <w:r w:rsidRPr="00D51CD8">
        <w:rPr>
          <w:rFonts w:ascii="Verdana" w:eastAsia="Times New Roman" w:hAnsi="Verdana" w:cs="Arial"/>
          <w:color w:val="000000" w:themeColor="text1"/>
          <w:sz w:val="16"/>
          <w:szCs w:val="16"/>
          <w:lang w:val="es-ES" w:eastAsia="es-CO"/>
        </w:rPr>
        <w:t>2.1. INTERVENTORÍA A PROYECTOS DE CONSTRUCCIÓN Y/O AMPLIACIÓN Y/O RECONSTRUCCIÓN Y/O ADECUACIÓN Y/O CONSERVACIÓN Y/O INTERVENCIÓN Y/O INSTALACIÓN Y/O MANTENIMIENTO Y/O MEJORAMIENTO Y/O MODIFICACIÓN U OPTIMIZACIÓN Y/O REHABILITACIÓN Y/O REMODELACIÓN Y/O REPOSICIÓN Y/O REPARACIÓN LOCATIVA Y/O RESTAURACIÓN Y/O RESTITUCIÓN Y/O TERMINACIÓN Y/O REFORZAMIENTO ESTRUCTURAL Y/O ACTUALIZACIÓN SÍSMICA Y/O REPOTENCIACIÓN  ESTRUCTURAL DE CANCHAS DEPORTIVAS Y/O ESCENARIOS Y/O COMPLEJOS Y/O ESPACIOS Y/O INSTALACIONES RECREO DEPORTIVAS EN INFRAESTRUCTURA EDUCATIVA</w:t>
      </w:r>
    </w:p>
    <w:p w14:paraId="518F57F1" w14:textId="77777777" w:rsidR="0096161C" w:rsidRPr="00D51CD8" w:rsidRDefault="0096161C" w:rsidP="0096161C">
      <w:pPr>
        <w:widowControl w:val="0"/>
        <w:autoSpaceDE w:val="0"/>
        <w:autoSpaceDN w:val="0"/>
        <w:snapToGrid w:val="0"/>
        <w:spacing w:after="120" w:line="276" w:lineRule="auto"/>
        <w:ind w:left="709" w:right="709" w:firstLine="709"/>
        <w:jc w:val="both"/>
        <w:rPr>
          <w:rFonts w:ascii="Verdana" w:eastAsia="Times New Roman" w:hAnsi="Verdana" w:cs="Arial"/>
          <w:color w:val="000000" w:themeColor="text1"/>
          <w:sz w:val="16"/>
          <w:szCs w:val="16"/>
          <w:lang w:val="es-ES" w:eastAsia="es-CO"/>
        </w:rPr>
      </w:pPr>
      <w:r w:rsidRPr="00D51CD8">
        <w:rPr>
          <w:rFonts w:ascii="Verdana" w:eastAsia="Times New Roman" w:hAnsi="Verdana" w:cs="Arial"/>
          <w:color w:val="000000" w:themeColor="text1"/>
          <w:sz w:val="16"/>
          <w:szCs w:val="16"/>
          <w:lang w:val="es-ES" w:eastAsia="es-CO"/>
        </w:rPr>
        <w:t xml:space="preserve">2.2. INTERVENTORÍA A PROYECTOS DE CONSTRUCCIÓN Y/O AMPLIACIÓN Y/O RECONSTRUCCIÓN Y/O ADECUACIÓN Y/O CONSERVACIÓN Y/O INTERVENCIÓN Y/O INSTALACIÓN Y/O MANTENIMIENTO Y/O MEJORAMIENTO Y/O MODIFICACIÓN U OPTIMIZACIÓN Y/O REHABILITACIÓN Y/O REMODELACIÓN Y/O REPOSICIÓN Y/O REPARACIÓN LOCATIVA Y/O RESTAURACIÓN Y/O RESTITUCIÓN Y/O TERMINACIÓN Y/O REFORZAMIENTO ESTRUCTURAL Y/O ACTUALIZACIÓN SÍSMICA Y/O REPOTENCIACIÓN ESTRUCTURAL DE POLIDEPORTIVOS Y/O PLACAS POLIDEPORTIVAS EN INFRAESTRUCTURA </w:t>
      </w:r>
      <w:r w:rsidRPr="00D51CD8">
        <w:rPr>
          <w:rFonts w:ascii="Verdana" w:eastAsia="Times New Roman" w:hAnsi="Verdana" w:cs="Arial"/>
          <w:color w:val="000000" w:themeColor="text1"/>
          <w:sz w:val="16"/>
          <w:szCs w:val="16"/>
          <w:lang w:val="es-ES" w:eastAsia="es-CO"/>
        </w:rPr>
        <w:lastRenderedPageBreak/>
        <w:t>EDUCATIVA</w:t>
      </w:r>
    </w:p>
    <w:p w14:paraId="032DA0C8" w14:textId="77777777" w:rsidR="0096161C" w:rsidRPr="00D51CD8" w:rsidRDefault="0096161C" w:rsidP="0096161C">
      <w:pPr>
        <w:widowControl w:val="0"/>
        <w:autoSpaceDE w:val="0"/>
        <w:autoSpaceDN w:val="0"/>
        <w:snapToGrid w:val="0"/>
        <w:spacing w:after="120" w:line="276" w:lineRule="auto"/>
        <w:ind w:left="709" w:right="709" w:firstLine="709"/>
        <w:jc w:val="both"/>
        <w:rPr>
          <w:rFonts w:ascii="Verdana" w:eastAsia="Times New Roman" w:hAnsi="Verdana" w:cs="Arial"/>
          <w:color w:val="000000" w:themeColor="text1"/>
          <w:sz w:val="16"/>
          <w:szCs w:val="16"/>
          <w:lang w:val="es-ES" w:eastAsia="es-CO"/>
        </w:rPr>
      </w:pPr>
      <w:r w:rsidRPr="00D51CD8">
        <w:rPr>
          <w:rFonts w:ascii="Verdana" w:eastAsia="Times New Roman" w:hAnsi="Verdana" w:cs="Arial"/>
          <w:color w:val="000000" w:themeColor="text1"/>
          <w:sz w:val="16"/>
          <w:szCs w:val="16"/>
          <w:lang w:val="es-ES" w:eastAsia="es-CO"/>
        </w:rPr>
        <w:t xml:space="preserve">2.3.  INTERVENTORÍA A PROYECTOS DE CONSTRUCCIÓN Y/O AMPLIACIÓN Y/O RECONSTRUCCIÓN Y/O ADECUACIÓN Y/O CONSERVACIÓN Y/O INTERVENCIÓN Y/O INSTALACIÓN Y/O MANTENIMIENTO Y/O MEJORAMIENTO Y/O MODIFICACIÓN U OPTIMIZACIÓN Y/O REHABILITACIÓN Y/O REMODELACIÓN Y/O REPOSICIÓN Y/O REPARACIÓN LOCATIVA Y/O RESTAURACIÓN Y/O RESTITUCIÓN Y/O TERMINACIÓN Y/O REFORZAMIENTO ESTRUCTURAL Y/O ACTUALIZACIÓN SÍSMICA Y/O REPOTENCIACIÓN </w:t>
      </w:r>
      <w:proofErr w:type="gramStart"/>
      <w:r w:rsidRPr="00D51CD8">
        <w:rPr>
          <w:rFonts w:ascii="Verdana" w:eastAsia="Times New Roman" w:hAnsi="Verdana" w:cs="Arial"/>
          <w:color w:val="000000" w:themeColor="text1"/>
          <w:sz w:val="16"/>
          <w:szCs w:val="16"/>
          <w:lang w:val="es-ES" w:eastAsia="es-CO"/>
        </w:rPr>
        <w:t>ESTRUCTURAL  DE</w:t>
      </w:r>
      <w:proofErr w:type="gramEnd"/>
      <w:r w:rsidRPr="00D51CD8">
        <w:rPr>
          <w:rFonts w:ascii="Verdana" w:eastAsia="Times New Roman" w:hAnsi="Verdana" w:cs="Arial"/>
          <w:color w:val="000000" w:themeColor="text1"/>
          <w:sz w:val="16"/>
          <w:szCs w:val="16"/>
          <w:lang w:val="es-ES" w:eastAsia="es-CO"/>
        </w:rPr>
        <w:t xml:space="preserve"> COLISEOS Y/O ESTADIOS EN INFRAESTRUCTURA EDUCATIVA</w:t>
      </w:r>
    </w:p>
    <w:p w14:paraId="087DBF2C" w14:textId="77777777" w:rsidR="0096161C" w:rsidRPr="00D51CD8" w:rsidRDefault="0096161C" w:rsidP="0096161C">
      <w:pPr>
        <w:widowControl w:val="0"/>
        <w:autoSpaceDE w:val="0"/>
        <w:autoSpaceDN w:val="0"/>
        <w:snapToGrid w:val="0"/>
        <w:spacing w:after="120" w:line="276" w:lineRule="auto"/>
        <w:ind w:left="709" w:right="709" w:firstLine="709"/>
        <w:jc w:val="both"/>
        <w:rPr>
          <w:rFonts w:ascii="Verdana" w:eastAsia="Times New Roman" w:hAnsi="Verdana" w:cs="Arial"/>
          <w:color w:val="000000" w:themeColor="text1"/>
          <w:sz w:val="16"/>
          <w:szCs w:val="16"/>
          <w:lang w:val="es-ES" w:eastAsia="es-CO"/>
        </w:rPr>
      </w:pPr>
      <w:r w:rsidRPr="00D51CD8">
        <w:rPr>
          <w:rFonts w:ascii="Verdana" w:eastAsia="Times New Roman" w:hAnsi="Verdana" w:cs="Arial"/>
          <w:color w:val="000000" w:themeColor="text1"/>
          <w:sz w:val="16"/>
          <w:szCs w:val="16"/>
          <w:lang w:val="es-ES" w:eastAsia="es-CO"/>
        </w:rPr>
        <w:t>2.4. INTERVENTORÍA A PROYECTOS DE CONSTRUCCIÓN Y/O AMPLIACIÓN Y/O RECONSTRUCCIÓN Y/O ADECUACIÓN Y/O CONSERVACIÓN Y/O INTERVENCIÓN Y/O INSTALACIÓN Y/O MANTENIMIENTO Y/O MEJORAMIENTO Y/O MODIFICACIÓN U OPTIMIZACIÓN Y/O REHABILITACIÓN Y/O REMODELACIÓN Y/O REPOSICIÓN Y/O REPARACIÓN LOCATIVA Y/O RESTAURACIÓN Y/O RESTITUCIÓN Y/O TERMINACIÓN Y/O REFORZAMIENTO ESTRUCTURAL Y/O ACTUALIZACIÓN SÍSMICA Y/O REPOTENCIACIÓN ESTRUCTURAL DE CONCHAS ACÚSTICAS EN INSTITUCIONES EDUCATIVAS</w:t>
      </w:r>
    </w:p>
    <w:p w14:paraId="5B1BBC66" w14:textId="77777777" w:rsidR="0096161C" w:rsidRPr="00D51CD8" w:rsidRDefault="0096161C" w:rsidP="0096161C">
      <w:pPr>
        <w:widowControl w:val="0"/>
        <w:autoSpaceDE w:val="0"/>
        <w:autoSpaceDN w:val="0"/>
        <w:snapToGrid w:val="0"/>
        <w:spacing w:after="120" w:line="276" w:lineRule="auto"/>
        <w:ind w:left="709" w:right="709" w:firstLine="709"/>
        <w:jc w:val="both"/>
        <w:rPr>
          <w:rFonts w:ascii="Verdana" w:eastAsia="Times New Roman" w:hAnsi="Verdana" w:cs="Arial"/>
          <w:color w:val="000000" w:themeColor="text1"/>
          <w:sz w:val="16"/>
          <w:szCs w:val="16"/>
          <w:lang w:val="es-ES" w:eastAsia="es-CO"/>
        </w:rPr>
      </w:pPr>
      <w:r w:rsidRPr="00D51CD8">
        <w:rPr>
          <w:rFonts w:ascii="Verdana" w:eastAsia="Times New Roman" w:hAnsi="Verdana" w:cs="Arial"/>
          <w:color w:val="000000" w:themeColor="text1"/>
          <w:sz w:val="16"/>
          <w:szCs w:val="16"/>
          <w:lang w:val="es-ES" w:eastAsia="es-CO"/>
        </w:rPr>
        <w:t>2.5. INTERVENTORÍA A PROYECTOS DE CONSTRUCCIÓN Y/O AMPLIACIÓN Y/O RECONSTRUCCIÓN Y/O ADECUACIÓN Y/O CONSERVACIÓN Y/O INTERVENCIÓN Y/O INSTALACIÓN Y/O MANTENIMIENTO Y/O MEJORAMIENTO Y/O MODIFICACIÓN U OPTIMIZACIÓN Y/O REHABILITACIÓN Y/O REMODELACIÓN Y/O REPOSICIÓN Y/O REPARACIÓN LOCATIVA Y/O RESTAURACIÓN Y/O RESTITUCIÓN Y/O TERMINACIÓN Y/O REFORZAMIENTO ESTRUCTURAL Y/O ACTUALIZACIÓN SÍSMICA Y/O REPOTENCIACIÓN ESTRUCTURAL DE PISCINAS EN INFRAESTRUCTURA EDUCATIVA</w:t>
      </w:r>
    </w:p>
    <w:p w14:paraId="5217757A" w14:textId="77777777" w:rsidR="0096161C" w:rsidRPr="00D51CD8" w:rsidRDefault="0096161C" w:rsidP="0096161C">
      <w:pPr>
        <w:widowControl w:val="0"/>
        <w:autoSpaceDE w:val="0"/>
        <w:autoSpaceDN w:val="0"/>
        <w:snapToGrid w:val="0"/>
        <w:spacing w:after="120" w:line="276" w:lineRule="auto"/>
        <w:ind w:left="709" w:right="709" w:firstLine="709"/>
        <w:jc w:val="both"/>
        <w:rPr>
          <w:rFonts w:ascii="Verdana" w:eastAsia="Times New Roman" w:hAnsi="Verdana" w:cs="Arial"/>
          <w:color w:val="000000" w:themeColor="text1"/>
          <w:sz w:val="16"/>
          <w:szCs w:val="16"/>
          <w:lang w:val="es-ES" w:eastAsia="es-CO"/>
        </w:rPr>
      </w:pPr>
      <w:r w:rsidRPr="00D51CD8">
        <w:rPr>
          <w:rFonts w:ascii="Verdana" w:eastAsia="Times New Roman" w:hAnsi="Verdana" w:cs="Arial"/>
          <w:color w:val="000000" w:themeColor="text1"/>
          <w:sz w:val="16"/>
          <w:szCs w:val="16"/>
          <w:lang w:val="es-ES" w:eastAsia="es-CO"/>
        </w:rPr>
        <w:t>2.6. INTERVENTORÍA A PROYECTOS DE CONSTRUCCIÓN Y/O AMPLIACIÓN Y/O RECONSTRUCCIÓN Y/O ADECUACIÓN Y/O CONSERVACIÓN Y/O INTERVENCIÓN Y/O INSTALACIÓN Y/O MANTENIMIENTO Y/O MEJORAMIENTO Y/O MODIFICACIÓN U OPTIMIZACIÓN Y/O REHABILITACIÓN Y/O REMODELACIÓN Y/O REPOSICIÓN Y/O REPARACIÓN LOCATIVA Y/O RESTAURACIÓN Y/O RESTITUCIÓN Y/O TERMINACIÓN Y/O REFORZAMIENTO ESTRUCTURAL Y/O ACTUALIZACIÓN SÍSMICA Y/O REPOTENCIACIÓN ESTRUCTURAL DE PISTAS Y/O CICLO RUTAS EN INFRAESTRUCTURA EDUCATIVA</w:t>
      </w:r>
    </w:p>
    <w:p w14:paraId="6902B178" w14:textId="77777777" w:rsidR="0096161C" w:rsidRPr="00D51CD8" w:rsidRDefault="0096161C" w:rsidP="0096161C">
      <w:pPr>
        <w:widowControl w:val="0"/>
        <w:autoSpaceDE w:val="0"/>
        <w:autoSpaceDN w:val="0"/>
        <w:snapToGrid w:val="0"/>
        <w:spacing w:after="120" w:line="276" w:lineRule="auto"/>
        <w:ind w:left="709" w:right="709" w:firstLine="709"/>
        <w:jc w:val="both"/>
        <w:rPr>
          <w:rFonts w:ascii="Verdana" w:eastAsia="Times New Roman" w:hAnsi="Verdana" w:cs="Arial"/>
          <w:color w:val="000000" w:themeColor="text1"/>
          <w:sz w:val="16"/>
          <w:szCs w:val="16"/>
          <w:lang w:val="es-ES" w:eastAsia="es-CO"/>
        </w:rPr>
      </w:pPr>
      <w:r w:rsidRPr="00D51CD8">
        <w:rPr>
          <w:rFonts w:ascii="Verdana" w:eastAsia="Times New Roman" w:hAnsi="Verdana" w:cs="Arial"/>
          <w:color w:val="000000" w:themeColor="text1"/>
          <w:sz w:val="16"/>
          <w:szCs w:val="16"/>
          <w:lang w:val="es-ES" w:eastAsia="es-CO"/>
        </w:rPr>
        <w:t>2.7. INTERVENTORÍA A PROYECTOS DE CONSTRUCCIÓN Y/O HABILITACIÓN Y/O AMPLIACIÓN Y/O RECONSTRUCCIÓN Y/O ADECUACIÓN Y/O CONSERVACIÓN Y/O INTERVENCIÓN Y/O INSTALACIÓN Y/O MANTENIMIENTO Y/O MEJORAMIENTO Y/O MODIFICACIÓN U OPTIMIZACIÓN Y/O REHABILITACIÓN Y/O REMODELACIÓN Y/O REPOSICIÓN Y/O REPARACIÓN LOCATIVA Y/O RESTAURACIÓN Y/O RESTITUCIÓN Y/O TERMINACIÓN DE ZONAS VERDES, Y/O ACTIVIDADES DE URBANISMO Y/O DE PAISAJISMO ASOCIADA A INFRAESTRUCTURA EDUCATIVA</w:t>
      </w:r>
    </w:p>
    <w:p w14:paraId="275F34DE" w14:textId="77777777" w:rsidR="0096161C" w:rsidRPr="008128A6" w:rsidRDefault="0096161C" w:rsidP="0096161C">
      <w:pPr>
        <w:widowControl w:val="0"/>
        <w:autoSpaceDE w:val="0"/>
        <w:autoSpaceDN w:val="0"/>
        <w:snapToGrid w:val="0"/>
        <w:spacing w:after="120" w:line="276" w:lineRule="auto"/>
        <w:ind w:left="709" w:right="709"/>
        <w:jc w:val="both"/>
        <w:rPr>
          <w:rFonts w:ascii="Verdana" w:eastAsia="Times New Roman" w:hAnsi="Verdana" w:cs="Arial"/>
          <w:b/>
          <w:bCs/>
          <w:color w:val="000000" w:themeColor="text1"/>
          <w:sz w:val="16"/>
          <w:szCs w:val="16"/>
          <w:lang w:val="es-ES" w:eastAsia="es-CO"/>
        </w:rPr>
      </w:pPr>
      <w:r w:rsidRPr="008128A6">
        <w:rPr>
          <w:rFonts w:ascii="Verdana" w:eastAsia="Times New Roman" w:hAnsi="Verdana" w:cs="Arial"/>
          <w:b/>
          <w:bCs/>
          <w:color w:val="000000" w:themeColor="text1"/>
          <w:sz w:val="16"/>
          <w:szCs w:val="16"/>
          <w:lang w:val="es-ES" w:eastAsia="es-CO"/>
        </w:rPr>
        <w:t>3. INTERVENTORÍA A OBRAS EN VÍAS DE ACCESO O PARQUEADEROS O ZONAS DE CIRCULACIÓN (VEHICULAR O PEATONAL) O PLAZUELAS O PLAZAS O PLAZUELAS EN INFRAESTRUCTURA EDUCATIVA</w:t>
      </w:r>
      <w:r w:rsidRPr="008128A6">
        <w:rPr>
          <w:rFonts w:ascii="Verdana" w:eastAsia="Times New Roman" w:hAnsi="Verdana" w:cs="Arial"/>
          <w:b/>
          <w:bCs/>
          <w:color w:val="000000" w:themeColor="text1"/>
          <w:sz w:val="16"/>
          <w:szCs w:val="16"/>
          <w:lang w:val="es-ES" w:eastAsia="es-CO"/>
        </w:rPr>
        <w:tab/>
      </w:r>
      <w:r w:rsidRPr="008128A6">
        <w:rPr>
          <w:rFonts w:ascii="Verdana" w:eastAsia="Times New Roman" w:hAnsi="Verdana" w:cs="Arial"/>
          <w:b/>
          <w:bCs/>
          <w:color w:val="000000" w:themeColor="text1"/>
          <w:sz w:val="16"/>
          <w:szCs w:val="16"/>
          <w:lang w:val="es-ES" w:eastAsia="es-CO"/>
        </w:rPr>
        <w:tab/>
      </w:r>
      <w:r w:rsidRPr="008128A6">
        <w:rPr>
          <w:rFonts w:ascii="Verdana" w:eastAsia="Times New Roman" w:hAnsi="Verdana" w:cs="Arial"/>
          <w:b/>
          <w:bCs/>
          <w:color w:val="000000" w:themeColor="text1"/>
          <w:sz w:val="16"/>
          <w:szCs w:val="16"/>
          <w:lang w:val="es-ES" w:eastAsia="es-CO"/>
        </w:rPr>
        <w:tab/>
      </w:r>
      <w:r w:rsidRPr="008128A6">
        <w:rPr>
          <w:rFonts w:ascii="Verdana" w:eastAsia="Times New Roman" w:hAnsi="Verdana" w:cs="Arial"/>
          <w:b/>
          <w:bCs/>
          <w:color w:val="000000" w:themeColor="text1"/>
          <w:sz w:val="16"/>
          <w:szCs w:val="16"/>
          <w:lang w:val="es-ES" w:eastAsia="es-CO"/>
        </w:rPr>
        <w:tab/>
      </w:r>
      <w:r w:rsidRPr="008128A6">
        <w:rPr>
          <w:rFonts w:ascii="Verdana" w:eastAsia="Times New Roman" w:hAnsi="Verdana" w:cs="Arial"/>
          <w:b/>
          <w:bCs/>
          <w:color w:val="000000" w:themeColor="text1"/>
          <w:sz w:val="16"/>
          <w:szCs w:val="16"/>
          <w:lang w:val="es-ES" w:eastAsia="es-CO"/>
        </w:rPr>
        <w:tab/>
      </w:r>
      <w:r w:rsidRPr="008128A6">
        <w:rPr>
          <w:rFonts w:ascii="Verdana" w:eastAsia="Times New Roman" w:hAnsi="Verdana" w:cs="Arial"/>
          <w:b/>
          <w:bCs/>
          <w:color w:val="000000" w:themeColor="text1"/>
          <w:sz w:val="16"/>
          <w:szCs w:val="16"/>
          <w:lang w:val="es-ES" w:eastAsia="es-CO"/>
        </w:rPr>
        <w:tab/>
      </w:r>
      <w:r w:rsidRPr="008128A6">
        <w:rPr>
          <w:rFonts w:ascii="Verdana" w:eastAsia="Times New Roman" w:hAnsi="Verdana" w:cs="Arial"/>
          <w:b/>
          <w:bCs/>
          <w:color w:val="000000" w:themeColor="text1"/>
          <w:sz w:val="16"/>
          <w:szCs w:val="16"/>
          <w:lang w:val="es-ES" w:eastAsia="es-CO"/>
        </w:rPr>
        <w:tab/>
      </w:r>
      <w:r w:rsidRPr="008128A6">
        <w:rPr>
          <w:rFonts w:ascii="Verdana" w:eastAsia="Times New Roman" w:hAnsi="Verdana" w:cs="Arial"/>
          <w:b/>
          <w:bCs/>
          <w:color w:val="000000" w:themeColor="text1"/>
          <w:sz w:val="16"/>
          <w:szCs w:val="16"/>
          <w:lang w:val="es-ES" w:eastAsia="es-CO"/>
        </w:rPr>
        <w:tab/>
      </w:r>
      <w:r w:rsidRPr="008128A6">
        <w:rPr>
          <w:rFonts w:ascii="Verdana" w:eastAsia="Times New Roman" w:hAnsi="Verdana" w:cs="Arial"/>
          <w:b/>
          <w:bCs/>
          <w:color w:val="000000" w:themeColor="text1"/>
          <w:sz w:val="16"/>
          <w:szCs w:val="16"/>
          <w:lang w:val="es-ES" w:eastAsia="es-CO"/>
        </w:rPr>
        <w:tab/>
      </w:r>
      <w:r w:rsidRPr="008128A6">
        <w:rPr>
          <w:rFonts w:ascii="Verdana" w:eastAsia="Times New Roman" w:hAnsi="Verdana" w:cs="Arial"/>
          <w:b/>
          <w:bCs/>
          <w:color w:val="000000" w:themeColor="text1"/>
          <w:sz w:val="16"/>
          <w:szCs w:val="16"/>
          <w:lang w:val="es-ES" w:eastAsia="es-CO"/>
        </w:rPr>
        <w:tab/>
      </w:r>
      <w:r w:rsidRPr="008128A6">
        <w:rPr>
          <w:rFonts w:ascii="Verdana" w:eastAsia="Times New Roman" w:hAnsi="Verdana" w:cs="Arial"/>
          <w:b/>
          <w:bCs/>
          <w:color w:val="000000" w:themeColor="text1"/>
          <w:sz w:val="16"/>
          <w:szCs w:val="16"/>
          <w:lang w:val="es-ES" w:eastAsia="es-CO"/>
        </w:rPr>
        <w:tab/>
      </w:r>
      <w:r w:rsidRPr="008128A6">
        <w:rPr>
          <w:rFonts w:ascii="Verdana" w:eastAsia="Times New Roman" w:hAnsi="Verdana" w:cs="Arial"/>
          <w:b/>
          <w:bCs/>
          <w:color w:val="000000" w:themeColor="text1"/>
          <w:sz w:val="16"/>
          <w:szCs w:val="16"/>
          <w:lang w:val="es-ES" w:eastAsia="es-CO"/>
        </w:rPr>
        <w:tab/>
      </w:r>
    </w:p>
    <w:p w14:paraId="0A7BEE2F" w14:textId="77777777" w:rsidR="0096161C" w:rsidRPr="00D62F41" w:rsidRDefault="0096161C" w:rsidP="0096161C">
      <w:pPr>
        <w:widowControl w:val="0"/>
        <w:autoSpaceDE w:val="0"/>
        <w:autoSpaceDN w:val="0"/>
        <w:snapToGrid w:val="0"/>
        <w:spacing w:after="120" w:line="276" w:lineRule="auto"/>
        <w:ind w:left="709" w:right="709" w:firstLine="709"/>
        <w:jc w:val="both"/>
        <w:rPr>
          <w:rFonts w:ascii="Verdana" w:eastAsia="Times New Roman" w:hAnsi="Verdana" w:cs="Arial"/>
          <w:color w:val="000000" w:themeColor="text1"/>
          <w:sz w:val="16"/>
          <w:szCs w:val="16"/>
          <w:lang w:val="es-ES" w:eastAsia="es-CO"/>
        </w:rPr>
      </w:pPr>
      <w:r w:rsidRPr="00D62F41">
        <w:rPr>
          <w:rFonts w:ascii="Verdana" w:eastAsia="Times New Roman" w:hAnsi="Verdana" w:cs="Arial"/>
          <w:color w:val="000000" w:themeColor="text1"/>
          <w:sz w:val="16"/>
          <w:szCs w:val="16"/>
          <w:lang w:val="es-ES" w:eastAsia="es-CO"/>
        </w:rPr>
        <w:t>3.1. INTERVENTORÍA A PROYECTOS DE CONSTRUCCIÓN Y/O AMPLIACIÓN Y/O RECONSTRUCCIÓN DE PARQUEADEROS Y/O SÓTANOS Y/O VÍAS DE CIRCULACIÓN INTERNAS EN INFRAESTRUCTURA EDUCATIVA</w:t>
      </w:r>
    </w:p>
    <w:p w14:paraId="4F6D4A21" w14:textId="77777777" w:rsidR="0096161C" w:rsidRPr="00D62F41" w:rsidRDefault="0096161C" w:rsidP="0096161C">
      <w:pPr>
        <w:widowControl w:val="0"/>
        <w:autoSpaceDE w:val="0"/>
        <w:autoSpaceDN w:val="0"/>
        <w:snapToGrid w:val="0"/>
        <w:spacing w:after="120" w:line="276" w:lineRule="auto"/>
        <w:ind w:left="709" w:right="709" w:firstLine="709"/>
        <w:jc w:val="both"/>
        <w:rPr>
          <w:rFonts w:ascii="Verdana" w:eastAsia="Times New Roman" w:hAnsi="Verdana" w:cs="Arial"/>
          <w:color w:val="000000" w:themeColor="text1"/>
          <w:sz w:val="16"/>
          <w:szCs w:val="16"/>
          <w:lang w:val="es-ES" w:eastAsia="es-CO"/>
        </w:rPr>
      </w:pPr>
      <w:r w:rsidRPr="00D62F41">
        <w:rPr>
          <w:rFonts w:ascii="Verdana" w:eastAsia="Times New Roman" w:hAnsi="Verdana" w:cs="Arial"/>
          <w:color w:val="000000" w:themeColor="text1"/>
          <w:sz w:val="16"/>
          <w:szCs w:val="16"/>
          <w:lang w:val="es-ES" w:eastAsia="es-CO"/>
        </w:rPr>
        <w:t xml:space="preserve">3.2. INTERVENTORÍA A PROYECTOS DE ADECUACIÓN Y/O CONSERVACIÓN Y/O INTERVENCIÓN Y/O INSTALACIÓN Y/O MANTENIMIENTO Y/O MEJORAMIENTO Y/O MODIFICACIÓN U OPTIMIZACIÓN Y/O REHABILITACIÓN Y/O REMODELACIÓN Y/O </w:t>
      </w:r>
      <w:r w:rsidRPr="00D62F41">
        <w:rPr>
          <w:rFonts w:ascii="Verdana" w:eastAsia="Times New Roman" w:hAnsi="Verdana" w:cs="Arial"/>
          <w:color w:val="000000" w:themeColor="text1"/>
          <w:sz w:val="16"/>
          <w:szCs w:val="16"/>
          <w:lang w:val="es-ES" w:eastAsia="es-CO"/>
        </w:rPr>
        <w:lastRenderedPageBreak/>
        <w:t>REPOSICIÓN Y/O REPARACIÓN LOCATIVA Y/O RESTAURACIÓN Y/O RESTITUCIÓN Y/O TERMINACIÓN DE PARQUEADEROS Y/O SÓTANOS Y/O VÍAS DE CIRCULACIÓN INTERNAS EN INFRAESTRUCTURA EDUCATIVA</w:t>
      </w:r>
    </w:p>
    <w:p w14:paraId="2EC1B1A6" w14:textId="77777777" w:rsidR="0096161C" w:rsidRPr="00D62F41" w:rsidRDefault="0096161C" w:rsidP="0096161C">
      <w:pPr>
        <w:widowControl w:val="0"/>
        <w:autoSpaceDE w:val="0"/>
        <w:autoSpaceDN w:val="0"/>
        <w:snapToGrid w:val="0"/>
        <w:spacing w:after="120" w:line="276" w:lineRule="auto"/>
        <w:ind w:left="709" w:right="709" w:firstLine="709"/>
        <w:jc w:val="both"/>
        <w:rPr>
          <w:rFonts w:ascii="Verdana" w:eastAsia="Times New Roman" w:hAnsi="Verdana" w:cs="Arial"/>
          <w:color w:val="000000" w:themeColor="text1"/>
          <w:sz w:val="16"/>
          <w:szCs w:val="16"/>
          <w:lang w:val="es-ES" w:eastAsia="es-CO"/>
        </w:rPr>
      </w:pPr>
      <w:r w:rsidRPr="00D62F41">
        <w:rPr>
          <w:rFonts w:ascii="Verdana" w:eastAsia="Times New Roman" w:hAnsi="Verdana" w:cs="Arial"/>
          <w:color w:val="000000" w:themeColor="text1"/>
          <w:sz w:val="16"/>
          <w:szCs w:val="16"/>
          <w:lang w:val="es-ES" w:eastAsia="es-CO"/>
        </w:rPr>
        <w:t>3.3. INTERVENTORÍA A PROYECTOS DE SEÑALIZACIÓN Y/O DEMARCACIÓN DE PARQUEADEROS Y/O SÓTANOS Y/O VÍAS DE CIRCULACIÓN INTERNAS EN INFRAESTRUCTURA EDUCATIVA</w:t>
      </w:r>
    </w:p>
    <w:p w14:paraId="57C90917" w14:textId="77777777" w:rsidR="0096161C" w:rsidRPr="00D62F41" w:rsidRDefault="0096161C" w:rsidP="0096161C">
      <w:pPr>
        <w:widowControl w:val="0"/>
        <w:autoSpaceDE w:val="0"/>
        <w:autoSpaceDN w:val="0"/>
        <w:snapToGrid w:val="0"/>
        <w:spacing w:after="120" w:line="276" w:lineRule="auto"/>
        <w:ind w:left="709" w:right="709" w:firstLine="709"/>
        <w:jc w:val="both"/>
        <w:rPr>
          <w:rFonts w:ascii="Verdana" w:eastAsia="Times New Roman" w:hAnsi="Verdana" w:cs="Arial"/>
          <w:color w:val="000000" w:themeColor="text1"/>
          <w:sz w:val="16"/>
          <w:szCs w:val="16"/>
          <w:lang w:val="es-ES" w:eastAsia="es-CO"/>
        </w:rPr>
      </w:pPr>
      <w:r w:rsidRPr="00D62F41">
        <w:rPr>
          <w:rFonts w:ascii="Verdana" w:eastAsia="Times New Roman" w:hAnsi="Verdana" w:cs="Arial"/>
          <w:color w:val="000000" w:themeColor="text1"/>
          <w:sz w:val="16"/>
          <w:szCs w:val="16"/>
          <w:lang w:val="es-ES" w:eastAsia="es-CO"/>
        </w:rPr>
        <w:t>3.4. INTERVENTORÍA A PROYECTOS DE CONSTRUCCIÓN Y/O O AMPLIACIÓN Y/O RECONSTRUCCIÓN DE SENDEROS Y/O ANDENES Y/O ALAMEDAS AL INTERIOR DE INFRAESTRUCTURA EDUCATIVA</w:t>
      </w:r>
    </w:p>
    <w:p w14:paraId="566EA4C0" w14:textId="77777777" w:rsidR="0096161C" w:rsidRPr="00D62F41" w:rsidRDefault="0096161C" w:rsidP="0096161C">
      <w:pPr>
        <w:widowControl w:val="0"/>
        <w:autoSpaceDE w:val="0"/>
        <w:autoSpaceDN w:val="0"/>
        <w:snapToGrid w:val="0"/>
        <w:spacing w:after="120" w:line="276" w:lineRule="auto"/>
        <w:ind w:left="709" w:right="709" w:firstLine="709"/>
        <w:jc w:val="both"/>
        <w:rPr>
          <w:rFonts w:ascii="Verdana" w:eastAsia="Times New Roman" w:hAnsi="Verdana" w:cs="Arial"/>
          <w:color w:val="000000" w:themeColor="text1"/>
          <w:sz w:val="16"/>
          <w:szCs w:val="16"/>
          <w:lang w:val="es-ES" w:eastAsia="es-CO"/>
        </w:rPr>
      </w:pPr>
      <w:r w:rsidRPr="00D62F41">
        <w:rPr>
          <w:rFonts w:ascii="Verdana" w:eastAsia="Times New Roman" w:hAnsi="Verdana" w:cs="Arial"/>
          <w:color w:val="000000" w:themeColor="text1"/>
          <w:sz w:val="16"/>
          <w:szCs w:val="16"/>
          <w:lang w:val="es-ES" w:eastAsia="es-CO"/>
        </w:rPr>
        <w:t>3.5. INTERVENTORÍA A PROYECTOS DE ADECUACIÓN Y/O CONSERVACIÓN Y/O INTERVENCIÓN Y/O INSTALACIÓN Y/O MANTENIMIENTO Y/O MEJORAMIENTO Y/O MODIFICACIÓN U OPTIMIZACIÓN Y/O REHABILITACIÓN Y/O REMODELACIÓN Y/O REPOSICIÓN Y/O REPARACIÓN LOCATIVA Y/O RESTAURACIÓN Y/O RESTITUCIÓN Y/O TERMINACIÓN DE SENDEROS Y/O ANDENES Y/O ALAMEDAS AL INTERIOR DE INFRAESTRUCTURA EDUCATIVA</w:t>
      </w:r>
    </w:p>
    <w:p w14:paraId="6DB33B14" w14:textId="77777777" w:rsidR="0096161C" w:rsidRPr="00D62F41" w:rsidRDefault="0096161C" w:rsidP="0096161C">
      <w:pPr>
        <w:widowControl w:val="0"/>
        <w:autoSpaceDE w:val="0"/>
        <w:autoSpaceDN w:val="0"/>
        <w:snapToGrid w:val="0"/>
        <w:spacing w:after="120" w:line="276" w:lineRule="auto"/>
        <w:ind w:left="709" w:right="709" w:firstLine="709"/>
        <w:jc w:val="both"/>
        <w:rPr>
          <w:rFonts w:ascii="Verdana" w:eastAsia="Times New Roman" w:hAnsi="Verdana" w:cs="Arial"/>
          <w:color w:val="000000" w:themeColor="text1"/>
          <w:sz w:val="16"/>
          <w:szCs w:val="16"/>
          <w:lang w:val="es-ES" w:eastAsia="es-CO"/>
        </w:rPr>
      </w:pPr>
      <w:r w:rsidRPr="00D62F41">
        <w:rPr>
          <w:rFonts w:ascii="Verdana" w:eastAsia="Times New Roman" w:hAnsi="Verdana" w:cs="Arial"/>
          <w:color w:val="000000" w:themeColor="text1"/>
          <w:sz w:val="16"/>
          <w:szCs w:val="16"/>
          <w:lang w:val="es-ES" w:eastAsia="es-CO"/>
        </w:rPr>
        <w:t xml:space="preserve">3.6. INTERVENTORÍA A PROYECTOS DE CONSTRUCCIÓN Y/O AMPLIACIÓN Y/O RECONSTRUCCIÓN TOTAL DE PLAZOLETAS Y/O PLAZAS Y/O PLAZUELAS AL INTERIOR DE INFRAESTRUCTURA EDUCATIVA. </w:t>
      </w:r>
    </w:p>
    <w:p w14:paraId="0FEE6C99" w14:textId="77777777" w:rsidR="0096161C" w:rsidRDefault="0096161C" w:rsidP="0096161C">
      <w:pPr>
        <w:widowControl w:val="0"/>
        <w:autoSpaceDE w:val="0"/>
        <w:autoSpaceDN w:val="0"/>
        <w:snapToGrid w:val="0"/>
        <w:spacing w:after="120" w:line="276" w:lineRule="auto"/>
        <w:ind w:left="709" w:right="709" w:firstLine="709"/>
        <w:jc w:val="both"/>
        <w:rPr>
          <w:rFonts w:ascii="Verdana" w:eastAsia="Times New Roman" w:hAnsi="Verdana" w:cs="Arial"/>
          <w:color w:val="000000" w:themeColor="text1"/>
          <w:sz w:val="16"/>
          <w:szCs w:val="16"/>
          <w:lang w:val="es-ES" w:eastAsia="es-CO"/>
        </w:rPr>
      </w:pPr>
      <w:r w:rsidRPr="00D62F41">
        <w:rPr>
          <w:rFonts w:ascii="Verdana" w:eastAsia="Times New Roman" w:hAnsi="Verdana" w:cs="Arial"/>
          <w:color w:val="000000" w:themeColor="text1"/>
          <w:sz w:val="16"/>
          <w:szCs w:val="16"/>
          <w:lang w:val="es-ES" w:eastAsia="es-CO"/>
        </w:rPr>
        <w:t>3.7. INTERVENTORÍA A PROYECTOS DE ADECUACIÓN Y/O CONSERVACIÓN Y/O INTERVENCIÓN Y/O INSTALACIÓN Y/O MANTENIMIENTO Y/O MEJORAMIENTO Y/O MODIFICACIÓN U OPTIMIZACIÓN Y/O REHABILITACIÓN Y/O REMODELACIÓN Y/O REPOSICIÓN Y/O REPARACIÓN LOCATIVA Y/O RESTAURACIÓN Y/O RESTITUCIÓN Y/O TERMINACIÓN DE PLAZOLETAS Y/O PLAZAS Y/O PLAZUELAS AL INTERIOR DE INFRAESTRUCTURA EDUCATIVAS.</w:t>
      </w:r>
    </w:p>
    <w:p w14:paraId="48C8E680" w14:textId="77777777" w:rsidR="0096161C" w:rsidRPr="00377B34" w:rsidRDefault="0096161C" w:rsidP="0096161C">
      <w:pPr>
        <w:widowControl w:val="0"/>
        <w:autoSpaceDE w:val="0"/>
        <w:autoSpaceDN w:val="0"/>
        <w:snapToGrid w:val="0"/>
        <w:spacing w:after="120" w:line="276" w:lineRule="auto"/>
        <w:ind w:left="709" w:right="709"/>
        <w:jc w:val="both"/>
        <w:rPr>
          <w:rFonts w:ascii="Verdana" w:eastAsia="Times New Roman" w:hAnsi="Verdana" w:cs="Arial"/>
          <w:color w:val="000000" w:themeColor="text1"/>
          <w:sz w:val="16"/>
          <w:szCs w:val="16"/>
          <w:lang w:val="es-ES" w:eastAsia="es-CO"/>
        </w:rPr>
      </w:pPr>
      <w:r w:rsidRPr="00D62F41">
        <w:rPr>
          <w:rFonts w:ascii="Verdana" w:eastAsia="Times New Roman" w:hAnsi="Verdana" w:cs="Arial"/>
          <w:b/>
          <w:bCs/>
          <w:color w:val="000000" w:themeColor="text1"/>
          <w:sz w:val="16"/>
          <w:szCs w:val="16"/>
          <w:lang w:val="es-ES" w:eastAsia="es-CO"/>
        </w:rPr>
        <w:t>4. INTERVENTORÍA A OBRAS PARA ATENCIÓN, PREVENCIÓN O MITIGACIÓN DE EMERGENCIAS DIFERENTES A CONTRATACIÓN DIRECTA PARA EL SECTOR EDUCATIVO</w:t>
      </w:r>
      <w:r w:rsidRPr="00D62F41">
        <w:rPr>
          <w:rFonts w:ascii="Verdana" w:eastAsia="Times New Roman" w:hAnsi="Verdana" w:cs="Arial"/>
          <w:b/>
          <w:bCs/>
          <w:color w:val="000000" w:themeColor="text1"/>
          <w:sz w:val="16"/>
          <w:szCs w:val="16"/>
          <w:lang w:val="es-ES" w:eastAsia="es-CO"/>
        </w:rPr>
        <w:tab/>
      </w:r>
      <w:r w:rsidRPr="00D62F41">
        <w:rPr>
          <w:rFonts w:ascii="Verdana" w:eastAsia="Times New Roman" w:hAnsi="Verdana" w:cs="Arial"/>
          <w:b/>
          <w:bCs/>
          <w:color w:val="000000" w:themeColor="text1"/>
          <w:sz w:val="16"/>
          <w:szCs w:val="16"/>
          <w:lang w:val="es-ES" w:eastAsia="es-CO"/>
        </w:rPr>
        <w:tab/>
      </w:r>
      <w:r w:rsidRPr="00D62F41">
        <w:rPr>
          <w:rFonts w:ascii="Verdana" w:eastAsia="Times New Roman" w:hAnsi="Verdana" w:cs="Arial"/>
          <w:b/>
          <w:bCs/>
          <w:color w:val="000000" w:themeColor="text1"/>
          <w:sz w:val="16"/>
          <w:szCs w:val="16"/>
          <w:lang w:val="es-ES" w:eastAsia="es-CO"/>
        </w:rPr>
        <w:tab/>
      </w:r>
      <w:r w:rsidRPr="00D62F41">
        <w:rPr>
          <w:rFonts w:ascii="Verdana" w:eastAsia="Times New Roman" w:hAnsi="Verdana" w:cs="Arial"/>
          <w:b/>
          <w:bCs/>
          <w:color w:val="000000" w:themeColor="text1"/>
          <w:sz w:val="16"/>
          <w:szCs w:val="16"/>
          <w:lang w:val="es-ES" w:eastAsia="es-CO"/>
        </w:rPr>
        <w:tab/>
      </w:r>
      <w:r w:rsidRPr="00D62F41">
        <w:rPr>
          <w:rFonts w:ascii="Verdana" w:eastAsia="Times New Roman" w:hAnsi="Verdana" w:cs="Arial"/>
          <w:b/>
          <w:bCs/>
          <w:color w:val="000000" w:themeColor="text1"/>
          <w:sz w:val="16"/>
          <w:szCs w:val="16"/>
          <w:lang w:val="es-ES" w:eastAsia="es-CO"/>
        </w:rPr>
        <w:tab/>
      </w:r>
      <w:r w:rsidRPr="00D62F41">
        <w:rPr>
          <w:rFonts w:ascii="Verdana" w:eastAsia="Times New Roman" w:hAnsi="Verdana" w:cs="Arial"/>
          <w:b/>
          <w:bCs/>
          <w:color w:val="000000" w:themeColor="text1"/>
          <w:sz w:val="16"/>
          <w:szCs w:val="16"/>
          <w:lang w:val="es-ES" w:eastAsia="es-CO"/>
        </w:rPr>
        <w:tab/>
      </w:r>
      <w:r w:rsidRPr="00D62F41">
        <w:rPr>
          <w:rFonts w:ascii="Verdana" w:eastAsia="Times New Roman" w:hAnsi="Verdana" w:cs="Arial"/>
          <w:b/>
          <w:bCs/>
          <w:color w:val="000000" w:themeColor="text1"/>
          <w:sz w:val="16"/>
          <w:szCs w:val="16"/>
          <w:lang w:val="es-ES" w:eastAsia="es-CO"/>
        </w:rPr>
        <w:tab/>
      </w:r>
      <w:r w:rsidRPr="00D62F41">
        <w:rPr>
          <w:rFonts w:ascii="Verdana" w:eastAsia="Times New Roman" w:hAnsi="Verdana" w:cs="Arial"/>
          <w:b/>
          <w:bCs/>
          <w:color w:val="000000" w:themeColor="text1"/>
          <w:sz w:val="16"/>
          <w:szCs w:val="16"/>
          <w:lang w:val="es-ES" w:eastAsia="es-CO"/>
        </w:rPr>
        <w:tab/>
      </w:r>
      <w:r w:rsidRPr="00D62F41">
        <w:rPr>
          <w:rFonts w:ascii="Verdana" w:eastAsia="Times New Roman" w:hAnsi="Verdana" w:cs="Arial"/>
          <w:b/>
          <w:bCs/>
          <w:color w:val="000000" w:themeColor="text1"/>
          <w:sz w:val="16"/>
          <w:szCs w:val="16"/>
          <w:lang w:val="es-ES" w:eastAsia="es-CO"/>
        </w:rPr>
        <w:tab/>
      </w:r>
      <w:r w:rsidRPr="00377B34">
        <w:rPr>
          <w:rFonts w:ascii="Verdana" w:eastAsia="Times New Roman" w:hAnsi="Verdana" w:cs="Arial"/>
          <w:color w:val="000000" w:themeColor="text1"/>
          <w:sz w:val="16"/>
          <w:szCs w:val="16"/>
          <w:lang w:val="es-ES" w:eastAsia="es-CO"/>
        </w:rPr>
        <w:tab/>
        <w:t>4.1. INTERVENTORÍA A PROYECTOS DE ATENCIÓN, PREVENCIÓN Y/O MITIGACIÓN DE OBRAS DE EMERGENCIAS POR EVENTOS Y FENÓMENOS DE ORIGEN NATURAL Y/O ORIGEN SOCIO - NATURAL Y/O ORIGEN BIOSANITARIO Y/O ORIGEN HUMANO NO INTENCIONAL Y/O POR EVENTOS CLIMÁTICOS Y/O ATMOSFÉRICOS Y/O HIDROLÓGICOS Y/O TECNOLÓGICO Y/O SÍSMICOS EN EL ÁMBITO DEL SECTOR EDUCATIVO</w:t>
      </w:r>
    </w:p>
    <w:p w14:paraId="5E3F89D3" w14:textId="77777777" w:rsidR="0096161C" w:rsidRPr="00377B34" w:rsidRDefault="0096161C" w:rsidP="0096161C">
      <w:pPr>
        <w:widowControl w:val="0"/>
        <w:autoSpaceDE w:val="0"/>
        <w:autoSpaceDN w:val="0"/>
        <w:snapToGrid w:val="0"/>
        <w:spacing w:after="120" w:line="276" w:lineRule="auto"/>
        <w:ind w:left="709" w:right="709" w:firstLine="707"/>
        <w:jc w:val="both"/>
        <w:rPr>
          <w:rFonts w:ascii="Verdana" w:eastAsia="Times New Roman" w:hAnsi="Verdana" w:cs="Arial"/>
          <w:color w:val="000000" w:themeColor="text1"/>
          <w:sz w:val="16"/>
          <w:szCs w:val="16"/>
          <w:lang w:val="es-ES" w:eastAsia="es-CO"/>
        </w:rPr>
      </w:pPr>
      <w:r w:rsidRPr="00377B34">
        <w:rPr>
          <w:rFonts w:ascii="Verdana" w:eastAsia="Times New Roman" w:hAnsi="Verdana" w:cs="Arial"/>
          <w:color w:val="000000" w:themeColor="text1"/>
          <w:sz w:val="16"/>
          <w:szCs w:val="16"/>
          <w:lang w:val="es-ES" w:eastAsia="es-CO"/>
        </w:rPr>
        <w:t>4.2. INTERVENTORÍA A PROYECTOS DE ATENCIÓN, PREVENCIÓN Y/O MITIGACIÓN DE OBRAS DE EMERGENCIAS MEDIANTE OBRAS DE ESTABILIZACIÓN DE TALUDES Y/O RECUPERACIÓN DE BANCA EN EL ÁMBITO DEL SECTOR EDUCATIVO</w:t>
      </w:r>
    </w:p>
    <w:p w14:paraId="46974EE0" w14:textId="77777777" w:rsidR="0096161C" w:rsidRPr="00377B34" w:rsidRDefault="0096161C" w:rsidP="0096161C">
      <w:pPr>
        <w:widowControl w:val="0"/>
        <w:autoSpaceDE w:val="0"/>
        <w:autoSpaceDN w:val="0"/>
        <w:snapToGrid w:val="0"/>
        <w:spacing w:after="120" w:line="276" w:lineRule="auto"/>
        <w:ind w:left="709" w:right="709" w:firstLine="707"/>
        <w:jc w:val="both"/>
        <w:rPr>
          <w:rFonts w:ascii="Verdana" w:eastAsia="Times New Roman" w:hAnsi="Verdana" w:cs="Arial"/>
          <w:color w:val="000000" w:themeColor="text1"/>
          <w:sz w:val="16"/>
          <w:szCs w:val="16"/>
          <w:lang w:val="es-ES" w:eastAsia="es-CO"/>
        </w:rPr>
      </w:pPr>
      <w:r w:rsidRPr="00377B34">
        <w:rPr>
          <w:rFonts w:ascii="Verdana" w:eastAsia="Times New Roman" w:hAnsi="Verdana" w:cs="Arial"/>
          <w:color w:val="000000" w:themeColor="text1"/>
          <w:sz w:val="16"/>
          <w:szCs w:val="16"/>
          <w:lang w:val="es-ES" w:eastAsia="es-CO"/>
        </w:rPr>
        <w:t>4.3. INTERVENTORÍA A PROYECTOS DE ATENCIÓN, PREVENCIÓN Y/O MITIGACIÓN DE OBRAS DE EMERGENCIAS MEDIANTE OBRAS DE REMOCIÓN DE DERRUMBES, MOVIMIENTOS EN MASA EN EL ÁMBITO DEL SECTOR EDUCATIVO</w:t>
      </w:r>
    </w:p>
    <w:p w14:paraId="35B9BE71" w14:textId="77777777" w:rsidR="0096161C" w:rsidRPr="00745C0D" w:rsidRDefault="0096161C" w:rsidP="0096161C">
      <w:pPr>
        <w:widowControl w:val="0"/>
        <w:autoSpaceDE w:val="0"/>
        <w:autoSpaceDN w:val="0"/>
        <w:snapToGrid w:val="0"/>
        <w:spacing w:after="120" w:line="276" w:lineRule="auto"/>
        <w:ind w:left="709" w:right="709" w:firstLine="707"/>
        <w:jc w:val="both"/>
        <w:rPr>
          <w:rFonts w:ascii="Verdana" w:eastAsia="Times New Roman" w:hAnsi="Verdana" w:cs="Arial"/>
          <w:color w:val="000000" w:themeColor="text1"/>
          <w:sz w:val="16"/>
          <w:szCs w:val="16"/>
          <w:lang w:val="es-ES" w:eastAsia="es-CO"/>
        </w:rPr>
      </w:pPr>
      <w:r w:rsidRPr="00377B34">
        <w:rPr>
          <w:rFonts w:ascii="Verdana" w:eastAsia="Times New Roman" w:hAnsi="Verdana" w:cs="Arial"/>
          <w:color w:val="000000" w:themeColor="text1"/>
          <w:sz w:val="16"/>
          <w:szCs w:val="16"/>
          <w:lang w:val="es-ES" w:eastAsia="es-CO"/>
        </w:rPr>
        <w:t>4.4. INTERVENTORÍA A PROYECTOS DE ATENCIÓN Y/O PREVENCIÓN Y/O MITIGACIÓN DE OBRAS DE EMERGENCIAS DE INUNDACIONES, Y/O HELADAS Y/O VENDAVALES Y/O SEQUIAS Y/O DESBORDAMIENTOS Y/O AVENIDAS TORRENCIALES MEDIANTE OBRAS HIDRÁULICAS EN EL ÁMBITO DEL SECTOR EDUCATIVO</w:t>
      </w:r>
      <w:r w:rsidRPr="00377B34">
        <w:rPr>
          <w:rFonts w:ascii="Verdana" w:eastAsia="Times New Roman" w:hAnsi="Verdana" w:cs="Arial"/>
          <w:color w:val="000000" w:themeColor="text1"/>
          <w:sz w:val="16"/>
          <w:szCs w:val="16"/>
          <w:lang w:val="es-ES" w:eastAsia="es-CO"/>
        </w:rPr>
        <w:tab/>
      </w:r>
      <w:r w:rsidRPr="00377B34">
        <w:rPr>
          <w:rFonts w:ascii="Verdana" w:eastAsia="Times New Roman" w:hAnsi="Verdana" w:cs="Arial"/>
          <w:color w:val="000000" w:themeColor="text1"/>
          <w:sz w:val="16"/>
          <w:szCs w:val="16"/>
          <w:lang w:val="es-ES" w:eastAsia="es-CO"/>
        </w:rPr>
        <w:tab/>
      </w:r>
      <w:r w:rsidRPr="00377B34">
        <w:rPr>
          <w:rFonts w:ascii="Verdana" w:eastAsia="Times New Roman" w:hAnsi="Verdana" w:cs="Arial"/>
          <w:color w:val="000000" w:themeColor="text1"/>
          <w:sz w:val="16"/>
          <w:szCs w:val="16"/>
          <w:lang w:val="es-ES" w:eastAsia="es-CO"/>
        </w:rPr>
        <w:tab/>
      </w:r>
      <w:r w:rsidRPr="00377B34">
        <w:rPr>
          <w:rFonts w:ascii="Verdana" w:eastAsia="Times New Roman" w:hAnsi="Verdana" w:cs="Arial"/>
          <w:color w:val="000000" w:themeColor="text1"/>
          <w:sz w:val="16"/>
          <w:szCs w:val="16"/>
          <w:lang w:val="es-ES" w:eastAsia="es-CO"/>
        </w:rPr>
        <w:tab/>
      </w:r>
    </w:p>
    <w:p w14:paraId="31CBD170" w14:textId="77777777" w:rsidR="0096161C" w:rsidRPr="00FE66BB" w:rsidRDefault="0096161C" w:rsidP="0096161C">
      <w:pPr>
        <w:spacing w:after="120" w:line="276" w:lineRule="auto"/>
        <w:jc w:val="both"/>
        <w:rPr>
          <w:rFonts w:ascii="Verdana" w:eastAsia="Times New Roman" w:hAnsi="Verdana" w:cs="Times New Roman"/>
          <w:lang w:eastAsia="es-MX"/>
        </w:rPr>
      </w:pPr>
      <w:r w:rsidRPr="00C13BAC">
        <w:rPr>
          <w:rFonts w:ascii="Verdana" w:eastAsia="Calibri" w:hAnsi="Verdana" w:cs="Times New Roman"/>
          <w:lang w:eastAsia="es-MX"/>
        </w:rPr>
        <w:lastRenderedPageBreak/>
        <w:t>II</w:t>
      </w:r>
      <w:r>
        <w:rPr>
          <w:rFonts w:ascii="Verdana" w:eastAsia="Calibri" w:hAnsi="Verdana" w:cs="Times New Roman"/>
          <w:lang w:eastAsia="es-MX"/>
        </w:rPr>
        <w:t>I</w:t>
      </w:r>
      <w:r w:rsidRPr="00C13BAC">
        <w:rPr>
          <w:rFonts w:ascii="Verdana" w:eastAsia="Calibri" w:hAnsi="Verdana" w:cs="Times New Roman"/>
          <w:lang w:eastAsia="es-MX"/>
        </w:rPr>
        <w:t>).</w:t>
      </w:r>
      <w:r>
        <w:rPr>
          <w:rFonts w:ascii="Verdana" w:eastAsia="Calibri" w:hAnsi="Verdana" w:cs="Times New Roman"/>
          <w:lang w:eastAsia="es-MX"/>
        </w:rPr>
        <w:t xml:space="preserve"> </w:t>
      </w:r>
      <w:r w:rsidRPr="00FE66BB">
        <w:rPr>
          <w:rFonts w:ascii="Verdana" w:eastAsia="Calibri" w:hAnsi="Verdana" w:cs="Arial"/>
          <w:bCs/>
          <w:color w:val="000000"/>
          <w:lang w:eastAsia="es-MX"/>
        </w:rPr>
        <w:t>Al margen de la explicación precedente debe advertirse que el análisis requerido para resolver problemas específicos en torno a la gestión contractual de las entidades públicas debe ser realizado por quienes tengan interés en ello, de acuerdo con lo explicado en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732E8E1A" w14:textId="77777777" w:rsidR="0096161C" w:rsidRPr="002C01B4" w:rsidRDefault="0096161C" w:rsidP="0096161C">
      <w:pPr>
        <w:spacing w:after="120" w:line="276" w:lineRule="auto"/>
        <w:ind w:firstLine="708"/>
        <w:jc w:val="both"/>
        <w:rPr>
          <w:rFonts w:ascii="Verdana" w:eastAsia="Calibri" w:hAnsi="Verdana" w:cs="Arial"/>
          <w:bCs/>
          <w:color w:val="000000"/>
          <w:lang w:eastAsia="es-MX"/>
        </w:rPr>
      </w:pPr>
      <w:r w:rsidRPr="00FE66BB">
        <w:rPr>
          <w:rFonts w:ascii="Verdana" w:eastAsia="Calibri" w:hAnsi="Verdana" w:cs="Arial"/>
          <w:bCs/>
          <w:color w:val="000000"/>
          <w:lang w:eastAsia="es-MX"/>
        </w:rPr>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w:t>
      </w:r>
    </w:p>
    <w:p w14:paraId="5C0E622C" w14:textId="77777777" w:rsidR="0096161C" w:rsidRPr="004D7523" w:rsidRDefault="0096161C" w:rsidP="0096161C">
      <w:pPr>
        <w:numPr>
          <w:ilvl w:val="0"/>
          <w:numId w:val="17"/>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4D7523">
        <w:rPr>
          <w:rFonts w:ascii="Verdana" w:eastAsia="Century Gothic" w:hAnsi="Verdana" w:cs="Century Gothic"/>
          <w:b/>
          <w:bCs/>
          <w:lang w:val="es-ES_tradnl"/>
        </w:rPr>
        <w:t>Referencias normativas, jurisprudenciales y otras fuentes:</w:t>
      </w:r>
    </w:p>
    <w:p w14:paraId="2ED90D06" w14:textId="77777777" w:rsidR="0096161C" w:rsidRPr="004D7523" w:rsidRDefault="0096161C" w:rsidP="0096161C">
      <w:pPr>
        <w:tabs>
          <w:tab w:val="left" w:pos="970"/>
        </w:tabs>
        <w:spacing w:after="0" w:line="276" w:lineRule="auto"/>
        <w:ind w:left="-15840"/>
        <w:jc w:val="both"/>
        <w:rPr>
          <w:rFonts w:ascii="Verdana" w:eastAsia="Calibri" w:hAnsi="Verdana" w:cs="Arial"/>
          <w:b/>
          <w:bCs/>
        </w:rPr>
      </w:pPr>
      <w:r w:rsidRPr="004D7523">
        <w:rPr>
          <w:rFonts w:ascii="Verdana" w:eastAsia="Calibri" w:hAnsi="Verdana" w:cs="Arial"/>
          <w:b/>
          <w:bCs/>
        </w:rPr>
        <w:t>4. Referencias normativas, jurisprudenciales y otras fuentes:</w:t>
      </w:r>
      <w:r w:rsidRPr="004D7523">
        <w:rPr>
          <w:rFonts w:ascii="Verdana" w:eastAsia="Calibri" w:hAnsi="Verdana" w:cs="Arial"/>
          <w:b/>
          <w:bCs/>
        </w:rPr>
        <w:tab/>
      </w:r>
    </w:p>
    <w:tbl>
      <w:tblPr>
        <w:tblStyle w:val="Tablaconcuadrcula1"/>
        <w:tblW w:w="8640"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96161C" w:rsidRPr="00D56B2A" w14:paraId="295551F8" w14:textId="77777777" w:rsidTr="002C4F43">
        <w:trPr>
          <w:trHeight w:val="242"/>
        </w:trPr>
        <w:tc>
          <w:tcPr>
            <w:tcW w:w="8647" w:type="dxa"/>
            <w:tcBorders>
              <w:top w:val="dotted" w:sz="4" w:space="0" w:color="auto"/>
              <w:left w:val="dotted" w:sz="4" w:space="0" w:color="auto"/>
              <w:bottom w:val="dotted" w:sz="4" w:space="0" w:color="auto"/>
              <w:right w:val="dotted" w:sz="4" w:space="0" w:color="auto"/>
            </w:tcBorders>
          </w:tcPr>
          <w:p w14:paraId="57D56D41" w14:textId="77777777" w:rsidR="0096161C" w:rsidRPr="00CE2169" w:rsidRDefault="0096161C" w:rsidP="0096161C">
            <w:pPr>
              <w:widowControl w:val="0"/>
              <w:numPr>
                <w:ilvl w:val="0"/>
                <w:numId w:val="18"/>
              </w:numPr>
              <w:autoSpaceDE w:val="0"/>
              <w:autoSpaceDN w:val="0"/>
              <w:adjustRightInd w:val="0"/>
              <w:snapToGrid w:val="0"/>
              <w:spacing w:after="120" w:line="276" w:lineRule="auto"/>
              <w:jc w:val="both"/>
              <w:rPr>
                <w:rFonts w:ascii="Verdana" w:eastAsia="Calibri" w:hAnsi="Verdana" w:cs="Arial"/>
                <w:lang w:val="es-ES"/>
              </w:rPr>
            </w:pPr>
            <w:r w:rsidRPr="00CE2169">
              <w:rPr>
                <w:rFonts w:ascii="Verdana" w:eastAsia="Calibri" w:hAnsi="Verdana" w:cs="Arial"/>
                <w:lang w:val="es-ES"/>
              </w:rPr>
              <w:t xml:space="preserve">Ley 2022 de 2020, artículo 1. </w:t>
            </w:r>
          </w:p>
          <w:p w14:paraId="31CD3ACB" w14:textId="77777777" w:rsidR="0096161C" w:rsidRPr="00A33F1A" w:rsidRDefault="0096161C" w:rsidP="0096161C">
            <w:pPr>
              <w:pStyle w:val="Prrafodelista"/>
              <w:numPr>
                <w:ilvl w:val="0"/>
                <w:numId w:val="18"/>
              </w:numPr>
              <w:spacing w:before="120" w:after="120"/>
              <w:contextualSpacing w:val="0"/>
              <w:jc w:val="both"/>
              <w:rPr>
                <w:rFonts w:ascii="Verdana" w:eastAsia="Arial MT" w:hAnsi="Verdana" w:cs="Arial"/>
                <w:lang w:eastAsia="es-ES" w:bidi="es-ES"/>
              </w:rPr>
            </w:pPr>
            <w:r w:rsidRPr="00CE2169">
              <w:rPr>
                <w:rFonts w:ascii="Verdana" w:eastAsia="Calibri" w:hAnsi="Verdana" w:cs="Arial"/>
              </w:rPr>
              <w:t xml:space="preserve">Documentos tipo del sector de infraestructura social, y adicionales del sector institucional. Disponibles en: </w:t>
            </w:r>
            <w:hyperlink r:id="rId12" w:history="1">
              <w:r w:rsidRPr="00CE2169">
                <w:rPr>
                  <w:rFonts w:ascii="Verdana" w:eastAsia="Calibri" w:hAnsi="Verdana" w:cs="Arial"/>
                  <w:color w:val="0000FF"/>
                  <w:u w:val="single"/>
                </w:rPr>
                <w:t>https://www.colombiacompra.gov.co/normativa-y-relatoria/documentos-tipo</w:t>
              </w:r>
            </w:hyperlink>
            <w:r w:rsidRPr="00CE2169">
              <w:rPr>
                <w:rFonts w:ascii="Verdana" w:eastAsia="Calibri" w:hAnsi="Verdana" w:cs="Arial"/>
              </w:rPr>
              <w:t xml:space="preserve">. </w:t>
            </w:r>
          </w:p>
        </w:tc>
      </w:tr>
    </w:tbl>
    <w:p w14:paraId="493650DD" w14:textId="77777777" w:rsidR="0096161C" w:rsidRPr="00155CC1" w:rsidRDefault="0096161C" w:rsidP="0096161C">
      <w:pPr>
        <w:tabs>
          <w:tab w:val="left" w:pos="142"/>
          <w:tab w:val="left" w:pos="284"/>
        </w:tabs>
        <w:spacing w:after="0" w:line="276" w:lineRule="auto"/>
        <w:jc w:val="both"/>
        <w:rPr>
          <w:rFonts w:ascii="Verdana" w:eastAsia="Calibri" w:hAnsi="Verdana" w:cs="Arial"/>
          <w:color w:val="6699FF"/>
        </w:rPr>
      </w:pPr>
    </w:p>
    <w:p w14:paraId="43C909D9" w14:textId="77777777" w:rsidR="0096161C" w:rsidRPr="0026211F" w:rsidRDefault="0096161C" w:rsidP="0096161C">
      <w:pPr>
        <w:tabs>
          <w:tab w:val="left" w:pos="142"/>
          <w:tab w:val="left" w:pos="284"/>
        </w:tabs>
        <w:spacing w:after="0" w:line="276" w:lineRule="auto"/>
        <w:jc w:val="both"/>
        <w:rPr>
          <w:rFonts w:ascii="Verdana" w:eastAsia="Century Gothic" w:hAnsi="Verdana" w:cs="Century Gothic"/>
          <w:b/>
          <w:bCs/>
          <w:lang w:val="es-ES"/>
        </w:rPr>
      </w:pPr>
      <w:r w:rsidRPr="0026211F">
        <w:rPr>
          <w:rFonts w:ascii="Verdana" w:eastAsia="Calibri" w:hAnsi="Verdana" w:cs="Arial"/>
          <w:b/>
          <w:bCs/>
        </w:rPr>
        <w:t>5</w:t>
      </w:r>
      <w:r w:rsidRPr="0026211F">
        <w:rPr>
          <w:rFonts w:ascii="Verdana" w:eastAsia="Calibri" w:hAnsi="Verdana" w:cs="Arial"/>
        </w:rPr>
        <w:t>.</w:t>
      </w:r>
      <w:r w:rsidRPr="0026211F">
        <w:rPr>
          <w:rFonts w:ascii="Verdana" w:eastAsia="Century Gothic" w:hAnsi="Verdana" w:cs="Century Gothic"/>
          <w:b/>
          <w:bCs/>
          <w:lang w:val="es-ES"/>
        </w:rPr>
        <w:t>Doctrina de la Agencia Nacional de Contratación Pública:</w:t>
      </w:r>
    </w:p>
    <w:p w14:paraId="128BA253" w14:textId="77777777" w:rsidR="0096161C" w:rsidRPr="000A6B2B" w:rsidRDefault="0096161C" w:rsidP="0096161C">
      <w:pPr>
        <w:spacing w:after="0" w:line="276" w:lineRule="auto"/>
        <w:jc w:val="both"/>
        <w:rPr>
          <w:rFonts w:ascii="Verdana" w:eastAsia="Calibri" w:hAnsi="Verdana" w:cs="Arial"/>
          <w:kern w:val="2"/>
          <w:shd w:val="clear" w:color="auto" w:fill="FFFFFF"/>
          <w:lang w:val="es-ES"/>
          <w14:ligatures w14:val="standardContextual"/>
        </w:rPr>
      </w:pPr>
    </w:p>
    <w:p w14:paraId="11DF117D" w14:textId="77777777" w:rsidR="0096161C" w:rsidRPr="00B566CA" w:rsidRDefault="0096161C" w:rsidP="0096161C">
      <w:pPr>
        <w:spacing w:after="0" w:line="240" w:lineRule="auto"/>
        <w:jc w:val="both"/>
        <w:rPr>
          <w:rFonts w:ascii="Verdana" w:eastAsia="Verdana" w:hAnsi="Verdana" w:cs="Verdana"/>
          <w:kern w:val="2"/>
          <w14:ligatures w14:val="standardContextual"/>
        </w:rPr>
      </w:pPr>
      <w:r w:rsidRPr="000A6B2B">
        <w:rPr>
          <w:rFonts w:ascii="Verdana" w:eastAsia="Calibri" w:hAnsi="Verdana" w:cs="Arial"/>
          <w:shd w:val="clear" w:color="auto" w:fill="FFFFFF"/>
          <w:lang w:val="es-ES" w:eastAsia="es-MX"/>
        </w:rPr>
        <w:t>La Agencia Nacional de Contratación Pública – Colombia Compra Eficiente se pronunció</w:t>
      </w:r>
      <w:r w:rsidRPr="000A6B2B">
        <w:rPr>
          <w:rFonts w:ascii="Verdana" w:eastAsia="Calibri" w:hAnsi="Verdana" w:cs="Times New Roman"/>
          <w:lang w:eastAsia="es-MX"/>
        </w:rPr>
        <w:t xml:space="preserve"> </w:t>
      </w:r>
      <w:r w:rsidRPr="000A6B2B">
        <w:rPr>
          <w:rFonts w:ascii="Verdana" w:eastAsia="Calibri" w:hAnsi="Verdana" w:cs="Arial"/>
          <w:shd w:val="clear" w:color="auto" w:fill="FFFFFF"/>
          <w:lang w:val="es-ES" w:eastAsia="es-MX"/>
        </w:rPr>
        <w:t xml:space="preserve">sobre el ámbito de aplicación de los documentos tipo de infraestructura social, en los conceptos C-375 del 27 de septiembre de 2021, C-536 del 29 de septiembre de 2021, P20210826007696 del 6 de octubre de 2021, C-729 del 24 de enero de 2022, C-090 del 16 de marzo de 2022, C-287 del 11 de mayo de 2022, C-334 del 25 de mayo de 2022, C-344 del 9 de junio de 2022, C-436 del 6 de julio de 2022, C-951 del 18 enero de 2023,C-231 del 30 de junio </w:t>
      </w:r>
      <w:r w:rsidRPr="000A6B2B">
        <w:rPr>
          <w:rFonts w:ascii="Verdana" w:eastAsia="Calibri" w:hAnsi="Verdana" w:cs="Arial"/>
          <w:shd w:val="clear" w:color="auto" w:fill="FFFFFF"/>
          <w:lang w:val="es-ES" w:eastAsia="es-MX"/>
        </w:rPr>
        <w:lastRenderedPageBreak/>
        <w:t>de 2023, C-587 del 23 de octubre de 2024,</w:t>
      </w:r>
      <w:r w:rsidRPr="000A6B2B">
        <w:rPr>
          <w:rFonts w:ascii="Verdana" w:eastAsia="Calibri" w:hAnsi="Verdana" w:cs="Arial"/>
          <w:shd w:val="clear" w:color="auto" w:fill="FFFFFF"/>
          <w:lang w:val="es-ES" w:eastAsia="es-MX"/>
        </w:rPr>
        <w:tab/>
        <w:t>C-636 del 1 de noviembre de 2024, C-777 del 9 de diciembre de 2024, C-971 del 21 de enero de 2025, C-1813 del 31 de diciembre de 2025, C-186 del 16 de marzo de 2026, C-258 del 19 de marzo de 2026, C-392 del 20 de abril de 2026, C-386 del 23 de abril de 2026, C-475 del 23 de abril de 2026, C-452 del 4 de mayo de 2026, C-583 del 8 de mayo de 2026, C-682 del 22 de mayo de 2026, C-754 del 17 de junio de 2026, C-1048 del 5 de agosto de 2026, C-1268 del 15 de septiembre de 2026, C-1318 del 25 de septiembre de 2026 y C-1349 del 6 de octubre de 2026</w:t>
      </w:r>
      <w:r>
        <w:rPr>
          <w:rFonts w:ascii="Verdana" w:eastAsia="Calibri" w:hAnsi="Verdana" w:cs="Arial"/>
          <w:shd w:val="clear" w:color="auto" w:fill="FFFFFF"/>
          <w:lang w:val="es-ES" w:eastAsia="es-MX"/>
        </w:rPr>
        <w:t xml:space="preserve">, C-1358 del </w:t>
      </w:r>
      <w:r>
        <w:rPr>
          <w:rFonts w:ascii="Verdana" w:eastAsia="Verdana" w:hAnsi="Verdana" w:cs="Verdana"/>
          <w:kern w:val="2"/>
          <w14:ligatures w14:val="standardContextual"/>
        </w:rPr>
        <w:t xml:space="preserve">8 de octubre de 2026, </w:t>
      </w:r>
      <w:r w:rsidRPr="000A6B2B">
        <w:rPr>
          <w:rFonts w:ascii="Verdana" w:eastAsia="Calibri" w:hAnsi="Verdana" w:cs="Arial"/>
          <w:shd w:val="clear" w:color="auto" w:fill="FFFFFF"/>
          <w:lang w:val="es-ES" w:eastAsia="es-MX"/>
        </w:rPr>
        <w:t xml:space="preserve">entre otros. </w:t>
      </w:r>
    </w:p>
    <w:p w14:paraId="35AE98E4" w14:textId="77777777" w:rsidR="0096161C" w:rsidRPr="003A5C7F" w:rsidRDefault="0096161C" w:rsidP="0096161C">
      <w:pPr>
        <w:spacing w:after="0" w:line="240" w:lineRule="auto"/>
        <w:jc w:val="both"/>
        <w:rPr>
          <w:rFonts w:ascii="Verdana" w:eastAsia="Calibri" w:hAnsi="Verdana" w:cs="Arial"/>
          <w:color w:val="000000" w:themeColor="text1"/>
          <w:shd w:val="clear" w:color="auto" w:fill="FFFFFF"/>
          <w:lang w:val="es-ES"/>
        </w:rPr>
      </w:pPr>
    </w:p>
    <w:p w14:paraId="062C2A50" w14:textId="77777777" w:rsidR="0096161C" w:rsidRPr="00E15FD8" w:rsidRDefault="0096161C" w:rsidP="0096161C">
      <w:pPr>
        <w:spacing w:after="120" w:line="276" w:lineRule="auto"/>
        <w:jc w:val="both"/>
        <w:rPr>
          <w:rFonts w:ascii="Aptos" w:eastAsia="Aptos" w:hAnsi="Aptos" w:cs="Times New Roman"/>
          <w:kern w:val="2"/>
          <w:sz w:val="24"/>
          <w:szCs w:val="24"/>
          <w14:ligatures w14:val="standardContextual"/>
        </w:rPr>
      </w:pPr>
      <w:r w:rsidRPr="00E15FD8">
        <w:rPr>
          <w:rFonts w:ascii="Verdana" w:eastAsia="Aptos" w:hAnsi="Verdana" w:cs="Times New Roman"/>
          <w:color w:val="000000"/>
          <w:kern w:val="2"/>
          <w14:ligatures w14:val="standardContextual"/>
        </w:rPr>
        <w:t>Las garantías no son un requisito formal: son el instrumento con el que se protege el patrimonio público frente a los riesgos del contrato. Por ello, la Agencia Nacional de Contratación Pública –Colombia Compra Eficiente– te invita a consultar la nueva versión de la </w:t>
      </w:r>
      <w:r w:rsidRPr="00E15FD8">
        <w:rPr>
          <w:rFonts w:ascii="Verdana" w:eastAsia="Aptos" w:hAnsi="Verdana" w:cs="Times New Roman"/>
          <w:b/>
          <w:bCs/>
          <w:color w:val="000000"/>
          <w:kern w:val="2"/>
          <w14:ligatures w14:val="standardContextual"/>
        </w:rPr>
        <w:t>Guía para la Exigencia y Constitución de Garantías en los Procesos de Contratación</w:t>
      </w:r>
      <w:r w:rsidRPr="00E15FD8">
        <w:rPr>
          <w:rFonts w:ascii="Verdana" w:eastAsia="Aptos" w:hAnsi="Verdana" w:cs="Times New Roman"/>
          <w:color w:val="000000"/>
          <w:kern w:val="2"/>
          <w14:ligatures w14:val="standardContextual"/>
        </w:rPr>
        <w:t>, dirigida a las entidades sometidas al EGCAP y a las de regímenes exceptuados, así como a proveedores y órganos de control. Encontrarás orientaciones sobre las clases de garantías admisibles, la correspondencia entre riesgos asignados y amparos exigidos, su suficiencia y vigencia, y el procedimiento para hacerlas efectivas. Consúltala aquí: </w:t>
      </w:r>
      <w:hyperlink r:id="rId13" w:tooltip="https://nam02.safelinks.protection.outlook.com/?url=https%3A%2F%2Fwww.colombiacompra.gov.co%2Farchivos%2Fmanual%2Fguia-de-garantias-en-procesos-de-contratacion&amp;data=05%7C02%7Ccarlos.castrillon%40colombiacompra.gov.co%7C7128555136e04fa6887d08dee99e1b50%7C7b0904" w:history="1">
        <w:r w:rsidRPr="00B91265">
          <w:rPr>
            <w:rFonts w:ascii="Verdana" w:eastAsia="Aptos" w:hAnsi="Verdana" w:cs="Times New Roman"/>
            <w:color w:val="0000FF"/>
            <w:kern w:val="2"/>
            <w:u w:val="single"/>
            <w14:ligatures w14:val="standardContextual"/>
          </w:rPr>
          <w:t>https://www.colombiacompra.gov.co/archivos/manual/guia-de-garantias-en-procesos-de-contratacion</w:t>
        </w:r>
      </w:hyperlink>
    </w:p>
    <w:p w14:paraId="675FFD7A" w14:textId="77777777" w:rsidR="0096161C" w:rsidRPr="00E15FD8" w:rsidRDefault="0096161C" w:rsidP="0096161C">
      <w:pPr>
        <w:spacing w:after="120" w:line="276" w:lineRule="auto"/>
        <w:jc w:val="both"/>
        <w:rPr>
          <w:rFonts w:ascii="Verdana" w:eastAsia="Aptos" w:hAnsi="Verdana" w:cs="Times New Roman"/>
          <w:color w:val="000000"/>
          <w:kern w:val="2"/>
          <w14:ligatures w14:val="standardContextual"/>
        </w:rPr>
      </w:pPr>
      <w:r w:rsidRPr="00E15FD8">
        <w:rPr>
          <w:rFonts w:ascii="Verdana" w:eastAsia="Aptos" w:hAnsi="Verdana" w:cs="Times New Roman"/>
          <w:color w:val="000000"/>
          <w:kern w:val="2"/>
          <w14:ligatures w14:val="standardContextual"/>
        </w:rPr>
        <w:t>De otro lado, te contamos que el Decreto 287 del 19 de marzo de 2026 sustituyó los artículos 2.2.1.2.4.2.6., 2.2.1.2.4.2.7. y 2.2.1.2.4.2.8. del Decreto 1082 de 2015 y estructuró el </w:t>
      </w:r>
      <w:r w:rsidRPr="00E15FD8">
        <w:rPr>
          <w:rFonts w:ascii="Verdana" w:eastAsia="Aptos" w:hAnsi="Verdana" w:cs="Times New Roman"/>
          <w:b/>
          <w:bCs/>
          <w:color w:val="000000"/>
          <w:kern w:val="2"/>
          <w14:ligatures w14:val="standardContextual"/>
        </w:rPr>
        <w:t>Sistema Integral de Preferencias en favor de las personas con discapacidad</w:t>
      </w:r>
      <w:r w:rsidRPr="00E15FD8">
        <w:rPr>
          <w:rFonts w:ascii="Verdana" w:eastAsia="Aptos" w:hAnsi="Verdana" w:cs="Times New Roman"/>
          <w:color w:val="000000"/>
          <w:kern w:val="2"/>
          <w14:ligatures w14:val="standardContextual"/>
        </w:rPr>
        <w:t>, en cumplimiento del artículo 13 de la Ley Estatutaria 1618 de 2013. Para orientar su aplicación, esta Agencia expidió la </w:t>
      </w:r>
      <w:r w:rsidRPr="00E15FD8">
        <w:rPr>
          <w:rFonts w:ascii="Verdana" w:eastAsia="Aptos" w:hAnsi="Verdana" w:cs="Times New Roman"/>
          <w:b/>
          <w:bCs/>
          <w:color w:val="000000"/>
          <w:kern w:val="2"/>
          <w14:ligatures w14:val="standardContextual"/>
        </w:rPr>
        <w:t>Circular Externa 003 del 12 de mayo de 2026, </w:t>
      </w:r>
      <w:r w:rsidRPr="00E15FD8">
        <w:rPr>
          <w:rFonts w:ascii="Verdana" w:eastAsia="Aptos" w:hAnsi="Verdana" w:cs="Times New Roman"/>
          <w:color w:val="000000"/>
          <w:kern w:val="2"/>
          <w14:ligatures w14:val="standardContextual"/>
        </w:rPr>
        <w:t>en la que precisa quiénes son los beneficiarios, las cinco medidas que integran el sistema y su obligatoriedad según la modalidad de selección, y el régimen de transición aplicable a los procesos en curso. Consúltala aquí: </w:t>
      </w:r>
      <w:hyperlink r:id="rId14" w:tooltip="https://nam02.safelinks.protection.outlook.com/?url=https%3A%2F%2Fwww.colombiacompra.gov.co%2Farchivos%2Fcircular%2Fcircular-externa-003-de-2026&amp;data=05%7C02%7Ccarlos.castrillon%40colombiacompra.gov.co%7C7128555136e04fa6887d08dee99e1b50%7C7b09041e245149d08cb17" w:history="1">
        <w:r w:rsidRPr="00B91265">
          <w:rPr>
            <w:rFonts w:ascii="Verdana" w:eastAsia="Aptos" w:hAnsi="Verdana" w:cs="Times New Roman"/>
            <w:color w:val="0000FF"/>
            <w:kern w:val="2"/>
            <w:u w:val="single"/>
            <w14:ligatures w14:val="standardContextual"/>
          </w:rPr>
          <w:t>https://www.colombiacompra.gov.co/archivos/circular/circular-externa-003-de-2026</w:t>
        </w:r>
      </w:hyperlink>
    </w:p>
    <w:p w14:paraId="688C16EC" w14:textId="77777777" w:rsidR="0096161C" w:rsidRPr="00E15FD8" w:rsidRDefault="0096161C" w:rsidP="0096161C">
      <w:pPr>
        <w:spacing w:after="120" w:line="276" w:lineRule="auto"/>
        <w:jc w:val="both"/>
        <w:rPr>
          <w:rFonts w:ascii="Verdana" w:eastAsia="Aptos" w:hAnsi="Verdana" w:cs="Times New Roman"/>
          <w:color w:val="000000"/>
          <w:kern w:val="2"/>
          <w14:ligatures w14:val="standardContextual"/>
        </w:rPr>
      </w:pPr>
      <w:r w:rsidRPr="00E15FD8">
        <w:rPr>
          <w:rFonts w:ascii="Verdana" w:eastAsia="Aptos" w:hAnsi="Verdana" w:cs="Times New Roman"/>
          <w:color w:val="000000"/>
          <w:kern w:val="2"/>
          <w14:ligatures w14:val="standardContextual"/>
        </w:rPr>
        <w:t>Recuerda también que la</w:t>
      </w:r>
      <w:r w:rsidRPr="00E15FD8">
        <w:rPr>
          <w:rFonts w:ascii="Verdana" w:eastAsia="Aptos" w:hAnsi="Verdana" w:cs="Times New Roman"/>
          <w:b/>
          <w:bCs/>
          <w:color w:val="000000"/>
          <w:kern w:val="2"/>
          <w14:ligatures w14:val="standardContextual"/>
        </w:rPr>
        <w:t> información sobre sanciones e inhabilidades </w:t>
      </w:r>
      <w:r w:rsidRPr="00E15FD8">
        <w:rPr>
          <w:rFonts w:ascii="Verdana" w:eastAsia="Aptos" w:hAnsi="Verdana" w:cs="Times New Roman"/>
          <w:color w:val="000000"/>
          <w:kern w:val="2"/>
          <w14:ligatures w14:val="standardContextual"/>
        </w:rPr>
        <w:t>solo cumple su función preventiva si llega oportunamente a los registros públicos. Sobre este deber, esta Agencia expidió la </w:t>
      </w:r>
      <w:r w:rsidRPr="00E15FD8">
        <w:rPr>
          <w:rFonts w:ascii="Verdana" w:eastAsia="Aptos" w:hAnsi="Verdana" w:cs="Times New Roman"/>
          <w:b/>
          <w:bCs/>
          <w:color w:val="000000"/>
          <w:kern w:val="2"/>
          <w14:ligatures w14:val="standardContextual"/>
        </w:rPr>
        <w:t>Circular Externa 002 del 5 de mayo de 2026,</w:t>
      </w:r>
      <w:r w:rsidRPr="00E15FD8">
        <w:rPr>
          <w:rFonts w:ascii="Verdana" w:eastAsia="Aptos" w:hAnsi="Verdana" w:cs="Times New Roman"/>
          <w:color w:val="000000"/>
          <w:kern w:val="2"/>
          <w14:ligatures w14:val="standardContextual"/>
        </w:rPr>
        <w:t xml:space="preserve"> dirigida a todas las entidades del Estado sin distinción de su régimen contractual, en la que reitera la obligatoriedad de reportar caducidades, multas, </w:t>
      </w:r>
      <w:r w:rsidRPr="00E15FD8">
        <w:rPr>
          <w:rFonts w:ascii="Verdana" w:eastAsia="Aptos" w:hAnsi="Verdana" w:cs="Times New Roman"/>
          <w:color w:val="000000"/>
          <w:kern w:val="2"/>
          <w14:ligatures w14:val="standardContextual"/>
        </w:rPr>
        <w:lastRenderedPageBreak/>
        <w:t>sanciones, declaratorias de incumplimiento e inhabilidades ante las Cámaras de Comercio, la Procuraduría General de la Nación y el SECOP, e indica los responsables, los portales dispuestos para el efecto y las consecuencias disciplinarias de omitir este deber. Consúltala aquí: </w:t>
      </w:r>
      <w:hyperlink r:id="rId15" w:tooltip="https://nam02.safelinks.protection.outlook.com/?url=https%3A%2F%2Fwww.colombiacompra.gov.co%2Farchivos%2Fcircular%2Fcircular-externa-002-de-2026&amp;data=05%7C02%7Ccarlos.castrillon%40colombiacompra.gov.co%7C7128555136e04fa6887d08dee99e1b50%7C7b09041e245149d08cb17" w:history="1">
        <w:r w:rsidRPr="00B91265">
          <w:rPr>
            <w:rFonts w:ascii="Verdana" w:eastAsia="Aptos" w:hAnsi="Verdana" w:cs="Times New Roman"/>
            <w:color w:val="0000FF"/>
            <w:kern w:val="2"/>
            <w:u w:val="single"/>
            <w14:ligatures w14:val="standardContextual"/>
          </w:rPr>
          <w:t>https://www.colombiacompra.gov.co/archivos/circular/circular-externa-002-de-2026</w:t>
        </w:r>
      </w:hyperlink>
    </w:p>
    <w:p w14:paraId="61584143" w14:textId="3DC395C7" w:rsidR="0096161C" w:rsidRPr="00B91265" w:rsidRDefault="0096161C" w:rsidP="0096161C">
      <w:pPr>
        <w:spacing w:after="120" w:line="276" w:lineRule="auto"/>
        <w:jc w:val="both"/>
        <w:rPr>
          <w:rFonts w:ascii="Verdana" w:eastAsia="Aptos" w:hAnsi="Verdana" w:cs="Times New Roman"/>
          <w:color w:val="0000FF"/>
          <w:kern w:val="2"/>
          <w14:ligatures w14:val="standardContextual"/>
        </w:rPr>
      </w:pPr>
      <w:r w:rsidRPr="00E15FD8">
        <w:rPr>
          <w:rFonts w:ascii="Verdana" w:eastAsia="Aptos" w:hAnsi="Verdana" w:cs="Times New Roman"/>
          <w:color w:val="000000"/>
          <w:kern w:val="2"/>
          <w14:ligatures w14:val="standardContextual"/>
        </w:rPr>
        <w:t>Finalmente, si quieres seguir de cerca la actividad de la Agencia, la tercera edición de 2026 del</w:t>
      </w:r>
      <w:r w:rsidRPr="00E15FD8">
        <w:rPr>
          <w:rFonts w:ascii="Verdana" w:eastAsia="Aptos" w:hAnsi="Verdana" w:cs="Times New Roman"/>
          <w:b/>
          <w:bCs/>
          <w:color w:val="000000"/>
          <w:kern w:val="2"/>
          <w14:ligatures w14:val="standardContextual"/>
        </w:rPr>
        <w:t> Radar de la Compra Pública</w:t>
      </w:r>
      <w:r w:rsidRPr="00E15FD8">
        <w:rPr>
          <w:rFonts w:ascii="Verdana" w:eastAsia="Aptos" w:hAnsi="Verdana" w:cs="Times New Roman"/>
          <w:color w:val="000000"/>
          <w:kern w:val="2"/>
          <w14:ligatures w14:val="standardContextual"/>
        </w:rPr>
        <w:t> reúne, entre otros contenidos, la Circular Externa 003 de 2026, el Decreto 552 de 2026, un estudio sobre inteligencia artificial en la compra pública, los avances de la Relatoría, análisis jurisprudencial, conceptos jurídicos destacados y la oferta de la Escuela Virtual ANCP-CCE. Descárgalo aquí: </w:t>
      </w:r>
      <w:hyperlink r:id="rId16" w:tooltip="https://nam02.safelinks.protection.outlook.com/?url=https%3A%2F%2Fwww.colombiacompra.gov.co%2Farchivos%2Fboletin%2Fboletin-edicion-n-3-de-2026-radar-de-la-compra-publica&amp;data=05%7C02%7Ccarlos.castrillon%40colombiacompra.gov.co%7C7128555136e04fa6887d08dee99e1b5" w:history="1">
        <w:r w:rsidRPr="00B91265">
          <w:rPr>
            <w:rFonts w:ascii="Verdana" w:eastAsia="Aptos" w:hAnsi="Verdana" w:cs="Times New Roman"/>
            <w:color w:val="0000FF"/>
            <w:kern w:val="2"/>
            <w:u w:val="single"/>
            <w14:ligatures w14:val="standardContextual"/>
          </w:rPr>
          <w:t>https://www.colombiacompra.gov.co/archivos/boletin/boletin-edicion-n-3-de-2026-radar-de-la-compra-publica</w:t>
        </w:r>
      </w:hyperlink>
    </w:p>
    <w:p w14:paraId="11CC85E7" w14:textId="6A7295DA" w:rsidR="0096161C" w:rsidRPr="009552C8" w:rsidRDefault="0096161C" w:rsidP="0096161C">
      <w:pPr>
        <w:spacing w:after="0" w:line="240" w:lineRule="auto"/>
        <w:jc w:val="both"/>
        <w:rPr>
          <w:rFonts w:ascii="Verdana" w:eastAsia="Calibri" w:hAnsi="Verdana" w:cs="Times New Roman"/>
          <w:kern w:val="2"/>
          <w14:ligatures w14:val="standardContextual"/>
        </w:rPr>
      </w:pPr>
      <w:r w:rsidRPr="009552C8">
        <w:rPr>
          <w:rFonts w:ascii="Verdana" w:eastAsia="Aptos" w:hAnsi="Verdana" w:cs="Times New Roman"/>
          <w:kern w:val="2"/>
          <w14:ligatures w14:val="standardContextual"/>
        </w:rPr>
        <w:t xml:space="preserve">Por último, lo invitamos a seguirnos en las redes sociales en las cuales se difunde información institucional: </w:t>
      </w:r>
    </w:p>
    <w:p w14:paraId="6E39AB3C" w14:textId="77777777" w:rsidR="0096161C" w:rsidRPr="009552C8" w:rsidRDefault="0096161C" w:rsidP="0096161C">
      <w:pPr>
        <w:spacing w:after="0" w:line="240" w:lineRule="auto"/>
        <w:jc w:val="both"/>
        <w:rPr>
          <w:rFonts w:ascii="Verdana" w:eastAsia="Aptos" w:hAnsi="Verdana" w:cs="Times New Roman"/>
          <w:kern w:val="2"/>
          <w14:ligatures w14:val="standardContextual"/>
        </w:rPr>
      </w:pPr>
    </w:p>
    <w:p w14:paraId="356AFF1B" w14:textId="0454FAF6" w:rsidR="0096161C" w:rsidRPr="009552C8" w:rsidRDefault="0096161C" w:rsidP="0096161C">
      <w:pPr>
        <w:spacing w:after="0" w:line="240" w:lineRule="auto"/>
        <w:jc w:val="both"/>
        <w:rPr>
          <w:rFonts w:ascii="Verdana" w:eastAsia="Aptos" w:hAnsi="Verdana" w:cs="Times New Roman"/>
          <w:kern w:val="2"/>
          <w14:ligatures w14:val="standardContextual"/>
        </w:rPr>
      </w:pPr>
      <w:r w:rsidRPr="009552C8">
        <w:rPr>
          <w:rFonts w:ascii="Verdana" w:eastAsia="Aptos" w:hAnsi="Verdana" w:cs="Times New Roman"/>
          <w:kern w:val="2"/>
          <w14:ligatures w14:val="standardContextual"/>
        </w:rPr>
        <w:t xml:space="preserve">Twitter: </w:t>
      </w:r>
      <w:r w:rsidRPr="007603CE">
        <w:rPr>
          <w:rFonts w:ascii="Verdana" w:eastAsia="Calibri" w:hAnsi="Verdana" w:cs="Times New Roman"/>
          <w:color w:val="0000FF"/>
          <w:kern w:val="2"/>
          <w:u w:val="single"/>
          <w14:ligatures w14:val="standardContextual"/>
        </w:rPr>
        <w:t>@colombiacompra</w:t>
      </w:r>
      <w:r w:rsidRPr="007603CE">
        <w:rPr>
          <w:rFonts w:ascii="Verdana" w:eastAsia="Calibri" w:hAnsi="Verdana" w:cs="Times New Roman"/>
          <w:color w:val="0000FF"/>
          <w:kern w:val="2"/>
          <w14:ligatures w14:val="standardContextual"/>
        </w:rPr>
        <w:t xml:space="preserve"> </w:t>
      </w:r>
    </w:p>
    <w:p w14:paraId="64C96E45" w14:textId="4B5A5A31" w:rsidR="0096161C" w:rsidRPr="009552C8" w:rsidRDefault="0096161C" w:rsidP="0096161C">
      <w:pPr>
        <w:spacing w:after="0" w:line="240" w:lineRule="auto"/>
        <w:jc w:val="both"/>
        <w:rPr>
          <w:rFonts w:ascii="Verdana" w:eastAsia="Aptos" w:hAnsi="Verdana" w:cs="Times New Roman"/>
          <w:kern w:val="2"/>
          <w14:ligatures w14:val="standardContextual"/>
        </w:rPr>
      </w:pPr>
      <w:r w:rsidRPr="009552C8">
        <w:rPr>
          <w:rFonts w:ascii="Verdana" w:eastAsia="Aptos" w:hAnsi="Verdana" w:cs="Times New Roman"/>
          <w:kern w:val="2"/>
          <w14:ligatures w14:val="standardContextual"/>
        </w:rPr>
        <w:t xml:space="preserve">Facebook: </w:t>
      </w:r>
      <w:proofErr w:type="spellStart"/>
      <w:r w:rsidRPr="007603CE">
        <w:rPr>
          <w:rFonts w:ascii="Verdana" w:eastAsia="Calibri" w:hAnsi="Verdana" w:cs="Times New Roman"/>
          <w:color w:val="0000FF"/>
          <w:kern w:val="2"/>
          <w:u w:val="single"/>
          <w14:ligatures w14:val="standardContextual"/>
        </w:rPr>
        <w:t>ColombiaCompraEficiente</w:t>
      </w:r>
      <w:proofErr w:type="spellEnd"/>
    </w:p>
    <w:p w14:paraId="1E984780" w14:textId="62F11EEA" w:rsidR="0096161C" w:rsidRPr="009552C8" w:rsidRDefault="0096161C" w:rsidP="0096161C">
      <w:pPr>
        <w:spacing w:after="0" w:line="240" w:lineRule="auto"/>
        <w:jc w:val="both"/>
        <w:rPr>
          <w:rFonts w:ascii="Verdana" w:eastAsia="Aptos" w:hAnsi="Verdana" w:cs="Times New Roman"/>
          <w:kern w:val="2"/>
          <w14:ligatures w14:val="standardContextual"/>
        </w:rPr>
      </w:pPr>
      <w:r w:rsidRPr="009552C8">
        <w:rPr>
          <w:rFonts w:ascii="Verdana" w:eastAsia="Aptos" w:hAnsi="Verdana" w:cs="Times New Roman"/>
          <w:kern w:val="2"/>
          <w14:ligatures w14:val="standardContextual"/>
        </w:rPr>
        <w:t xml:space="preserve">LinkedIn: </w:t>
      </w:r>
      <w:r w:rsidRPr="007603CE">
        <w:rPr>
          <w:rFonts w:ascii="Verdana" w:eastAsia="Calibri" w:hAnsi="Verdana" w:cs="Times New Roman"/>
          <w:color w:val="0000FF"/>
          <w:kern w:val="2"/>
          <w:u w:val="single"/>
          <w14:ligatures w14:val="standardContextual"/>
        </w:rPr>
        <w:t>Agencia Nacional de Contratación Pública - Colombia Compra Eficiente</w:t>
      </w:r>
      <w:r w:rsidRPr="007603CE">
        <w:rPr>
          <w:rFonts w:ascii="Verdana" w:eastAsia="Calibri" w:hAnsi="Verdana" w:cs="Times New Roman"/>
          <w:color w:val="0000FF"/>
          <w:kern w:val="2"/>
          <w14:ligatures w14:val="standardContextual"/>
        </w:rPr>
        <w:t xml:space="preserve"> </w:t>
      </w:r>
      <w:r w:rsidRPr="009552C8">
        <w:rPr>
          <w:rFonts w:ascii="Verdana" w:eastAsia="Aptos" w:hAnsi="Verdana" w:cs="Times New Roman"/>
          <w:kern w:val="2"/>
          <w14:ligatures w14:val="standardContextual"/>
        </w:rPr>
        <w:t xml:space="preserve">Instagram: </w:t>
      </w:r>
      <w:r w:rsidRPr="007603CE">
        <w:rPr>
          <w:rFonts w:ascii="Verdana" w:eastAsia="Calibri" w:hAnsi="Verdana" w:cs="Times New Roman"/>
          <w:color w:val="0000FF"/>
          <w:kern w:val="2"/>
          <w:u w:val="single"/>
          <w14:ligatures w14:val="standardContextual"/>
        </w:rPr>
        <w:t>@colombiacompraeficiente_cce</w:t>
      </w:r>
    </w:p>
    <w:p w14:paraId="52FBCBB2" w14:textId="77777777" w:rsidR="0096161C" w:rsidRPr="005D21BF" w:rsidRDefault="0096161C" w:rsidP="0096161C">
      <w:pPr>
        <w:widowControl w:val="0"/>
        <w:autoSpaceDE w:val="0"/>
        <w:autoSpaceDN w:val="0"/>
        <w:spacing w:after="0" w:line="276" w:lineRule="auto"/>
        <w:jc w:val="both"/>
        <w:rPr>
          <w:rFonts w:ascii="Verdana" w:eastAsia="Calibri" w:hAnsi="Verdana" w:cs="Arial"/>
          <w:color w:val="000000" w:themeColor="text1"/>
          <w:kern w:val="2"/>
          <w14:ligatures w14:val="standardContextual"/>
        </w:rPr>
      </w:pPr>
    </w:p>
    <w:p w14:paraId="20C24F79" w14:textId="71F942B2" w:rsidR="0096161C" w:rsidRDefault="0096161C" w:rsidP="0096161C">
      <w:pPr>
        <w:widowControl w:val="0"/>
        <w:autoSpaceDE w:val="0"/>
        <w:autoSpaceDN w:val="0"/>
        <w:spacing w:after="0" w:line="276" w:lineRule="auto"/>
        <w:jc w:val="both"/>
        <w:rPr>
          <w:rFonts w:ascii="Verdana" w:eastAsia="Calibri" w:hAnsi="Verdana" w:cs="Arial"/>
          <w:color w:val="000000" w:themeColor="text1"/>
          <w:kern w:val="2"/>
          <w:lang w:val="es-ES_tradnl"/>
          <w14:ligatures w14:val="standardContextual"/>
        </w:rPr>
      </w:pPr>
      <w:r w:rsidRPr="00EF54B1">
        <w:rPr>
          <w:rFonts w:ascii="Verdana" w:eastAsia="Calibri" w:hAnsi="Verdana" w:cs="Arial"/>
          <w:color w:val="000000" w:themeColor="text1"/>
          <w:kern w:val="2"/>
          <w:lang w:val="es-ES_tradnl"/>
          <w14:ligatures w14:val="standardContextua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596F8655" w14:textId="141A6CAA" w:rsidR="0096161C" w:rsidRPr="00EF54B1" w:rsidRDefault="0096161C" w:rsidP="0096161C">
      <w:pPr>
        <w:widowControl w:val="0"/>
        <w:autoSpaceDE w:val="0"/>
        <w:autoSpaceDN w:val="0"/>
        <w:spacing w:after="0" w:line="276" w:lineRule="auto"/>
        <w:jc w:val="both"/>
        <w:rPr>
          <w:rFonts w:ascii="Verdana" w:eastAsia="Calibri" w:hAnsi="Verdana" w:cs="Arial"/>
          <w:color w:val="000000" w:themeColor="text1"/>
        </w:rPr>
      </w:pPr>
    </w:p>
    <w:p w14:paraId="26815F9E" w14:textId="6D069CBC" w:rsidR="0096161C" w:rsidRPr="00EF54B1" w:rsidRDefault="00E06375" w:rsidP="0096161C">
      <w:pPr>
        <w:spacing w:after="0" w:line="240" w:lineRule="auto"/>
        <w:rPr>
          <w:rFonts w:ascii="Verdana" w:eastAsia="Calibri" w:hAnsi="Verdana" w:cs="Arial"/>
          <w:color w:val="000000" w:themeColor="text1"/>
          <w:lang w:eastAsia="es-CO"/>
        </w:rPr>
      </w:pPr>
      <w:r>
        <w:rPr>
          <w:rFonts w:ascii="Verdana" w:eastAsia="Verdana" w:hAnsi="Verdana" w:cs="Verdana"/>
          <w:b/>
          <w:bCs/>
          <w:noProof/>
        </w:rPr>
        <w:drawing>
          <wp:anchor distT="0" distB="0" distL="114300" distR="114300" simplePos="0" relativeHeight="251659264" behindDoc="0" locked="0" layoutInCell="1" allowOverlap="1" wp14:anchorId="6E2EFEB6" wp14:editId="51C75054">
            <wp:simplePos x="0" y="0"/>
            <wp:positionH relativeFrom="margin">
              <wp:posOffset>1434465</wp:posOffset>
            </wp:positionH>
            <wp:positionV relativeFrom="margin">
              <wp:posOffset>5329555</wp:posOffset>
            </wp:positionV>
            <wp:extent cx="2465070" cy="917575"/>
            <wp:effectExtent l="0" t="0" r="0" b="0"/>
            <wp:wrapSquare wrapText="bothSides"/>
            <wp:docPr id="145997028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9970280" name="Imagen 1459970280"/>
                    <pic:cNvPicPr/>
                  </pic:nvPicPr>
                  <pic:blipFill>
                    <a:blip r:embed="rId17">
                      <a:extLst>
                        <a:ext uri="{28A0092B-C50C-407E-A947-70E740481C1C}">
                          <a14:useLocalDpi xmlns:a14="http://schemas.microsoft.com/office/drawing/2010/main" val="0"/>
                        </a:ext>
                      </a:extLst>
                    </a:blip>
                    <a:stretch>
                      <a:fillRect/>
                    </a:stretch>
                  </pic:blipFill>
                  <pic:spPr>
                    <a:xfrm>
                      <a:off x="0" y="0"/>
                      <a:ext cx="2465070" cy="917575"/>
                    </a:xfrm>
                    <a:prstGeom prst="rect">
                      <a:avLst/>
                    </a:prstGeom>
                  </pic:spPr>
                </pic:pic>
              </a:graphicData>
            </a:graphic>
            <wp14:sizeRelH relativeFrom="margin">
              <wp14:pctWidth>0</wp14:pctWidth>
            </wp14:sizeRelH>
            <wp14:sizeRelV relativeFrom="margin">
              <wp14:pctHeight>0</wp14:pctHeight>
            </wp14:sizeRelV>
          </wp:anchor>
        </w:drawing>
      </w:r>
      <w:r w:rsidR="0096161C" w:rsidRPr="00EF54B1">
        <w:rPr>
          <w:rFonts w:ascii="Verdana" w:eastAsia="Times New Roman" w:hAnsi="Verdana" w:cs="Arial"/>
          <w:color w:val="000000" w:themeColor="text1"/>
          <w:lang w:eastAsia="es-CO"/>
        </w:rPr>
        <w:t>Atentamente,</w:t>
      </w:r>
      <w:r w:rsidR="0096161C" w:rsidRPr="00EF54B1">
        <w:rPr>
          <w:rFonts w:ascii="Verdana" w:eastAsia="Calibri" w:hAnsi="Verdana" w:cs="Arial"/>
          <w:color w:val="000000" w:themeColor="text1"/>
          <w:lang w:eastAsia="es-CO"/>
        </w:rPr>
        <w:t xml:space="preserve"> </w:t>
      </w:r>
    </w:p>
    <w:p w14:paraId="3D0F6558" w14:textId="3CB7AA22" w:rsidR="0096161C" w:rsidRDefault="0096161C" w:rsidP="0096161C">
      <w:pPr>
        <w:spacing w:after="0" w:line="240" w:lineRule="auto"/>
        <w:textAlignment w:val="baseline"/>
        <w:rPr>
          <w:noProof/>
        </w:rPr>
      </w:pPr>
    </w:p>
    <w:p w14:paraId="59668D73" w14:textId="708DED73" w:rsidR="009830F6" w:rsidRDefault="009830F6" w:rsidP="0096161C">
      <w:pPr>
        <w:spacing w:after="0" w:line="240" w:lineRule="auto"/>
        <w:textAlignment w:val="baseline"/>
        <w:rPr>
          <w:noProof/>
        </w:rPr>
      </w:pPr>
    </w:p>
    <w:p w14:paraId="65F79DB0" w14:textId="1D5F1774" w:rsidR="0096161C" w:rsidRDefault="0096161C" w:rsidP="0096161C">
      <w:pPr>
        <w:tabs>
          <w:tab w:val="left" w:pos="1320"/>
        </w:tabs>
        <w:spacing w:after="0"/>
        <w:jc w:val="center"/>
        <w:rPr>
          <w:rFonts w:ascii="Verdana" w:eastAsia="Verdana" w:hAnsi="Verdana" w:cs="Verdana"/>
          <w:b/>
          <w:bCs/>
        </w:rPr>
      </w:pPr>
    </w:p>
    <w:p w14:paraId="458E9458" w14:textId="77777777" w:rsidR="00E06375" w:rsidRDefault="00E06375" w:rsidP="0096161C">
      <w:pPr>
        <w:tabs>
          <w:tab w:val="left" w:pos="1320"/>
        </w:tabs>
        <w:spacing w:after="0"/>
        <w:jc w:val="center"/>
        <w:rPr>
          <w:rFonts w:ascii="Verdana" w:eastAsia="Verdana" w:hAnsi="Verdana" w:cs="Verdana"/>
          <w:b/>
          <w:bCs/>
        </w:rPr>
      </w:pPr>
    </w:p>
    <w:p w14:paraId="0DE47075" w14:textId="77777777" w:rsidR="00E06375" w:rsidRPr="00B022AE" w:rsidRDefault="00E06375" w:rsidP="0096161C">
      <w:pPr>
        <w:tabs>
          <w:tab w:val="left" w:pos="1320"/>
        </w:tabs>
        <w:spacing w:after="0"/>
        <w:jc w:val="center"/>
        <w:rPr>
          <w:rFonts w:ascii="Verdana" w:eastAsia="Verdana" w:hAnsi="Verdana" w:cs="Verdana"/>
          <w:b/>
          <w:bCs/>
        </w:rPr>
      </w:pPr>
    </w:p>
    <w:tbl>
      <w:tblPr>
        <w:tblStyle w:val="Tablaconcuadrcula"/>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185"/>
        <w:gridCol w:w="5925"/>
      </w:tblGrid>
      <w:tr w:rsidR="0096161C" w14:paraId="676F501A" w14:textId="77777777" w:rsidTr="002C4F43">
        <w:trPr>
          <w:trHeight w:val="315"/>
        </w:trPr>
        <w:tc>
          <w:tcPr>
            <w:tcW w:w="1185" w:type="dxa"/>
            <w:tcBorders>
              <w:top w:val="nil"/>
              <w:left w:val="nil"/>
              <w:bottom w:val="nil"/>
              <w:right w:val="nil"/>
            </w:tcBorders>
            <w:tcMar>
              <w:left w:w="105" w:type="dxa"/>
              <w:right w:w="105" w:type="dxa"/>
            </w:tcMar>
            <w:vAlign w:val="center"/>
          </w:tcPr>
          <w:p w14:paraId="67694E17" w14:textId="77777777" w:rsidR="0096161C" w:rsidRDefault="0096161C" w:rsidP="002C4F43">
            <w:pPr>
              <w:rPr>
                <w:rFonts w:ascii="Verdana" w:eastAsia="Verdana" w:hAnsi="Verdana" w:cs="Verdana"/>
                <w:sz w:val="16"/>
                <w:szCs w:val="16"/>
              </w:rPr>
            </w:pPr>
            <w:r w:rsidRPr="3F869DD7">
              <w:rPr>
                <w:rFonts w:ascii="Verdana" w:eastAsia="Verdana" w:hAnsi="Verdana" w:cs="Verdana"/>
                <w:sz w:val="16"/>
                <w:szCs w:val="16"/>
              </w:rPr>
              <w:t>Elabor</w:t>
            </w:r>
            <w:r>
              <w:rPr>
                <w:rFonts w:ascii="Verdana" w:eastAsia="Verdana" w:hAnsi="Verdana" w:cs="Verdana"/>
                <w:sz w:val="16"/>
                <w:szCs w:val="16"/>
              </w:rPr>
              <w:t>ó</w:t>
            </w:r>
            <w:r w:rsidRPr="3F869DD7">
              <w:rPr>
                <w:rFonts w:ascii="Verdana" w:eastAsia="Verdana" w:hAnsi="Verdana" w:cs="Verdana"/>
                <w:sz w:val="16"/>
                <w:szCs w:val="16"/>
              </w:rPr>
              <w:t>:</w:t>
            </w:r>
          </w:p>
        </w:tc>
        <w:tc>
          <w:tcPr>
            <w:tcW w:w="5925" w:type="dxa"/>
            <w:tcBorders>
              <w:top w:val="nil"/>
              <w:left w:val="nil"/>
              <w:bottom w:val="dotted" w:sz="4" w:space="0" w:color="7F7F7F" w:themeColor="text1" w:themeTint="80"/>
              <w:right w:val="nil"/>
            </w:tcBorders>
            <w:tcMar>
              <w:left w:w="105" w:type="dxa"/>
              <w:right w:w="105" w:type="dxa"/>
            </w:tcMar>
            <w:vAlign w:val="center"/>
          </w:tcPr>
          <w:p w14:paraId="4DE5AA70" w14:textId="5C00910E" w:rsidR="0096161C" w:rsidRDefault="0096161C" w:rsidP="002C4F43">
            <w:pPr>
              <w:rPr>
                <w:rFonts w:ascii="Verdana" w:eastAsia="Times New Roman" w:hAnsi="Verdana" w:cs="Segoe UI"/>
                <w:color w:val="000000" w:themeColor="text1"/>
                <w:sz w:val="16"/>
                <w:szCs w:val="16"/>
                <w:lang w:eastAsia="es-ES"/>
              </w:rPr>
            </w:pPr>
            <w:r w:rsidRPr="3F869DD7">
              <w:rPr>
                <w:rFonts w:ascii="Verdana" w:eastAsia="Arial" w:hAnsi="Verdana" w:cs="Arial"/>
                <w:color w:val="000000" w:themeColor="text1"/>
                <w:sz w:val="16"/>
                <w:szCs w:val="16"/>
                <w:lang w:val="es-ES"/>
              </w:rPr>
              <w:t>Denis Andrea Cárdenas Hernández</w:t>
            </w:r>
          </w:p>
          <w:p w14:paraId="7EC85B9B" w14:textId="77777777" w:rsidR="0096161C" w:rsidRDefault="0096161C" w:rsidP="002C4F43">
            <w:pPr>
              <w:rPr>
                <w:rFonts w:ascii="Verdana" w:eastAsia="Arial" w:hAnsi="Verdana" w:cs="Arial"/>
                <w:color w:val="000000" w:themeColor="text1"/>
                <w:sz w:val="16"/>
                <w:szCs w:val="16"/>
                <w:lang w:val="es-ES"/>
              </w:rPr>
            </w:pPr>
            <w:r w:rsidRPr="3F869DD7">
              <w:rPr>
                <w:rFonts w:ascii="Verdana" w:eastAsia="Arial" w:hAnsi="Verdana" w:cs="Arial"/>
                <w:color w:val="000000" w:themeColor="text1"/>
                <w:sz w:val="16"/>
                <w:szCs w:val="16"/>
                <w:lang w:val="es-ES"/>
              </w:rPr>
              <w:t>Analista T2-01 de la Subdirección de Gestión Contractual</w:t>
            </w:r>
          </w:p>
        </w:tc>
      </w:tr>
      <w:tr w:rsidR="0096161C" w14:paraId="5D396052" w14:textId="77777777" w:rsidTr="002C4F43">
        <w:trPr>
          <w:trHeight w:val="315"/>
        </w:trPr>
        <w:tc>
          <w:tcPr>
            <w:tcW w:w="1185" w:type="dxa"/>
            <w:tcBorders>
              <w:top w:val="nil"/>
              <w:left w:val="nil"/>
              <w:bottom w:val="nil"/>
              <w:right w:val="nil"/>
            </w:tcBorders>
            <w:tcMar>
              <w:left w:w="105" w:type="dxa"/>
              <w:right w:w="105" w:type="dxa"/>
            </w:tcMar>
            <w:vAlign w:val="center"/>
          </w:tcPr>
          <w:p w14:paraId="3460ECF5" w14:textId="77777777" w:rsidR="0096161C" w:rsidRDefault="0096161C" w:rsidP="002C4F43">
            <w:pPr>
              <w:rPr>
                <w:rFonts w:ascii="Verdana" w:eastAsia="Verdana" w:hAnsi="Verdana" w:cs="Verdana"/>
                <w:sz w:val="16"/>
                <w:szCs w:val="16"/>
              </w:rPr>
            </w:pPr>
            <w:r w:rsidRPr="3F869DD7">
              <w:rPr>
                <w:rFonts w:ascii="Verdana" w:eastAsia="Verdana" w:hAnsi="Verdana" w:cs="Verdana"/>
                <w:sz w:val="16"/>
                <w:szCs w:val="16"/>
              </w:rPr>
              <w:t>Revisó:</w:t>
            </w:r>
          </w:p>
        </w:tc>
        <w:tc>
          <w:tcPr>
            <w:tcW w:w="5925" w:type="dxa"/>
            <w:tcBorders>
              <w:top w:val="dotted" w:sz="4" w:space="0" w:color="7F7F7F" w:themeColor="text1" w:themeTint="80"/>
              <w:left w:val="nil"/>
              <w:bottom w:val="dotted" w:sz="4" w:space="0" w:color="7F7F7F" w:themeColor="text1" w:themeTint="80"/>
              <w:right w:val="nil"/>
            </w:tcBorders>
            <w:tcMar>
              <w:left w:w="105" w:type="dxa"/>
              <w:right w:w="105" w:type="dxa"/>
            </w:tcMar>
            <w:vAlign w:val="center"/>
          </w:tcPr>
          <w:p w14:paraId="056F41FB" w14:textId="77777777" w:rsidR="0096161C" w:rsidRDefault="0096161C" w:rsidP="002C4F43">
            <w:pPr>
              <w:rPr>
                <w:rFonts w:ascii="Verdana" w:eastAsia="Verdana" w:hAnsi="Verdana" w:cs="Verdana"/>
                <w:sz w:val="16"/>
                <w:szCs w:val="16"/>
              </w:rPr>
            </w:pPr>
            <w:r>
              <w:rPr>
                <w:rFonts w:ascii="Verdana" w:eastAsia="Verdana" w:hAnsi="Verdana" w:cs="Verdana"/>
                <w:sz w:val="16"/>
                <w:szCs w:val="16"/>
              </w:rPr>
              <w:t>Juan David Cárdenas Cabezas</w:t>
            </w:r>
          </w:p>
          <w:p w14:paraId="1842FEE5" w14:textId="77777777" w:rsidR="0096161C" w:rsidRDefault="0096161C" w:rsidP="002C4F43">
            <w:pPr>
              <w:rPr>
                <w:rFonts w:ascii="Verdana" w:eastAsia="Verdana" w:hAnsi="Verdana" w:cs="Verdana"/>
                <w:sz w:val="16"/>
                <w:szCs w:val="16"/>
              </w:rPr>
            </w:pPr>
            <w:r>
              <w:rPr>
                <w:rFonts w:ascii="Verdana" w:eastAsia="Verdana" w:hAnsi="Verdana" w:cs="Verdana"/>
                <w:sz w:val="16"/>
                <w:szCs w:val="16"/>
              </w:rPr>
              <w:t xml:space="preserve">Contratista </w:t>
            </w:r>
            <w:r w:rsidRPr="3F869DD7">
              <w:rPr>
                <w:rFonts w:ascii="Verdana" w:eastAsia="Verdana" w:hAnsi="Verdana" w:cs="Verdana"/>
                <w:sz w:val="16"/>
                <w:szCs w:val="16"/>
              </w:rPr>
              <w:t>de la Subdirección de Gestión Contractual</w:t>
            </w:r>
          </w:p>
        </w:tc>
      </w:tr>
      <w:tr w:rsidR="0096161C" w14:paraId="779832F1" w14:textId="77777777" w:rsidTr="002C4F43">
        <w:trPr>
          <w:trHeight w:val="300"/>
        </w:trPr>
        <w:tc>
          <w:tcPr>
            <w:tcW w:w="1185" w:type="dxa"/>
            <w:tcBorders>
              <w:top w:val="nil"/>
              <w:left w:val="nil"/>
              <w:bottom w:val="nil"/>
              <w:right w:val="nil"/>
            </w:tcBorders>
            <w:tcMar>
              <w:left w:w="105" w:type="dxa"/>
              <w:right w:w="105" w:type="dxa"/>
            </w:tcMar>
            <w:vAlign w:val="center"/>
          </w:tcPr>
          <w:p w14:paraId="7D310E6A" w14:textId="77777777" w:rsidR="0096161C" w:rsidRDefault="0096161C" w:rsidP="002C4F43">
            <w:pPr>
              <w:rPr>
                <w:rFonts w:ascii="Verdana" w:eastAsia="Verdana" w:hAnsi="Verdana" w:cs="Verdana"/>
                <w:sz w:val="16"/>
                <w:szCs w:val="16"/>
              </w:rPr>
            </w:pPr>
            <w:r w:rsidRPr="3F869DD7">
              <w:rPr>
                <w:rFonts w:ascii="Verdana" w:eastAsia="Verdana" w:hAnsi="Verdana" w:cs="Verdana"/>
                <w:sz w:val="16"/>
                <w:szCs w:val="16"/>
              </w:rPr>
              <w:t>Aprobó:</w:t>
            </w:r>
          </w:p>
        </w:tc>
        <w:tc>
          <w:tcPr>
            <w:tcW w:w="5925" w:type="dxa"/>
            <w:tcBorders>
              <w:top w:val="dotted" w:sz="4" w:space="0" w:color="7F7F7F" w:themeColor="text1" w:themeTint="80"/>
              <w:left w:val="nil"/>
              <w:bottom w:val="dotted" w:sz="4" w:space="0" w:color="7F7F7F" w:themeColor="text1" w:themeTint="80"/>
              <w:right w:val="nil"/>
            </w:tcBorders>
            <w:tcMar>
              <w:left w:w="105" w:type="dxa"/>
              <w:right w:w="105" w:type="dxa"/>
            </w:tcMar>
            <w:vAlign w:val="center"/>
          </w:tcPr>
          <w:p w14:paraId="5E02F689" w14:textId="77777777" w:rsidR="0096161C" w:rsidRDefault="0096161C" w:rsidP="002C4F43">
            <w:pPr>
              <w:rPr>
                <w:rFonts w:ascii="Verdana" w:eastAsia="Verdana" w:hAnsi="Verdana" w:cs="Verdana"/>
                <w:sz w:val="16"/>
                <w:szCs w:val="16"/>
              </w:rPr>
            </w:pPr>
            <w:r>
              <w:rPr>
                <w:rFonts w:ascii="Verdana" w:eastAsia="Verdana" w:hAnsi="Verdana" w:cs="Verdana"/>
                <w:sz w:val="16"/>
                <w:szCs w:val="16"/>
              </w:rPr>
              <w:t>William Javier Murcia Acevedo</w:t>
            </w:r>
          </w:p>
          <w:p w14:paraId="32B8D38A" w14:textId="77777777" w:rsidR="0096161C" w:rsidRDefault="0096161C" w:rsidP="002C4F43">
            <w:pPr>
              <w:rPr>
                <w:rFonts w:ascii="Verdana" w:eastAsia="Verdana" w:hAnsi="Verdana" w:cs="Verdana"/>
                <w:sz w:val="16"/>
                <w:szCs w:val="16"/>
              </w:rPr>
            </w:pPr>
            <w:r w:rsidRPr="3F869DD7">
              <w:rPr>
                <w:rFonts w:ascii="Verdana" w:eastAsia="Verdana" w:hAnsi="Verdana" w:cs="Verdana"/>
                <w:sz w:val="16"/>
                <w:szCs w:val="16"/>
              </w:rPr>
              <w:t>Subdirector de Gestión Contractual ANCP – CCE</w:t>
            </w:r>
            <w:r>
              <w:rPr>
                <w:rFonts w:ascii="Verdana" w:eastAsia="Verdana" w:hAnsi="Verdana" w:cs="Verdana"/>
                <w:sz w:val="16"/>
                <w:szCs w:val="16"/>
              </w:rPr>
              <w:t xml:space="preserve"> (E)</w:t>
            </w:r>
          </w:p>
        </w:tc>
      </w:tr>
      <w:bookmarkEnd w:id="0"/>
    </w:tbl>
    <w:p w14:paraId="0EE67BCA" w14:textId="28112CBF" w:rsidR="002A0DD0" w:rsidRPr="00E02524" w:rsidRDefault="002A0DD0" w:rsidP="00E06375">
      <w:pPr>
        <w:spacing w:after="0" w:line="240" w:lineRule="auto"/>
        <w:jc w:val="both"/>
        <w:rPr>
          <w:rFonts w:ascii="Verdana" w:eastAsia="Verdana" w:hAnsi="Verdana" w:cs="Verdana"/>
          <w:lang w:val="es-MX"/>
        </w:rPr>
      </w:pPr>
    </w:p>
    <w:sectPr w:rsidR="002A0DD0" w:rsidRPr="00E02524" w:rsidSect="007C0C0F">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8E219B" w14:textId="77777777" w:rsidR="00515157" w:rsidRDefault="00515157" w:rsidP="004A1847">
      <w:pPr>
        <w:spacing w:after="0" w:line="240" w:lineRule="auto"/>
      </w:pPr>
      <w:r>
        <w:separator/>
      </w:r>
    </w:p>
  </w:endnote>
  <w:endnote w:type="continuationSeparator" w:id="0">
    <w:p w14:paraId="450CD3A7" w14:textId="77777777" w:rsidR="00515157" w:rsidRDefault="00515157" w:rsidP="004A1847">
      <w:pPr>
        <w:spacing w:after="0" w:line="240" w:lineRule="auto"/>
      </w:pPr>
      <w:r>
        <w:continuationSeparator/>
      </w:r>
    </w:p>
  </w:endnote>
  <w:endnote w:type="continuationNotice" w:id="1">
    <w:p w14:paraId="342C0A31" w14:textId="77777777" w:rsidR="00515157" w:rsidRDefault="0051515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Yu Gothic Light">
    <w:panose1 w:val="020B0300000000000000"/>
    <w:charset w:val="80"/>
    <w:family w:val="swiss"/>
    <w:pitch w:val="variable"/>
    <w:sig w:usb0="E00002FF" w:usb1="2AC7FDFF" w:usb2="00000016" w:usb3="00000000" w:csb0="0002009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1F9CAB" w14:textId="77777777" w:rsidR="00515157" w:rsidRDefault="00515157" w:rsidP="004A1847">
      <w:pPr>
        <w:spacing w:after="0" w:line="240" w:lineRule="auto"/>
      </w:pPr>
      <w:r>
        <w:separator/>
      </w:r>
    </w:p>
  </w:footnote>
  <w:footnote w:type="continuationSeparator" w:id="0">
    <w:p w14:paraId="7ABD38EC" w14:textId="77777777" w:rsidR="00515157" w:rsidRDefault="00515157" w:rsidP="004A1847">
      <w:pPr>
        <w:spacing w:after="0" w:line="240" w:lineRule="auto"/>
      </w:pPr>
      <w:r>
        <w:continuationSeparator/>
      </w:r>
    </w:p>
  </w:footnote>
  <w:footnote w:type="continuationNotice" w:id="1">
    <w:p w14:paraId="02EF6490" w14:textId="77777777" w:rsidR="00515157" w:rsidRDefault="00515157">
      <w:pPr>
        <w:spacing w:after="0" w:line="240" w:lineRule="auto"/>
      </w:pPr>
    </w:p>
  </w:footnote>
  <w:footnote w:id="2">
    <w:p w14:paraId="22E32915" w14:textId="77777777" w:rsidR="0096161C" w:rsidRPr="002F5BB7" w:rsidRDefault="0096161C" w:rsidP="0096161C">
      <w:pPr>
        <w:pStyle w:val="Textonotapie"/>
        <w:ind w:firstLine="709"/>
        <w:jc w:val="both"/>
        <w:rPr>
          <w:rFonts w:ascii="Verdana" w:hAnsi="Verdana"/>
          <w:sz w:val="18"/>
          <w:szCs w:val="18"/>
        </w:rPr>
      </w:pPr>
      <w:r w:rsidRPr="002F5BB7">
        <w:rPr>
          <w:rStyle w:val="Refdenotaalpie"/>
          <w:rFonts w:ascii="Verdana" w:hAnsi="Verdana"/>
          <w:sz w:val="18"/>
          <w:szCs w:val="18"/>
        </w:rPr>
        <w:footnoteRef/>
      </w:r>
      <w:r w:rsidRPr="002F5BB7">
        <w:rPr>
          <w:rFonts w:ascii="Verdana" w:hAnsi="Verdana"/>
          <w:sz w:val="18"/>
          <w:szCs w:val="18"/>
        </w:rPr>
        <w:t xml:space="preserve"> Resolución 539 del 21 de agosto de 2025, artículo 23. “Vigencia. La presente resolución rige a partir de su publicación y aplicará a los procedimientos de selección de licitación de obra pública de infraestructura social en los sectores educación, salud, cultura, recreación y deporte, institucional y vivienda, cuyo aviso de convocatoria sea publicado a partir del 16 de febrero de 2026”.</w:t>
      </w:r>
    </w:p>
    <w:p w14:paraId="7FABD76D" w14:textId="77777777" w:rsidR="0096161C" w:rsidRPr="002F5BB7" w:rsidRDefault="0096161C" w:rsidP="0096161C">
      <w:pPr>
        <w:pStyle w:val="Textonotapie"/>
        <w:ind w:firstLine="709"/>
        <w:jc w:val="both"/>
        <w:rPr>
          <w:rFonts w:ascii="Verdana" w:hAnsi="Verdana"/>
          <w:sz w:val="18"/>
          <w:szCs w:val="18"/>
        </w:rPr>
      </w:pPr>
    </w:p>
    <w:p w14:paraId="7E7477C4" w14:textId="77777777" w:rsidR="0096161C" w:rsidRPr="002F5BB7" w:rsidRDefault="0096161C" w:rsidP="0096161C">
      <w:pPr>
        <w:pStyle w:val="Textonotapie"/>
        <w:ind w:firstLine="709"/>
        <w:jc w:val="both"/>
        <w:rPr>
          <w:rFonts w:ascii="Verdana" w:hAnsi="Verdana"/>
          <w:sz w:val="18"/>
          <w:szCs w:val="18"/>
        </w:rPr>
      </w:pPr>
      <w:r w:rsidRPr="002F5BB7">
        <w:rPr>
          <w:rFonts w:ascii="Verdana" w:hAnsi="Verdana"/>
          <w:sz w:val="18"/>
          <w:szCs w:val="18"/>
        </w:rPr>
        <w:t>Resolución 540 del 21 de agosto de 2025, artículo 22. Vigencia. La presente resolución rige a partir de su publicación y aplicará a los procedimientos de selección abreviada de menor cuantía de obra pública de infraestructura social de los sectores educación, salud, cultura, recreación y deporte, institucional y vivienda, cuyo aviso de convocatoria sea publicado a partir del 16 de febrero de 2026.</w:t>
      </w:r>
    </w:p>
    <w:p w14:paraId="55238E1E" w14:textId="77777777" w:rsidR="0096161C" w:rsidRPr="002F5BB7" w:rsidRDefault="0096161C" w:rsidP="0096161C">
      <w:pPr>
        <w:pStyle w:val="Textonotapie"/>
        <w:ind w:firstLine="709"/>
        <w:jc w:val="both"/>
        <w:rPr>
          <w:rFonts w:ascii="Verdana" w:hAnsi="Verdana"/>
          <w:sz w:val="18"/>
          <w:szCs w:val="18"/>
        </w:rPr>
      </w:pPr>
    </w:p>
    <w:p w14:paraId="500FEEBD" w14:textId="77777777" w:rsidR="0096161C" w:rsidRPr="002F5BB7" w:rsidRDefault="0096161C" w:rsidP="0096161C">
      <w:pPr>
        <w:pStyle w:val="Textonotapie"/>
        <w:ind w:firstLine="709"/>
        <w:jc w:val="both"/>
        <w:rPr>
          <w:rFonts w:ascii="Verdana" w:hAnsi="Verdana"/>
          <w:sz w:val="18"/>
          <w:szCs w:val="18"/>
        </w:rPr>
      </w:pPr>
      <w:r w:rsidRPr="002F5BB7">
        <w:rPr>
          <w:rFonts w:ascii="Verdana" w:hAnsi="Verdana"/>
          <w:sz w:val="18"/>
          <w:szCs w:val="18"/>
        </w:rPr>
        <w:t>Resolución 541 del 21 de agosto de 2025, artículo 22. Vigencia. La presente resolución rige a partir de su publicación y aplicará a los procedimientos de mínima cuantía de obra pública de infraestructura de los sectores educación, salud, cultura, recreación y deporte, institucional y vivienda, cuyo aviso de convocatoria sea publicado a partir del 16 de febrero de 2026.</w:t>
      </w:r>
    </w:p>
    <w:p w14:paraId="0E469A56" w14:textId="77777777" w:rsidR="0096161C" w:rsidRPr="002F5BB7" w:rsidRDefault="0096161C" w:rsidP="0096161C">
      <w:pPr>
        <w:pStyle w:val="Textonotapie"/>
        <w:ind w:firstLine="709"/>
        <w:jc w:val="both"/>
        <w:rPr>
          <w:rFonts w:ascii="Verdana" w:hAnsi="Verdana"/>
          <w:sz w:val="18"/>
          <w:szCs w:val="18"/>
        </w:rPr>
      </w:pPr>
    </w:p>
    <w:p w14:paraId="459B8845" w14:textId="77777777" w:rsidR="0096161C" w:rsidRPr="002F5BB7" w:rsidRDefault="0096161C" w:rsidP="0096161C">
      <w:pPr>
        <w:pStyle w:val="Textonotapie"/>
        <w:ind w:firstLine="709"/>
        <w:jc w:val="both"/>
        <w:rPr>
          <w:rFonts w:ascii="Verdana" w:hAnsi="Verdana"/>
          <w:sz w:val="18"/>
          <w:szCs w:val="18"/>
        </w:rPr>
      </w:pPr>
      <w:r w:rsidRPr="002F5BB7">
        <w:rPr>
          <w:rFonts w:ascii="Verdana" w:hAnsi="Verdana"/>
          <w:sz w:val="18"/>
          <w:szCs w:val="18"/>
        </w:rPr>
        <w:t>Resolución 952 del 15 de diciembre de 2025, artículo 22. Vigencia. La presente resolución rige a partir de su publicación, y aplicará para los procesos de selección de concurso de méritos para contratar la consultoría de estudios de ingeniería de infraestructura social en los sectores educación, salud, cultura, recreación y deporte, institucional y vivienda, cuyo aviso de convocatoria se publique a partir del 16 de febrero de 2026.</w:t>
      </w:r>
    </w:p>
    <w:p w14:paraId="7AC78D4A" w14:textId="77777777" w:rsidR="0096161C" w:rsidRPr="002F5BB7" w:rsidRDefault="0096161C" w:rsidP="0096161C">
      <w:pPr>
        <w:pStyle w:val="Textonotapie"/>
        <w:ind w:firstLine="709"/>
        <w:jc w:val="both"/>
        <w:rPr>
          <w:rFonts w:ascii="Verdana" w:hAnsi="Verdana"/>
          <w:sz w:val="18"/>
          <w:szCs w:val="18"/>
        </w:rPr>
      </w:pPr>
    </w:p>
    <w:p w14:paraId="548441FF" w14:textId="77777777" w:rsidR="0096161C" w:rsidRPr="002F5BB7" w:rsidRDefault="0096161C" w:rsidP="0096161C">
      <w:pPr>
        <w:pStyle w:val="Textonotapie"/>
        <w:ind w:firstLine="709"/>
        <w:jc w:val="both"/>
        <w:rPr>
          <w:rFonts w:ascii="Verdana" w:hAnsi="Verdana"/>
          <w:sz w:val="18"/>
          <w:szCs w:val="18"/>
        </w:rPr>
      </w:pPr>
      <w:r w:rsidRPr="002F5BB7">
        <w:rPr>
          <w:rFonts w:ascii="Verdana" w:hAnsi="Verdana"/>
          <w:sz w:val="18"/>
          <w:szCs w:val="18"/>
        </w:rPr>
        <w:t>Resolución 953 del 15 de diciembre de 2025, artículo 22. Vigencia y derogatorias. La presente resolución rige a partir de su publicación, deroga la Resolución 798 del 29 de diciembre de 2023 y sus modificaciones posteriores, y aplicará para los procesos de selección de concurso de méritos para contratar la interventoría de obras públicas de infraestructura social en los sectores educación, salud, cultura, recreación y deporte, institucional y vivienda, cuyo aviso de convocatoria se publique a partir del 16 de febrero de 2026.</w:t>
      </w:r>
    </w:p>
    <w:p w14:paraId="70E4C60D" w14:textId="77777777" w:rsidR="0096161C" w:rsidRPr="002F5BB7" w:rsidRDefault="0096161C" w:rsidP="0096161C">
      <w:pPr>
        <w:pStyle w:val="Textonotapie"/>
        <w:ind w:firstLine="709"/>
        <w:jc w:val="both"/>
        <w:rPr>
          <w:rFonts w:ascii="Verdana" w:hAnsi="Verdana"/>
          <w:sz w:val="18"/>
          <w:szCs w:val="18"/>
        </w:rPr>
      </w:pPr>
    </w:p>
  </w:footnote>
  <w:footnote w:id="3">
    <w:p w14:paraId="138EC894" w14:textId="77777777" w:rsidR="0096161C" w:rsidRPr="002F5BB7" w:rsidRDefault="0096161C" w:rsidP="0096161C">
      <w:pPr>
        <w:pStyle w:val="Textonotapie"/>
        <w:ind w:firstLine="709"/>
        <w:jc w:val="both"/>
        <w:rPr>
          <w:rFonts w:ascii="Verdana" w:hAnsi="Verdana"/>
          <w:sz w:val="18"/>
          <w:szCs w:val="18"/>
        </w:rPr>
      </w:pPr>
      <w:r w:rsidRPr="002F5BB7">
        <w:rPr>
          <w:rStyle w:val="Refdenotaalpie"/>
          <w:rFonts w:ascii="Verdana" w:hAnsi="Verdana"/>
          <w:sz w:val="18"/>
          <w:szCs w:val="18"/>
        </w:rPr>
        <w:footnoteRef/>
      </w:r>
      <w:r w:rsidRPr="002F5BB7">
        <w:rPr>
          <w:rFonts w:ascii="Verdana" w:hAnsi="Verdana"/>
          <w:sz w:val="18"/>
          <w:szCs w:val="18"/>
        </w:rPr>
        <w:t xml:space="preserve"> Resolución 539 del 21 de agosto de 2025, artículo 23. “Vigencia. La presente resolución rige a partir de su publicación y aplicará a los procedimientos de selección de licitación de obra pública de infraestructura social en los sectores educación, salud, cultura, recreación y deporte, institucional y vivienda, cuyo aviso de convocatoria sea publicado a partir del 16 de febrero de 2026”.</w:t>
      </w:r>
    </w:p>
    <w:p w14:paraId="67B17FCC" w14:textId="77777777" w:rsidR="0096161C" w:rsidRPr="002F5BB7" w:rsidRDefault="0096161C" w:rsidP="0096161C">
      <w:pPr>
        <w:pStyle w:val="Textonotapie"/>
        <w:ind w:firstLine="709"/>
        <w:jc w:val="both"/>
        <w:rPr>
          <w:rFonts w:ascii="Verdana" w:hAnsi="Verdana"/>
          <w:sz w:val="18"/>
          <w:szCs w:val="18"/>
        </w:rPr>
      </w:pPr>
    </w:p>
    <w:p w14:paraId="1F80B17E" w14:textId="77777777" w:rsidR="0096161C" w:rsidRPr="002F5BB7" w:rsidRDefault="0096161C" w:rsidP="0096161C">
      <w:pPr>
        <w:pStyle w:val="Textonotapie"/>
        <w:ind w:firstLine="709"/>
        <w:jc w:val="both"/>
        <w:rPr>
          <w:rFonts w:ascii="Verdana" w:hAnsi="Verdana"/>
          <w:sz w:val="18"/>
          <w:szCs w:val="18"/>
        </w:rPr>
      </w:pPr>
      <w:r w:rsidRPr="002F5BB7">
        <w:rPr>
          <w:rFonts w:ascii="Verdana" w:hAnsi="Verdana"/>
          <w:sz w:val="18"/>
          <w:szCs w:val="18"/>
        </w:rPr>
        <w:t>Resolución 540 del 21 de agosto de 2025, artículo 22. Vigencia. La presente resolución rige a partir de su publicación y aplicará a los procedimientos de selección abreviada de menor cuantía de obra pública de infraestructura social de los sectores educación, salud, cultura, recreación y deporte, institucional y vivienda, cuyo aviso de convocatoria sea publicado a partir del 16 de febrero de 2026.</w:t>
      </w:r>
    </w:p>
    <w:p w14:paraId="2725F655" w14:textId="77777777" w:rsidR="0096161C" w:rsidRPr="002F5BB7" w:rsidRDefault="0096161C" w:rsidP="0096161C">
      <w:pPr>
        <w:pStyle w:val="Textonotapie"/>
        <w:ind w:firstLine="709"/>
        <w:jc w:val="both"/>
        <w:rPr>
          <w:rFonts w:ascii="Verdana" w:hAnsi="Verdana"/>
          <w:sz w:val="18"/>
          <w:szCs w:val="18"/>
        </w:rPr>
      </w:pPr>
    </w:p>
    <w:p w14:paraId="7667E042" w14:textId="77777777" w:rsidR="0096161C" w:rsidRPr="002F5BB7" w:rsidRDefault="0096161C" w:rsidP="0096161C">
      <w:pPr>
        <w:pStyle w:val="Textonotapie"/>
        <w:ind w:firstLine="709"/>
        <w:jc w:val="both"/>
        <w:rPr>
          <w:rFonts w:ascii="Verdana" w:hAnsi="Verdana"/>
          <w:sz w:val="18"/>
          <w:szCs w:val="18"/>
        </w:rPr>
      </w:pPr>
      <w:r w:rsidRPr="002F5BB7">
        <w:rPr>
          <w:rFonts w:ascii="Verdana" w:hAnsi="Verdana"/>
          <w:sz w:val="18"/>
          <w:szCs w:val="18"/>
        </w:rPr>
        <w:t>Resolución 541 del 21 de agosto de 2025, artículo 22. Vigencia. La presente resolución rige a partir de su publicación y aplicará a los procedimientos de mínima cuantía de obra pública de infraestructura de los sectores educación, salud, cultura, recreación y deporte, institucional y vivienda, cuyo aviso de convocatoria sea publicado a partir del 16 de febrero de 2026.</w:t>
      </w:r>
    </w:p>
    <w:p w14:paraId="0A134BD3" w14:textId="77777777" w:rsidR="0096161C" w:rsidRPr="002F5BB7" w:rsidRDefault="0096161C" w:rsidP="0096161C">
      <w:pPr>
        <w:pStyle w:val="Textonotapie"/>
        <w:ind w:firstLine="709"/>
        <w:jc w:val="both"/>
        <w:rPr>
          <w:rFonts w:ascii="Verdana" w:hAnsi="Verdana"/>
          <w:sz w:val="18"/>
          <w:szCs w:val="18"/>
        </w:rPr>
      </w:pPr>
    </w:p>
    <w:p w14:paraId="21509D45" w14:textId="77777777" w:rsidR="0096161C" w:rsidRPr="002F5BB7" w:rsidRDefault="0096161C" w:rsidP="0096161C">
      <w:pPr>
        <w:pStyle w:val="Textonotapie"/>
        <w:ind w:firstLine="709"/>
        <w:jc w:val="both"/>
        <w:rPr>
          <w:rFonts w:ascii="Verdana" w:hAnsi="Verdana"/>
          <w:sz w:val="18"/>
          <w:szCs w:val="18"/>
        </w:rPr>
      </w:pPr>
      <w:r w:rsidRPr="002F5BB7">
        <w:rPr>
          <w:rFonts w:ascii="Verdana" w:hAnsi="Verdana"/>
          <w:sz w:val="18"/>
          <w:szCs w:val="18"/>
        </w:rPr>
        <w:t>Resolución 952 del 15 de diciembre de 2025, artículo 22. Vigencia. La presente resolución rige a partir de su publicación, y aplicará para los procesos de selección de concurso de méritos para contratar la consultoría de estudios de ingeniería de infraestructura social en los sectores educación, salud, cultura, recreación y deporte, institucional y vivienda, cuyo aviso de convocatoria se publique a partir del 16 de febrero de 2026.</w:t>
      </w:r>
    </w:p>
    <w:p w14:paraId="2CAE1BB6" w14:textId="77777777" w:rsidR="0096161C" w:rsidRPr="002F5BB7" w:rsidRDefault="0096161C" w:rsidP="0096161C">
      <w:pPr>
        <w:pStyle w:val="Textonotapie"/>
        <w:ind w:firstLine="709"/>
        <w:jc w:val="both"/>
        <w:rPr>
          <w:rFonts w:ascii="Verdana" w:hAnsi="Verdana"/>
          <w:sz w:val="18"/>
          <w:szCs w:val="18"/>
        </w:rPr>
      </w:pPr>
    </w:p>
    <w:p w14:paraId="2E69DF13" w14:textId="77777777" w:rsidR="0096161C" w:rsidRPr="002F5BB7" w:rsidRDefault="0096161C" w:rsidP="0096161C">
      <w:pPr>
        <w:pStyle w:val="Textonotapie"/>
        <w:ind w:firstLine="709"/>
        <w:jc w:val="both"/>
        <w:rPr>
          <w:rFonts w:ascii="Verdana" w:hAnsi="Verdana"/>
          <w:sz w:val="18"/>
          <w:szCs w:val="18"/>
        </w:rPr>
      </w:pPr>
      <w:r w:rsidRPr="002F5BB7">
        <w:rPr>
          <w:rFonts w:ascii="Verdana" w:hAnsi="Verdana"/>
          <w:sz w:val="18"/>
          <w:szCs w:val="18"/>
        </w:rPr>
        <w:t>Resolución 953 del 15 de diciembre de 2025, artículo 22. Vigencia y derogatorias. La presente resolución rige a partir de su publicación, deroga la Resolución 798 del 29 de diciembre de 2023 y sus modificaciones posteriores, y aplicará para los procesos de selección de concurso de méritos para contratar la interventoría de obras públicas de infraestructura social en los sectores educación, salud, cultura, recreación y deporte, institucional y vivienda, cuyo aviso de convocatoria se publique a partir del 16 de febrero de 2026.</w:t>
      </w:r>
    </w:p>
    <w:p w14:paraId="2E9F9A18" w14:textId="77777777" w:rsidR="0096161C" w:rsidRPr="002F5BB7" w:rsidRDefault="0096161C" w:rsidP="0096161C">
      <w:pPr>
        <w:pStyle w:val="Textonotapie"/>
        <w:ind w:firstLine="709"/>
        <w:jc w:val="both"/>
        <w:rPr>
          <w:rFonts w:ascii="Verdana" w:hAnsi="Verdana"/>
          <w:sz w:val="18"/>
          <w:szCs w:val="18"/>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12pt" o:bullet="t">
        <v:imagedata r:id="rId1" o:title="mso1B13"/>
      </v:shape>
    </w:pict>
  </w:numPicBullet>
  <w:abstractNum w:abstractNumId="0" w15:restartNumberingAfterBreak="0">
    <w:nsid w:val="01C06310"/>
    <w:multiLevelType w:val="multilevel"/>
    <w:tmpl w:val="9B2EAF2E"/>
    <w:lvl w:ilvl="0">
      <w:start w:val="1"/>
      <w:numFmt w:val="decimal"/>
      <w:lvlText w:val="%1."/>
      <w:lvlJc w:val="left"/>
      <w:pPr>
        <w:ind w:left="360" w:hanging="360"/>
      </w:pPr>
      <w:rPr>
        <w:b/>
        <w:color w:val="auto"/>
      </w:rPr>
    </w:lvl>
    <w:lvl w:ilvl="1">
      <w:start w:val="2"/>
      <w:numFmt w:val="decimal"/>
      <w:isLgl/>
      <w:lvlText w:val="%1.%2"/>
      <w:lvlJc w:val="left"/>
      <w:pPr>
        <w:ind w:left="0" w:hanging="360"/>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0"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E4F1281"/>
    <w:multiLevelType w:val="hybridMultilevel"/>
    <w:tmpl w:val="1A0696B4"/>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56A231F"/>
    <w:multiLevelType w:val="hybridMultilevel"/>
    <w:tmpl w:val="42E84C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1"/>
  </w:num>
  <w:num w:numId="9" w16cid:durableId="1317221377">
    <w:abstractNumId w:val="7"/>
  </w:num>
  <w:num w:numId="10" w16cid:durableId="1471245386">
    <w:abstractNumId w:val="10"/>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9"/>
  </w:num>
  <w:num w:numId="16" w16cid:durableId="1699816028">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341274352">
    <w:abstractNumId w:val="0"/>
  </w:num>
  <w:num w:numId="18" w16cid:durableId="634795336">
    <w:abstractNumId w:val="15"/>
  </w:num>
  <w:num w:numId="19" w16cid:durableId="38457082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D5DA7"/>
    <w:rsid w:val="000F6486"/>
    <w:rsid w:val="00116940"/>
    <w:rsid w:val="00125105"/>
    <w:rsid w:val="00127233"/>
    <w:rsid w:val="0015699B"/>
    <w:rsid w:val="001A33BF"/>
    <w:rsid w:val="001E4177"/>
    <w:rsid w:val="001F0B24"/>
    <w:rsid w:val="001F7DC6"/>
    <w:rsid w:val="0022400B"/>
    <w:rsid w:val="002421BB"/>
    <w:rsid w:val="0025796E"/>
    <w:rsid w:val="002707A2"/>
    <w:rsid w:val="002951A0"/>
    <w:rsid w:val="002962BC"/>
    <w:rsid w:val="002A093D"/>
    <w:rsid w:val="002A0DD0"/>
    <w:rsid w:val="002A49AC"/>
    <w:rsid w:val="002A64FD"/>
    <w:rsid w:val="002C4F43"/>
    <w:rsid w:val="002C7A84"/>
    <w:rsid w:val="002E2BF8"/>
    <w:rsid w:val="002E4FD9"/>
    <w:rsid w:val="0030657A"/>
    <w:rsid w:val="00322A85"/>
    <w:rsid w:val="00324168"/>
    <w:rsid w:val="00330834"/>
    <w:rsid w:val="003448F4"/>
    <w:rsid w:val="00374F5E"/>
    <w:rsid w:val="00377E3E"/>
    <w:rsid w:val="003A779E"/>
    <w:rsid w:val="003D0F4D"/>
    <w:rsid w:val="003D5B0D"/>
    <w:rsid w:val="003E0499"/>
    <w:rsid w:val="003E4F80"/>
    <w:rsid w:val="003E6439"/>
    <w:rsid w:val="003F3941"/>
    <w:rsid w:val="00406575"/>
    <w:rsid w:val="00414C74"/>
    <w:rsid w:val="0042722E"/>
    <w:rsid w:val="004431A5"/>
    <w:rsid w:val="0044528D"/>
    <w:rsid w:val="00466E39"/>
    <w:rsid w:val="004A1847"/>
    <w:rsid w:val="004A305D"/>
    <w:rsid w:val="004F21C4"/>
    <w:rsid w:val="004F685F"/>
    <w:rsid w:val="00515157"/>
    <w:rsid w:val="005260D0"/>
    <w:rsid w:val="005566E8"/>
    <w:rsid w:val="00574867"/>
    <w:rsid w:val="00586E8A"/>
    <w:rsid w:val="00591460"/>
    <w:rsid w:val="005A65E0"/>
    <w:rsid w:val="005C3777"/>
    <w:rsid w:val="005C5CDC"/>
    <w:rsid w:val="005D476C"/>
    <w:rsid w:val="006200BF"/>
    <w:rsid w:val="006219F8"/>
    <w:rsid w:val="006302F7"/>
    <w:rsid w:val="00646B9F"/>
    <w:rsid w:val="00665D70"/>
    <w:rsid w:val="006900D9"/>
    <w:rsid w:val="00706C16"/>
    <w:rsid w:val="007340C3"/>
    <w:rsid w:val="0075235A"/>
    <w:rsid w:val="00756841"/>
    <w:rsid w:val="007649AB"/>
    <w:rsid w:val="00771D0C"/>
    <w:rsid w:val="007833AC"/>
    <w:rsid w:val="007B268C"/>
    <w:rsid w:val="007B7171"/>
    <w:rsid w:val="007C0C0F"/>
    <w:rsid w:val="007C3DC2"/>
    <w:rsid w:val="007E5497"/>
    <w:rsid w:val="007F0C95"/>
    <w:rsid w:val="00806F5F"/>
    <w:rsid w:val="00820278"/>
    <w:rsid w:val="008258C9"/>
    <w:rsid w:val="00844AE9"/>
    <w:rsid w:val="00867F95"/>
    <w:rsid w:val="008843B6"/>
    <w:rsid w:val="00891928"/>
    <w:rsid w:val="008A446D"/>
    <w:rsid w:val="008B25F1"/>
    <w:rsid w:val="008D180B"/>
    <w:rsid w:val="008F0EA7"/>
    <w:rsid w:val="00923EEF"/>
    <w:rsid w:val="009419F9"/>
    <w:rsid w:val="0095685E"/>
    <w:rsid w:val="0096161C"/>
    <w:rsid w:val="00961B09"/>
    <w:rsid w:val="00965334"/>
    <w:rsid w:val="0097093E"/>
    <w:rsid w:val="009830F6"/>
    <w:rsid w:val="009A0DFA"/>
    <w:rsid w:val="009A1C6F"/>
    <w:rsid w:val="009B2D26"/>
    <w:rsid w:val="009C71FA"/>
    <w:rsid w:val="009C72E7"/>
    <w:rsid w:val="009C7F7E"/>
    <w:rsid w:val="009D3058"/>
    <w:rsid w:val="009F3A13"/>
    <w:rsid w:val="00A122D3"/>
    <w:rsid w:val="00A14468"/>
    <w:rsid w:val="00A17F13"/>
    <w:rsid w:val="00A20739"/>
    <w:rsid w:val="00A23AF9"/>
    <w:rsid w:val="00A33C78"/>
    <w:rsid w:val="00AB0ADB"/>
    <w:rsid w:val="00B00C0E"/>
    <w:rsid w:val="00B01B1A"/>
    <w:rsid w:val="00B0381D"/>
    <w:rsid w:val="00B44A47"/>
    <w:rsid w:val="00B72CD3"/>
    <w:rsid w:val="00B72FFF"/>
    <w:rsid w:val="00B901A6"/>
    <w:rsid w:val="00BA7FBA"/>
    <w:rsid w:val="00BC3D36"/>
    <w:rsid w:val="00BD54A6"/>
    <w:rsid w:val="00BD7F72"/>
    <w:rsid w:val="00BF7425"/>
    <w:rsid w:val="00C04FB3"/>
    <w:rsid w:val="00C11D8B"/>
    <w:rsid w:val="00C15139"/>
    <w:rsid w:val="00C330EB"/>
    <w:rsid w:val="00C50D69"/>
    <w:rsid w:val="00C5365C"/>
    <w:rsid w:val="00C754BE"/>
    <w:rsid w:val="00C76B1C"/>
    <w:rsid w:val="00C925AC"/>
    <w:rsid w:val="00CB6357"/>
    <w:rsid w:val="00CC1B26"/>
    <w:rsid w:val="00CC6EC7"/>
    <w:rsid w:val="00D361FD"/>
    <w:rsid w:val="00D423A2"/>
    <w:rsid w:val="00D44E26"/>
    <w:rsid w:val="00D520D8"/>
    <w:rsid w:val="00D63AC2"/>
    <w:rsid w:val="00D7383B"/>
    <w:rsid w:val="00D7788A"/>
    <w:rsid w:val="00D956E6"/>
    <w:rsid w:val="00DA231B"/>
    <w:rsid w:val="00DC39FC"/>
    <w:rsid w:val="00DF5254"/>
    <w:rsid w:val="00E01620"/>
    <w:rsid w:val="00E02524"/>
    <w:rsid w:val="00E06375"/>
    <w:rsid w:val="00E16408"/>
    <w:rsid w:val="00E20894"/>
    <w:rsid w:val="00E245AB"/>
    <w:rsid w:val="00E2764C"/>
    <w:rsid w:val="00E27F2E"/>
    <w:rsid w:val="00E50AFE"/>
    <w:rsid w:val="00E75C92"/>
    <w:rsid w:val="00E771DC"/>
    <w:rsid w:val="00E8772A"/>
    <w:rsid w:val="00E90F6B"/>
    <w:rsid w:val="00E92C27"/>
    <w:rsid w:val="00EA0E3D"/>
    <w:rsid w:val="00EC38A7"/>
    <w:rsid w:val="00EE1AA8"/>
    <w:rsid w:val="00F225C3"/>
    <w:rsid w:val="00F23FEA"/>
    <w:rsid w:val="00F31EDC"/>
    <w:rsid w:val="00F462B3"/>
    <w:rsid w:val="00F5664F"/>
    <w:rsid w:val="00F666C4"/>
    <w:rsid w:val="00F76AFC"/>
    <w:rsid w:val="00FA47C0"/>
    <w:rsid w:val="00FB5DD1"/>
    <w:rsid w:val="00FC2B5D"/>
    <w:rsid w:val="00FD6F6E"/>
    <w:rsid w:val="00FE011C"/>
    <w:rsid w:val="00FF1449"/>
    <w:rsid w:val="00FF7963"/>
    <w:rsid w:val="071B8F93"/>
    <w:rsid w:val="07C73DD1"/>
    <w:rsid w:val="09908A09"/>
    <w:rsid w:val="0E0AF0F4"/>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1D26BB4D-E21C-804A-A92F-E32F85A5D4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39"/>
    <w:qFormat/>
    <w:rsid w:val="009616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qFormat/>
    <w:rsid w:val="0096161C"/>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96161C"/>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archivos%2Fmanual%2Fguia-de-garantias-en-procesos-de-contratacion&amp;data=05%7C02%7Ccarlos.castrillon%40colombiacompra.gov.co%7C7128555136e04fa6887d08dee99e1b50%7C7b09041e245149d08cb179d5e3d8c1be%7C0%7C0%7C639205062460492157%7CUnknown%7CTWFpbGZsb3d8eyJFbXB0eU1hcGkiOnRydWUsIlYiOiIwLjAuMDAwMCIsIlAiOiJXaW4zMiIsIkFOIjoiTWFpbCIsIldUIjoyfQ%3D%3D%7C0%7C%7C%7C&amp;sdata=3IOO%2FtzL7CYs7GSQWx3lEd8WXdinAX2M%2F8tHjq7gp4M%3D&amp;reserved=0"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www.colombiacompra.gov.co/normativa-y-relatoria/documentos-tipo" TargetMode="Externa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archivos%2Fboletin%2Fboletin-edicion-n-3-de-2026-radar-de-la-compra-publica&amp;data=05%7C02%7Ccarlos.castrillon%40colombiacompra.gov.co%7C7128555136e04fa6887d08dee99e1b50%7C7b09041e245149d08cb179d5e3d8c1be%7C0%7C0%7C639205062460570094%7CUnknown%7CTWFpbGZsb3d8eyJFbXB0eU1hcGkiOnRydWUsIlYiOiIwLjAuMDAwMCIsIlAiOiJXaW4zMiIsIkFOIjoiTWFpbCIsIldUIjoyfQ%3D%3D%7C0%7C%7C%7C&amp;sdata=kZv4Nh2z5OSpo4UBkV63XVE9d%2FJHjs3Ap9eCTYmcn3o%3D&amp;reserved=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david.cepeda@hotmail.com"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archivos%2Fcircular%2Fcircular-externa-002-de-2026&amp;data=05%7C02%7Ccarlos.castrillon%40colombiacompra.gov.co%7C7128555136e04fa6887d08dee99e1b50%7C7b09041e245149d08cb179d5e3d8c1be%7C0%7C0%7C639205062460546272%7CUnknown%7CTWFpbGZsb3d8eyJFbXB0eU1hcGkiOnRydWUsIlYiOiIwLjAuMDAwMCIsIlAiOiJXaW4zMiIsIkFOIjoiTWFpbCIsIldUIjoyfQ%3D%3D%7C0%7C%7C%7C&amp;sdata=Tm99siSemhcsM9EWNgsmV8A0Zx%2FKwyZO2QYBBlaAAFU%3D&amp;reserved=0" TargetMode="External"/><Relationship Id="rId10" Type="http://schemas.openxmlformats.org/officeDocument/2006/relationships/image" Target="media/image2.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archivos%2Fcircular%2Fcircular-externa-003-de-2026&amp;data=05%7C02%7Ccarlos.castrillon%40colombiacompra.gov.co%7C7128555136e04fa6887d08dee99e1b50%7C7b09041e245149d08cb179d5e3d8c1be%7C0%7C0%7C639205062460521959%7CUnknown%7CTWFpbGZsb3d8eyJFbXB0eU1hcGkiOnRydWUsIlYiOiIwLjAuMDAwMCIsIlAiOiJXaW4zMiIsIkFOIjoiTWFpbCIsIldUIjoyfQ%3D%3D%7C0%7C%7C%7C&amp;sdata=o8s%2BpWDv9aJuyyezu%2Bo7L1tMx0nIz73vR%2FGlLdtKa4E%3D&amp;reserved=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0BAC37A-3CAE-47EF-984A-251199BCF11E}"/>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6</TotalTime>
  <Pages>20</Pages>
  <Words>6848</Words>
  <Characters>37669</Characters>
  <Application>Microsoft Office Word</Application>
  <DocSecurity>0</DocSecurity>
  <Lines>313</Lines>
  <Paragraphs>88</Paragraphs>
  <ScaleCrop>false</ScaleCrop>
  <Company/>
  <LinksUpToDate>false</LinksUpToDate>
  <CharactersWithSpaces>44429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Denis Andrea Cárdenas Hernández</cp:lastModifiedBy>
  <cp:revision>6</cp:revision>
  <cp:lastPrinted>2023-01-10T18:18:00Z</cp:lastPrinted>
  <dcterms:created xsi:type="dcterms:W3CDTF">2026-10-20T21:26:00Z</dcterms:created>
  <dcterms:modified xsi:type="dcterms:W3CDTF">2026-10-21T14:42:00Z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