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68E8F" w14:textId="77777777" w:rsidR="006D2049" w:rsidRDefault="006D2049" w:rsidP="006D2049">
      <w:pPr>
        <w:spacing w:after="0" w:line="240" w:lineRule="auto"/>
        <w:jc w:val="both"/>
        <w:rPr>
          <w:rFonts w:ascii="Verdana" w:eastAsia="Calibri" w:hAnsi="Verdana" w:cs="Arial"/>
          <w:b/>
          <w:bCs/>
          <w:lang w:eastAsia="es-ES"/>
        </w:rPr>
      </w:pPr>
      <w:r w:rsidRPr="00903F08">
        <w:rPr>
          <w:rFonts w:ascii="Verdana" w:eastAsia="Calibri" w:hAnsi="Verdana" w:cs="Arial"/>
          <w:b/>
          <w:bCs/>
          <w:lang w:eastAsia="es-ES"/>
        </w:rPr>
        <w:t xml:space="preserve">CONTRATACIÓN DIRECTA – Pluralidad de oferentes– Inexistencia – Dos eventos </w:t>
      </w:r>
    </w:p>
    <w:p w14:paraId="0787EE6D" w14:textId="77777777" w:rsidR="006D2049" w:rsidRDefault="006D2049" w:rsidP="006D2049">
      <w:pPr>
        <w:spacing w:after="0" w:line="240" w:lineRule="auto"/>
        <w:jc w:val="both"/>
        <w:rPr>
          <w:rFonts w:ascii="Verdana" w:eastAsia="Calibri" w:hAnsi="Verdana" w:cs="Arial"/>
          <w:b/>
          <w:bCs/>
          <w:lang w:eastAsia="es-ES"/>
        </w:rPr>
      </w:pPr>
    </w:p>
    <w:p w14:paraId="04D28359" w14:textId="77777777" w:rsidR="006D2049" w:rsidRPr="00903F08" w:rsidRDefault="006D2049" w:rsidP="006D2049">
      <w:pPr>
        <w:spacing w:after="0" w:line="240" w:lineRule="auto"/>
        <w:jc w:val="both"/>
        <w:rPr>
          <w:rFonts w:ascii="Verdana" w:eastAsia="Calibri" w:hAnsi="Verdana" w:cs="Arial"/>
          <w:color w:val="000000" w:themeColor="text1"/>
          <w:sz w:val="20"/>
          <w:szCs w:val="20"/>
          <w:lang w:val="es-ES_tradnl"/>
        </w:rPr>
      </w:pPr>
      <w:r w:rsidRPr="00903F08">
        <w:rPr>
          <w:rFonts w:ascii="Verdana" w:hAnsi="Verdana" w:cs="Arial"/>
          <w:color w:val="000000" w:themeColor="text1"/>
          <w:sz w:val="20"/>
          <w:szCs w:val="20"/>
          <w:lang w:val="es-ES_tradnl"/>
        </w:rPr>
        <w:t>L</w:t>
      </w:r>
      <w:r w:rsidRPr="00903F08">
        <w:rPr>
          <w:rFonts w:ascii="Verdana" w:eastAsia="Calibri" w:hAnsi="Verdana" w:cs="Arial"/>
          <w:color w:val="000000" w:themeColor="text1"/>
          <w:sz w:val="20"/>
          <w:szCs w:val="20"/>
          <w:lang w:val="es-ES_tradnl"/>
        </w:rPr>
        <w:t xml:space="preserve">a disposición normativa vigente que desarrolla el alcance de la causal de contratación directa establecida en el artículo 2, numeral 4, literal g), de la Ley 1150 de 2007, está establecida en el artículo 2.2.1.2.1.4.8 del Decreto 1082 de 2015 […] La norma consagra dos (2) hipótesis. </w:t>
      </w:r>
      <w:r w:rsidRPr="00903F08">
        <w:rPr>
          <w:rFonts w:ascii="Verdana" w:eastAsia="Calibri" w:hAnsi="Verdana" w:cs="Arial"/>
          <w:i/>
          <w:iCs/>
          <w:color w:val="000000" w:themeColor="text1"/>
          <w:sz w:val="20"/>
          <w:szCs w:val="20"/>
          <w:lang w:val="es-ES_tradnl"/>
        </w:rPr>
        <w:t>En primer lugar</w:t>
      </w:r>
      <w:r w:rsidRPr="00903F08">
        <w:rPr>
          <w:rFonts w:ascii="Verdana" w:eastAsia="Calibri" w:hAnsi="Verdana"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 hipótesis dentro de la cual se enmarca la consulta presentada –. De esta manera, no basta con que sea la única persona capaz de ejecutar el contrato, pues se debe justificar una situación de derecho que impida que otra lo haga de forma igual o similar. </w:t>
      </w:r>
    </w:p>
    <w:p w14:paraId="1B05A635" w14:textId="77777777" w:rsidR="006D2049" w:rsidRDefault="006D2049" w:rsidP="006D2049">
      <w:pPr>
        <w:spacing w:after="0" w:line="240" w:lineRule="auto"/>
        <w:jc w:val="both"/>
        <w:rPr>
          <w:rFonts w:ascii="Verdana" w:eastAsia="Calibri" w:hAnsi="Verdana" w:cs="Arial"/>
          <w:color w:val="000000" w:themeColor="text1"/>
          <w:sz w:val="20"/>
          <w:szCs w:val="20"/>
          <w:lang w:val="es-ES"/>
        </w:rPr>
      </w:pPr>
    </w:p>
    <w:p w14:paraId="42C5ED8F" w14:textId="77777777" w:rsidR="006D2049" w:rsidRPr="00903F08" w:rsidRDefault="006D2049" w:rsidP="006D2049">
      <w:pPr>
        <w:spacing w:after="0" w:line="240" w:lineRule="auto"/>
        <w:jc w:val="both"/>
        <w:rPr>
          <w:rFonts w:ascii="Verdana" w:eastAsia="Calibri" w:hAnsi="Verdana" w:cs="Arial"/>
          <w:color w:val="000000" w:themeColor="text1"/>
          <w:sz w:val="20"/>
          <w:szCs w:val="20"/>
          <w:lang w:val="es-ES"/>
        </w:rPr>
      </w:pPr>
      <w:r w:rsidRPr="00903F08">
        <w:rPr>
          <w:rFonts w:ascii="Verdana" w:eastAsia="Calibri" w:hAnsi="Verdana" w:cs="Arial"/>
          <w:color w:val="000000" w:themeColor="text1"/>
          <w:sz w:val="20"/>
          <w:szCs w:val="20"/>
          <w:lang w:val="es-ES"/>
        </w:rPr>
        <w:t xml:space="preserve">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w:t>
      </w:r>
    </w:p>
    <w:p w14:paraId="3E376A88" w14:textId="77777777" w:rsidR="006D2049" w:rsidRPr="00903F08" w:rsidRDefault="006D2049" w:rsidP="006D2049">
      <w:pPr>
        <w:spacing w:after="0" w:line="240" w:lineRule="auto"/>
        <w:ind w:firstLine="708"/>
        <w:jc w:val="both"/>
        <w:rPr>
          <w:rFonts w:ascii="Verdana" w:eastAsia="Calibri" w:hAnsi="Verdana" w:cs="Arial"/>
          <w:i/>
          <w:iCs/>
          <w:color w:val="000000" w:themeColor="text1"/>
          <w:sz w:val="20"/>
          <w:szCs w:val="20"/>
          <w:lang w:val="es-ES_tradnl"/>
        </w:rPr>
      </w:pPr>
    </w:p>
    <w:p w14:paraId="6EFEA63D" w14:textId="77777777" w:rsidR="006D2049" w:rsidRDefault="006D2049" w:rsidP="006D2049">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 xml:space="preserve">[…] </w:t>
      </w:r>
    </w:p>
    <w:p w14:paraId="3A3C7343" w14:textId="77777777" w:rsidR="006D2049" w:rsidRDefault="006D2049" w:rsidP="006D2049">
      <w:pPr>
        <w:spacing w:after="0" w:line="240" w:lineRule="auto"/>
        <w:jc w:val="both"/>
        <w:rPr>
          <w:rFonts w:ascii="Verdana" w:eastAsia="Calibri" w:hAnsi="Verdana" w:cs="Arial"/>
          <w:color w:val="000000" w:themeColor="text1"/>
          <w:sz w:val="20"/>
          <w:szCs w:val="20"/>
          <w:lang w:val="es-ES_tradnl"/>
        </w:rPr>
      </w:pPr>
    </w:p>
    <w:p w14:paraId="3C1EA9FB" w14:textId="77777777" w:rsidR="006D2049" w:rsidRPr="00903F08" w:rsidRDefault="006D2049" w:rsidP="006D2049">
      <w:pPr>
        <w:spacing w:after="0" w:line="240" w:lineRule="auto"/>
        <w:jc w:val="both"/>
        <w:rPr>
          <w:rFonts w:ascii="Verdana" w:eastAsia="Calibri" w:hAnsi="Verdana" w:cs="Arial"/>
          <w:color w:val="000000" w:themeColor="text1"/>
          <w:sz w:val="20"/>
          <w:szCs w:val="20"/>
          <w:lang w:val="es-ES"/>
        </w:rPr>
      </w:pPr>
      <w:r w:rsidRPr="7641ACA4">
        <w:rPr>
          <w:rFonts w:ascii="Verdana" w:eastAsia="Calibri" w:hAnsi="Verdana" w:cs="Arial"/>
          <w:i/>
          <w:color w:val="000000" w:themeColor="text1"/>
          <w:sz w:val="20"/>
          <w:szCs w:val="20"/>
          <w:lang w:val="es-ES"/>
        </w:rPr>
        <w:t>En segundo lugar</w:t>
      </w:r>
      <w:r w:rsidRPr="7641ACA4">
        <w:rPr>
          <w:rFonts w:ascii="Verdana" w:eastAsia="Calibri" w:hAnsi="Verdana" w:cs="Arial"/>
          <w:color w:val="000000" w:themeColor="text1"/>
          <w:sz w:val="20"/>
          <w:szCs w:val="20"/>
          <w:lang w:val="es-ES"/>
        </w:rPr>
        <w:t xml:space="preserve">,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7F6BD773" w14:textId="77777777" w:rsidR="006D2049" w:rsidRPr="00903F08" w:rsidRDefault="006D2049" w:rsidP="006D2049">
      <w:pPr>
        <w:spacing w:after="0" w:line="240" w:lineRule="auto"/>
        <w:jc w:val="both"/>
        <w:rPr>
          <w:rFonts w:ascii="Verdana" w:eastAsia="Calibri" w:hAnsi="Verdana" w:cs="Arial"/>
          <w:b/>
          <w:bCs/>
          <w:lang w:val="es-ES_tradnl" w:eastAsia="es-ES"/>
        </w:rPr>
      </w:pPr>
    </w:p>
    <w:p w14:paraId="67354BBD" w14:textId="77777777" w:rsidR="006D2049" w:rsidRDefault="006D2049" w:rsidP="006D2049">
      <w:pPr>
        <w:jc w:val="both"/>
        <w:rPr>
          <w:rFonts w:ascii="Verdana" w:eastAsia="Calibri" w:hAnsi="Verdana" w:cs="Arial"/>
          <w:lang w:eastAsia="es-ES"/>
        </w:rPr>
      </w:pPr>
      <w:r w:rsidRPr="00903F08">
        <w:rPr>
          <w:rFonts w:ascii="Verdana" w:eastAsia="Calibri" w:hAnsi="Verdana" w:cs="Arial"/>
          <w:b/>
          <w:bCs/>
          <w:lang w:eastAsia="es-ES"/>
        </w:rPr>
        <w:t>ÚNICO PROVEEDOR – Titular – Propiedad industrial – Derechos de autor</w:t>
      </w:r>
      <w:r w:rsidRPr="00E345C6">
        <w:rPr>
          <w:rFonts w:ascii="Verdana" w:eastAsia="Calibri" w:hAnsi="Verdana" w:cs="Arial"/>
          <w:lang w:eastAsia="es-ES"/>
        </w:rPr>
        <w:t xml:space="preserve"> </w:t>
      </w:r>
    </w:p>
    <w:p w14:paraId="02A78055" w14:textId="77777777" w:rsidR="006D2049" w:rsidRDefault="006D2049" w:rsidP="006D2049">
      <w:pPr>
        <w:spacing w:after="0" w:line="240" w:lineRule="auto"/>
        <w:jc w:val="both"/>
        <w:rPr>
          <w:rFonts w:ascii="Verdana" w:eastAsia="Calibri" w:hAnsi="Verdana" w:cs="Arial"/>
          <w:color w:val="000000" w:themeColor="text1"/>
          <w:sz w:val="20"/>
          <w:szCs w:val="20"/>
          <w:lang w:val="es-ES"/>
        </w:rPr>
      </w:pPr>
      <w:r w:rsidRPr="00903F08">
        <w:rPr>
          <w:rFonts w:ascii="Verdana" w:eastAsia="Calibri" w:hAnsi="Verdana" w:cs="Arial"/>
          <w:color w:val="000000" w:themeColor="text1"/>
          <w:sz w:val="20"/>
          <w:szCs w:val="20"/>
          <w:lang w:val="es-ES"/>
        </w:rPr>
        <w:t>Para la doctrina, en ausencia de una barrera de entrada –como la que se concreta con los derechos de propiedad industrial o de autor– es necesario aplicar el principio de concurrencia. Por lo anterior explica que es posible la contratación directa con el oferente que es titular de una marca o privilegio, agregando lo siguiente: “La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Pr>
          <w:rFonts w:ascii="Verdana" w:eastAsia="Calibri" w:hAnsi="Verdana" w:cs="Arial"/>
          <w:color w:val="000000" w:themeColor="text1"/>
          <w:sz w:val="20"/>
          <w:szCs w:val="20"/>
          <w:lang w:val="es-ES"/>
        </w:rPr>
        <w:t>.</w:t>
      </w:r>
    </w:p>
    <w:p w14:paraId="6EF2FB37" w14:textId="77777777" w:rsidR="006D2049" w:rsidRDefault="006D2049" w:rsidP="006D2049">
      <w:pPr>
        <w:spacing w:after="0" w:line="240" w:lineRule="auto"/>
        <w:jc w:val="both"/>
        <w:rPr>
          <w:rFonts w:ascii="Verdana" w:eastAsia="Calibri" w:hAnsi="Verdana" w:cs="Arial"/>
          <w:color w:val="000000" w:themeColor="text1"/>
          <w:sz w:val="20"/>
          <w:szCs w:val="20"/>
          <w:lang w:val="es-ES"/>
        </w:rPr>
      </w:pPr>
    </w:p>
    <w:p w14:paraId="7A9C71FA" w14:textId="77777777" w:rsidR="006D2049" w:rsidRPr="00903F08" w:rsidRDefault="006D2049" w:rsidP="006D2049">
      <w:pPr>
        <w:spacing w:after="0" w:line="240" w:lineRule="auto"/>
        <w:jc w:val="both"/>
        <w:rPr>
          <w:rFonts w:ascii="Verdana" w:eastAsia="Calibri" w:hAnsi="Verdana" w:cs="Arial"/>
          <w:color w:val="000000" w:themeColor="text1"/>
          <w:sz w:val="20"/>
          <w:szCs w:val="20"/>
          <w:lang w:val="es-ES"/>
        </w:rPr>
      </w:pPr>
      <w:r w:rsidRPr="00903F08">
        <w:rPr>
          <w:rFonts w:ascii="Verdana" w:eastAsia="Calibri" w:hAnsi="Verdana" w:cs="Arial"/>
          <w:b/>
          <w:bCs/>
          <w:lang w:eastAsia="es-ES"/>
        </w:rPr>
        <w:t>ÚNICO PROVEEDOR – Proveedor exclusivo – Territorio nacional</w:t>
      </w:r>
      <w:r w:rsidRPr="00E345C6">
        <w:rPr>
          <w:rFonts w:ascii="Verdana" w:eastAsia="Calibri" w:hAnsi="Verdana" w:cs="Arial"/>
          <w:lang w:eastAsia="es-ES"/>
        </w:rPr>
        <w:t xml:space="preserve"> </w:t>
      </w:r>
    </w:p>
    <w:p w14:paraId="5ECD8478" w14:textId="77777777" w:rsidR="006D2049" w:rsidRDefault="006D2049" w:rsidP="006D2049">
      <w:pPr>
        <w:spacing w:after="0" w:line="276" w:lineRule="auto"/>
        <w:jc w:val="both"/>
        <w:rPr>
          <w:rFonts w:ascii="Verdana" w:eastAsia="Calibri" w:hAnsi="Verdana" w:cs="Arial"/>
          <w:b/>
          <w:bCs/>
          <w:lang w:eastAsia="es-ES"/>
        </w:rPr>
      </w:pPr>
    </w:p>
    <w:p w14:paraId="0D5FEB27" w14:textId="77777777" w:rsidR="006D2049" w:rsidRPr="00B74549" w:rsidRDefault="006D2049" w:rsidP="006D2049">
      <w:pPr>
        <w:spacing w:after="0" w:line="240" w:lineRule="auto"/>
        <w:jc w:val="both"/>
        <w:rPr>
          <w:rFonts w:ascii="Verdana" w:eastAsia="Calibri" w:hAnsi="Verdana" w:cs="Arial"/>
          <w:color w:val="000000" w:themeColor="text1"/>
          <w:sz w:val="20"/>
          <w:szCs w:val="20"/>
          <w:lang w:val="es-ES"/>
        </w:rPr>
      </w:pPr>
      <w:r w:rsidRPr="00B74549">
        <w:rPr>
          <w:rFonts w:ascii="Verdana" w:eastAsia="Calibri" w:hAnsi="Verdana" w:cs="Arial"/>
          <w:color w:val="000000" w:themeColor="text1"/>
          <w:sz w:val="20"/>
          <w:szCs w:val="20"/>
          <w:lang w:val="es-ES"/>
        </w:rPr>
        <w:t xml:space="preserve">Al igual que la hipótesis precedente, la presencia de un proveedor exclusivo supone una barrera de entrada para otros posibles oferentes, por lo que no es posible garantizar el principio de libertad de concurrencia. Sin embargo, para aplicar la causal de contratación </w:t>
      </w:r>
      <w:r w:rsidRPr="00B74549">
        <w:rPr>
          <w:rFonts w:ascii="Verdana" w:eastAsia="Calibri" w:hAnsi="Verdana" w:cs="Arial"/>
          <w:color w:val="000000" w:themeColor="text1"/>
          <w:sz w:val="20"/>
          <w:szCs w:val="20"/>
          <w:lang w:val="es-ES"/>
        </w:rPr>
        <w:lastRenderedPageBreak/>
        <w:t xml:space="preserve">directa, la exclusividad del proveedor debe cubrir el territorio nacional, como lo establece el reglamento,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33CCFECD" w14:textId="77777777" w:rsidR="006D2049" w:rsidRDefault="006D2049" w:rsidP="006D2049">
      <w:pPr>
        <w:spacing w:after="0" w:line="240" w:lineRule="auto"/>
        <w:jc w:val="both"/>
        <w:rPr>
          <w:rFonts w:ascii="Verdana" w:eastAsia="Calibri" w:hAnsi="Verdana" w:cs="Arial"/>
          <w:color w:val="000000" w:themeColor="text1"/>
          <w:sz w:val="20"/>
          <w:szCs w:val="20"/>
          <w:lang w:val="es-ES_tradnl"/>
        </w:rPr>
      </w:pPr>
    </w:p>
    <w:p w14:paraId="5A57CAD3" w14:textId="77777777" w:rsidR="006D2049" w:rsidRDefault="006D2049" w:rsidP="006D2049">
      <w:pPr>
        <w:spacing w:after="0" w:line="240" w:lineRule="auto"/>
        <w:jc w:val="both"/>
        <w:rPr>
          <w:rFonts w:ascii="Verdana" w:eastAsia="Calibri" w:hAnsi="Verdana" w:cs="Arial"/>
          <w:color w:val="000000" w:themeColor="text1"/>
          <w:sz w:val="20"/>
          <w:szCs w:val="20"/>
          <w:lang w:val="es-ES_tradnl"/>
        </w:rPr>
      </w:pPr>
      <w:r w:rsidRPr="00903F08">
        <w:rPr>
          <w:rFonts w:ascii="Verdana" w:eastAsia="Calibri" w:hAnsi="Verdana" w:cs="Arial"/>
          <w:color w:val="000000" w:themeColor="text1"/>
          <w:sz w:val="20"/>
          <w:szCs w:val="20"/>
          <w:lang w:val="es-ES_tradnl"/>
        </w:rPr>
        <w:t>Ni el artículo 2, numeral 4, literal g) de la Ley 1150 de 2007, ni el artículo 2.2.1.2.1.4.8. del Decreto 1082 de 2015, establecen una tarifa legal para acreditar la exclusividad en el territorio nacional, pues las normas no prevén un medio probatorio específico como el único que tenga valor de convicción para las Entidades Estatales en la etapa precontractual. Lo que señala la citada disposición reglamentaria es que “Estas circunstancias deben constar en el estudio previo que soporta la contratación”. En otras palabras, la Entidad Estatal debe hacer un análisis riguroso en la etapa de planeación, para determinar si un proveedor es o no exclusivo en el territorio nacional, pudiendo servirse de los medios probatorios que considere pertinentes y conducentes.</w:t>
      </w:r>
    </w:p>
    <w:p w14:paraId="750CDE03" w14:textId="77777777" w:rsidR="006D2049" w:rsidRDefault="006D2049" w:rsidP="006D2049">
      <w:pPr>
        <w:spacing w:after="0" w:line="240" w:lineRule="auto"/>
        <w:jc w:val="both"/>
        <w:rPr>
          <w:rFonts w:ascii="Verdana" w:eastAsia="Calibri" w:hAnsi="Verdana" w:cs="Arial"/>
          <w:sz w:val="20"/>
          <w:szCs w:val="20"/>
          <w:lang w:val="es-ES_tradnl"/>
        </w:rPr>
      </w:pPr>
    </w:p>
    <w:p w14:paraId="09ADFF5F" w14:textId="77777777" w:rsidR="006D2049" w:rsidRDefault="006D2049" w:rsidP="006D2049">
      <w:pPr>
        <w:spacing w:after="0" w:line="240" w:lineRule="auto"/>
        <w:jc w:val="both"/>
        <w:rPr>
          <w:rFonts w:ascii="Verdana" w:eastAsia="Calibri" w:hAnsi="Verdana" w:cs="Arial"/>
          <w:sz w:val="20"/>
          <w:szCs w:val="20"/>
          <w:lang w:val="es-ES_tradnl"/>
        </w:rPr>
      </w:pPr>
    </w:p>
    <w:p w14:paraId="732A90BD" w14:textId="77777777" w:rsidR="006D2049" w:rsidRDefault="006D2049" w:rsidP="006D2049">
      <w:pPr>
        <w:spacing w:after="0" w:line="240" w:lineRule="auto"/>
        <w:jc w:val="both"/>
        <w:rPr>
          <w:rFonts w:ascii="Verdana" w:eastAsia="Calibri" w:hAnsi="Verdana" w:cs="Arial"/>
          <w:sz w:val="20"/>
          <w:szCs w:val="20"/>
          <w:lang w:val="es-ES_tradnl"/>
        </w:rPr>
      </w:pPr>
    </w:p>
    <w:p w14:paraId="42FF8976" w14:textId="77777777" w:rsidR="006D2049" w:rsidRDefault="006D2049" w:rsidP="006D2049">
      <w:pPr>
        <w:spacing w:after="0" w:line="240" w:lineRule="auto"/>
        <w:jc w:val="both"/>
        <w:rPr>
          <w:rFonts w:ascii="Verdana" w:eastAsia="Calibri" w:hAnsi="Verdana" w:cs="Arial"/>
          <w:sz w:val="20"/>
          <w:szCs w:val="20"/>
          <w:lang w:val="es-ES_tradnl"/>
        </w:rPr>
      </w:pPr>
    </w:p>
    <w:p w14:paraId="604955CC" w14:textId="77777777" w:rsidR="006D2049" w:rsidRDefault="006D2049" w:rsidP="006D2049">
      <w:pPr>
        <w:spacing w:after="0" w:line="240" w:lineRule="auto"/>
        <w:jc w:val="both"/>
        <w:rPr>
          <w:rFonts w:ascii="Verdana" w:eastAsia="Calibri" w:hAnsi="Verdana" w:cs="Arial"/>
          <w:sz w:val="20"/>
          <w:szCs w:val="20"/>
          <w:lang w:val="es-ES_tradnl"/>
        </w:rPr>
      </w:pPr>
    </w:p>
    <w:p w14:paraId="786D5C75" w14:textId="77777777" w:rsidR="006D2049" w:rsidRDefault="006D2049" w:rsidP="006D2049">
      <w:pPr>
        <w:spacing w:after="0" w:line="240" w:lineRule="auto"/>
        <w:jc w:val="both"/>
        <w:rPr>
          <w:rFonts w:ascii="Verdana" w:eastAsia="Calibri" w:hAnsi="Verdana" w:cs="Arial"/>
          <w:sz w:val="20"/>
          <w:szCs w:val="20"/>
          <w:lang w:val="es-ES_tradnl"/>
        </w:rPr>
      </w:pPr>
    </w:p>
    <w:p w14:paraId="1680DD2E" w14:textId="77777777" w:rsidR="006D2049" w:rsidRDefault="006D2049" w:rsidP="006D2049">
      <w:pPr>
        <w:spacing w:after="0" w:line="240" w:lineRule="auto"/>
        <w:jc w:val="both"/>
        <w:rPr>
          <w:rFonts w:ascii="Verdana" w:eastAsia="Calibri" w:hAnsi="Verdana" w:cs="Arial"/>
          <w:sz w:val="20"/>
          <w:szCs w:val="20"/>
          <w:lang w:val="es-ES_tradnl"/>
        </w:rPr>
      </w:pPr>
    </w:p>
    <w:p w14:paraId="68B1FE1B" w14:textId="77777777" w:rsidR="006D2049" w:rsidRDefault="006D2049" w:rsidP="006D2049">
      <w:pPr>
        <w:spacing w:after="0" w:line="240" w:lineRule="auto"/>
        <w:jc w:val="both"/>
        <w:rPr>
          <w:rFonts w:ascii="Verdana" w:eastAsia="Calibri" w:hAnsi="Verdana" w:cs="Arial"/>
          <w:sz w:val="20"/>
          <w:szCs w:val="20"/>
          <w:lang w:val="es-ES_tradnl"/>
        </w:rPr>
      </w:pPr>
    </w:p>
    <w:p w14:paraId="0F6E4E31" w14:textId="77777777" w:rsidR="006D2049" w:rsidRDefault="006D2049" w:rsidP="006D2049">
      <w:pPr>
        <w:spacing w:after="0" w:line="240" w:lineRule="auto"/>
        <w:jc w:val="both"/>
        <w:rPr>
          <w:rFonts w:ascii="Verdana" w:eastAsia="Calibri" w:hAnsi="Verdana" w:cs="Arial"/>
          <w:sz w:val="20"/>
          <w:szCs w:val="20"/>
          <w:lang w:val="es-ES_tradnl"/>
        </w:rPr>
      </w:pPr>
    </w:p>
    <w:p w14:paraId="15BA755C" w14:textId="77777777" w:rsidR="006D2049" w:rsidRDefault="006D2049" w:rsidP="006D2049">
      <w:pPr>
        <w:spacing w:after="0" w:line="240" w:lineRule="auto"/>
        <w:jc w:val="both"/>
        <w:rPr>
          <w:rFonts w:ascii="Verdana" w:eastAsia="Calibri" w:hAnsi="Verdana" w:cs="Arial"/>
          <w:sz w:val="20"/>
          <w:szCs w:val="20"/>
          <w:lang w:val="es-ES_tradnl"/>
        </w:rPr>
      </w:pPr>
    </w:p>
    <w:p w14:paraId="2D350FCF" w14:textId="77777777" w:rsidR="006D2049" w:rsidRDefault="006D2049" w:rsidP="006D2049">
      <w:pPr>
        <w:spacing w:after="0" w:line="240" w:lineRule="auto"/>
        <w:jc w:val="both"/>
        <w:rPr>
          <w:rFonts w:ascii="Verdana" w:eastAsia="Calibri" w:hAnsi="Verdana" w:cs="Arial"/>
          <w:sz w:val="20"/>
          <w:szCs w:val="20"/>
          <w:lang w:val="es-ES_tradnl"/>
        </w:rPr>
      </w:pPr>
    </w:p>
    <w:p w14:paraId="67AC3351" w14:textId="77777777" w:rsidR="006D2049" w:rsidRDefault="006D2049" w:rsidP="006D2049">
      <w:pPr>
        <w:spacing w:after="0" w:line="240" w:lineRule="auto"/>
        <w:jc w:val="both"/>
        <w:rPr>
          <w:rFonts w:ascii="Verdana" w:eastAsia="Calibri" w:hAnsi="Verdana" w:cs="Arial"/>
          <w:sz w:val="20"/>
          <w:szCs w:val="20"/>
          <w:lang w:val="es-ES_tradnl"/>
        </w:rPr>
      </w:pPr>
    </w:p>
    <w:p w14:paraId="54399054" w14:textId="77777777" w:rsidR="006D2049" w:rsidRDefault="006D2049" w:rsidP="006D2049">
      <w:pPr>
        <w:spacing w:after="0" w:line="240" w:lineRule="auto"/>
        <w:jc w:val="both"/>
        <w:rPr>
          <w:rFonts w:ascii="Verdana" w:eastAsia="Calibri" w:hAnsi="Verdana" w:cs="Arial"/>
          <w:sz w:val="20"/>
          <w:szCs w:val="20"/>
          <w:lang w:val="es-ES_tradnl"/>
        </w:rPr>
      </w:pPr>
    </w:p>
    <w:p w14:paraId="3F62C18E" w14:textId="77777777" w:rsidR="006D2049" w:rsidRDefault="006D2049" w:rsidP="006D2049">
      <w:pPr>
        <w:spacing w:after="0" w:line="240" w:lineRule="auto"/>
        <w:jc w:val="both"/>
        <w:rPr>
          <w:rFonts w:ascii="Verdana" w:eastAsia="Calibri" w:hAnsi="Verdana" w:cs="Arial"/>
          <w:sz w:val="20"/>
          <w:szCs w:val="20"/>
          <w:lang w:val="es-ES_tradnl"/>
        </w:rPr>
      </w:pPr>
    </w:p>
    <w:p w14:paraId="4AA832A9" w14:textId="77777777" w:rsidR="006D2049" w:rsidRDefault="006D2049" w:rsidP="006D2049">
      <w:pPr>
        <w:spacing w:after="0" w:line="240" w:lineRule="auto"/>
        <w:jc w:val="both"/>
        <w:rPr>
          <w:rFonts w:ascii="Verdana" w:eastAsia="Calibri" w:hAnsi="Verdana" w:cs="Arial"/>
          <w:sz w:val="20"/>
          <w:szCs w:val="20"/>
          <w:lang w:val="es-ES_tradnl"/>
        </w:rPr>
      </w:pPr>
    </w:p>
    <w:p w14:paraId="31AC6193" w14:textId="77777777" w:rsidR="006D2049" w:rsidRDefault="006D2049" w:rsidP="006D2049">
      <w:pPr>
        <w:spacing w:after="0" w:line="240" w:lineRule="auto"/>
        <w:jc w:val="both"/>
        <w:rPr>
          <w:rFonts w:ascii="Verdana" w:eastAsia="Calibri" w:hAnsi="Verdana" w:cs="Arial"/>
          <w:sz w:val="20"/>
          <w:szCs w:val="20"/>
          <w:lang w:val="es-ES_tradnl"/>
        </w:rPr>
      </w:pPr>
    </w:p>
    <w:p w14:paraId="3D28189F" w14:textId="77777777" w:rsidR="006D2049" w:rsidRPr="00F47E0F" w:rsidRDefault="006D2049" w:rsidP="006D2049">
      <w:pPr>
        <w:spacing w:after="0" w:line="240" w:lineRule="auto"/>
        <w:jc w:val="both"/>
        <w:rPr>
          <w:rFonts w:ascii="Verdana" w:eastAsia="Calibri" w:hAnsi="Verdana" w:cs="Arial"/>
          <w:sz w:val="20"/>
          <w:szCs w:val="20"/>
          <w:lang w:val="es-ES_tradnl"/>
        </w:rPr>
      </w:pPr>
    </w:p>
    <w:p w14:paraId="46456BE5" w14:textId="77777777" w:rsidR="006D2049" w:rsidRDefault="006D2049" w:rsidP="006D2049">
      <w:pPr>
        <w:spacing w:after="0" w:line="240" w:lineRule="auto"/>
        <w:jc w:val="both"/>
        <w:rPr>
          <w:rFonts w:ascii="Verdana" w:eastAsia="Calibri" w:hAnsi="Verdana" w:cs="Arial"/>
          <w:sz w:val="20"/>
          <w:szCs w:val="20"/>
          <w:lang w:val="es-ES_tradnl"/>
        </w:rPr>
      </w:pPr>
    </w:p>
    <w:p w14:paraId="70490BC0" w14:textId="77777777" w:rsidR="006D2049" w:rsidRDefault="006D2049" w:rsidP="006D2049">
      <w:pPr>
        <w:spacing w:after="0" w:line="240" w:lineRule="auto"/>
        <w:jc w:val="both"/>
        <w:rPr>
          <w:rFonts w:ascii="Verdana" w:eastAsia="Calibri" w:hAnsi="Verdana" w:cs="Arial"/>
          <w:sz w:val="20"/>
          <w:szCs w:val="20"/>
          <w:lang w:val="es-ES_tradnl"/>
        </w:rPr>
      </w:pPr>
    </w:p>
    <w:p w14:paraId="3D54C39B" w14:textId="77777777" w:rsidR="006D2049" w:rsidRDefault="006D2049" w:rsidP="006D2049">
      <w:pPr>
        <w:spacing w:after="0" w:line="240" w:lineRule="auto"/>
        <w:jc w:val="both"/>
        <w:rPr>
          <w:rFonts w:ascii="Verdana" w:eastAsia="Calibri" w:hAnsi="Verdana" w:cs="Arial"/>
          <w:sz w:val="20"/>
          <w:szCs w:val="20"/>
          <w:lang w:val="es-ES_tradnl"/>
        </w:rPr>
      </w:pPr>
    </w:p>
    <w:p w14:paraId="77E0D8B6" w14:textId="77777777" w:rsidR="006D2049" w:rsidRDefault="006D2049" w:rsidP="006D2049">
      <w:pPr>
        <w:spacing w:after="0" w:line="240" w:lineRule="auto"/>
        <w:jc w:val="both"/>
        <w:rPr>
          <w:rFonts w:ascii="Verdana" w:eastAsia="Calibri" w:hAnsi="Verdana" w:cs="Arial"/>
          <w:sz w:val="20"/>
          <w:szCs w:val="20"/>
          <w:lang w:val="es-ES_tradnl"/>
        </w:rPr>
      </w:pPr>
    </w:p>
    <w:p w14:paraId="07E6C24B" w14:textId="77777777" w:rsidR="006D2049" w:rsidRDefault="006D2049" w:rsidP="006D2049">
      <w:pPr>
        <w:spacing w:after="0" w:line="240" w:lineRule="auto"/>
        <w:jc w:val="both"/>
        <w:rPr>
          <w:rFonts w:ascii="Verdana" w:eastAsia="Calibri" w:hAnsi="Verdana" w:cs="Arial"/>
          <w:sz w:val="20"/>
          <w:szCs w:val="20"/>
          <w:lang w:val="es-ES_tradnl"/>
        </w:rPr>
      </w:pPr>
    </w:p>
    <w:p w14:paraId="3AB87A9B" w14:textId="77777777" w:rsidR="006D2049" w:rsidRDefault="006D2049" w:rsidP="006D2049">
      <w:pPr>
        <w:spacing w:after="0" w:line="240" w:lineRule="auto"/>
        <w:jc w:val="both"/>
        <w:rPr>
          <w:rFonts w:ascii="Verdana" w:eastAsia="Calibri" w:hAnsi="Verdana" w:cs="Arial"/>
          <w:sz w:val="20"/>
          <w:szCs w:val="20"/>
          <w:lang w:val="es-ES_tradnl"/>
        </w:rPr>
      </w:pPr>
    </w:p>
    <w:p w14:paraId="52447176" w14:textId="77777777" w:rsidR="006D2049" w:rsidRDefault="006D2049" w:rsidP="006D2049">
      <w:pPr>
        <w:spacing w:after="0" w:line="240" w:lineRule="auto"/>
        <w:jc w:val="both"/>
        <w:rPr>
          <w:rFonts w:ascii="Verdana" w:eastAsia="Calibri" w:hAnsi="Verdana" w:cs="Arial"/>
          <w:sz w:val="20"/>
          <w:szCs w:val="20"/>
          <w:lang w:val="es-ES_tradnl"/>
        </w:rPr>
      </w:pPr>
    </w:p>
    <w:p w14:paraId="26C19DF3" w14:textId="77777777" w:rsidR="006D2049" w:rsidRDefault="006D2049" w:rsidP="006D2049">
      <w:pPr>
        <w:spacing w:after="0" w:line="240" w:lineRule="auto"/>
        <w:jc w:val="both"/>
        <w:rPr>
          <w:rFonts w:ascii="Verdana" w:eastAsia="Calibri" w:hAnsi="Verdana" w:cs="Arial"/>
          <w:sz w:val="20"/>
          <w:szCs w:val="20"/>
          <w:lang w:val="es-ES_tradnl"/>
        </w:rPr>
      </w:pPr>
    </w:p>
    <w:p w14:paraId="6CD54433" w14:textId="77777777" w:rsidR="006D2049" w:rsidRDefault="006D2049" w:rsidP="006D2049">
      <w:pPr>
        <w:spacing w:after="0" w:line="240" w:lineRule="auto"/>
        <w:jc w:val="both"/>
        <w:rPr>
          <w:rFonts w:ascii="Verdana" w:eastAsia="Calibri" w:hAnsi="Verdana" w:cs="Arial"/>
          <w:sz w:val="20"/>
          <w:szCs w:val="20"/>
          <w:lang w:val="es-ES_tradnl"/>
        </w:rPr>
      </w:pPr>
    </w:p>
    <w:p w14:paraId="4CA638F6" w14:textId="77777777" w:rsidR="006D2049" w:rsidRDefault="006D2049" w:rsidP="006D2049">
      <w:pPr>
        <w:spacing w:after="0" w:line="240" w:lineRule="auto"/>
        <w:jc w:val="both"/>
        <w:rPr>
          <w:rFonts w:ascii="Verdana" w:eastAsia="Calibri" w:hAnsi="Verdana" w:cs="Arial"/>
          <w:sz w:val="20"/>
          <w:szCs w:val="20"/>
          <w:lang w:val="es-ES_tradnl"/>
        </w:rPr>
      </w:pPr>
    </w:p>
    <w:p w14:paraId="1FE40684" w14:textId="77777777" w:rsidR="006D2049" w:rsidRDefault="006D2049" w:rsidP="006D2049">
      <w:pPr>
        <w:spacing w:after="0" w:line="240" w:lineRule="auto"/>
        <w:jc w:val="both"/>
        <w:rPr>
          <w:rFonts w:ascii="Verdana" w:eastAsia="Calibri" w:hAnsi="Verdana" w:cs="Arial"/>
          <w:sz w:val="20"/>
          <w:szCs w:val="20"/>
          <w:lang w:val="es-ES_tradnl"/>
        </w:rPr>
      </w:pPr>
    </w:p>
    <w:p w14:paraId="09DAC4EE" w14:textId="77777777" w:rsidR="006D2049" w:rsidRDefault="006D2049" w:rsidP="006D2049">
      <w:pPr>
        <w:spacing w:after="0" w:line="240" w:lineRule="auto"/>
        <w:jc w:val="both"/>
        <w:rPr>
          <w:rFonts w:ascii="Verdana" w:eastAsia="Calibri" w:hAnsi="Verdana" w:cs="Arial"/>
          <w:sz w:val="20"/>
          <w:szCs w:val="20"/>
          <w:lang w:val="es-ES_tradnl"/>
        </w:rPr>
      </w:pPr>
    </w:p>
    <w:p w14:paraId="28C1A32C" w14:textId="77777777" w:rsidR="006D2049" w:rsidRDefault="006D2049" w:rsidP="006D2049">
      <w:pPr>
        <w:spacing w:after="0" w:line="240" w:lineRule="auto"/>
        <w:jc w:val="both"/>
        <w:rPr>
          <w:rFonts w:ascii="Verdana" w:eastAsia="Calibri" w:hAnsi="Verdana" w:cs="Arial"/>
          <w:sz w:val="20"/>
          <w:szCs w:val="20"/>
          <w:lang w:val="es-ES_tradnl"/>
        </w:rPr>
      </w:pPr>
    </w:p>
    <w:p w14:paraId="279D981E" w14:textId="77777777" w:rsidR="006D2049" w:rsidRDefault="006D2049" w:rsidP="006D2049">
      <w:pPr>
        <w:spacing w:after="0" w:line="240" w:lineRule="auto"/>
        <w:jc w:val="both"/>
        <w:rPr>
          <w:rFonts w:ascii="Verdana" w:eastAsia="Calibri" w:hAnsi="Verdana" w:cs="Arial"/>
          <w:sz w:val="20"/>
          <w:szCs w:val="20"/>
          <w:lang w:val="es-ES_tradnl"/>
        </w:rPr>
      </w:pPr>
    </w:p>
    <w:p w14:paraId="72958280" w14:textId="1A152CDF" w:rsidR="006D2049" w:rsidRDefault="006D2049" w:rsidP="006D2049">
      <w:pPr>
        <w:spacing w:after="0" w:line="240" w:lineRule="auto"/>
        <w:rPr>
          <w:rFonts w:ascii="Verdana" w:eastAsia="Geomanist Light" w:hAnsi="Verdana" w:cs="Arial"/>
          <w:lang w:val="es-ES"/>
        </w:rPr>
      </w:pPr>
      <w:r w:rsidRPr="003479B4">
        <w:rPr>
          <w:rFonts w:ascii="Verdana" w:eastAsia="Geomanist Light" w:hAnsi="Verdana" w:cs="Arial"/>
          <w:lang w:val="es-ES"/>
        </w:rPr>
        <w:lastRenderedPageBreak/>
        <w:t xml:space="preserve">Bogotá D.C., </w:t>
      </w:r>
      <w:r w:rsidR="00F717A4">
        <w:rPr>
          <w:rFonts w:ascii="Verdana" w:eastAsia="Geomanist Light" w:hAnsi="Verdana" w:cs="Arial"/>
          <w:lang w:val="es-ES"/>
        </w:rPr>
        <w:t>15 de octubre de 2026</w:t>
      </w:r>
    </w:p>
    <w:p w14:paraId="43E8B9A7" w14:textId="77777777" w:rsidR="00F717A4" w:rsidRDefault="00F717A4" w:rsidP="006D2049">
      <w:pPr>
        <w:spacing w:after="0" w:line="240" w:lineRule="auto"/>
        <w:rPr>
          <w:rFonts w:ascii="Verdana" w:eastAsia="Geomanist Light" w:hAnsi="Verdana" w:cs="Arial"/>
          <w:lang w:val="es-ES"/>
        </w:rPr>
      </w:pPr>
    </w:p>
    <w:p w14:paraId="3D6E908F" w14:textId="643B5FA2" w:rsidR="00F717A4" w:rsidRDefault="00F717A4" w:rsidP="00F717A4">
      <w:pPr>
        <w:spacing w:after="0" w:line="240" w:lineRule="auto"/>
        <w:jc w:val="right"/>
        <w:rPr>
          <w:rFonts w:ascii="Verdana" w:eastAsia="Geomanist Light" w:hAnsi="Verdana" w:cs="Arial"/>
          <w:lang w:val="es-ES"/>
        </w:rPr>
      </w:pPr>
      <w:r w:rsidRPr="00F717A4">
        <w:rPr>
          <w:rFonts w:ascii="Verdana" w:eastAsia="Geomanist Light" w:hAnsi="Verdana" w:cs="Arial"/>
          <w:lang w:val="es-ES"/>
        </w:rPr>
        <w:drawing>
          <wp:inline distT="0" distB="0" distL="0" distR="0" wp14:anchorId="54D0A5B6" wp14:editId="63722B7B">
            <wp:extent cx="3658111" cy="971686"/>
            <wp:effectExtent l="0" t="0" r="0" b="0"/>
            <wp:docPr id="12521175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17572" name=""/>
                    <pic:cNvPicPr/>
                  </pic:nvPicPr>
                  <pic:blipFill>
                    <a:blip r:embed="rId10"/>
                    <a:stretch>
                      <a:fillRect/>
                    </a:stretch>
                  </pic:blipFill>
                  <pic:spPr>
                    <a:xfrm>
                      <a:off x="0" y="0"/>
                      <a:ext cx="3658111" cy="971686"/>
                    </a:xfrm>
                    <a:prstGeom prst="rect">
                      <a:avLst/>
                    </a:prstGeom>
                  </pic:spPr>
                </pic:pic>
              </a:graphicData>
            </a:graphic>
          </wp:inline>
        </w:drawing>
      </w:r>
    </w:p>
    <w:p w14:paraId="6CBC6CAC" w14:textId="77777777" w:rsidR="006D2049" w:rsidRPr="00F47E0F" w:rsidRDefault="006D2049" w:rsidP="006D2049">
      <w:pPr>
        <w:spacing w:after="0" w:line="240" w:lineRule="auto"/>
        <w:rPr>
          <w:rFonts w:ascii="Verdana" w:eastAsia="Geomanist Light" w:hAnsi="Verdana" w:cs="Arial"/>
          <w:lang w:val="es-ES_tradnl"/>
        </w:rPr>
      </w:pPr>
    </w:p>
    <w:p w14:paraId="13A1EC36" w14:textId="77777777" w:rsidR="006D2049" w:rsidRPr="00F47E0F" w:rsidRDefault="006D2049" w:rsidP="006D2049">
      <w:pPr>
        <w:spacing w:after="0" w:line="240" w:lineRule="auto"/>
        <w:jc w:val="both"/>
        <w:rPr>
          <w:rFonts w:ascii="Verdana" w:eastAsia="Calibri" w:hAnsi="Verdana" w:cs="Arial"/>
          <w:lang w:val="es-ES"/>
        </w:rPr>
      </w:pPr>
    </w:p>
    <w:p w14:paraId="45EF927B" w14:textId="77777777" w:rsidR="006D2049" w:rsidRPr="00F47E0F" w:rsidRDefault="006D2049" w:rsidP="006D2049">
      <w:pPr>
        <w:spacing w:after="0" w:line="240" w:lineRule="auto"/>
        <w:jc w:val="both"/>
        <w:rPr>
          <w:rFonts w:ascii="Verdana" w:eastAsia="Calibri" w:hAnsi="Verdana" w:cs="Arial"/>
          <w:lang w:val="es-ES" w:eastAsia="es-ES"/>
        </w:rPr>
      </w:pPr>
      <w:r w:rsidRPr="00F47E0F">
        <w:rPr>
          <w:rFonts w:ascii="Verdana" w:eastAsia="Calibri" w:hAnsi="Verdana" w:cs="Arial"/>
          <w:lang w:val="es-ES" w:eastAsia="es-ES"/>
        </w:rPr>
        <w:t>Señor</w:t>
      </w:r>
      <w:r>
        <w:rPr>
          <w:rFonts w:ascii="Verdana" w:eastAsia="Calibri" w:hAnsi="Verdana" w:cs="Arial"/>
          <w:lang w:val="es-ES" w:eastAsia="es-ES"/>
        </w:rPr>
        <w:t>a</w:t>
      </w:r>
    </w:p>
    <w:p w14:paraId="12D361BC" w14:textId="77777777" w:rsidR="006D2049" w:rsidRPr="002703E1" w:rsidRDefault="006D2049" w:rsidP="006D2049">
      <w:pPr>
        <w:spacing w:after="0" w:line="240" w:lineRule="auto"/>
        <w:rPr>
          <w:rFonts w:ascii="Verdana" w:eastAsia="Calibri" w:hAnsi="Verdana" w:cs="Arial"/>
          <w:b/>
          <w:lang w:val="es-ES_tradnl" w:eastAsia="es-ES_tradnl"/>
        </w:rPr>
      </w:pPr>
      <w:r w:rsidRPr="002703E1">
        <w:rPr>
          <w:rFonts w:ascii="Verdana" w:eastAsia="Calibri" w:hAnsi="Verdana" w:cs="Arial"/>
          <w:b/>
          <w:lang w:val="es-ES_tradnl" w:eastAsia="es-ES_tradnl"/>
        </w:rPr>
        <w:t>Johanna Carolina Gómez</w:t>
      </w:r>
    </w:p>
    <w:p w14:paraId="52593619" w14:textId="77777777" w:rsidR="006D2049" w:rsidRPr="00F47E0F" w:rsidRDefault="006D2049" w:rsidP="006D2049">
      <w:pPr>
        <w:spacing w:after="0" w:line="240" w:lineRule="auto"/>
        <w:rPr>
          <w:rFonts w:ascii="Verdana" w:eastAsia="Calibri" w:hAnsi="Verdana" w:cs="Arial"/>
          <w:b/>
          <w:bCs/>
          <w:lang w:val="es-ES" w:eastAsia="es-ES"/>
        </w:rPr>
      </w:pPr>
      <w:r w:rsidRPr="002703E1">
        <w:rPr>
          <w:rFonts w:ascii="Verdana" w:eastAsia="Calibri" w:hAnsi="Verdana" w:cs="Arial"/>
          <w:bCs/>
          <w:lang w:val="es-ES_tradnl" w:eastAsia="es-ES_tradnl"/>
        </w:rPr>
        <w:t>cprietosalazar1@gmail.com</w:t>
      </w:r>
      <w:r w:rsidRPr="00F47E0F">
        <w:cr/>
      </w:r>
      <w:r w:rsidRPr="00F47E0F">
        <w:rPr>
          <w:rFonts w:ascii="Verdana" w:eastAsia="Calibri" w:hAnsi="Verdana" w:cs="Arial"/>
          <w:lang w:val="es-ES" w:eastAsia="es-ES"/>
        </w:rPr>
        <w:t>Ciudad</w:t>
      </w:r>
    </w:p>
    <w:p w14:paraId="437D3DE4" w14:textId="77777777" w:rsidR="006D2049" w:rsidRPr="00F47E0F" w:rsidRDefault="006D2049" w:rsidP="006D2049">
      <w:pPr>
        <w:spacing w:after="0" w:line="240" w:lineRule="auto"/>
        <w:rPr>
          <w:rFonts w:ascii="Verdana" w:eastAsia="Calibri" w:hAnsi="Verdana" w:cs="Arial"/>
          <w:b/>
          <w:bCs/>
          <w:lang w:val="es-ES_tradnl" w:eastAsia="es-ES_tradnl"/>
        </w:rPr>
      </w:pPr>
    </w:p>
    <w:p w14:paraId="36BC2161" w14:textId="77777777" w:rsidR="006D2049" w:rsidRPr="00F47E0F" w:rsidRDefault="006D2049" w:rsidP="006D204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D2049" w:rsidRPr="00F47E0F" w14:paraId="769556AF" w14:textId="77777777" w:rsidTr="008140C1">
        <w:trPr>
          <w:trHeight w:val="884"/>
        </w:trPr>
        <w:tc>
          <w:tcPr>
            <w:tcW w:w="2689" w:type="dxa"/>
          </w:tcPr>
          <w:p w14:paraId="6A596000" w14:textId="77777777" w:rsidR="006D2049" w:rsidRPr="00F47E0F" w:rsidRDefault="006D2049" w:rsidP="008140C1">
            <w:pPr>
              <w:jc w:val="both"/>
              <w:rPr>
                <w:rFonts w:ascii="Verdana" w:eastAsia="Calibri" w:hAnsi="Verdana" w:cs="Arial"/>
                <w:b/>
                <w:bCs/>
                <w:lang w:val="es-ES_tradnl" w:eastAsia="es-ES_tradnl"/>
              </w:rPr>
            </w:pPr>
          </w:p>
        </w:tc>
        <w:tc>
          <w:tcPr>
            <w:tcW w:w="6100" w:type="dxa"/>
          </w:tcPr>
          <w:p w14:paraId="01C4D112" w14:textId="77777777" w:rsidR="006D2049" w:rsidRPr="00F47E0F" w:rsidRDefault="006D2049" w:rsidP="008140C1">
            <w:pPr>
              <w:jc w:val="both"/>
              <w:rPr>
                <w:rFonts w:ascii="Verdana" w:eastAsia="Calibri" w:hAnsi="Verdana" w:cs="Arial"/>
                <w:b/>
                <w:bCs/>
                <w:lang w:val="es-ES" w:eastAsia="es-ES"/>
              </w:rPr>
            </w:pPr>
            <w:r w:rsidRPr="00F47E0F">
              <w:rPr>
                <w:rFonts w:ascii="Verdana" w:eastAsia="Calibri" w:hAnsi="Verdana" w:cs="Arial"/>
                <w:b/>
                <w:bCs/>
                <w:lang w:val="es-ES" w:eastAsia="es-ES"/>
              </w:rPr>
              <w:t>Concepto C- 1</w:t>
            </w:r>
            <w:r>
              <w:rPr>
                <w:rFonts w:ascii="Verdana" w:eastAsia="Calibri" w:hAnsi="Verdana" w:cs="Arial"/>
                <w:b/>
                <w:bCs/>
                <w:lang w:val="es-ES" w:eastAsia="es-ES"/>
              </w:rPr>
              <w:t>433</w:t>
            </w:r>
            <w:r w:rsidRPr="00F47E0F">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6D2049" w:rsidRPr="00F47E0F" w14:paraId="114CCCEA" w14:textId="77777777" w:rsidTr="008140C1">
        <w:trPr>
          <w:trHeight w:val="884"/>
        </w:trPr>
        <w:tc>
          <w:tcPr>
            <w:tcW w:w="2689" w:type="dxa"/>
          </w:tcPr>
          <w:p w14:paraId="5A2B6BCA" w14:textId="77777777" w:rsidR="006D2049" w:rsidRPr="00F47E0F" w:rsidRDefault="006D2049" w:rsidP="008140C1">
            <w:pPr>
              <w:jc w:val="both"/>
              <w:rPr>
                <w:rFonts w:ascii="Verdana" w:eastAsia="Calibri" w:hAnsi="Verdana" w:cs="Arial"/>
                <w:lang w:val="es-ES_tradnl" w:eastAsia="es-ES_tradnl"/>
              </w:rPr>
            </w:pPr>
            <w:r w:rsidRPr="00F47E0F">
              <w:rPr>
                <w:rFonts w:ascii="Verdana" w:eastAsia="Calibri" w:hAnsi="Verdana" w:cs="Arial"/>
                <w:b/>
                <w:lang w:val="es-ES_tradnl" w:eastAsia="es-ES_tradnl"/>
              </w:rPr>
              <w:t>Temas:</w:t>
            </w:r>
            <w:r w:rsidRPr="00F47E0F">
              <w:rPr>
                <w:rFonts w:ascii="Verdana" w:eastAsia="Calibri" w:hAnsi="Verdana" w:cs="Arial"/>
                <w:lang w:val="es-ES_tradnl" w:eastAsia="es-ES_tradnl"/>
              </w:rPr>
              <w:t xml:space="preserve">                   </w:t>
            </w:r>
          </w:p>
        </w:tc>
        <w:tc>
          <w:tcPr>
            <w:tcW w:w="6100" w:type="dxa"/>
          </w:tcPr>
          <w:p w14:paraId="4ED30AA9" w14:textId="77777777" w:rsidR="006D2049" w:rsidRPr="00F47E0F" w:rsidRDefault="006D2049" w:rsidP="008140C1">
            <w:pPr>
              <w:jc w:val="both"/>
              <w:rPr>
                <w:rFonts w:ascii="Verdana" w:eastAsia="Calibri" w:hAnsi="Verdana" w:cs="Arial"/>
                <w:highlight w:val="yellow"/>
                <w:lang w:eastAsia="es-ES"/>
              </w:rPr>
            </w:pPr>
            <w:r w:rsidRPr="006250FB">
              <w:rPr>
                <w:rFonts w:ascii="Verdana" w:eastAsia="Calibri" w:hAnsi="Verdana" w:cs="Arial"/>
                <w:lang w:val="es-ES" w:eastAsia="es-ES"/>
              </w:rPr>
              <w:t>CONTRATACIÓN DIRECTA – Pluralidad de oferentes– Inexistencia – Dos eventos / ÚNICO PROVEEDOR – Titular – Propiedad industrial – Derechos de autor /</w:t>
            </w:r>
            <w:r w:rsidRPr="006250FB">
              <w:t xml:space="preserve"> </w:t>
            </w:r>
            <w:r w:rsidRPr="006250FB">
              <w:rPr>
                <w:rFonts w:ascii="Verdana" w:eastAsia="Calibri" w:hAnsi="Verdana" w:cs="Arial"/>
                <w:lang w:val="es-ES" w:eastAsia="es-ES"/>
              </w:rPr>
              <w:t>ÚNICO PROVEEDOR – Proveedor exclusivo – Territorio nacional</w:t>
            </w:r>
          </w:p>
        </w:tc>
      </w:tr>
      <w:tr w:rsidR="006D2049" w:rsidRPr="00F47E0F" w14:paraId="66CA717C" w14:textId="77777777" w:rsidTr="008140C1">
        <w:tc>
          <w:tcPr>
            <w:tcW w:w="2689" w:type="dxa"/>
          </w:tcPr>
          <w:p w14:paraId="4A5DE67A" w14:textId="77777777" w:rsidR="006D2049" w:rsidRPr="00F47E0F" w:rsidRDefault="006D2049" w:rsidP="008140C1">
            <w:pPr>
              <w:jc w:val="both"/>
              <w:rPr>
                <w:rFonts w:ascii="Verdana" w:eastAsia="Calibri" w:hAnsi="Verdana" w:cs="Arial"/>
                <w:b/>
                <w:lang w:val="es-ES_tradnl" w:eastAsia="es-ES_tradnl"/>
              </w:rPr>
            </w:pPr>
            <w:r w:rsidRPr="00F47E0F">
              <w:rPr>
                <w:rFonts w:ascii="Verdana" w:eastAsia="Calibri" w:hAnsi="Verdana" w:cs="Arial"/>
                <w:b/>
                <w:lang w:val="es-ES_tradnl" w:eastAsia="es-ES_tradnl"/>
              </w:rPr>
              <w:t>Radicación:</w:t>
            </w:r>
            <w:r w:rsidRPr="00F47E0F">
              <w:rPr>
                <w:rFonts w:ascii="Verdana" w:eastAsia="Calibri" w:hAnsi="Verdana" w:cs="Arial"/>
                <w:lang w:val="es-ES_tradnl" w:eastAsia="es-ES_tradnl"/>
              </w:rPr>
              <w:t xml:space="preserve">               </w:t>
            </w:r>
          </w:p>
        </w:tc>
        <w:tc>
          <w:tcPr>
            <w:tcW w:w="6100" w:type="dxa"/>
          </w:tcPr>
          <w:p w14:paraId="0F5FBC60" w14:textId="77777777" w:rsidR="006D2049" w:rsidRPr="00F47E0F" w:rsidRDefault="006D2049" w:rsidP="008140C1">
            <w:pPr>
              <w:jc w:val="both"/>
              <w:rPr>
                <w:rFonts w:ascii="Verdana" w:eastAsia="Calibri" w:hAnsi="Verdana" w:cs="Arial"/>
                <w:lang w:val="es-ES_tradnl" w:eastAsia="es-ES_tradnl"/>
              </w:rPr>
            </w:pPr>
            <w:r w:rsidRPr="00F47E0F">
              <w:rPr>
                <w:rFonts w:ascii="Verdana" w:eastAsia="Calibri" w:hAnsi="Verdana" w:cs="Arial"/>
                <w:lang w:val="es-ES_tradnl" w:eastAsia="es-ES_tradnl"/>
              </w:rPr>
              <w:t xml:space="preserve">Respuesta a consulta con radicado No. </w:t>
            </w:r>
            <w:r w:rsidRPr="00AD1DA0">
              <w:rPr>
                <w:rFonts w:ascii="Verdana" w:eastAsia="Calibri" w:hAnsi="Verdana" w:cs="Arial"/>
                <w:lang w:val="es-ES_tradnl" w:eastAsia="es-ES_tradnl"/>
              </w:rPr>
              <w:t>1_2026_09_11_012143</w:t>
            </w:r>
          </w:p>
        </w:tc>
      </w:tr>
    </w:tbl>
    <w:p w14:paraId="7F708E3D" w14:textId="77777777" w:rsidR="006D2049" w:rsidRPr="00F47E0F" w:rsidRDefault="006D2049" w:rsidP="006D2049">
      <w:pPr>
        <w:spacing w:after="0" w:line="240" w:lineRule="auto"/>
        <w:jc w:val="both"/>
        <w:rPr>
          <w:rFonts w:ascii="Verdana" w:eastAsia="Calibri" w:hAnsi="Verdana" w:cs="Arial"/>
          <w:lang w:val="es-ES_tradnl" w:eastAsia="es-ES_tradnl"/>
        </w:rPr>
      </w:pPr>
    </w:p>
    <w:p w14:paraId="1C0DC574" w14:textId="77777777" w:rsidR="006D2049" w:rsidRPr="00F47E0F" w:rsidRDefault="006D2049" w:rsidP="006D2049">
      <w:pPr>
        <w:spacing w:after="0" w:line="240" w:lineRule="auto"/>
        <w:jc w:val="both"/>
        <w:rPr>
          <w:rFonts w:ascii="Verdana" w:eastAsia="Calibri" w:hAnsi="Verdana" w:cs="Arial"/>
          <w:lang w:val="es-ES_tradnl" w:eastAsia="es-ES_tradnl"/>
        </w:rPr>
      </w:pPr>
    </w:p>
    <w:p w14:paraId="575CC064" w14:textId="77777777" w:rsidR="006D2049" w:rsidRPr="00F47E0F" w:rsidRDefault="006D2049" w:rsidP="006D2049">
      <w:pPr>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Estimad</w:t>
      </w:r>
      <w:r>
        <w:rPr>
          <w:rFonts w:ascii="Verdana" w:eastAsia="Calibri" w:hAnsi="Verdana" w:cs="Arial"/>
          <w:lang w:val="es-ES" w:eastAsia="es-ES"/>
        </w:rPr>
        <w:t>a</w:t>
      </w:r>
      <w:r w:rsidRPr="00F47E0F">
        <w:rPr>
          <w:rFonts w:ascii="Verdana" w:eastAsia="Calibri" w:hAnsi="Verdana" w:cs="Arial"/>
          <w:lang w:val="es-ES" w:eastAsia="es-ES"/>
        </w:rPr>
        <w:t xml:space="preserve"> señor</w:t>
      </w:r>
      <w:r>
        <w:rPr>
          <w:rFonts w:ascii="Verdana" w:eastAsia="Calibri" w:hAnsi="Verdana" w:cs="Arial"/>
          <w:lang w:val="es-ES" w:eastAsia="es-ES"/>
        </w:rPr>
        <w:t>a</w:t>
      </w:r>
      <w:r w:rsidRPr="00F47E0F">
        <w:rPr>
          <w:rFonts w:ascii="Verdana" w:eastAsia="Calibri" w:hAnsi="Verdana" w:cs="Arial"/>
          <w:lang w:val="es-ES" w:eastAsia="es-ES"/>
        </w:rPr>
        <w:t xml:space="preserve"> </w:t>
      </w:r>
      <w:r>
        <w:rPr>
          <w:rFonts w:ascii="Verdana" w:eastAsia="Calibri" w:hAnsi="Verdana" w:cs="Arial"/>
          <w:lang w:val="es-ES" w:eastAsia="es-ES"/>
        </w:rPr>
        <w:t>Gómez</w:t>
      </w:r>
      <w:r w:rsidRPr="00F47E0F">
        <w:rPr>
          <w:rFonts w:ascii="Verdana" w:eastAsia="Calibri" w:hAnsi="Verdana" w:cs="Arial"/>
          <w:lang w:val="es-ES" w:eastAsia="es-ES"/>
        </w:rPr>
        <w:t xml:space="preserve">: </w:t>
      </w:r>
    </w:p>
    <w:p w14:paraId="1C4DA096" w14:textId="77777777" w:rsidR="006D2049" w:rsidRPr="00F47E0F" w:rsidRDefault="006D2049" w:rsidP="006D2049">
      <w:pPr>
        <w:tabs>
          <w:tab w:val="left" w:pos="3768"/>
        </w:tabs>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ab/>
      </w:r>
    </w:p>
    <w:p w14:paraId="69164F51" w14:textId="77777777" w:rsidR="006D2049" w:rsidRPr="00F47E0F" w:rsidRDefault="006D2049" w:rsidP="006D2049">
      <w:pPr>
        <w:spacing w:after="0" w:line="276" w:lineRule="auto"/>
        <w:jc w:val="both"/>
        <w:rPr>
          <w:rFonts w:ascii="Verdana" w:eastAsia="Calibri" w:hAnsi="Verdana" w:cs="Arial"/>
          <w:lang w:val="es-ES" w:eastAsia="es-ES"/>
        </w:rPr>
      </w:pPr>
      <w:r w:rsidRPr="00440A20">
        <w:rPr>
          <w:rFonts w:ascii="Verdana" w:eastAsia="Calibri" w:hAnsi="Verdana" w:cs="Arial"/>
          <w:lang w:val="es-ES" w:eastAsia="es-ES"/>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w:t>
      </w:r>
      <w:r>
        <w:rPr>
          <w:rFonts w:ascii="Verdana" w:eastAsia="Calibri" w:hAnsi="Verdana" w:cs="Arial"/>
          <w:lang w:val="es-ES" w:eastAsia="es-ES"/>
        </w:rPr>
        <w:t>R</w:t>
      </w:r>
      <w:r w:rsidRPr="00440A20">
        <w:rPr>
          <w:rFonts w:ascii="Verdana" w:eastAsia="Calibri" w:hAnsi="Verdana" w:cs="Arial"/>
          <w:lang w:val="es-ES" w:eastAsia="es-ES"/>
        </w:rPr>
        <w:t xml:space="preserve">esolución </w:t>
      </w:r>
      <w:proofErr w:type="spellStart"/>
      <w:r w:rsidRPr="00440A20">
        <w:rPr>
          <w:rFonts w:ascii="Verdana" w:eastAsia="Calibri" w:hAnsi="Verdana" w:cs="Arial"/>
          <w:lang w:val="es-ES" w:eastAsia="es-ES"/>
        </w:rPr>
        <w:t>N°</w:t>
      </w:r>
      <w:proofErr w:type="spellEnd"/>
      <w:r w:rsidRPr="00440A20">
        <w:rPr>
          <w:rFonts w:ascii="Verdana" w:eastAsia="Calibri" w:hAnsi="Verdana" w:cs="Arial"/>
          <w:lang w:val="es-ES" w:eastAsia="es-ES"/>
        </w:rPr>
        <w:t xml:space="preserve"> 469 del 2025 expedida por esta Agencia, responde su solicitud de consulta del</w:t>
      </w:r>
      <w:r>
        <w:rPr>
          <w:rFonts w:ascii="Verdana" w:eastAsia="Calibri" w:hAnsi="Verdana" w:cs="Arial"/>
          <w:lang w:val="es-ES" w:eastAsia="es-ES"/>
        </w:rPr>
        <w:t xml:space="preserve"> 11</w:t>
      </w:r>
      <w:r w:rsidRPr="00440A20">
        <w:rPr>
          <w:rFonts w:ascii="Verdana" w:eastAsia="Calibri" w:hAnsi="Verdana" w:cs="Arial"/>
          <w:lang w:val="es-ES" w:eastAsia="es-ES"/>
        </w:rPr>
        <w:t xml:space="preserve"> de septiembre de 2026, en la cual manifiesta lo siguiente</w:t>
      </w:r>
      <w:r w:rsidRPr="00F47E0F">
        <w:rPr>
          <w:rFonts w:ascii="Verdana" w:eastAsia="Calibri" w:hAnsi="Verdana" w:cs="Arial"/>
          <w:lang w:val="es-ES" w:eastAsia="es-ES"/>
        </w:rPr>
        <w:t xml:space="preserve">: </w:t>
      </w:r>
    </w:p>
    <w:p w14:paraId="17EDB271" w14:textId="77777777" w:rsidR="006D2049" w:rsidRPr="00F47E0F" w:rsidRDefault="006D2049" w:rsidP="006D2049">
      <w:pPr>
        <w:spacing w:after="0" w:line="240" w:lineRule="auto"/>
        <w:ind w:left="709" w:right="709"/>
        <w:jc w:val="both"/>
        <w:rPr>
          <w:rFonts w:ascii="Verdana" w:eastAsia="Century Gothic" w:hAnsi="Verdana" w:cs="Century Gothic"/>
          <w:sz w:val="20"/>
          <w:szCs w:val="20"/>
          <w:lang w:val="es-ES"/>
        </w:rPr>
      </w:pPr>
      <w:bookmarkStart w:id="0" w:name="_Hlk95313578"/>
    </w:p>
    <w:p w14:paraId="14E34EA1" w14:textId="77777777" w:rsidR="006D2049" w:rsidRDefault="006D2049" w:rsidP="006D2049">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w:t>
      </w:r>
      <w:bookmarkEnd w:id="0"/>
      <w:r w:rsidRPr="00B12BF7">
        <w:rPr>
          <w:rFonts w:ascii="Verdana" w:eastAsia="Century Gothic" w:hAnsi="Verdana" w:cs="Century Gothic"/>
          <w:sz w:val="20"/>
          <w:szCs w:val="20"/>
          <w:lang w:val="es-ES"/>
        </w:rPr>
        <w:t>1. ¿Cuál es la modalidad de selección aplicable a la contratación, por parte de una entidad estatal sometida al Estatuto General de Contratación de la Administración Pública, de una suscripción institucional a una plataforma digital ofrecida directamente por su titular?</w:t>
      </w:r>
    </w:p>
    <w:p w14:paraId="6F4C2517" w14:textId="77777777" w:rsidR="006D2049" w:rsidRPr="00854C4E" w:rsidRDefault="006D2049" w:rsidP="006D2049">
      <w:pPr>
        <w:spacing w:after="0" w:line="240" w:lineRule="auto"/>
        <w:ind w:left="709" w:right="709"/>
        <w:jc w:val="both"/>
        <w:rPr>
          <w:rFonts w:ascii="Verdana" w:hAnsi="Verdana" w:cs="Arial"/>
          <w:sz w:val="20"/>
          <w:szCs w:val="20"/>
          <w:shd w:val="clear" w:color="auto" w:fill="FFFFFF"/>
          <w:lang w:val="es-MX"/>
        </w:rPr>
      </w:pPr>
      <w:r w:rsidRPr="00854C4E">
        <w:rPr>
          <w:rFonts w:ascii="Verdana" w:hAnsi="Verdana" w:cs="Arial"/>
          <w:sz w:val="20"/>
          <w:szCs w:val="20"/>
          <w:shd w:val="clear" w:color="auto" w:fill="FFFFFF"/>
          <w:lang w:val="es-MX"/>
        </w:rPr>
        <w:lastRenderedPageBreak/>
        <w:t>2. Teniendo en cuenta que la contratación corresponde a una suscripción digital estandarizada, cuyo acceso y prestación se realiza directamente a través de la plataforma tecnológica de su titular, ¿cómo deben cumplirse las obligaciones de publicidad aplicables en el SECOP?</w:t>
      </w:r>
    </w:p>
    <w:p w14:paraId="5737E2CF" w14:textId="77777777" w:rsidR="006D2049" w:rsidRPr="00854C4E" w:rsidRDefault="006D2049" w:rsidP="006D2049">
      <w:pPr>
        <w:spacing w:after="0" w:line="240" w:lineRule="auto"/>
        <w:ind w:left="709" w:right="709"/>
        <w:jc w:val="both"/>
        <w:rPr>
          <w:rFonts w:ascii="Verdana" w:hAnsi="Verdana" w:cs="Arial"/>
          <w:sz w:val="20"/>
          <w:szCs w:val="20"/>
          <w:shd w:val="clear" w:color="auto" w:fill="FFFFFF"/>
          <w:lang w:val="es-MX"/>
        </w:rPr>
      </w:pPr>
      <w:r w:rsidRPr="00854C4E">
        <w:rPr>
          <w:rFonts w:ascii="Verdana" w:hAnsi="Verdana" w:cs="Arial"/>
          <w:sz w:val="20"/>
          <w:szCs w:val="20"/>
          <w:shd w:val="clear" w:color="auto" w:fill="FFFFFF"/>
          <w:lang w:val="es-MX"/>
        </w:rPr>
        <w:t>3. En particular, ¿es necesario publicar en el SECOP una invitación o convocatoria previa para efectos de contratar una suscripción de estas características, aun cuando la entidad considere procedente acudir a la modalidad de contratación directa?</w:t>
      </w:r>
    </w:p>
    <w:p w14:paraId="1604F7FE" w14:textId="77777777" w:rsidR="006D2049" w:rsidRPr="00F47E0F" w:rsidRDefault="006D2049" w:rsidP="006D2049">
      <w:pPr>
        <w:spacing w:after="0" w:line="240" w:lineRule="auto"/>
        <w:ind w:left="709" w:right="709"/>
        <w:jc w:val="both"/>
        <w:rPr>
          <w:rFonts w:ascii="Verdana" w:hAnsi="Verdana" w:cs="Arial"/>
          <w:sz w:val="20"/>
          <w:szCs w:val="20"/>
          <w:shd w:val="clear" w:color="auto" w:fill="FFFFFF"/>
          <w:lang w:val="es-MX"/>
        </w:rPr>
      </w:pPr>
      <w:r w:rsidRPr="00854C4E">
        <w:rPr>
          <w:rFonts w:ascii="Verdana" w:hAnsi="Verdana" w:cs="Arial"/>
          <w:sz w:val="20"/>
          <w:szCs w:val="20"/>
          <w:shd w:val="clear" w:color="auto" w:fill="FFFFFF"/>
          <w:lang w:val="es-MX"/>
        </w:rPr>
        <w:t>4. En caso de resultar procedente la contratación directa, ¿cuál sería el</w:t>
      </w:r>
      <w:r>
        <w:rPr>
          <w:rFonts w:ascii="Verdana" w:hAnsi="Verdana" w:cs="Arial"/>
          <w:sz w:val="20"/>
          <w:szCs w:val="20"/>
          <w:shd w:val="clear" w:color="auto" w:fill="FFFFFF"/>
          <w:lang w:val="es-MX"/>
        </w:rPr>
        <w:t xml:space="preserve"> </w:t>
      </w:r>
      <w:r w:rsidRPr="00854C4E">
        <w:rPr>
          <w:rFonts w:ascii="Verdana" w:hAnsi="Verdana" w:cs="Arial"/>
          <w:sz w:val="20"/>
          <w:szCs w:val="20"/>
          <w:shd w:val="clear" w:color="auto" w:fill="FFFFFF"/>
          <w:lang w:val="es-MX"/>
        </w:rPr>
        <w:t>procedimiento aplicable para documentar y formalizar la adquisición de este tipo de suscripción, incluyendo los documentos que deben incorporarse al expediente contractual y aquellos que deban publicarse en el SECOP?</w:t>
      </w:r>
      <w:r w:rsidRPr="00F47E0F">
        <w:rPr>
          <w:rFonts w:ascii="Verdana" w:hAnsi="Verdana" w:cs="Arial"/>
          <w:sz w:val="20"/>
          <w:szCs w:val="20"/>
          <w:shd w:val="clear" w:color="auto" w:fill="FFFFFF"/>
          <w:lang w:val="es-MX"/>
        </w:rPr>
        <w:t>”.</w:t>
      </w:r>
    </w:p>
    <w:p w14:paraId="57AA881D" w14:textId="77777777" w:rsidR="006D2049" w:rsidRPr="00F47E0F" w:rsidRDefault="006D2049" w:rsidP="006D2049">
      <w:pPr>
        <w:spacing w:after="120" w:line="276" w:lineRule="auto"/>
        <w:ind w:firstLine="709"/>
        <w:jc w:val="both"/>
        <w:rPr>
          <w:rFonts w:ascii="Verdana" w:eastAsia="Calibri" w:hAnsi="Verdana" w:cs="Arial"/>
          <w:lang w:val="es-ES" w:eastAsia="es-ES"/>
        </w:rPr>
      </w:pPr>
    </w:p>
    <w:p w14:paraId="4434AD42" w14:textId="77777777" w:rsidR="006D2049" w:rsidRPr="00F47E0F" w:rsidRDefault="006D2049" w:rsidP="006D2049">
      <w:pPr>
        <w:spacing w:after="120" w:line="276" w:lineRule="auto"/>
        <w:ind w:firstLine="709"/>
        <w:jc w:val="both"/>
        <w:rPr>
          <w:rFonts w:ascii="Verdana" w:eastAsia="Calibri" w:hAnsi="Verdana" w:cs="Arial"/>
          <w:szCs w:val="24"/>
          <w:lang w:val="es-ES_tradnl" w:eastAsia="es-ES_tradnl"/>
        </w:rPr>
      </w:pPr>
      <w:r w:rsidRPr="00F47E0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47E0F">
        <w:rPr>
          <w:rFonts w:ascii="Verdana" w:eastAsia="Calibri" w:hAnsi="Verdana" w:cs="Arial"/>
          <w:szCs w:val="24"/>
          <w:lang w:val="es-ES_tradnl" w:eastAsia="es-ES_tradnl"/>
        </w:rPr>
        <w:tab/>
      </w:r>
    </w:p>
    <w:p w14:paraId="33E785F5" w14:textId="77777777" w:rsidR="006D2049" w:rsidRPr="00F47E0F" w:rsidRDefault="006D2049" w:rsidP="006D2049">
      <w:pPr>
        <w:spacing w:after="0" w:line="276" w:lineRule="auto"/>
        <w:ind w:firstLine="709"/>
        <w:jc w:val="both"/>
        <w:rPr>
          <w:rFonts w:ascii="Verdana" w:eastAsia="Calibri" w:hAnsi="Verdana" w:cs="Arial"/>
          <w:lang w:val="es-ES" w:eastAsia="es-ES"/>
        </w:rPr>
      </w:pPr>
      <w:r w:rsidRPr="00F47E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el</w:t>
      </w:r>
      <w:r w:rsidRPr="00F47E0F">
        <w:rPr>
          <w:rFonts w:ascii="Verdana" w:eastAsia="Calibri" w:hAnsi="Verdana" w:cs="Arial"/>
          <w:lang w:val="es-ES" w:eastAsia="es-ES"/>
        </w:rPr>
        <w:t xml:space="preserve"> problema jurídico de su consulta. </w:t>
      </w:r>
    </w:p>
    <w:p w14:paraId="540ADEB2" w14:textId="77777777" w:rsidR="006D2049" w:rsidRPr="00F47E0F" w:rsidRDefault="006D2049" w:rsidP="006D2049">
      <w:pPr>
        <w:spacing w:after="0" w:line="276" w:lineRule="auto"/>
        <w:ind w:firstLine="709"/>
        <w:jc w:val="both"/>
        <w:rPr>
          <w:rFonts w:ascii="Verdana" w:eastAsia="Calibri" w:hAnsi="Verdana" w:cs="Arial"/>
          <w:lang w:val="es-ES" w:eastAsia="es-ES"/>
        </w:rPr>
      </w:pPr>
    </w:p>
    <w:p w14:paraId="400E3293" w14:textId="77777777" w:rsidR="006D2049" w:rsidRPr="00F47E0F" w:rsidRDefault="006D2049" w:rsidP="006D2049">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F47E0F">
        <w:rPr>
          <w:rFonts w:ascii="Verdana" w:eastAsia="Century Gothic" w:hAnsi="Verdana" w:cs="Century Gothic"/>
          <w:b/>
          <w:bCs/>
          <w:lang w:val="es-ES"/>
        </w:rPr>
        <w:t>Problema</w:t>
      </w:r>
      <w:r>
        <w:rPr>
          <w:rFonts w:ascii="Verdana" w:eastAsia="Century Gothic" w:hAnsi="Verdana" w:cs="Century Gothic"/>
          <w:b/>
          <w:bCs/>
          <w:lang w:val="es-ES"/>
        </w:rPr>
        <w:t xml:space="preserve"> </w:t>
      </w:r>
      <w:r w:rsidRPr="00F47E0F">
        <w:rPr>
          <w:rFonts w:ascii="Verdana" w:eastAsia="Century Gothic" w:hAnsi="Verdana" w:cs="Century Gothic"/>
          <w:b/>
          <w:bCs/>
          <w:lang w:val="es-ES"/>
        </w:rPr>
        <w:t>planteado:</w:t>
      </w:r>
    </w:p>
    <w:p w14:paraId="7BB6F80E" w14:textId="77777777" w:rsidR="006D2049" w:rsidRPr="00F47E0F" w:rsidRDefault="006D2049" w:rsidP="006D2049">
      <w:pPr>
        <w:tabs>
          <w:tab w:val="left" w:pos="426"/>
        </w:tabs>
        <w:spacing w:after="0" w:line="276" w:lineRule="auto"/>
        <w:jc w:val="both"/>
        <w:rPr>
          <w:rFonts w:ascii="Verdana" w:eastAsia="Century Gothic" w:hAnsi="Verdana" w:cs="Century Gothic"/>
          <w:lang w:val="es-ES"/>
        </w:rPr>
      </w:pPr>
    </w:p>
    <w:p w14:paraId="35573C4E" w14:textId="77777777" w:rsidR="006D2049" w:rsidRPr="00F47E0F" w:rsidRDefault="006D2049" w:rsidP="006D2049">
      <w:pPr>
        <w:spacing w:after="0" w:line="276" w:lineRule="auto"/>
        <w:jc w:val="both"/>
        <w:rPr>
          <w:rFonts w:ascii="Verdana" w:eastAsia="Century Gothic" w:hAnsi="Verdana" w:cs="Century Gothic"/>
        </w:rPr>
      </w:pPr>
      <w:r w:rsidRPr="00F47E0F">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F47E0F">
        <w:rPr>
          <w:rFonts w:ascii="Verdana" w:eastAsia="Century Gothic" w:hAnsi="Verdana" w:cs="Century Gothic"/>
        </w:rPr>
        <w:t xml:space="preserve"> siguiente problema jurídico:</w:t>
      </w:r>
      <w:r>
        <w:rPr>
          <w:rFonts w:ascii="Verdana" w:eastAsia="Century Gothic" w:hAnsi="Verdana" w:cs="Century Gothic"/>
        </w:rPr>
        <w:t xml:space="preserve"> </w:t>
      </w:r>
      <w:r w:rsidRPr="00F47E0F">
        <w:rPr>
          <w:rFonts w:ascii="Verdana" w:eastAsia="Century Gothic" w:hAnsi="Verdana" w:cs="Century Gothic"/>
        </w:rPr>
        <w:t xml:space="preserve">¿Cómo se </w:t>
      </w:r>
      <w:r>
        <w:rPr>
          <w:rFonts w:ascii="Verdana" w:eastAsia="Century Gothic" w:hAnsi="Verdana" w:cs="Century Gothic"/>
        </w:rPr>
        <w:t xml:space="preserve">contrata una </w:t>
      </w:r>
      <w:r w:rsidRPr="0012745E">
        <w:rPr>
          <w:rFonts w:ascii="Verdana" w:eastAsia="Century Gothic" w:hAnsi="Verdana" w:cs="Century Gothic"/>
        </w:rPr>
        <w:t>plataforma digital ofrecida directamente por su titular</w:t>
      </w:r>
      <w:r>
        <w:rPr>
          <w:rFonts w:ascii="Verdana" w:eastAsia="Century Gothic" w:hAnsi="Verdana" w:cs="Century Gothic"/>
        </w:rPr>
        <w:t>?</w:t>
      </w:r>
    </w:p>
    <w:p w14:paraId="6EB142B1" w14:textId="77777777" w:rsidR="006D2049" w:rsidRPr="00D53E5D" w:rsidRDefault="006D2049" w:rsidP="006D2049">
      <w:pPr>
        <w:spacing w:after="0" w:line="276" w:lineRule="auto"/>
        <w:jc w:val="both"/>
        <w:rPr>
          <w:rFonts w:ascii="Verdana" w:eastAsia="Calibri" w:hAnsi="Verdana" w:cs="Arial"/>
        </w:rPr>
      </w:pPr>
    </w:p>
    <w:p w14:paraId="21586FA5" w14:textId="77777777" w:rsidR="006D2049" w:rsidRPr="00F47E0F" w:rsidRDefault="006D2049" w:rsidP="006D204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lastRenderedPageBreak/>
        <w:t>Respuesta:</w:t>
      </w:r>
    </w:p>
    <w:p w14:paraId="58BFE3C8" w14:textId="77777777" w:rsidR="006D2049" w:rsidRPr="00F47E0F" w:rsidRDefault="006D2049" w:rsidP="006D204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2049" w:rsidRPr="00F47E0F" w14:paraId="6318D150" w14:textId="77777777" w:rsidTr="008140C1">
        <w:tc>
          <w:tcPr>
            <w:tcW w:w="8828" w:type="dxa"/>
          </w:tcPr>
          <w:p w14:paraId="54925D80" w14:textId="77777777" w:rsidR="006D2049" w:rsidRDefault="006D2049" w:rsidP="008140C1">
            <w:pPr>
              <w:spacing w:after="120" w:line="276" w:lineRule="auto"/>
              <w:ind w:left="28"/>
              <w:jc w:val="both"/>
              <w:rPr>
                <w:rFonts w:ascii="Verdana" w:eastAsia="Calibri" w:hAnsi="Verdana" w:cs="Arial"/>
                <w:color w:val="000000" w:themeColor="text1"/>
              </w:rPr>
            </w:pPr>
            <w:r w:rsidRPr="00911AD2">
              <w:rPr>
                <w:rFonts w:ascii="Verdana" w:eastAsia="Calibri" w:hAnsi="Verdana" w:cs="Arial"/>
                <w:color w:val="000000" w:themeColor="text1"/>
              </w:rPr>
              <w:t xml:space="preserve">La norma vigente para interpretar el alcance de la causal de contratación directa dispuesta en el artículo 2, numeral 4, literal g), de la Ley 1150 de 2007 está compilada en el artículo 2.2.1.2.1.4.8 del Decreto 1082 de 2015, el cual dispone lo siguiente: “Artículo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w:t>
            </w:r>
          </w:p>
          <w:p w14:paraId="0E19DC48" w14:textId="77777777" w:rsidR="006D2049" w:rsidRDefault="006D2049" w:rsidP="008140C1">
            <w:pPr>
              <w:spacing w:after="120" w:line="276" w:lineRule="auto"/>
              <w:ind w:left="28" w:firstLine="709"/>
              <w:jc w:val="both"/>
              <w:rPr>
                <w:rFonts w:ascii="Verdana" w:eastAsia="Calibri" w:hAnsi="Verdana" w:cs="Arial"/>
                <w:color w:val="000000" w:themeColor="text1"/>
              </w:rPr>
            </w:pPr>
            <w:r w:rsidRPr="00911AD2">
              <w:rPr>
                <w:rFonts w:ascii="Verdana" w:eastAsia="Calibri" w:hAnsi="Verdana" w:cs="Arial"/>
                <w:color w:val="000000" w:themeColor="text1"/>
              </w:rPr>
              <w:t>Estas circunstancias deben constar en el estudio previo que soporta la contratación.”</w:t>
            </w:r>
            <w:r>
              <w:rPr>
                <w:rFonts w:ascii="Verdana" w:eastAsia="Calibri" w:hAnsi="Verdana" w:cs="Arial"/>
                <w:color w:val="000000" w:themeColor="text1"/>
              </w:rPr>
              <w:t xml:space="preserve"> L</w:t>
            </w:r>
            <w:r w:rsidRPr="009A68AF">
              <w:rPr>
                <w:rFonts w:ascii="Verdana" w:eastAsia="Calibri" w:hAnsi="Verdana" w:cs="Arial"/>
                <w:color w:val="000000" w:themeColor="text1"/>
              </w:rPr>
              <w:t xml:space="preserve">a norma consagra dos (2) hipótesis. </w:t>
            </w:r>
          </w:p>
          <w:p w14:paraId="11247566" w14:textId="77777777" w:rsidR="006D2049" w:rsidRDefault="006D2049" w:rsidP="008140C1">
            <w:pPr>
              <w:spacing w:after="120" w:line="276" w:lineRule="auto"/>
              <w:ind w:left="28" w:firstLine="709"/>
              <w:jc w:val="both"/>
              <w:rPr>
                <w:rFonts w:ascii="Verdana" w:eastAsia="Calibri" w:hAnsi="Verdana" w:cs="Arial"/>
                <w:color w:val="000000" w:themeColor="text1"/>
              </w:rPr>
            </w:pPr>
            <w:r w:rsidRPr="009A68AF">
              <w:rPr>
                <w:rFonts w:ascii="Verdana" w:eastAsia="Calibri" w:hAnsi="Verdana" w:cs="Arial"/>
                <w:i/>
                <w:iCs/>
                <w:color w:val="000000" w:themeColor="text1"/>
              </w:rPr>
              <w:t>En primer lugar</w:t>
            </w:r>
            <w:r w:rsidRPr="009A68AF">
              <w:rPr>
                <w:rFonts w:ascii="Verdana" w:eastAsia="Calibri" w:hAnsi="Verdana" w:cs="Arial"/>
                <w:color w:val="000000" w:themeColor="text1"/>
              </w:rPr>
              <w:t>, no existe pluralidad</w:t>
            </w:r>
            <w:r>
              <w:rPr>
                <w:rFonts w:ascii="Verdana" w:eastAsia="Calibri" w:hAnsi="Verdana" w:cs="Arial"/>
                <w:color w:val="000000" w:themeColor="text1"/>
              </w:rPr>
              <w:t xml:space="preserve"> de oferentes cuando                                                                                                                                                                                                                                                                                                                                                                                                                                 s</w:t>
            </w:r>
            <w:r w:rsidRPr="009A68AF">
              <w:rPr>
                <w:rFonts w:ascii="Verdana" w:eastAsia="Calibri" w:hAnsi="Verdana" w:cs="Arial"/>
                <w:color w:val="000000" w:themeColor="text1"/>
              </w:rPr>
              <w:t xml:space="preserve">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3EB88938" w14:textId="77777777" w:rsidR="006D2049" w:rsidRDefault="006D2049" w:rsidP="008140C1">
            <w:pPr>
              <w:spacing w:after="120" w:line="276" w:lineRule="auto"/>
              <w:ind w:firstLine="708"/>
              <w:jc w:val="both"/>
              <w:rPr>
                <w:rFonts w:ascii="Verdana" w:eastAsia="Calibri" w:hAnsi="Verdana" w:cs="Arial"/>
                <w:color w:val="000000" w:themeColor="text1"/>
              </w:rPr>
            </w:pPr>
            <w:r w:rsidRPr="009A68AF">
              <w:rPr>
                <w:rFonts w:ascii="Verdana" w:eastAsia="Calibri" w:hAnsi="Verdana" w:cs="Arial"/>
                <w:i/>
                <w:iCs/>
                <w:color w:val="000000" w:themeColor="text1"/>
              </w:rPr>
              <w:t>En segundo lugar</w:t>
            </w:r>
            <w:r w:rsidRPr="009A68AF">
              <w:rPr>
                <w:rFonts w:ascii="Verdana" w:eastAsia="Calibri" w:hAnsi="Verdana" w:cs="Arial"/>
                <w:color w:val="000000" w:themeColor="text1"/>
              </w:rPr>
              <w:t>,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14:paraId="487507E7" w14:textId="77777777" w:rsidR="006D2049" w:rsidRDefault="006D2049" w:rsidP="008140C1">
            <w:pPr>
              <w:spacing w:after="120" w:line="276" w:lineRule="auto"/>
              <w:ind w:firstLine="708"/>
              <w:jc w:val="both"/>
              <w:rPr>
                <w:rFonts w:ascii="Verdana" w:eastAsia="Calibri" w:hAnsi="Verdana" w:cs="Arial"/>
                <w:color w:val="000000" w:themeColor="text1"/>
              </w:rPr>
            </w:pPr>
            <w:r w:rsidRPr="009A68AF">
              <w:rPr>
                <w:rFonts w:ascii="Verdana" w:eastAsia="Calibri" w:hAnsi="Verdana" w:cs="Arial"/>
                <w:color w:val="000000" w:themeColor="text1"/>
              </w:rPr>
              <w:t xml:space="preserve">Fuera de estas dos (2) situaciones, no es posible aplicar el artículo 2, numeral 4, literal g), de la Ley 1150 de 2007, ya que las normas citadas integran una causal de contratación directa que excepciona los mecanismos de selección objetiva por convocatoria pública definidos en el Estatuto General </w:t>
            </w:r>
            <w:r w:rsidRPr="009A68AF">
              <w:rPr>
                <w:rFonts w:ascii="Verdana" w:eastAsia="Calibri" w:hAnsi="Verdana" w:cs="Arial"/>
                <w:color w:val="000000" w:themeColor="text1"/>
              </w:rPr>
              <w:lastRenderedPageBreak/>
              <w:t>de Contratación de la Administración Pública, por lo que se interpretan restrictivamente, es decir, conforme al tenor literal de las normas.</w:t>
            </w:r>
          </w:p>
          <w:p w14:paraId="4CBD0B99" w14:textId="6CCB349B" w:rsidR="006D2049" w:rsidRDefault="006D2049" w:rsidP="008140C1">
            <w:pPr>
              <w:spacing w:after="120" w:line="276" w:lineRule="auto"/>
              <w:ind w:firstLine="709"/>
              <w:jc w:val="both"/>
              <w:rPr>
                <w:rFonts w:ascii="Verdana" w:eastAsia="Calibri" w:hAnsi="Verdana" w:cs="Arial"/>
              </w:rPr>
            </w:pPr>
            <w:r w:rsidRPr="00783D3F">
              <w:rPr>
                <w:rFonts w:ascii="Verdana" w:eastAsia="Calibri" w:hAnsi="Verdana" w:cs="Arial"/>
              </w:rPr>
              <w:t>Por lo anterior, en consideración a que el artículo 2, numeral 4, literal g) de la Ley 1150 de 2007 consagra como causal de contratación directa la inexistencia de pluralidad de oferentes en el mercado</w:t>
            </w:r>
            <w:r w:rsidR="00B54CE1">
              <w:rPr>
                <w:rFonts w:ascii="Verdana" w:eastAsia="Calibri" w:hAnsi="Verdana" w:cs="Arial"/>
              </w:rPr>
              <w:t xml:space="preserve">. </w:t>
            </w:r>
            <w:r w:rsidR="00B54CE1" w:rsidRPr="004E5908">
              <w:rPr>
                <w:rFonts w:ascii="Verdana" w:eastAsia="Calibri" w:hAnsi="Verdana" w:cs="Arial"/>
              </w:rPr>
              <w:t>La contratación directa podrá resultar procedente cuando la entidad, durante la etapa de planeación, verifique y justifique que se configura alguna de las hipótesis previstas en el artículo 2.2.1.2.1.4.8 del Decreto 1082 de 2015.</w:t>
            </w:r>
          </w:p>
          <w:p w14:paraId="72C93BB2" w14:textId="361A7815" w:rsidR="000937DB" w:rsidRDefault="006D2049" w:rsidP="000937DB">
            <w:pPr>
              <w:spacing w:after="120" w:line="276" w:lineRule="auto"/>
              <w:ind w:firstLine="709"/>
              <w:jc w:val="both"/>
              <w:rPr>
                <w:rFonts w:ascii="Verdana" w:eastAsia="Calibri" w:hAnsi="Verdana" w:cs="Arial"/>
              </w:rPr>
            </w:pPr>
            <w:r>
              <w:rPr>
                <w:rFonts w:ascii="Verdana" w:eastAsia="Calibri" w:hAnsi="Verdana" w:cs="Arial"/>
              </w:rPr>
              <w:t xml:space="preserve">Asimismo, respecto de su pregunta sobre si existe invitación en la modalidad de contratación directa, es pertinente aclarar que esta modalidad de selección, respecto de la división de las modalidades de selección del EGCAP en modalidades competitivas y no competitivas, pertenece a una modalidad de selección no competitiva lo cual quiere decir que la entidad no debe contar con varias ofertas ni realizar una invitación pública para que se presenten varios oferentes, </w:t>
            </w:r>
            <w:r w:rsidR="00682A0D">
              <w:rPr>
                <w:rFonts w:ascii="Verdana" w:eastAsia="Calibri" w:hAnsi="Verdana" w:cs="Arial"/>
              </w:rPr>
              <w:t>l</w:t>
            </w:r>
            <w:r w:rsidR="00682A0D" w:rsidRPr="004E5908">
              <w:rPr>
                <w:rFonts w:ascii="Verdana" w:eastAsia="Calibri" w:hAnsi="Verdana" w:cs="Arial"/>
              </w:rPr>
              <w:t>a contratación directa no exige adelantar una convocatoria pública ni obtener pluralidad de ofertas. La entidad puede solicitar al potencial contratista la información o propuesta necesaria para estructurar y formalizar el negocio, sin que ello convierta el procedimiento en una modalidad competitiva</w:t>
            </w:r>
            <w:r>
              <w:rPr>
                <w:rFonts w:ascii="Verdana" w:eastAsia="Calibri" w:hAnsi="Verdana" w:cs="Arial"/>
              </w:rPr>
              <w:t xml:space="preserve">. En todo caso, el procedimiento para la modalidad de contratación directa se encuentra dispuesto en el artículo </w:t>
            </w:r>
            <w:r w:rsidRPr="00A323AB">
              <w:rPr>
                <w:rFonts w:ascii="Verdana" w:eastAsia="Calibri" w:hAnsi="Verdana" w:cs="Arial"/>
              </w:rPr>
              <w:t>2.2.1.2.1.4.1.</w:t>
            </w:r>
            <w:r>
              <w:rPr>
                <w:rFonts w:ascii="Verdana" w:eastAsia="Calibri" w:hAnsi="Verdana" w:cs="Arial"/>
              </w:rPr>
              <w:t xml:space="preserve"> y siguientes del Decreto 1082 de 2015, y está sujeto al principio de publicidad en SECOP de acuerdo con la Ley 1150 de 2007.</w:t>
            </w:r>
          </w:p>
          <w:p w14:paraId="5C3128CF" w14:textId="77777777" w:rsidR="006F43D6" w:rsidRDefault="000937DB" w:rsidP="008140C1">
            <w:pPr>
              <w:spacing w:after="120" w:line="276" w:lineRule="auto"/>
              <w:ind w:firstLine="709"/>
              <w:jc w:val="both"/>
            </w:pPr>
            <w:r w:rsidRPr="004E5908">
              <w:rPr>
                <w:rFonts w:ascii="Verdana" w:eastAsia="Calibri" w:hAnsi="Verdana" w:cs="Arial"/>
              </w:rPr>
              <w:t>Cuando la entidad determine que procede la contratación directa por inexistencia de pluralidad de oferentes, deberá documentar en la etapa de planeación las razones jurídicas y técnicas que sustentan la causal, particularmente la titularidad de los derechos de propiedad industrial o de autor, o la condición de proveedor exclusivo en el territorio nacional. Asimismo, deberán elaborarse los estudios y documentos previos y los demás documentos exigibles conforme al régimen general de contratación directa.</w:t>
            </w:r>
            <w:r w:rsidR="0081125C" w:rsidRPr="004E5908">
              <w:rPr>
                <w:rFonts w:ascii="Verdana" w:eastAsia="Calibri" w:hAnsi="Verdana" w:cs="Arial"/>
              </w:rPr>
              <w:t xml:space="preserve"> De conformidad con el artículo 2.2.1.2.1.4.1 del Decreto 1082 de 2015, la entidad debe expedir el acto administrativo de justificación de la contratación directa, salvo que se encuentre en alguno de los supuestos exceptuados expresamente por el reglamento. En dicho acto debe señalarse la causal invocada, el objeto, el presupuesto y el lugar donde pueden consultarse los estudios y documentos previos, en los términos de la norma.</w:t>
            </w:r>
            <w:r w:rsidR="00704CD1">
              <w:t xml:space="preserve"> </w:t>
            </w:r>
          </w:p>
          <w:p w14:paraId="0FB9C771" w14:textId="60D99D37" w:rsidR="000937DB" w:rsidRDefault="006F43D6" w:rsidP="008140C1">
            <w:pPr>
              <w:spacing w:after="120" w:line="276" w:lineRule="auto"/>
              <w:ind w:firstLine="709"/>
              <w:jc w:val="both"/>
              <w:rPr>
                <w:rFonts w:ascii="Verdana" w:eastAsia="Calibri" w:hAnsi="Verdana" w:cs="Arial"/>
              </w:rPr>
            </w:pPr>
            <w:r w:rsidRPr="004E5908">
              <w:rPr>
                <w:rFonts w:ascii="Verdana" w:eastAsia="Calibri" w:hAnsi="Verdana" w:cs="Arial"/>
              </w:rPr>
              <w:lastRenderedPageBreak/>
              <w:t xml:space="preserve">Por </w:t>
            </w:r>
            <w:r w:rsidR="004E5908" w:rsidRPr="004E5908">
              <w:rPr>
                <w:rFonts w:ascii="Verdana" w:eastAsia="Calibri" w:hAnsi="Verdana" w:cs="Arial"/>
              </w:rPr>
              <w:t>último</w:t>
            </w:r>
            <w:r w:rsidRPr="004E5908">
              <w:rPr>
                <w:rFonts w:ascii="Verdana" w:eastAsia="Calibri" w:hAnsi="Verdana" w:cs="Arial"/>
              </w:rPr>
              <w:t xml:space="preserve"> cabe resaltar que </w:t>
            </w:r>
            <w:r w:rsidR="004E5908" w:rsidRPr="004E5908">
              <w:rPr>
                <w:rFonts w:ascii="Verdana" w:eastAsia="Calibri" w:hAnsi="Verdana" w:cs="Arial"/>
              </w:rPr>
              <w:t>l</w:t>
            </w:r>
            <w:r w:rsidRPr="004E5908">
              <w:rPr>
                <w:rFonts w:ascii="Verdana" w:eastAsia="Calibri" w:hAnsi="Verdana" w:cs="Arial"/>
              </w:rPr>
              <w:t>a contratación directa está sometida al deber de publicidad en SECOP. Conforme al artículo 2.2.1.1.1.7.1 del Decreto 1082 de 2015, deben publicarse los Documentos del Proceso y los actos administrativos dentro de los tres (3) días siguientes a su expedición, sin perjuicio de la operación propia de SECOP II cuando el proceso se gestione transaccionalmente en dicha plataforma. Este deber comprende los documentos expedidos durante las etapas de planeación, celebración, ejecución y demás actuaciones que integren el Proceso de Contratación, con las excepciones legales de reserva o clasificación de información</w:t>
            </w:r>
            <w:r>
              <w:rPr>
                <w:rFonts w:ascii="Verdana" w:eastAsia="Calibri" w:hAnsi="Verdana" w:cs="Arial"/>
              </w:rPr>
              <w:t>.</w:t>
            </w:r>
            <w:r w:rsidR="004E5908">
              <w:rPr>
                <w:rFonts w:ascii="Verdana" w:eastAsia="Calibri" w:hAnsi="Verdana" w:cs="Arial"/>
              </w:rPr>
              <w:t xml:space="preserve"> </w:t>
            </w:r>
            <w:r w:rsidR="00851EEF" w:rsidRPr="004E5908">
              <w:rPr>
                <w:rFonts w:ascii="Verdana" w:eastAsia="Calibri" w:hAnsi="Verdana" w:cs="Arial"/>
              </w:rPr>
              <w:t>La circunstancia de que una plataforma sea ofrecida directamente por su titular no demuestra, por sí sola, la inexistencia de pluralidad de oferentes. La entidad deberá verificar si existen otros sujetos jurídicamente habilitados para suministrar la misma suscripción o prestar el servicio requerido.</w:t>
            </w:r>
          </w:p>
          <w:p w14:paraId="4E77C04B" w14:textId="77777777" w:rsidR="006D2049" w:rsidRPr="004C43A2" w:rsidRDefault="006D2049" w:rsidP="008140C1">
            <w:pPr>
              <w:spacing w:after="120" w:line="276" w:lineRule="auto"/>
              <w:ind w:firstLine="709"/>
              <w:jc w:val="both"/>
              <w:rPr>
                <w:rFonts w:ascii="Verdana" w:eastAsia="Calibri" w:hAnsi="Verdana" w:cs="Arial"/>
              </w:rPr>
            </w:pPr>
            <w:r w:rsidRPr="00F47E0F">
              <w:rPr>
                <w:rFonts w:ascii="Verdana" w:eastAsia="Calibri" w:hAnsi="Verdana" w:cs="Arial"/>
              </w:rPr>
              <w:t xml:space="preserve">Por </w:t>
            </w:r>
            <w:r w:rsidRPr="004E5908">
              <w:rPr>
                <w:rFonts w:ascii="Verdana" w:eastAsia="Calibri" w:hAnsi="Verdana" w:cs="Arial"/>
              </w:rPr>
              <w:t>último</w:t>
            </w:r>
            <w:r w:rsidRPr="00F47E0F">
              <w:rPr>
                <w:rFonts w:ascii="Verdana" w:eastAsia="Calibri" w:hAnsi="Verdana" w:cs="Arial"/>
              </w:rPr>
              <w:t xml:space="preserve">, al margen de la explicación precedente debe advertirse que el análisis requerido para resolver problemas específicos en torno a la gestión contractual de las entidades públicas o para determinar </w:t>
            </w:r>
            <w:r>
              <w:rPr>
                <w:rFonts w:ascii="Verdana" w:eastAsia="Calibri" w:hAnsi="Verdana" w:cs="Arial"/>
              </w:rPr>
              <w:t>la modalidad de selección de un producto que se desea adquirir debe ser</w:t>
            </w:r>
            <w:r w:rsidRPr="00F47E0F">
              <w:rPr>
                <w:rFonts w:ascii="Verdana" w:eastAsia="Calibri" w:hAnsi="Verdana" w:cs="Arial"/>
              </w:rPr>
              <w:t xml:space="preserve"> realizado por quienes tengan interés en ello, de acuerdo con lo explicado en la presente respuesta.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A22E29F" w14:textId="77777777" w:rsidR="006D2049" w:rsidRPr="00F47E0F" w:rsidRDefault="006D2049" w:rsidP="006D2049">
      <w:pPr>
        <w:tabs>
          <w:tab w:val="left" w:pos="142"/>
          <w:tab w:val="left" w:pos="284"/>
        </w:tabs>
        <w:spacing w:after="0" w:line="276" w:lineRule="auto"/>
        <w:jc w:val="both"/>
        <w:rPr>
          <w:rFonts w:ascii="Verdana" w:eastAsia="Century Gothic" w:hAnsi="Verdana" w:cs="Century Gothic"/>
          <w:b/>
          <w:bCs/>
          <w:lang w:val="es-ES"/>
        </w:rPr>
      </w:pPr>
    </w:p>
    <w:p w14:paraId="375CD191" w14:textId="77777777" w:rsidR="006D2049" w:rsidRPr="00F47E0F" w:rsidRDefault="006D2049" w:rsidP="006D204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Razones de las respuestas:</w:t>
      </w:r>
    </w:p>
    <w:p w14:paraId="7EE07F6A" w14:textId="77777777" w:rsidR="006D2049" w:rsidRPr="00F47E0F" w:rsidRDefault="006D2049" w:rsidP="006D2049">
      <w:pPr>
        <w:spacing w:after="0" w:line="276" w:lineRule="auto"/>
        <w:jc w:val="both"/>
        <w:rPr>
          <w:rFonts w:ascii="Verdana" w:eastAsia="Calibri" w:hAnsi="Verdana" w:cs="Arial"/>
          <w:lang w:val="es-ES"/>
        </w:rPr>
      </w:pPr>
    </w:p>
    <w:p w14:paraId="0584FA40" w14:textId="77777777" w:rsidR="006D2049" w:rsidRDefault="006D2049" w:rsidP="006D2049">
      <w:pPr>
        <w:spacing w:after="0" w:line="276" w:lineRule="auto"/>
        <w:jc w:val="both"/>
        <w:rPr>
          <w:rFonts w:ascii="Verdana" w:eastAsia="Calibri" w:hAnsi="Verdana" w:cs="Arial"/>
          <w:lang w:val="es-ES"/>
        </w:rPr>
      </w:pPr>
      <w:r w:rsidRPr="00F47E0F">
        <w:rPr>
          <w:rFonts w:ascii="Verdana" w:eastAsia="Calibri" w:hAnsi="Verdana" w:cs="Arial"/>
          <w:lang w:val="es-ES"/>
        </w:rPr>
        <w:t xml:space="preserve">Lo anterior se sustenta en las siguientes consideraciones: </w:t>
      </w:r>
    </w:p>
    <w:p w14:paraId="59811CB9" w14:textId="77777777" w:rsidR="006D2049" w:rsidRPr="00F47E0F" w:rsidRDefault="006D2049" w:rsidP="006D2049">
      <w:pPr>
        <w:spacing w:after="0" w:line="276" w:lineRule="auto"/>
        <w:jc w:val="both"/>
        <w:rPr>
          <w:rFonts w:ascii="Verdana" w:eastAsia="Calibri" w:hAnsi="Verdana" w:cs="Arial"/>
          <w:lang w:val="es-ES"/>
        </w:rPr>
      </w:pPr>
    </w:p>
    <w:p w14:paraId="4937DD3E" w14:textId="77777777" w:rsidR="006D2049" w:rsidRPr="0041175A" w:rsidRDefault="006D2049" w:rsidP="006D2049">
      <w:pPr>
        <w:spacing w:after="120" w:line="276" w:lineRule="auto"/>
        <w:jc w:val="both"/>
        <w:rPr>
          <w:rFonts w:ascii="Verdana" w:hAnsi="Verdana" w:cs="Arial"/>
          <w:color w:val="000000" w:themeColor="text1"/>
          <w:lang w:val="es-ES"/>
        </w:rPr>
      </w:pPr>
      <w:bookmarkStart w:id="1" w:name="_Hlk45531972"/>
      <w:r w:rsidRPr="17DBBBEB">
        <w:rPr>
          <w:rFonts w:ascii="Verdana" w:hAnsi="Verdana" w:cs="Arial"/>
          <w:color w:val="000000" w:themeColor="text1"/>
          <w:lang w:val="es-ES"/>
        </w:rPr>
        <w:t xml:space="preserve">Si bien la licitación pública es la modalidad de selección que constituye la regla general para las entidades regidas por el Estatuto General de Contratación de la Administración Pública, el numeral 4 del artículo 2 de la Ley 1150 de 2007 consagra algunas excepciones, que atienden a la necesidad de proteger principios como la eficiencia, la eficacia, la economía, la celeridad o la integridad de las personas. Una de las excepciones es la causal de contratación directa </w:t>
      </w:r>
      <w:r w:rsidRPr="17DBBBEB">
        <w:rPr>
          <w:rFonts w:ascii="Verdana" w:hAnsi="Verdana" w:cs="Arial"/>
          <w:color w:val="000000" w:themeColor="text1"/>
          <w:lang w:val="es-ES"/>
        </w:rPr>
        <w:lastRenderedPageBreak/>
        <w:t>prevista en el literal g) del mencionado numeral, que se refiere a la ausencia de pluralidad de oferentes.</w:t>
      </w:r>
      <w:bookmarkEnd w:id="1"/>
    </w:p>
    <w:p w14:paraId="7F2F6CE9" w14:textId="77777777" w:rsidR="006D2049" w:rsidRPr="0041175A" w:rsidRDefault="006D2049" w:rsidP="006D2049">
      <w:pPr>
        <w:spacing w:before="120" w:after="0" w:line="276" w:lineRule="auto"/>
        <w:ind w:firstLine="709"/>
        <w:jc w:val="both"/>
        <w:rPr>
          <w:rFonts w:ascii="Verdana" w:eastAsia="Calibri" w:hAnsi="Verdana" w:cs="Arial"/>
          <w:color w:val="000000" w:themeColor="text1"/>
          <w:lang w:val="es-ES_tradnl"/>
        </w:rPr>
      </w:pPr>
      <w:r w:rsidRPr="0041175A">
        <w:rPr>
          <w:rFonts w:ascii="Verdana" w:hAnsi="Verdana" w:cs="Arial"/>
          <w:color w:val="000000" w:themeColor="text1"/>
          <w:lang w:val="es-ES_tradnl"/>
        </w:rPr>
        <w:t>L</w:t>
      </w:r>
      <w:r w:rsidRPr="0041175A">
        <w:rPr>
          <w:rFonts w:ascii="Verdana" w:eastAsia="Calibri" w:hAnsi="Verdana" w:cs="Arial"/>
          <w:color w:val="000000" w:themeColor="text1"/>
          <w:lang w:val="es-ES_tradnl"/>
        </w:rPr>
        <w:t xml:space="preserve">a disposición normativa vigente que desarrolla el alcance de la causal de contratación directa establecida en el </w:t>
      </w:r>
      <w:bookmarkStart w:id="2" w:name="_Hlk185322580"/>
      <w:r w:rsidRPr="0041175A">
        <w:rPr>
          <w:rFonts w:ascii="Verdana" w:eastAsia="Calibri" w:hAnsi="Verdana" w:cs="Arial"/>
          <w:color w:val="000000" w:themeColor="text1"/>
          <w:lang w:val="es-ES_tradnl"/>
        </w:rPr>
        <w:t>artículo 2, numeral 4, literal g), de la Ley 1150 de 2007, está establecida en el artículo 2.2.1.2.1.4.8 del Decreto 1082 de 2015</w:t>
      </w:r>
      <w:bookmarkEnd w:id="2"/>
      <w:r w:rsidRPr="0041175A">
        <w:rPr>
          <w:rFonts w:ascii="Verdana" w:eastAsia="Calibri" w:hAnsi="Verdana" w:cs="Arial"/>
          <w:color w:val="000000" w:themeColor="text1"/>
          <w:lang w:val="es-ES_tradnl"/>
        </w:rPr>
        <w:t>, el cual dispone lo siguiente:</w:t>
      </w:r>
    </w:p>
    <w:p w14:paraId="59721B3B" w14:textId="77777777" w:rsidR="006D2049" w:rsidRPr="0041175A" w:rsidRDefault="006D2049" w:rsidP="006D2049">
      <w:pPr>
        <w:spacing w:after="0" w:line="276" w:lineRule="auto"/>
        <w:ind w:firstLine="708"/>
        <w:jc w:val="both"/>
        <w:rPr>
          <w:rFonts w:ascii="Verdana" w:eastAsia="Calibri" w:hAnsi="Verdana" w:cs="Arial"/>
          <w:color w:val="000000" w:themeColor="text1"/>
          <w:lang w:val="es-ES_tradnl"/>
        </w:rPr>
      </w:pPr>
    </w:p>
    <w:p w14:paraId="098B988E" w14:textId="77777777" w:rsidR="006D2049" w:rsidRPr="0041175A" w:rsidRDefault="006D2049" w:rsidP="006D2049">
      <w:pPr>
        <w:spacing w:after="0" w:line="240" w:lineRule="auto"/>
        <w:ind w:left="709" w:right="709"/>
        <w:jc w:val="both"/>
        <w:rPr>
          <w:rFonts w:ascii="Verdana" w:eastAsia="Calibri" w:hAnsi="Verdana" w:cs="Arial"/>
          <w:color w:val="000000" w:themeColor="text1"/>
          <w:sz w:val="20"/>
          <w:szCs w:val="20"/>
          <w:lang w:val="es-ES"/>
        </w:rPr>
      </w:pPr>
      <w:r w:rsidRPr="17DBBBEB">
        <w:rPr>
          <w:rFonts w:ascii="Verdana" w:eastAsia="Calibri" w:hAnsi="Verdana" w:cs="Arial"/>
          <w:color w:val="000000" w:themeColor="text1"/>
          <w:sz w:val="20"/>
          <w:szCs w:val="20"/>
          <w:lang w:val="es-ES"/>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4B682533" w14:textId="77777777" w:rsidR="006D2049" w:rsidRPr="0041175A" w:rsidRDefault="006D2049" w:rsidP="006D2049">
      <w:pPr>
        <w:spacing w:after="0" w:line="276" w:lineRule="auto"/>
        <w:ind w:firstLine="708"/>
        <w:jc w:val="both"/>
        <w:rPr>
          <w:rFonts w:ascii="Verdana" w:eastAsia="Calibri" w:hAnsi="Verdana" w:cs="Arial"/>
          <w:color w:val="000000" w:themeColor="text1"/>
          <w:lang w:val="es-ES_tradnl"/>
        </w:rPr>
      </w:pPr>
      <w:bookmarkStart w:id="3" w:name="_Hlk45532127"/>
    </w:p>
    <w:p w14:paraId="7567F668" w14:textId="77777777" w:rsidR="006D2049" w:rsidRPr="0041175A" w:rsidRDefault="006D2049" w:rsidP="006D2049">
      <w:pPr>
        <w:spacing w:after="120" w:line="276" w:lineRule="auto"/>
        <w:ind w:firstLine="708"/>
        <w:jc w:val="both"/>
        <w:rPr>
          <w:rFonts w:ascii="Verdana" w:eastAsia="Calibri" w:hAnsi="Verdana" w:cs="Arial"/>
          <w:color w:val="000000" w:themeColor="text1"/>
          <w:lang w:val="es-ES_tradnl"/>
        </w:rPr>
      </w:pPr>
      <w:r w:rsidRPr="0041175A">
        <w:rPr>
          <w:rFonts w:ascii="Verdana" w:eastAsia="Calibri" w:hAnsi="Verdana" w:cs="Arial"/>
          <w:color w:val="000000" w:themeColor="text1"/>
          <w:lang w:val="es-ES_tradnl"/>
        </w:rPr>
        <w:t xml:space="preserve">La norma consagra dos (2) hipótesis. </w:t>
      </w:r>
      <w:r w:rsidRPr="0041175A">
        <w:rPr>
          <w:rFonts w:ascii="Verdana" w:eastAsia="Calibri" w:hAnsi="Verdana" w:cs="Arial"/>
          <w:i/>
          <w:iCs/>
          <w:color w:val="000000" w:themeColor="text1"/>
          <w:lang w:val="es-ES_tradnl"/>
        </w:rPr>
        <w:t>En primer lugar</w:t>
      </w:r>
      <w:r w:rsidRPr="0041175A">
        <w:rPr>
          <w:rFonts w:ascii="Verdana" w:eastAsia="Calibri" w:hAnsi="Verdana" w:cs="Arial"/>
          <w:color w:val="000000" w:themeColor="text1"/>
          <w:lang w:val="es-ES_tradnl"/>
        </w:rPr>
        <w:t xml:space="preserve">, </w:t>
      </w:r>
      <w:bookmarkStart w:id="4" w:name="_Hlk45627093"/>
      <w:r w:rsidRPr="0041175A">
        <w:rPr>
          <w:rFonts w:ascii="Verdana" w:eastAsia="Calibri" w:hAnsi="Verdana" w:cs="Arial"/>
          <w:color w:val="000000" w:themeColor="text1"/>
          <w:lang w:val="es-ES_tradnl"/>
        </w:rPr>
        <w:t xml:space="preserve">no existe pluralidad de oferentes cuando solo una persona puede proveer el bien o servicio por ser titular de los derechos de propiedad industrial o de los derechos de autor – hipótesis dentro de la cual se enmarca la consulta presentada –. De esta manera, no basta con que sea la única persona capaz de ejecutar el contrato, pues se debe justificar una situación de derecho que impida que otra lo haga de forma igual o similar. </w:t>
      </w:r>
    </w:p>
    <w:p w14:paraId="3064EEAA" w14:textId="77777777" w:rsidR="006D2049" w:rsidRPr="0041175A" w:rsidRDefault="006D2049" w:rsidP="006D2049">
      <w:pPr>
        <w:spacing w:before="120" w:after="0" w:line="276" w:lineRule="auto"/>
        <w:ind w:firstLine="708"/>
        <w:jc w:val="both"/>
        <w:rPr>
          <w:rFonts w:ascii="Verdana" w:eastAsia="Calibri" w:hAnsi="Verdana" w:cs="Arial"/>
          <w:color w:val="000000" w:themeColor="text1"/>
          <w:lang w:val="es-ES"/>
        </w:rPr>
      </w:pPr>
      <w:bookmarkStart w:id="5" w:name="_Hlk45635593"/>
      <w:r w:rsidRPr="17DBBBEB">
        <w:rPr>
          <w:rFonts w:ascii="Verdana" w:eastAsia="Calibri" w:hAnsi="Verdana" w:cs="Arial"/>
          <w:color w:val="000000" w:themeColor="text1"/>
          <w:lang w:val="es-ES"/>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4"/>
      <w:bookmarkEnd w:id="5"/>
      <w:r w:rsidRPr="17DBBBEB">
        <w:rPr>
          <w:rFonts w:ascii="Verdana" w:eastAsia="Calibri" w:hAnsi="Verdana" w:cs="Arial"/>
          <w:color w:val="000000" w:themeColor="text1"/>
          <w:lang w:val="es-ES"/>
        </w:rPr>
        <w:t>.</w:t>
      </w:r>
      <w:bookmarkEnd w:id="3"/>
      <w:r w:rsidRPr="17DBBBEB">
        <w:rPr>
          <w:rFonts w:ascii="Verdana" w:eastAsia="Calibri" w:hAnsi="Verdana" w:cs="Arial"/>
          <w:color w:val="000000" w:themeColor="text1"/>
          <w:lang w:val="es-ES"/>
        </w:rPr>
        <w:t xml:space="preserve"> Por lo anterior explica que es posible la contratación directa con el oferente que es titular de una marca o privilegio, agregando lo siguiente:</w:t>
      </w:r>
    </w:p>
    <w:p w14:paraId="2B24C567" w14:textId="77777777" w:rsidR="006D2049" w:rsidRPr="0041175A" w:rsidRDefault="006D2049" w:rsidP="006D2049">
      <w:pPr>
        <w:spacing w:after="0" w:line="276" w:lineRule="auto"/>
        <w:ind w:firstLine="708"/>
        <w:jc w:val="both"/>
        <w:rPr>
          <w:rFonts w:ascii="Verdana" w:eastAsia="Calibri" w:hAnsi="Verdana" w:cs="Arial"/>
          <w:color w:val="000000" w:themeColor="text1"/>
          <w:lang w:val="es-ES_tradnl"/>
        </w:rPr>
      </w:pPr>
    </w:p>
    <w:p w14:paraId="3CB5CB7F" w14:textId="77777777" w:rsidR="006D2049" w:rsidRPr="00D4326A" w:rsidRDefault="006D2049" w:rsidP="006D2049">
      <w:pPr>
        <w:spacing w:after="0" w:line="240" w:lineRule="auto"/>
        <w:ind w:left="709" w:right="709"/>
        <w:jc w:val="both"/>
        <w:rPr>
          <w:rFonts w:ascii="Verdana" w:eastAsia="Calibri" w:hAnsi="Verdana" w:cs="Arial"/>
          <w:color w:val="000000" w:themeColor="text1"/>
          <w:sz w:val="20"/>
          <w:szCs w:val="20"/>
          <w:lang w:val="es-ES"/>
        </w:rPr>
      </w:pPr>
      <w:r w:rsidRPr="17DBBBEB">
        <w:rPr>
          <w:rFonts w:ascii="Verdana" w:eastAsia="Calibri" w:hAnsi="Verdana" w:cs="Arial"/>
          <w:color w:val="000000" w:themeColor="text1"/>
          <w:sz w:val="20"/>
          <w:szCs w:val="20"/>
          <w:lang w:val="es-ES"/>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17DBBBEB">
        <w:rPr>
          <w:rFonts w:ascii="Verdana" w:eastAsia="Calibri" w:hAnsi="Verdana" w:cs="Arial"/>
          <w:color w:val="000000" w:themeColor="text1"/>
          <w:sz w:val="20"/>
          <w:szCs w:val="20"/>
          <w:vertAlign w:val="superscript"/>
          <w:lang w:val="es-ES"/>
        </w:rPr>
        <w:footnoteReference w:id="1"/>
      </w:r>
      <w:r w:rsidRPr="17DBBBEB">
        <w:rPr>
          <w:rFonts w:ascii="Verdana" w:eastAsia="Calibri" w:hAnsi="Verdana" w:cs="Arial"/>
          <w:color w:val="000000" w:themeColor="text1"/>
          <w:sz w:val="20"/>
          <w:szCs w:val="20"/>
          <w:lang w:val="es-ES"/>
        </w:rPr>
        <w:t>.</w:t>
      </w:r>
      <w:bookmarkStart w:id="6" w:name="_Hlk45532434"/>
    </w:p>
    <w:p w14:paraId="254CA121" w14:textId="77777777" w:rsidR="006D2049" w:rsidRDefault="006D2049" w:rsidP="006D2049">
      <w:pPr>
        <w:spacing w:after="0" w:line="276" w:lineRule="auto"/>
        <w:ind w:firstLine="708"/>
        <w:jc w:val="both"/>
        <w:rPr>
          <w:rFonts w:ascii="Verdana" w:eastAsia="Calibri" w:hAnsi="Verdana" w:cs="Arial"/>
          <w:i/>
          <w:iCs/>
          <w:color w:val="000000" w:themeColor="text1"/>
          <w:lang w:val="es-ES_tradnl"/>
        </w:rPr>
      </w:pPr>
    </w:p>
    <w:p w14:paraId="07CE283D" w14:textId="77777777" w:rsidR="006D2049" w:rsidRPr="0041175A" w:rsidRDefault="006D2049" w:rsidP="006D2049">
      <w:pPr>
        <w:spacing w:after="120" w:line="276" w:lineRule="auto"/>
        <w:ind w:firstLine="708"/>
        <w:jc w:val="both"/>
        <w:rPr>
          <w:rFonts w:ascii="Verdana" w:eastAsia="Calibri" w:hAnsi="Verdana" w:cs="Arial"/>
          <w:color w:val="000000" w:themeColor="text1"/>
          <w:lang w:val="es-ES_tradnl"/>
        </w:rPr>
      </w:pPr>
      <w:r w:rsidRPr="0041175A">
        <w:rPr>
          <w:rFonts w:ascii="Verdana" w:eastAsia="Calibri" w:hAnsi="Verdana" w:cs="Arial"/>
          <w:i/>
          <w:iCs/>
          <w:color w:val="000000" w:themeColor="text1"/>
          <w:lang w:val="es-ES_tradnl"/>
        </w:rPr>
        <w:t>En segundo lugar</w:t>
      </w:r>
      <w:r w:rsidRPr="0041175A">
        <w:rPr>
          <w:rFonts w:ascii="Verdana" w:eastAsia="Calibri" w:hAnsi="Verdana" w:cs="Arial"/>
          <w:color w:val="000000" w:themeColor="text1"/>
          <w:lang w:val="es-ES_tradnl"/>
        </w:rPr>
        <w:t xml:space="preserve">, </w:t>
      </w:r>
      <w:bookmarkStart w:id="7" w:name="_Hlk45635630"/>
      <w:bookmarkStart w:id="8" w:name="_Hlk45627184"/>
      <w:r w:rsidRPr="0041175A">
        <w:rPr>
          <w:rFonts w:ascii="Verdana" w:eastAsia="Calibri" w:hAnsi="Verdana" w:cs="Arial"/>
          <w:color w:val="000000" w:themeColor="text1"/>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7"/>
      <w:r w:rsidRPr="0041175A">
        <w:rPr>
          <w:rFonts w:ascii="Verdana" w:eastAsia="Calibri" w:hAnsi="Verdana" w:cs="Arial"/>
          <w:color w:val="000000" w:themeColor="text1"/>
          <w:lang w:val="es-ES_tradnl"/>
        </w:rPr>
        <w:t xml:space="preserve">. </w:t>
      </w:r>
    </w:p>
    <w:p w14:paraId="0AEA56F3" w14:textId="77777777" w:rsidR="006D2049" w:rsidRPr="0041175A" w:rsidRDefault="006D2049" w:rsidP="006D2049">
      <w:pPr>
        <w:spacing w:after="120" w:line="276" w:lineRule="auto"/>
        <w:ind w:firstLine="708"/>
        <w:jc w:val="both"/>
        <w:rPr>
          <w:rFonts w:ascii="Verdana" w:eastAsia="Calibri" w:hAnsi="Verdana" w:cs="Arial"/>
          <w:color w:val="000000" w:themeColor="text1"/>
          <w:lang w:val="es-ES"/>
        </w:rPr>
      </w:pPr>
      <w:bookmarkStart w:id="9" w:name="_Hlk45635661"/>
      <w:r w:rsidRPr="17DBBBEB">
        <w:rPr>
          <w:rFonts w:ascii="Verdana" w:eastAsia="Calibri" w:hAnsi="Verdana" w:cs="Arial"/>
          <w:color w:val="000000" w:themeColor="text1"/>
          <w:lang w:val="es-ES"/>
        </w:rPr>
        <w:t>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como lo establece el reglamento,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9"/>
      <w:r w:rsidRPr="17DBBBEB">
        <w:rPr>
          <w:rFonts w:ascii="Verdana" w:eastAsia="Calibri" w:hAnsi="Verdana" w:cs="Arial"/>
          <w:color w:val="000000" w:themeColor="text1"/>
          <w:lang w:val="es-ES"/>
        </w:rPr>
        <w:t>.</w:t>
      </w:r>
      <w:bookmarkEnd w:id="6"/>
      <w:bookmarkEnd w:id="8"/>
      <w:r w:rsidRPr="17DBBBEB">
        <w:rPr>
          <w:rFonts w:ascii="Verdana" w:eastAsia="Calibri" w:hAnsi="Verdana" w:cs="Arial"/>
          <w:color w:val="000000" w:themeColor="text1"/>
          <w:lang w:val="es-ES"/>
        </w:rPr>
        <w:t xml:space="preserve"> </w:t>
      </w:r>
    </w:p>
    <w:p w14:paraId="5B1650E3" w14:textId="77777777" w:rsidR="006D2049" w:rsidRDefault="006D2049" w:rsidP="006D2049">
      <w:pPr>
        <w:spacing w:after="120" w:line="276" w:lineRule="auto"/>
        <w:ind w:firstLine="709"/>
        <w:jc w:val="both"/>
        <w:rPr>
          <w:rFonts w:ascii="Verdana" w:eastAsia="Calibri" w:hAnsi="Verdana" w:cs="Arial"/>
          <w:color w:val="000000" w:themeColor="text1"/>
          <w:lang w:val="es-ES_tradnl"/>
        </w:rPr>
      </w:pPr>
      <w:r w:rsidRPr="0041175A">
        <w:rPr>
          <w:rFonts w:ascii="Verdana" w:eastAsia="Calibri" w:hAnsi="Verdana" w:cs="Arial"/>
          <w:color w:val="000000" w:themeColor="text1"/>
          <w:lang w:val="es-ES_tradnl"/>
        </w:rPr>
        <w:t>Ni el artículo 2, numeral 4, literal g) de la Ley 1150 de 2007, ni el artículo 2.2.1.2.1.4.8. del Decreto 1082 de 2015, establecen una tarifa legal para acreditar la exclusividad en el territorio nacional, pues las normas no prevén un medio probatorio específico como el único que tenga valor de convicción para las Entidades Estatales en la etapa precontractual. Lo que señala la citada disposición reglamentaria es que “Estas circunstancias deben constar en el estudio previo que soporta la contratación”. En otras palabras, la Entidad Estatal debe hacer un análisis riguroso en la etapa de planeación, para determinar si un proveedor es o no exclusivo en el territorio nacional, pudiendo servirse de los medios probatorios que considere pertinentes y conducentes</w:t>
      </w:r>
      <w:r w:rsidRPr="0041175A">
        <w:rPr>
          <w:rStyle w:val="Refdenotaalpie"/>
          <w:rFonts w:ascii="Verdana" w:eastAsia="Calibri" w:hAnsi="Verdana" w:cs="Arial"/>
          <w:color w:val="000000" w:themeColor="text1"/>
          <w:lang w:val="es-ES_tradnl"/>
        </w:rPr>
        <w:footnoteReference w:id="2"/>
      </w:r>
      <w:r w:rsidRPr="0041175A">
        <w:rPr>
          <w:rFonts w:ascii="Verdana" w:eastAsia="Calibri" w:hAnsi="Verdana" w:cs="Arial"/>
          <w:color w:val="000000" w:themeColor="text1"/>
          <w:lang w:val="es-ES_tradnl"/>
        </w:rPr>
        <w:t>.</w:t>
      </w:r>
    </w:p>
    <w:p w14:paraId="0229FF8B" w14:textId="77777777" w:rsidR="006D2049" w:rsidRPr="002167F7" w:rsidRDefault="006D2049" w:rsidP="006D2049">
      <w:pPr>
        <w:spacing w:after="120" w:line="276" w:lineRule="auto"/>
        <w:ind w:firstLine="708"/>
        <w:jc w:val="both"/>
        <w:rPr>
          <w:rFonts w:ascii="Verdana" w:eastAsia="Arial MT" w:hAnsi="Verdana" w:cs="Arial"/>
          <w:lang w:val="es-ES" w:eastAsia="es-ES" w:bidi="es-ES"/>
        </w:rPr>
      </w:pPr>
      <w:r>
        <w:rPr>
          <w:rFonts w:ascii="Verdana" w:eastAsia="Calibri" w:hAnsi="Verdana" w:cs="Arial"/>
          <w:color w:val="000000" w:themeColor="text1"/>
          <w:lang w:val="es-ES_tradnl"/>
        </w:rPr>
        <w:lastRenderedPageBreak/>
        <w:t xml:space="preserve">Respecto del procedimiento de contratación directa, </w:t>
      </w:r>
      <w:r w:rsidRPr="002167F7">
        <w:rPr>
          <w:rFonts w:ascii="Verdana" w:eastAsia="Times New Roman" w:hAnsi="Verdana" w:cs="Arial"/>
          <w:lang w:val="es-ES" w:eastAsia="es-MX"/>
        </w:rPr>
        <w:t xml:space="preserve">las entidades podrán contratar mediante </w:t>
      </w:r>
      <w:r>
        <w:rPr>
          <w:rFonts w:ascii="Verdana" w:eastAsia="Times New Roman" w:hAnsi="Verdana" w:cs="Arial"/>
          <w:lang w:val="es-ES" w:eastAsia="es-MX"/>
        </w:rPr>
        <w:t>est</w:t>
      </w:r>
      <w:r w:rsidRPr="002167F7">
        <w:rPr>
          <w:rFonts w:ascii="Verdana" w:eastAsia="Times New Roman" w:hAnsi="Verdana" w:cs="Arial"/>
          <w:lang w:val="es-ES" w:eastAsia="es-MX"/>
        </w:rPr>
        <w:t xml:space="preserve">a modalidad únicamente cuando se configure alguna de las causales expresamente establecidas en </w:t>
      </w:r>
      <w:r>
        <w:rPr>
          <w:rFonts w:ascii="Verdana" w:eastAsia="Times New Roman" w:hAnsi="Verdana" w:cs="Arial"/>
          <w:lang w:val="es-ES" w:eastAsia="es-MX"/>
        </w:rPr>
        <w:t>el</w:t>
      </w:r>
      <w:r w:rsidRPr="002167F7">
        <w:rPr>
          <w:rFonts w:ascii="Verdana" w:eastAsia="Times New Roman" w:hAnsi="Verdana" w:cs="Arial"/>
          <w:lang w:val="es-ES" w:eastAsia="es-MX"/>
        </w:rPr>
        <w:t xml:space="preserve"> artículo 2.4 de la </w:t>
      </w:r>
      <w:r>
        <w:rPr>
          <w:rFonts w:ascii="Verdana" w:eastAsia="Times New Roman" w:hAnsi="Verdana" w:cs="Arial"/>
          <w:lang w:val="es-ES" w:eastAsia="es-MX"/>
        </w:rPr>
        <w:t>L</w:t>
      </w:r>
      <w:r w:rsidRPr="002167F7">
        <w:rPr>
          <w:rFonts w:ascii="Verdana" w:eastAsia="Times New Roman" w:hAnsi="Verdana" w:cs="Arial"/>
          <w:lang w:val="es-ES" w:eastAsia="es-MX"/>
        </w:rPr>
        <w:t xml:space="preserve">ey 1150 de 2007 y </w:t>
      </w:r>
      <w:r>
        <w:rPr>
          <w:rFonts w:ascii="Verdana" w:eastAsia="Times New Roman" w:hAnsi="Verdana" w:cs="Arial"/>
          <w:lang w:val="es-ES" w:eastAsia="es-MX"/>
        </w:rPr>
        <w:t xml:space="preserve">los artículos </w:t>
      </w:r>
      <w:r w:rsidRPr="002167F7">
        <w:rPr>
          <w:rFonts w:ascii="Verdana" w:eastAsia="Times New Roman" w:hAnsi="Verdana" w:cs="Arial"/>
          <w:lang w:val="es-ES" w:eastAsia="es-MX"/>
        </w:rPr>
        <w:t>2.2.1.2.1.4.1. al 2.2.1.2.1.4.11. del Decreto 1082 de 2015.</w:t>
      </w:r>
      <w:r w:rsidRPr="002167F7">
        <w:rPr>
          <w:rFonts w:ascii="Verdana" w:eastAsia="Arial MT" w:hAnsi="Verdana" w:cs="Arial"/>
          <w:lang w:val="es-ES" w:eastAsia="es-ES" w:bidi="es-ES"/>
        </w:rPr>
        <w:t xml:space="preserve"> Si bien la licitación pública es la modalidad de selección que constituye la regla general para las entidades regidas por el EGCAP, estas normas consagran algunas excepciones que atienden a la necesidad de proteger principios como la eficiencia, la eficacia, la economía, la celeridad o la integridad de las personas. Por esta razón, en los procesos que se adelanten directamente, las entidades deberán emitir un acto administrativo en el cual justifiquen la elección de esta modalidad.</w:t>
      </w:r>
    </w:p>
    <w:p w14:paraId="203D1A44" w14:textId="77777777" w:rsidR="006D2049" w:rsidRPr="002167F7" w:rsidRDefault="006D2049" w:rsidP="006D2049">
      <w:pPr>
        <w:spacing w:after="120" w:line="276" w:lineRule="auto"/>
        <w:ind w:firstLine="708"/>
        <w:jc w:val="both"/>
        <w:rPr>
          <w:rFonts w:ascii="Verdana" w:hAnsi="Verdana" w:cs="Arial"/>
          <w:lang w:val="es-ES"/>
        </w:rPr>
      </w:pPr>
      <w:r w:rsidRPr="002167F7">
        <w:rPr>
          <w:rFonts w:ascii="Verdana" w:eastAsia="Arial MT" w:hAnsi="Verdana" w:cs="Arial"/>
          <w:lang w:val="es-ES" w:eastAsia="es-ES" w:bidi="es-ES"/>
        </w:rPr>
        <w:t xml:space="preserve"> </w:t>
      </w:r>
      <w:r w:rsidRPr="002167F7">
        <w:rPr>
          <w:rFonts w:ascii="Verdana" w:hAnsi="Verdana" w:cs="Arial"/>
          <w:lang w:val="es-ES"/>
        </w:rPr>
        <w:t>La contratación directa únicamente será procedente en los siguientes casos:</w:t>
      </w:r>
    </w:p>
    <w:p w14:paraId="632560F8"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Cuando se configuren</w:t>
      </w:r>
      <w:r>
        <w:rPr>
          <w:rFonts w:ascii="Verdana" w:eastAsia="Times New Roman" w:hAnsi="Verdana" w:cs="Arial"/>
          <w:lang w:eastAsia="es-MX"/>
        </w:rPr>
        <w:t xml:space="preserve"> los supuestos de la</w:t>
      </w:r>
      <w:r w:rsidRPr="002167F7">
        <w:rPr>
          <w:rFonts w:ascii="Verdana" w:eastAsia="Times New Roman" w:hAnsi="Verdana" w:cs="Arial"/>
          <w:lang w:eastAsia="es-MX"/>
        </w:rPr>
        <w:t xml:space="preserve"> urgencia manifiesta.</w:t>
      </w:r>
    </w:p>
    <w:p w14:paraId="2C05F8C4"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Pr>
          <w:rFonts w:ascii="Verdana" w:eastAsia="Times New Roman" w:hAnsi="Verdana" w:cs="Arial"/>
          <w:lang w:eastAsia="es-MX"/>
        </w:rPr>
        <w:t>Para la c</w:t>
      </w:r>
      <w:r w:rsidRPr="002167F7">
        <w:rPr>
          <w:rFonts w:ascii="Verdana" w:eastAsia="Times New Roman" w:hAnsi="Verdana" w:cs="Arial"/>
          <w:lang w:eastAsia="es-MX"/>
        </w:rPr>
        <w:t>ontratación de empréstitos.</w:t>
      </w:r>
    </w:p>
    <w:p w14:paraId="7C25358A"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La celebración de contratos interadministrativos, siempre que las obligaciones derivadas del mismo tengan relación directa con el objeto de la entidad ejecutora señalado en la ley o en sus reglamentos, salvo en los casos señalados en el literal c) del artículo 2.4 de la Ley 1150 de 2007. Éstos obedecen a un criterio orgánico, de modo que se configuran cuando se celebren entre </w:t>
      </w:r>
      <w:r>
        <w:rPr>
          <w:rFonts w:ascii="Verdana" w:eastAsia="Times New Roman" w:hAnsi="Verdana" w:cs="Arial"/>
          <w:lang w:eastAsia="es-MX"/>
        </w:rPr>
        <w:t>E</w:t>
      </w:r>
      <w:r w:rsidRPr="002167F7">
        <w:rPr>
          <w:rFonts w:ascii="Verdana" w:eastAsia="Times New Roman" w:hAnsi="Verdana" w:cs="Arial"/>
          <w:lang w:eastAsia="es-MX"/>
        </w:rPr>
        <w:t xml:space="preserve">ntidades </w:t>
      </w:r>
      <w:r>
        <w:rPr>
          <w:rFonts w:ascii="Verdana" w:eastAsia="Times New Roman" w:hAnsi="Verdana" w:cs="Arial"/>
          <w:lang w:eastAsia="es-MX"/>
        </w:rPr>
        <w:t>E</w:t>
      </w:r>
      <w:r w:rsidRPr="002167F7">
        <w:rPr>
          <w:rFonts w:ascii="Verdana" w:eastAsia="Times New Roman" w:hAnsi="Verdana" w:cs="Arial"/>
          <w:lang w:eastAsia="es-MX"/>
        </w:rPr>
        <w:t xml:space="preserve">statales. </w:t>
      </w:r>
    </w:p>
    <w:p w14:paraId="3A83F422"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contratación de bienes y servicios en el sector Defensa y en el Departamento Administrativo de Seguridad, DAS (hoy Departamento Administrativo Dirección Nacional de Inteligencia), que necesiten reserva para su adquisición.</w:t>
      </w:r>
    </w:p>
    <w:p w14:paraId="73397FB6"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para el desarrollo de actividades científicas y tecnológicas, según lo dispuesto en el Decreto-Ley 591 y 393 de 1991.</w:t>
      </w:r>
    </w:p>
    <w:p w14:paraId="7FE54E44"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r>
        <w:rPr>
          <w:rFonts w:ascii="Verdana" w:eastAsia="Times New Roman" w:hAnsi="Verdana" w:cs="Arial"/>
          <w:lang w:eastAsia="es-MX"/>
        </w:rPr>
        <w:t>.</w:t>
      </w:r>
    </w:p>
    <w:p w14:paraId="1AF88F4D"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Cuando no exista pluralidad de oferentes en el mercado, es decir, cuando existe solamente una persona que puede proveer el bien o el servicio por </w:t>
      </w:r>
      <w:r w:rsidRPr="002167F7">
        <w:rPr>
          <w:rFonts w:ascii="Verdana" w:eastAsia="Times New Roman" w:hAnsi="Verdana" w:cs="Arial"/>
          <w:lang w:eastAsia="es-MX"/>
        </w:rPr>
        <w:lastRenderedPageBreak/>
        <w:t>ser titular de los derechos de propiedad industrial o de los derechos de autor, o por ser proveedor exclusivo en el territorio nacional</w:t>
      </w:r>
      <w:r w:rsidRPr="002167F7">
        <w:rPr>
          <w:rFonts w:ascii="Verdana" w:eastAsia="Arial" w:hAnsi="Verdana" w:cs="Arial"/>
          <w:vertAlign w:val="superscript"/>
        </w:rPr>
        <w:footnoteReference w:id="3"/>
      </w:r>
      <w:r w:rsidRPr="002167F7">
        <w:rPr>
          <w:rFonts w:ascii="Verdana" w:eastAsia="Times New Roman" w:hAnsi="Verdana" w:cs="Arial"/>
          <w:lang w:eastAsia="es-MX"/>
        </w:rPr>
        <w:t>. </w:t>
      </w:r>
    </w:p>
    <w:p w14:paraId="4C9E358B"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Para la prestación de servicios profesionales y de apoyo a la gestión, o para la ejecución de trabajos artísticos que sólo puedan encomendarse a determinadas personas naturales</w:t>
      </w:r>
      <w:r w:rsidRPr="002167F7">
        <w:rPr>
          <w:rFonts w:ascii="Verdana" w:eastAsia="Arial" w:hAnsi="Verdana" w:cs="Arial"/>
          <w:vertAlign w:val="superscript"/>
        </w:rPr>
        <w:footnoteReference w:id="4"/>
      </w:r>
      <w:r w:rsidRPr="002167F7">
        <w:rPr>
          <w:rFonts w:ascii="Verdana" w:eastAsia="Times New Roman" w:hAnsi="Verdana" w:cs="Arial"/>
          <w:lang w:eastAsia="es-MX"/>
        </w:rPr>
        <w:t>.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C78F4A7"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El arrendamiento o adquisición de inmuebles, según las reglas establecidas en los artículos 2.2.1.2.1.4.10 y 2.2.1.2.1.4.11</w:t>
      </w:r>
      <w:r>
        <w:rPr>
          <w:rFonts w:ascii="Verdana" w:eastAsia="Times New Roman" w:hAnsi="Verdana" w:cs="Arial"/>
          <w:lang w:eastAsia="es-MX"/>
        </w:rPr>
        <w:t xml:space="preserve"> de Decreto 1082 de 2015</w:t>
      </w:r>
      <w:r w:rsidRPr="002167F7">
        <w:rPr>
          <w:rFonts w:ascii="Verdana" w:eastAsia="Times New Roman" w:hAnsi="Verdana" w:cs="Arial"/>
          <w:lang w:eastAsia="es-MX"/>
        </w:rPr>
        <w:t>. </w:t>
      </w:r>
    </w:p>
    <w:p w14:paraId="774E9EBB"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contratación de bienes y servicios de la Dirección Nacional de Inteligencia y la Unidad Nacional de Protección que requieran reserva para su adquisición.</w:t>
      </w:r>
    </w:p>
    <w:p w14:paraId="1E2C53B6"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selección de peritos expertos o asesores técnicos para presentar o contradecir el dictamen pericial en procesos judiciales.</w:t>
      </w:r>
    </w:p>
    <w:p w14:paraId="259436A0"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o convenios que suscriban</w:t>
      </w:r>
      <w:r>
        <w:rPr>
          <w:rFonts w:ascii="Verdana" w:eastAsia="Times New Roman" w:hAnsi="Verdana" w:cs="Arial"/>
          <w:lang w:eastAsia="es-MX"/>
        </w:rPr>
        <w:t xml:space="preserve"> las entidades</w:t>
      </w:r>
      <w:r w:rsidRPr="002167F7">
        <w:rPr>
          <w:rFonts w:ascii="Verdana" w:eastAsia="Times New Roman" w:hAnsi="Verdana" w:cs="Arial"/>
          <w:lang w:eastAsia="es-MX"/>
        </w:rPr>
        <w:t xml:space="preserve">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w:t>
      </w:r>
    </w:p>
    <w:p w14:paraId="420052DE"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que suscriban con</w:t>
      </w:r>
      <w:r>
        <w:rPr>
          <w:rFonts w:ascii="Verdana" w:eastAsia="Times New Roman" w:hAnsi="Verdana" w:cs="Arial"/>
          <w:lang w:eastAsia="es-MX"/>
        </w:rPr>
        <w:t xml:space="preserve"> las entidades con</w:t>
      </w:r>
      <w:r w:rsidRPr="002167F7">
        <w:rPr>
          <w:rFonts w:ascii="Verdana" w:eastAsia="Times New Roman" w:hAnsi="Verdana" w:cs="Arial"/>
          <w:lang w:eastAsia="es-MX"/>
        </w:rPr>
        <w:t xml:space="preserve"> los consejos comunitarios de las comunidades negras regulados por la Ley </w:t>
      </w:r>
      <w:hyperlink r:id="rId11" w:anchor="INICIO" w:history="1">
        <w:r w:rsidRPr="002167F7">
          <w:rPr>
            <w:rFonts w:ascii="Verdana" w:eastAsia="Times New Roman" w:hAnsi="Verdana" w:cs="Arial"/>
            <w:lang w:eastAsia="es-MX"/>
          </w:rPr>
          <w:t>70</w:t>
        </w:r>
      </w:hyperlink>
      <w:r w:rsidRPr="002167F7">
        <w:rPr>
          <w:rFonts w:ascii="Verdana" w:eastAsia="Times New Roman" w:hAnsi="Verdana" w:cs="Arial"/>
          <w:lang w:eastAsia="es-MX"/>
        </w:rPr>
        <w:t xml:space="preserve"> de 1993, que se encuentren incorporados por el Ministerio del Interior en el correspondiente Registro Público Único Nacional y que hayan cumplido </w:t>
      </w:r>
      <w:r w:rsidRPr="002167F7">
        <w:rPr>
          <w:rFonts w:ascii="Verdana" w:eastAsia="Times New Roman" w:hAnsi="Verdana" w:cs="Arial"/>
          <w:lang w:eastAsia="es-MX"/>
        </w:rPr>
        <w:lastRenderedPageBreak/>
        <w:t>con el deber de actualización de información en el mismo registro, cuyo objeto esté relacionado con el fortalecimiento del gobierno propio, la identidad étnica y cultural, el ejercicio de la autonomía, y/o la garantía de los derechos de los pueblos de las mismas comunidades.</w:t>
      </w:r>
    </w:p>
    <w:p w14:paraId="2177F813"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Los contratos que suscriban </w:t>
      </w:r>
      <w:r>
        <w:rPr>
          <w:rFonts w:ascii="Verdana" w:eastAsia="Times New Roman" w:hAnsi="Verdana" w:cs="Arial"/>
          <w:lang w:eastAsia="es-MX"/>
        </w:rPr>
        <w:t xml:space="preserve">las entidades </w:t>
      </w:r>
      <w:r w:rsidRPr="002167F7">
        <w:rPr>
          <w:rFonts w:ascii="Verdana" w:eastAsia="Times New Roman" w:hAnsi="Verdana" w:cs="Arial"/>
          <w:lang w:eastAsia="es-MX"/>
        </w:rPr>
        <w:t>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2167F7">
        <w:rPr>
          <w:rFonts w:ascii="Verdana" w:eastAsia="Arial" w:hAnsi="Verdana" w:cs="Arial"/>
          <w:vertAlign w:val="superscript"/>
        </w:rPr>
        <w:footnoteReference w:id="5"/>
      </w:r>
      <w:r w:rsidRPr="002167F7">
        <w:rPr>
          <w:rFonts w:ascii="Verdana" w:eastAsia="Times New Roman" w:hAnsi="Verdana" w:cs="Arial"/>
          <w:lang w:eastAsia="es-MX"/>
        </w:rPr>
        <w:t>.</w:t>
      </w:r>
    </w:p>
    <w:p w14:paraId="1274BA2F" w14:textId="77777777" w:rsidR="006D2049" w:rsidRPr="002167F7" w:rsidRDefault="006D2049" w:rsidP="006D2049">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La compra de manera preferencial y directa de productos agropecuarios a los pueblos y comunidades indígenas y a las comunidades negras, afrocolombianas, raizales y palenqueras, organizaciones y asociaciones campesinas, en situaciones de emergencia y desastres y dentro de sus territorios, </w:t>
      </w:r>
      <w:r>
        <w:rPr>
          <w:rFonts w:ascii="Verdana" w:eastAsia="Times New Roman" w:hAnsi="Verdana" w:cs="Arial"/>
          <w:lang w:eastAsia="es-MX"/>
        </w:rPr>
        <w:t>los</w:t>
      </w:r>
      <w:r w:rsidRPr="002167F7">
        <w:rPr>
          <w:rFonts w:ascii="Verdana" w:eastAsia="Times New Roman" w:hAnsi="Verdana" w:cs="Arial"/>
          <w:lang w:eastAsia="es-MX"/>
        </w:rPr>
        <w:t xml:space="preserve"> cuales podrán ser donados al Fondo Nacional de Gestión del Riesgo de Desastres.</w:t>
      </w:r>
    </w:p>
    <w:p w14:paraId="23176947" w14:textId="77777777" w:rsidR="006D2049" w:rsidRPr="002167F7" w:rsidRDefault="006D2049" w:rsidP="006D2049">
      <w:pPr>
        <w:spacing w:after="120" w:line="276" w:lineRule="auto"/>
        <w:ind w:firstLine="709"/>
        <w:jc w:val="both"/>
        <w:rPr>
          <w:rFonts w:ascii="Verdana" w:eastAsia="Calibri" w:hAnsi="Verdana" w:cs="Arial"/>
          <w:lang w:val="es-ES" w:eastAsia="es-MX"/>
        </w:rPr>
      </w:pPr>
      <w:bookmarkStart w:id="10" w:name="_Hlk102550058"/>
      <w:r w:rsidRPr="002167F7">
        <w:rPr>
          <w:rFonts w:ascii="Verdana" w:eastAsia="Arial" w:hAnsi="Verdana" w:cs="Arial"/>
          <w:lang w:val="es-ES"/>
        </w:rPr>
        <w:t xml:space="preserve">En relación con la contratación directa, es importante señalar que </w:t>
      </w:r>
      <w:r w:rsidRPr="002167F7">
        <w:rPr>
          <w:rFonts w:ascii="Verdana" w:eastAsia="Calibri" w:hAnsi="Verdana" w:cs="Arial"/>
          <w:lang w:val="es-ES" w:eastAsia="es-MX"/>
        </w:rPr>
        <w:t xml:space="preserve">es una excepción al principio de libre concurrencia y competencia, </w:t>
      </w:r>
      <w:r>
        <w:rPr>
          <w:rFonts w:ascii="Verdana" w:eastAsia="Calibri" w:hAnsi="Verdana" w:cs="Arial"/>
          <w:lang w:val="es-ES" w:eastAsia="es-MX"/>
        </w:rPr>
        <w:t xml:space="preserve">según los cuales </w:t>
      </w:r>
      <w:r w:rsidRPr="002167F7">
        <w:rPr>
          <w:rFonts w:ascii="Verdana" w:eastAsia="Calibri" w:hAnsi="Verdana" w:cs="Arial"/>
          <w:lang w:val="es-ES" w:eastAsia="es-MX"/>
        </w:rPr>
        <w:t>cualquier persona interesada en satisfacer la necesidad de una entidad pued</w:t>
      </w:r>
      <w:r>
        <w:rPr>
          <w:rFonts w:ascii="Verdana" w:eastAsia="Calibri" w:hAnsi="Verdana" w:cs="Arial"/>
          <w:lang w:val="es-ES" w:eastAsia="es-MX"/>
        </w:rPr>
        <w:t>e</w:t>
      </w:r>
      <w:r w:rsidRPr="002167F7">
        <w:rPr>
          <w:rFonts w:ascii="Verdana" w:eastAsia="Calibri" w:hAnsi="Verdana" w:cs="Arial"/>
          <w:lang w:val="es-ES" w:eastAsia="es-MX"/>
        </w:rPr>
        <w:t xml:space="preserve"> presentar una oferta. </w:t>
      </w:r>
      <w:bookmarkStart w:id="11" w:name="_Hlk101520178"/>
      <w:bookmarkStart w:id="12" w:name="_Hlk101520187"/>
      <w:r w:rsidRPr="002167F7">
        <w:rPr>
          <w:rFonts w:ascii="Verdana" w:eastAsia="Calibri" w:hAnsi="Verdana" w:cs="Arial"/>
          <w:lang w:val="es-ES" w:eastAsia="es-MX"/>
        </w:rPr>
        <w:t>Siendo una excepción a los mencionados principios que rigen la contratación estatal, e</w:t>
      </w:r>
      <w:r w:rsidRPr="002167F7">
        <w:rPr>
          <w:rFonts w:ascii="Verdana" w:eastAsia="Arial" w:hAnsi="Verdana" w:cs="Arial"/>
          <w:lang w:val="es-ES"/>
        </w:rPr>
        <w:t>sta modalidad de contratación es de aplicación restrictiva, es decir, solo procede por las causales señaladas expresamente en la ley. Aunque las causales de contratación directa se encuentran contenidas en el numeral 4 del artículo 2 de la Ley 1150 de 2007, también se pueden encontrar en otras leyes eventos en los que se autorice la contratación bajo esta modalidad.</w:t>
      </w:r>
      <w:bookmarkEnd w:id="11"/>
      <w:r>
        <w:rPr>
          <w:rFonts w:ascii="Verdana" w:eastAsia="Calibri" w:hAnsi="Verdana" w:cs="Arial"/>
          <w:lang w:val="es-ES" w:eastAsia="es-MX"/>
        </w:rPr>
        <w:t xml:space="preserve"> De cualquier forma</w:t>
      </w:r>
      <w:r w:rsidRPr="002167F7">
        <w:rPr>
          <w:rFonts w:ascii="Verdana" w:eastAsia="Calibri" w:hAnsi="Verdana" w:cs="Arial"/>
          <w:lang w:val="es-ES" w:eastAsia="es-MX"/>
        </w:rPr>
        <w:t>, su aplicación no puede efectuarse por fuera del contenido normativo, ni operar más allá de lo que la misma norma dispone, dentro del contexto del ordenamiento jurídico de la contratación estatal.</w:t>
      </w:r>
      <w:bookmarkStart w:id="13" w:name="_Hlk101520248"/>
      <w:bookmarkEnd w:id="10"/>
      <w:bookmarkEnd w:id="12"/>
      <w:r w:rsidRPr="002167F7">
        <w:rPr>
          <w:rFonts w:ascii="Verdana" w:eastAsia="Calibri" w:hAnsi="Verdana" w:cs="Arial"/>
          <w:lang w:val="es-ES" w:eastAsia="es-MX"/>
        </w:rPr>
        <w:t xml:space="preserve"> </w:t>
      </w:r>
      <w:bookmarkEnd w:id="13"/>
    </w:p>
    <w:p w14:paraId="542E9837" w14:textId="77777777" w:rsidR="006D2049" w:rsidRDefault="006D2049" w:rsidP="006D2049">
      <w:pPr>
        <w:spacing w:after="120" w:line="276" w:lineRule="auto"/>
        <w:ind w:firstLine="709"/>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w:t>
      </w:r>
      <w:r w:rsidRPr="00E853DE">
        <w:rPr>
          <w:rFonts w:ascii="Verdana" w:eastAsia="Calibri" w:hAnsi="Verdana" w:cs="Arial"/>
          <w:bCs/>
          <w:color w:val="000000" w:themeColor="text1"/>
        </w:rPr>
        <w:lastRenderedPageBreak/>
        <w:t>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A926481" w14:textId="77777777" w:rsidR="006D2049" w:rsidRDefault="006D2049" w:rsidP="006D2049">
      <w:pPr>
        <w:spacing w:after="120" w:line="276" w:lineRule="auto"/>
        <w:ind w:firstLine="709"/>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w:t>
      </w:r>
      <w:r w:rsidRPr="001941FD">
        <w:rPr>
          <w:rStyle w:val="s15"/>
          <w:rFonts w:ascii="Verdana" w:hAnsi="Verdana"/>
          <w:color w:val="000000"/>
        </w:rPr>
        <w:t>cada entidad definirá la forma de adelantar su gestión contractual, sin que sea atribución de Colombia Compra Eficiente</w:t>
      </w:r>
      <w:r>
        <w:rPr>
          <w:rStyle w:val="s15"/>
          <w:rFonts w:ascii="Verdana" w:hAnsi="Verdana"/>
          <w:color w:val="000000"/>
        </w:rPr>
        <w:t xml:space="preserve"> determinar qué </w:t>
      </w:r>
      <w:r>
        <w:rPr>
          <w:rFonts w:ascii="Verdana" w:eastAsia="Calibri" w:hAnsi="Verdana" w:cs="Arial"/>
          <w:color w:val="000000" w:themeColor="text1"/>
        </w:rPr>
        <w:t>bienes y servicios de características técnicas uniformes y de común utilización están sujetos a derechos de autor y</w:t>
      </w:r>
      <w:r w:rsidRPr="001941FD">
        <w:rPr>
          <w:rStyle w:val="s15"/>
          <w:rFonts w:ascii="Verdana" w:hAnsi="Verdana"/>
          <w:color w:val="000000"/>
        </w:rPr>
        <w:t xml:space="preserve"> validar sus actuaciones.</w:t>
      </w:r>
      <w:r w:rsidRPr="00185EE9">
        <w:rPr>
          <w:rFonts w:ascii="Verdana" w:eastAsia="Calibri" w:hAnsi="Verdana" w:cs="Arial"/>
          <w:bCs/>
          <w:color w:val="000000" w:themeColor="text1"/>
        </w:rPr>
        <w:t xml:space="preserve"> </w:t>
      </w:r>
    </w:p>
    <w:p w14:paraId="7D265943" w14:textId="77777777" w:rsidR="006D2049" w:rsidRPr="00F47E0F" w:rsidRDefault="006D2049" w:rsidP="006D2049">
      <w:pPr>
        <w:widowControl w:val="0"/>
        <w:autoSpaceDE w:val="0"/>
        <w:autoSpaceDN w:val="0"/>
        <w:spacing w:after="0" w:line="276" w:lineRule="auto"/>
        <w:jc w:val="both"/>
        <w:rPr>
          <w:rFonts w:ascii="Verdana" w:hAnsi="Verdana" w:cs="Arial"/>
        </w:rPr>
      </w:pPr>
    </w:p>
    <w:p w14:paraId="433B6C94" w14:textId="77777777" w:rsidR="006D2049" w:rsidRPr="00F47E0F" w:rsidRDefault="006D2049" w:rsidP="006D204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Referencias normativas, jurisprudenciales y otras fuentes:</w:t>
      </w:r>
    </w:p>
    <w:p w14:paraId="59C152BD" w14:textId="77777777" w:rsidR="006D2049" w:rsidRPr="00F47E0F" w:rsidRDefault="006D2049" w:rsidP="006D204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2049" w:rsidRPr="00F47E0F" w14:paraId="75C9E21B" w14:textId="77777777" w:rsidTr="008140C1">
        <w:trPr>
          <w:trHeight w:val="870"/>
        </w:trPr>
        <w:tc>
          <w:tcPr>
            <w:tcW w:w="8647" w:type="dxa"/>
          </w:tcPr>
          <w:p w14:paraId="689008DB" w14:textId="77777777" w:rsidR="006D2049"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Ley 1150 de 2007. Artículo 33 y 38 parágrafo. </w:t>
            </w:r>
          </w:p>
          <w:p w14:paraId="78B09E7C" w14:textId="77777777" w:rsidR="006D2049"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Ley 1150 de 2007. Artículo 2 numeral 4 literal g.</w:t>
            </w:r>
          </w:p>
          <w:p w14:paraId="2ABCEE97" w14:textId="77777777" w:rsidR="006D2049" w:rsidRPr="004F20CE"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Decreto 1082 de 2015. Artículo </w:t>
            </w:r>
            <w:r w:rsidRPr="0041175A">
              <w:rPr>
                <w:rFonts w:ascii="Verdana" w:eastAsia="Calibri" w:hAnsi="Verdana" w:cs="Arial"/>
                <w:color w:val="000000" w:themeColor="text1"/>
                <w:lang w:val="es-ES_tradnl"/>
              </w:rPr>
              <w:t>2.2.1.2.1.4.8</w:t>
            </w:r>
            <w:r>
              <w:rPr>
                <w:rFonts w:ascii="Verdana" w:eastAsia="Calibri" w:hAnsi="Verdana" w:cs="Arial"/>
                <w:color w:val="000000" w:themeColor="text1"/>
                <w:lang w:val="es-ES_tradnl"/>
              </w:rPr>
              <w:t xml:space="preserve">., </w:t>
            </w:r>
            <w:r w:rsidRPr="00214436">
              <w:rPr>
                <w:rFonts w:ascii="Verdana" w:eastAsia="Calibri" w:hAnsi="Verdana" w:cs="Arial"/>
                <w:bCs/>
                <w:color w:val="000000"/>
                <w:lang w:val="es-ES_tradnl"/>
              </w:rPr>
              <w:t>2.2.1.2.1.5.3.</w:t>
            </w:r>
            <w:r>
              <w:rPr>
                <w:rFonts w:ascii="Verdana" w:eastAsia="Calibri" w:hAnsi="Verdana" w:cs="Arial"/>
                <w:bCs/>
                <w:color w:val="000000"/>
                <w:lang w:val="es-ES_tradnl"/>
              </w:rPr>
              <w:t xml:space="preserve">, </w:t>
            </w:r>
            <w:r w:rsidRPr="00214436">
              <w:rPr>
                <w:rFonts w:ascii="Verdana" w:hAnsi="Verdana" w:cs="Arial"/>
                <w:lang w:val="es-ES_tradnl"/>
              </w:rPr>
              <w:t>2.2.1.2.1.5.4</w:t>
            </w:r>
            <w:r>
              <w:rPr>
                <w:rFonts w:ascii="Verdana" w:hAnsi="Verdana" w:cs="Arial"/>
                <w:lang w:val="es-ES_tradnl"/>
              </w:rPr>
              <w:t>.</w:t>
            </w:r>
          </w:p>
          <w:p w14:paraId="2D19CDEE" w14:textId="77777777" w:rsidR="006D2049" w:rsidRPr="004F20CE"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sidRPr="00214436">
              <w:rPr>
                <w:rFonts w:ascii="Verdana" w:eastAsia="Calibri" w:hAnsi="Verdana" w:cs="Arial"/>
                <w:bCs/>
                <w:color w:val="000000"/>
                <w:lang w:val="es-ES_tradnl"/>
              </w:rPr>
              <w:t>1860 de 2021</w:t>
            </w:r>
            <w:r>
              <w:rPr>
                <w:rFonts w:ascii="Verdana" w:eastAsia="Calibri" w:hAnsi="Verdana" w:cs="Arial"/>
                <w:bCs/>
                <w:color w:val="000000"/>
                <w:lang w:val="es-ES_tradnl"/>
              </w:rPr>
              <w:t>. Artículo 2.</w:t>
            </w:r>
          </w:p>
          <w:p w14:paraId="51FDEA58" w14:textId="77777777" w:rsidR="006D2049" w:rsidRPr="004F20CE"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sidRPr="004F20CE">
              <w:rPr>
                <w:rFonts w:ascii="Verdana" w:hAnsi="Verdana" w:cs="Arial"/>
                <w:lang w:eastAsia="es-ES"/>
              </w:rPr>
              <w:t xml:space="preserve">Consejo de Estado. Sala de Consulta y Servicio Civil. Concepto del 08 de mayo de 2018. </w:t>
            </w:r>
            <w:proofErr w:type="spellStart"/>
            <w:r w:rsidRPr="004F20CE">
              <w:rPr>
                <w:rFonts w:ascii="Verdana" w:hAnsi="Verdana" w:cs="Arial"/>
                <w:lang w:eastAsia="es-ES"/>
              </w:rPr>
              <w:t>Exp</w:t>
            </w:r>
            <w:proofErr w:type="spellEnd"/>
            <w:r w:rsidRPr="004F20CE">
              <w:rPr>
                <w:rFonts w:ascii="Verdana" w:hAnsi="Verdana" w:cs="Arial"/>
                <w:lang w:eastAsia="es-ES"/>
              </w:rPr>
              <w:t>. 2.382. C.P. Álvaro Namén Vargas.</w:t>
            </w:r>
          </w:p>
          <w:p w14:paraId="1514055E" w14:textId="77777777" w:rsidR="006D2049"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sidRPr="004F20CE">
              <w:rPr>
                <w:rFonts w:ascii="Verdana" w:hAnsi="Verdana" w:cs="Arial"/>
                <w:lang w:eastAsia="es-ES"/>
              </w:rPr>
              <w:t>DROMI, José Roberto. La licitación pública. Buenos Aires: Ciudad Argentina, 1980.</w:t>
            </w:r>
          </w:p>
          <w:p w14:paraId="3C1EA0FE" w14:textId="77777777" w:rsidR="006D2049"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sidRPr="004F20CE">
              <w:rPr>
                <w:rFonts w:ascii="Verdana" w:hAnsi="Verdana" w:cs="Arial"/>
                <w:lang w:eastAsia="es-ES"/>
              </w:rPr>
              <w:t>DÁVILA VINUEZA, Luis Guillermo. Régimen jurídico de la contratación estatal. Bogotá: Legis, 2016</w:t>
            </w:r>
            <w:r>
              <w:rPr>
                <w:rFonts w:ascii="Verdana" w:hAnsi="Verdana" w:cs="Arial"/>
                <w:lang w:eastAsia="es-ES"/>
              </w:rPr>
              <w:t>.</w:t>
            </w:r>
          </w:p>
          <w:p w14:paraId="7E1312CD" w14:textId="77777777" w:rsidR="006D2049" w:rsidRPr="004F20CE" w:rsidRDefault="006D2049" w:rsidP="008140C1">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rPr>
              <w:t xml:space="preserve">Guía de uso del portal de proveedores de la Tienda Virtual del Estado Colombiano grandes superficies. </w:t>
            </w:r>
            <w:r w:rsidRPr="004F20CE">
              <w:rPr>
                <w:rFonts w:ascii="Verdana" w:hAnsi="Verdana"/>
              </w:rPr>
              <w:t xml:space="preserve">Disponible en </w:t>
            </w:r>
            <w:hyperlink r:id="rId12" w:history="1">
              <w:r w:rsidRPr="004F20CE">
                <w:rPr>
                  <w:rStyle w:val="Hipervnculo"/>
                  <w:rFonts w:ascii="Verdana" w:hAnsi="Verdana"/>
                  <w:lang w:val="es-CO"/>
                </w:rPr>
                <w:t>20221219_guia_de_uso_del_portal_de_proveedores_de_la_tienda_v</w:t>
              </w:r>
              <w:r w:rsidRPr="004F20CE">
                <w:rPr>
                  <w:rStyle w:val="Hipervnculo"/>
                  <w:rFonts w:ascii="Verdana" w:hAnsi="Verdana"/>
                  <w:lang w:val="es-CO"/>
                </w:rPr>
                <w:lastRenderedPageBreak/>
                <w:t>irtual_del_estado_colombiano_grandes_almacenes_0.pdf</w:t>
              </w:r>
            </w:hyperlink>
          </w:p>
          <w:p w14:paraId="3CC53D35" w14:textId="77777777" w:rsidR="006D2049" w:rsidRPr="00F47E0F" w:rsidRDefault="006D2049" w:rsidP="008140C1">
            <w:pPr>
              <w:widowControl w:val="0"/>
              <w:numPr>
                <w:ilvl w:val="0"/>
                <w:numId w:val="17"/>
              </w:numPr>
              <w:autoSpaceDE w:val="0"/>
              <w:autoSpaceDN w:val="0"/>
              <w:spacing w:after="120" w:line="276" w:lineRule="auto"/>
              <w:jc w:val="both"/>
              <w:rPr>
                <w:rFonts w:ascii="Verdana" w:hAnsi="Verdana" w:cs="Arial"/>
              </w:rPr>
            </w:pPr>
            <w:r>
              <w:rPr>
                <w:rFonts w:ascii="Verdana" w:hAnsi="Verdana"/>
              </w:rPr>
              <w:t xml:space="preserve">Términos y condiciones de uso de la Tienda Virtual del Estado Colombiano. </w:t>
            </w:r>
            <w:r w:rsidRPr="004F20CE">
              <w:rPr>
                <w:rFonts w:ascii="Verdana" w:hAnsi="Verdana"/>
              </w:rPr>
              <w:t xml:space="preserve">Disponible en </w:t>
            </w:r>
            <w:hyperlink r:id="rId13" w:history="1">
              <w:r w:rsidRPr="004F20CE">
                <w:rPr>
                  <w:rStyle w:val="Hipervnculo"/>
                  <w:rFonts w:ascii="Verdana" w:hAnsi="Verdana"/>
                </w:rPr>
                <w:t>_terminos_y_codiciones_de_uso_de_la_tienda_virtual_del_estado_colombiano_v2_08-08-2022docx.pdf</w:t>
              </w:r>
            </w:hyperlink>
            <w:r>
              <w:rPr>
                <w:rFonts w:ascii="Verdana" w:eastAsia="Calibri" w:hAnsi="Verdana" w:cs="Arial"/>
                <w:lang w:val="es-ES"/>
              </w:rPr>
              <w:t xml:space="preserve"> </w:t>
            </w:r>
          </w:p>
        </w:tc>
      </w:tr>
    </w:tbl>
    <w:p w14:paraId="5CF42D6D" w14:textId="77777777" w:rsidR="006D2049" w:rsidRPr="00F47E0F" w:rsidRDefault="006D2049" w:rsidP="006D2049">
      <w:pPr>
        <w:widowControl w:val="0"/>
        <w:autoSpaceDE w:val="0"/>
        <w:autoSpaceDN w:val="0"/>
        <w:spacing w:after="0" w:line="276" w:lineRule="auto"/>
        <w:jc w:val="both"/>
        <w:rPr>
          <w:rFonts w:ascii="Verdana" w:hAnsi="Verdana" w:cs="Arial"/>
        </w:rPr>
      </w:pPr>
    </w:p>
    <w:p w14:paraId="1E7FA61C" w14:textId="77777777" w:rsidR="006D2049" w:rsidRPr="00F47E0F" w:rsidRDefault="006D2049" w:rsidP="006D204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Doctrina de la Agencia Nacional de Contratación Pública:</w:t>
      </w:r>
    </w:p>
    <w:p w14:paraId="22144F26" w14:textId="77777777" w:rsidR="006D2049" w:rsidRPr="00F47E0F" w:rsidRDefault="006D2049" w:rsidP="006D2049">
      <w:pPr>
        <w:widowControl w:val="0"/>
        <w:autoSpaceDE w:val="0"/>
        <w:autoSpaceDN w:val="0"/>
        <w:spacing w:after="0" w:line="276" w:lineRule="auto"/>
        <w:jc w:val="both"/>
        <w:rPr>
          <w:rFonts w:ascii="Verdana" w:hAnsi="Verdana" w:cs="Arial"/>
        </w:rPr>
      </w:pPr>
    </w:p>
    <w:p w14:paraId="002D2985" w14:textId="77777777" w:rsidR="006D2049" w:rsidRPr="00F47E0F" w:rsidRDefault="006D2049" w:rsidP="006D2049">
      <w:pPr>
        <w:widowControl w:val="0"/>
        <w:autoSpaceDE w:val="0"/>
        <w:autoSpaceDN w:val="0"/>
        <w:spacing w:after="0" w:line="276" w:lineRule="auto"/>
        <w:jc w:val="both"/>
        <w:rPr>
          <w:rFonts w:ascii="Verdana" w:hAnsi="Verdana" w:cs="Arial"/>
          <w:shd w:val="clear" w:color="auto" w:fill="FFFFFF"/>
          <w:lang w:val="es-ES"/>
        </w:rPr>
      </w:pPr>
      <w:r w:rsidRPr="007F6B24">
        <w:rPr>
          <w:rFonts w:ascii="Verdana" w:eastAsia="Calibri" w:hAnsi="Verdana" w:cs="Arial"/>
          <w:lang w:eastAsia="es-MX"/>
        </w:rPr>
        <w:t>La Agencia Nacional de Contratación Pública – Colombia Compra Eficiente se ha pronunciado sobre la causal de contratación directa por ausencia de pluralidad de oferentes en los conceptos C-321 del 23 de agosto de 2024, C, 567 del 21 de octubre de 2024, C-383 del 28 de abril de 2025, C-529 del 12 de mayo de 2026,</w:t>
      </w:r>
      <w:r>
        <w:rPr>
          <w:rFonts w:ascii="Verdana" w:eastAsia="Calibri" w:hAnsi="Verdana" w:cs="Arial"/>
          <w:lang w:eastAsia="es-MX"/>
        </w:rPr>
        <w:t xml:space="preserve"> C-826 del 26 de junio de 2026,</w:t>
      </w:r>
      <w:r w:rsidRPr="007F6B24">
        <w:rPr>
          <w:rFonts w:ascii="Verdana" w:eastAsia="Calibri" w:hAnsi="Verdana" w:cs="Arial"/>
          <w:lang w:eastAsia="es-MX"/>
        </w:rPr>
        <w:t xml:space="preserve"> entre otros</w:t>
      </w:r>
      <w:r>
        <w:rPr>
          <w:rFonts w:ascii="Verdana" w:hAnsi="Verdana" w:cs="Arial"/>
          <w:shd w:val="clear" w:color="auto" w:fill="FFFFFF"/>
          <w:lang w:val="es-ES"/>
        </w:rPr>
        <w:t xml:space="preserve">. </w:t>
      </w:r>
      <w:r w:rsidRPr="00F47E0F">
        <w:rPr>
          <w:rFonts w:ascii="Verdana" w:hAnsi="Verdana" w:cs="Arial"/>
          <w:shd w:val="clear" w:color="auto" w:fill="FFFFFF"/>
          <w:lang w:val="es-ES"/>
        </w:rPr>
        <w:t>Es</w:t>
      </w:r>
      <w:r w:rsidRPr="00F47E0F">
        <w:rPr>
          <w:rFonts w:ascii="Verdana" w:hAnsi="Verdana"/>
        </w:rPr>
        <w:t>tos y otros conceptos se encuentran disponibles para consulta en el Sistema de relatoría de la Agencia, al cual se puede acceder a través del siguiente enlace:</w:t>
      </w:r>
      <w:r w:rsidRPr="00F47E0F">
        <w:rPr>
          <w:rFonts w:ascii="Verdana" w:hAnsi="Verdana" w:cs="Arial"/>
          <w:shd w:val="clear" w:color="auto" w:fill="FFFFFF"/>
          <w:lang w:val="es-ES"/>
        </w:rPr>
        <w:t xml:space="preserve"> </w:t>
      </w:r>
      <w:hyperlink r:id="rId14" w:history="1">
        <w:r w:rsidRPr="00F47E0F">
          <w:rPr>
            <w:rFonts w:ascii="Verdana" w:hAnsi="Verdana" w:cs="Arial"/>
            <w:u w:val="single"/>
            <w:shd w:val="clear" w:color="auto" w:fill="FFFFFF"/>
            <w:lang w:val="es-ES"/>
          </w:rPr>
          <w:t>https://relatoria.colombiacompra.gov.co/busqueda/conceptos</w:t>
        </w:r>
      </w:hyperlink>
    </w:p>
    <w:p w14:paraId="5F9E7615" w14:textId="77777777" w:rsidR="006D2049" w:rsidRPr="00F47E0F" w:rsidRDefault="006D2049" w:rsidP="006D2049">
      <w:pPr>
        <w:widowControl w:val="0"/>
        <w:autoSpaceDE w:val="0"/>
        <w:autoSpaceDN w:val="0"/>
        <w:spacing w:after="0" w:line="276" w:lineRule="auto"/>
        <w:jc w:val="both"/>
        <w:rPr>
          <w:rFonts w:ascii="Verdana" w:hAnsi="Verdana" w:cs="Arial"/>
          <w:shd w:val="clear" w:color="auto" w:fill="FFFFFF"/>
          <w:lang w:val="es-ES"/>
        </w:rPr>
      </w:pPr>
    </w:p>
    <w:p w14:paraId="5D24E842" w14:textId="77777777" w:rsidR="006D2049" w:rsidRPr="001E5695" w:rsidRDefault="006D2049" w:rsidP="006D2049">
      <w:pPr>
        <w:spacing w:line="256" w:lineRule="auto"/>
        <w:jc w:val="both"/>
        <w:rPr>
          <w:rFonts w:ascii="Verdana" w:eastAsia="Calibri" w:hAnsi="Verdana" w:cs="Times New Roman"/>
        </w:rPr>
      </w:pPr>
      <w:r w:rsidRPr="001E5695">
        <w:rPr>
          <w:rFonts w:ascii="Verdana" w:eastAsia="Calibri"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1E5695">
        <w:rPr>
          <w:rFonts w:ascii="Verdana" w:eastAsia="Calibri" w:hAnsi="Verdana" w:cs="Times New Roman"/>
          <w:b/>
          <w:bCs/>
        </w:rPr>
        <w:t>Guía para la Exigencia y Constitución de Garantías en los Procesos de Contratación</w:t>
      </w:r>
      <w:r w:rsidRPr="001E5695">
        <w:rPr>
          <w:rFonts w:ascii="Verdana" w:eastAsia="Calibri"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1E5695">
          <w:rPr>
            <w:rFonts w:ascii="Verdana" w:eastAsia="Calibri" w:hAnsi="Verdana" w:cs="Times New Roman"/>
            <w:color w:val="0000FF"/>
            <w:u w:val="single"/>
          </w:rPr>
          <w:t>https://www.colombiacompra.gov.co/archivos/manual/guia-de-garantias-en-procesos-de-contratacion</w:t>
        </w:r>
      </w:hyperlink>
    </w:p>
    <w:p w14:paraId="6BEF1207" w14:textId="77777777" w:rsidR="006D2049" w:rsidRPr="001E5695" w:rsidRDefault="006D2049" w:rsidP="006D2049">
      <w:pPr>
        <w:spacing w:line="256" w:lineRule="auto"/>
        <w:jc w:val="both"/>
        <w:rPr>
          <w:rFonts w:ascii="Verdana" w:eastAsia="Calibri" w:hAnsi="Verdana" w:cs="Times New Roman"/>
        </w:rPr>
      </w:pPr>
      <w:r w:rsidRPr="001E5695">
        <w:rPr>
          <w:rFonts w:ascii="Verdana" w:eastAsia="Calibri" w:hAnsi="Verdana" w:cs="Times New Roman"/>
        </w:rPr>
        <w:t>De otro lado, te contamos que el Decreto 287 del 19 de marzo de 2026 sustituyó los artículos 2.2.1.2.4.2.6., 2.2.1.2.4.2.7. y 2.2.1.2.4.2.8. del Decreto 1082 de 2015 y estructuró el </w:t>
      </w:r>
      <w:r w:rsidRPr="001E5695">
        <w:rPr>
          <w:rFonts w:ascii="Verdana" w:eastAsia="Calibri" w:hAnsi="Verdana" w:cs="Times New Roman"/>
          <w:b/>
          <w:bCs/>
        </w:rPr>
        <w:t>Sistema Integral de Preferencias en favor de las personas con discapacidad</w:t>
      </w:r>
      <w:r w:rsidRPr="001E5695">
        <w:rPr>
          <w:rFonts w:ascii="Verdana" w:eastAsia="Calibri" w:hAnsi="Verdana" w:cs="Times New Roman"/>
        </w:rPr>
        <w:t>, en cumplimiento del artículo 13 de la Ley Estatutaria 1618 de 2013. Para orientar su aplicación, esta Agencia expidió la </w:t>
      </w:r>
      <w:r w:rsidRPr="001E5695">
        <w:rPr>
          <w:rFonts w:ascii="Verdana" w:eastAsia="Calibri" w:hAnsi="Verdana" w:cs="Times New Roman"/>
          <w:b/>
          <w:bCs/>
        </w:rPr>
        <w:t>Circular Externa 003 del 12 de mayo de 2026, </w:t>
      </w:r>
      <w:r w:rsidRPr="001E5695">
        <w:rPr>
          <w:rFonts w:ascii="Verdana" w:eastAsia="Calibri" w:hAnsi="Verdana" w:cs="Times New Roman"/>
        </w:rPr>
        <w:t xml:space="preserve">en la que precisa quiénes son los beneficiarios, las cinco medidas que integran el sistema y su obligatoriedad según la modalidad de selección, y el régimen de transición aplicable a los procesos en curso. Consúltala </w:t>
      </w:r>
      <w:r w:rsidRPr="001E5695">
        <w:rPr>
          <w:rFonts w:ascii="Verdana" w:eastAsia="Calibri" w:hAnsi="Verdana" w:cs="Times New Roman"/>
        </w:rPr>
        <w:lastRenderedPageBreak/>
        <w:t>aquí: </w:t>
      </w:r>
      <w:hyperlink r:id="rId16" w:tgtFrame="_blank" w:tooltip="Dirección URL original: https://www.colombiacompra.gov.co/archivos/circular/circular-externa-003-de-2026. Haga clic o pulse si confía en este vínculo." w:history="1">
        <w:r w:rsidRPr="001E5695">
          <w:rPr>
            <w:rFonts w:ascii="Verdana" w:eastAsia="Calibri" w:hAnsi="Verdana" w:cs="Times New Roman"/>
            <w:color w:val="0000FF"/>
            <w:u w:val="single"/>
          </w:rPr>
          <w:t>https://www.colombiacompra.gov.co/archivos/circular/circular-externa-003-de-2026</w:t>
        </w:r>
      </w:hyperlink>
    </w:p>
    <w:p w14:paraId="4D937F84" w14:textId="77777777" w:rsidR="006D2049" w:rsidRPr="001E5695" w:rsidRDefault="006D2049" w:rsidP="006D2049">
      <w:pPr>
        <w:spacing w:line="256" w:lineRule="auto"/>
        <w:jc w:val="both"/>
        <w:rPr>
          <w:rFonts w:ascii="Verdana" w:eastAsia="Calibri" w:hAnsi="Verdana" w:cs="Times New Roman"/>
        </w:rPr>
      </w:pPr>
      <w:r w:rsidRPr="001E5695">
        <w:rPr>
          <w:rFonts w:ascii="Verdana" w:eastAsia="Calibri" w:hAnsi="Verdana" w:cs="Times New Roman"/>
        </w:rPr>
        <w:t>Recuerda también que la</w:t>
      </w:r>
      <w:r w:rsidRPr="001E5695">
        <w:rPr>
          <w:rFonts w:ascii="Verdana" w:eastAsia="Calibri" w:hAnsi="Verdana" w:cs="Times New Roman"/>
          <w:b/>
          <w:bCs/>
        </w:rPr>
        <w:t> información sobre sanciones e inhabilidades </w:t>
      </w:r>
      <w:r w:rsidRPr="001E5695">
        <w:rPr>
          <w:rFonts w:ascii="Verdana" w:eastAsia="Calibri" w:hAnsi="Verdana" w:cs="Times New Roman"/>
        </w:rPr>
        <w:t>solo cumple su función preventiva si llega oportunamente a los registros públicos. Sobre este deber, esta Agencia expidió la </w:t>
      </w:r>
      <w:r w:rsidRPr="001E5695">
        <w:rPr>
          <w:rFonts w:ascii="Verdana" w:eastAsia="Calibri" w:hAnsi="Verdana" w:cs="Times New Roman"/>
          <w:b/>
          <w:bCs/>
        </w:rPr>
        <w:t>Circular Externa 002 del 5 de mayo de 2026,</w:t>
      </w:r>
      <w:r w:rsidRPr="001E5695">
        <w:rPr>
          <w:rFonts w:ascii="Verdana" w:eastAsia="Calibri"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1E5695">
          <w:rPr>
            <w:rFonts w:ascii="Verdana" w:eastAsia="Calibri" w:hAnsi="Verdana" w:cs="Times New Roman"/>
            <w:color w:val="0000FF"/>
            <w:u w:val="single"/>
          </w:rPr>
          <w:t>https://www.colombiacompra.gov.co/archivos/circular/circular-externa-002-de-2026</w:t>
        </w:r>
      </w:hyperlink>
    </w:p>
    <w:p w14:paraId="2E8FD73A" w14:textId="77777777" w:rsidR="006D2049" w:rsidRPr="001E5695" w:rsidRDefault="006D2049" w:rsidP="006D2049">
      <w:pPr>
        <w:spacing w:line="256" w:lineRule="auto"/>
        <w:jc w:val="both"/>
        <w:rPr>
          <w:rFonts w:ascii="Verdana" w:eastAsia="Calibri" w:hAnsi="Verdana" w:cs="Times New Roman"/>
        </w:rPr>
      </w:pPr>
      <w:r w:rsidRPr="001E5695">
        <w:rPr>
          <w:rFonts w:ascii="Verdana" w:eastAsia="Calibri" w:hAnsi="Verdana" w:cs="Times New Roman"/>
        </w:rPr>
        <w:t>Finalmente, si quieres seguir de cerca la actividad de la Agencia, la tercera edición de 2026 del</w:t>
      </w:r>
      <w:r w:rsidRPr="001E5695">
        <w:rPr>
          <w:rFonts w:ascii="Verdana" w:eastAsia="Calibri" w:hAnsi="Verdana" w:cs="Times New Roman"/>
          <w:b/>
          <w:bCs/>
        </w:rPr>
        <w:t> Radar de la Compra Pública</w:t>
      </w:r>
      <w:r w:rsidRPr="001E5695">
        <w:rPr>
          <w:rFonts w:ascii="Verdana" w:eastAsia="Calibri"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1E5695">
          <w:rPr>
            <w:rFonts w:ascii="Verdana" w:eastAsia="Calibri" w:hAnsi="Verdana" w:cs="Times New Roman"/>
            <w:color w:val="0000FF"/>
            <w:u w:val="single"/>
          </w:rPr>
          <w:t>https://www.colombiacompra.gov.co/archivos/boletin/boletin-edicion-n-3-de-2026-radar-de-la-compra-publica</w:t>
        </w:r>
      </w:hyperlink>
    </w:p>
    <w:p w14:paraId="5F40919A" w14:textId="77777777" w:rsidR="006D2049" w:rsidRPr="001E5695" w:rsidRDefault="006D2049" w:rsidP="006D204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Lo invitamos a seguirnos en las redes sociales en las cuales se difunde información institucional: </w:t>
      </w:r>
    </w:p>
    <w:p w14:paraId="4B1EB05D" w14:textId="77777777" w:rsidR="006D2049" w:rsidRPr="001E5695" w:rsidRDefault="006D2049" w:rsidP="006D2049">
      <w:pPr>
        <w:spacing w:after="0" w:line="240" w:lineRule="auto"/>
        <w:jc w:val="both"/>
        <w:rPr>
          <w:rFonts w:ascii="Verdana" w:eastAsia="Calibri" w:hAnsi="Verdana" w:cs="Times New Roman"/>
          <w:color w:val="000000" w:themeColor="text1"/>
        </w:rPr>
      </w:pPr>
    </w:p>
    <w:p w14:paraId="7360BD71" w14:textId="77777777" w:rsidR="006D2049" w:rsidRPr="001E5695" w:rsidRDefault="006D2049" w:rsidP="006D204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Twitter: </w:t>
      </w:r>
      <w:r w:rsidRPr="001E5695">
        <w:rPr>
          <w:rFonts w:ascii="Verdana" w:eastAsia="Calibri" w:hAnsi="Verdana" w:cs="Times New Roman"/>
          <w:color w:val="000000" w:themeColor="text1"/>
          <w:u w:val="single"/>
        </w:rPr>
        <w:t>@colombiacompra</w:t>
      </w:r>
      <w:r w:rsidRPr="001E5695">
        <w:rPr>
          <w:rFonts w:ascii="Verdana" w:eastAsia="Calibri" w:hAnsi="Verdana" w:cs="Times New Roman"/>
          <w:color w:val="000000" w:themeColor="text1"/>
        </w:rPr>
        <w:t xml:space="preserve"> </w:t>
      </w:r>
    </w:p>
    <w:p w14:paraId="61509A33" w14:textId="77777777" w:rsidR="006D2049" w:rsidRPr="001E5695" w:rsidRDefault="006D2049" w:rsidP="006D204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Facebook: </w:t>
      </w:r>
      <w:proofErr w:type="spellStart"/>
      <w:r w:rsidRPr="001E5695">
        <w:rPr>
          <w:rFonts w:ascii="Verdana" w:eastAsia="Calibri" w:hAnsi="Verdana" w:cs="Times New Roman"/>
          <w:color w:val="000000" w:themeColor="text1"/>
          <w:u w:val="single"/>
        </w:rPr>
        <w:t>ColombiaCompraEficiente</w:t>
      </w:r>
      <w:proofErr w:type="spellEnd"/>
    </w:p>
    <w:p w14:paraId="6C3883FF" w14:textId="77777777" w:rsidR="006D2049" w:rsidRPr="001E5695" w:rsidRDefault="006D2049" w:rsidP="006D204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LinkedIn: </w:t>
      </w:r>
      <w:r w:rsidRPr="001E5695">
        <w:rPr>
          <w:rFonts w:ascii="Verdana" w:eastAsia="Calibri" w:hAnsi="Verdana" w:cs="Times New Roman"/>
          <w:color w:val="000000" w:themeColor="text1"/>
          <w:u w:val="single"/>
        </w:rPr>
        <w:t>Agencia Nacional de Contratación Pública - Colombia Compra Eficiente</w:t>
      </w:r>
      <w:r w:rsidRPr="001E5695">
        <w:rPr>
          <w:rFonts w:ascii="Verdana" w:eastAsia="Calibri" w:hAnsi="Verdana" w:cs="Times New Roman"/>
          <w:color w:val="000000" w:themeColor="text1"/>
        </w:rPr>
        <w:t xml:space="preserve"> Instagram: </w:t>
      </w:r>
      <w:r w:rsidRPr="001E5695">
        <w:rPr>
          <w:rFonts w:ascii="Verdana" w:eastAsia="Calibri" w:hAnsi="Verdana" w:cs="Times New Roman"/>
          <w:color w:val="000000" w:themeColor="text1"/>
          <w:u w:val="single"/>
        </w:rPr>
        <w:t>@colombiacompraeficiente_cce</w:t>
      </w:r>
    </w:p>
    <w:p w14:paraId="4F2CB5F0" w14:textId="77777777" w:rsidR="006D2049" w:rsidRPr="001E5695" w:rsidRDefault="006D2049" w:rsidP="006D2049">
      <w:pPr>
        <w:widowControl w:val="0"/>
        <w:autoSpaceDE w:val="0"/>
        <w:autoSpaceDN w:val="0"/>
        <w:spacing w:after="0" w:line="276" w:lineRule="auto"/>
        <w:jc w:val="both"/>
        <w:rPr>
          <w:rFonts w:ascii="Verdana" w:eastAsia="Calibri" w:hAnsi="Verdana" w:cs="Arial"/>
          <w:color w:val="000000" w:themeColor="text1"/>
        </w:rPr>
      </w:pPr>
    </w:p>
    <w:p w14:paraId="014C8C09" w14:textId="77777777" w:rsidR="006D2049" w:rsidRPr="001E5695" w:rsidRDefault="006D2049" w:rsidP="006D2049">
      <w:pPr>
        <w:widowControl w:val="0"/>
        <w:autoSpaceDE w:val="0"/>
        <w:autoSpaceDN w:val="0"/>
        <w:spacing w:after="0" w:line="276" w:lineRule="auto"/>
        <w:jc w:val="both"/>
        <w:rPr>
          <w:rFonts w:ascii="Verdana" w:eastAsia="Calibri" w:hAnsi="Verdana" w:cs="Arial"/>
          <w:color w:val="000000" w:themeColor="text1"/>
          <w:lang w:val="es-ES_tradnl"/>
        </w:rPr>
      </w:pPr>
      <w:r w:rsidRPr="001E5695">
        <w:rPr>
          <w:rFonts w:ascii="Verdana" w:eastAsia="Calibri" w:hAnsi="Verdana" w:cs="Arial"/>
          <w:color w:val="000000" w:themeColor="text1"/>
        </w:rPr>
        <w:t xml:space="preserve">Este concepto tiene el alcance previsto en el artículo 28 del Código de Procedimiento Administrativo y de lo Contencioso Administrativo </w:t>
      </w:r>
      <w:r w:rsidRPr="001E5695">
        <w:rPr>
          <w:rFonts w:ascii="Verdana" w:eastAsia="Calibri" w:hAnsi="Verdana" w:cs="Arial"/>
          <w:color w:val="000000" w:themeColor="text1"/>
          <w:lang w:val="es-ES_tradnl"/>
        </w:rPr>
        <w:t>y las expresiones aquí utilizadas con mayúscula inicial deben ser entendidas con el significado que les otorga el artículo 2.2.1.1.1.3.1. del Decreto 1082 de 2015.</w:t>
      </w:r>
    </w:p>
    <w:p w14:paraId="70A4F28F" w14:textId="77777777" w:rsidR="006D2049" w:rsidRPr="001E5695" w:rsidRDefault="006D2049" w:rsidP="006D2049">
      <w:pPr>
        <w:spacing w:after="0" w:line="240" w:lineRule="auto"/>
        <w:rPr>
          <w:rFonts w:ascii="Verdana" w:eastAsia="Times New Roman" w:hAnsi="Verdana" w:cs="Arial"/>
          <w:color w:val="000000" w:themeColor="text1"/>
          <w:lang w:eastAsia="es-CO"/>
        </w:rPr>
      </w:pPr>
    </w:p>
    <w:p w14:paraId="02FA481F" w14:textId="77777777" w:rsidR="006D2049" w:rsidRPr="001E5695" w:rsidRDefault="006D2049" w:rsidP="006D2049">
      <w:pPr>
        <w:spacing w:after="0" w:line="240" w:lineRule="auto"/>
        <w:rPr>
          <w:rFonts w:ascii="Verdana" w:eastAsia="Times New Roman" w:hAnsi="Verdana" w:cs="Arial"/>
          <w:color w:val="000000" w:themeColor="text1"/>
          <w:lang w:eastAsia="es-CO"/>
        </w:rPr>
      </w:pPr>
    </w:p>
    <w:p w14:paraId="56AD8921" w14:textId="77777777" w:rsidR="006D2049" w:rsidRPr="004407BC" w:rsidRDefault="006D2049" w:rsidP="006D2049">
      <w:pPr>
        <w:spacing w:after="0" w:line="276" w:lineRule="auto"/>
        <w:rPr>
          <w:rFonts w:ascii="Verdana" w:eastAsia="Calibri" w:hAnsi="Verdana" w:cs="Arial"/>
          <w:lang w:val="es-ES" w:eastAsia="es-CO"/>
        </w:rPr>
      </w:pPr>
      <w:r w:rsidRPr="004407BC">
        <w:rPr>
          <w:rFonts w:ascii="Verdana" w:eastAsia="Times New Roman" w:hAnsi="Verdana" w:cs="Arial"/>
          <w:lang w:val="es-ES" w:eastAsia="es-CO"/>
        </w:rPr>
        <w:t>Atentamente,</w:t>
      </w:r>
      <w:r w:rsidRPr="004407BC">
        <w:rPr>
          <w:rFonts w:ascii="Verdana" w:eastAsia="Calibri" w:hAnsi="Verdana" w:cs="Arial"/>
          <w:lang w:val="es-ES" w:eastAsia="es-CO"/>
        </w:rPr>
        <w:t xml:space="preserve"> </w:t>
      </w:r>
    </w:p>
    <w:p w14:paraId="5A7295D9" w14:textId="77777777" w:rsidR="006D2049" w:rsidRPr="004407BC" w:rsidRDefault="006D2049" w:rsidP="006D2049">
      <w:pPr>
        <w:autoSpaceDE w:val="0"/>
        <w:autoSpaceDN w:val="0"/>
        <w:adjustRightInd w:val="0"/>
        <w:spacing w:after="0" w:line="276" w:lineRule="auto"/>
        <w:rPr>
          <w:rFonts w:ascii="Verdana" w:eastAsia="Calibri" w:hAnsi="Verdana" w:cs="Arial"/>
          <w:noProof/>
          <w:sz w:val="20"/>
          <w:szCs w:val="20"/>
        </w:rPr>
      </w:pPr>
    </w:p>
    <w:p w14:paraId="78EB9506" w14:textId="728030A7" w:rsidR="006D2049" w:rsidRPr="004407BC" w:rsidRDefault="0025692B" w:rsidP="006D2049">
      <w:pPr>
        <w:spacing w:after="0" w:line="252" w:lineRule="auto"/>
        <w:jc w:val="center"/>
        <w:rPr>
          <w:rFonts w:ascii="Verdana" w:eastAsia="Times New Roman" w:hAnsi="Verdana" w:cs="Arial"/>
          <w:lang w:eastAsia="es-ES"/>
        </w:rPr>
      </w:pPr>
      <w:r>
        <w:rPr>
          <w:noProof/>
        </w:rPr>
        <w:lastRenderedPageBreak/>
        <w:drawing>
          <wp:inline distT="0" distB="0" distL="0" distR="0" wp14:anchorId="3AD76AA8" wp14:editId="75238FC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p w14:paraId="00C0F64D" w14:textId="77777777" w:rsidR="006D2049" w:rsidRPr="004407BC" w:rsidRDefault="006D2049" w:rsidP="006D2049">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6D2049" w:rsidRPr="004407BC" w14:paraId="52E951EB" w14:textId="77777777" w:rsidTr="008140C1">
        <w:trPr>
          <w:trHeight w:val="322"/>
        </w:trPr>
        <w:tc>
          <w:tcPr>
            <w:tcW w:w="733" w:type="dxa"/>
            <w:tcBorders>
              <w:top w:val="nil"/>
              <w:left w:val="nil"/>
              <w:bottom w:val="nil"/>
              <w:right w:val="nil"/>
            </w:tcBorders>
            <w:vAlign w:val="center"/>
            <w:hideMark/>
          </w:tcPr>
          <w:p w14:paraId="05B5A9D7" w14:textId="77777777" w:rsidR="006D2049" w:rsidRPr="004407BC" w:rsidRDefault="006D2049" w:rsidP="008140C1">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Elaboró:         </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541439F" w14:textId="77777777" w:rsidR="006D2049" w:rsidRPr="004407BC" w:rsidRDefault="006D2049" w:rsidP="008140C1">
            <w:pPr>
              <w:spacing w:after="0" w:line="252" w:lineRule="auto"/>
              <w:rPr>
                <w:rFonts w:ascii="Verdana" w:eastAsia="Times New Roman" w:hAnsi="Verdana" w:cs="Arial"/>
                <w:sz w:val="16"/>
                <w:szCs w:val="16"/>
                <w:lang w:val="es-ES_tradnl" w:eastAsia="es-ES"/>
              </w:rPr>
            </w:pPr>
            <w:r w:rsidRPr="004407BC">
              <w:rPr>
                <w:rFonts w:ascii="Verdana" w:eastAsia="Times New Roman" w:hAnsi="Verdana" w:cs="Arial"/>
                <w:sz w:val="16"/>
                <w:szCs w:val="16"/>
                <w:lang w:val="es-ES_tradnl" w:eastAsia="es-ES"/>
              </w:rPr>
              <w:t>Ximena Ríos López</w:t>
            </w:r>
          </w:p>
          <w:p w14:paraId="53CBF7AC" w14:textId="77777777" w:rsidR="006D2049" w:rsidRPr="004407BC" w:rsidRDefault="006D2049" w:rsidP="008140C1">
            <w:pPr>
              <w:autoSpaceDE w:val="0"/>
              <w:autoSpaceDN w:val="0"/>
              <w:adjustRightInd w:val="0"/>
              <w:spacing w:after="0" w:line="276" w:lineRule="auto"/>
              <w:rPr>
                <w:rFonts w:ascii="Verdana" w:eastAsia="Calibri" w:hAnsi="Verdana" w:cs="Arial"/>
              </w:rPr>
            </w:pPr>
            <w:r w:rsidRPr="004407BC">
              <w:rPr>
                <w:rFonts w:ascii="Verdana" w:eastAsia="Times New Roman" w:hAnsi="Verdana" w:cs="Arial"/>
                <w:sz w:val="16"/>
                <w:szCs w:val="16"/>
                <w:lang w:eastAsia="es-ES"/>
              </w:rPr>
              <w:t>Gestor T1-11 de la Subdirección de Gestión Contractual</w:t>
            </w:r>
          </w:p>
        </w:tc>
      </w:tr>
      <w:tr w:rsidR="006D2049" w:rsidRPr="004407BC" w14:paraId="0EF6858D" w14:textId="77777777" w:rsidTr="008140C1">
        <w:trPr>
          <w:trHeight w:val="322"/>
        </w:trPr>
        <w:tc>
          <w:tcPr>
            <w:tcW w:w="733" w:type="dxa"/>
            <w:tcBorders>
              <w:top w:val="nil"/>
              <w:left w:val="nil"/>
              <w:bottom w:val="nil"/>
              <w:right w:val="nil"/>
            </w:tcBorders>
            <w:vAlign w:val="center"/>
            <w:hideMark/>
          </w:tcPr>
          <w:p w14:paraId="5BF89104" w14:textId="77777777" w:rsidR="006D2049" w:rsidRPr="004407BC" w:rsidRDefault="006D2049" w:rsidP="008140C1">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Revisó:</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9E02ED3" w14:textId="77777777" w:rsidR="006D2049" w:rsidRPr="004407BC" w:rsidRDefault="006D2049" w:rsidP="008140C1">
            <w:pPr>
              <w:spacing w:after="0" w:line="252"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López</w:t>
            </w:r>
          </w:p>
          <w:p w14:paraId="587155D4" w14:textId="77777777" w:rsidR="006D2049" w:rsidRPr="004407BC" w:rsidRDefault="006D2049" w:rsidP="008140C1">
            <w:pPr>
              <w:autoSpaceDE w:val="0"/>
              <w:autoSpaceDN w:val="0"/>
              <w:adjustRightInd w:val="0"/>
              <w:spacing w:after="0" w:line="276" w:lineRule="auto"/>
              <w:rPr>
                <w:rFonts w:ascii="Verdana" w:eastAsia="Calibri" w:hAnsi="Verdana" w:cs="Arial"/>
              </w:rPr>
            </w:pPr>
            <w:r w:rsidRPr="004407BC">
              <w:rPr>
                <w:rFonts w:ascii="Verdana" w:eastAsia="Times New Roman" w:hAnsi="Verdana" w:cs="Arial"/>
                <w:sz w:val="16"/>
                <w:szCs w:val="16"/>
                <w:lang w:eastAsia="es-ES"/>
              </w:rPr>
              <w:t>Contratista de la Subdirección de Gestión Contractual</w:t>
            </w:r>
          </w:p>
        </w:tc>
      </w:tr>
      <w:tr w:rsidR="006D2049" w:rsidRPr="004407BC" w14:paraId="6DA3BD88" w14:textId="77777777" w:rsidTr="008140C1">
        <w:trPr>
          <w:trHeight w:val="307"/>
        </w:trPr>
        <w:tc>
          <w:tcPr>
            <w:tcW w:w="733" w:type="dxa"/>
            <w:tcBorders>
              <w:top w:val="nil"/>
              <w:left w:val="nil"/>
              <w:bottom w:val="nil"/>
              <w:right w:val="nil"/>
            </w:tcBorders>
            <w:vAlign w:val="center"/>
            <w:hideMark/>
          </w:tcPr>
          <w:p w14:paraId="226E3C67" w14:textId="77777777" w:rsidR="006D2049" w:rsidRPr="004407BC" w:rsidRDefault="006D2049" w:rsidP="008140C1">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Aprobó:</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A100E83" w14:textId="77777777" w:rsidR="006D2049" w:rsidRPr="004407BC" w:rsidRDefault="006D2049" w:rsidP="008140C1">
            <w:pPr>
              <w:spacing w:after="0" w:line="252" w:lineRule="auto"/>
              <w:rPr>
                <w:rFonts w:ascii="Verdana" w:eastAsia="Times New Roman" w:hAnsi="Verdana" w:cs="Arial"/>
                <w:sz w:val="16"/>
                <w:szCs w:val="16"/>
                <w:lang w:eastAsia="es-ES"/>
              </w:rPr>
            </w:pPr>
            <w:r w:rsidRPr="004407BC">
              <w:rPr>
                <w:rFonts w:ascii="Verdana" w:eastAsia="Times New Roman" w:hAnsi="Verdana" w:cs="Arial"/>
                <w:sz w:val="16"/>
                <w:szCs w:val="16"/>
                <w:lang w:eastAsia="es-ES"/>
              </w:rPr>
              <w:t>Carolina Quintero Gacharná</w:t>
            </w:r>
          </w:p>
          <w:p w14:paraId="5509A249" w14:textId="77777777" w:rsidR="006D2049" w:rsidRPr="004407BC" w:rsidRDefault="006D2049" w:rsidP="008140C1">
            <w:pPr>
              <w:spacing w:after="0" w:line="252" w:lineRule="auto"/>
              <w:rPr>
                <w:rFonts w:ascii="Verdana" w:eastAsia="Times New Roman" w:hAnsi="Verdana" w:cs="Arial"/>
                <w:sz w:val="16"/>
                <w:szCs w:val="16"/>
                <w:lang w:eastAsia="es-ES"/>
              </w:rPr>
            </w:pPr>
            <w:r w:rsidRPr="004407BC">
              <w:rPr>
                <w:rFonts w:ascii="Verdana" w:eastAsia="Times New Roman" w:hAnsi="Verdana" w:cs="Arial"/>
                <w:sz w:val="16"/>
                <w:szCs w:val="16"/>
                <w:lang w:eastAsia="es-ES"/>
              </w:rPr>
              <w:t>Subdirectora de Gestión Contractual ANCP – CCE</w:t>
            </w:r>
          </w:p>
        </w:tc>
      </w:tr>
    </w:tbl>
    <w:p w14:paraId="3DAB03A4" w14:textId="2DFAEAE5" w:rsidR="006D2049" w:rsidRPr="004407BC" w:rsidRDefault="006D2049" w:rsidP="006D2049">
      <w:pPr>
        <w:widowControl w:val="0"/>
        <w:autoSpaceDE w:val="0"/>
        <w:autoSpaceDN w:val="0"/>
        <w:spacing w:after="120" w:line="276" w:lineRule="auto"/>
        <w:jc w:val="both"/>
        <w:rPr>
          <w:rFonts w:ascii="Verdana" w:eastAsia="Calibri" w:hAnsi="Verdana" w:cs="Arial"/>
          <w:color w:val="000000" w:themeColor="text1"/>
          <w:shd w:val="clear" w:color="auto" w:fill="FFFFFF"/>
        </w:rPr>
      </w:pPr>
    </w:p>
    <w:p w14:paraId="64B78085" w14:textId="77777777" w:rsidR="006D2049" w:rsidRPr="004407BC" w:rsidRDefault="006D2049" w:rsidP="006D2049">
      <w:pPr>
        <w:widowControl w:val="0"/>
        <w:autoSpaceDE w:val="0"/>
        <w:autoSpaceDN w:val="0"/>
        <w:spacing w:after="0" w:line="276" w:lineRule="auto"/>
        <w:jc w:val="both"/>
        <w:rPr>
          <w:rFonts w:ascii="Verdana" w:eastAsia="Calibri" w:hAnsi="Verdana" w:cs="Arial"/>
        </w:rPr>
      </w:pPr>
    </w:p>
    <w:p w14:paraId="6ECA5544" w14:textId="77777777" w:rsidR="006D2049" w:rsidRDefault="006D2049" w:rsidP="006D2049">
      <w:pPr>
        <w:shd w:val="clear" w:color="auto" w:fill="FFFFFF" w:themeFill="background1"/>
        <w:spacing w:after="0" w:line="276" w:lineRule="auto"/>
        <w:jc w:val="both"/>
        <w:rPr>
          <w:rFonts w:ascii="Verdana" w:hAnsi="Verdana"/>
          <w:color w:val="000000" w:themeColor="text1"/>
        </w:rPr>
      </w:pPr>
    </w:p>
    <w:p w14:paraId="63360192" w14:textId="77777777" w:rsidR="006D2049" w:rsidRPr="00F47E0F" w:rsidRDefault="006D2049" w:rsidP="006D2049"/>
    <w:p w14:paraId="29E71F39" w14:textId="77777777" w:rsidR="006D2049" w:rsidRPr="00F47E0F" w:rsidRDefault="006D2049" w:rsidP="006D2049"/>
    <w:p w14:paraId="0F293BF4" w14:textId="4A5F5116" w:rsidR="00127233" w:rsidRPr="006D2049" w:rsidRDefault="00127233" w:rsidP="006D2049"/>
    <w:sectPr w:rsidR="00127233" w:rsidRPr="006D204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14166" w14:textId="77777777" w:rsidR="006A4DB5" w:rsidRDefault="006A4DB5" w:rsidP="004A1847">
      <w:pPr>
        <w:spacing w:after="0" w:line="240" w:lineRule="auto"/>
      </w:pPr>
      <w:r>
        <w:separator/>
      </w:r>
    </w:p>
  </w:endnote>
  <w:endnote w:type="continuationSeparator" w:id="0">
    <w:p w14:paraId="1F169477" w14:textId="77777777" w:rsidR="006A4DB5" w:rsidRDefault="006A4DB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D43AC" w14:textId="77777777" w:rsidR="006A4DB5" w:rsidRDefault="006A4DB5" w:rsidP="004A1847">
      <w:pPr>
        <w:spacing w:after="0" w:line="240" w:lineRule="auto"/>
      </w:pPr>
      <w:r>
        <w:separator/>
      </w:r>
    </w:p>
  </w:footnote>
  <w:footnote w:type="continuationSeparator" w:id="0">
    <w:p w14:paraId="0C5C985C" w14:textId="77777777" w:rsidR="006A4DB5" w:rsidRDefault="006A4DB5" w:rsidP="004A1847">
      <w:pPr>
        <w:spacing w:after="0" w:line="240" w:lineRule="auto"/>
      </w:pPr>
      <w:r>
        <w:continuationSeparator/>
      </w:r>
    </w:p>
  </w:footnote>
  <w:footnote w:id="1">
    <w:p w14:paraId="70E9E922" w14:textId="77777777" w:rsidR="006D2049" w:rsidRPr="00D4326A" w:rsidRDefault="006D2049" w:rsidP="006D2049">
      <w:pPr>
        <w:pStyle w:val="Textonotapie"/>
        <w:ind w:firstLine="709"/>
        <w:jc w:val="both"/>
        <w:rPr>
          <w:rFonts w:ascii="Verdana" w:hAnsi="Verdana" w:cs="Arial"/>
          <w:color w:val="000000" w:themeColor="text1"/>
          <w:sz w:val="16"/>
          <w:szCs w:val="16"/>
        </w:rPr>
      </w:pPr>
      <w:r w:rsidRPr="00D4326A">
        <w:rPr>
          <w:rStyle w:val="Refdenotaalpie"/>
          <w:rFonts w:ascii="Verdana" w:hAnsi="Verdana" w:cs="Arial"/>
          <w:color w:val="000000" w:themeColor="text1"/>
          <w:sz w:val="16"/>
          <w:szCs w:val="16"/>
        </w:rPr>
        <w:footnoteRef/>
      </w:r>
      <w:r w:rsidRPr="00D4326A">
        <w:rPr>
          <w:rFonts w:ascii="Verdana" w:hAnsi="Verdana" w:cs="Arial"/>
          <w:color w:val="000000" w:themeColor="text1"/>
          <w:sz w:val="16"/>
          <w:szCs w:val="16"/>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p w14:paraId="58A1BC5B" w14:textId="77777777" w:rsidR="006D2049" w:rsidRPr="00121847" w:rsidRDefault="006D2049" w:rsidP="006D2049">
      <w:pPr>
        <w:pStyle w:val="Textonotapie"/>
        <w:ind w:firstLine="709"/>
        <w:jc w:val="both"/>
        <w:rPr>
          <w:rFonts w:ascii="Verdana" w:hAnsi="Verdana" w:cs="Arial"/>
          <w:color w:val="000000" w:themeColor="text1"/>
          <w:sz w:val="18"/>
          <w:szCs w:val="18"/>
        </w:rPr>
      </w:pPr>
    </w:p>
  </w:footnote>
  <w:footnote w:id="2">
    <w:p w14:paraId="245278FD" w14:textId="77777777" w:rsidR="006D2049" w:rsidRPr="00B65D62" w:rsidRDefault="006D2049" w:rsidP="006D2049">
      <w:pPr>
        <w:pStyle w:val="Textonotapie"/>
        <w:ind w:firstLine="709"/>
        <w:jc w:val="both"/>
        <w:rPr>
          <w:rFonts w:ascii="Verdana" w:hAnsi="Verdana" w:cs="Arial"/>
          <w:sz w:val="16"/>
          <w:szCs w:val="16"/>
          <w:lang w:val="es-ES"/>
        </w:rPr>
      </w:pPr>
      <w:r w:rsidRPr="00B65D62">
        <w:rPr>
          <w:rStyle w:val="Refdenotaalpie"/>
          <w:rFonts w:ascii="Verdana" w:hAnsi="Verdana" w:cs="Arial"/>
          <w:sz w:val="16"/>
          <w:szCs w:val="16"/>
        </w:rPr>
        <w:footnoteRef/>
      </w:r>
      <w:r w:rsidRPr="00B65D62">
        <w:rPr>
          <w:rFonts w:ascii="Verdana" w:hAnsi="Verdana" w:cs="Arial"/>
          <w:sz w:val="16"/>
          <w:szCs w:val="16"/>
        </w:rPr>
        <w:t xml:space="preserve"> </w:t>
      </w:r>
      <w:r w:rsidRPr="00B65D62">
        <w:rPr>
          <w:rFonts w:ascii="Verdana" w:hAnsi="Verdana" w:cs="Arial"/>
          <w:sz w:val="16"/>
          <w:szCs w:val="16"/>
          <w:lang w:val="es-ES"/>
        </w:rPr>
        <w:t>Así lo ha reconocido la doctrina, al señalar que «La identificación acerca de la inexistencia de más de un proponente es el resultado de los estudios y análisis que debe efectuar la entidad durante la fase previa o preparatoria, tal como de manera expresa lo reconoce dicha norma» (DÁVILA VINUEZA, Luis Guillermo. Régimen jurídico de la contratación estatal. Bogotá: Legis, 2016, p. 506).</w:t>
      </w:r>
    </w:p>
    <w:p w14:paraId="0AF84606" w14:textId="77777777" w:rsidR="006D2049" w:rsidRPr="00B65D62" w:rsidRDefault="006D2049" w:rsidP="006D2049">
      <w:pPr>
        <w:pStyle w:val="Textonotapie"/>
        <w:ind w:firstLine="709"/>
        <w:jc w:val="both"/>
        <w:rPr>
          <w:rFonts w:ascii="Verdana" w:hAnsi="Verdana" w:cs="Arial"/>
          <w:sz w:val="16"/>
          <w:szCs w:val="16"/>
          <w:lang w:val="es-ES"/>
        </w:rPr>
      </w:pPr>
    </w:p>
  </w:footnote>
  <w:footnote w:id="3">
    <w:p w14:paraId="71A30BEC" w14:textId="77777777" w:rsidR="006D2049" w:rsidRPr="006C6F13" w:rsidRDefault="006D2049" w:rsidP="006D2049">
      <w:pPr>
        <w:snapToGrid w:val="0"/>
        <w:spacing w:after="0" w:line="240" w:lineRule="auto"/>
        <w:ind w:firstLine="707"/>
        <w:contextualSpacing/>
        <w:jc w:val="both"/>
        <w:rPr>
          <w:rFonts w:ascii="Verdana" w:hAnsi="Verdana" w:cs="Arial"/>
          <w:sz w:val="16"/>
          <w:szCs w:val="16"/>
        </w:rPr>
      </w:pPr>
      <w:r w:rsidRPr="006C6F13">
        <w:rPr>
          <w:rFonts w:ascii="Verdana" w:hAnsi="Verdana" w:cs="Arial"/>
          <w:sz w:val="16"/>
          <w:szCs w:val="16"/>
          <w:vertAlign w:val="superscript"/>
        </w:rPr>
        <w:footnoteRef/>
      </w:r>
      <w:r w:rsidRPr="006C6F13">
        <w:rPr>
          <w:rFonts w:ascii="Verdana" w:eastAsia="Arial" w:hAnsi="Verdana" w:cs="Arial"/>
          <w:color w:val="000000"/>
          <w:sz w:val="16"/>
          <w:szCs w:val="16"/>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4">
    <w:p w14:paraId="170D6256" w14:textId="77777777" w:rsidR="006D2049" w:rsidRPr="006C6F13" w:rsidRDefault="006D2049" w:rsidP="006D2049">
      <w:pPr>
        <w:snapToGrid w:val="0"/>
        <w:spacing w:after="0" w:line="240" w:lineRule="auto"/>
        <w:ind w:firstLine="707"/>
        <w:contextualSpacing/>
        <w:jc w:val="both"/>
        <w:rPr>
          <w:rFonts w:ascii="Verdana" w:hAnsi="Verdana" w:cs="Arial"/>
          <w:sz w:val="16"/>
          <w:szCs w:val="16"/>
        </w:rPr>
      </w:pPr>
      <w:r w:rsidRPr="006C6F13">
        <w:rPr>
          <w:rFonts w:ascii="Verdana" w:hAnsi="Verdana" w:cs="Arial"/>
          <w:sz w:val="16"/>
          <w:szCs w:val="16"/>
          <w:vertAlign w:val="superscript"/>
        </w:rPr>
        <w:footnoteRef/>
      </w:r>
      <w:r w:rsidRPr="006C6F13">
        <w:rPr>
          <w:rFonts w:ascii="Verdana" w:eastAsia="Arial" w:hAnsi="Verdana" w:cs="Arial"/>
          <w:color w:val="000000"/>
          <w:sz w:val="16"/>
          <w:szCs w:val="16"/>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footnote>
  <w:footnote w:id="5">
    <w:p w14:paraId="77822B9F" w14:textId="77777777" w:rsidR="006D2049" w:rsidRPr="006C6F13" w:rsidRDefault="006D2049" w:rsidP="006D2049">
      <w:pPr>
        <w:pBdr>
          <w:top w:val="nil"/>
          <w:left w:val="nil"/>
          <w:bottom w:val="nil"/>
          <w:right w:val="nil"/>
          <w:between w:val="nil"/>
        </w:pBdr>
        <w:snapToGrid w:val="0"/>
        <w:spacing w:after="0" w:line="240" w:lineRule="auto"/>
        <w:ind w:firstLine="707"/>
        <w:contextualSpacing/>
        <w:jc w:val="both"/>
        <w:rPr>
          <w:rFonts w:ascii="Verdana" w:hAnsi="Verdana" w:cs="Arial"/>
          <w:color w:val="000000"/>
          <w:sz w:val="16"/>
          <w:szCs w:val="16"/>
        </w:rPr>
      </w:pPr>
      <w:r w:rsidRPr="006C6F13">
        <w:rPr>
          <w:rFonts w:ascii="Verdana" w:hAnsi="Verdana" w:cs="Arial"/>
          <w:sz w:val="16"/>
          <w:szCs w:val="16"/>
          <w:vertAlign w:val="superscript"/>
        </w:rPr>
        <w:footnoteRef/>
      </w:r>
      <w:r w:rsidRPr="006C6F13">
        <w:rPr>
          <w:rFonts w:ascii="Verdana" w:hAnsi="Verdana" w:cs="Arial"/>
          <w:color w:val="000000"/>
          <w:sz w:val="16"/>
          <w:szCs w:val="16"/>
        </w:rPr>
        <w:t xml:space="preserve"> Las </w:t>
      </w:r>
      <w:r>
        <w:rPr>
          <w:rFonts w:ascii="Verdana" w:hAnsi="Verdana" w:cs="Arial"/>
          <w:color w:val="000000"/>
          <w:sz w:val="16"/>
          <w:szCs w:val="16"/>
        </w:rPr>
        <w:t>tres</w:t>
      </w:r>
      <w:r w:rsidRPr="006C6F13">
        <w:rPr>
          <w:rFonts w:ascii="Verdana" w:hAnsi="Verdana" w:cs="Arial"/>
          <w:color w:val="000000"/>
          <w:sz w:val="16"/>
          <w:szCs w:val="16"/>
        </w:rPr>
        <w:t xml:space="preserve"> últimas causales fueron creadas por la Ley 2160 del 25 de noviembre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9D66113"/>
    <w:multiLevelType w:val="hybridMultilevel"/>
    <w:tmpl w:val="D292DB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6120854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37DB"/>
    <w:rsid w:val="000A683E"/>
    <w:rsid w:val="000B19B9"/>
    <w:rsid w:val="000D0334"/>
    <w:rsid w:val="000D5DA7"/>
    <w:rsid w:val="000F6486"/>
    <w:rsid w:val="00116940"/>
    <w:rsid w:val="00125105"/>
    <w:rsid w:val="00127233"/>
    <w:rsid w:val="001568A9"/>
    <w:rsid w:val="0015699B"/>
    <w:rsid w:val="00165ED8"/>
    <w:rsid w:val="001A33BF"/>
    <w:rsid w:val="001E4177"/>
    <w:rsid w:val="001F0B24"/>
    <w:rsid w:val="001F7DC6"/>
    <w:rsid w:val="0022400B"/>
    <w:rsid w:val="00226464"/>
    <w:rsid w:val="002421BB"/>
    <w:rsid w:val="0025692B"/>
    <w:rsid w:val="0025796E"/>
    <w:rsid w:val="002707A2"/>
    <w:rsid w:val="002951A0"/>
    <w:rsid w:val="002962BC"/>
    <w:rsid w:val="002A093D"/>
    <w:rsid w:val="002A0DD0"/>
    <w:rsid w:val="002A49AC"/>
    <w:rsid w:val="002A64FD"/>
    <w:rsid w:val="002B64B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0013"/>
    <w:rsid w:val="00466E39"/>
    <w:rsid w:val="004A1847"/>
    <w:rsid w:val="004A305D"/>
    <w:rsid w:val="004E5908"/>
    <w:rsid w:val="004F21C4"/>
    <w:rsid w:val="004F685F"/>
    <w:rsid w:val="00535C1C"/>
    <w:rsid w:val="005566E8"/>
    <w:rsid w:val="00574867"/>
    <w:rsid w:val="00591460"/>
    <w:rsid w:val="005A65E0"/>
    <w:rsid w:val="005C3777"/>
    <w:rsid w:val="005C5CDC"/>
    <w:rsid w:val="005D476C"/>
    <w:rsid w:val="005E6026"/>
    <w:rsid w:val="006200BF"/>
    <w:rsid w:val="006219F8"/>
    <w:rsid w:val="006302F7"/>
    <w:rsid w:val="00646B9F"/>
    <w:rsid w:val="00665D70"/>
    <w:rsid w:val="00682A0D"/>
    <w:rsid w:val="006900D9"/>
    <w:rsid w:val="006A4DB5"/>
    <w:rsid w:val="006D2049"/>
    <w:rsid w:val="006F43D6"/>
    <w:rsid w:val="00704CD1"/>
    <w:rsid w:val="00706C16"/>
    <w:rsid w:val="007340C3"/>
    <w:rsid w:val="0075235A"/>
    <w:rsid w:val="00756841"/>
    <w:rsid w:val="007649AB"/>
    <w:rsid w:val="00771D0C"/>
    <w:rsid w:val="007833AC"/>
    <w:rsid w:val="007B268C"/>
    <w:rsid w:val="007B7171"/>
    <w:rsid w:val="007C0C0F"/>
    <w:rsid w:val="007C3DC2"/>
    <w:rsid w:val="007E5497"/>
    <w:rsid w:val="00806F5F"/>
    <w:rsid w:val="0081125C"/>
    <w:rsid w:val="00820278"/>
    <w:rsid w:val="008258C9"/>
    <w:rsid w:val="00844AE9"/>
    <w:rsid w:val="00851EEF"/>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54CE1"/>
    <w:rsid w:val="00B72CD3"/>
    <w:rsid w:val="00B72FFF"/>
    <w:rsid w:val="00BC3D36"/>
    <w:rsid w:val="00BD54A6"/>
    <w:rsid w:val="00BD69F5"/>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17A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41ACA4"/>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D204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2049"/>
    <w:rPr>
      <w:rFonts w:ascii="Geomanist Light" w:hAnsi="Geomanist Light"/>
      <w:lang w:val="es-ES"/>
    </w:rPr>
  </w:style>
  <w:style w:type="character" w:customStyle="1" w:styleId="s15">
    <w:name w:val="s15"/>
    <w:basedOn w:val="Fuentedeprrafopredeter"/>
    <w:rsid w:val="006D2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peraciones.colombiacompra.gov.co/sites/cce_public/files/cce_tienda_virtual/_terminos_y_codiciones_de_uso_de_la_tienda_virtual_del_estado_colombiano_v2_08-08-2022docx.pdf" TargetMode="External"/><Relationship Id="rId18" Type="http://schemas.openxmlformats.org/officeDocument/2006/relationships/hyperlink" Target="https://nam02.safelinks.protection.outlook.com/?url=https%3A%2F%2Fwww.colombiacompra.gov.co%2Farchivos%2Fboletin%2Fboletin-edicion-n-3-de-2026-radar-de-la-compra-publica&amp;data=05%7C02%7Cximena.rios%40colombiacompra.gov.co%7C7128555136e04fa6887d08dee99e1b50%7C7b09041e245149d08cb179d5e3d8c1be%7C0%7C0%7C639205062450600483%7CUnknown%7CTWFpbGZsb3d8eyJFbXB0eU1hcGkiOnRydWUsIlYiOiIwLjAuMDAwMCIsIlAiOiJXaW4zMiIsIkFOIjoiTWFpbCIsIldUIjoyfQ%3D%3D%7C0%7C%7C%7C&amp;sdata=uYs%2B3QwtSZHgVJvlXP%2BmhySC1Jrm7vHXFmaHOtfNQ1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operaciones.colombiacompra.gov.co/sites/cce_public/files/cce_tienda_virtual/20221219_guia_de_uso_del_portal_de_proveedores_de_la_tienda_virtual_del_estado_colombiano_grandes_almacenes_0.pdf" TargetMode="External"/><Relationship Id="rId17" Type="http://schemas.openxmlformats.org/officeDocument/2006/relationships/hyperlink" Target="https://nam02.safelinks.protection.outlook.com/?url=https%3A%2F%2Fwww.colombiacompra.gov.co%2Farchivos%2Fcircular%2Fcircular-externa-002-de-2026&amp;data=05%7C02%7Cximena.rios%40colombiacompra.gov.co%7C7128555136e04fa6887d08dee99e1b50%7C7b09041e245149d08cb179d5e3d8c1be%7C0%7C0%7C639205062450582020%7CUnknown%7CTWFpbGZsb3d8eyJFbXB0eU1hcGkiOnRydWUsIlYiOiIwLjAuMDAwMCIsIlAiOiJXaW4zMiIsIkFOIjoiTWFpbCIsIldUIjoyfQ%3D%3D%7C0%7C%7C%7C&amp;sdata=rcNHkjlfUnBT10qBN9hOC13nRPZK9MU4FLtUNXV3C%2F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ximena.rios%40colombiacompra.gov.co%7C7128555136e04fa6887d08dee99e1b50%7C7b09041e245149d08cb179d5e3d8c1be%7C0%7C0%7C639205062450563347%7CUnknown%7CTWFpbGZsb3d8eyJFbXB0eU1hcGkiOnRydWUsIlYiOiIwLjAuMDAwMCIsIlAiOiJXaW4zMiIsIkFOIjoiTWFpbCIsIldUIjoyfQ%3D%3D%7C0%7C%7C%7C&amp;sdata=tosoK34OMgJQcSayY6AWxgpMG1zlr0nJO8iR5nyvlYo%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70_1993.html"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ximena.rios%40colombiacompra.gov.co%7C7128555136e04fa6887d08dee99e1b50%7C7b09041e245149d08cb179d5e3d8c1be%7C0%7C0%7C639205062450539116%7CUnknown%7CTWFpbGZsb3d8eyJFbXB0eU1hcGkiOnRydWUsIlYiOiIwLjAuMDAwMCIsIlAiOiJXaW4zMiIsIkFOIjoiTWFpbCIsIldUIjoyfQ%3D%3D%7C0%7C%7C%7C&amp;sdata=CfPCOpuJcdBVx4A4Es00qhtHeb0EXqpLtjJ3sidG7qc%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150DC-0A83-43BF-B628-E0A60A5D489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5503</Words>
  <Characters>30270</Characters>
  <Application>Microsoft Office Word</Application>
  <DocSecurity>0</DocSecurity>
  <Lines>252</Lines>
  <Paragraphs>71</Paragraphs>
  <ScaleCrop>false</ScaleCrop>
  <Company/>
  <LinksUpToDate>false</LinksUpToDate>
  <CharactersWithSpaces>35702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2026-10-15T20:19:00Z</dcterms:created>
  <dcterms:modified xsi:type="dcterms:W3CDTF">2026-10-15T21:48:00Z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