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3754" w14:textId="77777777" w:rsidR="00E95861" w:rsidRPr="00E95861" w:rsidRDefault="00E95861" w:rsidP="00E95861">
      <w:pPr>
        <w:spacing w:after="0"/>
        <w:jc w:val="both"/>
        <w:rPr>
          <w:rFonts w:ascii="Verdana" w:eastAsia="Calibri" w:hAnsi="Verdana" w:cs="Arial"/>
        </w:rPr>
      </w:pPr>
      <w:bookmarkStart w:id="0" w:name="_Hlk186494164"/>
      <w:bookmarkStart w:id="1" w:name="_Hlk143780582"/>
      <w:r w:rsidRPr="00E95861">
        <w:rPr>
          <w:rFonts w:ascii="Verdana" w:eastAsia="Arial" w:hAnsi="Verdana" w:cs="Arial"/>
          <w:b/>
          <w:bCs/>
          <w:kern w:val="2"/>
          <w:lang w:val="es-ES"/>
          <w14:ligatures w14:val="standardContextual"/>
        </w:rPr>
        <w:t>EJERCICIO DE LA INGENIERÍA – Títulos de idoneidad – Riesgo social – Constitución Política, artículo 26</w:t>
      </w:r>
    </w:p>
    <w:p w14:paraId="4E6D6EBA"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73DADE9"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7445A366"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E9A8581"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EJERCICIO DE LA INGENIERÍA – Ley 842 de 2003 – Actividades – Infraestructura de transporte</w:t>
      </w:r>
    </w:p>
    <w:p w14:paraId="79006CAB"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055CEEA"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Haciendo uso de la mencionada prerrogativa, el legislador reguló el 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 respectivo, lo cual se acredita con la tarjeta o documento adoptado por este para tal fin.</w:t>
      </w:r>
    </w:p>
    <w:p w14:paraId="16EFA4FA"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298C69E"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w:t>
      </w:r>
    </w:p>
    <w:p w14:paraId="3A084CED"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6B7BFC69"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EJERCICIO DE LA INGENIERÍA – Dirección de labores de ingeniería – Artículo 18 de la Ley 842 de 2003</w:t>
      </w:r>
    </w:p>
    <w:p w14:paraId="0E8F3099"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6481901"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El artículo 18 “Dirección de labores de ingeniería” de la Ley 842 de 2003 dispone que “Todo trabajo relacionado con el ejercicio de la Ingeniería, deberá ser dirigido por un ingeniero inscrito en el registro profesional de ingeniería y con tarjeta de matrícula profesional en la rama respectiva”.</w:t>
      </w:r>
    </w:p>
    <w:p w14:paraId="36F3F06A"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475ADD10"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De acuerdo con la disposición transcrita, todo trabajo que implique el ejercicio de la ingeniería debe ser dirigido por un ingeniero inscrito en el registro profesional de ingeniería y con tarjeta de matrícula profesional de la rama respectiva. De esta manera, actividades como las de construcción, mantenimiento y administración de construcciones, que constituyen ejercicio de la ingeniería de conformidad con el literal a) del artículo 2 de la Ley 842 de 2003, deben ser dirigidas por un ingeniero inscrito, de conformidad con el artículo 18 </w:t>
      </w:r>
      <w:proofErr w:type="spellStart"/>
      <w:r w:rsidRPr="00E95861">
        <w:rPr>
          <w:rFonts w:ascii="Verdana" w:eastAsia="Arial" w:hAnsi="Verdana" w:cs="Arial"/>
          <w:color w:val="000000"/>
          <w:sz w:val="20"/>
          <w:szCs w:val="20"/>
          <w:lang w:val="es-ES"/>
        </w:rPr>
        <w:t>ibídem</w:t>
      </w:r>
      <w:proofErr w:type="spellEnd"/>
      <w:r w:rsidRPr="00E95861">
        <w:rPr>
          <w:rFonts w:ascii="Verdana" w:eastAsia="Arial" w:hAnsi="Verdana" w:cs="Arial"/>
          <w:color w:val="000000"/>
          <w:sz w:val="20"/>
          <w:szCs w:val="20"/>
          <w:lang w:val="es-ES"/>
        </w:rPr>
        <w:t>.</w:t>
      </w:r>
    </w:p>
    <w:p w14:paraId="03DF7E64"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3000720F"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EJERCICIO DE LA INGENIERÍA – Artículo 18 de la Ley 842 de 2003 – Sentencia C-191 de 2005 – Relación directa y necesaria</w:t>
      </w:r>
    </w:p>
    <w:p w14:paraId="1C2477FA"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3E1B7315"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Con base en lo anterior, la Corte declaró exequible el artículo 18 “en el entendido de que la expresión “relacionado con” comprende exclusivamente las relaciones directas y necesarias con el ejercicio de la ingeniería”. Y fijó el criterio que define cuándo la dirección le corresponde a un ingeniero, en los siguientes términos:</w:t>
      </w:r>
    </w:p>
    <w:p w14:paraId="3E1ACE7C"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5704D6E"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“Así, todo trabajo que implique un riesgo social que los ingenieros pueden identificar, medir y evitar, en razón a su idoneidad profesional específica, deberá ser dirigido por un ingeniero”.</w:t>
      </w:r>
    </w:p>
    <w:p w14:paraId="60573B64"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D8E61A5"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La reserva a favor de los ingenieros es constitucional, entonces, cuando la actividad tiene una relación directa y necesaria con la ingeniería y su riesgo solo puede controlarse con la formación propia de esa profesión.</w:t>
      </w:r>
    </w:p>
    <w:p w14:paraId="2A44A327"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633C917"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DIRECTOR DE OBRA – Residente de obra – Ingeniería civil – Inexistencia de reserva legal</w:t>
      </w:r>
    </w:p>
    <w:p w14:paraId="2BB63A7E"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8EEC406"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El ordenamiento jurídico colombiano no contiene una disposición de alcance general que defina los cargos de director de obra y de residente de obra, ni que reserve su desempeño de manera exclusiva a los ingenieros civiles. Se trata de denominaciones propias de la práctica contractual, cuyo contenido funcional se fija en los documentos del proceso de contratación, en los manuales de las entidades y en el respectivo contrato.</w:t>
      </w:r>
    </w:p>
    <w:p w14:paraId="4AE2E243"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7D0EF423"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LEY 400 DE 1997 – Edificaciones – Director de construcción – Profesiones habilitadas</w:t>
      </w:r>
    </w:p>
    <w:p w14:paraId="41B8CDB6"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69B8A7A4"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La disposición técnica de rango legal que regula una figura equivalente es la Ley 400 de 1997, por la cual se adoptan normas sobre construcciones sismo resistentes. El numeral 9 de su artículo 4, modificado por el artículo 1 de la Ley 1229 de 2008, define al constructor como “el profesional, ingeniero civil, arquitecto o constructor en arquitectura e ingeniería” bajo cuya responsabilidad se adelanta la construcción de la edificación. A su turno, el artículo 33, modificado por el artículo 5 de la Ley 1229 de 2008, dispone que “El director de construcción debe ser un ingeniero civil, arquitecto o constructor en arquitectura e ingeniería”, y admite al ingeniero mecánico cuando se trate de estructuras metálicas o prefabricadas. En todos los casos, el director debe contar con matrícula profesional y acreditar la experiencia que exige el artículo 34 de la misma ley.</w:t>
      </w:r>
    </w:p>
    <w:p w14:paraId="6C042753"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766598CE"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Esta regulación, sin embargo, tiene un ámbito de aplicación delimitado. La Ley 400 de 1997 rige para las edificaciones, que el numeral 14 de su artículo 4 define como la construcción “cuyo uso primordial es la habitación u ocupación por seres humanos”, y su artículo 3 excluye de manera expresa las estructuras especiales, como los puentes, las torres de transmisión, los muelles y las estructuras hidráulicas, así como aquellas </w:t>
      </w:r>
      <w:r w:rsidRPr="00E95861">
        <w:rPr>
          <w:rFonts w:ascii="Verdana" w:eastAsia="Arial" w:hAnsi="Verdana" w:cs="Arial"/>
          <w:color w:val="000000"/>
          <w:sz w:val="20"/>
          <w:szCs w:val="20"/>
          <w:lang w:val="es-ES"/>
        </w:rPr>
        <w:lastRenderedPageBreak/>
        <w:t>cuyo comportamiento dinámico difiera del de las edificaciones convencionales. Por consiguiente, en las obras de edificación la ley permite que la dirección de la construcción esté a cargo de un ingeniero civil, de un arquitecto o de un constructor en arquitectura e ingeniería, de modo que en ese ámbito el cargo de director de obra no se encuentra reservado al ingeniero civil. Esta distinción coincide con lo expuesto por la Corte Constitucional en la sentencia C-191 de 2005, según la cual la Ley 400 de 1997 reconoce a arquitectos e ingenieros idoneidades diferentes, de acuerdo con su formación.</w:t>
      </w:r>
    </w:p>
    <w:p w14:paraId="32A40834"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9DB85FC"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 xml:space="preserve">INFRAESTRUCTURA DE TRANSPORTE – </w:t>
      </w:r>
      <w:proofErr w:type="gramStart"/>
      <w:r w:rsidRPr="00E95861">
        <w:rPr>
          <w:rFonts w:ascii="Verdana" w:eastAsia="Arial" w:hAnsi="Verdana" w:cs="Arial"/>
          <w:b/>
          <w:bCs/>
          <w:kern w:val="2"/>
          <w:lang w:val="es-ES"/>
          <w14:ligatures w14:val="standardContextual"/>
        </w:rPr>
        <w:t>Director</w:t>
      </w:r>
      <w:proofErr w:type="gramEnd"/>
      <w:r w:rsidRPr="00E95861">
        <w:rPr>
          <w:rFonts w:ascii="Verdana" w:eastAsia="Arial" w:hAnsi="Verdana" w:cs="Arial"/>
          <w:b/>
          <w:bCs/>
          <w:kern w:val="2"/>
          <w:lang w:val="es-ES"/>
          <w14:ligatures w14:val="standardContextual"/>
        </w:rPr>
        <w:t xml:space="preserve"> de obra – Residente de obra – Ingeniero matriculado</w:t>
      </w:r>
    </w:p>
    <w:p w14:paraId="55AFFF3E"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BDFE089"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Distinta es la situación de las obras que no tienen la naturaleza de edificación, en particular las de infraestructura de transporte, cuyo parámetro normativo es la Ley 842 de 2003. El literal a) de su artículo 2 califica como ejercicio de la ingeniería, entre otras actividades, la construcción, el mantenimiento, la interventoría y la administración de carreteras, vías urbanas y rurales, puentes, aeropuertos y ferrocarriles. A su vez, –tal como se señaló– el artículo 18, en el entendido fijado por la Corte en la sentencia C-191 de 2005, exige que todo trabajo que guarde una relación directa y necesaria con ese ejercicio sea dirigido por un ingeniero inscrito en el registro profesional y con matrícula en la rama respectiva. En este sentido, el director de obra de un contrato de construcción, mejoramiento o mantenimiento de infraestructura de transporte tiene a su cargo, precisamente, la dirección técnica de esas actividades, por lo que el cargo debe ser desempeñado por un ingeniero con matrícula profesional vigente. Un arquitecto no puede ocuparlo, porque su título no lo habilita para ejercer actividades catalogadas por la ley como ejercicio de la ingeniería.</w:t>
      </w:r>
    </w:p>
    <w:p w14:paraId="36B5E101"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7A85B927"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Es así como, el residente de obra está sujeto a la misma regla en la medida en que sus funciones comprendan la dirección técnica de los frentes de trabajo, el control de la ejecución conforme a los diseños y especificaciones o la toma de decisiones técnicas en el sitio, pues en esos supuestos su labor guarda una relación directa y necesaria con el ejercicio de la ingeniería. Si, por el contrario, el cargo se limita a funciones administrativas o de apoyo, la reserva del artículo 18 no le resulta aplicable, ya que la Corte precisó que esa norma comprende las actividades propias de la ingeniería y “no a cualquier actividad que tenga algún tipo de relación con la ingeniería, por menor o distante que esta sea”.</w:t>
      </w:r>
    </w:p>
    <w:p w14:paraId="771D0C8B"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3077289C"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EJERCICIO DE LA INGENIERÍA – Rama respectiva – Perfil profesional – Restricción injustificada</w:t>
      </w:r>
    </w:p>
    <w:p w14:paraId="665DA2BD"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31392419"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Ahora bien, que la dirección de estas obras deba recaer en un ingeniero no significa que deba recaer exclusivamente en un ingeniero civil. El artículo 18 de la Ley 842 de 2003 exige la matrícula “en la rama respectiva”, de suerte que el título exigible depende de la naturaleza de las actividades que integran el objeto contractual. Corresponde a la entidad contratante definir en los documentos del proceso el perfil del profesional que </w:t>
      </w:r>
      <w:r w:rsidRPr="00E95861">
        <w:rPr>
          <w:rFonts w:ascii="Verdana" w:eastAsia="Arial" w:hAnsi="Verdana" w:cs="Arial"/>
          <w:color w:val="000000"/>
          <w:sz w:val="20"/>
          <w:szCs w:val="20"/>
          <w:lang w:val="es-ES"/>
        </w:rPr>
        <w:lastRenderedPageBreak/>
        <w:t>requiere, pero esa facultad tiene límites.</w:t>
      </w:r>
    </w:p>
    <w:p w14:paraId="782A9B16"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158C8A30"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Según el Consejo Profesional Nacional de Ingeniería – COPNIA, es lícito excluir de una labor a quien no es idóneo para desempeñarla, pero no a quien, por su formación académica, sí lo es y cuenta con la autorización estatal para ejercerla, pues ello constituiría una discriminación injustificada contraria al derecho a la igualdad consagrado en el artículo 13 de la Constitución Política. En esa medida, exigir de manera exclusiva el título de ingeniero civil es procedente cuando las actividades del contrato corresponden a esa rama, y puede constituir una restricción injustificada si otras ramas de la ingeniería forman a sus profesionales para dirigir esas mismas labores.</w:t>
      </w:r>
    </w:p>
    <w:p w14:paraId="4B9E1C31"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BAC6BF4"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DOCUMENTOS TIPO – Infraestructura de transporte – Anexo 1 – Anexo Técnico – Inalterabilidad</w:t>
      </w:r>
    </w:p>
    <w:p w14:paraId="70B6358C"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193127C2"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El “Anexo 1 – Anexo Técnico” hace parte de los documentos tipo de obra de infraestructura de transporte y contiene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el propio documento lo autorice de forma expresa, es decir, en los aspectos incluidos entre corchetes y resaltados en gris.</w:t>
      </w:r>
    </w:p>
    <w:p w14:paraId="0DCF0689"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A3A6D11"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DOCUMENTOS TIPO – Infraestructura de transporte – Personal profesional – Definición del perfil por la entidad</w:t>
      </w:r>
    </w:p>
    <w:p w14:paraId="0E7700F7"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66CCAC4"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Los documentos tipo de obra pública de infraestructura de transporte no establecen que los cargos de director de obra o de residente de obra deban ser desempeñados exclusivamente por profesionales en ingeniería civil. El numeral 7 del “Anexo 1 – Anexo Técnico” no predetermina la formación académica de ningún cargo y, por el contrario, contiene una instrucción expresa dirigida a la entidad: </w:t>
      </w:r>
      <w:r w:rsidRPr="00E95861">
        <w:rPr>
          <w:rFonts w:ascii="Verdana" w:eastAsia="Arial" w:hAnsi="Verdana" w:cs="Arial"/>
          <w:color w:val="000000"/>
          <w:sz w:val="20"/>
          <w:szCs w:val="20"/>
          <w:highlight w:val="lightGray"/>
          <w:lang w:val="es-ES"/>
        </w:rPr>
        <w:t>“[La entidad deberá definir el personal requerido para la ejecución de la obra de acuerdo con el objeto del proceso de contratación]”</w:t>
      </w:r>
      <w:r w:rsidRPr="00E95861">
        <w:rPr>
          <w:rFonts w:ascii="Verdana" w:eastAsia="Arial" w:hAnsi="Verdana" w:cs="Arial"/>
          <w:color w:val="000000"/>
          <w:sz w:val="20"/>
          <w:szCs w:val="20"/>
          <w:lang w:val="es-ES"/>
        </w:rPr>
        <w:t>.</w:t>
      </w:r>
    </w:p>
    <w:p w14:paraId="16AB7C2D"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4BC77BF3"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De esa instrucción se desprenden dos consecuencias: i) La primera es que la competencia para fijar el perfil del personal corresponde a la entidad, que debe precisar, en los espacios entre corchetes y resaltados en gris, el título profesional requerido, los años de experiencia general y específica y, cuando sea necesario, el título de posgrado, así como la denominación del cargo de acuerdo con la tabla del literal a) del mismo numeral; </w:t>
      </w:r>
      <w:proofErr w:type="spellStart"/>
      <w:r w:rsidRPr="00E95861">
        <w:rPr>
          <w:rFonts w:ascii="Verdana" w:eastAsia="Arial" w:hAnsi="Verdana" w:cs="Arial"/>
          <w:color w:val="000000"/>
          <w:sz w:val="20"/>
          <w:szCs w:val="20"/>
          <w:lang w:val="es-ES"/>
        </w:rPr>
        <w:t>ii</w:t>
      </w:r>
      <w:proofErr w:type="spellEnd"/>
      <w:r w:rsidRPr="00E95861">
        <w:rPr>
          <w:rFonts w:ascii="Verdana" w:eastAsia="Arial" w:hAnsi="Verdana" w:cs="Arial"/>
          <w:color w:val="000000"/>
          <w:sz w:val="20"/>
          <w:szCs w:val="20"/>
          <w:lang w:val="es-ES"/>
        </w:rPr>
        <w:t>) La segunda es que esa competencia no es libre, pues el documento la sujeta al objeto del proceso de contratación.</w:t>
      </w:r>
    </w:p>
    <w:p w14:paraId="3EEAFC8F"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7E7C746"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xml:space="preserve">En este sentido, el perfil debe derivarse de las actividades que efectivamente se </w:t>
      </w:r>
      <w:r w:rsidRPr="00E95861">
        <w:rPr>
          <w:rFonts w:ascii="Verdana" w:eastAsia="Arial" w:hAnsi="Verdana" w:cs="Arial"/>
          <w:color w:val="000000"/>
          <w:sz w:val="20"/>
          <w:szCs w:val="20"/>
          <w:lang w:val="es-ES"/>
        </w:rPr>
        <w:lastRenderedPageBreak/>
        <w:t>ejecutarán, de su complejidad técnica y del riesgo que comportan, y ser proporcional y adecuado al tipo de obra, conforme a lo establecido en los estudios y documentos previos. Este mandato es expresión del principio de planeación y coincide con el criterio que el numeral 1 del artículo 5 de la Ley 1150 de 2007 fija para los requisitos de los procesos de selección, que deben ser “adecuados y proporcionales a la naturaleza del contrato a suscribir y a su valor”. En consecuencia, la exigencia del título de ingeniero civil para los cargos de director o residente de obra no tiene origen en el documento tipo. Es una determinación de la entidad, válida en la medida en que guarde relación directa con el objeto contractual y se encuentre debidamente justificada en la etapa de planeación.</w:t>
      </w:r>
    </w:p>
    <w:p w14:paraId="71D4B3A6"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7FCE4BD"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DOCUMENTOS TIPO – Infraestructura de transporte – Personal profesional – Ingeniero matriculado – Límites</w:t>
      </w:r>
    </w:p>
    <w:p w14:paraId="0BDFDCB0"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2621FDFE"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Esa facultad, sin embargo, no es ilimitada, porque el documento tipo se aplica en armonía con las normas que regulan el ejercicio de la ingeniería. Las actividades de construcción, mejoramiento y mantenimiento de infraestructura de transporte, entre otras, constituyen ejercicio de la ingeniería según el literal a) del artículo 2 de la Ley 842 de 2003. Por eso, conforme al artículo 18 de esa ley, el director de obra, y el residente de obra cuando ejerce dirección técnica en el sitio, deben ser ingenieros inscritos en el registro profesional y con matrícula en la rama respectiva.</w:t>
      </w:r>
    </w:p>
    <w:p w14:paraId="0119B9A4"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52F37D2D"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En consecuencia, la entidad no puede configurar el perfil de manera que admita para esos cargos a profesionales sin esa habilitación, como los arquitectos. Tampoco puede restringirlo injustificadamente, excluyendo a ingenieros de otras ramas cuya formación los hace idóneos para dirigir las actividades del contrato.</w:t>
      </w:r>
    </w:p>
    <w:p w14:paraId="621614D1"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042989B2" w14:textId="77777777" w:rsidR="00E95861" w:rsidRPr="00E95861" w:rsidRDefault="00E95861" w:rsidP="00E95861">
      <w:pPr>
        <w:spacing w:after="0"/>
        <w:jc w:val="both"/>
        <w:rPr>
          <w:rFonts w:ascii="Verdana" w:eastAsia="Calibri" w:hAnsi="Verdana" w:cs="Arial"/>
        </w:rPr>
      </w:pPr>
      <w:r w:rsidRPr="00E95861">
        <w:rPr>
          <w:rFonts w:ascii="Verdana" w:eastAsia="Arial" w:hAnsi="Verdana" w:cs="Arial"/>
          <w:b/>
          <w:bCs/>
          <w:kern w:val="2"/>
          <w:lang w:val="es-ES"/>
          <w14:ligatures w14:val="standardContextual"/>
        </w:rPr>
        <w:t>DOCUMENTOS TIPO – Infraestructura de transporte – Personal profesional – Verificación en la ejecución</w:t>
      </w:r>
    </w:p>
    <w:p w14:paraId="48941721" w14:textId="77777777" w:rsidR="00E95861" w:rsidRPr="00E95861" w:rsidRDefault="00E95861" w:rsidP="00E95861">
      <w:pPr>
        <w:widowControl w:val="0"/>
        <w:autoSpaceDE w:val="0"/>
        <w:autoSpaceDN w:val="0"/>
        <w:spacing w:before="5" w:after="0" w:line="276" w:lineRule="auto"/>
        <w:rPr>
          <w:rFonts w:ascii="Verdana" w:eastAsia="Arial" w:hAnsi="Verdana" w:cs="Arial"/>
          <w:kern w:val="2"/>
          <w:lang w:val="es-ES"/>
          <w14:ligatures w14:val="standardContextual"/>
        </w:rPr>
      </w:pPr>
    </w:p>
    <w:p w14:paraId="74481FEE" w14:textId="77777777" w:rsidR="00E95861" w:rsidRPr="00E95861" w:rsidRDefault="00E95861" w:rsidP="00E95861">
      <w:pPr>
        <w:widowControl w:val="0"/>
        <w:autoSpaceDE w:val="0"/>
        <w:autoSpaceDN w:val="0"/>
        <w:spacing w:after="0" w:line="240" w:lineRule="auto"/>
        <w:jc w:val="both"/>
        <w:rPr>
          <w:rFonts w:ascii="Verdana" w:eastAsia="Arial" w:hAnsi="Verdana" w:cs="Arial"/>
          <w:color w:val="000000"/>
          <w:sz w:val="20"/>
          <w:szCs w:val="20"/>
          <w:lang w:val="es-ES"/>
        </w:rPr>
      </w:pPr>
      <w:r w:rsidRPr="00E95861">
        <w:rPr>
          <w:rFonts w:ascii="Verdana" w:eastAsia="Arial" w:hAnsi="Verdana" w:cs="Arial"/>
          <w:color w:val="000000"/>
          <w:sz w:val="20"/>
          <w:szCs w:val="20"/>
          <w:lang w:val="es-ES"/>
        </w:rPr>
        <w:t>[…] el personal profesional no se evalúa durante el proceso de selección. Según Colombia Compra Eficiente, las hojas de vida y los soportes del personal vinculado al proyecto se verifican una vez adjudicado el contrato, por lo que la entidad no puede exigirlos como requisito habilitante ni como factor de puntaje. Corresponde al supervisor o interventor comprobar, en la ejecución, que los profesionales cumplan el perfil definido y estén legalmente habilitados para ejercer.</w:t>
      </w:r>
    </w:p>
    <w:p w14:paraId="0DFDF097"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62037F62"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B3ACB16"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98DE7D4"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4038BE1"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71A04BE"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C34A3E0"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A7F7A5A"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6785AE74"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E82773A" w14:textId="77777777"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733C63E" w14:textId="77777777" w:rsidR="006E7C21" w:rsidRDefault="00E95861" w:rsidP="00E95861">
      <w:pPr>
        <w:widowControl w:val="0"/>
        <w:autoSpaceDE w:val="0"/>
        <w:autoSpaceDN w:val="0"/>
        <w:spacing w:after="0" w:line="240" w:lineRule="auto"/>
        <w:ind w:right="51"/>
        <w:jc w:val="both"/>
        <w:rPr>
          <w:rFonts w:ascii="Verdana" w:eastAsia="Verdana" w:hAnsi="Verdana" w:cs="Verdana"/>
          <w:kern w:val="2"/>
          <w14:ligatures w14:val="standardContextual"/>
        </w:rPr>
      </w:pPr>
      <w:r w:rsidRPr="00E95861">
        <w:rPr>
          <w:rFonts w:ascii="Verdana" w:eastAsia="Verdana" w:hAnsi="Verdana" w:cs="Verdana"/>
          <w:kern w:val="2"/>
          <w14:ligatures w14:val="standardContextual"/>
        </w:rPr>
        <w:t>Bogotá D.C.,</w:t>
      </w:r>
      <w:r w:rsidR="006E7C21">
        <w:rPr>
          <w:rFonts w:ascii="Verdana" w:eastAsia="Verdana" w:hAnsi="Verdana" w:cs="Verdana"/>
          <w:kern w:val="2"/>
          <w14:ligatures w14:val="standardContextual"/>
        </w:rPr>
        <w:t xml:space="preserve"> 21 de octubre de 2026</w:t>
      </w:r>
    </w:p>
    <w:p w14:paraId="51A96120" w14:textId="01DD4E52" w:rsidR="006E7C21" w:rsidRDefault="006E7C21" w:rsidP="00E95861">
      <w:pPr>
        <w:widowControl w:val="0"/>
        <w:autoSpaceDE w:val="0"/>
        <w:autoSpaceDN w:val="0"/>
        <w:spacing w:after="0" w:line="240" w:lineRule="auto"/>
        <w:ind w:right="51"/>
        <w:jc w:val="both"/>
        <w:rPr>
          <w:rFonts w:ascii="Verdana" w:eastAsia="Verdana" w:hAnsi="Verdana" w:cs="Verdana"/>
          <w:kern w:val="2"/>
          <w14:ligatures w14:val="standardContextual"/>
        </w:rPr>
      </w:pPr>
    </w:p>
    <w:p w14:paraId="3E24B2CE" w14:textId="6E1F5B30" w:rsidR="00E95861" w:rsidRPr="00E95861" w:rsidRDefault="009E5B4C" w:rsidP="006E7C21">
      <w:pPr>
        <w:widowControl w:val="0"/>
        <w:autoSpaceDE w:val="0"/>
        <w:autoSpaceDN w:val="0"/>
        <w:spacing w:after="0" w:line="240" w:lineRule="auto"/>
        <w:ind w:right="51"/>
        <w:jc w:val="right"/>
        <w:rPr>
          <w:rFonts w:ascii="Verdana" w:eastAsia="Times New Roman" w:hAnsi="Verdana" w:cs="Arial"/>
          <w:color w:val="000000"/>
          <w:sz w:val="20"/>
          <w:szCs w:val="20"/>
          <w:lang w:val="es-ES" w:eastAsia="es-ES_tradnl"/>
        </w:rPr>
      </w:pPr>
      <w:r w:rsidRPr="006E7C21">
        <w:rPr>
          <w:rFonts w:ascii="Aptos" w:eastAsia="Aptos" w:hAnsi="Aptos" w:cs="Times New Roman"/>
          <w:noProof/>
          <w:kern w:val="2"/>
          <w:sz w:val="24"/>
          <w:szCs w:val="24"/>
          <w14:ligatures w14:val="standardContextual"/>
        </w:rPr>
        <w:drawing>
          <wp:anchor distT="0" distB="0" distL="114300" distR="114300" simplePos="0" relativeHeight="251660288" behindDoc="0" locked="0" layoutInCell="1" allowOverlap="1" wp14:anchorId="20220ACB" wp14:editId="43FA1FBF">
            <wp:simplePos x="0" y="0"/>
            <wp:positionH relativeFrom="margin">
              <wp:align>right</wp:align>
            </wp:positionH>
            <wp:positionV relativeFrom="paragraph">
              <wp:posOffset>4224</wp:posOffset>
            </wp:positionV>
            <wp:extent cx="2725420" cy="930275"/>
            <wp:effectExtent l="0" t="0" r="0" b="3175"/>
            <wp:wrapSquare wrapText="bothSides"/>
            <wp:docPr id="1518138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38707" name=""/>
                    <pic:cNvPicPr/>
                  </pic:nvPicPr>
                  <pic:blipFill>
                    <a:blip r:embed="rId10">
                      <a:extLst>
                        <a:ext uri="{28A0092B-C50C-407E-A947-70E740481C1C}">
                          <a14:useLocalDpi xmlns:a14="http://schemas.microsoft.com/office/drawing/2010/main" val="0"/>
                        </a:ext>
                      </a:extLst>
                    </a:blip>
                    <a:stretch>
                      <a:fillRect/>
                    </a:stretch>
                  </pic:blipFill>
                  <pic:spPr>
                    <a:xfrm>
                      <a:off x="0" y="0"/>
                      <a:ext cx="2725420" cy="930275"/>
                    </a:xfrm>
                    <a:prstGeom prst="rect">
                      <a:avLst/>
                    </a:prstGeom>
                  </pic:spPr>
                </pic:pic>
              </a:graphicData>
            </a:graphic>
            <wp14:sizeRelH relativeFrom="margin">
              <wp14:pctWidth>0</wp14:pctWidth>
            </wp14:sizeRelH>
            <wp14:sizeRelV relativeFrom="margin">
              <wp14:pctHeight>0</wp14:pctHeight>
            </wp14:sizeRelV>
          </wp:anchor>
        </w:drawing>
      </w:r>
      <w:r w:rsidR="00E95861" w:rsidRPr="00E95861">
        <w:rPr>
          <w:rFonts w:ascii="Aptos" w:eastAsia="Aptos" w:hAnsi="Aptos" w:cs="Times New Roman"/>
          <w:kern w:val="2"/>
          <w:sz w:val="24"/>
          <w:szCs w:val="24"/>
          <w14:ligatures w14:val="standardContextual"/>
        </w:rPr>
        <w:tab/>
      </w:r>
    </w:p>
    <w:p w14:paraId="20EC4E4C" w14:textId="25CF6812" w:rsidR="00E95861" w:rsidRPr="00E95861" w:rsidRDefault="00E95861" w:rsidP="00E95861">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98A3D73" w14:textId="0469E914" w:rsidR="00E95861" w:rsidRPr="009E5B4C" w:rsidRDefault="00E95861" w:rsidP="009E5B4C">
      <w:pPr>
        <w:spacing w:after="0" w:line="240" w:lineRule="auto"/>
        <w:rPr>
          <w:rFonts w:ascii="Verdana" w:eastAsia="Aptos" w:hAnsi="Verdana" w:cs="Times New Roman"/>
          <w:kern w:val="2"/>
          <w:lang w:val="es-ES"/>
          <w14:ligatures w14:val="standardContextual"/>
        </w:rPr>
      </w:pPr>
      <w:r w:rsidRPr="00E95861">
        <w:rPr>
          <w:rFonts w:ascii="Verdana" w:eastAsia="Calibri" w:hAnsi="Verdana" w:cs="Arial"/>
          <w:kern w:val="2"/>
          <w:lang w:val="es-MX" w:eastAsia="es-ES"/>
          <w14:ligatures w14:val="standardContextual"/>
        </w:rPr>
        <w:t>Señor</w:t>
      </w:r>
    </w:p>
    <w:p w14:paraId="176419D4" w14:textId="77777777" w:rsidR="00E95861" w:rsidRPr="00E95861" w:rsidRDefault="00E95861" w:rsidP="00E95861">
      <w:pPr>
        <w:shd w:val="clear" w:color="auto" w:fill="FFFFFF"/>
        <w:spacing w:after="0" w:line="276" w:lineRule="auto"/>
        <w:jc w:val="both"/>
        <w:rPr>
          <w:rFonts w:ascii="Verdana" w:eastAsia="Times New Roman" w:hAnsi="Verdana" w:cs="Times New Roman"/>
          <w:b/>
          <w:bCs/>
          <w:color w:val="242424"/>
          <w:lang w:eastAsia="es-MX"/>
        </w:rPr>
      </w:pPr>
      <w:r w:rsidRPr="00E95861">
        <w:rPr>
          <w:rFonts w:ascii="Verdana" w:eastAsia="Aptos" w:hAnsi="Verdana" w:cs="Times New Roman"/>
          <w:b/>
          <w:bCs/>
          <w:kern w:val="2"/>
          <w14:ligatures w14:val="standardContextual"/>
        </w:rPr>
        <w:t>Erik Mark Camargo Báez</w:t>
      </w:r>
    </w:p>
    <w:p w14:paraId="763FA491" w14:textId="77777777" w:rsidR="00E95861" w:rsidRPr="00E95861" w:rsidRDefault="00E95861" w:rsidP="00E95861">
      <w:pPr>
        <w:shd w:val="clear" w:color="auto" w:fill="FFFFFF"/>
        <w:spacing w:after="0" w:line="276" w:lineRule="auto"/>
        <w:jc w:val="both"/>
        <w:rPr>
          <w:rFonts w:ascii="Verdana" w:eastAsia="Times New Roman" w:hAnsi="Verdana" w:cs="Times New Roman"/>
          <w:color w:val="242424"/>
          <w:lang w:eastAsia="es-MX"/>
        </w:rPr>
      </w:pPr>
      <w:r w:rsidRPr="00E95861">
        <w:rPr>
          <w:rFonts w:ascii="Verdana" w:eastAsia="Times New Roman" w:hAnsi="Verdana" w:cs="Times New Roman"/>
          <w:color w:val="242424"/>
          <w:lang w:eastAsia="es-MX"/>
        </w:rPr>
        <w:t>Bogotá D.C</w:t>
      </w:r>
    </w:p>
    <w:p w14:paraId="0299449E" w14:textId="77777777" w:rsidR="00E95861" w:rsidRPr="00E95861" w:rsidRDefault="00E95861" w:rsidP="00E95861">
      <w:pPr>
        <w:spacing w:after="0" w:line="240" w:lineRule="auto"/>
        <w:rPr>
          <w:rFonts w:ascii="Verdana" w:eastAsia="Calibri" w:hAnsi="Verdana" w:cs="Arial"/>
          <w:kern w:val="2"/>
          <w:lang w:val="es-MX" w:eastAsia="es-ES"/>
          <w14:ligatures w14:val="standardContextual"/>
        </w:rPr>
      </w:pPr>
    </w:p>
    <w:p w14:paraId="4CEA1121" w14:textId="77777777" w:rsidR="00E95861" w:rsidRPr="00E95861" w:rsidRDefault="00E95861" w:rsidP="00E95861">
      <w:pPr>
        <w:spacing w:after="0" w:line="240" w:lineRule="auto"/>
        <w:rPr>
          <w:rFonts w:ascii="Verdana" w:eastAsia="Calibri" w:hAnsi="Verdana" w:cs="Arial"/>
          <w:b/>
          <w:bCs/>
          <w:color w:val="000000"/>
          <w:lang w:eastAsia="es-ES_tradnl"/>
        </w:rPr>
      </w:pPr>
    </w:p>
    <w:p w14:paraId="4A9FED84" w14:textId="1511843D" w:rsidR="00E95861" w:rsidRPr="009E5B4C" w:rsidRDefault="00E95861" w:rsidP="00E95861">
      <w:pPr>
        <w:spacing w:after="0" w:line="240" w:lineRule="auto"/>
        <w:jc w:val="center"/>
        <w:rPr>
          <w:rFonts w:ascii="Verdana" w:eastAsia="Calibri" w:hAnsi="Verdana" w:cs="Arial"/>
          <w:b/>
          <w:bCs/>
          <w:lang w:eastAsia="es-ES"/>
        </w:rPr>
      </w:pPr>
      <w:r w:rsidRPr="009E5B4C">
        <w:rPr>
          <w:rFonts w:ascii="Verdana" w:eastAsia="Calibri" w:hAnsi="Verdana" w:cs="Arial"/>
          <w:b/>
          <w:bCs/>
          <w:lang w:eastAsia="es-ES"/>
        </w:rPr>
        <w:t>Concepto C</w:t>
      </w:r>
      <w:r w:rsidR="009E5B4C" w:rsidRPr="009E5B4C">
        <w:rPr>
          <w:rFonts w:ascii="Verdana" w:eastAsia="Calibri" w:hAnsi="Verdana" w:cs="Arial"/>
          <w:b/>
          <w:bCs/>
          <w:lang w:eastAsia="es-ES"/>
        </w:rPr>
        <w:t>-</w:t>
      </w:r>
      <w:r w:rsidRPr="009E5B4C">
        <w:rPr>
          <w:rFonts w:ascii="Verdana" w:eastAsia="Calibri" w:hAnsi="Verdana" w:cs="Arial"/>
          <w:b/>
          <w:bCs/>
          <w:lang w:eastAsia="es-ES"/>
        </w:rPr>
        <w:t>1434 de 2026</w:t>
      </w:r>
    </w:p>
    <w:p w14:paraId="7467B937" w14:textId="77777777" w:rsidR="00E95861" w:rsidRPr="009E5B4C" w:rsidRDefault="00E95861" w:rsidP="00E95861">
      <w:pPr>
        <w:spacing w:after="0" w:line="240" w:lineRule="auto"/>
        <w:jc w:val="center"/>
        <w:rPr>
          <w:rFonts w:ascii="Verdana" w:eastAsia="Calibri" w:hAnsi="Verdana" w:cs="Arial"/>
          <w:b/>
          <w:bCs/>
          <w:lang w:eastAsia="es-ES"/>
        </w:rPr>
      </w:pPr>
    </w:p>
    <w:p w14:paraId="4A397222" w14:textId="77777777" w:rsidR="00E95861" w:rsidRPr="009E5B4C" w:rsidRDefault="00E95861" w:rsidP="00E95861">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0"/>
        <w:gridCol w:w="5959"/>
      </w:tblGrid>
      <w:tr w:rsidR="00E95861" w:rsidRPr="009E5B4C" w14:paraId="6273CA1B" w14:textId="77777777" w:rsidTr="00173079">
        <w:trPr>
          <w:trHeight w:val="884"/>
        </w:trPr>
        <w:tc>
          <w:tcPr>
            <w:tcW w:w="2830" w:type="dxa"/>
          </w:tcPr>
          <w:p w14:paraId="18DC65A2" w14:textId="77777777" w:rsidR="00E95861" w:rsidRPr="009E5B4C" w:rsidRDefault="00E95861" w:rsidP="00E95861">
            <w:pPr>
              <w:spacing w:line="278" w:lineRule="auto"/>
              <w:jc w:val="both"/>
              <w:rPr>
                <w:rFonts w:ascii="Verdana" w:eastAsia="Calibri" w:hAnsi="Verdana" w:cs="Arial"/>
                <w:color w:val="000000"/>
                <w:kern w:val="2"/>
                <w:lang w:eastAsia="es-ES_tradnl"/>
                <w14:ligatures w14:val="standardContextual"/>
              </w:rPr>
            </w:pPr>
            <w:r w:rsidRPr="009E5B4C">
              <w:rPr>
                <w:rFonts w:ascii="Verdana" w:eastAsia="Calibri" w:hAnsi="Verdana" w:cs="Arial"/>
                <w:b/>
                <w:color w:val="000000"/>
                <w:kern w:val="2"/>
                <w:lang w:eastAsia="es-ES_tradnl"/>
                <w14:ligatures w14:val="standardContextual"/>
              </w:rPr>
              <w:t>Temas:</w:t>
            </w:r>
            <w:r w:rsidRPr="009E5B4C">
              <w:rPr>
                <w:rFonts w:ascii="Verdana" w:eastAsia="Calibri" w:hAnsi="Verdana" w:cs="Arial"/>
                <w:color w:val="000000"/>
                <w:kern w:val="2"/>
                <w:lang w:eastAsia="es-ES_tradnl"/>
                <w14:ligatures w14:val="standardContextual"/>
              </w:rPr>
              <w:t xml:space="preserve">                   </w:t>
            </w:r>
          </w:p>
        </w:tc>
        <w:tc>
          <w:tcPr>
            <w:tcW w:w="5959" w:type="dxa"/>
          </w:tcPr>
          <w:p w14:paraId="5A33C52D" w14:textId="77777777" w:rsidR="00E95861" w:rsidRPr="009E5B4C" w:rsidRDefault="00E95861" w:rsidP="00E95861">
            <w:pPr>
              <w:snapToGrid w:val="0"/>
              <w:jc w:val="both"/>
              <w:rPr>
                <w:rFonts w:ascii="Verdana" w:eastAsia="Calibri" w:hAnsi="Verdana" w:cs="Arial"/>
                <w:kern w:val="2"/>
                <w14:ligatures w14:val="standardContextual"/>
              </w:rPr>
            </w:pPr>
            <w:r w:rsidRPr="009E5B4C">
              <w:rPr>
                <w:rFonts w:ascii="Verdana" w:eastAsia="Arial" w:hAnsi="Verdana" w:cs="Arial"/>
                <w:kern w:val="2"/>
                <w:lang w:val="es-ES"/>
                <w14:ligatures w14:val="standardContextual"/>
              </w:rPr>
              <w:t>EJERCICIO DE LA INGENIERÍA – Títulos de idoneidad – Riesgo social – Constitución Política, artículo 26 / EJERCICIO DE LA INGENIERÍA – Ley 842 de 2003 – Actividades – Infraestructura de transporte / EJERCICIO DE LA INGENIERÍA – Dirección de labores de ingeniería – Artículo 18 de la Ley 842 de 2003 / EJERCICIO DE LA INGENIERÍA – Artículo 18 de la Ley 842 de 2003 – Sentencia C-191 de 2005 – Relación directa y necesaria / DIRECTOR DE OBRA – Residente de obra – Ingeniería civil – Inexistencia de reserva legal / LEY 400 DE 1997 – Edificaciones – Director de construcción – Profesiones habilitadas / INFRAESTRUCTURA DE TRANSPORTE – Director de obra – Residente de obra – Ingeniero matriculado / EJERCICIO DE LA INGENIERÍA – Rama respectiva – Perfil profesional – Restricción injustificada / DOCUMENTOS TIPO – Infraestructura de transporte – Anexo 1 – Anexo Técnico – Inalterabilidad / DOCUMENTOS TIPO – Infraestructura de transporte – Personal profesional – Definición del perfil por la entidad / DOCUMENTOS TIPO – Infraestructura de transporte – Personal profesional – Ingeniero matriculado – Límites / DOCUMENTOS TIPO – Infraestructura de transporte – Personal profesional – Verificación en la ejecución</w:t>
            </w:r>
          </w:p>
          <w:p w14:paraId="0F203A93" w14:textId="77777777" w:rsidR="00E95861" w:rsidRPr="009E5B4C" w:rsidRDefault="00E95861" w:rsidP="00E95861">
            <w:pPr>
              <w:snapToGrid w:val="0"/>
              <w:jc w:val="both"/>
              <w:rPr>
                <w:rFonts w:ascii="Verdana" w:eastAsia="Calibri" w:hAnsi="Verdana" w:cs="Arial"/>
                <w:kern w:val="2"/>
                <w:lang w:eastAsia="es-ES"/>
                <w14:ligatures w14:val="standardContextual"/>
              </w:rPr>
            </w:pPr>
          </w:p>
        </w:tc>
      </w:tr>
      <w:tr w:rsidR="00E95861" w:rsidRPr="009E5B4C" w14:paraId="47ADF8D0" w14:textId="77777777" w:rsidTr="00173079">
        <w:tc>
          <w:tcPr>
            <w:tcW w:w="2830" w:type="dxa"/>
          </w:tcPr>
          <w:p w14:paraId="0F1D4A33" w14:textId="77777777" w:rsidR="00E95861" w:rsidRPr="009E5B4C" w:rsidRDefault="00E95861" w:rsidP="00E95861">
            <w:pPr>
              <w:spacing w:line="278" w:lineRule="auto"/>
              <w:jc w:val="both"/>
              <w:rPr>
                <w:rFonts w:ascii="Verdana" w:eastAsia="Calibri" w:hAnsi="Verdana" w:cs="Arial"/>
                <w:b/>
                <w:kern w:val="2"/>
                <w:lang w:eastAsia="es-ES_tradnl"/>
                <w14:ligatures w14:val="standardContextual"/>
              </w:rPr>
            </w:pPr>
            <w:r w:rsidRPr="009E5B4C">
              <w:rPr>
                <w:rFonts w:ascii="Verdana" w:eastAsia="Calibri" w:hAnsi="Verdana" w:cs="Arial"/>
                <w:b/>
                <w:kern w:val="2"/>
                <w:lang w:eastAsia="es-ES_tradnl"/>
                <w14:ligatures w14:val="standardContextual"/>
              </w:rPr>
              <w:t>Radicación:</w:t>
            </w:r>
            <w:r w:rsidRPr="009E5B4C">
              <w:rPr>
                <w:rFonts w:ascii="Verdana" w:eastAsia="Calibri" w:hAnsi="Verdana" w:cs="Arial"/>
                <w:kern w:val="2"/>
                <w:lang w:eastAsia="es-ES_tradnl"/>
                <w14:ligatures w14:val="standardContextual"/>
              </w:rPr>
              <w:t xml:space="preserve">               </w:t>
            </w:r>
          </w:p>
        </w:tc>
        <w:tc>
          <w:tcPr>
            <w:tcW w:w="5959" w:type="dxa"/>
          </w:tcPr>
          <w:p w14:paraId="71B43894" w14:textId="5232718B" w:rsidR="00E95861" w:rsidRPr="009E5B4C" w:rsidRDefault="00E95861" w:rsidP="00E95861">
            <w:pPr>
              <w:snapToGrid w:val="0"/>
              <w:jc w:val="both"/>
              <w:rPr>
                <w:rFonts w:ascii="Verdana" w:eastAsia="Calibri" w:hAnsi="Verdana" w:cs="Arial"/>
                <w:kern w:val="2"/>
                <w:lang w:eastAsia="es-ES_tradnl"/>
                <w14:ligatures w14:val="standardContextual"/>
              </w:rPr>
            </w:pPr>
            <w:r w:rsidRPr="009E5B4C">
              <w:rPr>
                <w:rFonts w:ascii="Verdana" w:eastAsia="Calibri" w:hAnsi="Verdana" w:cs="Arial"/>
                <w:kern w:val="2"/>
                <w:lang w:eastAsia="es-ES_tradnl"/>
                <w14:ligatures w14:val="standardContextual"/>
              </w:rPr>
              <w:t xml:space="preserve">Respuesta a consulta con radicado </w:t>
            </w:r>
            <w:r w:rsidR="009E5B4C" w:rsidRPr="009E5B4C">
              <w:rPr>
                <w:rFonts w:ascii="Verdana" w:eastAsia="Calibri" w:hAnsi="Verdana" w:cs="Arial"/>
                <w:kern w:val="2"/>
                <w:lang w:eastAsia="es-ES_tradnl"/>
                <w14:ligatures w14:val="standardContextual"/>
              </w:rPr>
              <w:t>No. 1</w:t>
            </w:r>
            <w:r w:rsidRPr="009E5B4C">
              <w:rPr>
                <w:rFonts w:ascii="Verdana" w:eastAsia="Calibri" w:hAnsi="Verdana" w:cs="Arial"/>
                <w:kern w:val="2"/>
                <w:lang w:eastAsia="es-ES_tradnl"/>
                <w14:ligatures w14:val="standardContextual"/>
              </w:rPr>
              <w:t>_2026_09_11_012149</w:t>
            </w:r>
          </w:p>
          <w:p w14:paraId="29EB6C7E" w14:textId="77777777" w:rsidR="00E95861" w:rsidRPr="009E5B4C" w:rsidRDefault="00E95861" w:rsidP="00E95861">
            <w:pPr>
              <w:snapToGrid w:val="0"/>
              <w:jc w:val="both"/>
              <w:rPr>
                <w:rFonts w:ascii="Verdana" w:eastAsia="Calibri" w:hAnsi="Verdana" w:cs="Arial"/>
                <w:kern w:val="2"/>
                <w:lang w:eastAsia="es-ES_tradnl"/>
                <w14:ligatures w14:val="standardContextual"/>
              </w:rPr>
            </w:pPr>
          </w:p>
        </w:tc>
      </w:tr>
    </w:tbl>
    <w:p w14:paraId="782F11A2" w14:textId="77777777" w:rsidR="00E95861" w:rsidRPr="00E95861" w:rsidRDefault="00E95861" w:rsidP="00E95861">
      <w:pPr>
        <w:spacing w:after="0" w:line="276" w:lineRule="auto"/>
        <w:jc w:val="both"/>
        <w:rPr>
          <w:rFonts w:ascii="Verdana" w:eastAsia="Calibri" w:hAnsi="Verdana" w:cs="Arial"/>
          <w:lang w:eastAsia="es-ES"/>
        </w:rPr>
      </w:pPr>
      <w:r w:rsidRPr="00E95861">
        <w:rPr>
          <w:rFonts w:ascii="Verdana" w:eastAsia="Calibri" w:hAnsi="Verdana" w:cs="Arial"/>
          <w:lang w:eastAsia="es-ES"/>
        </w:rPr>
        <w:lastRenderedPageBreak/>
        <w:t xml:space="preserve">Estimado señor </w:t>
      </w:r>
      <w:r w:rsidRPr="00E95861">
        <w:rPr>
          <w:rFonts w:ascii="Verdana" w:eastAsia="Aptos" w:hAnsi="Verdana" w:cs="Times New Roman"/>
          <w:kern w:val="2"/>
          <w14:ligatures w14:val="standardContextual"/>
        </w:rPr>
        <w:t>Camargo Báez</w:t>
      </w:r>
      <w:r w:rsidRPr="00E95861">
        <w:rPr>
          <w:rFonts w:ascii="Verdana" w:eastAsia="Calibri" w:hAnsi="Verdana" w:cs="Arial"/>
          <w:lang w:eastAsia="es-ES"/>
        </w:rPr>
        <w:t xml:space="preserve">: </w:t>
      </w:r>
    </w:p>
    <w:p w14:paraId="40C47E65" w14:textId="77777777" w:rsidR="00E95861" w:rsidRPr="00E95861" w:rsidRDefault="00E95861" w:rsidP="00E95861">
      <w:pPr>
        <w:tabs>
          <w:tab w:val="left" w:pos="3768"/>
        </w:tabs>
        <w:spacing w:after="0" w:line="276" w:lineRule="auto"/>
        <w:jc w:val="both"/>
        <w:rPr>
          <w:rFonts w:ascii="Verdana" w:eastAsia="Calibri" w:hAnsi="Verdana" w:cs="Arial"/>
          <w:color w:val="000000"/>
          <w:lang w:eastAsia="es-ES"/>
        </w:rPr>
      </w:pPr>
      <w:r w:rsidRPr="00E95861">
        <w:rPr>
          <w:rFonts w:ascii="Verdana" w:eastAsia="Calibri" w:hAnsi="Verdana" w:cs="Arial"/>
          <w:color w:val="000000"/>
          <w:lang w:eastAsia="es-ES"/>
        </w:rPr>
        <w:tab/>
      </w:r>
    </w:p>
    <w:p w14:paraId="4D31BCFC" w14:textId="77777777" w:rsidR="00E95861" w:rsidRPr="00E95861" w:rsidRDefault="00E95861" w:rsidP="00E95861">
      <w:pPr>
        <w:spacing w:after="0" w:line="276" w:lineRule="auto"/>
        <w:jc w:val="both"/>
        <w:rPr>
          <w:rFonts w:ascii="Verdana" w:eastAsia="Calibri" w:hAnsi="Verdana" w:cs="Arial"/>
          <w:i/>
          <w:iCs/>
          <w:lang w:eastAsia="es-ES"/>
        </w:rPr>
      </w:pPr>
      <w:r w:rsidRPr="00E95861">
        <w:rPr>
          <w:rFonts w:ascii="Verdana" w:eastAsia="Calibri" w:hAnsi="Verdana" w:cs="Arial"/>
          <w:kern w:val="2"/>
          <w:lang w:val="es-ES" w:eastAsia="es-ES"/>
          <w14:ligatures w14:val="standardContextual"/>
        </w:rPr>
        <w:t>En ejercicio de la competencia otorgada por los artículos 3, numeral 5º, y 11, numeral 8º, del Decreto Ley 4170 de 2011,</w:t>
      </w:r>
      <w:r w:rsidRPr="00E95861">
        <w:rPr>
          <w:rFonts w:ascii="Verdana" w:eastAsia="Arial MT" w:hAnsi="Verdana" w:cs="Arial MT"/>
          <w:kern w:val="2"/>
          <w:lang w:val="es-ES" w:eastAsia="es-ES"/>
          <w14:ligatures w14:val="standardContextual"/>
        </w:rPr>
        <w:t xml:space="preserve"> </w:t>
      </w:r>
      <w:r w:rsidRPr="00E95861">
        <w:rPr>
          <w:rFonts w:ascii="Verdana" w:eastAsia="Calibri" w:hAnsi="Verdana" w:cs="Arial"/>
          <w:kern w:val="2"/>
          <w:lang w:eastAsia="es-MX"/>
          <w14:ligatures w14:val="standardContextual"/>
        </w:rPr>
        <w:t xml:space="preserve">así como lo establecido por la </w:t>
      </w:r>
      <w:r w:rsidRPr="00E95861">
        <w:rPr>
          <w:rFonts w:ascii="Verdana" w:eastAsia="Aptos" w:hAnsi="Verdana" w:cs="Arial"/>
          <w:bCs/>
          <w:kern w:val="2"/>
          <w:lang w:eastAsia="es-ES" w:bidi="es-ES"/>
          <w14:ligatures w14:val="standardContextual"/>
        </w:rPr>
        <w:t>Resolución 469 de 2025 expedida por esta Entidad</w:t>
      </w:r>
      <w:r w:rsidRPr="00E95861">
        <w:rPr>
          <w:rFonts w:ascii="Verdana" w:eastAsia="Calibri" w:hAnsi="Verdana" w:cs="Arial"/>
          <w:kern w:val="2"/>
          <w:lang w:eastAsia="es-MX"/>
          <w14:ligatures w14:val="standardContextual"/>
        </w:rPr>
        <w:t xml:space="preserve">, </w:t>
      </w:r>
      <w:r w:rsidRPr="00E95861">
        <w:rPr>
          <w:rFonts w:ascii="Verdana" w:eastAsia="Calibri" w:hAnsi="Verdana" w:cs="Arial"/>
          <w:kern w:val="2"/>
          <w:lang w:val="es-ES" w:eastAsia="es-ES"/>
          <w14:ligatures w14:val="standardContextual"/>
        </w:rPr>
        <w:t>la Agencia Nacional de Contratación Pública – Colombia Compra Eficiente– responde su solicitud de consulta del 11 de septiembre de 2026, en la cual manifiesta lo siguiente</w:t>
      </w:r>
      <w:r w:rsidRPr="00E95861">
        <w:rPr>
          <w:rFonts w:ascii="Verdana" w:eastAsia="Calibri" w:hAnsi="Verdana" w:cs="Arial"/>
          <w:lang w:eastAsia="es-ES"/>
        </w:rPr>
        <w:t>:</w:t>
      </w:r>
      <w:r w:rsidRPr="00E95861">
        <w:rPr>
          <w:rFonts w:ascii="Verdana" w:eastAsia="Calibri" w:hAnsi="Verdana" w:cs="Arial"/>
          <w:i/>
          <w:iCs/>
          <w:lang w:eastAsia="es-ES"/>
        </w:rPr>
        <w:t xml:space="preserve"> </w:t>
      </w:r>
      <w:bookmarkStart w:id="2" w:name="_Hlk95313578"/>
    </w:p>
    <w:p w14:paraId="082BF6A7" w14:textId="77777777" w:rsidR="00E95861" w:rsidRPr="00E95861" w:rsidRDefault="00E95861" w:rsidP="00E95861">
      <w:pPr>
        <w:spacing w:after="0" w:line="276" w:lineRule="auto"/>
        <w:jc w:val="both"/>
        <w:rPr>
          <w:rFonts w:ascii="Verdana" w:eastAsia="Calibri" w:hAnsi="Verdana" w:cs="Arial"/>
          <w:i/>
          <w:iCs/>
          <w:lang w:eastAsia="es-ES"/>
        </w:rPr>
      </w:pPr>
    </w:p>
    <w:bookmarkEnd w:id="2"/>
    <w:p w14:paraId="19A215C0" w14:textId="77777777" w:rsidR="00E95861" w:rsidRPr="00E95861" w:rsidRDefault="00E95861" w:rsidP="00E95861">
      <w:pPr>
        <w:shd w:val="clear" w:color="auto" w:fill="FFFFFF"/>
        <w:spacing w:after="0" w:line="240" w:lineRule="auto"/>
        <w:ind w:left="709" w:right="709"/>
        <w:jc w:val="both"/>
        <w:rPr>
          <w:rFonts w:ascii="Verdana" w:eastAsia="Calibri" w:hAnsi="Verdana" w:cs="Times New Roman"/>
          <w:sz w:val="20"/>
          <w:szCs w:val="20"/>
        </w:rPr>
      </w:pPr>
      <w:r w:rsidRPr="00E95861">
        <w:rPr>
          <w:rFonts w:ascii="Verdana" w:eastAsia="Arial" w:hAnsi="Verdana" w:cs="Arial"/>
          <w:i/>
          <w:color w:val="000000"/>
          <w:sz w:val="20"/>
          <w:szCs w:val="20"/>
        </w:rPr>
        <w:t>“</w:t>
      </w:r>
      <w:r w:rsidRPr="00E95861">
        <w:rPr>
          <w:rFonts w:ascii="Verdana" w:eastAsia="Aptos" w:hAnsi="Verdana" w:cs="Times New Roman"/>
          <w:kern w:val="2"/>
          <w:sz w:val="20"/>
          <w:szCs w:val="20"/>
          <w14:ligatures w14:val="standardContextual"/>
        </w:rPr>
        <w:t>¿Cuál es el fundamento normativo, técnico o metodológico mediante el cual las entidades estatales determinan las profesiones requeridas para los diferentes cargos del personal profesional en los procesos de contratación de obra pública de infraestructura de transporte? ¿Existe alguna disposición, directriz, Documento Tipo, matriz, guía o criterio expedido por Colombia Compra Eficiente que establezca que los cargos de Director de Obra o Residente de Obra deben ser desempeñados exclusivamente por profesionales en Ingeniería Civil? En caso afirmativo, solicitar que indiquen expresamente la norma, documento, numeral o matriz en la cual se establece dicha exigencia. En caso de que no exista una disposición que establezca dicha exclusividad, ¿qué criterios deben aplicar las entidades contratantes para determinar si una profesión diferente a la Ingeniería Civil puede ser admitida para dichos cargos?</w:t>
      </w:r>
      <w:r w:rsidRPr="00E95861">
        <w:rPr>
          <w:rFonts w:ascii="Verdana" w:eastAsia="Calibri" w:hAnsi="Verdana" w:cs="Times New Roman"/>
          <w:sz w:val="20"/>
          <w:szCs w:val="20"/>
        </w:rPr>
        <w:t xml:space="preserve">”. </w:t>
      </w:r>
    </w:p>
    <w:p w14:paraId="7A291940" w14:textId="77777777" w:rsidR="00E95861" w:rsidRPr="00E95861" w:rsidRDefault="00E95861" w:rsidP="00E95861">
      <w:pPr>
        <w:spacing w:after="0" w:line="240" w:lineRule="auto"/>
        <w:ind w:left="709" w:right="709"/>
        <w:jc w:val="both"/>
        <w:rPr>
          <w:rFonts w:ascii="Verdana" w:eastAsia="Calibri" w:hAnsi="Verdana" w:cs="Times New Roman"/>
          <w:sz w:val="20"/>
          <w:szCs w:val="20"/>
        </w:rPr>
      </w:pPr>
    </w:p>
    <w:p w14:paraId="15BA966D" w14:textId="77777777" w:rsidR="00E95861" w:rsidRPr="00E95861" w:rsidRDefault="00E95861" w:rsidP="00E95861">
      <w:pPr>
        <w:spacing w:after="120" w:line="276" w:lineRule="auto"/>
        <w:ind w:firstLine="709"/>
        <w:jc w:val="both"/>
        <w:rPr>
          <w:rFonts w:ascii="Verdana" w:eastAsia="Calibri" w:hAnsi="Verdana" w:cs="Arial"/>
          <w:color w:val="000000"/>
          <w:lang w:eastAsia="es-ES"/>
        </w:rPr>
      </w:pPr>
      <w:r w:rsidRPr="00E9586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95861">
        <w:rPr>
          <w:rFonts w:ascii="Verdana" w:eastAsia="Calibri" w:hAnsi="Verdana" w:cs="Arial"/>
          <w:color w:val="000000"/>
          <w:szCs w:val="24"/>
          <w:lang w:eastAsia="es-ES_tradnl"/>
        </w:rPr>
        <w:tab/>
      </w:r>
    </w:p>
    <w:p w14:paraId="322995E9" w14:textId="77777777" w:rsidR="00E95861" w:rsidRPr="00E95861" w:rsidRDefault="00E95861" w:rsidP="00E95861">
      <w:pPr>
        <w:spacing w:after="0" w:line="276" w:lineRule="auto"/>
        <w:ind w:firstLine="709"/>
        <w:jc w:val="both"/>
        <w:rPr>
          <w:rFonts w:ascii="Verdana" w:eastAsia="Calibri" w:hAnsi="Verdana" w:cs="Arial"/>
          <w:color w:val="000000"/>
          <w:lang w:eastAsia="es-ES"/>
        </w:rPr>
      </w:pPr>
      <w:r w:rsidRPr="00E95861">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w:t>
      </w:r>
      <w:r w:rsidRPr="00E95861">
        <w:rPr>
          <w:rFonts w:ascii="Verdana" w:eastAsia="Calibri" w:hAnsi="Verdana" w:cs="Arial"/>
          <w:color w:val="000000"/>
          <w:lang w:eastAsia="es-ES"/>
        </w:rPr>
        <w:lastRenderedPageBreak/>
        <w:t>consideraciones sobre las normas generales relacionadas con los</w:t>
      </w:r>
      <w:r w:rsidRPr="00E95861">
        <w:rPr>
          <w:rFonts w:ascii="Verdana" w:eastAsia="Calibri" w:hAnsi="Verdana" w:cs="Arial"/>
          <w:color w:val="7030A0"/>
          <w:lang w:eastAsia="es-ES"/>
        </w:rPr>
        <w:t xml:space="preserve"> </w:t>
      </w:r>
      <w:r w:rsidRPr="00E95861">
        <w:rPr>
          <w:rFonts w:ascii="Verdana" w:eastAsia="Calibri" w:hAnsi="Verdana" w:cs="Arial"/>
          <w:color w:val="000000"/>
          <w:lang w:eastAsia="es-ES"/>
        </w:rPr>
        <w:t>problemas</w:t>
      </w:r>
      <w:r w:rsidRPr="00E95861">
        <w:rPr>
          <w:rFonts w:ascii="Verdana" w:eastAsia="Calibri" w:hAnsi="Verdana" w:cs="Arial"/>
          <w:color w:val="7030A0"/>
          <w:lang w:eastAsia="es-ES"/>
        </w:rPr>
        <w:t xml:space="preserve"> </w:t>
      </w:r>
      <w:r w:rsidRPr="00E95861">
        <w:rPr>
          <w:rFonts w:ascii="Verdana" w:eastAsia="Calibri" w:hAnsi="Verdana" w:cs="Arial"/>
          <w:color w:val="000000"/>
          <w:lang w:eastAsia="es-ES"/>
        </w:rPr>
        <w:t>jurídicos</w:t>
      </w:r>
      <w:r w:rsidRPr="00E95861">
        <w:rPr>
          <w:rFonts w:ascii="Verdana" w:eastAsia="Calibri" w:hAnsi="Verdana" w:cs="Arial"/>
          <w:color w:val="7030A0"/>
          <w:lang w:eastAsia="es-ES"/>
        </w:rPr>
        <w:t xml:space="preserve"> </w:t>
      </w:r>
      <w:r w:rsidRPr="00E95861">
        <w:rPr>
          <w:rFonts w:ascii="Verdana" w:eastAsia="Calibri" w:hAnsi="Verdana" w:cs="Arial"/>
          <w:color w:val="000000"/>
          <w:lang w:eastAsia="es-ES"/>
        </w:rPr>
        <w:t xml:space="preserve">de su consulta. </w:t>
      </w:r>
    </w:p>
    <w:p w14:paraId="0068DBF9" w14:textId="77777777" w:rsidR="00E95861" w:rsidRPr="00E95861" w:rsidRDefault="00E95861" w:rsidP="00E95861">
      <w:pPr>
        <w:spacing w:after="0" w:line="276" w:lineRule="auto"/>
        <w:ind w:firstLine="709"/>
        <w:jc w:val="both"/>
        <w:rPr>
          <w:rFonts w:ascii="Verdana" w:eastAsia="Calibri" w:hAnsi="Verdana" w:cs="Arial"/>
          <w:color w:val="000000"/>
          <w:lang w:eastAsia="es-ES"/>
        </w:rPr>
      </w:pPr>
    </w:p>
    <w:p w14:paraId="51CB8824" w14:textId="77777777" w:rsidR="00E95861" w:rsidRPr="00E95861" w:rsidRDefault="00E95861" w:rsidP="00E95861">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E95861">
        <w:rPr>
          <w:rFonts w:ascii="Verdana" w:eastAsia="Century Gothic" w:hAnsi="Verdana" w:cs="Century Gothic"/>
          <w:b/>
          <w:bCs/>
        </w:rPr>
        <w:t>Problemas planteados:</w:t>
      </w:r>
    </w:p>
    <w:p w14:paraId="0832BF20" w14:textId="77777777" w:rsidR="00E95861" w:rsidRPr="00E95861" w:rsidRDefault="00E95861" w:rsidP="00E95861">
      <w:pPr>
        <w:tabs>
          <w:tab w:val="left" w:pos="426"/>
        </w:tabs>
        <w:spacing w:after="0" w:line="276" w:lineRule="auto"/>
        <w:jc w:val="both"/>
        <w:rPr>
          <w:rFonts w:ascii="Verdana" w:eastAsia="Century Gothic" w:hAnsi="Verdana" w:cs="Century Gothic"/>
        </w:rPr>
      </w:pPr>
    </w:p>
    <w:p w14:paraId="1DDADBA9" w14:textId="77777777" w:rsidR="00E95861" w:rsidRPr="00E95861" w:rsidRDefault="00E95861" w:rsidP="00E95861">
      <w:pPr>
        <w:snapToGrid w:val="0"/>
        <w:spacing w:after="0" w:line="276" w:lineRule="auto"/>
        <w:jc w:val="both"/>
        <w:rPr>
          <w:rFonts w:ascii="Verdana" w:eastAsia="Century Gothic" w:hAnsi="Verdana" w:cs="Arial"/>
        </w:rPr>
      </w:pPr>
      <w:r w:rsidRPr="00E95861">
        <w:rPr>
          <w:rFonts w:ascii="Verdana" w:eastAsia="Century Gothic" w:hAnsi="Verdana" w:cs="Century Gothic"/>
        </w:rPr>
        <w:t>De acuerdo con el contenido de su solicitud, esta Agencia resolverá los siguientes problemas jurídicos: i) ¿Existe alguna norma que disponga que los cargos de director de obra o de residente de obra deben ser desempeñados exclusivamente por profesionales en ingeniería civil y, si no existe, qué criterios deben aplicar las entidades contratantes para determinar si una profesión diferente puede ser admitida para esos cargos?</w:t>
      </w:r>
      <w:r w:rsidRPr="00E95861">
        <w:rPr>
          <w:rFonts w:ascii="Verdana" w:eastAsia="Century Gothic" w:hAnsi="Verdana" w:cs="Arial"/>
        </w:rPr>
        <w:t xml:space="preserve"> y </w:t>
      </w:r>
      <w:proofErr w:type="spellStart"/>
      <w:r w:rsidRPr="00E95861">
        <w:rPr>
          <w:rFonts w:ascii="Verdana" w:eastAsia="Century Gothic" w:hAnsi="Verdana" w:cs="Century Gothic"/>
        </w:rPr>
        <w:t>ii</w:t>
      </w:r>
      <w:proofErr w:type="spellEnd"/>
      <w:r w:rsidRPr="00E95861">
        <w:rPr>
          <w:rFonts w:ascii="Verdana" w:eastAsia="Century Gothic" w:hAnsi="Verdana" w:cs="Century Gothic"/>
        </w:rPr>
        <w:t>) ¿Los documentos tipo de obra pública de infraestructura de transporte expedidos por la Agencia Nacional de Contratación Pública – Colombia Compra Eficiente establecen que los cargos de director de obra o de residente de obra deben ser desempeñados exclusivamente por profesionales en ingeniería civil y, en ese marco, con qué fundamento define la entidad estatal el perfil profesional de esos cargos?</w:t>
      </w:r>
    </w:p>
    <w:p w14:paraId="70299C3D" w14:textId="77777777" w:rsidR="00E95861" w:rsidRPr="00E95861" w:rsidRDefault="00E95861" w:rsidP="00E95861">
      <w:pPr>
        <w:snapToGrid w:val="0"/>
        <w:spacing w:after="0" w:line="276" w:lineRule="auto"/>
        <w:jc w:val="both"/>
        <w:rPr>
          <w:rFonts w:ascii="Verdana" w:eastAsia="Calibri" w:hAnsi="Verdana" w:cs="Arial"/>
          <w:color w:val="7030A0"/>
        </w:rPr>
      </w:pPr>
    </w:p>
    <w:p w14:paraId="075BB2B2" w14:textId="77777777" w:rsidR="00E95861" w:rsidRPr="00E95861" w:rsidRDefault="00E95861" w:rsidP="00E95861">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E95861">
        <w:rPr>
          <w:rFonts w:ascii="Verdana" w:eastAsia="Century Gothic" w:hAnsi="Verdana" w:cs="Century Gothic"/>
          <w:b/>
          <w:bCs/>
        </w:rPr>
        <w:t>Respuestas:</w:t>
      </w:r>
    </w:p>
    <w:p w14:paraId="63E304BE" w14:textId="77777777" w:rsidR="00E95861" w:rsidRPr="00E95861" w:rsidRDefault="00E95861" w:rsidP="00E9586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95861" w:rsidRPr="00E95861" w14:paraId="25AA8994" w14:textId="77777777" w:rsidTr="00173079">
        <w:trPr>
          <w:jc w:val="center"/>
        </w:trPr>
        <w:tc>
          <w:tcPr>
            <w:tcW w:w="8828" w:type="dxa"/>
          </w:tcPr>
          <w:p w14:paraId="1739E210" w14:textId="77777777" w:rsidR="00E95861" w:rsidRPr="00E95861" w:rsidRDefault="00E95861" w:rsidP="00E95861">
            <w:pPr>
              <w:spacing w:before="120" w:after="120" w:line="276" w:lineRule="auto"/>
              <w:jc w:val="both"/>
              <w:rPr>
                <w:rFonts w:ascii="Verdana" w:eastAsia="Times New Roman" w:hAnsi="Verdana" w:cs="Times New Roman"/>
                <w:kern w:val="2"/>
                <w:sz w:val="24"/>
                <w:szCs w:val="24"/>
                <w:lang w:eastAsia="es-MX"/>
                <w14:ligatures w14:val="standardContextual"/>
              </w:rPr>
            </w:pPr>
            <w:bookmarkStart w:id="3" w:name="_Hlk171694685"/>
            <w:r w:rsidRPr="00E95861">
              <w:rPr>
                <w:rFonts w:ascii="Verdana" w:eastAsia="Times New Roman" w:hAnsi="Verdana" w:cs="Times New Roman"/>
                <w:kern w:val="2"/>
                <w:sz w:val="24"/>
                <w:szCs w:val="24"/>
                <w:lang w:eastAsia="es-MX"/>
                <w14:ligatures w14:val="standardContextual"/>
              </w:rPr>
              <w:t>i. El ordenamiento jurídico colombiano no contiene una disposición de alcance general que defina los cargos de director de obra y de residente de obra, ni que reserve su desempeño de manera exclusiva a los ingenieros civiles. Se trata de denominaciones propias de la práctica contractual, cuyo contenido funcional se fija en los documentos del proceso de contratación, en los manuales de las entidades y en el respectivo contrato.</w:t>
            </w:r>
          </w:p>
          <w:p w14:paraId="22A24F04"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La disposición técnica de rango legal que regula una figura equivalente es la Ley 400 de 1997, por la cual se adoptan normas sobre construcciones sismo resistentes. El numeral 9 de su artículo 4, modificado por el artículo 1 de la Ley 1229 de 2008, define al constructor como “el profesional, ingeniero civil, arquitecto o constructor en arquitectura e ingeniería” bajo cuya responsabilidad se adelanta la construcción de la edificación. A su turno, el artículo 33, modificado por el artículo 5 de la Ley 1229 de 2008, dispone que “El </w:t>
            </w:r>
            <w:r w:rsidRPr="00E95861">
              <w:rPr>
                <w:rFonts w:ascii="Verdana" w:eastAsia="Times New Roman" w:hAnsi="Verdana" w:cs="Times New Roman"/>
                <w:kern w:val="2"/>
                <w:sz w:val="24"/>
                <w:szCs w:val="24"/>
                <w:lang w:eastAsia="es-MX"/>
                <w14:ligatures w14:val="standardContextual"/>
              </w:rPr>
              <w:lastRenderedPageBreak/>
              <w:t>director de construcción debe ser un ingeniero civil, arquitecto o constructor en arquitectura e ingeniería”, y admite al ingeniero mecánico cuando se trate de estructuras metálicas o prefabricadas. En todos los casos, el director debe contar con matrícula profesional y acreditar la experiencia que exige el artículo 34 de la misma ley.</w:t>
            </w:r>
          </w:p>
          <w:p w14:paraId="47BDFFB4"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Esta regulación, sin embargo, tiene un ámbito de aplicación delimitado. La Ley 400 de 1997 rige para las edificaciones, que el numeral 14 de su artículo 4 define como la construcción “cuyo uso primordial es la habitación u ocupación por seres humanos”, y su artículo 3 excluye de manera expresa las estructuras especiales, como los puentes, las torres de transmisión, los muelles y las estructuras hidráulicas, así como aquellas cuyo comportamiento dinámico difiera del de las edificaciones convencionales. Por consiguiente, en las obras de edificación la ley permite que la dirección de la construcción esté a cargo de un ingeniero civil, de un arquitecto o de un constructor en arquitectura e ingeniería, de modo que en ese ámbito el cargo de director de obra no se encuentra reservado al ingeniero civil. Esta distinción coincide con lo expuesto por la Corte Constitucional en la sentencia C-191 de 2005, según la cual la Ley 400 de 1997 reconoce a arquitectos e ingenieros idoneidades diferentes, de acuerdo con su formación.</w:t>
            </w:r>
          </w:p>
          <w:p w14:paraId="5F077F85"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Distinta es la situación de las obras que no tienen la naturaleza de edificación, en particular las de infraestructura de transporte, cuyo parámetro normativo es la Ley 842 de 2003. El literal a) de su artículo 2 califica como ejercicio de la ingeniería, entre otras actividades, la construcción, el mantenimiento, la interventoría y la administración de carreteras, vías urbanas y rurales, puentes, aeropuertos y ferrocarriles. A su vez, –tal como se señaló– el artículo 18, en el entendido fijado por la Corte en la sentencia C-191 de 2005, exige que todo trabajo que guarde una relación directa y necesaria con ese ejercicio sea dirigido por un ingeniero inscrito en el registro profesional y con matrícula en la rama respectiva. En este sentido, el director de obra de un contrato de </w:t>
            </w:r>
            <w:r w:rsidRPr="00E95861">
              <w:rPr>
                <w:rFonts w:ascii="Verdana" w:eastAsia="Times New Roman" w:hAnsi="Verdana" w:cs="Times New Roman"/>
                <w:kern w:val="2"/>
                <w:sz w:val="24"/>
                <w:szCs w:val="24"/>
                <w:lang w:eastAsia="es-MX"/>
                <w14:ligatures w14:val="standardContextual"/>
              </w:rPr>
              <w:lastRenderedPageBreak/>
              <w:t>construcción, mejoramiento o mantenimiento de infraestructura de transporte tiene a su cargo, precisamente, la dirección técnica de esas actividades, por lo que el cargo debe ser desempeñado por un ingeniero con matrícula profesional vigente. Un arquitecto no puede ocuparlo, porque su título no lo habilita para ejercer actividades catalogadas por la ley como ejercicio de la ingeniería.</w:t>
            </w:r>
          </w:p>
          <w:p w14:paraId="3DB3F712"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Es así como, el residente de obra está sujeto a la misma regla en la medida en que sus funciones comprendan la dirección técnica de los frentes de trabajo, el control de la ejecución conforme a los diseños y especificaciones o la toma de decisiones técnicas en el sitio, pues en esos supuestos su labor guarda una relación directa y necesaria con el ejercicio de la ingeniería. Si, por el contrario, el cargo se limita a funciones administrativas o de apoyo, la reserva del artículo 18 no le resulta aplicable, ya que la Corte precisó que esa norma comprende las actividades propias de la ingeniería y “no a cualquier actividad que tenga algún tipo de relación con la ingeniería, por menor o distante que esta sea”.</w:t>
            </w:r>
          </w:p>
          <w:p w14:paraId="3C1A3AA4"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Ahora bien, que la dirección de estas obras deba recaer en un ingeniero no significa que deba recaer exclusivamente en un ingeniero civil. El artículo 18 de la Ley 842 de 2003 exige la matrícula “en la rama respectiva”, de suerte que el título exigible depende de la naturaleza de las actividades que integran el objeto contractual. Corresponde a la entidad contratante definir en los documentos del proceso el perfil del profesional que requiere, pero esa facultad tiene límites.</w:t>
            </w:r>
          </w:p>
          <w:p w14:paraId="55487BE5"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Según el Consejo Profesional Nacional de Ingeniería – COPNIA, es lícito excluir de una labor a quien no es idóneo para desempeñarla, pero no a quien, por su formación académica, sí lo es y cuenta con la autorización estatal para ejercerla, pues ello constituiría una discriminación injustificada contraria al derecho a la igualdad consagrado en el artículo 13 de la Constitución Política. En esa medida, exigir de manera exclusiva el título de ingeniero civil es procedente cuando las actividades del contrato corresponden a esa rama, y puede </w:t>
            </w:r>
            <w:r w:rsidRPr="00E95861">
              <w:rPr>
                <w:rFonts w:ascii="Verdana" w:eastAsia="Times New Roman" w:hAnsi="Verdana" w:cs="Times New Roman"/>
                <w:kern w:val="2"/>
                <w:sz w:val="24"/>
                <w:szCs w:val="24"/>
                <w:lang w:eastAsia="es-MX"/>
                <w14:ligatures w14:val="standardContextual"/>
              </w:rPr>
              <w:lastRenderedPageBreak/>
              <w:t>constituir una restricción injustificada si otras ramas de la ingeniería forman a sus profesionales para dirigir esas mismas labores.</w:t>
            </w:r>
          </w:p>
          <w:p w14:paraId="58C5E39F"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Conforme con lo expuesto, se reitera que, no existe una norma que disponga que los cargos de director de obra o de residente de obra deban ser desempeñados exclusivamente por ingenieros civiles, y la respuesta depende del tipo de obra sobre la cual recaigan las actividades que se pretenden ejecutar. En las edificaciones sometidas a la Ley 400 de 1997, la dirección de la construcción puede estar a cargo de un ingeniero civil, de un arquitecto o de un constructor en arquitectura e ingeniería, y de un ingeniero mecánico en el caso de estructuras metálicas o prefabricadas. En las obras de infraestructura de transporte y, en general, en las actividades que el artículo 2 de la Ley 842 de 2003 califica como ejercicio de la ingeniería, la dirección corresponde a un ingeniero matriculado en la rama respectiva, conforme al artículo 18 de esa ley y a la sentencia C-191 de 2005, regla que se extiende al residente de obra cuando ejerce dirección técnica en el sitio. El perfil concreto, incluida la eventual exigencia del título de ingeniero civil, lo define la entidad en los documentos del proceso, atendiendo a la naturaleza de las actividades y sin excluir a profesionales idóneos de otras ramas de la ingeniería.</w:t>
            </w:r>
          </w:p>
          <w:p w14:paraId="3ABA2606" w14:textId="77777777" w:rsidR="00E95861" w:rsidRPr="00E95861" w:rsidRDefault="00E95861" w:rsidP="00E95861">
            <w:pPr>
              <w:spacing w:before="120" w:after="120" w:line="276" w:lineRule="auto"/>
              <w:jc w:val="both"/>
              <w:rPr>
                <w:rFonts w:ascii="Verdana" w:eastAsia="Times New Roman" w:hAnsi="Verdana" w:cs="Times New Roman"/>
                <w:kern w:val="2"/>
                <w:sz w:val="24"/>
                <w:szCs w:val="24"/>
                <w:lang w:eastAsia="es-MX"/>
                <w14:ligatures w14:val="standardContextual"/>
              </w:rPr>
            </w:pPr>
            <w:proofErr w:type="spellStart"/>
            <w:r w:rsidRPr="00E95861">
              <w:rPr>
                <w:rFonts w:ascii="Verdana" w:eastAsia="Times New Roman" w:hAnsi="Verdana" w:cs="Times New Roman"/>
                <w:kern w:val="2"/>
                <w:sz w:val="24"/>
                <w:szCs w:val="24"/>
                <w:lang w:eastAsia="es-MX"/>
                <w14:ligatures w14:val="standardContextual"/>
              </w:rPr>
              <w:t>ii</w:t>
            </w:r>
            <w:proofErr w:type="spellEnd"/>
            <w:r w:rsidRPr="00E95861">
              <w:rPr>
                <w:rFonts w:ascii="Verdana" w:eastAsia="Times New Roman" w:hAnsi="Verdana" w:cs="Times New Roman"/>
                <w:kern w:val="2"/>
                <w:sz w:val="24"/>
                <w:szCs w:val="24"/>
                <w:lang w:eastAsia="es-MX"/>
                <w14:ligatures w14:val="standardContextual"/>
              </w:rPr>
              <w:t>. El “Anexo 1 – Anexo Técnico” hace parte de los documentos tipo de obra de infraestructura de transporte y contiene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el propio documento lo autorice de forma expresa, es decir, en los aspectos incluidos entre corchetes y resaltados en gris.</w:t>
            </w:r>
          </w:p>
          <w:p w14:paraId="1251972A"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Los documentos tipo de obra pública de infraestructura de transporte no establecen que los cargos de director de obra o de </w:t>
            </w:r>
            <w:r w:rsidRPr="00E95861">
              <w:rPr>
                <w:rFonts w:ascii="Verdana" w:eastAsia="Times New Roman" w:hAnsi="Verdana" w:cs="Times New Roman"/>
                <w:kern w:val="2"/>
                <w:sz w:val="24"/>
                <w:szCs w:val="24"/>
                <w:lang w:eastAsia="es-MX"/>
                <w14:ligatures w14:val="standardContextual"/>
              </w:rPr>
              <w:lastRenderedPageBreak/>
              <w:t xml:space="preserve">residente de obra deban ser desempeñados exclusivamente por profesionales en ingeniería civil. El numeral 7 del “Anexo 1 – Anexo Técnico” no predetermina la formación académica de ningún cargo y, por el contrario, contiene una instrucción expresa dirigida a la entidad: </w:t>
            </w:r>
            <w:r w:rsidRPr="00E95861">
              <w:rPr>
                <w:rFonts w:ascii="Verdana" w:eastAsia="Times New Roman" w:hAnsi="Verdana" w:cs="Times New Roman"/>
                <w:kern w:val="2"/>
                <w:sz w:val="24"/>
                <w:szCs w:val="24"/>
                <w:highlight w:val="lightGray"/>
                <w:lang w:eastAsia="es-MX"/>
                <w14:ligatures w14:val="standardContextual"/>
              </w:rPr>
              <w:t>“[La entidad deberá definir el personal requerido para la ejecución de la obra de acuerdo con el objeto del proceso de contratación]”</w:t>
            </w:r>
            <w:r w:rsidRPr="00E95861">
              <w:rPr>
                <w:rFonts w:ascii="Verdana" w:eastAsia="Times New Roman" w:hAnsi="Verdana" w:cs="Times New Roman"/>
                <w:kern w:val="2"/>
                <w:sz w:val="24"/>
                <w:szCs w:val="24"/>
                <w:lang w:eastAsia="es-MX"/>
                <w14:ligatures w14:val="standardContextual"/>
              </w:rPr>
              <w:t>.</w:t>
            </w:r>
          </w:p>
          <w:p w14:paraId="5F20D7B5"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De esa instrucción se desprenden dos consecuencias: i) La primera es que la competencia para fijar el perfil del personal corresponde a la entidad, que debe precisar, en los espacios entre corchetes y resaltados en gris, el título profesional requerido, los años de experiencia general y específica y, cuando sea necesario, el título de posgrado, así como la denominación del cargo de acuerdo con la tabla del literal a) del mismo numeral; </w:t>
            </w:r>
            <w:proofErr w:type="spellStart"/>
            <w:r w:rsidRPr="00E95861">
              <w:rPr>
                <w:rFonts w:ascii="Verdana" w:eastAsia="Times New Roman" w:hAnsi="Verdana" w:cs="Times New Roman"/>
                <w:kern w:val="2"/>
                <w:sz w:val="24"/>
                <w:szCs w:val="24"/>
                <w:lang w:eastAsia="es-MX"/>
                <w14:ligatures w14:val="standardContextual"/>
              </w:rPr>
              <w:t>ii</w:t>
            </w:r>
            <w:proofErr w:type="spellEnd"/>
            <w:r w:rsidRPr="00E95861">
              <w:rPr>
                <w:rFonts w:ascii="Verdana" w:eastAsia="Times New Roman" w:hAnsi="Verdana" w:cs="Times New Roman"/>
                <w:kern w:val="2"/>
                <w:sz w:val="24"/>
                <w:szCs w:val="24"/>
                <w:lang w:eastAsia="es-MX"/>
                <w14:ligatures w14:val="standardContextual"/>
              </w:rPr>
              <w:t>) La segunda es que esa competencia no es libre, pues el documento la sujeta al objeto del proceso de contratación.</w:t>
            </w:r>
          </w:p>
          <w:p w14:paraId="0A003677"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En este sentido, el perfil debe derivarse de las actividades que efectivamente se ejecutarán, de su complejidad técnica y del riesgo que comportan, y ser proporcional y adecuado al tipo de obra, conforme a lo establecido en los estudios y documentos previos. Este mandato es expresión del principio de planeación y coincide con el criterio que el numeral 1 del artículo 5 de la Ley 1150 de 2007 fija para los requisitos de los procesos de selección, que deben ser “adecuados y proporcionales a la naturaleza del contrato a suscribir y a su valor”. En consecuencia, la exigencia del título de ingeniero civil para los cargos de director o residente de obra no tiene origen en el documento tipo. Es una determinación de la entidad, válida en la medida en que guarde relación directa con el objeto contractual y se encuentre debidamente justificada en la etapa de planeación.</w:t>
            </w:r>
          </w:p>
          <w:p w14:paraId="4536226F"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 xml:space="preserve">Esa facultad, sin embargo, no es ilimitada, porque el documento tipo se aplica en armonía con las normas que regulan el ejercicio de la ingeniería. Las actividades de construcción, mejoramiento y mantenimiento de infraestructura de transporte, entre otras, </w:t>
            </w:r>
            <w:r w:rsidRPr="00E95861">
              <w:rPr>
                <w:rFonts w:ascii="Verdana" w:eastAsia="Times New Roman" w:hAnsi="Verdana" w:cs="Times New Roman"/>
                <w:kern w:val="2"/>
                <w:sz w:val="24"/>
                <w:szCs w:val="24"/>
                <w:lang w:eastAsia="es-MX"/>
                <w14:ligatures w14:val="standardContextual"/>
              </w:rPr>
              <w:lastRenderedPageBreak/>
              <w:t>constituyen ejercicio de la ingeniería según el literal a) del artículo 2 de la Ley 842 de 2003. Por eso, conforme al artículo 18 de esa ley, el director de obra, y el residente de obra cuando ejerce dirección técnica en el sitio, deben ser ingenieros inscritos en el registro profesional y con matrícula en la rama respectiva.</w:t>
            </w:r>
          </w:p>
          <w:p w14:paraId="48D3E6CC" w14:textId="77777777" w:rsidR="00E95861" w:rsidRPr="00E95861" w:rsidRDefault="00E95861" w:rsidP="00E95861">
            <w:pPr>
              <w:spacing w:before="120" w:after="120" w:line="276" w:lineRule="auto"/>
              <w:ind w:firstLine="708"/>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En consecuencia, la entidad no puede configurar el perfil de manera que admita para esos cargos a profesionales sin esa habilitación, como los arquitectos. Tampoco puede restringirlo injustificadamente, excluyendo a ingenieros de otras ramas cuya formación los hace idóneos para dirigir las actividades del contrato.</w:t>
            </w:r>
          </w:p>
          <w:p w14:paraId="0449FE39" w14:textId="77777777" w:rsidR="00E95861" w:rsidRPr="00E95861" w:rsidRDefault="00E95861" w:rsidP="00E95861">
            <w:pPr>
              <w:spacing w:before="120" w:after="120" w:line="276" w:lineRule="auto"/>
              <w:ind w:firstLine="709"/>
              <w:jc w:val="both"/>
              <w:rPr>
                <w:rFonts w:ascii="Verdana" w:eastAsia="Times New Roman" w:hAnsi="Verdana" w:cs="Times New Roman"/>
                <w:kern w:val="2"/>
                <w:sz w:val="24"/>
                <w:szCs w:val="24"/>
                <w:lang w:eastAsia="es-MX"/>
                <w14:ligatures w14:val="standardContextual"/>
              </w:rPr>
            </w:pPr>
            <w:r w:rsidRPr="00E95861">
              <w:rPr>
                <w:rFonts w:ascii="Verdana" w:eastAsia="Times New Roman" w:hAnsi="Verdana" w:cs="Times New Roman"/>
                <w:kern w:val="2"/>
                <w:sz w:val="24"/>
                <w:szCs w:val="24"/>
                <w:lang w:eastAsia="es-MX"/>
                <w14:ligatures w14:val="standardContextual"/>
              </w:rPr>
              <w:t>En síntesis, exigir el título de ingeniero civil para los cargos de director o residente de obra será procedente cuando las actividades del contrato correspondan a esa rama de la ingeniería y así lo soporten los estudios previos. Lo que el documento tipo garantiza es el procedimiento para definir el perfil, y lo que la Ley 842 de 2003 garantiza es que quien dirija la obra sea un ingeniero matriculado. Cabe anotar, además, que el personal profesional no se evalúa durante el proceso de selección. Según Colombia Compra Eficiente, las hojas de vida y los soportes del personal vinculado al proyecto se verifican una vez adjudicado el contrato, por lo que la entidad no puede exigirlos como requisito habilitante ni como factor de puntaje. Corresponde al supervisor o interventor comprobar, en la ejecución, que los profesionales cumplan el perfil definido y estén legalmente habilitados para ejercer.</w:t>
            </w:r>
          </w:p>
        </w:tc>
      </w:tr>
    </w:tbl>
    <w:p w14:paraId="1A6CC770" w14:textId="77777777" w:rsidR="00E95861" w:rsidRPr="00E95861" w:rsidRDefault="00E95861" w:rsidP="00E95861">
      <w:pPr>
        <w:tabs>
          <w:tab w:val="left" w:pos="142"/>
          <w:tab w:val="left" w:pos="284"/>
        </w:tabs>
        <w:spacing w:after="0" w:line="276" w:lineRule="auto"/>
        <w:jc w:val="both"/>
        <w:rPr>
          <w:rFonts w:ascii="Verdana" w:eastAsia="Century Gothic" w:hAnsi="Verdana" w:cs="Century Gothic"/>
          <w:b/>
          <w:bCs/>
        </w:rPr>
      </w:pPr>
    </w:p>
    <w:bookmarkEnd w:id="3"/>
    <w:p w14:paraId="5A2BD0E7" w14:textId="77777777" w:rsidR="00E95861" w:rsidRPr="00E95861" w:rsidRDefault="00E95861" w:rsidP="00E95861">
      <w:pPr>
        <w:numPr>
          <w:ilvl w:val="0"/>
          <w:numId w:val="17"/>
        </w:numPr>
        <w:tabs>
          <w:tab w:val="left" w:pos="142"/>
          <w:tab w:val="left" w:pos="284"/>
        </w:tabs>
        <w:spacing w:after="0" w:line="276" w:lineRule="auto"/>
        <w:jc w:val="both"/>
        <w:rPr>
          <w:rFonts w:ascii="Verdana" w:eastAsia="Century Gothic" w:hAnsi="Verdana" w:cs="Century Gothic"/>
          <w:b/>
          <w:bCs/>
        </w:rPr>
      </w:pPr>
      <w:r w:rsidRPr="00E95861">
        <w:rPr>
          <w:rFonts w:ascii="Verdana" w:eastAsia="Century Gothic" w:hAnsi="Verdana" w:cs="Century Gothic"/>
          <w:b/>
          <w:bCs/>
        </w:rPr>
        <w:t>Razones de las respuestas:</w:t>
      </w:r>
    </w:p>
    <w:p w14:paraId="5DFA171E" w14:textId="77777777" w:rsidR="00E95861" w:rsidRPr="00E95861" w:rsidRDefault="00E95861" w:rsidP="00E95861">
      <w:pPr>
        <w:spacing w:after="0" w:line="276" w:lineRule="auto"/>
        <w:jc w:val="both"/>
        <w:rPr>
          <w:rFonts w:ascii="Verdana" w:eastAsia="Calibri" w:hAnsi="Verdana" w:cs="Arial"/>
          <w:color w:val="7030A0"/>
        </w:rPr>
      </w:pPr>
    </w:p>
    <w:p w14:paraId="5E55B4A3" w14:textId="77777777" w:rsidR="00E95861" w:rsidRPr="00E95861" w:rsidRDefault="00E95861" w:rsidP="00E95861">
      <w:pPr>
        <w:spacing w:after="0" w:line="276" w:lineRule="auto"/>
        <w:jc w:val="both"/>
        <w:rPr>
          <w:rFonts w:ascii="Verdana" w:eastAsia="Calibri" w:hAnsi="Verdana" w:cs="Arial"/>
        </w:rPr>
      </w:pPr>
      <w:r w:rsidRPr="00E95861">
        <w:rPr>
          <w:rFonts w:ascii="Verdana" w:eastAsia="Calibri" w:hAnsi="Verdana" w:cs="Arial"/>
        </w:rPr>
        <w:t>Lo anterior se sustenta en las siguientes consideraciones:</w:t>
      </w:r>
    </w:p>
    <w:p w14:paraId="18FFA9C8" w14:textId="77777777" w:rsidR="00E95861" w:rsidRPr="00E95861" w:rsidRDefault="00E95861" w:rsidP="00E95861">
      <w:pPr>
        <w:spacing w:after="0" w:line="276" w:lineRule="auto"/>
        <w:jc w:val="both"/>
        <w:rPr>
          <w:rFonts w:ascii="Verdana" w:eastAsia="Calibri" w:hAnsi="Verdana" w:cs="Arial"/>
        </w:rPr>
      </w:pPr>
    </w:p>
    <w:p w14:paraId="23212BF5" w14:textId="77777777" w:rsidR="00E95861" w:rsidRPr="00E95861" w:rsidRDefault="00E95861" w:rsidP="00E95861">
      <w:pPr>
        <w:widowControl w:val="0"/>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E95861">
        <w:rPr>
          <w:rFonts w:ascii="Verdana" w:eastAsia="Arial" w:hAnsi="Verdana" w:cs="Arial"/>
          <w:kern w:val="2"/>
          <w:lang w:val="es-ES" w:eastAsia="es-ES" w:bidi="es-ES"/>
          <w14:ligatures w14:val="standardContextual"/>
        </w:rPr>
        <w:t xml:space="preserve">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w:t>
      </w:r>
      <w:r w:rsidRPr="00E95861">
        <w:rPr>
          <w:rFonts w:ascii="Verdana" w:eastAsia="Arial" w:hAnsi="Verdana" w:cs="Arial"/>
          <w:kern w:val="2"/>
          <w:lang w:val="es-ES" w:eastAsia="es-ES" w:bidi="es-ES"/>
          <w14:ligatures w14:val="standardContextual"/>
        </w:rPr>
        <w:lastRenderedPageBreak/>
        <w:t>exigencia constituye una excepción legítima al principio de libertad e igualdad en materia laboral:</w:t>
      </w:r>
    </w:p>
    <w:p w14:paraId="4AA028B9" w14:textId="77777777" w:rsidR="00E95861" w:rsidRPr="00E95861" w:rsidRDefault="00E95861" w:rsidP="00E95861">
      <w:pPr>
        <w:widowControl w:val="0"/>
        <w:autoSpaceDE w:val="0"/>
        <w:autoSpaceDN w:val="0"/>
        <w:spacing w:after="0" w:line="276" w:lineRule="auto"/>
        <w:rPr>
          <w:rFonts w:ascii="Verdana" w:eastAsia="Arial" w:hAnsi="Verdana" w:cs="Arial"/>
          <w:kern w:val="2"/>
          <w:sz w:val="20"/>
          <w:szCs w:val="20"/>
          <w:lang w:val="es-ES" w:eastAsia="es-ES" w:bidi="es-ES"/>
          <w14:ligatures w14:val="standardContextual"/>
        </w:rPr>
      </w:pPr>
    </w:p>
    <w:p w14:paraId="7D472F6C" w14:textId="77777777" w:rsidR="00E95861" w:rsidRPr="00E95861" w:rsidRDefault="00E95861" w:rsidP="00E95861">
      <w:pPr>
        <w:widowControl w:val="0"/>
        <w:autoSpaceDE w:val="0"/>
        <w:autoSpaceDN w:val="0"/>
        <w:spacing w:after="120" w:line="240" w:lineRule="auto"/>
        <w:ind w:left="709" w:right="709"/>
        <w:jc w:val="both"/>
        <w:rPr>
          <w:rFonts w:ascii="Verdana" w:eastAsia="Arial" w:hAnsi="Verdana" w:cs="Arial"/>
          <w:kern w:val="2"/>
          <w:sz w:val="20"/>
          <w:szCs w:val="20"/>
          <w:lang w:val="es-ES" w:eastAsia="es-ES" w:bidi="es-ES"/>
          <w14:ligatures w14:val="standardContextual"/>
        </w:rPr>
      </w:pPr>
      <w:r w:rsidRPr="00E95861">
        <w:rPr>
          <w:rFonts w:ascii="Verdana" w:eastAsia="Arial" w:hAnsi="Verdana" w:cs="Arial"/>
          <w:kern w:val="2"/>
          <w:sz w:val="20"/>
          <w:szCs w:val="20"/>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2EF349DB" w14:textId="77777777" w:rsidR="00E95861" w:rsidRPr="00E95861" w:rsidRDefault="00E95861" w:rsidP="00E95861">
      <w:pPr>
        <w:widowControl w:val="0"/>
        <w:autoSpaceDE w:val="0"/>
        <w:autoSpaceDN w:val="0"/>
        <w:spacing w:after="120" w:line="240" w:lineRule="auto"/>
        <w:ind w:left="709" w:right="709"/>
        <w:rPr>
          <w:rFonts w:ascii="Verdana" w:eastAsia="Arial" w:hAnsi="Verdana" w:cs="Arial"/>
          <w:kern w:val="2"/>
          <w:sz w:val="20"/>
          <w:szCs w:val="20"/>
          <w:lang w:val="es-ES" w:eastAsia="es-ES" w:bidi="es-ES"/>
          <w14:ligatures w14:val="standardContextual"/>
        </w:rPr>
      </w:pPr>
      <w:r w:rsidRPr="00E95861">
        <w:rPr>
          <w:rFonts w:ascii="Verdana" w:eastAsia="Arial" w:hAnsi="Verdana" w:cs="Arial"/>
          <w:kern w:val="2"/>
          <w:sz w:val="20"/>
          <w:szCs w:val="20"/>
          <w:lang w:val="es-ES" w:eastAsia="es-ES" w:bidi="es-ES"/>
          <w14:ligatures w14:val="standardContextual"/>
        </w:rPr>
        <w:t>[…]</w:t>
      </w:r>
    </w:p>
    <w:p w14:paraId="4665278E" w14:textId="77777777" w:rsidR="00E95861" w:rsidRPr="00E95861" w:rsidRDefault="00E95861" w:rsidP="00E95861">
      <w:pPr>
        <w:widowControl w:val="0"/>
        <w:autoSpaceDE w:val="0"/>
        <w:autoSpaceDN w:val="0"/>
        <w:spacing w:after="0" w:line="240" w:lineRule="auto"/>
        <w:ind w:left="709" w:right="709"/>
        <w:jc w:val="both"/>
        <w:rPr>
          <w:rFonts w:ascii="Verdana" w:eastAsia="Arial" w:hAnsi="Verdana" w:cs="Arial"/>
          <w:kern w:val="2"/>
          <w:sz w:val="20"/>
          <w:szCs w:val="20"/>
          <w:lang w:val="es-ES" w:eastAsia="es-ES" w:bidi="es-ES"/>
          <w14:ligatures w14:val="standardContextual"/>
        </w:rPr>
      </w:pPr>
      <w:r w:rsidRPr="00E95861">
        <w:rPr>
          <w:rFonts w:ascii="Verdana" w:eastAsia="Arial" w:hAnsi="Verdana"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E95861">
        <w:rPr>
          <w:rFonts w:ascii="Verdana" w:eastAsia="Arial" w:hAnsi="Verdana" w:cs="Arial"/>
          <w:kern w:val="2"/>
          <w:sz w:val="20"/>
          <w:szCs w:val="20"/>
          <w:vertAlign w:val="superscript"/>
          <w:lang w:val="es-ES" w:eastAsia="es-ES" w:bidi="es-ES"/>
          <w14:ligatures w14:val="standardContextual"/>
        </w:rPr>
        <w:footnoteReference w:id="1"/>
      </w:r>
      <w:r w:rsidRPr="00E95861">
        <w:rPr>
          <w:rFonts w:ascii="Verdana" w:eastAsia="Arial" w:hAnsi="Verdana" w:cs="Arial"/>
          <w:kern w:val="2"/>
          <w:sz w:val="20"/>
          <w:szCs w:val="20"/>
          <w:lang w:val="es-ES" w:eastAsia="es-ES" w:bidi="es-ES"/>
          <w14:ligatures w14:val="standardContextual"/>
        </w:rPr>
        <w:t>.</w:t>
      </w:r>
    </w:p>
    <w:p w14:paraId="31AB59FD" w14:textId="77777777" w:rsidR="00E95861" w:rsidRPr="00E95861" w:rsidRDefault="00E95861" w:rsidP="00E95861">
      <w:pPr>
        <w:widowControl w:val="0"/>
        <w:autoSpaceDE w:val="0"/>
        <w:autoSpaceDN w:val="0"/>
        <w:spacing w:after="0" w:line="276" w:lineRule="auto"/>
        <w:ind w:right="304"/>
        <w:jc w:val="both"/>
        <w:rPr>
          <w:rFonts w:ascii="Verdana" w:eastAsia="Calibri" w:hAnsi="Verdana" w:cs="Arial"/>
          <w:b/>
          <w:bCs/>
          <w:kern w:val="2"/>
          <w:lang w:val="es-MX"/>
          <w14:ligatures w14:val="standardContextual"/>
        </w:rPr>
      </w:pPr>
    </w:p>
    <w:p w14:paraId="15A80BDD" w14:textId="77777777" w:rsidR="00E95861" w:rsidRPr="00E95861" w:rsidRDefault="00E95861" w:rsidP="00E95861">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E95861">
        <w:rPr>
          <w:rFonts w:ascii="Verdana" w:eastAsia="Arial" w:hAnsi="Verdana" w:cs="Arial"/>
          <w:kern w:val="2"/>
          <w:lang w:val="es-MX"/>
          <w14:ligatures w14:val="standardContextual"/>
        </w:rPr>
        <w:t xml:space="preserve">Haciendo uso de la mencionada prerrogativa, el legislador reguló el </w:t>
      </w:r>
      <w:r w:rsidRPr="00E95861">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E95861">
        <w:rPr>
          <w:rFonts w:ascii="Verdana" w:eastAsia="Arial" w:hAnsi="Verdana" w:cs="Arial"/>
          <w:spacing w:val="8"/>
          <w:kern w:val="2"/>
          <w:lang w:val="es-ES"/>
          <w14:ligatures w14:val="standardContextual"/>
        </w:rPr>
        <w:t xml:space="preserve"> </w:t>
      </w:r>
      <w:r w:rsidRPr="00E95861">
        <w:rPr>
          <w:rFonts w:ascii="Verdana" w:eastAsia="Arial" w:hAnsi="Verdana" w:cs="Arial"/>
          <w:kern w:val="2"/>
          <w:lang w:val="es-ES"/>
          <w14:ligatures w14:val="standardContextual"/>
        </w:rPr>
        <w:t>respectivo,</w:t>
      </w:r>
      <w:r w:rsidRPr="00E95861">
        <w:rPr>
          <w:rFonts w:ascii="Verdana" w:eastAsia="Arial" w:hAnsi="Verdana" w:cs="Arial"/>
          <w:spacing w:val="8"/>
          <w:kern w:val="2"/>
          <w:lang w:val="es-ES"/>
          <w14:ligatures w14:val="standardContextual"/>
        </w:rPr>
        <w:t xml:space="preserve"> </w:t>
      </w:r>
      <w:r w:rsidRPr="00E95861">
        <w:rPr>
          <w:rFonts w:ascii="Verdana" w:eastAsia="Arial" w:hAnsi="Verdana" w:cs="Arial"/>
          <w:kern w:val="2"/>
          <w:lang w:val="es-ES"/>
          <w14:ligatures w14:val="standardContextual"/>
        </w:rPr>
        <w:t>lo</w:t>
      </w:r>
      <w:r w:rsidRPr="00E95861">
        <w:rPr>
          <w:rFonts w:ascii="Verdana" w:eastAsia="Arial" w:hAnsi="Verdana" w:cs="Arial"/>
          <w:spacing w:val="9"/>
          <w:kern w:val="2"/>
          <w:lang w:val="es-ES"/>
          <w14:ligatures w14:val="standardContextual"/>
        </w:rPr>
        <w:t xml:space="preserve"> </w:t>
      </w:r>
      <w:r w:rsidRPr="00E95861">
        <w:rPr>
          <w:rFonts w:ascii="Verdana" w:eastAsia="Arial" w:hAnsi="Verdana" w:cs="Arial"/>
          <w:kern w:val="2"/>
          <w:lang w:val="es-ES"/>
          <w14:ligatures w14:val="standardContextual"/>
        </w:rPr>
        <w:t>cual</w:t>
      </w:r>
      <w:r w:rsidRPr="00E95861">
        <w:rPr>
          <w:rFonts w:ascii="Verdana" w:eastAsia="Arial" w:hAnsi="Verdana" w:cs="Arial"/>
          <w:spacing w:val="8"/>
          <w:kern w:val="2"/>
          <w:lang w:val="es-ES"/>
          <w14:ligatures w14:val="standardContextual"/>
        </w:rPr>
        <w:t xml:space="preserve"> </w:t>
      </w:r>
      <w:r w:rsidRPr="00E95861">
        <w:rPr>
          <w:rFonts w:ascii="Verdana" w:eastAsia="Arial" w:hAnsi="Verdana" w:cs="Arial"/>
          <w:kern w:val="2"/>
          <w:lang w:val="es-ES"/>
          <w14:ligatures w14:val="standardContextual"/>
        </w:rPr>
        <w:t>se</w:t>
      </w:r>
      <w:r w:rsidRPr="00E95861">
        <w:rPr>
          <w:rFonts w:ascii="Verdana" w:eastAsia="Arial" w:hAnsi="Verdana" w:cs="Arial"/>
          <w:spacing w:val="8"/>
          <w:kern w:val="2"/>
          <w:lang w:val="es-ES"/>
          <w14:ligatures w14:val="standardContextual"/>
        </w:rPr>
        <w:t xml:space="preserve"> </w:t>
      </w:r>
      <w:r w:rsidRPr="00E95861">
        <w:rPr>
          <w:rFonts w:ascii="Verdana" w:eastAsia="Arial" w:hAnsi="Verdana" w:cs="Arial"/>
          <w:kern w:val="2"/>
          <w:lang w:val="es-ES"/>
          <w14:ligatures w14:val="standardContextual"/>
        </w:rPr>
        <w:t>acredita</w:t>
      </w:r>
      <w:r w:rsidRPr="00E95861">
        <w:rPr>
          <w:rFonts w:ascii="Verdana" w:eastAsia="Arial" w:hAnsi="Verdana" w:cs="Arial"/>
          <w:spacing w:val="6"/>
          <w:kern w:val="2"/>
          <w:lang w:val="es-ES"/>
          <w14:ligatures w14:val="standardContextual"/>
        </w:rPr>
        <w:t xml:space="preserve"> </w:t>
      </w:r>
      <w:r w:rsidRPr="00E95861">
        <w:rPr>
          <w:rFonts w:ascii="Verdana" w:eastAsia="Arial" w:hAnsi="Verdana" w:cs="Arial"/>
          <w:kern w:val="2"/>
          <w:lang w:val="es-ES"/>
          <w14:ligatures w14:val="standardContextual"/>
        </w:rPr>
        <w:t>con</w:t>
      </w:r>
      <w:r w:rsidRPr="00E95861">
        <w:rPr>
          <w:rFonts w:ascii="Verdana" w:eastAsia="Arial" w:hAnsi="Verdana" w:cs="Arial"/>
          <w:spacing w:val="7"/>
          <w:kern w:val="2"/>
          <w:lang w:val="es-ES"/>
          <w14:ligatures w14:val="standardContextual"/>
        </w:rPr>
        <w:t xml:space="preserve"> </w:t>
      </w:r>
      <w:r w:rsidRPr="00E95861">
        <w:rPr>
          <w:rFonts w:ascii="Verdana" w:eastAsia="Arial" w:hAnsi="Verdana" w:cs="Arial"/>
          <w:kern w:val="2"/>
          <w:lang w:val="es-ES"/>
          <w14:ligatures w14:val="standardContextual"/>
        </w:rPr>
        <w:t>la</w:t>
      </w:r>
      <w:r w:rsidRPr="00E95861">
        <w:rPr>
          <w:rFonts w:ascii="Verdana" w:eastAsia="Arial" w:hAnsi="Verdana" w:cs="Arial"/>
          <w:spacing w:val="8"/>
          <w:kern w:val="2"/>
          <w:lang w:val="es-ES"/>
          <w14:ligatures w14:val="standardContextual"/>
        </w:rPr>
        <w:t xml:space="preserve"> </w:t>
      </w:r>
      <w:r w:rsidRPr="00E95861">
        <w:rPr>
          <w:rFonts w:ascii="Verdana" w:eastAsia="Arial" w:hAnsi="Verdana" w:cs="Arial"/>
          <w:kern w:val="2"/>
          <w:lang w:val="es-ES"/>
          <w14:ligatures w14:val="standardContextual"/>
        </w:rPr>
        <w:t>tarjeta</w:t>
      </w:r>
      <w:r w:rsidRPr="00E95861">
        <w:rPr>
          <w:rFonts w:ascii="Verdana" w:eastAsia="Arial" w:hAnsi="Verdana" w:cs="Arial"/>
          <w:spacing w:val="9"/>
          <w:kern w:val="2"/>
          <w:lang w:val="es-ES"/>
          <w14:ligatures w14:val="standardContextual"/>
        </w:rPr>
        <w:t xml:space="preserve"> </w:t>
      </w:r>
      <w:r w:rsidRPr="00E95861">
        <w:rPr>
          <w:rFonts w:ascii="Verdana" w:eastAsia="Arial" w:hAnsi="Verdana" w:cs="Arial"/>
          <w:kern w:val="2"/>
          <w:lang w:val="es-ES"/>
          <w14:ligatures w14:val="standardContextual"/>
        </w:rPr>
        <w:t>o</w:t>
      </w:r>
      <w:r w:rsidRPr="00E95861">
        <w:rPr>
          <w:rFonts w:ascii="Verdana" w:eastAsia="Arial" w:hAnsi="Verdana" w:cs="Arial"/>
          <w:spacing w:val="7"/>
          <w:kern w:val="2"/>
          <w:lang w:val="es-ES"/>
          <w14:ligatures w14:val="standardContextual"/>
        </w:rPr>
        <w:t xml:space="preserve"> </w:t>
      </w:r>
      <w:r w:rsidRPr="00E95861">
        <w:rPr>
          <w:rFonts w:ascii="Verdana" w:eastAsia="Arial" w:hAnsi="Verdana" w:cs="Arial"/>
          <w:kern w:val="2"/>
          <w:lang w:val="es-ES"/>
          <w14:ligatures w14:val="standardContextual"/>
        </w:rPr>
        <w:t>documento adoptado por este para tal fin.</w:t>
      </w:r>
      <w:r w:rsidRPr="00E95861">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6ADBE5AA" w14:textId="77777777" w:rsidR="00E95861" w:rsidRPr="00E95861" w:rsidRDefault="00E95861" w:rsidP="00E95861">
      <w:pPr>
        <w:widowControl w:val="0"/>
        <w:autoSpaceDE w:val="0"/>
        <w:autoSpaceDN w:val="0"/>
        <w:spacing w:after="0" w:line="276" w:lineRule="auto"/>
        <w:ind w:firstLine="708"/>
        <w:jc w:val="both"/>
        <w:rPr>
          <w:rFonts w:ascii="Verdana" w:eastAsia="Aptos" w:hAnsi="Verdana" w:cs="Arial"/>
          <w:kern w:val="2"/>
          <w:lang w:val="es-MX"/>
          <w14:ligatures w14:val="standardContextual"/>
        </w:rPr>
      </w:pPr>
    </w:p>
    <w:p w14:paraId="1106966F" w14:textId="77777777" w:rsidR="00E95861" w:rsidRPr="00E95861" w:rsidRDefault="00E95861" w:rsidP="00E95861">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E95861">
        <w:rPr>
          <w:rFonts w:ascii="Verdana" w:eastAsia="Aptos" w:hAnsi="Verdana" w:cs="Arial"/>
          <w:kern w:val="2"/>
          <w:sz w:val="21"/>
          <w:szCs w:val="21"/>
          <w:lang w:val="es-MX"/>
          <w14:ligatures w14:val="standardContextual"/>
        </w:rPr>
        <w:t xml:space="preserve">“Artículo 2o. </w:t>
      </w:r>
      <w:r w:rsidRPr="00E95861">
        <w:rPr>
          <w:rFonts w:ascii="Verdana" w:eastAsia="Aptos" w:hAnsi="Verdana" w:cs="Arial"/>
          <w:i/>
          <w:iCs/>
          <w:kern w:val="2"/>
          <w:sz w:val="21"/>
          <w:szCs w:val="21"/>
          <w:lang w:val="es-MX"/>
          <w14:ligatures w14:val="standardContextual"/>
        </w:rPr>
        <w:t>Ejercicio de la ingeniería</w:t>
      </w:r>
      <w:r w:rsidRPr="00E95861">
        <w:rPr>
          <w:rFonts w:ascii="Verdana" w:eastAsia="Aptos" w:hAnsi="Verdana" w:cs="Arial"/>
          <w:kern w:val="2"/>
          <w:sz w:val="21"/>
          <w:szCs w:val="21"/>
          <w:lang w:val="es-MX"/>
          <w14:ligatures w14:val="standardContextual"/>
        </w:rPr>
        <w:t>. Para los efectos de la presente ley, se entiende como ejercicio de la ingeniería, el desempeño de actividades tales como:</w:t>
      </w:r>
    </w:p>
    <w:p w14:paraId="44C5D48D" w14:textId="77777777" w:rsidR="00E95861" w:rsidRPr="00E95861" w:rsidRDefault="00E95861" w:rsidP="00E95861">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E95861">
        <w:rPr>
          <w:rFonts w:ascii="Verdana" w:eastAsia="Aptos" w:hAnsi="Verdana" w:cs="Arial"/>
          <w:kern w:val="2"/>
          <w:sz w:val="21"/>
          <w:szCs w:val="21"/>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w:t>
      </w:r>
      <w:r w:rsidRPr="00E95861">
        <w:rPr>
          <w:rFonts w:ascii="Verdana" w:eastAsia="Aptos" w:hAnsi="Verdana" w:cs="Arial"/>
          <w:kern w:val="2"/>
          <w:sz w:val="21"/>
          <w:szCs w:val="21"/>
          <w:lang w:val="es-MX"/>
          <w14:ligatures w14:val="standardContextual"/>
        </w:rPr>
        <w:lastRenderedPageBreak/>
        <w:t xml:space="preserve">conducción y transporte de hidrocarburos; líneas de transmisión eléctrica y en general todas aquellas obras de infraestructura para el servicio de la comunidad; </w:t>
      </w:r>
    </w:p>
    <w:p w14:paraId="7477EFD9" w14:textId="77777777" w:rsidR="00E95861" w:rsidRPr="00E95861" w:rsidRDefault="00E95861" w:rsidP="00E95861">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E95861">
        <w:rPr>
          <w:rFonts w:ascii="Verdana" w:eastAsia="Aptos" w:hAnsi="Verdana" w:cs="Arial"/>
          <w:kern w:val="2"/>
          <w:sz w:val="21"/>
          <w:szCs w:val="21"/>
          <w:lang w:val="es-MX"/>
          <w14:ligatures w14:val="standardContextual"/>
        </w:rPr>
        <w:t xml:space="preserve">b) Los estudios, proyectos, diseños y procesos industriales, textiles, electromecánicos, termoeléctricos, energéticos, mecánicos, eléctricos, electrónicos, de computación, de sistemas, teleinformáticas, agroindustriales, agronómicos, agrícolas, agrológicos, de alimentos, agrometeorológicos, ambientales, geofísicos, forestales, químicos, metalúrgicos, mineros, de petróleos, geológicos, geodésicos, geográficos, topográficos e hidrológicos; </w:t>
      </w:r>
    </w:p>
    <w:p w14:paraId="383954BD" w14:textId="77777777" w:rsidR="00E95861" w:rsidRPr="00E95861" w:rsidRDefault="00E95861" w:rsidP="00E95861">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E95861">
        <w:rPr>
          <w:rFonts w:ascii="Verdana" w:eastAsia="Aptos" w:hAnsi="Verdana" w:cs="Arial"/>
          <w:kern w:val="2"/>
          <w:sz w:val="21"/>
          <w:szCs w:val="21"/>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0A74A8B6" w14:textId="77777777" w:rsidR="00E95861" w:rsidRPr="00E95861" w:rsidRDefault="00E95861" w:rsidP="00E95861">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E95861">
        <w:rPr>
          <w:rFonts w:ascii="Verdana" w:eastAsia="Aptos" w:hAnsi="Verdana" w:cs="Arial"/>
          <w:kern w:val="2"/>
          <w:sz w:val="21"/>
          <w:szCs w:val="21"/>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3878FD9F" w14:textId="77777777" w:rsidR="00E95861" w:rsidRPr="00E95861" w:rsidRDefault="00E95861" w:rsidP="00E95861">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14A69CBF"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56D81903"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En atención a lo anterior, cobra importancia el estudio de lo contemplado por la referida ley en el capítulo relativo al ejercicio ilegal de la ingeniera, sus profesiones afines y auxiliares.  </w:t>
      </w:r>
    </w:p>
    <w:p w14:paraId="3B4468D3"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El artículo 18 “Dirección de labores de ingeniería” de la Ley 842 de 2003 dispone que “Todo trabajo relacionado con el ejercicio de la Ingeniería, deberá ser dirigido por un ingeniero inscrito en el registro profesional de ingeniería y </w:t>
      </w:r>
      <w:r w:rsidRPr="00E95861">
        <w:rPr>
          <w:rFonts w:ascii="Verdana" w:eastAsia="Calibri" w:hAnsi="Verdana" w:cs="Arial"/>
          <w:lang w:val="es-ES" w:eastAsia="es-CO"/>
        </w:rPr>
        <w:lastRenderedPageBreak/>
        <w:t xml:space="preserve">con tarjeta de matrícula profesional en la rama respectiva”. </w:t>
      </w:r>
    </w:p>
    <w:p w14:paraId="4A762D3C"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De acuerdo con la disposición transcrita, todo trabajo que implique el ejercicio de la ingeniería debe ser dirigido por un ingeniero inscrito en el registro profesional de ingeniería y con tarjeta de matrícula profesional de la rama respectiva. De esta manera, actividades como las de construcción, mantenimiento y administración de construcciones, que constituyen ejercicio de la ingeniería de conformidad con el literal a) del artículo 2 de la Ley 842 de 2003, deben ser dirigidas por un ingeniero inscrito, de conformidad con el artículo 18 </w:t>
      </w:r>
      <w:proofErr w:type="spellStart"/>
      <w:r w:rsidRPr="00E95861">
        <w:rPr>
          <w:rFonts w:ascii="Verdana" w:eastAsia="Calibri" w:hAnsi="Verdana" w:cs="Arial"/>
          <w:lang w:val="es-ES" w:eastAsia="es-CO"/>
        </w:rPr>
        <w:t>ibídem</w:t>
      </w:r>
      <w:proofErr w:type="spellEnd"/>
      <w:r w:rsidRPr="00E95861">
        <w:rPr>
          <w:rFonts w:ascii="Verdana" w:eastAsia="Calibri" w:hAnsi="Verdana" w:cs="Arial"/>
          <w:lang w:val="es-ES" w:eastAsia="es-CO"/>
        </w:rPr>
        <w:t>.</w:t>
      </w:r>
    </w:p>
    <w:p w14:paraId="32B234AF" w14:textId="77777777" w:rsidR="00E95861" w:rsidRPr="00E95861" w:rsidRDefault="00E95861" w:rsidP="00E95861">
      <w:pPr>
        <w:widowControl w:val="0"/>
        <w:autoSpaceDE w:val="0"/>
        <w:autoSpaceDN w:val="0"/>
        <w:spacing w:after="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El Consejo Profesional Nacional de Ingeniería – COPNIA, en el concepto 724 de 2013</w:t>
      </w:r>
      <w:r w:rsidRPr="00E95861">
        <w:rPr>
          <w:rFonts w:ascii="Verdana" w:eastAsia="Calibri" w:hAnsi="Verdana" w:cs="Arial"/>
          <w:vertAlign w:val="superscript"/>
          <w:lang w:val="es-ES" w:eastAsia="es-CO"/>
        </w:rPr>
        <w:footnoteReference w:id="2"/>
      </w:r>
      <w:r w:rsidRPr="00E95861">
        <w:rPr>
          <w:rFonts w:ascii="Verdana" w:eastAsia="Calibri" w:hAnsi="Verdana" w:cs="Arial"/>
          <w:lang w:val="es-ES" w:eastAsia="es-CO"/>
        </w:rPr>
        <w:t>, sobre el alcance del artículo 18 de la Ley 842 de 2003, manifestó lo siguiente:</w:t>
      </w:r>
    </w:p>
    <w:p w14:paraId="799BE7E6" w14:textId="77777777" w:rsidR="00E95861" w:rsidRPr="00E95861" w:rsidRDefault="00E95861" w:rsidP="00E95861">
      <w:pPr>
        <w:widowControl w:val="0"/>
        <w:autoSpaceDE w:val="0"/>
        <w:autoSpaceDN w:val="0"/>
        <w:spacing w:after="0" w:line="240" w:lineRule="auto"/>
        <w:ind w:left="709" w:right="709" w:firstLine="709"/>
        <w:jc w:val="both"/>
        <w:rPr>
          <w:rFonts w:ascii="Verdana" w:eastAsia="Calibri" w:hAnsi="Verdana" w:cs="Arial"/>
          <w:color w:val="000000"/>
          <w:sz w:val="21"/>
          <w:szCs w:val="21"/>
          <w:lang w:val="es-ES" w:eastAsia="es-CO"/>
        </w:rPr>
      </w:pPr>
    </w:p>
    <w:p w14:paraId="6D1C69F3" w14:textId="77777777" w:rsidR="00E95861" w:rsidRPr="00E95861" w:rsidRDefault="00E95861" w:rsidP="00E95861">
      <w:pPr>
        <w:spacing w:after="120" w:line="240" w:lineRule="auto"/>
        <w:ind w:left="709" w:right="709"/>
        <w:jc w:val="both"/>
        <w:rPr>
          <w:rFonts w:ascii="Verdana" w:eastAsia="Aptos" w:hAnsi="Verdana" w:cs="Times New Roman"/>
          <w:color w:val="000000"/>
          <w:spacing w:val="2"/>
          <w:kern w:val="2"/>
          <w:sz w:val="21"/>
          <w:szCs w:val="21"/>
          <w14:ligatures w14:val="standardContextual"/>
        </w:rPr>
      </w:pPr>
      <w:r w:rsidRPr="00E95861">
        <w:rPr>
          <w:rFonts w:ascii="Verdana" w:eastAsia="Aptos" w:hAnsi="Verdana" w:cs="Times New Roman"/>
          <w:color w:val="000000"/>
          <w:spacing w:val="2"/>
          <w:kern w:val="2"/>
          <w:sz w:val="21"/>
          <w:szCs w:val="21"/>
          <w14:ligatures w14:val="standardContextual"/>
        </w:rPr>
        <w:t>“El presente artículo está relacionado directamente con el Riesgo Social al que se puede ver sometida la sociedad por el inidóneo o incorrecto ejercicio de los ingenieros y/o de los profesionales afines o auxiliares a la ingeniería, en particular, previendo el desarrollo de tareas por quienes carecen de idoneidad y/o competencia para realizar labores que son propias de los ingenieros por carecer de formación profesional como ingeniero.</w:t>
      </w:r>
    </w:p>
    <w:p w14:paraId="761971CE" w14:textId="77777777" w:rsidR="00E95861" w:rsidRPr="00E95861" w:rsidRDefault="00E95861" w:rsidP="00E95861">
      <w:pPr>
        <w:spacing w:after="120" w:line="240" w:lineRule="auto"/>
        <w:ind w:left="709" w:right="709"/>
        <w:jc w:val="both"/>
        <w:rPr>
          <w:rFonts w:ascii="Verdana" w:eastAsia="Aptos" w:hAnsi="Verdana" w:cs="Times New Roman"/>
          <w:color w:val="000000"/>
          <w:spacing w:val="2"/>
          <w:kern w:val="2"/>
          <w:sz w:val="21"/>
          <w:szCs w:val="21"/>
          <w14:ligatures w14:val="standardContextual"/>
        </w:rPr>
      </w:pPr>
      <w:r w:rsidRPr="00E95861">
        <w:rPr>
          <w:rFonts w:ascii="Verdana" w:eastAsia="Aptos" w:hAnsi="Verdana" w:cs="Times New Roman"/>
          <w:color w:val="000000"/>
          <w:spacing w:val="2"/>
          <w:kern w:val="2"/>
          <w:sz w:val="21"/>
          <w:szCs w:val="21"/>
          <w14:ligatures w14:val="standardContextual"/>
        </w:rPr>
        <w:t xml:space="preserve">En segundo lugar, el artículo en mención está refiriendo a la obligación de que aquel ingeniero esté inscrito en el registro profesional de ingeniería y con Tarjeta de Matrícula Profesional en la rama respectiva, en concordancia a que ejercer la profesión de ingeniería sin Matrícula Profesional es ilegal de acuerdo con los artículos; </w:t>
      </w:r>
      <w:hyperlink r:id="rId11" w:anchor="32" w:history="1">
        <w:r w:rsidRPr="00E95861">
          <w:rPr>
            <w:rFonts w:ascii="Verdana" w:eastAsia="Aptos" w:hAnsi="Verdana" w:cs="Times New Roman"/>
            <w:color w:val="000000"/>
            <w:spacing w:val="2"/>
            <w:kern w:val="2"/>
            <w:sz w:val="21"/>
            <w:szCs w:val="21"/>
            <w:u w:val="single"/>
            <w14:ligatures w14:val="standardContextual"/>
          </w:rPr>
          <w:t>32</w:t>
        </w:r>
      </w:hyperlink>
      <w:r w:rsidRPr="00E95861">
        <w:rPr>
          <w:rFonts w:ascii="Verdana" w:eastAsia="Aptos" w:hAnsi="Verdana" w:cs="Times New Roman"/>
          <w:color w:val="000000"/>
          <w:spacing w:val="2"/>
          <w:kern w:val="2"/>
          <w:sz w:val="21"/>
          <w:szCs w:val="21"/>
          <w14:ligatures w14:val="standardContextual"/>
        </w:rPr>
        <w:t xml:space="preserve">, literal c; </w:t>
      </w:r>
      <w:hyperlink r:id="rId12" w:anchor="34" w:history="1">
        <w:r w:rsidRPr="00E95861">
          <w:rPr>
            <w:rFonts w:ascii="Verdana" w:eastAsia="Aptos" w:hAnsi="Verdana" w:cs="Times New Roman"/>
            <w:color w:val="000000"/>
            <w:spacing w:val="2"/>
            <w:kern w:val="2"/>
            <w:sz w:val="21"/>
            <w:szCs w:val="21"/>
            <w:u w:val="single"/>
            <w14:ligatures w14:val="standardContextual"/>
          </w:rPr>
          <w:t>34</w:t>
        </w:r>
      </w:hyperlink>
      <w:r w:rsidRPr="00E95861">
        <w:rPr>
          <w:rFonts w:ascii="Verdana" w:eastAsia="Aptos" w:hAnsi="Verdana" w:cs="Times New Roman"/>
          <w:color w:val="000000"/>
          <w:spacing w:val="2"/>
          <w:kern w:val="2"/>
          <w:sz w:val="21"/>
          <w:szCs w:val="21"/>
          <w14:ligatures w14:val="standardContextual"/>
        </w:rPr>
        <w:t xml:space="preserve">, literal a; y </w:t>
      </w:r>
      <w:hyperlink r:id="rId13" w:anchor="38" w:history="1">
        <w:r w:rsidRPr="00E95861">
          <w:rPr>
            <w:rFonts w:ascii="Verdana" w:eastAsia="Aptos" w:hAnsi="Verdana" w:cs="Times New Roman"/>
            <w:color w:val="000000"/>
            <w:spacing w:val="2"/>
            <w:kern w:val="2"/>
            <w:sz w:val="21"/>
            <w:szCs w:val="21"/>
            <w:u w:val="single"/>
            <w14:ligatures w14:val="standardContextual"/>
          </w:rPr>
          <w:t>38</w:t>
        </w:r>
      </w:hyperlink>
      <w:r w:rsidRPr="00E95861">
        <w:rPr>
          <w:rFonts w:ascii="Verdana" w:eastAsia="Aptos" w:hAnsi="Verdana" w:cs="Times New Roman"/>
          <w:color w:val="000000"/>
          <w:spacing w:val="2"/>
          <w:kern w:val="2"/>
          <w:sz w:val="21"/>
          <w:szCs w:val="21"/>
          <w14:ligatures w14:val="standardContextual"/>
        </w:rPr>
        <w:t>, literal c, de la Ley 842 de 2003</w:t>
      </w:r>
    </w:p>
    <w:p w14:paraId="492FE6A5" w14:textId="77777777" w:rsidR="00E95861" w:rsidRPr="00E95861" w:rsidRDefault="00E95861" w:rsidP="00E95861">
      <w:pPr>
        <w:spacing w:after="0" w:line="240" w:lineRule="auto"/>
        <w:ind w:left="709" w:right="709"/>
        <w:jc w:val="both"/>
        <w:rPr>
          <w:rFonts w:ascii="Verdana" w:eastAsia="Aptos" w:hAnsi="Verdana" w:cs="Times New Roman"/>
          <w:color w:val="000000"/>
          <w:spacing w:val="2"/>
          <w:kern w:val="2"/>
          <w:sz w:val="21"/>
          <w:szCs w:val="21"/>
          <w14:ligatures w14:val="standardContextual"/>
        </w:rPr>
      </w:pPr>
      <w:r w:rsidRPr="00E95861">
        <w:rPr>
          <w:rFonts w:ascii="Verdana" w:eastAsia="Aptos" w:hAnsi="Verdana" w:cs="Times New Roman"/>
          <w:color w:val="000000"/>
          <w:spacing w:val="2"/>
          <w:kern w:val="2"/>
          <w:sz w:val="21"/>
          <w:szCs w:val="21"/>
          <w14:ligatures w14:val="standardContextual"/>
        </w:rPr>
        <w:t xml:space="preserve">Al respecto, la Corte Constitucional a través de la Sentencia </w:t>
      </w:r>
      <w:hyperlink r:id="rId14" w:anchor="0" w:history="1">
        <w:r w:rsidRPr="00E95861">
          <w:rPr>
            <w:rFonts w:ascii="Verdana" w:eastAsia="Aptos" w:hAnsi="Verdana" w:cs="Times New Roman"/>
            <w:color w:val="000000"/>
            <w:kern w:val="2"/>
            <w:sz w:val="21"/>
            <w:szCs w:val="21"/>
            <w14:ligatures w14:val="standardContextual"/>
          </w:rPr>
          <w:t>C-296</w:t>
        </w:r>
      </w:hyperlink>
      <w:r w:rsidRPr="00E95861">
        <w:rPr>
          <w:rFonts w:ascii="Verdana" w:eastAsia="Aptos" w:hAnsi="Verdana" w:cs="Times New Roman"/>
          <w:color w:val="000000"/>
          <w:spacing w:val="2"/>
          <w:kern w:val="2"/>
          <w:sz w:val="21"/>
          <w:szCs w:val="21"/>
          <w14:ligatures w14:val="standardContextual"/>
        </w:rPr>
        <w:t xml:space="preserve"> de 2012, que declaró la </w:t>
      </w:r>
      <w:proofErr w:type="spellStart"/>
      <w:r w:rsidRPr="00E95861">
        <w:rPr>
          <w:rFonts w:ascii="Verdana" w:eastAsia="Aptos" w:hAnsi="Verdana" w:cs="Times New Roman"/>
          <w:color w:val="000000"/>
          <w:spacing w:val="2"/>
          <w:kern w:val="2"/>
          <w:sz w:val="21"/>
          <w:szCs w:val="21"/>
          <w14:ligatures w14:val="standardContextual"/>
        </w:rPr>
        <w:t>exequibilidad</w:t>
      </w:r>
      <w:proofErr w:type="spellEnd"/>
      <w:r w:rsidRPr="00E95861">
        <w:rPr>
          <w:rFonts w:ascii="Verdana" w:eastAsia="Aptos" w:hAnsi="Verdana" w:cs="Times New Roman"/>
          <w:color w:val="000000"/>
          <w:spacing w:val="2"/>
          <w:kern w:val="2"/>
          <w:sz w:val="21"/>
          <w:szCs w:val="21"/>
          <w14:ligatures w14:val="standardContextual"/>
        </w:rPr>
        <w:t xml:space="preserve"> del artículo </w:t>
      </w:r>
      <w:hyperlink r:id="rId15" w:anchor="12" w:history="1">
        <w:r w:rsidRPr="00E95861">
          <w:rPr>
            <w:rFonts w:ascii="Verdana" w:eastAsia="Aptos" w:hAnsi="Verdana" w:cs="Times New Roman"/>
            <w:color w:val="000000"/>
            <w:kern w:val="2"/>
            <w:sz w:val="21"/>
            <w:szCs w:val="21"/>
            <w14:ligatures w14:val="standardContextual"/>
          </w:rPr>
          <w:t>12</w:t>
        </w:r>
      </w:hyperlink>
      <w:r w:rsidRPr="00E95861">
        <w:rPr>
          <w:rFonts w:ascii="Verdana" w:eastAsia="Aptos" w:hAnsi="Verdana" w:cs="Times New Roman"/>
          <w:color w:val="000000"/>
          <w:spacing w:val="2"/>
          <w:kern w:val="2"/>
          <w:sz w:val="21"/>
          <w:szCs w:val="21"/>
          <w14:ligatures w14:val="standardContextual"/>
        </w:rPr>
        <w:t>, de la Ley 842 de 2003, consideró que el ejercicio de la ingeniería, sus profesiones afines y sus profesiones auxiliares, involucra un claro riesgo social, razón por la que la exigencia de título y de autorización para ejercer, está destinada a conjurar una serie de amenazas, peligros y riesgos que se ciernen sobre la vida, integridad personal, seguridad y salud de los ciudadanos”.</w:t>
      </w:r>
    </w:p>
    <w:p w14:paraId="4DB016B1" w14:textId="77777777" w:rsidR="00E95861" w:rsidRPr="00E95861" w:rsidRDefault="00E95861" w:rsidP="00E95861">
      <w:pPr>
        <w:widowControl w:val="0"/>
        <w:autoSpaceDE w:val="0"/>
        <w:autoSpaceDN w:val="0"/>
        <w:spacing w:after="0" w:line="276" w:lineRule="auto"/>
        <w:ind w:right="51" w:firstLine="709"/>
        <w:jc w:val="both"/>
        <w:rPr>
          <w:rFonts w:ascii="Verdana" w:eastAsia="Calibri" w:hAnsi="Verdana" w:cs="Arial"/>
          <w:lang w:eastAsia="es-CO"/>
        </w:rPr>
      </w:pPr>
    </w:p>
    <w:p w14:paraId="77635A77" w14:textId="77777777" w:rsidR="00E95861" w:rsidRPr="00E95861" w:rsidRDefault="00E95861" w:rsidP="00E95861">
      <w:pPr>
        <w:spacing w:after="120" w:line="276" w:lineRule="auto"/>
        <w:ind w:firstLine="708"/>
        <w:jc w:val="both"/>
        <w:rPr>
          <w:rFonts w:ascii="Verdana" w:eastAsia="Aptos" w:hAnsi="Verdana" w:cs="Arial"/>
          <w:kern w:val="2"/>
          <w14:ligatures w14:val="standardContextual"/>
        </w:rPr>
      </w:pPr>
      <w:r w:rsidRPr="00E95861">
        <w:rPr>
          <w:rFonts w:ascii="Verdana" w:eastAsia="Arial" w:hAnsi="Verdana" w:cs="Arial"/>
          <w:kern w:val="2"/>
          <w14:ligatures w14:val="standardContextual"/>
        </w:rPr>
        <w:t xml:space="preserve">De acuerdo con lo anterior, según el </w:t>
      </w:r>
      <w:r w:rsidRPr="00E95861">
        <w:rPr>
          <w:rFonts w:ascii="Verdana" w:eastAsia="Calibri" w:hAnsi="Verdana" w:cs="Arial"/>
          <w:lang w:val="es-ES" w:eastAsia="es-CO"/>
        </w:rPr>
        <w:t>Consejo Profesional Nacional de Ingeniería – COPNIA</w:t>
      </w:r>
      <w:r w:rsidRPr="00E95861">
        <w:rPr>
          <w:rFonts w:ascii="Verdana" w:eastAsia="Arial" w:hAnsi="Verdana" w:cs="Arial"/>
          <w:kern w:val="2"/>
          <w14:ligatures w14:val="standardContextual"/>
        </w:rPr>
        <w:t>, el artículo 18 de la Ley 842 de 2003 existe para proteger a la sociedad del riesgo de que labores propias de la ingeniería las hagan personas sin la formación ni la competencia. De esta forma, se exige que quien ejerza como ingeniero esté inscrito en el registro profesional y tenga matrícula profesional en su rama, y quien ejerce estos requisitos lo hace de forma ilegal.</w:t>
      </w:r>
    </w:p>
    <w:p w14:paraId="39928316" w14:textId="77777777" w:rsidR="00E95861" w:rsidRPr="00E95861" w:rsidRDefault="00E95861" w:rsidP="00E95861">
      <w:pPr>
        <w:spacing w:after="0" w:line="276" w:lineRule="auto"/>
        <w:ind w:firstLine="708"/>
        <w:jc w:val="both"/>
        <w:rPr>
          <w:rFonts w:ascii="Verdana" w:eastAsia="Arial" w:hAnsi="Verdana" w:cs="Arial"/>
          <w:kern w:val="2"/>
          <w14:ligatures w14:val="standardContextual"/>
        </w:rPr>
      </w:pPr>
      <w:r w:rsidRPr="00E95861">
        <w:rPr>
          <w:rFonts w:ascii="Verdana" w:eastAsia="Arial" w:hAnsi="Verdana" w:cs="Arial"/>
          <w:kern w:val="2"/>
          <w14:ligatures w14:val="standardContextual"/>
        </w:rPr>
        <w:t xml:space="preserve">En el mismo sentido, el </w:t>
      </w:r>
      <w:r w:rsidRPr="00E95861">
        <w:rPr>
          <w:rFonts w:ascii="Verdana" w:eastAsia="Calibri" w:hAnsi="Verdana" w:cs="Arial"/>
          <w:lang w:val="es-ES" w:eastAsia="es-CO"/>
        </w:rPr>
        <w:t>Consejo Profesional Nacional de Ingeniería – COPNIA</w:t>
      </w:r>
      <w:r w:rsidRPr="00E95861">
        <w:rPr>
          <w:rFonts w:ascii="Verdana" w:eastAsia="Arial" w:hAnsi="Verdana" w:cs="Arial"/>
          <w:kern w:val="2"/>
          <w14:ligatures w14:val="standardContextual"/>
        </w:rPr>
        <w:t>, en el concepto 56 de 2017</w:t>
      </w:r>
      <w:r w:rsidRPr="00E95861">
        <w:rPr>
          <w:rFonts w:ascii="Verdana" w:eastAsia="Aptos" w:hAnsi="Verdana" w:cs="Arial"/>
          <w:kern w:val="2"/>
          <w:vertAlign w:val="superscript"/>
          <w14:ligatures w14:val="standardContextual"/>
        </w:rPr>
        <w:footnoteReference w:id="3"/>
      </w:r>
      <w:r w:rsidRPr="00E95861">
        <w:rPr>
          <w:rFonts w:ascii="Verdana" w:eastAsia="Arial" w:hAnsi="Verdana" w:cs="Arial"/>
          <w:kern w:val="2"/>
          <w14:ligatures w14:val="standardContextual"/>
        </w:rPr>
        <w:t>, señaló que, de acuerdo con el artículo 18 de la Ley 842 de 2003, “(…) se requiere estar matriculado para ejercer legalmente la ingeniería y que todo trabajo relacionado con ella, esto es, en actividades directas y necesarias de dicho ejercicio, solo puede ser dirigido por un ingeniero inscrito en el registro profesional de ingeniería y con tarjeta de matrícula profesional en la rama respectiva”.</w:t>
      </w:r>
      <w:r w:rsidRPr="00E95861">
        <w:rPr>
          <w:rFonts w:ascii="Verdana" w:eastAsia="Aptos" w:hAnsi="Verdana" w:cs="Arial"/>
          <w:kern w:val="2"/>
          <w14:ligatures w14:val="standardContextual"/>
        </w:rPr>
        <w:t xml:space="preserve"> </w:t>
      </w:r>
      <w:r w:rsidRPr="00E95861">
        <w:rPr>
          <w:rFonts w:ascii="Verdana" w:eastAsia="Arial" w:hAnsi="Verdana" w:cs="Arial"/>
          <w:kern w:val="2"/>
          <w14:ligatures w14:val="standardContextual"/>
        </w:rPr>
        <w:t xml:space="preserve">Adicionalmente indicó que la matrícula profesional constituye la autorización para poder ejercer legalmente la profesión reglamentada. Es así como, sin esa autorización, el desempeño de la respectiva profesión regulada es ilegal. De igual forma, en el concepto se precisó que, de ahí se deriva una doble exigencia legal: </w:t>
      </w:r>
    </w:p>
    <w:p w14:paraId="44BBC692" w14:textId="77777777" w:rsidR="00E95861" w:rsidRPr="00E95861" w:rsidRDefault="00E95861" w:rsidP="00E95861">
      <w:pPr>
        <w:spacing w:after="0" w:line="276" w:lineRule="auto"/>
        <w:ind w:firstLine="708"/>
        <w:jc w:val="both"/>
        <w:rPr>
          <w:rFonts w:ascii="Verdana" w:eastAsia="Arial" w:hAnsi="Verdana" w:cs="Arial"/>
          <w:kern w:val="2"/>
          <w14:ligatures w14:val="standardContextual"/>
        </w:rPr>
      </w:pPr>
    </w:p>
    <w:p w14:paraId="72BDB83C" w14:textId="77777777" w:rsidR="00E95861" w:rsidRPr="00E95861" w:rsidRDefault="00E95861" w:rsidP="00E95861">
      <w:pPr>
        <w:spacing w:after="0" w:line="240" w:lineRule="auto"/>
        <w:ind w:left="709" w:right="709"/>
        <w:jc w:val="both"/>
        <w:rPr>
          <w:rFonts w:ascii="Verdana" w:eastAsia="Arial" w:hAnsi="Verdana" w:cs="Arial"/>
          <w:kern w:val="2"/>
          <w:sz w:val="21"/>
          <w:szCs w:val="21"/>
          <w14:ligatures w14:val="standardContextual"/>
        </w:rPr>
      </w:pPr>
      <w:r w:rsidRPr="00E95861">
        <w:rPr>
          <w:rFonts w:ascii="Verdana" w:eastAsia="Arial" w:hAnsi="Verdana" w:cs="Arial"/>
          <w:kern w:val="2"/>
          <w:sz w:val="21"/>
          <w:szCs w:val="21"/>
          <w14:ligatures w14:val="standardContextual"/>
        </w:rPr>
        <w:t>“(…) por un lado, debe ejercerse la profesión solamente para lo que se es idóneo, sin exceder su respectiva incumbencia del título profesional y, por otro lado, quien no sea idóneo para desempeñar una actividad no puede desarrollarla, so pena de considerar dicho ejercicio como ilegal o como una falta disciplinaria ético profesional por exceder la incumbencia del título profesional”</w:t>
      </w:r>
      <w:r w:rsidRPr="00E95861">
        <w:rPr>
          <w:rFonts w:ascii="Verdana" w:eastAsia="Aptos" w:hAnsi="Verdana" w:cs="Arial"/>
          <w:kern w:val="2"/>
          <w:sz w:val="21"/>
          <w:szCs w:val="21"/>
          <w:vertAlign w:val="superscript"/>
          <w14:ligatures w14:val="standardContextual"/>
        </w:rPr>
        <w:footnoteReference w:id="4"/>
      </w:r>
      <w:r w:rsidRPr="00E95861">
        <w:rPr>
          <w:rFonts w:ascii="Verdana" w:eastAsia="Arial" w:hAnsi="Verdana" w:cs="Arial"/>
          <w:kern w:val="2"/>
          <w:sz w:val="21"/>
          <w:szCs w:val="21"/>
          <w14:ligatures w14:val="standardContextual"/>
        </w:rPr>
        <w:t xml:space="preserve">. </w:t>
      </w:r>
    </w:p>
    <w:p w14:paraId="7351D6E5" w14:textId="77777777" w:rsidR="00E95861" w:rsidRPr="00E95861" w:rsidRDefault="00E95861" w:rsidP="00E95861">
      <w:pPr>
        <w:spacing w:after="0" w:line="240" w:lineRule="auto"/>
        <w:ind w:left="709" w:right="709"/>
        <w:jc w:val="both"/>
        <w:rPr>
          <w:rFonts w:ascii="Verdana" w:eastAsia="Arial" w:hAnsi="Verdana" w:cs="Arial"/>
          <w:kern w:val="2"/>
          <w:sz w:val="21"/>
          <w:szCs w:val="21"/>
          <w14:ligatures w14:val="standardContextual"/>
        </w:rPr>
      </w:pPr>
    </w:p>
    <w:p w14:paraId="25AE0E32" w14:textId="77777777" w:rsidR="00E95861" w:rsidRPr="00E95861" w:rsidRDefault="00E95861" w:rsidP="00E95861">
      <w:pPr>
        <w:spacing w:after="120" w:line="276" w:lineRule="auto"/>
        <w:ind w:firstLine="708"/>
        <w:jc w:val="both"/>
        <w:rPr>
          <w:rFonts w:ascii="Verdana" w:eastAsia="Arial" w:hAnsi="Verdana" w:cs="Arial"/>
          <w:kern w:val="2"/>
          <w14:ligatures w14:val="standardContextual"/>
        </w:rPr>
      </w:pPr>
      <w:r w:rsidRPr="00E95861">
        <w:rPr>
          <w:rFonts w:ascii="Verdana" w:eastAsia="Arial" w:hAnsi="Verdana" w:cs="Arial"/>
          <w:kern w:val="2"/>
          <w14:ligatures w14:val="standardContextual"/>
        </w:rPr>
        <w:t xml:space="preserve">De esta forma, para el </w:t>
      </w:r>
      <w:r w:rsidRPr="00E95861">
        <w:rPr>
          <w:rFonts w:ascii="Verdana" w:eastAsia="Calibri" w:hAnsi="Verdana" w:cs="Arial"/>
          <w:lang w:val="es-ES" w:eastAsia="es-CO"/>
        </w:rPr>
        <w:t>Consejo Profesional Nacional de Ingeniería – COPNIA</w:t>
      </w:r>
      <w:r w:rsidRPr="00E95861">
        <w:rPr>
          <w:rFonts w:ascii="Verdana" w:eastAsia="Arial" w:hAnsi="Verdana" w:cs="Arial"/>
          <w:kern w:val="2"/>
          <w14:ligatures w14:val="standardContextual"/>
        </w:rPr>
        <w:t>, la reglamentación de las profesiones no busca crear privilegios para ciertos grupos, sino proteger a la ciudadanía del riesgo social que implican algunos ejercicios profesionales, y por eso corresponde al Estado su inspección, control y vigilancia.</w:t>
      </w:r>
    </w:p>
    <w:p w14:paraId="21636982" w14:textId="77777777" w:rsidR="00E95861" w:rsidRPr="00E95861" w:rsidRDefault="00E95861" w:rsidP="00E95861">
      <w:pPr>
        <w:spacing w:after="120" w:line="276" w:lineRule="auto"/>
        <w:ind w:firstLine="708"/>
        <w:jc w:val="both"/>
        <w:rPr>
          <w:rFonts w:ascii="Verdana" w:eastAsia="Aptos" w:hAnsi="Verdana" w:cs="Arial"/>
          <w:kern w:val="2"/>
          <w14:ligatures w14:val="standardContextual"/>
        </w:rPr>
      </w:pPr>
      <w:r w:rsidRPr="00E95861">
        <w:rPr>
          <w:rFonts w:ascii="Verdana" w:eastAsia="Arial" w:hAnsi="Verdana" w:cs="Arial"/>
          <w:kern w:val="2"/>
          <w14:ligatures w14:val="standardContextual"/>
        </w:rPr>
        <w:lastRenderedPageBreak/>
        <w:t>En cuanto a las personas jurídicas, el mismo concepto explica que la Ley 842 de 2003 les impone a quienes desarrollan actividades de ingeniería la obligación de contar en su nómina con profesionales idóneos y debidamente autorizados. Si se presenta ejercicio ilegal, la responsabilidad recae en las personas naturales que actúan en su nombre, en particular en sus representantes legales, “por faltar a la obligación de elegir correctamente a las personas idóneas que desarrollarán dichas actividades”</w:t>
      </w:r>
      <w:r w:rsidRPr="00E95861">
        <w:rPr>
          <w:rFonts w:ascii="Verdana" w:eastAsia="Aptos" w:hAnsi="Verdana" w:cs="Arial"/>
          <w:kern w:val="2"/>
          <w:vertAlign w:val="superscript"/>
          <w14:ligatures w14:val="standardContextual"/>
        </w:rPr>
        <w:footnoteReference w:id="5"/>
      </w:r>
      <w:r w:rsidRPr="00E95861">
        <w:rPr>
          <w:rFonts w:ascii="Verdana" w:eastAsia="Arial" w:hAnsi="Verdana" w:cs="Arial"/>
          <w:kern w:val="2"/>
          <w14:ligatures w14:val="standardContextual"/>
        </w:rPr>
        <w:t>.</w:t>
      </w:r>
    </w:p>
    <w:p w14:paraId="7DD375CB"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El artículo 18 de la Ley 842 de 2003, fue objeto de estudio por la Corte Constitucional en la sentencia C-191 de 2005. El demandante sostuvo que el artículo 18 acusado, al exigir que todo trabajo relacionado con la ingeniería sea dirigido por un ingeniero, cobija también el diseño arquitectónico y la construcción, y que eso produce dos efectos: i) Por un lado, el arquitecto, como diseñador del espacio que habitan u ocupan las personas, queda subordinado a un ingeniero que no tiene formación en ese campo; </w:t>
      </w:r>
      <w:proofErr w:type="spellStart"/>
      <w:r w:rsidRPr="00E95861">
        <w:rPr>
          <w:rFonts w:ascii="Verdana" w:eastAsia="Calibri" w:hAnsi="Verdana" w:cs="Arial"/>
          <w:lang w:val="es-ES" w:eastAsia="es-CO"/>
        </w:rPr>
        <w:t>ii</w:t>
      </w:r>
      <w:proofErr w:type="spellEnd"/>
      <w:r w:rsidRPr="00E95861">
        <w:rPr>
          <w:rFonts w:ascii="Verdana" w:eastAsia="Calibri" w:hAnsi="Verdana" w:cs="Arial"/>
          <w:lang w:val="es-ES" w:eastAsia="es-CO"/>
        </w:rPr>
        <w:t>) Por otro, los arquitectos ya no pueden dirigir las obras que la Ley 400 de 1997 les había autorizado, pues esa ley consideró que su formación bastaba para controlar el riesgo social que implica la estabilidad de ciertas construcciones.</w:t>
      </w:r>
    </w:p>
    <w:p w14:paraId="345AD738"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Con base en lo anterior, el demandante afirmó que entregar a los ingenieros la dirección del diseño del espacio vulnera los artículos 2, 51 y 79 de la Constitución, porque un buen diseño del espacio habitable hace parte esencial del derecho a un ambiente sano. También alegó que privar a los arquitectos de la dirección de obras que la Ley 400 de 1997 les reconocía viola su derecho al trabajo, consagrado en el artículo 25, y excede la facultad que el artículo 26 le da al legislador para regular las profesiones. Para el demandante, el límite de esa facultad es el interés general, y este no sufre ningún daño si los arquitectos dirigen obras de construcción</w:t>
      </w:r>
      <w:r w:rsidRPr="00E95861">
        <w:rPr>
          <w:rFonts w:ascii="Verdana" w:eastAsia="Calibri" w:hAnsi="Verdana" w:cs="Arial"/>
          <w:vertAlign w:val="superscript"/>
          <w:lang w:val="es-ES" w:eastAsia="es-CO"/>
        </w:rPr>
        <w:footnoteReference w:id="6"/>
      </w:r>
      <w:r w:rsidRPr="00E95861">
        <w:rPr>
          <w:rFonts w:ascii="Verdana" w:eastAsia="Calibri" w:hAnsi="Verdana" w:cs="Arial"/>
          <w:lang w:val="es-ES" w:eastAsia="es-CO"/>
        </w:rPr>
        <w:t>.</w:t>
      </w:r>
    </w:p>
    <w:p w14:paraId="1BFF5D88"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lastRenderedPageBreak/>
        <w:t>Al resolver el cargo, la Corte Constitucional consideró que las actividades propias de los arquitectos son diferentes a las de los ingenieros y sus profesiones auxiliares y afines. Por eso, la obligación de presentar las propuestas con el aval de un ingeniero en licitaciones y concursos abiertos, cuando el contrato implica el desarrollo de actividades catalogadas como ejercicio de la ingeniería, es objetiva y proporcional, considerando que, el aval solo se exige en procesos de contratación que involucren ese tipo de actividades. Para la Corte, esa exigencia “en modo alguno es una exigencia irrazonable”, y el parámetro usado por el legislador es “objetivo, claro e inteligible, puesto que se refiere precisamente a actividades catalogadas como ejercicio de la ingeniería´”.</w:t>
      </w:r>
      <w:r w:rsidRPr="00E95861">
        <w:rPr>
          <w:rFonts w:ascii="Verdana" w:eastAsia="Aptos" w:hAnsi="Verdana" w:cs="Times New Roman"/>
          <w:kern w:val="2"/>
          <w:vertAlign w:val="superscript"/>
          <w14:ligatures w14:val="standardContextual"/>
        </w:rPr>
        <w:footnoteReference w:id="7"/>
      </w:r>
    </w:p>
    <w:p w14:paraId="2EB3EA3F"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Aunado a lo anterior, el Tribunal Constitucional señaló que la persona idónea y habilitada legalmente para ejercer la ingeniería, en las actividades catalogadas como ejercicio de esa profesión, es la inscrita en el Registro Profesional de Ingeniería, que cuenta con un título profesional</w:t>
      </w:r>
      <w:r w:rsidRPr="00E95861">
        <w:rPr>
          <w:rFonts w:ascii="Verdana" w:eastAsia="Calibri" w:hAnsi="Verdana" w:cs="Arial"/>
          <w:vertAlign w:val="superscript"/>
          <w:lang w:val="es-ES" w:eastAsia="es-CO"/>
        </w:rPr>
        <w:footnoteReference w:id="8"/>
      </w:r>
      <w:r w:rsidRPr="00E95861">
        <w:rPr>
          <w:rFonts w:ascii="Verdana" w:eastAsia="Aptos" w:hAnsi="Verdana" w:cs="Times New Roman"/>
          <w:kern w:val="2"/>
          <w14:ligatures w14:val="standardContextual"/>
        </w:rPr>
        <w:t xml:space="preserve"> y con una idoneidad que no se predica de otras profesiones, como la arquitectura. Esa idoneidad se requiere para ejecutar actividades propias de la ingeniería, como los proyectos de infraestructura de transporte. El artículo 2° de la Ley 842 de 2003, que la Corte transcribe y toma como parámetro, incluye de forma expresa dentro del ejercicio de la ingeniería los estudios, el diseño, la construcción y la interventoría, entre otras labores, de “puentes, presas, muelles, canales, </w:t>
      </w:r>
      <w:r w:rsidRPr="00E95861">
        <w:rPr>
          <w:rFonts w:ascii="Verdana" w:eastAsia="Aptos" w:hAnsi="Verdana" w:cs="Times New Roman"/>
          <w:kern w:val="2"/>
          <w14:ligatures w14:val="standardContextual"/>
        </w:rPr>
        <w:lastRenderedPageBreak/>
        <w:t>puertos, carreteras, vías urbanas y rurales, aeropuertos, ferrocarriles”. La Corte precisó que estas actividades “se encuentran definidas por la ley”.</w:t>
      </w:r>
    </w:p>
    <w:p w14:paraId="472E436F"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Este razonamiento se apoya en lo que la Corte resolvió sobre el artículo 18 de la Ley 842 de 2003, según el cual todo trabajo relacionado con el ejercicio de la ingeniería debe ser dirigido por un ingeniero. La Corte advirtió que la expresión “relacionado con” era ambigua y que, leída en sentido amplio, la norma sería inconstitucional, porque reservar a los ingenieros la dirección de cualquier trabajo “tan solo por el hecho de tener “alguna relación” con su profesión no es una restricción razonable a la libertad de ejercer profesión u oficio”</w:t>
      </w:r>
      <w:r w:rsidRPr="00E95861">
        <w:rPr>
          <w:rFonts w:ascii="Verdana" w:eastAsia="Aptos" w:hAnsi="Verdana" w:cs="Times New Roman"/>
          <w:kern w:val="2"/>
          <w:vertAlign w:val="superscript"/>
          <w14:ligatures w14:val="standardContextual"/>
        </w:rPr>
        <w:footnoteReference w:id="9"/>
      </w:r>
      <w:r w:rsidRPr="00E95861">
        <w:rPr>
          <w:rFonts w:ascii="Verdana" w:eastAsia="Aptos" w:hAnsi="Verdana" w:cs="Times New Roman"/>
          <w:kern w:val="2"/>
          <w14:ligatures w14:val="standardContextual"/>
        </w:rPr>
        <w:t>. Sin embargo, hizo una interpretación sistemática y concluyó que el artículo 18 “hace referencia a aquellas actividades que se consideran propias de la ingeniería y profesiones afines y auxiliares, no a cualquier actividad que tenga algún tipo de relación con la ingeniería, por menor o distante que esta sea”</w:t>
      </w:r>
      <w:r w:rsidRPr="00E95861">
        <w:rPr>
          <w:rFonts w:ascii="Verdana" w:eastAsia="Aptos" w:hAnsi="Verdana" w:cs="Times New Roman"/>
          <w:kern w:val="2"/>
          <w:vertAlign w:val="superscript"/>
          <w14:ligatures w14:val="standardContextual"/>
        </w:rPr>
        <w:footnoteReference w:id="10"/>
      </w:r>
      <w:r w:rsidRPr="00E95861">
        <w:rPr>
          <w:rFonts w:ascii="Verdana" w:eastAsia="Aptos" w:hAnsi="Verdana" w:cs="Times New Roman"/>
          <w:kern w:val="2"/>
          <w14:ligatures w14:val="standardContextual"/>
        </w:rPr>
        <w:t>.</w:t>
      </w:r>
    </w:p>
    <w:p w14:paraId="54DDDD47" w14:textId="77777777" w:rsidR="00E95861" w:rsidRPr="00E95861" w:rsidRDefault="00E95861" w:rsidP="00E95861">
      <w:pPr>
        <w:snapToGrid w:val="0"/>
        <w:spacing w:after="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Con base en lo anterior, la Corte declaró exequible el artículo 18 “en el entendido de que la expresión “relacionado con” comprende exclusivamente las relaciones directas y necesarias con el ejercicio de la ingeniería”</w:t>
      </w:r>
      <w:r w:rsidRPr="00E95861">
        <w:rPr>
          <w:rFonts w:ascii="Verdana" w:eastAsia="Aptos" w:hAnsi="Verdana" w:cs="Times New Roman"/>
          <w:kern w:val="2"/>
          <w:vertAlign w:val="superscript"/>
          <w14:ligatures w14:val="standardContextual"/>
        </w:rPr>
        <w:footnoteReference w:id="11"/>
      </w:r>
      <w:r w:rsidRPr="00E95861">
        <w:rPr>
          <w:rFonts w:ascii="Verdana" w:eastAsia="Aptos" w:hAnsi="Verdana" w:cs="Times New Roman"/>
          <w:kern w:val="2"/>
          <w14:ligatures w14:val="standardContextual"/>
        </w:rPr>
        <w:t xml:space="preserve">. Y fijó el criterio que define cuándo la dirección le corresponde a un ingeniero, en los siguientes términos: </w:t>
      </w:r>
    </w:p>
    <w:p w14:paraId="5E7ED278" w14:textId="77777777" w:rsidR="00E95861" w:rsidRPr="00E95861" w:rsidRDefault="00E95861" w:rsidP="00E95861">
      <w:pPr>
        <w:snapToGrid w:val="0"/>
        <w:spacing w:after="0" w:line="276" w:lineRule="auto"/>
        <w:ind w:firstLine="709"/>
        <w:jc w:val="both"/>
        <w:rPr>
          <w:rFonts w:ascii="Verdana" w:eastAsia="Aptos" w:hAnsi="Verdana" w:cs="Times New Roman"/>
          <w:kern w:val="2"/>
          <w14:ligatures w14:val="standardContextual"/>
        </w:rPr>
      </w:pPr>
    </w:p>
    <w:p w14:paraId="425D3217" w14:textId="77777777" w:rsidR="00E95861" w:rsidRPr="00E95861" w:rsidRDefault="00E95861" w:rsidP="00E95861">
      <w:pPr>
        <w:snapToGrid w:val="0"/>
        <w:spacing w:after="0" w:line="240" w:lineRule="auto"/>
        <w:ind w:left="709" w:right="709"/>
        <w:jc w:val="both"/>
        <w:rPr>
          <w:rFonts w:ascii="Verdana" w:eastAsia="Aptos" w:hAnsi="Verdana" w:cs="Times New Roman"/>
          <w:kern w:val="2"/>
          <w:sz w:val="21"/>
          <w:szCs w:val="21"/>
          <w14:ligatures w14:val="standardContextual"/>
        </w:rPr>
      </w:pPr>
      <w:r w:rsidRPr="00E95861">
        <w:rPr>
          <w:rFonts w:ascii="Verdana" w:eastAsia="Aptos" w:hAnsi="Verdana" w:cs="Times New Roman"/>
          <w:kern w:val="2"/>
          <w:sz w:val="21"/>
          <w:szCs w:val="21"/>
          <w14:ligatures w14:val="standardContextual"/>
        </w:rPr>
        <w:t>“Así, todo trabajo que implique un riesgo social que los ingenieros pueden identificar, medir y evitar, en razón a su idoneidad profesional específica, deberá ser dirigido por un ingeniero”</w:t>
      </w:r>
      <w:r w:rsidRPr="00E95861">
        <w:rPr>
          <w:rFonts w:ascii="Verdana" w:eastAsia="Aptos" w:hAnsi="Verdana" w:cs="Times New Roman"/>
          <w:kern w:val="2"/>
          <w:sz w:val="21"/>
          <w:szCs w:val="21"/>
          <w:vertAlign w:val="superscript"/>
          <w14:ligatures w14:val="standardContextual"/>
        </w:rPr>
        <w:footnoteReference w:id="12"/>
      </w:r>
      <w:r w:rsidRPr="00E95861">
        <w:rPr>
          <w:rFonts w:ascii="Verdana" w:eastAsia="Aptos" w:hAnsi="Verdana" w:cs="Times New Roman"/>
          <w:kern w:val="2"/>
          <w:sz w:val="21"/>
          <w:szCs w:val="21"/>
          <w14:ligatures w14:val="standardContextual"/>
        </w:rPr>
        <w:t xml:space="preserve">. </w:t>
      </w:r>
    </w:p>
    <w:p w14:paraId="0C5776CC" w14:textId="77777777" w:rsidR="00E95861" w:rsidRPr="00E95861" w:rsidRDefault="00E95861" w:rsidP="00E95861">
      <w:pPr>
        <w:snapToGrid w:val="0"/>
        <w:spacing w:after="0" w:line="276" w:lineRule="auto"/>
        <w:ind w:left="709" w:right="709" w:firstLine="709"/>
        <w:jc w:val="both"/>
        <w:rPr>
          <w:rFonts w:ascii="Verdana" w:eastAsia="Aptos" w:hAnsi="Verdana" w:cs="Times New Roman"/>
          <w:kern w:val="2"/>
          <w14:ligatures w14:val="standardContextual"/>
        </w:rPr>
      </w:pPr>
    </w:p>
    <w:p w14:paraId="12752CCE"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La reserva a favor de los ingenieros es constitucional, entonces, cuando la actividad tiene una relación directa y necesaria con la ingeniería y su riesgo solo puede controlarse con la formación propia de esa profesión.</w:t>
      </w:r>
    </w:p>
    <w:p w14:paraId="34449342"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 xml:space="preserve">En el mismo análisis del artículo 18, la Corte descartó que la Ley 400 de 1997 pusiera a arquitectos e ingenieros en un mismo plano. Reconoció que esa ley los trata como profesionales cuyas labores se complementan en la construcción, pero aclaró que “no les da el mismo trato” y que “reconoce las </w:t>
      </w:r>
      <w:r w:rsidRPr="00E95861">
        <w:rPr>
          <w:rFonts w:ascii="Verdana" w:eastAsia="Aptos" w:hAnsi="Verdana" w:cs="Times New Roman"/>
          <w:kern w:val="2"/>
          <w14:ligatures w14:val="standardContextual"/>
        </w:rPr>
        <w:lastRenderedPageBreak/>
        <w:t>diferentes idoneidades de unos y otros según su formación”. A los ingenieros les otorga “de manera privativa” lo relacionado con el “diseño estructural”, mientras que a los arquitectos les confía el “diseño arquitectónico”. La Corte agregó que la Ley 400 de 1997 “establece regímenes de responsabilidad diferentes, de acuerdo a las labores que a cada profesional correspondan”.</w:t>
      </w:r>
    </w:p>
    <w:p w14:paraId="45D21C33" w14:textId="77777777" w:rsidR="00E95861" w:rsidRPr="00E95861" w:rsidRDefault="00E95861" w:rsidP="00E95861">
      <w:pPr>
        <w:snapToGrid w:val="0"/>
        <w:spacing w:after="120" w:line="276" w:lineRule="auto"/>
        <w:ind w:firstLine="709"/>
        <w:jc w:val="both"/>
        <w:rPr>
          <w:rFonts w:ascii="Verdana" w:eastAsia="Aptos" w:hAnsi="Verdana" w:cs="Times New Roman"/>
          <w:kern w:val="2"/>
          <w14:ligatures w14:val="standardContextual"/>
        </w:rPr>
      </w:pPr>
      <w:r w:rsidRPr="00E95861">
        <w:rPr>
          <w:rFonts w:ascii="Verdana" w:eastAsia="Aptos" w:hAnsi="Verdana" w:cs="Times New Roman"/>
          <w:kern w:val="2"/>
          <w14:ligatures w14:val="standardContextual"/>
        </w:rPr>
        <w:t>Así, no todas las actividades relacionadas con la construcción pueden ser desarrolladas por profesionales distintos a los ingenieros. Cuando la actividad tiene una relación directa y necesaria con el ejercicio de la ingeniería, su ejecución supone la idoneidad y los conocimientos que estos profesionales adquieren en su formación, y por eso, según la Corte, debe ser dirigida por un ingeniero. La propia sentencia lo resume al señalar que “no cualquier tipo de actividad relacionada con la ingeniería debe ser dirigida por un ingeniero, sino exclusivamente aquellas relacionadas de manera directa y necesaria con el ejercicio de la ingeniería”</w:t>
      </w:r>
      <w:r w:rsidRPr="00E95861">
        <w:rPr>
          <w:rFonts w:ascii="Verdana" w:eastAsia="Aptos" w:hAnsi="Verdana" w:cs="Times New Roman"/>
          <w:kern w:val="2"/>
          <w:vertAlign w:val="superscript"/>
          <w14:ligatures w14:val="standardContextual"/>
        </w:rPr>
        <w:footnoteReference w:id="13"/>
      </w:r>
      <w:r w:rsidRPr="00E95861">
        <w:rPr>
          <w:rFonts w:ascii="Verdana" w:eastAsia="Aptos" w:hAnsi="Verdana" w:cs="Times New Roman"/>
          <w:kern w:val="2"/>
          <w14:ligatures w14:val="standardContextual"/>
        </w:rPr>
        <w:t>.</w:t>
      </w:r>
    </w:p>
    <w:p w14:paraId="2890A679" w14:textId="77777777" w:rsidR="00E95861" w:rsidRPr="00E95861" w:rsidRDefault="00E95861" w:rsidP="00E95861">
      <w:pPr>
        <w:spacing w:after="120" w:line="276" w:lineRule="auto"/>
        <w:jc w:val="both"/>
        <w:rPr>
          <w:rFonts w:ascii="Verdana" w:eastAsia="Arial" w:hAnsi="Verdana" w:cs="Arial"/>
          <w:lang w:eastAsia="es-MX"/>
        </w:rPr>
      </w:pPr>
      <w:r w:rsidRPr="00E95861">
        <w:rPr>
          <w:rFonts w:ascii="Verdana" w:eastAsia="Calibri" w:hAnsi="Verdana" w:cs="Arial"/>
          <w:lang w:eastAsia="es-CO"/>
        </w:rPr>
        <w:tab/>
        <w:t xml:space="preserve">De acuerdo con lo anterior, en relación con el primer problema jurídico planteado en  este concepto, esto es, si existe alguna norma que indique que </w:t>
      </w:r>
      <w:r w:rsidRPr="00E95861">
        <w:rPr>
          <w:rFonts w:ascii="Verdana" w:eastAsia="Calibri" w:hAnsi="Verdana" w:cs="Arial"/>
          <w:lang w:val="es-ES" w:eastAsia="es-CO"/>
        </w:rPr>
        <w:t>los cargos de Director de Obra o Residente de Obra deben ser desempeñados exclusivamente por profesionales en ingeniería civil, se precisa lo siguiente:</w:t>
      </w:r>
    </w:p>
    <w:p w14:paraId="504F308B"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val="es-ES" w:eastAsia="es-CO"/>
        </w:rPr>
      </w:pPr>
      <w:r w:rsidRPr="00E95861">
        <w:rPr>
          <w:rFonts w:ascii="Verdana" w:eastAsia="Calibri" w:hAnsi="Verdana" w:cs="Arial"/>
          <w:lang w:val="es-ES" w:eastAsia="es-CO"/>
        </w:rPr>
        <w:t xml:space="preserve">El ordenamiento jurídico colombiano no contiene una disposición de alcance general que defina los cargos de director de obra y de residente de obra, ni que reserve su desempeño de manera exclusiva a los ingenieros civiles. Se trata de denominaciones propias de la práctica contractual, cuyo contenido funcional se fija en los documentos del proceso de contratación, en los manuales de las entidades y en el respectivo contrato. </w:t>
      </w:r>
    </w:p>
    <w:p w14:paraId="0906345E"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eastAsia="es-MX"/>
        </w:rPr>
      </w:pPr>
      <w:r w:rsidRPr="00E95861">
        <w:rPr>
          <w:rFonts w:ascii="Verdana" w:eastAsia="Calibri" w:hAnsi="Verdana" w:cs="Arial"/>
          <w:lang w:val="es-ES" w:eastAsia="es-CO"/>
        </w:rPr>
        <w:t xml:space="preserve">A manera de ejemplo, el Manual de Interventoría Obra Pública del Instituto Nacional de Vías – INVIAS alude a “los Ingenieros </w:t>
      </w:r>
      <w:proofErr w:type="gramStart"/>
      <w:r w:rsidRPr="00E95861">
        <w:rPr>
          <w:rFonts w:ascii="Verdana" w:eastAsia="Calibri" w:hAnsi="Verdana" w:cs="Arial"/>
          <w:lang w:val="es-ES" w:eastAsia="es-CO"/>
        </w:rPr>
        <w:t>Directores</w:t>
      </w:r>
      <w:proofErr w:type="gramEnd"/>
      <w:r w:rsidRPr="00E95861">
        <w:rPr>
          <w:rFonts w:ascii="Verdana" w:eastAsia="Calibri" w:hAnsi="Verdana" w:cs="Arial"/>
          <w:lang w:val="es-ES" w:eastAsia="es-CO"/>
        </w:rPr>
        <w:t xml:space="preserve"> de Interventoría y de obra”, a quienes impone la obligación de visitar el sitio de los trabajos, y al “Ingeniero Residente del contratista”, sin definir el contenido de esos cargos ni el título profesional que deben acreditar</w:t>
      </w:r>
      <w:r w:rsidRPr="00E95861">
        <w:rPr>
          <w:rFonts w:ascii="Verdana" w:eastAsia="Calibri" w:hAnsi="Verdana" w:cs="Arial"/>
          <w:vertAlign w:val="superscript"/>
          <w:lang w:val="es-ES" w:eastAsia="es-CO"/>
        </w:rPr>
        <w:footnoteReference w:id="14"/>
      </w:r>
      <w:r w:rsidRPr="00E95861">
        <w:rPr>
          <w:rFonts w:ascii="Verdana" w:eastAsia="Calibri" w:hAnsi="Verdana" w:cs="Arial"/>
          <w:lang w:val="es-ES" w:eastAsia="es-CO"/>
        </w:rPr>
        <w:t>.</w:t>
      </w:r>
    </w:p>
    <w:p w14:paraId="4E13B4E4"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eastAsia="es-MX"/>
        </w:rPr>
      </w:pPr>
      <w:r w:rsidRPr="00E95861">
        <w:rPr>
          <w:rFonts w:ascii="Verdana" w:eastAsia="Calibri" w:hAnsi="Verdana" w:cs="Arial"/>
          <w:lang w:val="es-ES" w:eastAsia="es-CO"/>
        </w:rPr>
        <w:t xml:space="preserve">La disposición técnica de rango legal que regula una figura equivalente es </w:t>
      </w:r>
      <w:r w:rsidRPr="00E95861">
        <w:rPr>
          <w:rFonts w:ascii="Verdana" w:eastAsia="Calibri" w:hAnsi="Verdana" w:cs="Arial"/>
          <w:lang w:val="es-ES" w:eastAsia="es-CO"/>
        </w:rPr>
        <w:lastRenderedPageBreak/>
        <w:t>la Ley 400 de 1997, por la cual se adoptan normas sobre construcciones sismo resistentes. El numeral 9 de su artículo 4, modificado por el artículo 1 de la Ley 1229 de 2008, define al constructor como “el profesional, ingeniero civil, arquitecto o constructor en arquitectura e ingeniería” bajo cuya responsabilidad se adelanta la construcción de la edificación</w:t>
      </w:r>
      <w:r w:rsidRPr="00E95861">
        <w:rPr>
          <w:rFonts w:ascii="Verdana" w:eastAsia="Calibri" w:hAnsi="Verdana" w:cs="Arial"/>
          <w:vertAlign w:val="superscript"/>
          <w:lang w:val="es-ES" w:eastAsia="es-CO"/>
        </w:rPr>
        <w:footnoteReference w:id="15"/>
      </w:r>
      <w:r w:rsidRPr="00E95861">
        <w:rPr>
          <w:rFonts w:ascii="Verdana" w:eastAsia="Calibri" w:hAnsi="Verdana" w:cs="Arial"/>
          <w:lang w:val="es-ES" w:eastAsia="es-CO"/>
        </w:rPr>
        <w:t>. A su turno, el artículo 33, modificado por el artículo 5 de la Ley 1229 de 2008, dispone que “El director de construcción debe ser un ingeniero civil, arquitecto o constructor en arquitectura e ingeniería”, y admite al ingeniero mecánico cuando se trate de estructuras metálicas o prefabricadas. En todos los casos, el director debe contar con matrícula profesional y acreditar la experiencia que exige el artículo 34 de la misma ley</w:t>
      </w:r>
      <w:r w:rsidRPr="00E95861">
        <w:rPr>
          <w:rFonts w:ascii="Verdana" w:eastAsia="Calibri" w:hAnsi="Verdana" w:cs="Arial"/>
          <w:vertAlign w:val="superscript"/>
          <w:lang w:val="es-ES" w:eastAsia="es-CO"/>
        </w:rPr>
        <w:footnoteReference w:id="16"/>
      </w:r>
      <w:r w:rsidRPr="00E95861">
        <w:rPr>
          <w:rFonts w:ascii="Verdana" w:eastAsia="Calibri" w:hAnsi="Verdana" w:cs="Arial"/>
          <w:lang w:val="es-ES" w:eastAsia="es-CO"/>
        </w:rPr>
        <w:t>.</w:t>
      </w:r>
    </w:p>
    <w:p w14:paraId="650F7840"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eastAsia="es-MX"/>
        </w:rPr>
      </w:pPr>
      <w:r w:rsidRPr="00E95861">
        <w:rPr>
          <w:rFonts w:ascii="Verdana" w:eastAsia="Calibri" w:hAnsi="Verdana" w:cs="Arial"/>
          <w:lang w:val="es-ES" w:eastAsia="es-CO"/>
        </w:rPr>
        <w:t>Esta regulación, sin embargo, tiene un ámbito de aplicación delimitado. La Ley 400 de 1997 rige para las edificaciones, que el numeral 14 de su artículo 4 define como la construcción “cuyo uso primordial es la habitación u ocupación por seres humanos”, y su artículo 3 excluye de manera expresa las estructuras especiales, como los puentes, las torres de transmisión, los muelles y las estructuras hidráulicas, así como aquellas cuyo comportamiento dinámico difiera del de las edificaciones convencionales</w:t>
      </w:r>
      <w:r w:rsidRPr="00E95861">
        <w:rPr>
          <w:rFonts w:ascii="Verdana" w:eastAsia="Calibri" w:hAnsi="Verdana" w:cs="Arial"/>
          <w:vertAlign w:val="superscript"/>
          <w:lang w:val="es-ES" w:eastAsia="es-CO"/>
        </w:rPr>
        <w:footnoteReference w:id="17"/>
      </w:r>
      <w:r w:rsidRPr="00E95861">
        <w:rPr>
          <w:rFonts w:ascii="Verdana" w:eastAsia="Calibri" w:hAnsi="Verdana" w:cs="Arial"/>
          <w:lang w:val="es-ES" w:eastAsia="es-CO"/>
        </w:rPr>
        <w:t>. Por consiguiente, en las obras de edificación la ley permite que la dirección de la construcción esté a cargo de un ingeniero civil, de un arquitecto o de un constructor en arquitectura e ingeniería, de modo que en ese ámbito el cargo de director de obra no se encuentra reservado al ingeniero civil. Esta distinción coincide con lo expuesto por la Corte Constitucional en la sentencia C-191 de 2005, según la cual la Ley 400 de 1997 reconoce a arquitectos e ingenieros idoneidades diferentes, de acuerdo con su formación.</w:t>
      </w:r>
    </w:p>
    <w:p w14:paraId="1D851EE5"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eastAsia="es-MX"/>
        </w:rPr>
      </w:pPr>
      <w:r w:rsidRPr="00E95861">
        <w:rPr>
          <w:rFonts w:ascii="Verdana" w:eastAsia="Calibri" w:hAnsi="Verdana" w:cs="Arial"/>
          <w:lang w:val="es-ES" w:eastAsia="es-CO"/>
        </w:rPr>
        <w:t xml:space="preserve">Distinta es la situación de las obras que no tienen la naturaleza de edificación, en particular las de infraestructura de transporte, cuyo parámetro normativo es la Ley 842 de 2003. El literal a) de su artículo 2 califica como ejercicio de la ingeniería, entre otras actividades, la construcción, el </w:t>
      </w:r>
      <w:r w:rsidRPr="00E95861">
        <w:rPr>
          <w:rFonts w:ascii="Verdana" w:eastAsia="Calibri" w:hAnsi="Verdana" w:cs="Arial"/>
          <w:lang w:val="es-ES" w:eastAsia="es-CO"/>
        </w:rPr>
        <w:lastRenderedPageBreak/>
        <w:t>mantenimiento, la interventoría y la administración de carreteras, vías urbanas y rurales, puentes, aeropuertos y ferrocarriles. A su vez, –tal como se señaló– el artículo 18, en el entendido fijado por la Corte en la sentencia C-191 de 2005, exige que todo trabajo que guarde una relación directa y necesaria con ese ejercicio sea dirigido por un ingeniero inscrito en el registro profesional y con matrícula en la rama respectiva. En este sentido, el director de obra de un contrato de construcción, mejoramiento o mantenimiento de infraestructura de transporte tiene a su cargo, precisamente, la dirección técnica de esas actividades, por lo que el cargo debe ser desempeñado por un ingeniero con matrícula profesional vigente. Un arquitecto no puede ocuparlo, porque su título no lo habilita para ejercer actividades catalogadas por la ley como ejercicio de la ingeniería.</w:t>
      </w:r>
    </w:p>
    <w:p w14:paraId="16FF0365" w14:textId="77777777" w:rsidR="00E95861" w:rsidRPr="00E95861" w:rsidRDefault="00E95861" w:rsidP="00E95861">
      <w:pPr>
        <w:widowControl w:val="0"/>
        <w:autoSpaceDE w:val="0"/>
        <w:autoSpaceDN w:val="0"/>
        <w:spacing w:after="120" w:line="276" w:lineRule="auto"/>
        <w:ind w:firstLine="709"/>
        <w:jc w:val="both"/>
        <w:rPr>
          <w:rFonts w:ascii="Verdana" w:eastAsia="Calibri" w:hAnsi="Verdana" w:cs="Arial"/>
          <w:lang w:eastAsia="es-MX"/>
        </w:rPr>
      </w:pPr>
      <w:r w:rsidRPr="00E95861">
        <w:rPr>
          <w:rFonts w:ascii="Verdana" w:eastAsia="Calibri" w:hAnsi="Verdana" w:cs="Arial"/>
          <w:lang w:eastAsia="es-MX"/>
        </w:rPr>
        <w:t xml:space="preserve">Es así como, </w:t>
      </w:r>
      <w:r w:rsidRPr="00E95861">
        <w:rPr>
          <w:rFonts w:ascii="Verdana" w:eastAsia="Calibri" w:hAnsi="Verdana" w:cs="Arial"/>
          <w:lang w:val="es-ES" w:eastAsia="es-CO"/>
        </w:rPr>
        <w:t>el residente de obra está sujeto a la misma regla en la medida en que sus funciones comprendan la dirección técnica de los frentes de trabajo, el control de la ejecución conforme a los diseños y especificaciones o la toma de decisiones técnicas en el sitio, pues en esos supuestos su labor guarda una relación directa y necesaria con el ejercicio de la ingeniería. Si, por el contrario, el cargo se limita a funciones administrativas o de apoyo, la reserva del artículo 18 no le resulta aplicable, ya que la Corte precisó que esa norma comprende las actividades propias de la ingeniería y “no a cualquier actividad que tenga algún tipo de relación con la ingeniería, por menor o distante que esta sea”.</w:t>
      </w:r>
    </w:p>
    <w:p w14:paraId="5032091D"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val="es-ES" w:eastAsia="es-CO"/>
        </w:rPr>
      </w:pPr>
      <w:r w:rsidRPr="00E95861">
        <w:rPr>
          <w:rFonts w:ascii="Verdana" w:eastAsia="Calibri" w:hAnsi="Verdana" w:cs="Arial"/>
          <w:lang w:val="es-ES" w:eastAsia="es-CO"/>
        </w:rPr>
        <w:t xml:space="preserve">Ahora bien, que la dirección de estas obras deba recaer en un ingeniero no significa que deba recaer exclusivamente en un ingeniero civil. El artículo 18 de la Ley 842 de 2003 exige la matrícula “en la rama respectiva”, de suerte que el título exigible depende de la naturaleza de las actividades que integran el objeto contractual. Corresponde a la entidad contratante definir en los documentos del proceso el perfil del profesional que requiere, pero esa facultad tiene límites. </w:t>
      </w:r>
    </w:p>
    <w:p w14:paraId="2A948C0E" w14:textId="77777777" w:rsidR="00E95861" w:rsidRPr="00E95861" w:rsidRDefault="00E95861" w:rsidP="00E95861">
      <w:pPr>
        <w:widowControl w:val="0"/>
        <w:autoSpaceDE w:val="0"/>
        <w:autoSpaceDN w:val="0"/>
        <w:spacing w:after="120" w:line="276" w:lineRule="auto"/>
        <w:ind w:right="51" w:firstLine="709"/>
        <w:jc w:val="both"/>
        <w:rPr>
          <w:rFonts w:ascii="Verdana" w:eastAsia="Calibri" w:hAnsi="Verdana" w:cs="Arial"/>
          <w:lang w:eastAsia="es-MX"/>
        </w:rPr>
      </w:pPr>
      <w:r w:rsidRPr="00E95861">
        <w:rPr>
          <w:rFonts w:ascii="Verdana" w:eastAsia="Calibri" w:hAnsi="Verdana" w:cs="Arial"/>
          <w:lang w:val="es-ES" w:eastAsia="es-CO"/>
        </w:rPr>
        <w:t>Según el Consejo Profesional Nacional de Ingeniería – COPNIA, es lícito excluir de una labor a quien no es idóneo para desempeñarla, pero no a quien, por su formación académica, sí lo es y cuenta con la autorización estatal para ejercerla, pues ello constituiría una discriminación injustificada contraria al derecho a la igualdad consagrado en el artículo 13 de la Constitución Política</w:t>
      </w:r>
      <w:r w:rsidRPr="00E95861">
        <w:rPr>
          <w:rFonts w:ascii="Verdana" w:eastAsia="Calibri" w:hAnsi="Verdana" w:cs="Arial"/>
          <w:vertAlign w:val="superscript"/>
          <w:lang w:val="es-ES" w:eastAsia="es-CO"/>
        </w:rPr>
        <w:footnoteReference w:id="18"/>
      </w:r>
      <w:r w:rsidRPr="00E95861">
        <w:rPr>
          <w:rFonts w:ascii="Verdana" w:eastAsia="Calibri" w:hAnsi="Verdana" w:cs="Arial"/>
          <w:lang w:val="es-ES" w:eastAsia="es-CO"/>
        </w:rPr>
        <w:t xml:space="preserve">. </w:t>
      </w:r>
      <w:r w:rsidRPr="00E95861">
        <w:rPr>
          <w:rFonts w:ascii="Verdana" w:eastAsia="Calibri" w:hAnsi="Verdana" w:cs="Arial"/>
          <w:lang w:val="es-ES" w:eastAsia="es-CO"/>
        </w:rPr>
        <w:lastRenderedPageBreak/>
        <w:t>En esa medida, exigir de manera exclusiva el título de ingeniero civil es procedente cuando las actividades del contrato corresponden a esa rama, y puede constituir una restricción injustificada si otras ramas de la ingeniería forman a sus profesionales para dirigir esas mismas labores.</w:t>
      </w:r>
    </w:p>
    <w:p w14:paraId="1FCDCBDB" w14:textId="77777777" w:rsidR="00E95861" w:rsidRPr="00E95861" w:rsidRDefault="00E95861" w:rsidP="00E95861">
      <w:pPr>
        <w:widowControl w:val="0"/>
        <w:autoSpaceDE w:val="0"/>
        <w:autoSpaceDN w:val="0"/>
        <w:spacing w:after="0" w:line="276" w:lineRule="auto"/>
        <w:ind w:right="51" w:firstLine="709"/>
        <w:jc w:val="both"/>
        <w:rPr>
          <w:rFonts w:ascii="Verdana" w:eastAsia="Calibri" w:hAnsi="Verdana" w:cs="Arial"/>
          <w:lang w:eastAsia="es-MX"/>
        </w:rPr>
      </w:pPr>
      <w:r w:rsidRPr="00E95861">
        <w:rPr>
          <w:rFonts w:ascii="Verdana" w:eastAsia="Calibri" w:hAnsi="Verdana" w:cs="Arial"/>
          <w:lang w:val="es-ES" w:eastAsia="es-CO"/>
        </w:rPr>
        <w:t>Conforme con lo expuesto, se reitera que, no existe una norma que disponga que los cargos de director de obra o de residente de obra deban ser desempeñados exclusivamente por ingenieros civiles, y la respuesta depende del tipo de obra sobre la cual recaigan las actividades que se pretenden ejecutar. En las edificaciones sometidas a la Ley 400 de 1997, la dirección de la construcción puede estar a cargo de un ingeniero civil, de un arquitecto o de un constructor en arquitectura e ingeniería, y de un ingeniero mecánico en el caso de estructuras metálicas o prefabricadas. En las obras de infraestructura de transporte y, en general, en las actividades que el artículo 2 de la Ley 842 de 2003 califica como ejercicio de la ingeniería, la dirección corresponde a un ingeniero matriculado en la rama respectiva, conforme al artículo 18 de esa ley y a la sentencia C-191 de 2005, regla que se extiende al residente de obra cuando ejerce dirección técnica en el sitio. El perfil concreto, incluida la eventual exigencia del título de ingeniero civil, lo define la entidad en los documentos del proceso, atendiendo a la naturaleza de las actividades y sin excluir a profesionales idóneos de otras ramas de la ingeniería.</w:t>
      </w:r>
    </w:p>
    <w:p w14:paraId="35125113" w14:textId="77777777" w:rsidR="00E95861" w:rsidRPr="00E95861" w:rsidRDefault="00E95861" w:rsidP="00E95861">
      <w:pPr>
        <w:widowControl w:val="0"/>
        <w:autoSpaceDE w:val="0"/>
        <w:autoSpaceDN w:val="0"/>
        <w:spacing w:after="0" w:line="276" w:lineRule="auto"/>
        <w:ind w:right="51"/>
        <w:jc w:val="both"/>
        <w:rPr>
          <w:rFonts w:ascii="Verdana" w:eastAsia="Calibri" w:hAnsi="Verdana" w:cs="Arial"/>
          <w:lang w:val="es-ES" w:eastAsia="es-CO"/>
        </w:rPr>
      </w:pPr>
    </w:p>
    <w:p w14:paraId="1ABD0871" w14:textId="77777777" w:rsidR="00E95861" w:rsidRPr="00E95861" w:rsidRDefault="00E95861" w:rsidP="00E95861">
      <w:pPr>
        <w:spacing w:after="120" w:line="276" w:lineRule="auto"/>
        <w:jc w:val="both"/>
        <w:rPr>
          <w:rFonts w:ascii="Verdana" w:eastAsia="Aptos" w:hAnsi="Verdana" w:cs="Times New Roman"/>
          <w:kern w:val="2"/>
          <w14:ligatures w14:val="standardContextual"/>
        </w:rPr>
      </w:pPr>
      <w:proofErr w:type="spellStart"/>
      <w:r w:rsidRPr="00E95861">
        <w:rPr>
          <w:rFonts w:ascii="Verdana" w:eastAsia="Calibri" w:hAnsi="Verdana" w:cs="Arial"/>
          <w:lang w:val="es-ES" w:eastAsia="es-CO"/>
        </w:rPr>
        <w:t>ii</w:t>
      </w:r>
      <w:proofErr w:type="spellEnd"/>
      <w:r w:rsidRPr="00E95861">
        <w:rPr>
          <w:rFonts w:ascii="Verdana" w:eastAsia="Calibri" w:hAnsi="Verdana" w:cs="Arial"/>
          <w:lang w:val="es-ES" w:eastAsia="es-CO"/>
        </w:rPr>
        <w:t xml:space="preserve">. </w:t>
      </w:r>
      <w:r w:rsidRPr="00E95861">
        <w:rPr>
          <w:rFonts w:ascii="Verdana" w:eastAsia="Verdana" w:hAnsi="Verdana" w:cs="Verdana"/>
          <w:kern w:val="2"/>
          <w14:ligatures w14:val="standardContextual"/>
        </w:rPr>
        <w:t>El “Anexo 1 – Anexo Técnico” hace parte de los documentos tipo de obra de infraestructura de transporte y contiene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el propio documento lo autorice de forma expresa, es decir, en los aspectos incluidos entre corchetes y resaltados en gris.</w:t>
      </w:r>
    </w:p>
    <w:p w14:paraId="60F995EA" w14:textId="77777777" w:rsidR="00E95861" w:rsidRPr="00E95861" w:rsidRDefault="00E95861" w:rsidP="00E95861">
      <w:pPr>
        <w:spacing w:after="12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t xml:space="preserve">En su contenido se contemplan los siguientes elementos: i) descripción del proyecto –alcance, sitio de trabajo, ubicación rural o urbana y distancia, entre otros–, </w:t>
      </w:r>
      <w:proofErr w:type="spellStart"/>
      <w:r w:rsidRPr="00E95861">
        <w:rPr>
          <w:rFonts w:ascii="Verdana" w:eastAsia="Verdana" w:hAnsi="Verdana" w:cs="Verdana"/>
          <w:kern w:val="2"/>
          <w14:ligatures w14:val="standardContextual"/>
        </w:rPr>
        <w:t>ii</w:t>
      </w:r>
      <w:proofErr w:type="spellEnd"/>
      <w:r w:rsidRPr="00E95861">
        <w:rPr>
          <w:rFonts w:ascii="Verdana" w:eastAsia="Verdana" w:hAnsi="Verdana" w:cs="Verdana"/>
          <w:kern w:val="2"/>
          <w14:ligatures w14:val="standardContextual"/>
        </w:rPr>
        <w:t xml:space="preserve">) descripción de la obra actual o zona a intervenir, </w:t>
      </w:r>
      <w:proofErr w:type="spellStart"/>
      <w:r w:rsidRPr="00E95861">
        <w:rPr>
          <w:rFonts w:ascii="Verdana" w:eastAsia="Verdana" w:hAnsi="Verdana" w:cs="Verdana"/>
          <w:kern w:val="2"/>
          <w14:ligatures w14:val="standardContextual"/>
        </w:rPr>
        <w:t>iii</w:t>
      </w:r>
      <w:proofErr w:type="spellEnd"/>
      <w:r w:rsidRPr="00E95861">
        <w:rPr>
          <w:rFonts w:ascii="Verdana" w:eastAsia="Verdana" w:hAnsi="Verdana" w:cs="Verdana"/>
          <w:kern w:val="2"/>
          <w14:ligatures w14:val="standardContextual"/>
        </w:rPr>
        <w:t xml:space="preserve">) principales </w:t>
      </w:r>
      <w:r w:rsidRPr="00E95861">
        <w:rPr>
          <w:rFonts w:ascii="Verdana" w:eastAsia="Verdana" w:hAnsi="Verdana" w:cs="Verdana"/>
          <w:kern w:val="2"/>
          <w14:ligatures w14:val="standardContextual"/>
        </w:rPr>
        <w:lastRenderedPageBreak/>
        <w:t xml:space="preserve">actividades por ejecutar y alcance, </w:t>
      </w:r>
      <w:proofErr w:type="spellStart"/>
      <w:r w:rsidRPr="00E95861">
        <w:rPr>
          <w:rFonts w:ascii="Verdana" w:eastAsia="Verdana" w:hAnsi="Verdana" w:cs="Verdana"/>
          <w:kern w:val="2"/>
          <w14:ligatures w14:val="standardContextual"/>
        </w:rPr>
        <w:t>iv</w:t>
      </w:r>
      <w:proofErr w:type="spellEnd"/>
      <w:r w:rsidRPr="00E95861">
        <w:rPr>
          <w:rFonts w:ascii="Verdana" w:eastAsia="Verdana" w:hAnsi="Verdana" w:cs="Verdana"/>
          <w:kern w:val="2"/>
          <w14:ligatures w14:val="standardContextual"/>
        </w:rPr>
        <w:t xml:space="preserve">) plazo para la ejecución del contrato, v) forma de pago, vi) condiciones particulares del proyecto, </w:t>
      </w:r>
      <w:proofErr w:type="spellStart"/>
      <w:r w:rsidRPr="00E95861">
        <w:rPr>
          <w:rFonts w:ascii="Verdana" w:eastAsia="Verdana" w:hAnsi="Verdana" w:cs="Verdana"/>
          <w:kern w:val="2"/>
          <w14:ligatures w14:val="standardContextual"/>
        </w:rPr>
        <w:t>vii</w:t>
      </w:r>
      <w:proofErr w:type="spellEnd"/>
      <w:r w:rsidRPr="00E95861">
        <w:rPr>
          <w:rFonts w:ascii="Verdana" w:eastAsia="Verdana" w:hAnsi="Verdana" w:cs="Verdana"/>
          <w:kern w:val="2"/>
          <w14:ligatures w14:val="standardContextual"/>
        </w:rPr>
        <w:t xml:space="preserve">) información sobre el personal profesional, </w:t>
      </w:r>
      <w:proofErr w:type="spellStart"/>
      <w:r w:rsidRPr="00E95861">
        <w:rPr>
          <w:rFonts w:ascii="Verdana" w:eastAsia="Verdana" w:hAnsi="Verdana" w:cs="Verdana"/>
          <w:kern w:val="2"/>
          <w14:ligatures w14:val="standardContextual"/>
        </w:rPr>
        <w:t>viii</w:t>
      </w:r>
      <w:proofErr w:type="spellEnd"/>
      <w:r w:rsidRPr="00E95861">
        <w:rPr>
          <w:rFonts w:ascii="Verdana" w:eastAsia="Verdana" w:hAnsi="Verdana" w:cs="Verdana"/>
          <w:kern w:val="2"/>
          <w14:ligatures w14:val="standardContextual"/>
        </w:rPr>
        <w:t xml:space="preserve">) posibles fuentes de materiales para el proyecto, </w:t>
      </w:r>
      <w:proofErr w:type="spellStart"/>
      <w:r w:rsidRPr="00E95861">
        <w:rPr>
          <w:rFonts w:ascii="Verdana" w:eastAsia="Verdana" w:hAnsi="Verdana" w:cs="Verdana"/>
          <w:kern w:val="2"/>
          <w14:ligatures w14:val="standardContextual"/>
        </w:rPr>
        <w:t>ix</w:t>
      </w:r>
      <w:proofErr w:type="spellEnd"/>
      <w:r w:rsidRPr="00E95861">
        <w:rPr>
          <w:rFonts w:ascii="Verdana" w:eastAsia="Verdana" w:hAnsi="Verdana" w:cs="Verdana"/>
          <w:kern w:val="2"/>
          <w14:ligatures w14:val="standardContextual"/>
        </w:rPr>
        <w:t xml:space="preserve">) obras provisionales, x) señalización, xi) permisos y licencias, </w:t>
      </w:r>
      <w:proofErr w:type="spellStart"/>
      <w:r w:rsidRPr="00E95861">
        <w:rPr>
          <w:rFonts w:ascii="Verdana" w:eastAsia="Verdana" w:hAnsi="Verdana" w:cs="Verdana"/>
          <w:kern w:val="2"/>
          <w14:ligatures w14:val="standardContextual"/>
        </w:rPr>
        <w:t>xii</w:t>
      </w:r>
      <w:proofErr w:type="spellEnd"/>
      <w:r w:rsidRPr="00E95861">
        <w:rPr>
          <w:rFonts w:ascii="Verdana" w:eastAsia="Verdana" w:hAnsi="Verdana" w:cs="Verdana"/>
          <w:kern w:val="2"/>
          <w14:ligatures w14:val="standardContextual"/>
        </w:rPr>
        <w:t xml:space="preserve">) notas técnicas específicas para el proyecto, y </w:t>
      </w:r>
      <w:proofErr w:type="spellStart"/>
      <w:r w:rsidRPr="00E95861">
        <w:rPr>
          <w:rFonts w:ascii="Verdana" w:eastAsia="Verdana" w:hAnsi="Verdana" w:cs="Verdana"/>
          <w:kern w:val="2"/>
          <w14:ligatures w14:val="standardContextual"/>
        </w:rPr>
        <w:t>xiii</w:t>
      </w:r>
      <w:proofErr w:type="spellEnd"/>
      <w:r w:rsidRPr="00E95861">
        <w:rPr>
          <w:rFonts w:ascii="Verdana" w:eastAsia="Verdana" w:hAnsi="Verdana" w:cs="Verdana"/>
          <w:kern w:val="2"/>
          <w14:ligatures w14:val="standardContextual"/>
        </w:rPr>
        <w:t>) documentos técnicos adicionales.</w:t>
      </w:r>
    </w:p>
    <w:p w14:paraId="61F91B0E" w14:textId="77777777" w:rsidR="00E95861" w:rsidRPr="00E95861" w:rsidRDefault="00E95861" w:rsidP="00E95861">
      <w:pPr>
        <w:spacing w:after="12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t>El numeral 7 del “Anexo 1 – Anexo Técnico”, relativo al personal vinculado al proyecto, distribuye las cargas entre la entidad y el contratista. A la primera le asigna la definición del perfil del personal profesional, aspecto que se analiza más adelante por ser el objeto del segundo problema jurídico. Al contratista le impone un conjunto de obligaciones relacionadas con la acreditación y la disponibilidad de ese personal. Así, deberá informar la fecha a partir de la cual los profesionales ofrecidos ejercen legalmente la profesión; las certificaciones de experiencia que presente deben ser expedidas por la persona natural o jurídica con quien se haya establecido la relación laboral o de prestación de servicios, y será responsable de verificar que los profesionales propuestos tengan la disponibilidad real para la cual se vinculan al proyecto, so pena de las sanciones a que haya lugar. Además, debe tener contratado o contemplado dentro de su nómina al personal profesional que presente, y su costo debe incluirse dentro de los gastos del contrato.</w:t>
      </w:r>
    </w:p>
    <w:p w14:paraId="2C8FDB41" w14:textId="77777777" w:rsidR="00E95861" w:rsidRPr="00E95861" w:rsidRDefault="00E95861" w:rsidP="00E95861">
      <w:pPr>
        <w:spacing w:after="12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t>Conforme con lo anterior, para efectos del segundo problema jurídico planteado en este concepto, en el que se indaga si en los documentos tipo de obra pública expedidos por la Agencia Nacional de Contratación Pública – Colombia Compra Eficiente, en el sector de infraestructura de transporte, se establece que los cargos de Director de Obra o Residente de Obra deben ser desempeñados exclusivamente por profesionales en Ingeniería Civil, le indicamos lo siguiente:</w:t>
      </w:r>
    </w:p>
    <w:p w14:paraId="25DB070F" w14:textId="77777777" w:rsidR="00E95861" w:rsidRPr="00E95861" w:rsidRDefault="00E95861" w:rsidP="00E95861">
      <w:pPr>
        <w:spacing w:after="120" w:line="276" w:lineRule="auto"/>
        <w:ind w:firstLine="709"/>
        <w:jc w:val="both"/>
        <w:rPr>
          <w:rFonts w:ascii="Verdana" w:eastAsia="Verdana" w:hAnsi="Verdana" w:cs="Verdana"/>
          <w:kern w:val="2"/>
          <w14:ligatures w14:val="standardContextual"/>
        </w:rPr>
      </w:pPr>
      <w:r w:rsidRPr="00E95861">
        <w:rPr>
          <w:rFonts w:ascii="Verdana" w:eastAsia="Verdana" w:hAnsi="Verdana" w:cs="Verdana"/>
          <w:kern w:val="2"/>
          <w14:ligatures w14:val="standardContextual"/>
        </w:rPr>
        <w:t xml:space="preserve">Los documentos tipo de obra pública de infraestructura de transporte no establecen que los cargos de director de obra o de residente de obra deban ser desempeñados exclusivamente por profesionales en ingeniería civil. El numeral 7 del “Anexo 1 – Anexo Técnico” no predetermina la formación académica de ningún cargo y, por el contrario, contiene una instrucción expresa dirigida a la entidad: </w:t>
      </w:r>
      <w:r w:rsidRPr="00E95861">
        <w:rPr>
          <w:rFonts w:ascii="Verdana" w:eastAsia="Verdana" w:hAnsi="Verdana" w:cs="Verdana"/>
          <w:kern w:val="2"/>
          <w:highlight w:val="lightGray"/>
          <w14:ligatures w14:val="standardContextual"/>
        </w:rPr>
        <w:t>“[La entidad deberá definir el personal requerido para la ejecución de la obra de acuerdo con el objeto del proceso de contratación]”.</w:t>
      </w:r>
      <w:r w:rsidRPr="00E95861">
        <w:rPr>
          <w:rFonts w:ascii="Verdana" w:eastAsia="Verdana" w:hAnsi="Verdana" w:cs="Verdana"/>
          <w:kern w:val="2"/>
          <w14:ligatures w14:val="standardContextual"/>
        </w:rPr>
        <w:t xml:space="preserve"> </w:t>
      </w:r>
    </w:p>
    <w:p w14:paraId="5EAA9800" w14:textId="77777777" w:rsidR="00E95861" w:rsidRPr="00E95861" w:rsidRDefault="00E95861" w:rsidP="00E95861">
      <w:pPr>
        <w:spacing w:after="120" w:line="276" w:lineRule="auto"/>
        <w:ind w:firstLine="709"/>
        <w:jc w:val="both"/>
        <w:rPr>
          <w:rFonts w:ascii="Verdana" w:eastAsia="Verdana" w:hAnsi="Verdana" w:cs="Verdana"/>
          <w:kern w:val="2"/>
          <w14:ligatures w14:val="standardContextual"/>
        </w:rPr>
      </w:pPr>
      <w:r w:rsidRPr="00E95861">
        <w:rPr>
          <w:rFonts w:ascii="Verdana" w:eastAsia="Verdana" w:hAnsi="Verdana" w:cs="Verdana"/>
          <w:kern w:val="2"/>
          <w14:ligatures w14:val="standardContextual"/>
        </w:rPr>
        <w:t xml:space="preserve">De esa instrucción se desprenden dos consecuencias: i) La primera es que la competencia para fijar el perfil del personal corresponde a la entidad, que </w:t>
      </w:r>
      <w:r w:rsidRPr="00E95861">
        <w:rPr>
          <w:rFonts w:ascii="Verdana" w:eastAsia="Verdana" w:hAnsi="Verdana" w:cs="Verdana"/>
          <w:kern w:val="2"/>
          <w14:ligatures w14:val="standardContextual"/>
        </w:rPr>
        <w:lastRenderedPageBreak/>
        <w:t xml:space="preserve">debe precisar, en los espacios entre corchetes y resaltados en gris, el título profesional requerido, los años de experiencia general y específica y, cuando sea necesario, el título de posgrado, así como la denominación del cargo de acuerdo con la tabla del literal a) del mismo numeral; </w:t>
      </w:r>
      <w:proofErr w:type="spellStart"/>
      <w:r w:rsidRPr="00E95861">
        <w:rPr>
          <w:rFonts w:ascii="Verdana" w:eastAsia="Verdana" w:hAnsi="Verdana" w:cs="Verdana"/>
          <w:kern w:val="2"/>
          <w14:ligatures w14:val="standardContextual"/>
        </w:rPr>
        <w:t>ii</w:t>
      </w:r>
      <w:proofErr w:type="spellEnd"/>
      <w:r w:rsidRPr="00E95861">
        <w:rPr>
          <w:rFonts w:ascii="Verdana" w:eastAsia="Verdana" w:hAnsi="Verdana" w:cs="Verdana"/>
          <w:kern w:val="2"/>
          <w14:ligatures w14:val="standardContextual"/>
        </w:rPr>
        <w:t xml:space="preserve">) La segunda es que esa competencia no es libre, pues el documento la sujeta al objeto del proceso de contratación. </w:t>
      </w:r>
    </w:p>
    <w:p w14:paraId="519611C3" w14:textId="77777777" w:rsidR="00E95861" w:rsidRPr="00E95861" w:rsidRDefault="00E95861" w:rsidP="00E95861">
      <w:pPr>
        <w:spacing w:after="12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t>En este sentido, el perfil debe derivarse de las actividades que efectivamente se ejecutarán, de su complejidad técnica y del riesgo que comportan, y ser proporcional y adecuado al tipo de obra, conforme a lo establecido en los estudios y documentos previos. Este mandato es expresión del principio de planeación y coincide con el criterio que el numeral 1 del artículo 5 de la Ley 1150 de 2007 fija para los requisitos de los procesos de selección, que deben ser “adecuados y proporcionales a la naturaleza del contrato a suscribir y a su valor”</w:t>
      </w:r>
      <w:r w:rsidRPr="00E95861">
        <w:rPr>
          <w:rFonts w:ascii="Verdana" w:eastAsia="Verdana" w:hAnsi="Verdana" w:cs="Verdana"/>
          <w:kern w:val="2"/>
          <w:vertAlign w:val="superscript"/>
          <w14:ligatures w14:val="standardContextual"/>
        </w:rPr>
        <w:footnoteReference w:id="19"/>
      </w:r>
      <w:r w:rsidRPr="00E95861">
        <w:rPr>
          <w:rFonts w:ascii="Verdana" w:eastAsia="Verdana" w:hAnsi="Verdana" w:cs="Verdana"/>
          <w:kern w:val="2"/>
          <w14:ligatures w14:val="standardContextual"/>
        </w:rPr>
        <w:t>. En consecuencia, la exigencia del título de ingeniero civil para los cargos de director o residente de obra no tiene origen en el documento tipo. Es una determinación de la entidad, válida en la medida en que guarde relación directa con el objeto contractual y se encuentre debidamente justificada en la etapa de planeación.</w:t>
      </w:r>
    </w:p>
    <w:p w14:paraId="053456E9" w14:textId="77777777" w:rsidR="00E95861" w:rsidRPr="00E95861" w:rsidRDefault="00E95861" w:rsidP="00E95861">
      <w:pPr>
        <w:spacing w:after="120" w:line="276" w:lineRule="auto"/>
        <w:ind w:firstLine="709"/>
        <w:jc w:val="both"/>
        <w:rPr>
          <w:rFonts w:ascii="Verdana" w:eastAsia="Verdana" w:hAnsi="Verdana" w:cs="Verdana"/>
          <w:kern w:val="2"/>
          <w14:ligatures w14:val="standardContextual"/>
        </w:rPr>
      </w:pPr>
      <w:r w:rsidRPr="00E95861">
        <w:rPr>
          <w:rFonts w:ascii="Verdana" w:eastAsia="Verdana" w:hAnsi="Verdana" w:cs="Verdana"/>
          <w:kern w:val="2"/>
          <w14:ligatures w14:val="standardContextual"/>
        </w:rPr>
        <w:t xml:space="preserve">Esa facultad, sin embargo, no es ilimitada, porque el documento tipo se aplica en armonía con las normas que regulan el ejercicio de la ingeniería. Las actividades de construcción, mejoramiento y mantenimiento de infraestructura de transporte, entre otras, constituyen ejercicio de la ingeniería según el literal a) del artículo 2 de la Ley 842 de 2003. Por eso, conforme al artículo 18 de esa ley, el director de obra, y el residente de obra cuando ejerce dirección técnica en el sitio, deben ser ingenieros inscritos en el registro profesional y con matrícula en la rama respectiva. </w:t>
      </w:r>
    </w:p>
    <w:p w14:paraId="43F6DFCB" w14:textId="77777777" w:rsidR="00E95861" w:rsidRPr="00E95861" w:rsidRDefault="00E95861" w:rsidP="00E95861">
      <w:pPr>
        <w:spacing w:after="12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t xml:space="preserve">En consecuencia, la entidad no puede configurar el perfil de manera que admita para esos cargos a profesionales sin esa habilitación, como los arquitectos. Tampoco puede restringirlo injustificadamente, excluyendo a ingenieros de otras ramas cuya formación los hace idóneos para dirigir las actividades del contrato. </w:t>
      </w:r>
    </w:p>
    <w:p w14:paraId="70F43C98" w14:textId="77777777" w:rsidR="00E95861" w:rsidRPr="00E95861" w:rsidRDefault="00E95861" w:rsidP="00E95861">
      <w:pPr>
        <w:spacing w:after="0" w:line="276" w:lineRule="auto"/>
        <w:ind w:firstLine="709"/>
        <w:jc w:val="both"/>
        <w:rPr>
          <w:rFonts w:ascii="Verdana" w:eastAsia="Aptos" w:hAnsi="Verdana" w:cs="Times New Roman"/>
          <w:kern w:val="2"/>
          <w14:ligatures w14:val="standardContextual"/>
        </w:rPr>
      </w:pPr>
      <w:r w:rsidRPr="00E95861">
        <w:rPr>
          <w:rFonts w:ascii="Verdana" w:eastAsia="Verdana" w:hAnsi="Verdana" w:cs="Verdana"/>
          <w:kern w:val="2"/>
          <w14:ligatures w14:val="standardContextual"/>
        </w:rPr>
        <w:lastRenderedPageBreak/>
        <w:t>En síntesis, exigir el título de ingeniero civil para los cargos de director o residente de obra será procedente cuando las actividades del contrato correspondan a esa rama de la ingeniería y así lo soporten los estudios previos. Lo que el documento tipo garantiza es el procedimiento para definir el perfil, y lo que la Ley 842 de 2003 garantiza es que quien dirija la obra sea un ingeniero matriculado. Cabe anotar, además, que el personal profesional no se evalúa durante el proceso de selección. Según Colombia Compra Eficiente, las hojas de vida y los soportes del personal vinculado al proyecto se verifican una vez adjudicado el contrato, por lo que la entidad no puede exigirlos como requisito habilitante ni como factor de puntaje</w:t>
      </w:r>
      <w:r w:rsidRPr="00E95861">
        <w:rPr>
          <w:rFonts w:ascii="Verdana" w:eastAsia="Aptos" w:hAnsi="Verdana" w:cs="Times New Roman"/>
          <w:kern w:val="2"/>
          <w:vertAlign w:val="superscript"/>
          <w14:ligatures w14:val="standardContextual"/>
        </w:rPr>
        <w:footnoteReference w:id="20"/>
      </w:r>
      <w:r w:rsidRPr="00E95861">
        <w:rPr>
          <w:rFonts w:ascii="Verdana" w:eastAsia="Verdana" w:hAnsi="Verdana" w:cs="Verdana"/>
          <w:kern w:val="2"/>
          <w14:ligatures w14:val="standardContextual"/>
        </w:rPr>
        <w:t>. Corresponde al supervisor o interventor comprobar, en la ejecución, que los profesionales cumplan el perfil definido y estén legalmente habilitados para ejercer.</w:t>
      </w:r>
    </w:p>
    <w:p w14:paraId="64C588DB" w14:textId="77777777" w:rsidR="00E95861" w:rsidRPr="00E95861" w:rsidRDefault="00E95861" w:rsidP="00E95861">
      <w:pPr>
        <w:widowControl w:val="0"/>
        <w:autoSpaceDE w:val="0"/>
        <w:autoSpaceDN w:val="0"/>
        <w:spacing w:after="0" w:line="276" w:lineRule="auto"/>
        <w:ind w:right="51"/>
        <w:jc w:val="both"/>
        <w:rPr>
          <w:rFonts w:ascii="Verdana" w:eastAsia="Calibri" w:hAnsi="Verdana" w:cs="Arial"/>
          <w:color w:val="000000"/>
          <w:kern w:val="2"/>
          <w14:ligatures w14:val="standardContextual"/>
        </w:rPr>
      </w:pPr>
    </w:p>
    <w:p w14:paraId="09201A25" w14:textId="77777777" w:rsidR="00E95861" w:rsidRPr="00E95861" w:rsidRDefault="00E95861" w:rsidP="00E95861">
      <w:pPr>
        <w:numPr>
          <w:ilvl w:val="0"/>
          <w:numId w:val="17"/>
        </w:numPr>
        <w:tabs>
          <w:tab w:val="left" w:pos="142"/>
          <w:tab w:val="left" w:pos="284"/>
        </w:tabs>
        <w:spacing w:after="0" w:line="276" w:lineRule="auto"/>
        <w:jc w:val="both"/>
        <w:rPr>
          <w:rFonts w:ascii="Verdana" w:eastAsia="Century Gothic" w:hAnsi="Verdana" w:cs="Century Gothic"/>
          <w:b/>
          <w:bCs/>
        </w:rPr>
      </w:pPr>
      <w:r w:rsidRPr="00E95861">
        <w:rPr>
          <w:rFonts w:ascii="Verdana" w:eastAsia="Times New Roman" w:hAnsi="Verdana" w:cs="Times New Roman"/>
          <w:lang w:eastAsia="es-MX"/>
        </w:rPr>
        <w:tab/>
      </w:r>
      <w:r w:rsidRPr="00E95861">
        <w:rPr>
          <w:rFonts w:ascii="Verdana" w:eastAsia="Century Gothic" w:hAnsi="Verdana" w:cs="Century Gothic"/>
          <w:b/>
          <w:bCs/>
        </w:rPr>
        <w:t>Referencias normativas y jurisprudenciales:</w:t>
      </w:r>
    </w:p>
    <w:p w14:paraId="2F97B617" w14:textId="77777777" w:rsidR="00E95861" w:rsidRPr="00E95861" w:rsidRDefault="00E95861" w:rsidP="00E95861">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95861" w:rsidRPr="00E95861" w14:paraId="7D389C23" w14:textId="77777777" w:rsidTr="00173079">
        <w:trPr>
          <w:trHeight w:val="410"/>
          <w:jc w:val="center"/>
        </w:trPr>
        <w:tc>
          <w:tcPr>
            <w:tcW w:w="8647" w:type="dxa"/>
          </w:tcPr>
          <w:p w14:paraId="6A31501E"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Constitución Política, artículos 13 y 26.</w:t>
            </w:r>
          </w:p>
          <w:p w14:paraId="00DB7ED8"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Ley 842 de 2003, artículos 2, 6, 18 y 34.</w:t>
            </w:r>
          </w:p>
          <w:p w14:paraId="7F9DE62D"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Ley 400 de 1997, artículos 3, 4 (numerales 9 y 14), 33 y 34.</w:t>
            </w:r>
          </w:p>
          <w:p w14:paraId="67945803"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Ley 1229 de 2008, artículos 1 y 5.</w:t>
            </w:r>
          </w:p>
          <w:p w14:paraId="410166A6"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Ley 1150 de 2007, artículo 5, numeral 1.</w:t>
            </w:r>
          </w:p>
          <w:p w14:paraId="6DCBB5EF"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Ley 22 de 1967, aprobatoria del Convenio 111 de la OIT, artículo 1, numeral 2.</w:t>
            </w:r>
          </w:p>
          <w:p w14:paraId="3B0F848A"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Corte Constitucional, sentencia C-697 de 2000, M.P. Eduardo Cifuentes Muñoz.</w:t>
            </w:r>
          </w:p>
          <w:p w14:paraId="5D5C7F91"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Corte Constitucional, sentencia C-191 de 2005, M.P. Manuel José Cepeda Espinosa.</w:t>
            </w:r>
          </w:p>
          <w:p w14:paraId="4096CAEC"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Corte Constitucional, sentencia C-296 de 2012.</w:t>
            </w:r>
          </w:p>
          <w:p w14:paraId="73F39320"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Consejo Profesional Nacional de Ingeniería – COPNIA. Concepto 724 de 2013.</w:t>
            </w:r>
          </w:p>
          <w:p w14:paraId="62603932"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Consejo Profesional Nacional de Ingeniería – COPNIA. Concepto 56 de 2017.</w:t>
            </w:r>
          </w:p>
          <w:p w14:paraId="207F15B2"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t>Instituto Nacional de Vías – INVIAS. Manual de Interventoría Obra Pública, código MSE-MN-01, versión 2, numeral 7.4.</w:t>
            </w:r>
          </w:p>
          <w:p w14:paraId="46702209" w14:textId="77777777" w:rsidR="00E95861" w:rsidRPr="006A1988"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14:ligatures w14:val="standardContextual"/>
              </w:rPr>
            </w:pPr>
            <w:r w:rsidRPr="006A1988">
              <w:rPr>
                <w:rFonts w:ascii="Verdana" w:eastAsia="Calibri" w:hAnsi="Verdana" w:cs="Arial"/>
                <w:kern w:val="2"/>
                <w14:ligatures w14:val="standardContextual"/>
              </w:rPr>
              <w:lastRenderedPageBreak/>
              <w:t>Agencia Nacional de Contratación Pública – Colombia Compra Eficiente. Guía para la comprensión e implementación de los Documentos Tipo de obra pública de infraestructura de transporte, sección 9.</w:t>
            </w:r>
          </w:p>
          <w:p w14:paraId="56D67AFA" w14:textId="77777777" w:rsidR="00E95861" w:rsidRPr="00E95861" w:rsidRDefault="00E95861" w:rsidP="00E95861">
            <w:pPr>
              <w:widowControl w:val="0"/>
              <w:numPr>
                <w:ilvl w:val="0"/>
                <w:numId w:val="16"/>
              </w:numPr>
              <w:autoSpaceDE w:val="0"/>
              <w:autoSpaceDN w:val="0"/>
              <w:spacing w:line="276" w:lineRule="auto"/>
              <w:ind w:left="318" w:hanging="284"/>
              <w:jc w:val="both"/>
              <w:rPr>
                <w:rFonts w:ascii="Verdana" w:eastAsia="Calibri" w:hAnsi="Verdana" w:cs="Arial"/>
                <w:kern w:val="2"/>
                <w:sz w:val="24"/>
                <w:szCs w:val="24"/>
                <w:lang w:val="es-ES"/>
                <w14:ligatures w14:val="standardContextual"/>
              </w:rPr>
            </w:pPr>
            <w:r w:rsidRPr="006A1988">
              <w:rPr>
                <w:rFonts w:ascii="Verdana" w:eastAsia="Aptos" w:hAnsi="Verdana" w:cs="Arial"/>
                <w:spacing w:val="2"/>
                <w:kern w:val="2"/>
                <w:lang w:val="pt-BR" w:eastAsia="es-CO"/>
                <w14:ligatures w14:val="standardContextual"/>
              </w:rPr>
              <w:t xml:space="preserve">Documentos tipo de obra pública de </w:t>
            </w:r>
            <w:proofErr w:type="spellStart"/>
            <w:r w:rsidRPr="006A1988">
              <w:rPr>
                <w:rFonts w:ascii="Verdana" w:eastAsia="Aptos" w:hAnsi="Verdana" w:cs="Arial"/>
                <w:spacing w:val="2"/>
                <w:kern w:val="2"/>
                <w:lang w:val="pt-BR" w:eastAsia="es-CO"/>
                <w14:ligatures w14:val="standardContextual"/>
              </w:rPr>
              <w:t>infraestructura</w:t>
            </w:r>
            <w:proofErr w:type="spellEnd"/>
            <w:r w:rsidRPr="006A1988">
              <w:rPr>
                <w:rFonts w:ascii="Verdana" w:eastAsia="Aptos" w:hAnsi="Verdana" w:cs="Arial"/>
                <w:spacing w:val="2"/>
                <w:kern w:val="2"/>
                <w:lang w:val="pt-BR" w:eastAsia="es-CO"/>
                <w14:ligatures w14:val="standardContextual"/>
              </w:rPr>
              <w:t xml:space="preserve"> de transporte, Anexo 1 – Anexo Técnico, numeral 7. </w:t>
            </w:r>
            <w:proofErr w:type="spellStart"/>
            <w:r w:rsidRPr="006A1988">
              <w:rPr>
                <w:rFonts w:ascii="Verdana" w:eastAsia="Aptos" w:hAnsi="Verdana" w:cs="Arial"/>
                <w:spacing w:val="2"/>
                <w:kern w:val="2"/>
                <w:lang w:val="pt-BR" w:eastAsia="es-CO"/>
                <w14:ligatures w14:val="standardContextual"/>
              </w:rPr>
              <w:t>Disponibles</w:t>
            </w:r>
            <w:proofErr w:type="spellEnd"/>
            <w:r w:rsidRPr="006A1988">
              <w:rPr>
                <w:rFonts w:ascii="Verdana" w:eastAsia="Aptos" w:hAnsi="Verdana" w:cs="Arial"/>
                <w:spacing w:val="2"/>
                <w:kern w:val="2"/>
                <w:lang w:val="pt-BR" w:eastAsia="es-CO"/>
                <w14:ligatures w14:val="standardContextual"/>
              </w:rPr>
              <w:t xml:space="preserve"> en: </w:t>
            </w:r>
            <w:hyperlink r:id="rId16" w:history="1">
              <w:r w:rsidRPr="006A1988">
                <w:rPr>
                  <w:rFonts w:ascii="Verdana" w:eastAsia="Aptos" w:hAnsi="Verdana" w:cs="Arial"/>
                  <w:color w:val="0000FF"/>
                  <w:spacing w:val="2"/>
                  <w:kern w:val="2"/>
                  <w:u w:val="single"/>
                  <w:lang w:val="pt-BR" w:eastAsia="es-CO"/>
                  <w14:ligatures w14:val="standardContextual"/>
                </w:rPr>
                <w:t>https://www.colombiacompra.gov.co/content/documentos-tipo-de-infraestructura-de-transporte</w:t>
              </w:r>
            </w:hyperlink>
          </w:p>
        </w:tc>
      </w:tr>
    </w:tbl>
    <w:p w14:paraId="7FCAEA50" w14:textId="77777777" w:rsidR="00E95861" w:rsidRPr="00E95861" w:rsidRDefault="00E95861" w:rsidP="00E95861">
      <w:pPr>
        <w:widowControl w:val="0"/>
        <w:autoSpaceDE w:val="0"/>
        <w:autoSpaceDN w:val="0"/>
        <w:spacing w:after="0" w:line="276" w:lineRule="auto"/>
        <w:jc w:val="both"/>
        <w:rPr>
          <w:rFonts w:ascii="Verdana" w:eastAsia="Calibri" w:hAnsi="Verdana" w:cs="Arial"/>
        </w:rPr>
      </w:pPr>
    </w:p>
    <w:p w14:paraId="268C0C28" w14:textId="77777777" w:rsidR="00E95861" w:rsidRPr="00E95861" w:rsidRDefault="00E95861" w:rsidP="00E95861">
      <w:pPr>
        <w:numPr>
          <w:ilvl w:val="0"/>
          <w:numId w:val="17"/>
        </w:numPr>
        <w:tabs>
          <w:tab w:val="left" w:pos="142"/>
          <w:tab w:val="left" w:pos="284"/>
        </w:tabs>
        <w:spacing w:after="0" w:line="276" w:lineRule="auto"/>
        <w:jc w:val="both"/>
        <w:rPr>
          <w:rFonts w:ascii="Verdana" w:eastAsia="Century Gothic" w:hAnsi="Verdana" w:cs="Century Gothic"/>
          <w:b/>
          <w:bCs/>
        </w:rPr>
      </w:pPr>
      <w:r w:rsidRPr="00E95861">
        <w:rPr>
          <w:rFonts w:ascii="Verdana" w:eastAsia="Century Gothic" w:hAnsi="Verdana" w:cs="Century Gothic"/>
          <w:b/>
          <w:bCs/>
        </w:rPr>
        <w:t>Doctrina de la Agencia Nacional de Contratación Pública:</w:t>
      </w:r>
    </w:p>
    <w:p w14:paraId="65BB0F34" w14:textId="77777777" w:rsidR="00E95861" w:rsidRPr="00E95861" w:rsidRDefault="00E95861" w:rsidP="00E95861">
      <w:pPr>
        <w:widowControl w:val="0"/>
        <w:autoSpaceDE w:val="0"/>
        <w:autoSpaceDN w:val="0"/>
        <w:spacing w:after="0" w:line="276" w:lineRule="auto"/>
        <w:jc w:val="both"/>
        <w:rPr>
          <w:rFonts w:ascii="Verdana" w:eastAsia="Calibri" w:hAnsi="Verdana" w:cs="Arial"/>
        </w:rPr>
      </w:pPr>
    </w:p>
    <w:p w14:paraId="54433254" w14:textId="77777777" w:rsidR="00E95861" w:rsidRPr="00E95861" w:rsidRDefault="00E95861" w:rsidP="00E95861">
      <w:pPr>
        <w:widowControl w:val="0"/>
        <w:autoSpaceDE w:val="0"/>
        <w:autoSpaceDN w:val="0"/>
        <w:spacing w:after="0" w:line="276" w:lineRule="auto"/>
        <w:jc w:val="both"/>
        <w:rPr>
          <w:rFonts w:ascii="Verdana" w:eastAsia="Calibri" w:hAnsi="Verdana" w:cs="Arial"/>
          <w:color w:val="000000"/>
          <w:kern w:val="2"/>
          <w:sz w:val="24"/>
          <w:szCs w:val="24"/>
          <w:shd w:val="clear" w:color="auto" w:fill="FFFFFF"/>
          <w14:ligatures w14:val="standardContextual"/>
        </w:rPr>
      </w:pPr>
      <w:r w:rsidRPr="00E95861">
        <w:rPr>
          <w:rFonts w:ascii="Verdana" w:eastAsia="Calibri" w:hAnsi="Verdana" w:cs="Arial"/>
          <w:shd w:val="clear" w:color="auto" w:fill="FFFFFF"/>
          <w:lang w:val="es-ES"/>
        </w:rPr>
        <w:t>La Agencia Nacional de Contratación Pública – Colombia Compra Eficiente se ha pronunciado sobre el artículo 18 de la Ley 842 de 2003, entre otros en los siguientes conceptos: C-068 del 9 de marzo de 2023</w:t>
      </w:r>
      <w:r w:rsidRPr="00E95861">
        <w:rPr>
          <w:rFonts w:ascii="Verdana" w:eastAsia="Calibri" w:hAnsi="Verdana" w:cs="Arial"/>
          <w:color w:val="000000"/>
          <w:kern w:val="2"/>
          <w:sz w:val="24"/>
          <w:szCs w:val="24"/>
          <w:shd w:val="clear" w:color="auto" w:fill="FFFFFF"/>
          <w14:ligatures w14:val="standardContextual"/>
        </w:rPr>
        <w:t xml:space="preserve">, </w:t>
      </w:r>
      <w:r w:rsidRPr="00E95861">
        <w:rPr>
          <w:rFonts w:ascii="Verdana" w:eastAsia="Calibri" w:hAnsi="Verdana" w:cs="Arial"/>
          <w:shd w:val="clear" w:color="auto" w:fill="FFFFFF"/>
          <w:lang w:val="es-ES"/>
        </w:rPr>
        <w:t xml:space="preserve">C-008 del 20 de marzo de 2024 y C-261 del 3 de octubre de 2024.  </w:t>
      </w:r>
    </w:p>
    <w:p w14:paraId="30EEA4B2" w14:textId="77777777" w:rsidR="00E95861" w:rsidRPr="00E95861" w:rsidRDefault="00E95861" w:rsidP="00E95861">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4E3114E2" w14:textId="77777777" w:rsidR="00E95861" w:rsidRPr="00E95861" w:rsidRDefault="00E95861" w:rsidP="00E95861">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E95861">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tooltip="Dirección URL original: https://relatoria.colombiacompra.gov.co/. Haga clic o pulse si confía en este vínculo." w:history="1">
        <w:r w:rsidRPr="00E95861">
          <w:rPr>
            <w:rFonts w:ascii="Verdana" w:eastAsia="Calibri" w:hAnsi="Verdana" w:cs="Arial"/>
            <w:color w:val="0000FF"/>
            <w:kern w:val="2"/>
            <w:u w:val="single"/>
            <w:shd w:val="clear" w:color="auto" w:fill="FFFFFF"/>
            <w:lang w:eastAsia="es-MX"/>
            <w14:ligatures w14:val="standardContextual"/>
          </w:rPr>
          <w:t>https://relatoria.colombiacompra.gov.co/</w:t>
        </w:r>
      </w:hyperlink>
      <w:r w:rsidRPr="00E95861">
        <w:rPr>
          <w:rFonts w:ascii="Verdana" w:eastAsia="Calibri" w:hAnsi="Verdana" w:cs="Arial"/>
          <w:color w:val="0000FF"/>
          <w:kern w:val="2"/>
          <w:u w:val="single"/>
          <w:shd w:val="clear" w:color="auto" w:fill="FFFFFF"/>
          <w:lang w:eastAsia="es-MX"/>
          <w14:ligatures w14:val="standardContextual"/>
        </w:rPr>
        <w:t> .</w:t>
      </w:r>
    </w:p>
    <w:p w14:paraId="4BFB023C" w14:textId="77777777" w:rsidR="00E95861" w:rsidRPr="00E95861" w:rsidRDefault="00E95861" w:rsidP="00E95861">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bookmarkEnd w:id="0"/>
    <w:p w14:paraId="7791935B" w14:textId="77777777" w:rsidR="00E95861" w:rsidRPr="00E95861" w:rsidRDefault="00E95861" w:rsidP="00E95861">
      <w:pPr>
        <w:spacing w:after="0" w:line="276" w:lineRule="auto"/>
        <w:jc w:val="both"/>
        <w:rPr>
          <w:rFonts w:ascii="Verdana" w:eastAsia="Aptos" w:hAnsi="Verdana" w:cs="Times New Roman"/>
          <w:kern w:val="2"/>
          <w14:ligatures w14:val="standardContextual"/>
        </w:rPr>
      </w:pPr>
      <w:r w:rsidRPr="00E95861">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95861">
        <w:rPr>
          <w:rFonts w:ascii="Verdana" w:eastAsia="Aptos" w:hAnsi="Verdana" w:cs="Times New Roman"/>
          <w:b/>
          <w:bCs/>
          <w:color w:val="000000"/>
          <w:kern w:val="2"/>
          <w14:ligatures w14:val="standardContextual"/>
        </w:rPr>
        <w:t>Guía para la Exigencia y Constitución de Garantías en los Procesos de Contratación</w:t>
      </w:r>
      <w:r w:rsidRPr="00E95861">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8" w:tooltip="https://nam02.safelinks.protection.outlook.com/?url=https%3A%2F%2Fwww.colombiacompra.gov.co%2Farchivos%2Fmanual%2Fguia-de-garantias-en-procesos-de-contratacion&amp;data=05%7C02%7Ccarlos.castrillon%40colombiacompra.gov.co%7C7128555136e04fa6887d08dee99e1b50%7C7b0904" w:history="1">
        <w:r w:rsidRPr="00E95861">
          <w:rPr>
            <w:rFonts w:ascii="Verdana" w:eastAsia="Aptos" w:hAnsi="Verdana" w:cs="Times New Roman"/>
            <w:color w:val="0078D7"/>
            <w:kern w:val="2"/>
            <w:u w:val="single"/>
            <w14:ligatures w14:val="standardContextual"/>
          </w:rPr>
          <w:t>https://www.colombiacompra.gov.co/archivos/manual/guia-de-garantias-en-procesos-de-contratacion</w:t>
        </w:r>
      </w:hyperlink>
    </w:p>
    <w:p w14:paraId="26CF08EA" w14:textId="77777777" w:rsidR="00E95861" w:rsidRPr="00E95861" w:rsidRDefault="00E95861" w:rsidP="00E95861">
      <w:pPr>
        <w:spacing w:after="0" w:line="276" w:lineRule="auto"/>
        <w:jc w:val="both"/>
        <w:rPr>
          <w:rFonts w:ascii="Verdana" w:eastAsia="Aptos" w:hAnsi="Verdana" w:cs="Times New Roman"/>
          <w:kern w:val="2"/>
          <w14:ligatures w14:val="standardContextual"/>
        </w:rPr>
      </w:pPr>
    </w:p>
    <w:p w14:paraId="6F95C069" w14:textId="77777777" w:rsidR="00E95861" w:rsidRPr="00E95861" w:rsidRDefault="00E95861" w:rsidP="00E95861">
      <w:pPr>
        <w:spacing w:after="0" w:line="276" w:lineRule="auto"/>
        <w:jc w:val="both"/>
        <w:rPr>
          <w:rFonts w:ascii="Verdana" w:eastAsia="Aptos" w:hAnsi="Verdana" w:cs="Times New Roman"/>
          <w:kern w:val="2"/>
          <w14:ligatures w14:val="standardContextual"/>
        </w:rPr>
      </w:pPr>
      <w:r w:rsidRPr="00E95861">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95861">
        <w:rPr>
          <w:rFonts w:ascii="Verdana" w:eastAsia="Aptos" w:hAnsi="Verdana" w:cs="Times New Roman"/>
          <w:b/>
          <w:bCs/>
          <w:color w:val="000000"/>
          <w:kern w:val="2"/>
          <w14:ligatures w14:val="standardContextual"/>
        </w:rPr>
        <w:t xml:space="preserve">Sistema Integral de Preferencias en favor de las </w:t>
      </w:r>
      <w:r w:rsidRPr="00E95861">
        <w:rPr>
          <w:rFonts w:ascii="Verdana" w:eastAsia="Aptos" w:hAnsi="Verdana" w:cs="Times New Roman"/>
          <w:b/>
          <w:bCs/>
          <w:color w:val="000000"/>
          <w:kern w:val="2"/>
          <w14:ligatures w14:val="standardContextual"/>
        </w:rPr>
        <w:lastRenderedPageBreak/>
        <w:t>personas con discapacidad</w:t>
      </w:r>
      <w:r w:rsidRPr="00E95861">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95861">
        <w:rPr>
          <w:rFonts w:ascii="Verdana" w:eastAsia="Aptos" w:hAnsi="Verdana" w:cs="Times New Roman"/>
          <w:b/>
          <w:bCs/>
          <w:color w:val="000000"/>
          <w:kern w:val="2"/>
          <w14:ligatures w14:val="standardContextual"/>
        </w:rPr>
        <w:t>Circular Externa 003 del 12 de mayo de 2026, </w:t>
      </w:r>
      <w:r w:rsidRPr="00E95861">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9" w:tooltip="https://nam02.safelinks.protection.outlook.com/?url=https%3A%2F%2Fwww.colombiacompra.gov.co%2Farchivos%2Fcircular%2Fcircular-externa-003-de-2026&amp;data=05%7C02%7Ccarlos.castrillon%40colombiacompra.gov.co%7C7128555136e04fa6887d08dee99e1b50%7C7b09041e245149d08cb17" w:history="1">
        <w:r w:rsidRPr="00E95861">
          <w:rPr>
            <w:rFonts w:ascii="Verdana" w:eastAsia="Aptos" w:hAnsi="Verdana" w:cs="Times New Roman"/>
            <w:color w:val="0078D7"/>
            <w:kern w:val="2"/>
            <w:u w:val="single"/>
            <w14:ligatures w14:val="standardContextual"/>
          </w:rPr>
          <w:t>https://www.colombiacompra.gov.co/archivos/circular/circular-externa-003-de-2026</w:t>
        </w:r>
      </w:hyperlink>
    </w:p>
    <w:p w14:paraId="5F038051" w14:textId="77777777" w:rsidR="00E95861" w:rsidRPr="00E95861" w:rsidRDefault="00E95861" w:rsidP="00E95861">
      <w:pPr>
        <w:spacing w:after="0" w:line="276" w:lineRule="auto"/>
        <w:jc w:val="both"/>
        <w:rPr>
          <w:rFonts w:ascii="Verdana" w:eastAsia="Aptos" w:hAnsi="Verdana" w:cs="Times New Roman"/>
          <w:color w:val="000000"/>
          <w:kern w:val="2"/>
          <w14:ligatures w14:val="standardContextual"/>
        </w:rPr>
      </w:pPr>
    </w:p>
    <w:p w14:paraId="245E8D27" w14:textId="77777777" w:rsidR="00E95861" w:rsidRPr="00E95861" w:rsidRDefault="00E95861" w:rsidP="00E95861">
      <w:pPr>
        <w:spacing w:after="0" w:line="276" w:lineRule="auto"/>
        <w:jc w:val="both"/>
        <w:rPr>
          <w:rFonts w:ascii="Verdana" w:eastAsia="Aptos" w:hAnsi="Verdana" w:cs="Times New Roman"/>
          <w:kern w:val="2"/>
          <w14:ligatures w14:val="standardContextual"/>
        </w:rPr>
      </w:pPr>
      <w:r w:rsidRPr="00E95861">
        <w:rPr>
          <w:rFonts w:ascii="Verdana" w:eastAsia="Aptos" w:hAnsi="Verdana" w:cs="Times New Roman"/>
          <w:color w:val="000000"/>
          <w:kern w:val="2"/>
          <w14:ligatures w14:val="standardContextual"/>
        </w:rPr>
        <w:t>Recuerda también que la</w:t>
      </w:r>
      <w:r w:rsidRPr="00E95861">
        <w:rPr>
          <w:rFonts w:ascii="Verdana" w:eastAsia="Aptos" w:hAnsi="Verdana" w:cs="Times New Roman"/>
          <w:b/>
          <w:bCs/>
          <w:color w:val="000000"/>
          <w:kern w:val="2"/>
          <w14:ligatures w14:val="standardContextual"/>
        </w:rPr>
        <w:t> información sobre sanciones e inhabilidades </w:t>
      </w:r>
      <w:r w:rsidRPr="00E95861">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95861">
        <w:rPr>
          <w:rFonts w:ascii="Verdana" w:eastAsia="Aptos" w:hAnsi="Verdana" w:cs="Times New Roman"/>
          <w:b/>
          <w:bCs/>
          <w:color w:val="000000"/>
          <w:kern w:val="2"/>
          <w14:ligatures w14:val="standardContextual"/>
        </w:rPr>
        <w:t>Circular Externa 002 del 5 de mayo de 2026,</w:t>
      </w:r>
      <w:r w:rsidRPr="00E95861">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0" w:tooltip="https://nam02.safelinks.protection.outlook.com/?url=https%3A%2F%2Fwww.colombiacompra.gov.co%2Farchivos%2Fcircular%2Fcircular-externa-002-de-2026&amp;data=05%7C02%7Ccarlos.castrillon%40colombiacompra.gov.co%7C7128555136e04fa6887d08dee99e1b50%7C7b09041e245149d08cb17" w:history="1">
        <w:r w:rsidRPr="00E95861">
          <w:rPr>
            <w:rFonts w:ascii="Verdana" w:eastAsia="Aptos" w:hAnsi="Verdana" w:cs="Times New Roman"/>
            <w:color w:val="0078D7"/>
            <w:kern w:val="2"/>
            <w:u w:val="single"/>
            <w14:ligatures w14:val="standardContextual"/>
          </w:rPr>
          <w:t>https://www.colombiacompra.gov.co/archivos/circular/circular-externa-002-de-2026</w:t>
        </w:r>
      </w:hyperlink>
    </w:p>
    <w:p w14:paraId="5A59CFF5" w14:textId="77777777" w:rsidR="00E95861" w:rsidRPr="00E95861" w:rsidRDefault="00E95861" w:rsidP="00E95861">
      <w:pPr>
        <w:spacing w:after="0" w:line="276" w:lineRule="auto"/>
        <w:jc w:val="both"/>
        <w:rPr>
          <w:rFonts w:ascii="Verdana" w:eastAsia="Aptos" w:hAnsi="Verdana" w:cs="Times New Roman"/>
          <w:color w:val="000000"/>
          <w:kern w:val="2"/>
          <w14:ligatures w14:val="standardContextual"/>
        </w:rPr>
      </w:pPr>
    </w:p>
    <w:p w14:paraId="428BCC16" w14:textId="77777777" w:rsidR="00E95861" w:rsidRPr="00E95861" w:rsidRDefault="00E95861" w:rsidP="00E95861">
      <w:pPr>
        <w:spacing w:after="0" w:line="276" w:lineRule="auto"/>
        <w:jc w:val="both"/>
        <w:rPr>
          <w:rFonts w:ascii="Verdana" w:eastAsia="Aptos" w:hAnsi="Verdana" w:cs="Times New Roman"/>
          <w:color w:val="000000"/>
          <w:kern w:val="2"/>
          <w14:ligatures w14:val="standardContextual"/>
        </w:rPr>
      </w:pPr>
      <w:r w:rsidRPr="00E95861">
        <w:rPr>
          <w:rFonts w:ascii="Verdana" w:eastAsia="Aptos" w:hAnsi="Verdana" w:cs="Times New Roman"/>
          <w:color w:val="000000"/>
          <w:kern w:val="2"/>
          <w14:ligatures w14:val="standardContextual"/>
        </w:rPr>
        <w:t>Finalmente, si quieres seguir de cerca la actividad de la Agencia, la tercera edición de 2026 del</w:t>
      </w:r>
      <w:r w:rsidRPr="00E95861">
        <w:rPr>
          <w:rFonts w:ascii="Verdana" w:eastAsia="Aptos" w:hAnsi="Verdana" w:cs="Times New Roman"/>
          <w:b/>
          <w:bCs/>
          <w:color w:val="000000"/>
          <w:kern w:val="2"/>
          <w14:ligatures w14:val="standardContextual"/>
        </w:rPr>
        <w:t> Radar de la Compra Pública</w:t>
      </w:r>
      <w:r w:rsidRPr="00E95861">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1" w:tooltip="https://nam02.safelinks.protection.outlook.com/?url=https%3A%2F%2Fwww.colombiacompra.gov.co%2Farchivos%2Fboletin%2Fboletin-edicion-n-3-de-2026-radar-de-la-compra-publica&amp;data=05%7C02%7Ccarlos.castrillon%40colombiacompra.gov.co%7C7128555136e04fa6887d08dee99e1b5" w:history="1">
        <w:r w:rsidRPr="00E95861">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E95861">
        <w:rPr>
          <w:rFonts w:ascii="Verdana" w:eastAsia="Aptos" w:hAnsi="Verdana" w:cs="Times New Roman"/>
          <w:color w:val="000000"/>
          <w:kern w:val="2"/>
          <w14:ligatures w14:val="standardContextual"/>
        </w:rPr>
        <w:t>"</w:t>
      </w:r>
    </w:p>
    <w:p w14:paraId="082138EB" w14:textId="77777777" w:rsidR="00E95861" w:rsidRPr="00E95861" w:rsidRDefault="00E95861" w:rsidP="00E95861">
      <w:pPr>
        <w:spacing w:after="0" w:line="276" w:lineRule="auto"/>
        <w:jc w:val="both"/>
        <w:rPr>
          <w:rFonts w:ascii="Verdana" w:eastAsia="Aptos" w:hAnsi="Verdana" w:cs="Times New Roman"/>
          <w:color w:val="000000"/>
          <w:kern w:val="2"/>
          <w14:ligatures w14:val="standardContextual"/>
        </w:rPr>
      </w:pPr>
    </w:p>
    <w:p w14:paraId="7D914970" w14:textId="77777777" w:rsidR="00E95861" w:rsidRPr="00E95861" w:rsidRDefault="00E95861" w:rsidP="00E95861">
      <w:pPr>
        <w:spacing w:after="0" w:line="276" w:lineRule="auto"/>
        <w:jc w:val="both"/>
        <w:rPr>
          <w:rFonts w:ascii="Verdana" w:eastAsia="Aptos" w:hAnsi="Verdana" w:cs="Times New Roman"/>
          <w:kern w:val="2"/>
          <w:lang w:eastAsia="es-MX"/>
          <w14:ligatures w14:val="standardContextual"/>
        </w:rPr>
      </w:pPr>
      <w:r w:rsidRPr="00E95861">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49BB451F" w14:textId="77777777" w:rsidR="00E95861" w:rsidRPr="00E95861" w:rsidRDefault="00E95861" w:rsidP="00E95861">
      <w:pPr>
        <w:spacing w:after="0" w:line="276" w:lineRule="auto"/>
        <w:jc w:val="both"/>
        <w:rPr>
          <w:rFonts w:ascii="Verdana" w:eastAsia="Calibri" w:hAnsi="Verdana" w:cs="Times New Roman"/>
          <w:kern w:val="2"/>
          <w:lang w:eastAsia="es-MX"/>
          <w14:ligatures w14:val="standardContextual"/>
        </w:rPr>
      </w:pPr>
    </w:p>
    <w:p w14:paraId="3057A4A2" w14:textId="77777777" w:rsidR="00E95861" w:rsidRPr="00E95861" w:rsidRDefault="00E95861" w:rsidP="00E95861">
      <w:pPr>
        <w:spacing w:after="0" w:line="276" w:lineRule="auto"/>
        <w:jc w:val="both"/>
        <w:rPr>
          <w:rFonts w:ascii="Verdana" w:eastAsia="Aptos" w:hAnsi="Verdana" w:cs="Times New Roman"/>
          <w:kern w:val="2"/>
          <w:lang w:eastAsia="es-MX"/>
          <w14:ligatures w14:val="standardContextual"/>
        </w:rPr>
      </w:pPr>
      <w:r w:rsidRPr="00E95861">
        <w:rPr>
          <w:rFonts w:ascii="Verdana" w:eastAsia="Aptos" w:hAnsi="Verdana" w:cs="Times New Roman"/>
          <w:kern w:val="2"/>
          <w:lang w:eastAsia="es-MX"/>
          <w14:ligatures w14:val="standardContextual"/>
        </w:rPr>
        <w:t xml:space="preserve">Twitter: </w:t>
      </w:r>
      <w:r w:rsidRPr="00E95861">
        <w:rPr>
          <w:rFonts w:ascii="Verdana" w:eastAsia="Calibri" w:hAnsi="Verdana" w:cs="Times New Roman"/>
          <w:color w:val="156082"/>
          <w:kern w:val="2"/>
          <w:u w:val="single"/>
          <w:lang w:eastAsia="es-MX"/>
          <w14:ligatures w14:val="standardContextual"/>
        </w:rPr>
        <w:t>@colombiacompra</w:t>
      </w:r>
      <w:r w:rsidRPr="00E95861">
        <w:rPr>
          <w:rFonts w:ascii="Verdana" w:eastAsia="Calibri" w:hAnsi="Verdana" w:cs="Times New Roman"/>
          <w:color w:val="156082"/>
          <w:kern w:val="2"/>
          <w:lang w:eastAsia="es-MX"/>
          <w14:ligatures w14:val="standardContextual"/>
        </w:rPr>
        <w:t xml:space="preserve"> </w:t>
      </w:r>
    </w:p>
    <w:p w14:paraId="2D53A3AF" w14:textId="77777777" w:rsidR="00E95861" w:rsidRPr="00E95861" w:rsidRDefault="00E95861" w:rsidP="00E95861">
      <w:pPr>
        <w:spacing w:after="0" w:line="276" w:lineRule="auto"/>
        <w:jc w:val="both"/>
        <w:rPr>
          <w:rFonts w:ascii="Verdana" w:eastAsia="Aptos" w:hAnsi="Verdana" w:cs="Times New Roman"/>
          <w:kern w:val="2"/>
          <w:lang w:eastAsia="es-MX"/>
          <w14:ligatures w14:val="standardContextual"/>
        </w:rPr>
      </w:pPr>
      <w:r w:rsidRPr="00E95861">
        <w:rPr>
          <w:rFonts w:ascii="Verdana" w:eastAsia="Aptos" w:hAnsi="Verdana" w:cs="Times New Roman"/>
          <w:kern w:val="2"/>
          <w:lang w:eastAsia="es-MX"/>
          <w14:ligatures w14:val="standardContextual"/>
        </w:rPr>
        <w:t xml:space="preserve">Facebook: </w:t>
      </w:r>
      <w:proofErr w:type="spellStart"/>
      <w:r w:rsidRPr="00E95861">
        <w:rPr>
          <w:rFonts w:ascii="Verdana" w:eastAsia="Calibri" w:hAnsi="Verdana" w:cs="Times New Roman"/>
          <w:color w:val="156082"/>
          <w:kern w:val="2"/>
          <w:u w:val="single"/>
          <w:lang w:eastAsia="es-MX"/>
          <w14:ligatures w14:val="standardContextual"/>
        </w:rPr>
        <w:t>ColombiaCompraEficiente</w:t>
      </w:r>
      <w:proofErr w:type="spellEnd"/>
    </w:p>
    <w:p w14:paraId="7CBB3954" w14:textId="77777777" w:rsidR="00E95861" w:rsidRPr="00E95861" w:rsidRDefault="00E95861" w:rsidP="00E95861">
      <w:pPr>
        <w:spacing w:after="0" w:line="276" w:lineRule="auto"/>
        <w:jc w:val="both"/>
        <w:rPr>
          <w:rFonts w:ascii="Verdana" w:eastAsia="Aptos" w:hAnsi="Verdana" w:cs="Times New Roman"/>
          <w:kern w:val="2"/>
          <w:lang w:eastAsia="es-MX"/>
          <w14:ligatures w14:val="standardContextual"/>
        </w:rPr>
      </w:pPr>
      <w:r w:rsidRPr="00E95861">
        <w:rPr>
          <w:rFonts w:ascii="Verdana" w:eastAsia="Aptos" w:hAnsi="Verdana" w:cs="Times New Roman"/>
          <w:kern w:val="2"/>
          <w:lang w:eastAsia="es-MX"/>
          <w14:ligatures w14:val="standardContextual"/>
        </w:rPr>
        <w:lastRenderedPageBreak/>
        <w:t xml:space="preserve">LinkedIn: </w:t>
      </w:r>
      <w:r w:rsidRPr="00E95861">
        <w:rPr>
          <w:rFonts w:ascii="Verdana" w:eastAsia="Calibri" w:hAnsi="Verdana" w:cs="Times New Roman"/>
          <w:color w:val="156082"/>
          <w:kern w:val="2"/>
          <w:u w:val="single"/>
          <w:lang w:eastAsia="es-MX"/>
          <w14:ligatures w14:val="standardContextual"/>
        </w:rPr>
        <w:t>Agencia Nacional de Contratación Pública - Colombia Compra Eficiente</w:t>
      </w:r>
      <w:r w:rsidRPr="00E95861">
        <w:rPr>
          <w:rFonts w:ascii="Verdana" w:eastAsia="Calibri" w:hAnsi="Verdana" w:cs="Times New Roman"/>
          <w:color w:val="156082"/>
          <w:kern w:val="2"/>
          <w:lang w:eastAsia="es-MX"/>
          <w14:ligatures w14:val="standardContextual"/>
        </w:rPr>
        <w:t xml:space="preserve"> </w:t>
      </w:r>
      <w:r w:rsidRPr="00E95861">
        <w:rPr>
          <w:rFonts w:ascii="Verdana" w:eastAsia="Aptos" w:hAnsi="Verdana" w:cs="Times New Roman"/>
          <w:kern w:val="2"/>
          <w:lang w:eastAsia="es-MX"/>
          <w14:ligatures w14:val="standardContextual"/>
        </w:rPr>
        <w:t xml:space="preserve">Instagram: </w:t>
      </w:r>
      <w:r w:rsidRPr="00E95861">
        <w:rPr>
          <w:rFonts w:ascii="Verdana" w:eastAsia="Calibri" w:hAnsi="Verdana" w:cs="Times New Roman"/>
          <w:color w:val="156082"/>
          <w:kern w:val="2"/>
          <w:u w:val="single"/>
          <w:lang w:eastAsia="es-MX"/>
          <w14:ligatures w14:val="standardContextual"/>
        </w:rPr>
        <w:t>@colombiacompraeficiente_cce</w:t>
      </w:r>
    </w:p>
    <w:p w14:paraId="359333AB" w14:textId="77777777" w:rsidR="00E95861" w:rsidRPr="00E95861" w:rsidRDefault="00E95861" w:rsidP="00E95861">
      <w:pPr>
        <w:spacing w:after="0" w:line="276" w:lineRule="auto"/>
        <w:jc w:val="both"/>
        <w:rPr>
          <w:rFonts w:ascii="Verdana" w:eastAsia="Aptos" w:hAnsi="Verdana" w:cs="Times New Roman"/>
          <w:kern w:val="2"/>
          <w:lang w:eastAsia="es-MX"/>
          <w14:ligatures w14:val="standardContextual"/>
        </w:rPr>
      </w:pPr>
    </w:p>
    <w:p w14:paraId="6B31ED07" w14:textId="77777777" w:rsidR="00E95861" w:rsidRPr="00E95861" w:rsidRDefault="00E95861" w:rsidP="00E95861">
      <w:pPr>
        <w:spacing w:after="0" w:line="276" w:lineRule="auto"/>
        <w:jc w:val="both"/>
        <w:rPr>
          <w:rFonts w:ascii="Verdana" w:eastAsia="Calibri" w:hAnsi="Verdana" w:cs="Times New Roman"/>
          <w:bCs/>
          <w:kern w:val="2"/>
          <w:lang w:val="es-ES_tradnl" w:eastAsia="es-MX"/>
          <w14:ligatures w14:val="standardContextual"/>
        </w:rPr>
      </w:pPr>
      <w:r w:rsidRPr="00E95861">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55F1170" w14:textId="77777777" w:rsidR="00E95861" w:rsidRPr="00E95861" w:rsidRDefault="00E95861" w:rsidP="00E95861">
      <w:pPr>
        <w:spacing w:after="0" w:line="276" w:lineRule="auto"/>
        <w:jc w:val="both"/>
        <w:rPr>
          <w:rFonts w:ascii="Verdana" w:eastAsia="Calibri" w:hAnsi="Verdana" w:cs="Times New Roman"/>
          <w:kern w:val="2"/>
          <w:lang w:eastAsia="es-MX"/>
          <w14:ligatures w14:val="standardContextual"/>
        </w:rPr>
      </w:pPr>
    </w:p>
    <w:p w14:paraId="5B2CE51B" w14:textId="0C2C3471" w:rsidR="00E95861" w:rsidRPr="00E95861" w:rsidRDefault="00E95861" w:rsidP="00E95861">
      <w:pPr>
        <w:spacing w:after="0" w:line="276" w:lineRule="auto"/>
        <w:jc w:val="both"/>
        <w:rPr>
          <w:rFonts w:ascii="Verdana" w:eastAsia="Calibri" w:hAnsi="Verdana" w:cs="Times New Roman"/>
          <w:kern w:val="2"/>
          <w:lang w:eastAsia="es-MX"/>
          <w14:ligatures w14:val="standardContextual"/>
        </w:rPr>
      </w:pPr>
      <w:r w:rsidRPr="00E95861">
        <w:rPr>
          <w:rFonts w:ascii="Verdana" w:eastAsia="Calibri" w:hAnsi="Verdana" w:cs="Times New Roman"/>
          <w:kern w:val="2"/>
          <w:lang w:eastAsia="es-MX"/>
          <w14:ligatures w14:val="standardContextual"/>
        </w:rPr>
        <w:t>Atentamente,</w:t>
      </w:r>
    </w:p>
    <w:p w14:paraId="554C2710" w14:textId="16E4887A" w:rsidR="006E7C21" w:rsidRDefault="00D663AF" w:rsidP="00E95861">
      <w:pPr>
        <w:spacing w:after="0" w:line="278" w:lineRule="auto"/>
        <w:rPr>
          <w:rFonts w:ascii="Verdana" w:eastAsia="Calibri" w:hAnsi="Verdana" w:cs="Times New Roman"/>
          <w:kern w:val="2"/>
          <w:sz w:val="24"/>
          <w:szCs w:val="24"/>
          <w:lang w:eastAsia="es-MX"/>
          <w14:ligatures w14:val="standardContextual"/>
        </w:rPr>
      </w:pPr>
      <w:r w:rsidRPr="004A2E53">
        <w:rPr>
          <w:noProof/>
        </w:rPr>
        <w:drawing>
          <wp:anchor distT="0" distB="0" distL="114300" distR="114300" simplePos="0" relativeHeight="251659264" behindDoc="1" locked="0" layoutInCell="1" allowOverlap="1" wp14:anchorId="5FC6E1DD" wp14:editId="2E8770D9">
            <wp:simplePos x="0" y="0"/>
            <wp:positionH relativeFrom="column">
              <wp:posOffset>1927033</wp:posOffset>
            </wp:positionH>
            <wp:positionV relativeFrom="paragraph">
              <wp:posOffset>50632</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7EA9BE" w14:textId="77777777" w:rsidR="00D663AF" w:rsidRDefault="00D663AF" w:rsidP="00E95861">
      <w:pPr>
        <w:spacing w:after="0" w:line="278" w:lineRule="auto"/>
        <w:rPr>
          <w:rFonts w:ascii="Verdana" w:eastAsia="Calibri" w:hAnsi="Verdana" w:cs="Arial"/>
          <w:b/>
          <w:bCs/>
          <w:kern w:val="2"/>
          <w:lang w:val="es-ES_tradnl" w:eastAsia="es-ES"/>
          <w14:ligatures w14:val="standardContextual"/>
        </w:rPr>
      </w:pPr>
    </w:p>
    <w:p w14:paraId="7C86371C" w14:textId="77777777" w:rsidR="00D663AF" w:rsidRDefault="00D663AF" w:rsidP="00E95861">
      <w:pPr>
        <w:spacing w:after="0" w:line="278" w:lineRule="auto"/>
        <w:rPr>
          <w:rFonts w:ascii="Verdana" w:eastAsia="Calibri" w:hAnsi="Verdana" w:cs="Arial"/>
          <w:b/>
          <w:bCs/>
          <w:kern w:val="2"/>
          <w:lang w:val="es-ES_tradnl" w:eastAsia="es-ES"/>
          <w14:ligatures w14:val="standardContextual"/>
        </w:rPr>
      </w:pPr>
    </w:p>
    <w:p w14:paraId="634107EE" w14:textId="77777777" w:rsidR="00D663AF" w:rsidRDefault="00D663AF" w:rsidP="00E95861">
      <w:pPr>
        <w:spacing w:after="0" w:line="278" w:lineRule="auto"/>
        <w:rPr>
          <w:rFonts w:ascii="Verdana" w:eastAsia="Calibri" w:hAnsi="Verdana" w:cs="Arial"/>
          <w:b/>
          <w:bCs/>
          <w:kern w:val="2"/>
          <w:lang w:val="es-ES_tradnl" w:eastAsia="es-ES"/>
          <w14:ligatures w14:val="standardContextual"/>
        </w:rPr>
      </w:pPr>
    </w:p>
    <w:p w14:paraId="20B26BE5" w14:textId="77777777" w:rsidR="00E95861" w:rsidRPr="00E95861" w:rsidRDefault="00E95861" w:rsidP="00E95861">
      <w:pPr>
        <w:tabs>
          <w:tab w:val="left" w:pos="1320"/>
        </w:tabs>
        <w:spacing w:after="0"/>
        <w:rPr>
          <w:rFonts w:ascii="Verdana" w:eastAsia="Calibri" w:hAnsi="Verdana"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95861" w:rsidRPr="00E95861" w14:paraId="38BF5585" w14:textId="77777777" w:rsidTr="00173079">
        <w:trPr>
          <w:trHeight w:val="323"/>
        </w:trPr>
        <w:tc>
          <w:tcPr>
            <w:tcW w:w="1041" w:type="dxa"/>
            <w:vAlign w:val="center"/>
            <w:hideMark/>
          </w:tcPr>
          <w:p w14:paraId="77E2066E" w14:textId="77777777" w:rsidR="00E95861" w:rsidRPr="00E95861" w:rsidRDefault="00E95861" w:rsidP="00E95861">
            <w:pPr>
              <w:spacing w:line="278" w:lineRule="auto"/>
              <w:rPr>
                <w:rFonts w:ascii="Verdana" w:eastAsia="Calibri" w:hAnsi="Verdana" w:cs="Arial"/>
                <w:kern w:val="2"/>
                <w:sz w:val="16"/>
                <w:szCs w:val="16"/>
                <w:lang w:val="es-ES_tradnl" w:eastAsia="es-ES"/>
                <w14:ligatures w14:val="standardContextual"/>
              </w:rPr>
            </w:pPr>
            <w:r w:rsidRPr="00E95861">
              <w:rPr>
                <w:rFonts w:ascii="Verdana" w:eastAsia="Calibri" w:hAnsi="Verdana" w:cs="Arial"/>
                <w:kern w:val="2"/>
                <w:sz w:val="16"/>
                <w:szCs w:val="16"/>
                <w:lang w:val="es-ES_tradnl" w:eastAsia="es-ES"/>
                <w14:ligatures w14:val="standardContextual"/>
              </w:rPr>
              <w:t>Elaboró:</w:t>
            </w:r>
          </w:p>
        </w:tc>
        <w:tc>
          <w:tcPr>
            <w:tcW w:w="6561" w:type="dxa"/>
            <w:tcBorders>
              <w:top w:val="nil"/>
              <w:left w:val="nil"/>
              <w:bottom w:val="dotted" w:sz="4" w:space="0" w:color="7F7F7F"/>
              <w:right w:val="nil"/>
            </w:tcBorders>
            <w:vAlign w:val="center"/>
            <w:hideMark/>
          </w:tcPr>
          <w:p w14:paraId="351DACC9" w14:textId="77777777" w:rsidR="00E95861" w:rsidRPr="00E95861" w:rsidRDefault="00E95861" w:rsidP="00E95861">
            <w:pPr>
              <w:spacing w:line="278" w:lineRule="auto"/>
              <w:rPr>
                <w:rFonts w:ascii="Verdana" w:eastAsia="Arial" w:hAnsi="Verdana" w:cs="Arial"/>
                <w:kern w:val="2"/>
                <w:sz w:val="16"/>
                <w:szCs w:val="16"/>
                <w:lang w:val="es-ES" w:eastAsia="es-MX"/>
                <w14:ligatures w14:val="standardContextual"/>
              </w:rPr>
            </w:pPr>
            <w:r w:rsidRPr="00E95861">
              <w:rPr>
                <w:rFonts w:ascii="Verdana" w:eastAsia="Arial" w:hAnsi="Verdana" w:cs="Arial"/>
                <w:kern w:val="2"/>
                <w:sz w:val="16"/>
                <w:szCs w:val="16"/>
                <w:lang w:val="es-ES" w:eastAsia="es-MX"/>
                <w14:ligatures w14:val="standardContextual"/>
              </w:rPr>
              <w:t xml:space="preserve">Carlos Mario Castrillón Endo </w:t>
            </w:r>
          </w:p>
          <w:p w14:paraId="4E7A7A67" w14:textId="77777777" w:rsidR="00E95861" w:rsidRPr="00E95861" w:rsidRDefault="00E95861" w:rsidP="00E95861">
            <w:pPr>
              <w:spacing w:line="278" w:lineRule="auto"/>
              <w:rPr>
                <w:rFonts w:ascii="Verdana" w:eastAsia="Arial" w:hAnsi="Verdana" w:cs="Arial"/>
                <w:kern w:val="2"/>
                <w:sz w:val="16"/>
                <w:szCs w:val="16"/>
                <w:lang w:val="es-ES_tradnl" w:eastAsia="es-MX"/>
                <w14:ligatures w14:val="standardContextual"/>
              </w:rPr>
            </w:pPr>
            <w:r w:rsidRPr="00E95861">
              <w:rPr>
                <w:rFonts w:ascii="Verdana" w:eastAsia="Arial" w:hAnsi="Verdana" w:cs="Arial"/>
                <w:kern w:val="2"/>
                <w:sz w:val="16"/>
                <w:szCs w:val="16"/>
                <w:lang w:val="es-ES_tradnl" w:eastAsia="es-MX"/>
                <w14:ligatures w14:val="standardContextual"/>
              </w:rPr>
              <w:t>Contratista de la Subdirección de Gestión Contractual</w:t>
            </w:r>
          </w:p>
          <w:p w14:paraId="4BB6A406" w14:textId="77777777" w:rsidR="00E95861" w:rsidRPr="00E95861" w:rsidRDefault="00E95861" w:rsidP="00E95861">
            <w:pPr>
              <w:spacing w:line="278" w:lineRule="auto"/>
              <w:rPr>
                <w:rFonts w:ascii="Verdana" w:eastAsia="Arial" w:hAnsi="Verdana" w:cs="Arial"/>
                <w:kern w:val="2"/>
                <w:sz w:val="16"/>
                <w:szCs w:val="16"/>
                <w:lang w:val="es-ES_tradnl" w:eastAsia="es-MX"/>
                <w14:ligatures w14:val="standardContextual"/>
              </w:rPr>
            </w:pPr>
          </w:p>
        </w:tc>
      </w:tr>
      <w:tr w:rsidR="00E95861" w:rsidRPr="00E95861" w14:paraId="6F06BD28" w14:textId="77777777" w:rsidTr="00173079">
        <w:trPr>
          <w:trHeight w:val="338"/>
        </w:trPr>
        <w:tc>
          <w:tcPr>
            <w:tcW w:w="1041" w:type="dxa"/>
            <w:vAlign w:val="center"/>
            <w:hideMark/>
          </w:tcPr>
          <w:p w14:paraId="1F4092E7" w14:textId="77777777" w:rsidR="00E95861" w:rsidRPr="00E95861" w:rsidRDefault="00E95861" w:rsidP="00E95861">
            <w:pPr>
              <w:spacing w:line="278" w:lineRule="auto"/>
              <w:rPr>
                <w:rFonts w:ascii="Verdana" w:eastAsia="Calibri" w:hAnsi="Verdana" w:cs="Arial"/>
                <w:kern w:val="2"/>
                <w:sz w:val="16"/>
                <w:szCs w:val="16"/>
                <w:lang w:val="es-ES_tradnl" w:eastAsia="es-ES"/>
                <w14:ligatures w14:val="standardContextual"/>
              </w:rPr>
            </w:pPr>
            <w:r w:rsidRPr="00E95861">
              <w:rPr>
                <w:rFonts w:ascii="Verdana" w:eastAsia="Calibri" w:hAnsi="Verdana" w:cs="Arial"/>
                <w:kern w:val="2"/>
                <w:sz w:val="16"/>
                <w:szCs w:val="16"/>
                <w:lang w:val="es-ES_tradnl" w:eastAsia="es-ES"/>
                <w14:ligatures w14:val="standardContextual"/>
              </w:rPr>
              <w:t>Revisó:</w:t>
            </w:r>
          </w:p>
        </w:tc>
        <w:tc>
          <w:tcPr>
            <w:tcW w:w="6561" w:type="dxa"/>
            <w:tcBorders>
              <w:top w:val="dotted" w:sz="4" w:space="0" w:color="7F7F7F"/>
              <w:left w:val="nil"/>
              <w:bottom w:val="dotted" w:sz="4" w:space="0" w:color="7F7F7F"/>
              <w:right w:val="nil"/>
            </w:tcBorders>
            <w:vAlign w:val="center"/>
            <w:hideMark/>
          </w:tcPr>
          <w:p w14:paraId="0B507B9E" w14:textId="77777777" w:rsidR="00E95861" w:rsidRPr="00E95861" w:rsidRDefault="00E95861" w:rsidP="00E95861">
            <w:pPr>
              <w:spacing w:line="278" w:lineRule="auto"/>
              <w:rPr>
                <w:rFonts w:ascii="Verdana" w:eastAsia="Arial" w:hAnsi="Verdana" w:cs="Arial"/>
                <w:kern w:val="2"/>
                <w:sz w:val="16"/>
                <w:szCs w:val="16"/>
                <w:lang w:val="es-ES_tradnl" w:eastAsia="es-MX"/>
                <w14:ligatures w14:val="standardContextual"/>
              </w:rPr>
            </w:pPr>
            <w:r w:rsidRPr="00E95861">
              <w:rPr>
                <w:rFonts w:ascii="Verdana" w:eastAsia="Arial" w:hAnsi="Verdana" w:cs="Arial"/>
                <w:kern w:val="2"/>
                <w:sz w:val="16"/>
                <w:szCs w:val="16"/>
                <w:lang w:val="es-ES_tradnl" w:eastAsia="es-MX"/>
                <w14:ligatures w14:val="standardContextual"/>
              </w:rPr>
              <w:t xml:space="preserve">Juan David Cárdenas Cabezas </w:t>
            </w:r>
          </w:p>
          <w:p w14:paraId="29A30BC1" w14:textId="77777777" w:rsidR="00E95861" w:rsidRPr="00E95861" w:rsidRDefault="00E95861" w:rsidP="00E95861">
            <w:pPr>
              <w:spacing w:line="278" w:lineRule="auto"/>
              <w:rPr>
                <w:rFonts w:ascii="Verdana" w:eastAsia="Arial" w:hAnsi="Verdana" w:cs="Arial"/>
                <w:kern w:val="2"/>
                <w:sz w:val="16"/>
                <w:szCs w:val="16"/>
                <w:lang w:val="es-ES" w:eastAsia="es-MX"/>
                <w14:ligatures w14:val="standardContextual"/>
              </w:rPr>
            </w:pPr>
            <w:r w:rsidRPr="00E95861">
              <w:rPr>
                <w:rFonts w:ascii="Verdana" w:eastAsia="Arial" w:hAnsi="Verdana" w:cs="Arial"/>
                <w:kern w:val="2"/>
                <w:sz w:val="16"/>
                <w:szCs w:val="16"/>
                <w:lang w:val="es-ES_tradnl" w:eastAsia="es-MX"/>
                <w14:ligatures w14:val="standardContextual"/>
              </w:rPr>
              <w:t>Contratista de la Subdirección de Gestión Contractual</w:t>
            </w:r>
          </w:p>
        </w:tc>
      </w:tr>
      <w:tr w:rsidR="00E95861" w:rsidRPr="00E95861" w14:paraId="4544A779" w14:textId="77777777" w:rsidTr="00173079">
        <w:trPr>
          <w:trHeight w:val="308"/>
        </w:trPr>
        <w:tc>
          <w:tcPr>
            <w:tcW w:w="1041" w:type="dxa"/>
            <w:vAlign w:val="center"/>
          </w:tcPr>
          <w:p w14:paraId="7093A3C2" w14:textId="77777777" w:rsidR="00E95861" w:rsidRPr="00E95861" w:rsidRDefault="00E95861" w:rsidP="00E95861">
            <w:pPr>
              <w:spacing w:line="278" w:lineRule="auto"/>
              <w:rPr>
                <w:rFonts w:ascii="Verdana" w:eastAsia="Calibri" w:hAnsi="Verdana" w:cs="Arial"/>
                <w:kern w:val="2"/>
                <w:sz w:val="16"/>
                <w:szCs w:val="16"/>
                <w:lang w:val="es-ES_tradnl" w:eastAsia="es-ES"/>
                <w14:ligatures w14:val="standardContextual"/>
              </w:rPr>
            </w:pPr>
            <w:r w:rsidRPr="00E95861">
              <w:rPr>
                <w:rFonts w:ascii="Verdana" w:eastAsia="Calibri" w:hAnsi="Verdana" w:cs="Arial"/>
                <w:kern w:val="2"/>
                <w:sz w:val="16"/>
                <w:szCs w:val="16"/>
                <w:lang w:val="es-ES_tradnl" w:eastAsia="es-ES"/>
                <w14:ligatures w14:val="standardContextual"/>
              </w:rPr>
              <w:t>Aprobó:</w:t>
            </w:r>
          </w:p>
        </w:tc>
        <w:tc>
          <w:tcPr>
            <w:tcW w:w="6561" w:type="dxa"/>
            <w:tcBorders>
              <w:top w:val="dotted" w:sz="4" w:space="0" w:color="7F7F7F"/>
              <w:left w:val="nil"/>
              <w:bottom w:val="dotted" w:sz="4" w:space="0" w:color="7F7F7F"/>
              <w:right w:val="nil"/>
            </w:tcBorders>
            <w:vAlign w:val="center"/>
          </w:tcPr>
          <w:p w14:paraId="6AFE4FD2" w14:textId="77777777" w:rsidR="00E95861" w:rsidRPr="00E95861" w:rsidRDefault="00E95861" w:rsidP="00E95861">
            <w:pPr>
              <w:spacing w:line="278" w:lineRule="auto"/>
              <w:rPr>
                <w:rFonts w:ascii="Verdana" w:eastAsia="Calibri" w:hAnsi="Verdana" w:cs="Arial"/>
                <w:kern w:val="2"/>
                <w:sz w:val="16"/>
                <w:szCs w:val="16"/>
                <w:lang w:val="es-ES_tradnl" w:eastAsia="es-ES"/>
                <w14:ligatures w14:val="standardContextual"/>
              </w:rPr>
            </w:pPr>
            <w:r w:rsidRPr="00E95861">
              <w:rPr>
                <w:rFonts w:ascii="Verdana" w:eastAsia="Calibri" w:hAnsi="Verdana" w:cs="Arial"/>
                <w:kern w:val="2"/>
                <w:sz w:val="16"/>
                <w:szCs w:val="16"/>
                <w:lang w:val="es-ES_tradnl" w:eastAsia="es-ES"/>
                <w14:ligatures w14:val="standardContextual"/>
              </w:rPr>
              <w:t>William Javier Murcia Acevedo</w:t>
            </w:r>
          </w:p>
          <w:p w14:paraId="39491F5B" w14:textId="77777777" w:rsidR="00E95861" w:rsidRPr="00E95861" w:rsidRDefault="00E95861" w:rsidP="00E95861">
            <w:pPr>
              <w:spacing w:line="278" w:lineRule="auto"/>
              <w:rPr>
                <w:rFonts w:ascii="Verdana" w:eastAsia="Calibri" w:hAnsi="Verdana" w:cs="Arial"/>
                <w:kern w:val="2"/>
                <w:sz w:val="16"/>
                <w:szCs w:val="16"/>
                <w:lang w:val="es-ES_tradnl" w:eastAsia="es-ES"/>
                <w14:ligatures w14:val="standardContextual"/>
              </w:rPr>
            </w:pPr>
            <w:r w:rsidRPr="00E95861">
              <w:rPr>
                <w:rFonts w:ascii="Verdana" w:eastAsia="Calibri" w:hAnsi="Verdana" w:cs="Arial"/>
                <w:kern w:val="2"/>
                <w:sz w:val="16"/>
                <w:szCs w:val="16"/>
                <w:lang w:val="es-ES_tradnl" w:eastAsia="es-ES"/>
                <w14:ligatures w14:val="standardContextual"/>
              </w:rPr>
              <w:t>Subdirector de Gestión Contractual (E) ANCP-CCE</w:t>
            </w:r>
          </w:p>
        </w:tc>
      </w:tr>
      <w:bookmarkEnd w:id="1"/>
    </w:tbl>
    <w:p w14:paraId="0F293BF4" w14:textId="2CC31DAF" w:rsidR="00127233" w:rsidRPr="005D6C28" w:rsidRDefault="00127233" w:rsidP="005D6C28"/>
    <w:sectPr w:rsidR="00127233" w:rsidRPr="005D6C28"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F62A5" w14:textId="77777777" w:rsidR="004F61AC" w:rsidRDefault="004F61AC" w:rsidP="004A1847">
      <w:pPr>
        <w:spacing w:after="0" w:line="240" w:lineRule="auto"/>
      </w:pPr>
      <w:r>
        <w:separator/>
      </w:r>
    </w:p>
  </w:endnote>
  <w:endnote w:type="continuationSeparator" w:id="0">
    <w:p w14:paraId="1351998F" w14:textId="77777777" w:rsidR="004F61AC" w:rsidRDefault="004F61A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E95861">
      <w:rPr>
        <w:rFonts w:ascii="Verdana" w:eastAsia="Verdana" w:hAnsi="Verdana" w:cs="Verdana"/>
        <w:b/>
        <w:bCs/>
        <w:color w:val="000000"/>
        <w:sz w:val="18"/>
        <w:szCs w:val="18"/>
        <w:lang w:eastAsia="es-CO"/>
      </w:rPr>
      <w:t xml:space="preserve">Código: </w:t>
    </w:r>
    <w:r w:rsidRPr="00E95861">
      <w:rPr>
        <w:rFonts w:ascii="Verdana" w:eastAsia="Verdana" w:hAnsi="Verdana" w:cs="Verdana"/>
        <w:color w:val="000000"/>
        <w:sz w:val="18"/>
        <w:szCs w:val="18"/>
        <w:lang w:eastAsia="es-CO"/>
      </w:rPr>
      <w:t xml:space="preserve">CCE-REC-FM-17 </w:t>
    </w:r>
    <w:r w:rsidRPr="00E9586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ADE0" w14:textId="77777777" w:rsidR="004F61AC" w:rsidRDefault="004F61AC" w:rsidP="004A1847">
      <w:pPr>
        <w:spacing w:after="0" w:line="240" w:lineRule="auto"/>
      </w:pPr>
      <w:r>
        <w:separator/>
      </w:r>
    </w:p>
  </w:footnote>
  <w:footnote w:type="continuationSeparator" w:id="0">
    <w:p w14:paraId="7264C8E1" w14:textId="77777777" w:rsidR="004F61AC" w:rsidRDefault="004F61AC" w:rsidP="004A1847">
      <w:pPr>
        <w:spacing w:after="0" w:line="240" w:lineRule="auto"/>
      </w:pPr>
      <w:r>
        <w:continuationSeparator/>
      </w:r>
    </w:p>
  </w:footnote>
  <w:footnote w:id="1">
    <w:p w14:paraId="0530F528" w14:textId="77777777" w:rsidR="00E95861" w:rsidRPr="00694ED3" w:rsidRDefault="00E95861" w:rsidP="00E95861">
      <w:pPr>
        <w:spacing w:after="120" w:line="240" w:lineRule="auto"/>
        <w:ind w:right="49" w:firstLine="709"/>
        <w:jc w:val="both"/>
        <w:rPr>
          <w:rFonts w:ascii="Verdana" w:hAnsi="Verdana" w:cs="Arial"/>
          <w:color w:val="000000"/>
          <w:sz w:val="18"/>
          <w:szCs w:val="18"/>
        </w:rPr>
      </w:pPr>
      <w:r w:rsidRPr="00694ED3">
        <w:rPr>
          <w:rStyle w:val="Refdenotaalpie"/>
          <w:rFonts w:ascii="Verdana" w:hAnsi="Verdana" w:cs="Arial"/>
          <w:color w:val="000000"/>
          <w:sz w:val="18"/>
          <w:szCs w:val="18"/>
        </w:rPr>
        <w:footnoteRef/>
      </w:r>
      <w:r w:rsidRPr="00694ED3">
        <w:rPr>
          <w:rFonts w:ascii="Verdana" w:hAnsi="Verdana" w:cs="Arial"/>
          <w:color w:val="000000"/>
          <w:sz w:val="18"/>
          <w:szCs w:val="18"/>
        </w:rPr>
        <w:t xml:space="preserve"> Corte Constitucional. Sentencia C-697 del 14 de junio de 2000. M.P: Eduardo Cifuentes Muñoz.</w:t>
      </w:r>
    </w:p>
    <w:p w14:paraId="4239A718" w14:textId="77777777" w:rsidR="00E95861" w:rsidRPr="00694ED3" w:rsidRDefault="00E95861" w:rsidP="00E95861">
      <w:pPr>
        <w:pStyle w:val="Textonotapie"/>
        <w:spacing w:after="120"/>
        <w:ind w:right="49" w:firstLine="709"/>
        <w:jc w:val="both"/>
        <w:rPr>
          <w:rFonts w:ascii="Verdana" w:hAnsi="Verdana" w:cs="Arial"/>
          <w:color w:val="000000"/>
          <w:sz w:val="18"/>
          <w:szCs w:val="18"/>
          <w:lang w:val="es-CO"/>
        </w:rPr>
      </w:pPr>
    </w:p>
  </w:footnote>
  <w:footnote w:id="2">
    <w:p w14:paraId="38CC19F6"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w:t>
      </w:r>
      <w:r w:rsidRPr="00694ED3">
        <w:rPr>
          <w:rFonts w:ascii="Verdana" w:eastAsia="Arial" w:hAnsi="Verdana" w:cs="Arial"/>
          <w:sz w:val="18"/>
          <w:szCs w:val="18"/>
        </w:rPr>
        <w:t xml:space="preserve">Consejo Profesional Nacional de Ingeniería – COPNIA. Concepto 724 de 2013. </w:t>
      </w:r>
      <w:r w:rsidRPr="00694ED3">
        <w:rPr>
          <w:rFonts w:ascii="Verdana" w:hAnsi="Verdana"/>
          <w:sz w:val="18"/>
          <w:szCs w:val="18"/>
        </w:rPr>
        <w:t xml:space="preserve">Disponible en el siguiente enlace: </w:t>
      </w:r>
      <w:hyperlink r:id="rId1" w:history="1">
        <w:r w:rsidRPr="00694ED3">
          <w:rPr>
            <w:rStyle w:val="Hipervnculo"/>
            <w:rFonts w:ascii="Verdana" w:hAnsi="Verdana"/>
            <w:sz w:val="18"/>
            <w:szCs w:val="18"/>
          </w:rPr>
          <w:t>https://relatoria.copnia.gov.co/docs/compilacion/docs/concepto_copnia_0000724_2013.htm</w:t>
        </w:r>
      </w:hyperlink>
      <w:r w:rsidRPr="00694ED3">
        <w:rPr>
          <w:rFonts w:ascii="Verdana" w:hAnsi="Verdana"/>
          <w:sz w:val="18"/>
          <w:szCs w:val="18"/>
        </w:rPr>
        <w:t xml:space="preserve"> </w:t>
      </w:r>
    </w:p>
  </w:footnote>
  <w:footnote w:id="3">
    <w:p w14:paraId="090CCED5"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eastAsia="Arial" w:hAnsi="Verdana" w:cs="Arial"/>
          <w:sz w:val="18"/>
          <w:szCs w:val="18"/>
        </w:rPr>
        <w:t>Consejo Profesional Nacional de Ingeniería – COPNIA. Concepto 56 de 2017, respuesta al radicado E2017WEB00115566 del 22 de junio de 2017. Asunto: ejercicio ilegal de la profesión, procedimiento de denuncia y sanciones.</w:t>
      </w:r>
    </w:p>
  </w:footnote>
  <w:footnote w:id="4">
    <w:p w14:paraId="4B677A66"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eastAsia="Arial" w:hAnsi="Verdana" w:cs="Arial"/>
          <w:sz w:val="18"/>
          <w:szCs w:val="18"/>
        </w:rPr>
        <w:t xml:space="preserve">El concepto remite al artículo 34, literal a), de la Ley 842 de 2003, según el </w:t>
      </w:r>
      <w:proofErr w:type="gramStart"/>
      <w:r w:rsidRPr="00694ED3">
        <w:rPr>
          <w:rFonts w:ascii="Verdana" w:eastAsia="Arial" w:hAnsi="Verdana" w:cs="Arial"/>
          <w:sz w:val="18"/>
          <w:szCs w:val="18"/>
        </w:rPr>
        <w:t>cual</w:t>
      </w:r>
      <w:proofErr w:type="gramEnd"/>
      <w:r w:rsidRPr="00694ED3">
        <w:rPr>
          <w:rFonts w:ascii="Verdana" w:eastAsia="Arial" w:hAnsi="Verdana" w:cs="Arial"/>
          <w:sz w:val="18"/>
          <w:szCs w:val="18"/>
        </w:rPr>
        <w:t xml:space="preserve"> a los ingenieros, a los profesionales afines y a los profesionales auxiliares les está prohibido aceptar tareas que excedan la incumbencia que les otorga el título profesional o su propia preparación.</w:t>
      </w:r>
    </w:p>
  </w:footnote>
  <w:footnote w:id="5">
    <w:p w14:paraId="5BCF7DA9"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eastAsia="Arial" w:hAnsi="Verdana" w:cs="Arial"/>
          <w:sz w:val="18"/>
          <w:szCs w:val="18"/>
        </w:rPr>
        <w:t>Consejo Profesional Nacional de Ingeniería – COPNIA. Concepto 56 de 2017.</w:t>
      </w:r>
    </w:p>
  </w:footnote>
  <w:footnote w:id="6">
    <w:p w14:paraId="421497BB" w14:textId="77777777" w:rsidR="00E95861" w:rsidRPr="00694ED3" w:rsidRDefault="00E95861" w:rsidP="00E95861">
      <w:pPr>
        <w:pStyle w:val="Textonotapie"/>
        <w:spacing w:after="120"/>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w:t>
      </w:r>
      <w:r w:rsidRPr="00694ED3">
        <w:rPr>
          <w:rFonts w:ascii="Verdana" w:hAnsi="Verdana" w:cs="Arial"/>
          <w:color w:val="000000"/>
          <w:sz w:val="18"/>
          <w:szCs w:val="18"/>
        </w:rPr>
        <w:t xml:space="preserve">Corte Constitucional. Sentencia C-191 de 2005: </w:t>
      </w:r>
      <w:r w:rsidRPr="00694ED3">
        <w:rPr>
          <w:rFonts w:ascii="Verdana" w:hAnsi="Verdana"/>
          <w:sz w:val="18"/>
          <w:szCs w:val="18"/>
        </w:rPr>
        <w:t xml:space="preserve">“Con relación al artículo 18 de la Ley 842 de 2003, el demandante sostiene que al establecer esta norma que ‘todo trabajo relacionado con el ejercicio de la ingeniería deberá ser dirigido por un ingeniero’, incluyendo allí las labores de arquitectura en materia de diseño arquitectónico y construcción, genera una doble consecuencia. “De un lado, que la labor del arquitecto en cuanto a diseñador del espacio habitable u </w:t>
      </w:r>
      <w:proofErr w:type="spellStart"/>
      <w:r w:rsidRPr="00694ED3">
        <w:rPr>
          <w:rFonts w:ascii="Verdana" w:hAnsi="Verdana"/>
          <w:sz w:val="18"/>
          <w:szCs w:val="18"/>
        </w:rPr>
        <w:t>ocupable</w:t>
      </w:r>
      <w:proofErr w:type="spellEnd"/>
      <w:r w:rsidRPr="00694ED3">
        <w:rPr>
          <w:rFonts w:ascii="Verdana" w:hAnsi="Verdana"/>
          <w:sz w:val="18"/>
          <w:szCs w:val="18"/>
        </w:rPr>
        <w:t xml:space="preserve"> por el ser humano queda subordinada a la dirección de un ingeniero (que no tiene formación en dicho campo), y del otro, que se impide a los arquitectos la dirección de obras de construcción que les fueron autorizadas por la Ley 400 de 1997, que consideró que la formación académica de éstos resultaba suficiente para conjurar el riesgo social derivado de la estabilidad de ciertas construcciones.”</w:t>
      </w:r>
    </w:p>
    <w:p w14:paraId="2B0DCAE2" w14:textId="77777777" w:rsidR="00E95861" w:rsidRPr="00694ED3" w:rsidRDefault="00E95861" w:rsidP="00E95861">
      <w:pPr>
        <w:pStyle w:val="Textonotapie"/>
        <w:spacing w:after="120"/>
        <w:ind w:firstLine="709"/>
        <w:jc w:val="both"/>
        <w:rPr>
          <w:rFonts w:ascii="Verdana" w:hAnsi="Verdana"/>
          <w:sz w:val="18"/>
          <w:szCs w:val="18"/>
          <w:lang w:val="es-ES_tradnl"/>
        </w:rPr>
      </w:pPr>
      <w:r w:rsidRPr="00694ED3">
        <w:rPr>
          <w:rFonts w:ascii="Verdana" w:hAnsi="Verdana"/>
          <w:sz w:val="18"/>
          <w:szCs w:val="18"/>
        </w:rPr>
        <w:t xml:space="preserve">A juicio de la demanda, “(…) el legislador en el artículo 18 demandado, al radicar en los ingenieros (quienes carecen de formación en el arte de diseñar y crear espacios) la dirección de los trabajos de diseño del </w:t>
      </w:r>
      <w:proofErr w:type="gramStart"/>
      <w:r w:rsidRPr="00694ED3">
        <w:rPr>
          <w:rFonts w:ascii="Verdana" w:hAnsi="Verdana"/>
          <w:sz w:val="18"/>
          <w:szCs w:val="18"/>
        </w:rPr>
        <w:t>espacio,</w:t>
      </w:r>
      <w:proofErr w:type="gramEnd"/>
      <w:r w:rsidRPr="00694ED3">
        <w:rPr>
          <w:rFonts w:ascii="Verdana" w:hAnsi="Verdana"/>
          <w:sz w:val="18"/>
          <w:szCs w:val="18"/>
        </w:rPr>
        <w:t xml:space="preserve"> vulnera los artículos 2, 51 y 79 de la Carta, por cuanto el buen diseño del espacio habitable u </w:t>
      </w:r>
      <w:proofErr w:type="spellStart"/>
      <w:r w:rsidRPr="00694ED3">
        <w:rPr>
          <w:rFonts w:ascii="Verdana" w:hAnsi="Verdana"/>
          <w:sz w:val="18"/>
          <w:szCs w:val="18"/>
        </w:rPr>
        <w:t>ocupable</w:t>
      </w:r>
      <w:proofErr w:type="spellEnd"/>
      <w:r w:rsidRPr="00694ED3">
        <w:rPr>
          <w:rFonts w:ascii="Verdana" w:hAnsi="Verdana"/>
          <w:sz w:val="18"/>
          <w:szCs w:val="18"/>
        </w:rPr>
        <w:t xml:space="preserve"> por el ser humano, constituye un componente esencial de un ambiente sano.” Además, considera que “(…) privar a los arquitectos del derecho a dirigir construcciones dentro de los parámetros establecidos en la Ley 400 de 1997, derecho que se repite, les fue reconocido en la medida en que su formación académica es suficiente para conjurar el riesgo social derivado de la estabilidad de ciertas construcciones, el legislador vulnera el derecho al trabajo de los arquitectos establecido en el artículo 25 de la Carta, y excede la facultad que le confiere el artículo 26 </w:t>
      </w:r>
      <w:proofErr w:type="spellStart"/>
      <w:r w:rsidRPr="00694ED3">
        <w:rPr>
          <w:rFonts w:ascii="Verdana" w:hAnsi="Verdana"/>
          <w:sz w:val="18"/>
          <w:szCs w:val="18"/>
        </w:rPr>
        <w:t>Ibídem</w:t>
      </w:r>
      <w:proofErr w:type="spellEnd"/>
      <w:r w:rsidRPr="00694ED3">
        <w:rPr>
          <w:rFonts w:ascii="Verdana" w:hAnsi="Verdana"/>
          <w:sz w:val="18"/>
          <w:szCs w:val="18"/>
        </w:rPr>
        <w:t xml:space="preserve"> para intervenir las profesiones, en la medida en que el límite racional de dicha facultad lo constituye ni más ni menos el interés general, interés que en nada se vulnera al permitir a los arquitectos dirigir obras de construcción (…)”. </w:t>
      </w:r>
    </w:p>
  </w:footnote>
  <w:footnote w:id="7">
    <w:p w14:paraId="4B2D13CC"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Corte Constitucional, Sentencia C-191 de 2005, M.P. Manuel José Cepeda Espinosa, consideración 4.3.1.</w:t>
      </w:r>
    </w:p>
  </w:footnote>
  <w:footnote w:id="8">
    <w:p w14:paraId="1B5D4ED4"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694ED3">
        <w:rPr>
          <w:rFonts w:ascii="Verdana" w:hAnsi="Verdana"/>
          <w:sz w:val="18"/>
          <w:szCs w:val="18"/>
        </w:rPr>
        <w:t>Copnia</w:t>
      </w:r>
      <w:proofErr w:type="spellEnd"/>
      <w:r w:rsidRPr="00694ED3">
        <w:rPr>
          <w:rFonts w:ascii="Verdana" w:hAnsi="Verdana"/>
          <w:sz w:val="18"/>
          <w:szCs w:val="18"/>
        </w:rPr>
        <w:t>, lo cual se acreditará con la presentación de la tarjeta o documento adoptado por este para tal fin”.</w:t>
      </w:r>
    </w:p>
  </w:footnote>
  <w:footnote w:id="9">
    <w:p w14:paraId="65A5ED0F"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proofErr w:type="spellStart"/>
      <w:r w:rsidRPr="00694ED3">
        <w:rPr>
          <w:rFonts w:ascii="Verdana" w:hAnsi="Verdana"/>
          <w:sz w:val="18"/>
          <w:szCs w:val="18"/>
        </w:rPr>
        <w:t>Ibíd</w:t>
      </w:r>
      <w:proofErr w:type="spellEnd"/>
      <w:r w:rsidRPr="00694ED3">
        <w:rPr>
          <w:rFonts w:ascii="Verdana" w:hAnsi="Verdana"/>
          <w:sz w:val="18"/>
          <w:szCs w:val="18"/>
        </w:rPr>
        <w:t>., consideración 4.2.2.</w:t>
      </w:r>
    </w:p>
  </w:footnote>
  <w:footnote w:id="10">
    <w:p w14:paraId="298454AF"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proofErr w:type="spellStart"/>
      <w:r w:rsidRPr="00694ED3">
        <w:rPr>
          <w:rFonts w:ascii="Verdana" w:hAnsi="Verdana"/>
          <w:sz w:val="18"/>
          <w:szCs w:val="18"/>
        </w:rPr>
        <w:t>Ibíd</w:t>
      </w:r>
      <w:proofErr w:type="spellEnd"/>
      <w:r w:rsidRPr="00694ED3">
        <w:rPr>
          <w:rFonts w:ascii="Verdana" w:hAnsi="Verdana"/>
          <w:sz w:val="18"/>
          <w:szCs w:val="18"/>
        </w:rPr>
        <w:t>., consideración 4.2.3.</w:t>
      </w:r>
    </w:p>
  </w:footnote>
  <w:footnote w:id="11">
    <w:p w14:paraId="54B17731"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proofErr w:type="spellStart"/>
      <w:r w:rsidRPr="00694ED3">
        <w:rPr>
          <w:rFonts w:ascii="Verdana" w:hAnsi="Verdana"/>
          <w:sz w:val="18"/>
          <w:szCs w:val="18"/>
        </w:rPr>
        <w:t>Ibíd</w:t>
      </w:r>
      <w:proofErr w:type="spellEnd"/>
      <w:r w:rsidRPr="00694ED3">
        <w:rPr>
          <w:rFonts w:ascii="Verdana" w:hAnsi="Verdana"/>
          <w:sz w:val="18"/>
          <w:szCs w:val="18"/>
        </w:rPr>
        <w:t>., numeral segundo de la parte resolutiva.</w:t>
      </w:r>
    </w:p>
  </w:footnote>
  <w:footnote w:id="12">
    <w:p w14:paraId="373686CA"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proofErr w:type="spellStart"/>
      <w:r w:rsidRPr="00694ED3">
        <w:rPr>
          <w:rFonts w:ascii="Verdana" w:hAnsi="Verdana"/>
          <w:sz w:val="18"/>
          <w:szCs w:val="18"/>
        </w:rPr>
        <w:t>Ibíd</w:t>
      </w:r>
      <w:proofErr w:type="spellEnd"/>
      <w:r w:rsidRPr="00694ED3">
        <w:rPr>
          <w:rFonts w:ascii="Verdana" w:hAnsi="Verdana"/>
          <w:sz w:val="18"/>
          <w:szCs w:val="18"/>
        </w:rPr>
        <w:t>., consideración 4.2.4.</w:t>
      </w:r>
    </w:p>
  </w:footnote>
  <w:footnote w:id="13">
    <w:p w14:paraId="41DDD41E" w14:textId="77777777" w:rsidR="00E95861" w:rsidRPr="00694ED3" w:rsidRDefault="00E95861" w:rsidP="00E95861">
      <w:pPr>
        <w:spacing w:after="120" w:line="240" w:lineRule="auto"/>
        <w:ind w:firstLine="709"/>
        <w:jc w:val="both"/>
        <w:rPr>
          <w:rFonts w:ascii="Verdana" w:hAnsi="Verdana"/>
          <w:sz w:val="18"/>
          <w:szCs w:val="18"/>
        </w:rPr>
      </w:pPr>
      <w:r w:rsidRPr="00694ED3">
        <w:rPr>
          <w:rStyle w:val="Refdenotaalpie"/>
          <w:rFonts w:ascii="Verdana" w:hAnsi="Verdana"/>
          <w:sz w:val="18"/>
          <w:szCs w:val="18"/>
        </w:rPr>
        <w:footnoteRef/>
      </w:r>
      <w:proofErr w:type="spellStart"/>
      <w:r w:rsidRPr="00694ED3">
        <w:rPr>
          <w:rFonts w:ascii="Verdana" w:hAnsi="Verdana"/>
          <w:sz w:val="18"/>
          <w:szCs w:val="18"/>
        </w:rPr>
        <w:t>Ibíd</w:t>
      </w:r>
      <w:proofErr w:type="spellEnd"/>
      <w:r w:rsidRPr="00694ED3">
        <w:rPr>
          <w:rFonts w:ascii="Verdana" w:hAnsi="Verdana"/>
          <w:sz w:val="18"/>
          <w:szCs w:val="18"/>
        </w:rPr>
        <w:t>., consideración 4.2.6.</w:t>
      </w:r>
    </w:p>
  </w:footnote>
  <w:footnote w:id="14">
    <w:p w14:paraId="761F497A"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Instituto Nacional de Vías – INVIAS. Manual de Interventoría Obra Pública, código MSE-MN-01, versión 2, numeral 7.4, ítems 8 y 41.</w:t>
      </w:r>
    </w:p>
  </w:footnote>
  <w:footnote w:id="15">
    <w:p w14:paraId="2952D192"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Ley 400 de 1997, artículo 4, numeral 9, modificado por el artículo 1 de la Ley 1229 de 2008.</w:t>
      </w:r>
    </w:p>
  </w:footnote>
  <w:footnote w:id="16">
    <w:p w14:paraId="693E9871"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Ley 400 de 1997, artículo 33, modificado por el artículo 5 de la Ley 1229 de 2008. El artículo 34 de la misma ley exige al director de construcción una experiencia mayor de tres (3) años de ejercicio profesional.</w:t>
      </w:r>
    </w:p>
  </w:footnote>
  <w:footnote w:id="17">
    <w:p w14:paraId="216B0F0E"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Ley 400 de 1997, artículos 3 y 4, numeral 14.</w:t>
      </w:r>
    </w:p>
  </w:footnote>
  <w:footnote w:id="18">
    <w:p w14:paraId="232D440F" w14:textId="77777777" w:rsidR="00E95861" w:rsidRPr="00694ED3" w:rsidRDefault="00E95861" w:rsidP="00E95861">
      <w:pPr>
        <w:spacing w:after="120" w:line="240" w:lineRule="auto"/>
        <w:ind w:right="49" w:firstLine="709"/>
        <w:jc w:val="both"/>
        <w:rPr>
          <w:rFonts w:ascii="Verdana" w:hAnsi="Verdana"/>
          <w:sz w:val="18"/>
          <w:szCs w:val="18"/>
        </w:rPr>
      </w:pPr>
      <w:r w:rsidRPr="00694ED3">
        <w:rPr>
          <w:rStyle w:val="Refdenotaalpie"/>
          <w:rFonts w:ascii="Verdana" w:hAnsi="Verdana"/>
          <w:sz w:val="18"/>
          <w:szCs w:val="18"/>
        </w:rPr>
        <w:footnoteRef/>
      </w:r>
      <w:r w:rsidRPr="00694ED3">
        <w:rPr>
          <w:rFonts w:ascii="Verdana" w:hAnsi="Verdana"/>
          <w:sz w:val="18"/>
          <w:szCs w:val="18"/>
        </w:rPr>
        <w:t xml:space="preserve"> Consejo Profesional Nacional de Ingeniería – COPNIA. Concepto 56 de 2017. El Consejo se apoya en el numeral 2 del artículo 1 del Convenio 111 de la OIT, aprobado por la Ley 22 de 1967, según el cual las distinciones basadas en las calificaciones exigidas para un empleo determinado no se consideran discriminación.</w:t>
      </w:r>
    </w:p>
  </w:footnote>
  <w:footnote w:id="19">
    <w:p w14:paraId="1A98C13A" w14:textId="77777777" w:rsidR="00E95861" w:rsidRPr="004B13AC" w:rsidRDefault="00E95861" w:rsidP="00E95861">
      <w:pPr>
        <w:pStyle w:val="Textonotapie"/>
        <w:ind w:firstLine="709"/>
        <w:rPr>
          <w:rFonts w:ascii="Verdana" w:hAnsi="Verdana"/>
          <w:sz w:val="18"/>
          <w:szCs w:val="18"/>
          <w:lang w:val="es-ES_tradnl"/>
        </w:rPr>
      </w:pPr>
      <w:r w:rsidRPr="004B13AC">
        <w:rPr>
          <w:rStyle w:val="Refdenotaalpie"/>
          <w:rFonts w:ascii="Verdana" w:hAnsi="Verdana"/>
          <w:sz w:val="18"/>
          <w:szCs w:val="18"/>
        </w:rPr>
        <w:footnoteRef/>
      </w:r>
      <w:r w:rsidRPr="004B13AC">
        <w:rPr>
          <w:rFonts w:ascii="Verdana" w:hAnsi="Verdana"/>
          <w:sz w:val="18"/>
          <w:szCs w:val="18"/>
        </w:rPr>
        <w:t xml:space="preserve"> </w:t>
      </w:r>
      <w:r w:rsidRPr="00694ED3">
        <w:rPr>
          <w:rFonts w:ascii="Verdana" w:eastAsia="Verdana" w:hAnsi="Verdana" w:cs="Verdana"/>
          <w:sz w:val="18"/>
          <w:szCs w:val="18"/>
        </w:rPr>
        <w:t>Ley 1150 de 2007, artículo 5, numeral 1. Aunque la norma se refiere a los requisitos habilitantes, y el personal del Anexo Técnico se verifica después de la adjudicación, el criterio de adecuación y proporcionalidad orienta igualmente la definición de las condiciones técnicas que la entidad fija en los documentos del proceso.</w:t>
      </w:r>
    </w:p>
  </w:footnote>
  <w:footnote w:id="20">
    <w:p w14:paraId="71399660" w14:textId="77777777" w:rsidR="00E95861" w:rsidRPr="004B13AC" w:rsidRDefault="00E95861" w:rsidP="00E95861">
      <w:pPr>
        <w:spacing w:line="240" w:lineRule="auto"/>
        <w:ind w:firstLine="709"/>
        <w:jc w:val="both"/>
        <w:rPr>
          <w:rFonts w:ascii="Verdana" w:hAnsi="Verdana"/>
          <w:sz w:val="18"/>
          <w:szCs w:val="18"/>
        </w:rPr>
      </w:pPr>
      <w:r w:rsidRPr="004B13AC">
        <w:rPr>
          <w:rStyle w:val="Refdenotaalpie"/>
          <w:rFonts w:ascii="Verdana" w:hAnsi="Verdana"/>
          <w:sz w:val="18"/>
          <w:szCs w:val="18"/>
        </w:rPr>
        <w:footnoteRef/>
      </w:r>
      <w:r w:rsidRPr="00694ED3">
        <w:rPr>
          <w:rFonts w:ascii="Verdana" w:eastAsia="Verdana" w:hAnsi="Verdana" w:cs="Verdana"/>
          <w:sz w:val="18"/>
          <w:szCs w:val="18"/>
        </w:rPr>
        <w:t>Agencia Nacional de Contratación Pública – Colombia Compra Eficiente. Guía para la comprensión e implementación de los Documentos Tipo de obra pública de infraestructura de transporte, sección 9, consulta 27, en la que se cita el numeral 7 del Anexo 1 – Anexo Técnico.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583220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103"/>
    <w:rsid w:val="003D5B0D"/>
    <w:rsid w:val="003E0499"/>
    <w:rsid w:val="003E4F80"/>
    <w:rsid w:val="003E6439"/>
    <w:rsid w:val="003F3941"/>
    <w:rsid w:val="00406575"/>
    <w:rsid w:val="00414C74"/>
    <w:rsid w:val="0042722E"/>
    <w:rsid w:val="0044528D"/>
    <w:rsid w:val="00466E39"/>
    <w:rsid w:val="004A1847"/>
    <w:rsid w:val="004A305D"/>
    <w:rsid w:val="004F21C4"/>
    <w:rsid w:val="004F61AC"/>
    <w:rsid w:val="004F685F"/>
    <w:rsid w:val="00537D5B"/>
    <w:rsid w:val="005566E8"/>
    <w:rsid w:val="00574867"/>
    <w:rsid w:val="00591460"/>
    <w:rsid w:val="005A65E0"/>
    <w:rsid w:val="005C3777"/>
    <w:rsid w:val="005C5CDC"/>
    <w:rsid w:val="005D0649"/>
    <w:rsid w:val="005D476C"/>
    <w:rsid w:val="005D6C28"/>
    <w:rsid w:val="006200BF"/>
    <w:rsid w:val="006219F8"/>
    <w:rsid w:val="006302F7"/>
    <w:rsid w:val="00646B9F"/>
    <w:rsid w:val="00665D70"/>
    <w:rsid w:val="006900D9"/>
    <w:rsid w:val="006A1988"/>
    <w:rsid w:val="006B503D"/>
    <w:rsid w:val="006E7C21"/>
    <w:rsid w:val="00706C16"/>
    <w:rsid w:val="007340C3"/>
    <w:rsid w:val="00737B63"/>
    <w:rsid w:val="0075235A"/>
    <w:rsid w:val="00756841"/>
    <w:rsid w:val="007649AB"/>
    <w:rsid w:val="00771D0C"/>
    <w:rsid w:val="007833AC"/>
    <w:rsid w:val="007B268C"/>
    <w:rsid w:val="007B7171"/>
    <w:rsid w:val="007C0C0F"/>
    <w:rsid w:val="007C3DC2"/>
    <w:rsid w:val="007E5497"/>
    <w:rsid w:val="00806F5F"/>
    <w:rsid w:val="00820278"/>
    <w:rsid w:val="0082119F"/>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5B4C"/>
    <w:rsid w:val="009F3A13"/>
    <w:rsid w:val="00A122D3"/>
    <w:rsid w:val="00A14468"/>
    <w:rsid w:val="00A17F13"/>
    <w:rsid w:val="00A20739"/>
    <w:rsid w:val="00A23AF9"/>
    <w:rsid w:val="00A33C78"/>
    <w:rsid w:val="00A74E93"/>
    <w:rsid w:val="00AB0ADB"/>
    <w:rsid w:val="00B00C0E"/>
    <w:rsid w:val="00B01B1A"/>
    <w:rsid w:val="00B0381D"/>
    <w:rsid w:val="00B44A47"/>
    <w:rsid w:val="00B72CD3"/>
    <w:rsid w:val="00B72FFF"/>
    <w:rsid w:val="00BC0B4B"/>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663AF"/>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5861"/>
    <w:rsid w:val="00E97E0A"/>
    <w:rsid w:val="00EA0E3D"/>
    <w:rsid w:val="00EC38A7"/>
    <w:rsid w:val="00EE1AA8"/>
    <w:rsid w:val="00F23FEA"/>
    <w:rsid w:val="00F31EDC"/>
    <w:rsid w:val="00F462B3"/>
    <w:rsid w:val="00F5664F"/>
    <w:rsid w:val="00F666C4"/>
    <w:rsid w:val="00F76AFC"/>
    <w:rsid w:val="00FA47C0"/>
    <w:rsid w:val="00FA5CD5"/>
    <w:rsid w:val="00FB5DD1"/>
    <w:rsid w:val="00FC2B5D"/>
    <w:rsid w:val="00FD4DC7"/>
    <w:rsid w:val="00FE605C"/>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9586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pnia.gov.co/docs/compilacion/docs/ley_0842_2003.htm" TargetMode="External"/><Relationship Id="rId18"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7" Type="http://schemas.openxmlformats.org/officeDocument/2006/relationships/webSettings" Target="webSettings.xml"/><Relationship Id="rId12" Type="http://schemas.openxmlformats.org/officeDocument/2006/relationships/hyperlink" Target="https://relatoria.copnia.gov.co/docs/compilacion/docs/ley_0842_2003.htm" TargetMode="External"/><Relationship Id="rId17"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content/documentos-tipo-de-infraestructura-de-transporte" TargetMode="External"/><Relationship Id="rId20"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pnia.gov.co/docs/compilacion/docs/ley_0842_2003.ht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pnia.gov.co/docs/compilacion/docs/ley_0842_2003.htm"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pnia.gov.co/docs/compilacion/docs/c-296_2012.htm"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pnia.gov.co/docs/compilacion/docs/concepto_copnia_0000724_201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6C3C227-F37C-444F-BADB-0902A0689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30</Pages>
  <Words>10603</Words>
  <Characters>58321</Characters>
  <Application>Microsoft Office Word</Application>
  <DocSecurity>0</DocSecurity>
  <Lines>486</Lines>
  <Paragraphs>137</Paragraphs>
  <ScaleCrop>false</ScaleCrop>
  <Company/>
  <LinksUpToDate>false</LinksUpToDate>
  <CharactersWithSpaces>68787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13</cp:revision>
  <cp:lastPrinted>2023-01-10T21:18:00Z</cp:lastPrinted>
  <dcterms:created xsi:type="dcterms:W3CDTF">2026-10-21T13:05:00Z</dcterms:created>
  <dcterms:modified xsi:type="dcterms:W3CDTF">2026-10-22T23:13:00Z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