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EFB14"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t>DEBER DE PUBLICIDAD – Permanencia – Vencimiento del término de publicación</w:t>
      </w:r>
    </w:p>
    <w:p w14:paraId="26232208" w14:textId="77777777" w:rsidR="00443F5F" w:rsidRDefault="00443F5F" w:rsidP="00443F5F">
      <w:pPr>
        <w:spacing w:after="0" w:line="240" w:lineRule="auto"/>
        <w:jc w:val="both"/>
        <w:rPr>
          <w:rFonts w:ascii="Verdana" w:hAnsi="Verdana" w:cs="Arial"/>
          <w:b/>
          <w:bCs/>
          <w:color w:val="000000"/>
          <w:lang w:val="es-ES"/>
        </w:rPr>
      </w:pPr>
    </w:p>
    <w:p w14:paraId="16656E8C" w14:textId="6C96A823" w:rsidR="00632667" w:rsidRPr="00060BBF" w:rsidRDefault="00632667" w:rsidP="00443F5F">
      <w:pPr>
        <w:spacing w:after="0" w:line="240" w:lineRule="auto"/>
        <w:jc w:val="both"/>
        <w:rPr>
          <w:rFonts w:ascii="Verdana" w:hAnsi="Verdana"/>
          <w:sz w:val="18"/>
          <w:szCs w:val="20"/>
        </w:rPr>
      </w:pPr>
      <w:r w:rsidRPr="00060BBF">
        <w:rPr>
          <w:rFonts w:ascii="Verdana" w:eastAsia="Times New Roman" w:hAnsi="Verdana" w:cs="Arial"/>
          <w:color w:val="000000" w:themeColor="text1"/>
          <w:sz w:val="20"/>
          <w:szCs w:val="20"/>
          <w:lang w:val="es-ES" w:eastAsia="es-ES"/>
        </w:rPr>
        <w:t>El artículo 2.1.1.2.1.7 del Decreto 1081 de 2015 señala el deber de publicar, y las normas de las compras públicas no subordinan la existencia de la obligación al vencido del término, el deber de publicar permanece y la entidad debe surtir la publicación, pues el documento mantiene su calidad de información pública mientras no esté amparado por reserva constitucional o legal.</w:t>
      </w:r>
    </w:p>
    <w:p w14:paraId="34BCA113" w14:textId="77777777" w:rsidR="00632667" w:rsidRPr="00632667" w:rsidRDefault="00632667" w:rsidP="00443F5F">
      <w:pPr>
        <w:spacing w:after="0" w:line="240" w:lineRule="auto"/>
        <w:jc w:val="both"/>
        <w:rPr>
          <w:rFonts w:ascii="Verdana" w:eastAsia="Times New Roman" w:hAnsi="Verdana" w:cs="Arial"/>
          <w:color w:val="000000" w:themeColor="text1"/>
          <w:lang w:val="es-ES" w:eastAsia="es-ES"/>
        </w:rPr>
      </w:pPr>
    </w:p>
    <w:p w14:paraId="48DD4C2D"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t>DEBER DE PUBLICIDAD – Alcance – Documentos del Proceso – Carácter enunciativo</w:t>
      </w:r>
    </w:p>
    <w:p w14:paraId="6CC02F9D" w14:textId="77777777" w:rsidR="00443F5F" w:rsidRDefault="00443F5F" w:rsidP="00443F5F">
      <w:pPr>
        <w:spacing w:after="0" w:line="240" w:lineRule="auto"/>
        <w:jc w:val="both"/>
        <w:rPr>
          <w:rFonts w:ascii="Verdana" w:hAnsi="Verdana" w:cs="Arial"/>
          <w:b/>
          <w:bCs/>
          <w:color w:val="000000"/>
          <w:lang w:val="es-ES"/>
        </w:rPr>
      </w:pPr>
    </w:p>
    <w:p w14:paraId="23EF8F00" w14:textId="77777777" w:rsidR="00443F5F" w:rsidRPr="004A0841" w:rsidRDefault="00443F5F" w:rsidP="00443F5F">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La noción de Documentos del Proceso del artículo 2.2.1.1.1.3.1 del Decreto 1082 de 2015 no constituye un listado taxativo sino enunciativo, pues comprende cualquier otro documento expedido por la entidad estatal durante el Proceso de Contratación, entendido este como el conjunto de actos y actividades adelantadas desde la planeación hasta el vencimiento de las garantías o del plazo, lo que ocurra más tarde. El deber comprende los documentos expedidos en las etapas precontractual, de ejecución y </w:t>
      </w:r>
      <w:proofErr w:type="spellStart"/>
      <w:r>
        <w:rPr>
          <w:rFonts w:ascii="Verdana" w:hAnsi="Verdana" w:cs="Arial"/>
          <w:bCs/>
          <w:color w:val="000000"/>
          <w:sz w:val="20"/>
          <w:lang w:val="es-ES"/>
        </w:rPr>
        <w:t>postcontractual</w:t>
      </w:r>
      <w:proofErr w:type="spellEnd"/>
      <w:r>
        <w:rPr>
          <w:rFonts w:ascii="Verdana" w:hAnsi="Verdana" w:cs="Arial"/>
          <w:bCs/>
          <w:color w:val="000000"/>
          <w:sz w:val="20"/>
          <w:lang w:val="es-ES"/>
        </w:rPr>
        <w:t>.</w:t>
      </w:r>
    </w:p>
    <w:p w14:paraId="384DBB4E" w14:textId="77777777" w:rsidR="00443F5F" w:rsidRDefault="00443F5F" w:rsidP="00443F5F">
      <w:pPr>
        <w:spacing w:after="0" w:line="240" w:lineRule="auto"/>
        <w:jc w:val="both"/>
        <w:rPr>
          <w:rFonts w:ascii="Verdana" w:hAnsi="Verdana" w:cs="Arial"/>
          <w:b/>
          <w:bCs/>
          <w:color w:val="000000"/>
          <w:lang w:val="es-ES"/>
        </w:rPr>
      </w:pPr>
    </w:p>
    <w:p w14:paraId="1917840B"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t>DEBER DE PUBLICIDAD – Efecto de la ley en el tiempo – Normas aplicables</w:t>
      </w:r>
    </w:p>
    <w:p w14:paraId="36315245" w14:textId="77777777" w:rsidR="00443F5F" w:rsidRDefault="00443F5F" w:rsidP="00443F5F">
      <w:pPr>
        <w:spacing w:after="0" w:line="240" w:lineRule="auto"/>
        <w:jc w:val="both"/>
        <w:rPr>
          <w:rFonts w:ascii="Verdana" w:hAnsi="Verdana" w:cs="Arial"/>
          <w:b/>
          <w:bCs/>
          <w:color w:val="000000"/>
          <w:lang w:val="es-ES"/>
        </w:rPr>
      </w:pPr>
    </w:p>
    <w:p w14:paraId="1D2DE45B" w14:textId="77777777" w:rsidR="00443F5F" w:rsidRPr="004A0841" w:rsidRDefault="00443F5F" w:rsidP="00443F5F">
      <w:pPr>
        <w:spacing w:after="0" w:line="240" w:lineRule="auto"/>
        <w:jc w:val="both"/>
        <w:rPr>
          <w:rFonts w:ascii="Verdana" w:hAnsi="Verdana" w:cs="Arial"/>
          <w:bCs/>
          <w:color w:val="000000"/>
          <w:sz w:val="20"/>
          <w:lang w:val="es-ES"/>
        </w:rPr>
      </w:pPr>
      <w:r>
        <w:rPr>
          <w:rFonts w:ascii="Verdana" w:hAnsi="Verdana" w:cs="Arial"/>
          <w:bCs/>
          <w:color w:val="000000"/>
          <w:sz w:val="20"/>
          <w:lang w:val="es-ES"/>
        </w:rPr>
        <w:t>Conforme al artículo 38 de la Ley 153 de 1887, en los contratos se entienden incorporadas las leyes vigentes al tiempo de su celebración. El contenido del deber de publicidad y los medios dispuestos para cumplirlo se identifican, por tanto, con las normas que regían en esa fecha, sin que las disposiciones expedidas con posterioridad se apliquen retroactivamente para modificar las condiciones bajo las cuales el contrato se celebró, salvo que la propia norma disponga su aplicación inmediata o se trate de disposiciones de orden público ineludibles.</w:t>
      </w:r>
    </w:p>
    <w:p w14:paraId="049E2EE2" w14:textId="77777777" w:rsidR="00443F5F" w:rsidRDefault="00443F5F" w:rsidP="00443F5F">
      <w:pPr>
        <w:spacing w:after="0" w:line="240" w:lineRule="auto"/>
        <w:jc w:val="both"/>
        <w:rPr>
          <w:rFonts w:ascii="Verdana" w:hAnsi="Verdana" w:cs="Arial"/>
          <w:b/>
          <w:bCs/>
          <w:color w:val="000000"/>
          <w:lang w:val="es-ES"/>
        </w:rPr>
      </w:pPr>
    </w:p>
    <w:p w14:paraId="437953F1"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t>MEDIOS DE PUBLICIDAD – SECOP – Sitio web oficial – Sección de transparencia</w:t>
      </w:r>
    </w:p>
    <w:p w14:paraId="2096151A" w14:textId="77777777" w:rsidR="00443F5F" w:rsidRDefault="00443F5F" w:rsidP="00443F5F">
      <w:pPr>
        <w:spacing w:after="0" w:line="240" w:lineRule="auto"/>
        <w:jc w:val="both"/>
        <w:rPr>
          <w:rFonts w:ascii="Verdana" w:hAnsi="Verdana" w:cs="Arial"/>
          <w:b/>
          <w:bCs/>
          <w:color w:val="000000"/>
          <w:lang w:val="es-ES"/>
        </w:rPr>
      </w:pPr>
    </w:p>
    <w:p w14:paraId="38B4440A" w14:textId="77777777" w:rsidR="00443F5F" w:rsidRPr="004A0841" w:rsidRDefault="00443F5F" w:rsidP="00443F5F">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literal c) del artículo 3 de la Ley 1150 de 2007 dispone que el SECOP contará con la información oficial de la contratación realizada con dineros públicos, y el artículo 2.1.1.2.1.7 del Decreto 1081 de 2015 precisa que ese es el sistema en el cual los sujetos obligados que contratan con cargo a recursos públicos cumplen la obligación de publicar su gestión contractual. El artículo 2.1.1.2.1.4 ibidem impone disponer en la página principal del sitio web oficial la sección «Transparencia y acceso a información pública» con la información mínima de los artículos 9, 10 y 11 de la Ley 1712 de 2014 y, cuando ella repose en un sistema de información del Estado, identificarla y habilitar los enlaces de acceso. Ambos deberes concurren y se cumplen en el medio que cada norma señala.</w:t>
      </w:r>
    </w:p>
    <w:p w14:paraId="76A2F2F2" w14:textId="77777777" w:rsidR="00443F5F" w:rsidRDefault="00443F5F" w:rsidP="00443F5F">
      <w:pPr>
        <w:spacing w:after="0" w:line="240" w:lineRule="auto"/>
        <w:jc w:val="both"/>
        <w:rPr>
          <w:rFonts w:ascii="Verdana" w:hAnsi="Verdana" w:cs="Arial"/>
          <w:b/>
          <w:bCs/>
          <w:color w:val="000000"/>
          <w:lang w:val="es-ES"/>
        </w:rPr>
      </w:pPr>
    </w:p>
    <w:p w14:paraId="644F1A69"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lastRenderedPageBreak/>
        <w:t>MEDIOS DE PUBLICIDAD – Intranet – Insuficiencia</w:t>
      </w:r>
    </w:p>
    <w:p w14:paraId="49B50895" w14:textId="77777777" w:rsidR="00443F5F" w:rsidRDefault="00443F5F" w:rsidP="00443F5F">
      <w:pPr>
        <w:spacing w:after="0" w:line="240" w:lineRule="auto"/>
        <w:jc w:val="both"/>
        <w:rPr>
          <w:rFonts w:ascii="Verdana" w:hAnsi="Verdana" w:cs="Arial"/>
          <w:b/>
          <w:bCs/>
          <w:color w:val="000000"/>
          <w:lang w:val="es-ES"/>
        </w:rPr>
      </w:pPr>
    </w:p>
    <w:p w14:paraId="41171F2F" w14:textId="77777777" w:rsidR="00443F5F" w:rsidRPr="004A0841" w:rsidRDefault="00443F5F" w:rsidP="00443F5F">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publicación en la intranet de la entidad no satisface el deber de publicidad de la actividad contractual. Los medios que el ordenamiento dispone para ese efecto son de acceso público y el principio de máxima publicidad de la Ley 1712 de 2014 supone que toda persona pueda conocer la información sin acreditar calidad, interés o condición particular, lo que excluye los canales de consulta restringida a los servidores de la entidad.</w:t>
      </w:r>
    </w:p>
    <w:p w14:paraId="0BA79B26" w14:textId="77777777" w:rsidR="00443F5F" w:rsidRDefault="00443F5F" w:rsidP="00443F5F">
      <w:pPr>
        <w:spacing w:after="0" w:line="240" w:lineRule="auto"/>
        <w:jc w:val="both"/>
        <w:rPr>
          <w:rFonts w:ascii="Verdana" w:hAnsi="Verdana" w:cs="Arial"/>
          <w:b/>
          <w:bCs/>
          <w:color w:val="000000"/>
          <w:lang w:val="es-ES"/>
        </w:rPr>
      </w:pPr>
    </w:p>
    <w:p w14:paraId="37F7CA4F" w14:textId="77777777" w:rsidR="00443F5F" w:rsidRPr="004A0841" w:rsidRDefault="00443F5F" w:rsidP="00443F5F">
      <w:pPr>
        <w:spacing w:after="0" w:line="240" w:lineRule="auto"/>
        <w:jc w:val="both"/>
        <w:rPr>
          <w:rFonts w:ascii="Verdana" w:hAnsi="Verdana" w:cs="Arial"/>
          <w:b/>
          <w:bCs/>
          <w:color w:val="000000"/>
          <w:lang w:val="es-ES"/>
        </w:rPr>
      </w:pPr>
      <w:r w:rsidRPr="004A0841">
        <w:rPr>
          <w:rFonts w:ascii="Verdana" w:hAnsi="Verdana" w:cs="Arial"/>
          <w:b/>
          <w:bCs/>
          <w:color w:val="000000"/>
          <w:lang w:val="es-ES"/>
        </w:rPr>
        <w:t>SECOP I – SECOP II – Plataforma de publicidad y plataforma transaccional – Oportunidad de la publicación</w:t>
      </w:r>
    </w:p>
    <w:p w14:paraId="381919CF" w14:textId="77777777" w:rsidR="00443F5F" w:rsidRDefault="00443F5F" w:rsidP="00443F5F">
      <w:pPr>
        <w:spacing w:after="0" w:line="240" w:lineRule="auto"/>
        <w:jc w:val="both"/>
        <w:rPr>
          <w:rFonts w:ascii="Verdana" w:hAnsi="Verdana" w:cs="Arial"/>
          <w:b/>
          <w:bCs/>
          <w:color w:val="000000"/>
          <w:lang w:val="es-ES"/>
        </w:rPr>
      </w:pPr>
    </w:p>
    <w:p w14:paraId="35FFDD43" w14:textId="77777777" w:rsidR="00443F5F" w:rsidRPr="004A0841" w:rsidRDefault="00443F5F" w:rsidP="00443F5F">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SECOP I opera como medio de publicidad: el procedimiento se adelanta por fuera de la plataforma y los documentos, una vez expedidos, se cargan dentro de los tres días siguientes. El SECOP II es una plataforma transaccional en la que el procedimiento se gestiona en línea, de modo que los hitos contractuales se generan y perfeccionan como actuaciones electrónicas que quedan publicadas en el instante de su aprobación; en principio, el término de tres días no opera en esta versión, pues la publicidad es simultánea a la actuación.</w:t>
      </w:r>
    </w:p>
    <w:p w14:paraId="2F142CDC" w14:textId="77777777" w:rsidR="00443F5F" w:rsidRDefault="00443F5F" w:rsidP="00443F5F">
      <w:pPr>
        <w:spacing w:after="0" w:line="240" w:lineRule="auto"/>
        <w:jc w:val="both"/>
        <w:rPr>
          <w:rFonts w:ascii="Verdana" w:hAnsi="Verdana" w:cs="Arial"/>
          <w:b/>
          <w:bCs/>
          <w:color w:val="000000"/>
          <w:lang w:val="es-ES"/>
        </w:rPr>
      </w:pPr>
    </w:p>
    <w:p w14:paraId="3409C525" w14:textId="77777777" w:rsidR="00443F5F" w:rsidRDefault="00443F5F" w:rsidP="00443F5F">
      <w:pPr>
        <w:spacing w:after="0" w:line="240" w:lineRule="auto"/>
        <w:jc w:val="both"/>
        <w:rPr>
          <w:rFonts w:ascii="Verdana" w:eastAsia="Geomanist Light" w:hAnsi="Verdana" w:cs="Arial"/>
          <w:color w:val="000000" w:themeColor="text1"/>
          <w:lang w:val="es-MX"/>
        </w:rPr>
      </w:pPr>
    </w:p>
    <w:p w14:paraId="75DCF262" w14:textId="77777777" w:rsidR="00443F5F" w:rsidRDefault="00443F5F" w:rsidP="00443F5F">
      <w:pPr>
        <w:spacing w:after="0" w:line="240" w:lineRule="auto"/>
        <w:jc w:val="both"/>
        <w:rPr>
          <w:rFonts w:ascii="Verdana" w:eastAsia="Geomanist Light" w:hAnsi="Verdana" w:cs="Arial"/>
          <w:color w:val="000000" w:themeColor="text1"/>
          <w:lang w:val="es-MX"/>
        </w:rPr>
      </w:pPr>
    </w:p>
    <w:p w14:paraId="384B808E" w14:textId="77777777" w:rsidR="00443F5F" w:rsidRDefault="00443F5F" w:rsidP="00443F5F">
      <w:pPr>
        <w:spacing w:after="0" w:line="240" w:lineRule="auto"/>
        <w:jc w:val="both"/>
        <w:rPr>
          <w:rFonts w:ascii="Verdana" w:eastAsia="Geomanist Light" w:hAnsi="Verdana" w:cs="Arial"/>
          <w:color w:val="000000" w:themeColor="text1"/>
          <w:lang w:val="es-MX"/>
        </w:rPr>
      </w:pPr>
    </w:p>
    <w:p w14:paraId="438F9117" w14:textId="77777777" w:rsidR="00443F5F" w:rsidRDefault="00443F5F" w:rsidP="00443F5F">
      <w:pPr>
        <w:spacing w:after="0" w:line="240" w:lineRule="auto"/>
        <w:jc w:val="both"/>
        <w:rPr>
          <w:rFonts w:ascii="Verdana" w:eastAsia="Geomanist Light" w:hAnsi="Verdana" w:cs="Arial"/>
          <w:color w:val="000000" w:themeColor="text1"/>
          <w:lang w:val="es-MX"/>
        </w:rPr>
      </w:pPr>
    </w:p>
    <w:p w14:paraId="75BE0076" w14:textId="77777777" w:rsidR="00443F5F" w:rsidRDefault="00443F5F" w:rsidP="00443F5F">
      <w:pPr>
        <w:spacing w:after="0" w:line="240" w:lineRule="auto"/>
        <w:jc w:val="both"/>
        <w:rPr>
          <w:rFonts w:ascii="Verdana" w:eastAsia="Geomanist Light" w:hAnsi="Verdana" w:cs="Arial"/>
          <w:color w:val="000000" w:themeColor="text1"/>
          <w:lang w:val="es-MX"/>
        </w:rPr>
      </w:pPr>
    </w:p>
    <w:p w14:paraId="1524984B" w14:textId="77777777" w:rsidR="00443F5F" w:rsidRDefault="00443F5F" w:rsidP="00443F5F">
      <w:pPr>
        <w:spacing w:after="0" w:line="240" w:lineRule="auto"/>
        <w:jc w:val="both"/>
        <w:rPr>
          <w:rFonts w:ascii="Verdana" w:eastAsia="Geomanist Light" w:hAnsi="Verdana" w:cs="Arial"/>
          <w:color w:val="000000" w:themeColor="text1"/>
          <w:lang w:val="es-MX"/>
        </w:rPr>
      </w:pPr>
    </w:p>
    <w:p w14:paraId="37F33E9A" w14:textId="77777777" w:rsidR="00443F5F" w:rsidRDefault="00443F5F" w:rsidP="00443F5F">
      <w:pPr>
        <w:spacing w:after="0" w:line="240" w:lineRule="auto"/>
        <w:jc w:val="both"/>
        <w:rPr>
          <w:rFonts w:ascii="Verdana" w:eastAsia="Geomanist Light" w:hAnsi="Verdana" w:cs="Arial"/>
          <w:color w:val="000000" w:themeColor="text1"/>
          <w:lang w:val="es-MX"/>
        </w:rPr>
      </w:pPr>
    </w:p>
    <w:p w14:paraId="09B56D1F" w14:textId="77777777" w:rsidR="00443F5F" w:rsidRDefault="00443F5F" w:rsidP="00443F5F">
      <w:pPr>
        <w:spacing w:after="0" w:line="240" w:lineRule="auto"/>
        <w:jc w:val="both"/>
        <w:rPr>
          <w:rFonts w:ascii="Verdana" w:eastAsia="Geomanist Light" w:hAnsi="Verdana" w:cs="Arial"/>
          <w:color w:val="000000" w:themeColor="text1"/>
          <w:lang w:val="es-MX"/>
        </w:rPr>
      </w:pPr>
    </w:p>
    <w:p w14:paraId="1027E334" w14:textId="77777777" w:rsidR="00443F5F" w:rsidRDefault="00443F5F" w:rsidP="00443F5F">
      <w:pPr>
        <w:spacing w:after="0" w:line="240" w:lineRule="auto"/>
        <w:jc w:val="both"/>
        <w:rPr>
          <w:rFonts w:ascii="Verdana" w:eastAsia="Geomanist Light" w:hAnsi="Verdana" w:cs="Arial"/>
          <w:color w:val="000000" w:themeColor="text1"/>
          <w:lang w:val="es-MX"/>
        </w:rPr>
      </w:pPr>
    </w:p>
    <w:p w14:paraId="65440A6B" w14:textId="77777777" w:rsidR="00443F5F" w:rsidRDefault="00443F5F" w:rsidP="00443F5F">
      <w:pPr>
        <w:spacing w:after="0" w:line="240" w:lineRule="auto"/>
        <w:jc w:val="both"/>
        <w:rPr>
          <w:rFonts w:ascii="Verdana" w:eastAsia="Geomanist Light" w:hAnsi="Verdana" w:cs="Arial"/>
          <w:color w:val="000000" w:themeColor="text1"/>
          <w:lang w:val="es-MX"/>
        </w:rPr>
      </w:pPr>
    </w:p>
    <w:p w14:paraId="7E50A47A" w14:textId="77777777" w:rsidR="00443F5F" w:rsidRDefault="00443F5F" w:rsidP="00443F5F">
      <w:pPr>
        <w:spacing w:after="0" w:line="240" w:lineRule="auto"/>
        <w:jc w:val="both"/>
        <w:rPr>
          <w:rFonts w:ascii="Verdana" w:eastAsia="Geomanist Light" w:hAnsi="Verdana" w:cs="Arial"/>
          <w:color w:val="000000" w:themeColor="text1"/>
          <w:lang w:val="es-MX"/>
        </w:rPr>
      </w:pPr>
    </w:p>
    <w:p w14:paraId="76C2D4F4" w14:textId="77777777" w:rsidR="00443F5F" w:rsidRDefault="00443F5F" w:rsidP="00443F5F">
      <w:pPr>
        <w:spacing w:after="0" w:line="240" w:lineRule="auto"/>
        <w:jc w:val="both"/>
        <w:rPr>
          <w:rFonts w:ascii="Verdana" w:eastAsia="Geomanist Light" w:hAnsi="Verdana" w:cs="Arial"/>
          <w:color w:val="000000" w:themeColor="text1"/>
          <w:lang w:val="es-MX"/>
        </w:rPr>
      </w:pPr>
    </w:p>
    <w:p w14:paraId="2B707F6A" w14:textId="77777777" w:rsidR="00443F5F" w:rsidRDefault="00443F5F" w:rsidP="00443F5F">
      <w:pPr>
        <w:spacing w:after="0" w:line="240" w:lineRule="auto"/>
        <w:jc w:val="both"/>
        <w:rPr>
          <w:rFonts w:ascii="Verdana" w:eastAsia="Geomanist Light" w:hAnsi="Verdana" w:cs="Arial"/>
          <w:color w:val="000000" w:themeColor="text1"/>
          <w:lang w:val="es-MX"/>
        </w:rPr>
      </w:pPr>
    </w:p>
    <w:p w14:paraId="15D4D935" w14:textId="77777777" w:rsidR="00443F5F" w:rsidRDefault="00443F5F" w:rsidP="00443F5F">
      <w:pPr>
        <w:spacing w:after="0" w:line="240" w:lineRule="auto"/>
        <w:jc w:val="both"/>
        <w:rPr>
          <w:rFonts w:ascii="Verdana" w:eastAsia="Geomanist Light" w:hAnsi="Verdana" w:cs="Arial"/>
          <w:color w:val="000000" w:themeColor="text1"/>
          <w:lang w:val="es-MX"/>
        </w:rPr>
      </w:pPr>
    </w:p>
    <w:p w14:paraId="219D759C" w14:textId="77777777" w:rsidR="00443F5F" w:rsidRDefault="00443F5F" w:rsidP="00443F5F">
      <w:pPr>
        <w:spacing w:after="0" w:line="240" w:lineRule="auto"/>
        <w:jc w:val="both"/>
        <w:rPr>
          <w:rFonts w:ascii="Verdana" w:eastAsia="Geomanist Light" w:hAnsi="Verdana" w:cs="Arial"/>
          <w:color w:val="000000" w:themeColor="text1"/>
          <w:lang w:val="es-MX"/>
        </w:rPr>
      </w:pPr>
    </w:p>
    <w:p w14:paraId="30B5B3B8" w14:textId="77777777" w:rsidR="00443F5F" w:rsidRDefault="00443F5F" w:rsidP="00443F5F">
      <w:pPr>
        <w:spacing w:after="0" w:line="240" w:lineRule="auto"/>
        <w:jc w:val="both"/>
        <w:rPr>
          <w:rFonts w:ascii="Verdana" w:eastAsia="Geomanist Light" w:hAnsi="Verdana" w:cs="Arial"/>
          <w:color w:val="000000" w:themeColor="text1"/>
          <w:lang w:val="es-MX"/>
        </w:rPr>
      </w:pPr>
    </w:p>
    <w:p w14:paraId="45BC6FB6" w14:textId="77777777" w:rsidR="00443F5F" w:rsidRDefault="00443F5F" w:rsidP="00443F5F">
      <w:pPr>
        <w:spacing w:after="0" w:line="240" w:lineRule="auto"/>
        <w:jc w:val="both"/>
        <w:rPr>
          <w:rFonts w:ascii="Verdana" w:eastAsia="Geomanist Light" w:hAnsi="Verdana" w:cs="Arial"/>
          <w:color w:val="000000" w:themeColor="text1"/>
          <w:lang w:val="es-MX"/>
        </w:rPr>
      </w:pPr>
    </w:p>
    <w:p w14:paraId="69167919" w14:textId="77777777" w:rsidR="00443F5F" w:rsidRDefault="00443F5F" w:rsidP="00443F5F">
      <w:pPr>
        <w:spacing w:after="0" w:line="240" w:lineRule="auto"/>
        <w:jc w:val="both"/>
        <w:rPr>
          <w:rFonts w:ascii="Verdana" w:eastAsia="Geomanist Light" w:hAnsi="Verdana" w:cs="Arial"/>
          <w:color w:val="000000" w:themeColor="text1"/>
          <w:lang w:val="es-MX"/>
        </w:rPr>
      </w:pPr>
    </w:p>
    <w:p w14:paraId="1E30A813" w14:textId="77777777" w:rsidR="00443F5F" w:rsidRDefault="00443F5F" w:rsidP="00443F5F">
      <w:pPr>
        <w:spacing w:after="0" w:line="240" w:lineRule="auto"/>
        <w:jc w:val="both"/>
        <w:rPr>
          <w:rFonts w:ascii="Verdana" w:eastAsia="Geomanist Light" w:hAnsi="Verdana" w:cs="Arial"/>
          <w:color w:val="000000" w:themeColor="text1"/>
          <w:lang w:val="es-MX"/>
        </w:rPr>
      </w:pPr>
    </w:p>
    <w:p w14:paraId="4BAC9B45" w14:textId="77777777" w:rsidR="00443F5F" w:rsidRDefault="00443F5F" w:rsidP="00443F5F">
      <w:pPr>
        <w:spacing w:after="0" w:line="240" w:lineRule="auto"/>
        <w:jc w:val="both"/>
        <w:rPr>
          <w:rFonts w:ascii="Verdana" w:eastAsia="Geomanist Light" w:hAnsi="Verdana" w:cs="Arial"/>
          <w:color w:val="000000" w:themeColor="text1"/>
          <w:lang w:val="es-MX"/>
        </w:rPr>
      </w:pPr>
    </w:p>
    <w:p w14:paraId="37CD9303" w14:textId="77777777" w:rsidR="00443F5F" w:rsidRDefault="00443F5F" w:rsidP="00443F5F">
      <w:pPr>
        <w:spacing w:after="0" w:line="240" w:lineRule="auto"/>
        <w:jc w:val="both"/>
        <w:rPr>
          <w:rFonts w:ascii="Verdana" w:eastAsia="Geomanist Light" w:hAnsi="Verdana" w:cs="Arial"/>
          <w:color w:val="000000" w:themeColor="text1"/>
          <w:lang w:val="es-MX"/>
        </w:rPr>
      </w:pPr>
    </w:p>
    <w:p w14:paraId="648DB7F9" w14:textId="77777777" w:rsidR="00443F5F" w:rsidRDefault="00443F5F" w:rsidP="00443F5F">
      <w:pPr>
        <w:spacing w:after="0" w:line="240" w:lineRule="auto"/>
        <w:jc w:val="both"/>
        <w:rPr>
          <w:rFonts w:ascii="Verdana" w:eastAsia="Geomanist Light" w:hAnsi="Verdana" w:cs="Arial"/>
          <w:color w:val="000000" w:themeColor="text1"/>
          <w:lang w:val="es-MX"/>
        </w:rPr>
      </w:pPr>
    </w:p>
    <w:p w14:paraId="7A299CC1" w14:textId="77777777" w:rsidR="00060BBF" w:rsidRDefault="00060BBF" w:rsidP="00343458">
      <w:pPr>
        <w:spacing w:after="0" w:line="240" w:lineRule="auto"/>
        <w:jc w:val="both"/>
        <w:rPr>
          <w:rFonts w:ascii="Verdana" w:eastAsia="Geomanist Light" w:hAnsi="Verdana" w:cs="Arial"/>
          <w:color w:val="000000" w:themeColor="text1"/>
          <w:lang w:val="es-MX"/>
        </w:rPr>
      </w:pPr>
    </w:p>
    <w:p w14:paraId="58B1C7C9" w14:textId="7479A7DC" w:rsidR="00443F5F" w:rsidRDefault="00443F5F" w:rsidP="00343458">
      <w:pPr>
        <w:spacing w:after="0" w:line="240" w:lineRule="auto"/>
        <w:jc w:val="both"/>
        <w:rPr>
          <w:rFonts w:ascii="Verdana" w:eastAsia="Geomanist Light" w:hAnsi="Verdana" w:cs="Arial"/>
          <w:color w:val="000000" w:themeColor="text1"/>
          <w:lang w:val="es-MX"/>
        </w:rPr>
      </w:pPr>
      <w:r w:rsidRPr="00BF7921">
        <w:rPr>
          <w:rFonts w:ascii="Verdana" w:eastAsia="Geomanist Light" w:hAnsi="Verdana" w:cs="Arial"/>
          <w:color w:val="000000" w:themeColor="text1"/>
          <w:lang w:val="es-MX"/>
        </w:rPr>
        <w:lastRenderedPageBreak/>
        <w:t xml:space="preserve">Bogotá D.C., </w:t>
      </w:r>
      <w:r w:rsidR="002358FE">
        <w:rPr>
          <w:rFonts w:ascii="Verdana" w:eastAsia="Geomanist Light" w:hAnsi="Verdana" w:cs="Arial"/>
          <w:color w:val="000000" w:themeColor="text1"/>
          <w:lang w:val="es-MX"/>
        </w:rPr>
        <w:t xml:space="preserve">23 de octubre de 2026 </w:t>
      </w:r>
    </w:p>
    <w:p w14:paraId="0BFA2E49" w14:textId="77777777" w:rsidR="002358FE" w:rsidRDefault="002358FE" w:rsidP="00343458">
      <w:pPr>
        <w:spacing w:after="0" w:line="240" w:lineRule="auto"/>
        <w:jc w:val="both"/>
        <w:rPr>
          <w:rFonts w:ascii="Verdana" w:eastAsia="Geomanist Light" w:hAnsi="Verdana" w:cs="Arial"/>
          <w:color w:val="000000" w:themeColor="text1"/>
          <w:lang w:val="es-MX"/>
        </w:rPr>
      </w:pPr>
    </w:p>
    <w:p w14:paraId="602636EA" w14:textId="7555180C" w:rsidR="002358FE" w:rsidRDefault="002358FE" w:rsidP="002358FE">
      <w:pPr>
        <w:spacing w:after="0" w:line="240" w:lineRule="auto"/>
        <w:jc w:val="right"/>
        <w:rPr>
          <w:rFonts w:ascii="Verdana" w:eastAsia="Calibri" w:hAnsi="Verdana" w:cs="Arial"/>
          <w:color w:val="000000"/>
          <w:lang w:val="es-ES"/>
        </w:rPr>
      </w:pPr>
    </w:p>
    <w:p w14:paraId="21CE6BA9" w14:textId="5C888310" w:rsidR="00443F5F" w:rsidRPr="002B4BE9" w:rsidRDefault="00060BBF" w:rsidP="00343458">
      <w:pPr>
        <w:spacing w:after="0" w:line="240" w:lineRule="auto"/>
        <w:rPr>
          <w:rFonts w:ascii="Verdana" w:hAnsi="Verdana"/>
        </w:rPr>
      </w:pPr>
      <w:r w:rsidRPr="002358FE">
        <w:rPr>
          <w:rFonts w:ascii="Verdana" w:eastAsia="Calibri" w:hAnsi="Verdana" w:cs="Arial"/>
          <w:noProof/>
          <w:color w:val="000000"/>
          <w:lang w:val="es-ES"/>
        </w:rPr>
        <w:drawing>
          <wp:anchor distT="0" distB="0" distL="114300" distR="114300" simplePos="0" relativeHeight="251658240" behindDoc="0" locked="0" layoutInCell="1" allowOverlap="1" wp14:anchorId="17A62065" wp14:editId="51211DD1">
            <wp:simplePos x="0" y="0"/>
            <wp:positionH relativeFrom="margin">
              <wp:align>right</wp:align>
            </wp:positionH>
            <wp:positionV relativeFrom="paragraph">
              <wp:posOffset>6350</wp:posOffset>
            </wp:positionV>
            <wp:extent cx="2654300" cy="953770"/>
            <wp:effectExtent l="0" t="0" r="0" b="0"/>
            <wp:wrapSquare wrapText="bothSides"/>
            <wp:docPr id="6484186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18682" name=""/>
                    <pic:cNvPicPr/>
                  </pic:nvPicPr>
                  <pic:blipFill>
                    <a:blip r:embed="rId11">
                      <a:extLst>
                        <a:ext uri="{28A0092B-C50C-407E-A947-70E740481C1C}">
                          <a14:useLocalDpi xmlns:a14="http://schemas.microsoft.com/office/drawing/2010/main" val="0"/>
                        </a:ext>
                      </a:extLst>
                    </a:blip>
                    <a:stretch>
                      <a:fillRect/>
                    </a:stretch>
                  </pic:blipFill>
                  <pic:spPr>
                    <a:xfrm>
                      <a:off x="0" y="0"/>
                      <a:ext cx="2654300" cy="953770"/>
                    </a:xfrm>
                    <a:prstGeom prst="rect">
                      <a:avLst/>
                    </a:prstGeom>
                  </pic:spPr>
                </pic:pic>
              </a:graphicData>
            </a:graphic>
            <wp14:sizeRelH relativeFrom="margin">
              <wp14:pctWidth>0</wp14:pctWidth>
            </wp14:sizeRelH>
            <wp14:sizeRelV relativeFrom="margin">
              <wp14:pctHeight>0</wp14:pctHeight>
            </wp14:sizeRelV>
          </wp:anchor>
        </w:drawing>
      </w:r>
    </w:p>
    <w:p w14:paraId="0704E460" w14:textId="77777777" w:rsidR="00443F5F" w:rsidRPr="00524422" w:rsidRDefault="00443F5F">
      <w:pPr>
        <w:spacing w:after="0" w:line="240" w:lineRule="auto"/>
        <w:rPr>
          <w:rFonts w:ascii="Verdana" w:eastAsia="Calibri" w:hAnsi="Verdana" w:cs="Times New Roman"/>
          <w:lang w:val="es-MX"/>
        </w:rPr>
      </w:pPr>
      <w:r w:rsidRPr="00524422">
        <w:rPr>
          <w:rFonts w:ascii="Verdana" w:eastAsia="Calibri" w:hAnsi="Verdana" w:cs="Times New Roman"/>
          <w:lang w:val="es-MX"/>
        </w:rPr>
        <w:t>Señora</w:t>
      </w:r>
    </w:p>
    <w:p w14:paraId="61B9F045" w14:textId="77777777" w:rsidR="00443F5F" w:rsidRPr="00915472" w:rsidRDefault="00443F5F">
      <w:pPr>
        <w:spacing w:after="0" w:line="240" w:lineRule="auto"/>
        <w:rPr>
          <w:rFonts w:ascii="Verdana" w:eastAsia="Calibri" w:hAnsi="Verdana" w:cs="Times New Roman"/>
          <w:b/>
          <w:bCs/>
          <w:lang w:val="es-MX"/>
        </w:rPr>
      </w:pPr>
      <w:r w:rsidRPr="00915472">
        <w:rPr>
          <w:rFonts w:ascii="Verdana" w:eastAsia="Calibri" w:hAnsi="Verdana" w:cs="Times New Roman"/>
          <w:b/>
          <w:bCs/>
          <w:lang w:val="es-MX"/>
        </w:rPr>
        <w:t>JOHANNA CAROLINA AVELLANEDA BUSTOS</w:t>
      </w:r>
    </w:p>
    <w:p w14:paraId="35436627" w14:textId="77777777" w:rsidR="00443F5F" w:rsidRPr="00524422" w:rsidRDefault="00443F5F">
      <w:pPr>
        <w:spacing w:after="0" w:line="240" w:lineRule="auto"/>
        <w:rPr>
          <w:rFonts w:ascii="Verdana" w:eastAsia="Calibri" w:hAnsi="Verdana" w:cs="Times New Roman"/>
          <w:lang w:val="es-MX"/>
        </w:rPr>
      </w:pPr>
      <w:r w:rsidRPr="00524422">
        <w:rPr>
          <w:rFonts w:ascii="Verdana" w:eastAsia="Calibri" w:hAnsi="Verdana" w:cs="Times New Roman"/>
          <w:lang w:val="es-MX"/>
        </w:rPr>
        <w:t>javellaneda@cnsc.gov.co</w:t>
      </w:r>
    </w:p>
    <w:p w14:paraId="75B2ACE6" w14:textId="77777777" w:rsidR="00443F5F" w:rsidRPr="00524422" w:rsidRDefault="00443F5F">
      <w:pPr>
        <w:spacing w:after="0" w:line="240" w:lineRule="auto"/>
        <w:rPr>
          <w:rFonts w:ascii="Verdana" w:eastAsia="Calibri" w:hAnsi="Verdana" w:cs="Times New Roman"/>
          <w:lang w:val="es-MX"/>
        </w:rPr>
      </w:pPr>
      <w:r w:rsidRPr="00524422">
        <w:rPr>
          <w:rFonts w:ascii="Verdana" w:eastAsia="Calibri" w:hAnsi="Verdana" w:cs="Times New Roman"/>
          <w:lang w:val="es-MX"/>
        </w:rPr>
        <w:t>Bogotá D.C.</w:t>
      </w:r>
    </w:p>
    <w:p w14:paraId="629FDF60" w14:textId="77777777" w:rsidR="00443F5F" w:rsidRPr="002B4BE9" w:rsidRDefault="00443F5F">
      <w:pPr>
        <w:spacing w:after="0" w:line="240" w:lineRule="auto"/>
        <w:rPr>
          <w:rFonts w:ascii="Verdana" w:eastAsia="Calibri" w:hAnsi="Verdana" w:cs="Times New Roman"/>
        </w:rPr>
      </w:pPr>
    </w:p>
    <w:p w14:paraId="2A494E67" w14:textId="77777777" w:rsidR="00443F5F" w:rsidRPr="002B4BE9" w:rsidRDefault="00443F5F">
      <w:pPr>
        <w:spacing w:after="0" w:line="240" w:lineRule="auto"/>
        <w:rPr>
          <w:rFonts w:ascii="Verdana" w:eastAsia="Calibri" w:hAnsi="Verdana" w:cs="Times New Roman"/>
        </w:rPr>
      </w:pPr>
    </w:p>
    <w:p w14:paraId="595187CE" w14:textId="5430F025" w:rsidR="00443F5F" w:rsidRPr="002B4BE9" w:rsidRDefault="00443F5F">
      <w:pPr>
        <w:spacing w:after="0" w:line="240" w:lineRule="auto"/>
        <w:rPr>
          <w:rFonts w:ascii="Verdana" w:eastAsia="Calibri" w:hAnsi="Verdana" w:cs="Times New Roman"/>
          <w:b/>
          <w:bCs/>
          <w:lang w:val="es-ES"/>
        </w:rPr>
      </w:pPr>
      <w:r>
        <w:rPr>
          <w:rFonts w:ascii="Verdana" w:eastAsia="Calibri" w:hAnsi="Verdana" w:cs="Times New Roman"/>
          <w:b/>
          <w:bCs/>
          <w:lang w:val="es-ES"/>
        </w:rPr>
        <w:t xml:space="preserve">                                   </w:t>
      </w:r>
      <w:r w:rsidRPr="002B4BE9">
        <w:rPr>
          <w:rFonts w:ascii="Verdana" w:eastAsia="Calibri" w:hAnsi="Verdana" w:cs="Times New Roman"/>
          <w:b/>
          <w:bCs/>
          <w:lang w:val="es-ES"/>
        </w:rPr>
        <w:t>Concepto C</w:t>
      </w:r>
      <w:r w:rsidR="00060BBF">
        <w:rPr>
          <w:rFonts w:ascii="Verdana" w:eastAsia="Calibri" w:hAnsi="Verdana" w:cs="Times New Roman"/>
          <w:b/>
          <w:bCs/>
          <w:lang w:val="es-ES"/>
        </w:rPr>
        <w:t>-</w:t>
      </w:r>
      <w:r>
        <w:rPr>
          <w:rFonts w:ascii="Verdana" w:eastAsia="Calibri" w:hAnsi="Verdana" w:cs="Times New Roman"/>
          <w:b/>
          <w:bCs/>
          <w:lang w:val="es-ES"/>
        </w:rPr>
        <w:t>1438</w:t>
      </w:r>
      <w:r w:rsidRPr="002B4BE9">
        <w:rPr>
          <w:rFonts w:ascii="Verdana" w:eastAsia="Calibri" w:hAnsi="Verdana" w:cs="Times New Roman"/>
          <w:b/>
          <w:bCs/>
          <w:lang w:val="es-ES"/>
        </w:rPr>
        <w:t xml:space="preserve"> de 2026</w:t>
      </w:r>
    </w:p>
    <w:p w14:paraId="27D3C121" w14:textId="77777777" w:rsidR="00443F5F" w:rsidRPr="002B4BE9" w:rsidRDefault="00443F5F">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43F5F" w:rsidRPr="002B4BE9" w14:paraId="7AB51AE3" w14:textId="77777777" w:rsidTr="007601B2">
        <w:trPr>
          <w:trHeight w:val="645"/>
        </w:trPr>
        <w:tc>
          <w:tcPr>
            <w:tcW w:w="2685" w:type="dxa"/>
            <w:hideMark/>
          </w:tcPr>
          <w:p w14:paraId="01A4D9EC" w14:textId="77777777" w:rsidR="00443F5F" w:rsidRPr="00403388" w:rsidRDefault="00443F5F">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2C48D86D"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DEBER DE PUBLICIDAD – Permanencia – Vencimiento del término de publicación</w:t>
            </w:r>
          </w:p>
          <w:p w14:paraId="33D81C9F"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DEBER DE PUBLICIDAD – Alcance – Documentos del Proceso – Carácter enunciativo</w:t>
            </w:r>
          </w:p>
          <w:p w14:paraId="04CECBF8"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DEBER DE PUBLICIDAD – Efecto de la ley en el tiempo – Normas aplicables</w:t>
            </w:r>
          </w:p>
          <w:p w14:paraId="0C739228"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MEDIOS DE PUBLICIDAD – SECOP – Sitio web oficial – Sección de transparencia</w:t>
            </w:r>
          </w:p>
          <w:p w14:paraId="48BAD0B0"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MEDIOS DE PUBLICIDAD – Intranet – Insuficiencia</w:t>
            </w:r>
          </w:p>
          <w:p w14:paraId="41E4C6B4" w14:textId="77777777" w:rsidR="00443F5F" w:rsidRPr="00403388" w:rsidRDefault="00443F5F" w:rsidP="00D3722A">
            <w:pPr>
              <w:jc w:val="both"/>
              <w:rPr>
                <w:rFonts w:ascii="Verdana" w:hAnsi="Verdana" w:cs="Arial"/>
                <w:lang w:val="es-ES" w:eastAsia="es-ES"/>
              </w:rPr>
            </w:pPr>
            <w:r w:rsidRPr="001B49B3">
              <w:rPr>
                <w:rFonts w:ascii="Verdana" w:hAnsi="Verdana" w:cs="Arial"/>
                <w:bCs/>
                <w:color w:val="000000"/>
                <w:lang w:val="es-ES"/>
              </w:rPr>
              <w:t>SECOP I – SECOP II – Plataforma de publicidad y plataforma transaccional – Oportunidad de la publicación</w:t>
            </w:r>
          </w:p>
        </w:tc>
        <w:tc>
          <w:tcPr>
            <w:tcW w:w="6237" w:type="dxa"/>
          </w:tcPr>
          <w:p w14:paraId="01A38F17" w14:textId="77777777" w:rsidR="00443F5F" w:rsidRPr="002B4BE9" w:rsidRDefault="00443F5F" w:rsidP="00343458">
            <w:pPr>
              <w:rPr>
                <w:rFonts w:ascii="Verdana" w:hAnsi="Verdana"/>
                <w:lang w:val="es-ES"/>
              </w:rPr>
            </w:pPr>
          </w:p>
        </w:tc>
      </w:tr>
      <w:tr w:rsidR="00443F5F" w:rsidRPr="00915472" w14:paraId="4E23E687" w14:textId="77777777" w:rsidTr="007601B2">
        <w:tc>
          <w:tcPr>
            <w:tcW w:w="2685" w:type="dxa"/>
          </w:tcPr>
          <w:p w14:paraId="10D58180" w14:textId="77777777" w:rsidR="00443F5F" w:rsidRPr="00915472" w:rsidRDefault="00443F5F" w:rsidP="00343458">
            <w:pPr>
              <w:rPr>
                <w:rFonts w:ascii="Verdana" w:hAnsi="Verdana"/>
                <w:b/>
                <w:bCs/>
                <w:lang w:val="es-ES_tradnl"/>
              </w:rPr>
            </w:pPr>
          </w:p>
          <w:p w14:paraId="69D5B888" w14:textId="77777777" w:rsidR="00443F5F" w:rsidRPr="00915472" w:rsidRDefault="00443F5F">
            <w:pPr>
              <w:rPr>
                <w:rFonts w:ascii="Verdana" w:hAnsi="Verdana"/>
                <w:b/>
                <w:bCs/>
                <w:lang w:val="es-ES_tradnl"/>
              </w:rPr>
            </w:pPr>
            <w:r w:rsidRPr="00915472">
              <w:rPr>
                <w:rFonts w:ascii="Verdana" w:hAnsi="Verdana"/>
                <w:b/>
                <w:bCs/>
                <w:lang w:val="es-ES_tradnl"/>
              </w:rPr>
              <w:t xml:space="preserve">Radicación:               </w:t>
            </w:r>
          </w:p>
        </w:tc>
        <w:tc>
          <w:tcPr>
            <w:tcW w:w="6241" w:type="dxa"/>
          </w:tcPr>
          <w:p w14:paraId="4715199D" w14:textId="77777777" w:rsidR="00443F5F" w:rsidRPr="00915472" w:rsidRDefault="00443F5F" w:rsidP="00D3722A">
            <w:pPr>
              <w:jc w:val="both"/>
              <w:rPr>
                <w:rFonts w:ascii="Verdana" w:hAnsi="Verdana"/>
              </w:rPr>
            </w:pPr>
          </w:p>
          <w:p w14:paraId="0F847E92" w14:textId="77777777" w:rsidR="00443F5F" w:rsidRPr="00915472" w:rsidRDefault="00443F5F" w:rsidP="00D3722A">
            <w:pPr>
              <w:jc w:val="both"/>
              <w:rPr>
                <w:rFonts w:ascii="Verdana" w:hAnsi="Verdana"/>
              </w:rPr>
            </w:pPr>
            <w:r w:rsidRPr="00915472">
              <w:rPr>
                <w:rFonts w:ascii="Verdana" w:hAnsi="Verdana"/>
              </w:rPr>
              <w:t>Respuesta a consulta con radicado No. 1_2026_09_11_012172</w:t>
            </w:r>
          </w:p>
          <w:p w14:paraId="68F8550B" w14:textId="77777777" w:rsidR="00443F5F" w:rsidRPr="00915472" w:rsidRDefault="00443F5F" w:rsidP="00D3722A">
            <w:pPr>
              <w:jc w:val="both"/>
              <w:rPr>
                <w:rFonts w:ascii="Verdana" w:hAnsi="Verdana"/>
              </w:rPr>
            </w:pPr>
          </w:p>
          <w:p w14:paraId="19E37512" w14:textId="77777777" w:rsidR="00443F5F" w:rsidRPr="00915472" w:rsidRDefault="00443F5F" w:rsidP="00D3722A">
            <w:pPr>
              <w:jc w:val="both"/>
              <w:rPr>
                <w:rFonts w:ascii="Verdana" w:hAnsi="Verdana"/>
                <w:lang w:val="es-ES_tradnl"/>
              </w:rPr>
            </w:pPr>
          </w:p>
        </w:tc>
        <w:tc>
          <w:tcPr>
            <w:tcW w:w="6237" w:type="dxa"/>
          </w:tcPr>
          <w:p w14:paraId="460EE07F" w14:textId="77777777" w:rsidR="00443F5F" w:rsidRPr="00915472" w:rsidRDefault="00443F5F" w:rsidP="00343458">
            <w:pPr>
              <w:rPr>
                <w:rFonts w:ascii="Verdana" w:hAnsi="Verdana"/>
              </w:rPr>
            </w:pPr>
          </w:p>
          <w:p w14:paraId="43C74160" w14:textId="77777777" w:rsidR="00443F5F" w:rsidRPr="00915472" w:rsidRDefault="00443F5F">
            <w:pPr>
              <w:rPr>
                <w:rFonts w:ascii="Verdana" w:hAnsi="Verdana"/>
              </w:rPr>
            </w:pPr>
          </w:p>
        </w:tc>
      </w:tr>
    </w:tbl>
    <w:p w14:paraId="524F9D09" w14:textId="77777777" w:rsidR="00443F5F" w:rsidRPr="009037F6" w:rsidRDefault="00443F5F" w:rsidP="00343458">
      <w:pPr>
        <w:spacing w:after="0" w:line="276" w:lineRule="auto"/>
        <w:rPr>
          <w:rFonts w:ascii="Verdana" w:eastAsia="Calibri" w:hAnsi="Verdana" w:cs="Times New Roman"/>
          <w:lang w:val="es-ES"/>
        </w:rPr>
      </w:pPr>
      <w:r>
        <w:rPr>
          <w:rFonts w:ascii="Verdana" w:eastAsia="Calibri" w:hAnsi="Verdana" w:cs="Times New Roman"/>
          <w:lang w:val="es-ES"/>
        </w:rPr>
        <w:t>Estimada señora Avellaneda:</w:t>
      </w:r>
    </w:p>
    <w:p w14:paraId="534853DC" w14:textId="77777777" w:rsidR="00443F5F" w:rsidRPr="009037F6" w:rsidRDefault="00443F5F">
      <w:pPr>
        <w:spacing w:after="0" w:line="276" w:lineRule="auto"/>
        <w:rPr>
          <w:rFonts w:ascii="Verdana" w:eastAsia="Calibri" w:hAnsi="Verdana" w:cs="Times New Roman"/>
          <w:lang w:val="es-ES"/>
        </w:rPr>
      </w:pPr>
    </w:p>
    <w:p w14:paraId="18C606DA" w14:textId="77777777" w:rsidR="00443F5F" w:rsidRDefault="00443F5F">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La Agencia Nacional de Contratación Pública – Colombia Compra Eficiente –, en ejercicio de las competencias otorgadas por el numeral 5 del artículo 3 y el numeral 8 del artículo 11 del Decreto Ley 4170 de 2011, así como lo establecido en la Resolución 469 de 2025 expedida por esta Entidad, responde su solicitud del 11 de septiembre de 2026, en la que formula la siguiente consulta:</w:t>
      </w:r>
    </w:p>
    <w:p w14:paraId="00018A34" w14:textId="77777777" w:rsidR="00443F5F" w:rsidRDefault="00443F5F">
      <w:pPr>
        <w:spacing w:after="0" w:line="276" w:lineRule="auto"/>
        <w:jc w:val="both"/>
        <w:rPr>
          <w:rFonts w:ascii="Verdana" w:eastAsia="Calibri" w:hAnsi="Verdana" w:cs="Times New Roman"/>
          <w:lang w:bidi="es-ES"/>
        </w:rPr>
      </w:pPr>
    </w:p>
    <w:p w14:paraId="561F986C" w14:textId="77777777" w:rsidR="00443F5F" w:rsidRDefault="00443F5F" w:rsidP="00443F5F">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w:t>
      </w:r>
      <w:proofErr w:type="gramStart"/>
      <w:r w:rsidRPr="007972DD">
        <w:rPr>
          <w:rFonts w:ascii="Verdana" w:hAnsi="Verdana" w:cs="Arial"/>
          <w:sz w:val="20"/>
          <w:szCs w:val="20"/>
          <w:lang w:val="es-ES" w:eastAsia="es-ES"/>
        </w:rPr>
        <w:t xml:space="preserve">Se suscribió un convenio administrativo el cual se encuentra publicado en la intranet de la entidad, la Contraloría ha solicitado que este Convenio este publicado al menos en la página web de la entidad, es viable jurídicamente esta publicación teniendo en cuenta que es del año 2018 y </w:t>
      </w:r>
      <w:r w:rsidRPr="007972DD">
        <w:rPr>
          <w:rFonts w:ascii="Verdana" w:hAnsi="Verdana" w:cs="Arial"/>
          <w:sz w:val="20"/>
          <w:szCs w:val="20"/>
          <w:lang w:val="es-ES" w:eastAsia="es-ES"/>
        </w:rPr>
        <w:lastRenderedPageBreak/>
        <w:t>que se publique hasta el momento?</w:t>
      </w:r>
      <w:proofErr w:type="gramEnd"/>
      <w:r w:rsidRPr="007972DD">
        <w:rPr>
          <w:rFonts w:ascii="Verdana" w:hAnsi="Verdana" w:cs="Arial"/>
          <w:sz w:val="20"/>
          <w:szCs w:val="20"/>
          <w:lang w:val="es-ES" w:eastAsia="es-ES"/>
        </w:rPr>
        <w:t xml:space="preserve"> </w:t>
      </w:r>
      <w:proofErr w:type="gramStart"/>
      <w:r w:rsidRPr="007972DD">
        <w:rPr>
          <w:rFonts w:ascii="Verdana" w:hAnsi="Verdana" w:cs="Arial"/>
          <w:sz w:val="20"/>
          <w:szCs w:val="20"/>
          <w:lang w:val="es-ES" w:eastAsia="es-ES"/>
        </w:rPr>
        <w:t>O que herramientas pueden servir para la publicidad del mismo?</w:t>
      </w:r>
      <w:proofErr w:type="gramEnd"/>
      <w:r w:rsidRPr="007972DD">
        <w:rPr>
          <w:rFonts w:ascii="Verdana" w:hAnsi="Verdana" w:cs="Arial"/>
          <w:sz w:val="20"/>
          <w:szCs w:val="20"/>
          <w:lang w:val="es-ES" w:eastAsia="es-ES"/>
        </w:rPr>
        <w:t>”.</w:t>
      </w:r>
    </w:p>
    <w:p w14:paraId="15275588" w14:textId="77777777" w:rsidR="00443F5F" w:rsidRPr="00D3722A" w:rsidRDefault="00443F5F" w:rsidP="00D3722A">
      <w:pPr>
        <w:tabs>
          <w:tab w:val="left" w:pos="709"/>
        </w:tabs>
        <w:spacing w:after="0" w:line="276" w:lineRule="auto"/>
        <w:ind w:left="709" w:right="709"/>
        <w:jc w:val="both"/>
        <w:rPr>
          <w:rFonts w:ascii="Verdana" w:hAnsi="Verdana" w:cs="Arial"/>
          <w:lang w:val="es-ES" w:eastAsia="es-ES"/>
        </w:rPr>
      </w:pPr>
    </w:p>
    <w:p w14:paraId="21091222" w14:textId="77777777" w:rsidR="00443F5F" w:rsidRPr="009037F6" w:rsidRDefault="00443F5F" w:rsidP="00443F5F">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26B5661A" w14:textId="1A029B31" w:rsidR="00443F5F" w:rsidRDefault="00443F5F" w:rsidP="007815BD">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00343458">
        <w:rPr>
          <w:rFonts w:ascii="Verdana" w:eastAsia="Calibri" w:hAnsi="Verdana" w:cs="Times New Roman"/>
          <w:lang w:val="es-ES"/>
        </w:rPr>
        <w:t xml:space="preserve"> Así las cosas</w:t>
      </w:r>
      <w:r w:rsidRPr="009037F6">
        <w:rPr>
          <w:rFonts w:ascii="Verdana" w:eastAsia="Calibri" w:hAnsi="Verdana" w:cs="Times New Roman"/>
          <w:lang w:val="es-ES"/>
        </w:rPr>
        <w:t xml:space="preserve">, la respuesta se circunscribe a la interpretación de las normas generales que regulan el deber de publicidad de la actividad contractual y los medios dispuestos para cumplirlo. No se califica el convenio a que alude la consulta, no se valora la actuación de la entidad ni la del organismo de control, y no se determina responsabilidad alguna derivada de la oportunidad en que la publicación se haya surtido, materia que corresponde a </w:t>
      </w:r>
      <w:r w:rsidR="00343458">
        <w:rPr>
          <w:rFonts w:ascii="Verdana" w:eastAsia="Calibri" w:hAnsi="Verdana" w:cs="Times New Roman"/>
          <w:lang w:val="es-ES"/>
        </w:rPr>
        <w:t xml:space="preserve">los órganos de control </w:t>
      </w:r>
      <w:r w:rsidRPr="009037F6">
        <w:rPr>
          <w:rFonts w:ascii="Verdana" w:eastAsia="Calibri" w:hAnsi="Verdana" w:cs="Times New Roman"/>
          <w:lang w:val="es-ES"/>
        </w:rPr>
        <w:t>en el ámbito de sus competencias</w:t>
      </w:r>
      <w:r w:rsidR="00343458">
        <w:rPr>
          <w:rFonts w:ascii="Verdana" w:eastAsia="Calibri" w:hAnsi="Verdana" w:cs="Times New Roman"/>
          <w:lang w:val="es-ES"/>
        </w:rPr>
        <w:t xml:space="preserve"> o a las autoridades judiciales</w:t>
      </w:r>
      <w:r w:rsidRPr="009037F6">
        <w:rPr>
          <w:rFonts w:ascii="Verdana" w:eastAsia="Calibri" w:hAnsi="Verdana" w:cs="Times New Roman"/>
          <w:lang w:val="es-ES"/>
        </w:rPr>
        <w:t xml:space="preserve">. </w:t>
      </w:r>
    </w:p>
    <w:p w14:paraId="5B92D15F" w14:textId="77777777" w:rsidR="005B65D8" w:rsidRPr="009037F6" w:rsidRDefault="005B65D8" w:rsidP="00443F5F">
      <w:pPr>
        <w:spacing w:after="0" w:line="276" w:lineRule="auto"/>
        <w:rPr>
          <w:rFonts w:ascii="Verdana" w:eastAsia="Calibri" w:hAnsi="Verdana" w:cs="Times New Roman"/>
          <w:lang w:val="es-ES"/>
        </w:rPr>
      </w:pPr>
    </w:p>
    <w:p w14:paraId="7E848156" w14:textId="77777777" w:rsidR="00443F5F" w:rsidRPr="009037F6" w:rsidRDefault="00443F5F" w:rsidP="00443F5F">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3C62B342" w14:textId="77777777" w:rsidR="00443F5F" w:rsidRPr="009037F6" w:rsidRDefault="00443F5F" w:rsidP="00443F5F">
      <w:pPr>
        <w:spacing w:after="0" w:line="276" w:lineRule="auto"/>
        <w:rPr>
          <w:rFonts w:ascii="Verdana" w:eastAsia="Calibri" w:hAnsi="Verdana" w:cs="Times New Roman"/>
        </w:rPr>
      </w:pPr>
    </w:p>
    <w:p w14:paraId="3183C950" w14:textId="77777777" w:rsidR="00443F5F" w:rsidRPr="00D1210B" w:rsidRDefault="00443F5F" w:rsidP="00D3722A">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 solicitud, la Agencia procede a resolver los siguientes problemas jurídicos: i) ¿Resulta jurídicamente procedente publicar un contrato o convenio </w:t>
      </w:r>
      <w:r>
        <w:rPr>
          <w:rFonts w:ascii="Verdana" w:eastAsia="Calibri" w:hAnsi="Verdana" w:cs="Times New Roman"/>
        </w:rPr>
        <w:t xml:space="preserve">interadministrativo </w:t>
      </w:r>
      <w:r w:rsidRPr="009037F6">
        <w:rPr>
          <w:rFonts w:ascii="Verdana" w:eastAsia="Calibri" w:hAnsi="Verdana" w:cs="Times New Roman"/>
        </w:rPr>
        <w:t xml:space="preserve">con posterioridad al vencimiento del término previsto para ello? </w:t>
      </w:r>
      <w:proofErr w:type="spellStart"/>
      <w:r w:rsidRPr="009037F6">
        <w:rPr>
          <w:rFonts w:ascii="Verdana" w:eastAsia="Calibri" w:hAnsi="Verdana" w:cs="Times New Roman"/>
        </w:rPr>
        <w:t>ii</w:t>
      </w:r>
      <w:proofErr w:type="spellEnd"/>
      <w:r w:rsidRPr="009037F6">
        <w:rPr>
          <w:rFonts w:ascii="Verdana" w:eastAsia="Calibri" w:hAnsi="Verdana" w:cs="Times New Roman"/>
        </w:rPr>
        <w:t xml:space="preserve">) ¿Cuáles son los medios que el ordenamiento </w:t>
      </w:r>
      <w:r w:rsidRPr="009037F6">
        <w:rPr>
          <w:rFonts w:ascii="Verdana" w:eastAsia="Calibri" w:hAnsi="Verdana" w:cs="Times New Roman"/>
        </w:rPr>
        <w:lastRenderedPageBreak/>
        <w:t xml:space="preserve">dispone para dar publicidad a un contrato o convenio </w:t>
      </w:r>
      <w:r>
        <w:rPr>
          <w:rFonts w:ascii="Verdana" w:eastAsia="Calibri" w:hAnsi="Verdana" w:cs="Times New Roman"/>
        </w:rPr>
        <w:t xml:space="preserve">interadministrativo </w:t>
      </w:r>
      <w:r w:rsidRPr="009037F6">
        <w:rPr>
          <w:rFonts w:ascii="Verdana" w:eastAsia="Calibri" w:hAnsi="Verdana" w:cs="Times New Roman"/>
        </w:rPr>
        <w:t>y satisface ese deber la publicación en la intranet de la entidad?</w:t>
      </w:r>
    </w:p>
    <w:p w14:paraId="27CECFD7" w14:textId="77777777" w:rsidR="00443F5F" w:rsidRPr="00E27EDD" w:rsidRDefault="00443F5F" w:rsidP="00443F5F">
      <w:pPr>
        <w:spacing w:after="0" w:line="276" w:lineRule="auto"/>
        <w:jc w:val="both"/>
        <w:rPr>
          <w:rFonts w:ascii="Verdana" w:eastAsia="Calibri" w:hAnsi="Verdana" w:cs="Times New Roman"/>
          <w:i/>
          <w:iCs/>
        </w:rPr>
      </w:pPr>
    </w:p>
    <w:p w14:paraId="44083369" w14:textId="77777777" w:rsidR="00443F5F" w:rsidRPr="009037F6" w:rsidRDefault="00443F5F" w:rsidP="00443F5F">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09A927DA" w14:textId="77777777" w:rsidR="00443F5F" w:rsidRPr="009037F6" w:rsidRDefault="00443F5F" w:rsidP="00443F5F">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43F5F" w:rsidRPr="009037F6" w14:paraId="1A907341" w14:textId="77777777" w:rsidTr="007601B2">
        <w:trPr>
          <w:trHeight w:val="345"/>
          <w:jc w:val="center"/>
        </w:trPr>
        <w:tc>
          <w:tcPr>
            <w:tcW w:w="8784" w:type="dxa"/>
            <w:tcBorders>
              <w:bottom w:val="single" w:sz="4" w:space="0" w:color="auto"/>
            </w:tcBorders>
          </w:tcPr>
          <w:p w14:paraId="467418BF" w14:textId="77777777" w:rsidR="00EB2105" w:rsidRDefault="00E12848" w:rsidP="00F81B11">
            <w:pPr>
              <w:spacing w:line="276" w:lineRule="auto"/>
              <w:jc w:val="both"/>
              <w:rPr>
                <w:rFonts w:ascii="Verdana" w:hAnsi="Verdana" w:cs="Arial"/>
                <w:lang w:val="es-ES" w:eastAsia="es-ES"/>
              </w:rPr>
            </w:pPr>
            <w:r>
              <w:rPr>
                <w:rFonts w:ascii="Verdana" w:eastAsia="Times New Roman" w:hAnsi="Verdana" w:cs="Arial"/>
                <w:color w:val="000000" w:themeColor="text1"/>
                <w:lang w:val="es-ES" w:eastAsia="es-ES"/>
              </w:rPr>
              <w:t>i</w:t>
            </w:r>
            <w:r w:rsidR="002C4879">
              <w:rPr>
                <w:rFonts w:ascii="Verdana" w:eastAsia="Times New Roman" w:hAnsi="Verdana" w:cs="Arial"/>
                <w:color w:val="000000" w:themeColor="text1"/>
                <w:lang w:val="es-ES" w:eastAsia="es-ES"/>
              </w:rPr>
              <w:t xml:space="preserve">) </w:t>
            </w:r>
            <w:r w:rsidR="00443F5F" w:rsidRPr="004F3256">
              <w:rPr>
                <w:rFonts w:ascii="Verdana" w:eastAsia="Times New Roman" w:hAnsi="Verdana" w:cs="Arial"/>
                <w:color w:val="000000" w:themeColor="text1"/>
                <w:lang w:val="es-ES" w:eastAsia="es-ES"/>
              </w:rPr>
              <w:t xml:space="preserve">Sí es jurídicamente procedente. </w:t>
            </w:r>
            <w:r w:rsidR="00295536" w:rsidRPr="004F3256">
              <w:rPr>
                <w:rFonts w:ascii="Verdana" w:eastAsia="Times New Roman" w:hAnsi="Verdana" w:cs="Arial"/>
                <w:color w:val="000000" w:themeColor="text1"/>
                <w:lang w:val="es-ES" w:eastAsia="es-ES"/>
              </w:rPr>
              <w:t xml:space="preserve">El artículo </w:t>
            </w:r>
            <w:r w:rsidR="00295536" w:rsidRPr="00295536">
              <w:rPr>
                <w:rFonts w:ascii="Verdana" w:eastAsia="Times New Roman" w:hAnsi="Verdana" w:cs="Arial"/>
                <w:color w:val="000000" w:themeColor="text1"/>
                <w:lang w:val="es-ES" w:eastAsia="es-ES"/>
              </w:rPr>
              <w:t>2.1.1.2.1.7</w:t>
            </w:r>
            <w:r w:rsidR="00295536">
              <w:rPr>
                <w:rFonts w:ascii="Verdana" w:eastAsia="Times New Roman" w:hAnsi="Verdana" w:cs="Arial"/>
                <w:color w:val="000000" w:themeColor="text1"/>
                <w:lang w:val="es-ES" w:eastAsia="es-ES"/>
              </w:rPr>
              <w:t xml:space="preserve"> </w:t>
            </w:r>
            <w:r w:rsidR="00295536" w:rsidRPr="004F3256">
              <w:rPr>
                <w:rFonts w:ascii="Verdana" w:eastAsia="Times New Roman" w:hAnsi="Verdana" w:cs="Arial"/>
                <w:color w:val="000000" w:themeColor="text1"/>
                <w:lang w:val="es-ES" w:eastAsia="es-ES"/>
              </w:rPr>
              <w:t>del Decreto 108</w:t>
            </w:r>
            <w:r w:rsidR="00295536">
              <w:rPr>
                <w:rFonts w:ascii="Verdana" w:eastAsia="Times New Roman" w:hAnsi="Verdana" w:cs="Arial"/>
                <w:color w:val="000000" w:themeColor="text1"/>
                <w:lang w:val="es-ES" w:eastAsia="es-ES"/>
              </w:rPr>
              <w:t>1</w:t>
            </w:r>
            <w:r w:rsidR="00295536" w:rsidRPr="004F3256">
              <w:rPr>
                <w:rFonts w:ascii="Verdana" w:eastAsia="Times New Roman" w:hAnsi="Verdana" w:cs="Arial"/>
                <w:color w:val="000000" w:themeColor="text1"/>
                <w:lang w:val="es-ES" w:eastAsia="es-ES"/>
              </w:rPr>
              <w:t xml:space="preserve"> de 2015 señala el deber de publicar</w:t>
            </w:r>
            <w:r w:rsidR="00295536">
              <w:rPr>
                <w:rFonts w:ascii="Verdana" w:eastAsia="Times New Roman" w:hAnsi="Verdana" w:cs="Arial"/>
                <w:color w:val="000000" w:themeColor="text1"/>
                <w:lang w:val="es-ES" w:eastAsia="es-ES"/>
              </w:rPr>
              <w:t xml:space="preserve">, y las normas de las compras públicas </w:t>
            </w:r>
            <w:r w:rsidR="00295536" w:rsidRPr="004F3256">
              <w:rPr>
                <w:rFonts w:ascii="Verdana" w:eastAsia="Times New Roman" w:hAnsi="Verdana" w:cs="Arial"/>
                <w:color w:val="000000" w:themeColor="text1"/>
                <w:lang w:val="es-ES" w:eastAsia="es-ES"/>
              </w:rPr>
              <w:t>no subordina</w:t>
            </w:r>
            <w:r w:rsidR="00295536">
              <w:rPr>
                <w:rFonts w:ascii="Verdana" w:eastAsia="Times New Roman" w:hAnsi="Verdana" w:cs="Arial"/>
                <w:color w:val="000000" w:themeColor="text1"/>
                <w:lang w:val="es-ES" w:eastAsia="es-ES"/>
              </w:rPr>
              <w:t>n</w:t>
            </w:r>
            <w:r w:rsidR="00295536" w:rsidRPr="004F3256">
              <w:rPr>
                <w:rFonts w:ascii="Verdana" w:eastAsia="Times New Roman" w:hAnsi="Verdana" w:cs="Arial"/>
                <w:color w:val="000000" w:themeColor="text1"/>
                <w:lang w:val="es-ES" w:eastAsia="es-ES"/>
              </w:rPr>
              <w:t xml:space="preserve"> la existencia de la obligación a</w:t>
            </w:r>
            <w:r w:rsidR="00295536">
              <w:rPr>
                <w:rFonts w:ascii="Verdana" w:eastAsia="Times New Roman" w:hAnsi="Verdana" w:cs="Arial"/>
                <w:color w:val="000000" w:themeColor="text1"/>
                <w:lang w:val="es-ES" w:eastAsia="es-ES"/>
              </w:rPr>
              <w:t>l v</w:t>
            </w:r>
            <w:r w:rsidR="00295536" w:rsidRPr="004F3256">
              <w:rPr>
                <w:rFonts w:ascii="Verdana" w:eastAsia="Times New Roman" w:hAnsi="Verdana" w:cs="Arial"/>
                <w:color w:val="000000" w:themeColor="text1"/>
                <w:lang w:val="es-ES" w:eastAsia="es-ES"/>
              </w:rPr>
              <w:t xml:space="preserve">encido </w:t>
            </w:r>
            <w:r w:rsidR="002811D5">
              <w:rPr>
                <w:rFonts w:ascii="Verdana" w:eastAsia="Times New Roman" w:hAnsi="Verdana" w:cs="Arial"/>
                <w:color w:val="000000" w:themeColor="text1"/>
                <w:lang w:val="es-ES" w:eastAsia="es-ES"/>
              </w:rPr>
              <w:t>del</w:t>
            </w:r>
            <w:r w:rsidR="00295536" w:rsidRPr="004F3256">
              <w:rPr>
                <w:rFonts w:ascii="Verdana" w:eastAsia="Times New Roman" w:hAnsi="Verdana" w:cs="Arial"/>
                <w:color w:val="000000" w:themeColor="text1"/>
                <w:lang w:val="es-ES" w:eastAsia="es-ES"/>
              </w:rPr>
              <w:t xml:space="preserve"> término, el deber</w:t>
            </w:r>
            <w:r w:rsidR="00295536">
              <w:rPr>
                <w:rFonts w:ascii="Verdana" w:eastAsia="Times New Roman" w:hAnsi="Verdana" w:cs="Arial"/>
                <w:color w:val="000000" w:themeColor="text1"/>
                <w:lang w:val="es-ES" w:eastAsia="es-ES"/>
              </w:rPr>
              <w:t xml:space="preserve"> de publicar </w:t>
            </w:r>
            <w:r w:rsidR="00295536" w:rsidRPr="004F3256">
              <w:rPr>
                <w:rFonts w:ascii="Verdana" w:eastAsia="Times New Roman" w:hAnsi="Verdana" w:cs="Arial"/>
                <w:color w:val="000000" w:themeColor="text1"/>
                <w:lang w:val="es-ES" w:eastAsia="es-ES"/>
              </w:rPr>
              <w:t>permanece y la entidad debe surtir la publicación, pues el documento mantiene su calidad de información pública mientras no esté amparado por reserva constitucional o legal.</w:t>
            </w:r>
            <w:r w:rsidR="00295536" w:rsidRPr="004F3256">
              <w:rPr>
                <w:rStyle w:val="Refdenotaalpie"/>
                <w:rFonts w:ascii="Verdana" w:hAnsi="Verdana"/>
                <w:sz w:val="20"/>
              </w:rPr>
              <w:footnoteReference w:id="1"/>
            </w:r>
            <w:r w:rsidR="00295536">
              <w:rPr>
                <w:rFonts w:ascii="Verdana" w:eastAsia="Times New Roman" w:hAnsi="Verdana" w:cs="Arial"/>
                <w:color w:val="000000" w:themeColor="text1"/>
                <w:lang w:val="es-ES" w:eastAsia="es-ES"/>
              </w:rPr>
              <w:t xml:space="preserve"> </w:t>
            </w:r>
          </w:p>
          <w:p w14:paraId="3D5FE98E" w14:textId="08C78784" w:rsidR="00E12848" w:rsidRPr="00632667" w:rsidRDefault="002811D5" w:rsidP="00F81B11">
            <w:pPr>
              <w:spacing w:line="276" w:lineRule="auto"/>
              <w:ind w:firstLine="875"/>
              <w:jc w:val="both"/>
              <w:rPr>
                <w:rFonts w:ascii="Verdana" w:hAnsi="Verdana" w:cs="Arial"/>
                <w:lang w:val="es-ES" w:eastAsia="es-ES"/>
              </w:rPr>
            </w:pPr>
            <w:r>
              <w:rPr>
                <w:rFonts w:ascii="Verdana" w:eastAsia="Times New Roman" w:hAnsi="Verdana" w:cs="Arial"/>
                <w:bCs/>
                <w:color w:val="000000" w:themeColor="text1"/>
                <w:lang w:val="es-ES" w:eastAsia="es-ES"/>
              </w:rPr>
              <w:t>Ahora bien, l</w:t>
            </w:r>
            <w:r w:rsidR="00E12848" w:rsidRPr="00915472">
              <w:rPr>
                <w:rFonts w:ascii="Verdana" w:eastAsia="Times New Roman" w:hAnsi="Verdana" w:cs="Arial"/>
                <w:bCs/>
                <w:color w:val="000000" w:themeColor="text1"/>
                <w:lang w:val="es-ES" w:eastAsia="es-ES"/>
              </w:rPr>
              <w:t>a forma de surtir la publicación depende de la versión del SECOP en que se gestionó el Proceso de Contratación. En el SECOP I, que opera únicamente como medio de publicidad, los documentos se expiden por fuera de la plataforma y se cargan en ella dentro de los tres días siguientes</w:t>
            </w:r>
            <w:r>
              <w:rPr>
                <w:rFonts w:ascii="Verdana" w:eastAsia="Times New Roman" w:hAnsi="Verdana" w:cs="Arial"/>
                <w:bCs/>
                <w:color w:val="000000" w:themeColor="text1"/>
                <w:lang w:val="es-ES" w:eastAsia="es-ES"/>
              </w:rPr>
              <w:t xml:space="preserve"> (artículo </w:t>
            </w:r>
            <w:r w:rsidRPr="002811D5">
              <w:rPr>
                <w:rFonts w:ascii="Verdana" w:eastAsia="Times New Roman" w:hAnsi="Verdana" w:cs="Arial"/>
                <w:bCs/>
                <w:color w:val="000000" w:themeColor="text1"/>
                <w:lang w:val="es-ES" w:eastAsia="es-ES"/>
              </w:rPr>
              <w:t>Art. 2.2.1.1.1.7.1</w:t>
            </w:r>
            <w:r>
              <w:rPr>
                <w:rFonts w:ascii="Verdana" w:eastAsia="Times New Roman" w:hAnsi="Verdana" w:cs="Arial"/>
                <w:bCs/>
                <w:color w:val="000000" w:themeColor="text1"/>
                <w:lang w:val="es-ES" w:eastAsia="es-ES"/>
              </w:rPr>
              <w:t xml:space="preserve"> del </w:t>
            </w:r>
            <w:r w:rsidRPr="002811D5">
              <w:rPr>
                <w:rFonts w:ascii="Verdana" w:eastAsia="Times New Roman" w:hAnsi="Verdana" w:cs="Arial"/>
                <w:bCs/>
                <w:color w:val="000000" w:themeColor="text1"/>
                <w:lang w:val="es-ES" w:eastAsia="es-ES"/>
              </w:rPr>
              <w:t>Decreto 1082 de 2015</w:t>
            </w:r>
            <w:r>
              <w:rPr>
                <w:rFonts w:ascii="Verdana" w:eastAsia="Times New Roman" w:hAnsi="Verdana" w:cs="Arial"/>
                <w:bCs/>
                <w:color w:val="000000" w:themeColor="text1"/>
                <w:lang w:val="es-ES" w:eastAsia="es-ES"/>
              </w:rPr>
              <w:t>)</w:t>
            </w:r>
            <w:r w:rsidR="00E12848" w:rsidRPr="00915472">
              <w:rPr>
                <w:rFonts w:ascii="Verdana" w:eastAsia="Times New Roman" w:hAnsi="Verdana" w:cs="Arial"/>
                <w:bCs/>
                <w:color w:val="000000" w:themeColor="text1"/>
                <w:lang w:val="es-ES" w:eastAsia="es-ES"/>
              </w:rPr>
              <w:t>; la publicación omitida se subsana, entonces, cargando los documentos. En el SECOP II, de carácter transaccional, el procedimiento se crea, evalúa, adjudica y ejecuta en línea, de manera que los hitos contractuales se perfeccionan con la aprobación de las partes y quedan publicados en ese mismo acto; allí la publicidad es simultánea a la actuación y, en principio, el término de tres días no opera.</w:t>
            </w:r>
            <w:r w:rsidR="00E12848" w:rsidRPr="004F3256">
              <w:rPr>
                <w:rStyle w:val="Refdenotaalpie"/>
                <w:rFonts w:ascii="Verdana" w:hAnsi="Verdana"/>
                <w:sz w:val="20"/>
              </w:rPr>
              <w:footnoteReference w:id="2"/>
            </w:r>
          </w:p>
          <w:p w14:paraId="3A1A7803" w14:textId="1852C909" w:rsidR="002C4879" w:rsidRPr="002811D5" w:rsidRDefault="00443F5F" w:rsidP="00F81B11">
            <w:pPr>
              <w:spacing w:line="276" w:lineRule="auto"/>
              <w:ind w:firstLine="875"/>
              <w:jc w:val="both"/>
              <w:rPr>
                <w:rFonts w:ascii="Verdana" w:eastAsia="Times New Roman" w:hAnsi="Verdana" w:cs="Arial"/>
                <w:bCs/>
                <w:color w:val="000000" w:themeColor="text1"/>
                <w:lang w:val="es-ES" w:eastAsia="es-ES"/>
              </w:rPr>
            </w:pPr>
            <w:r w:rsidRPr="00915472">
              <w:rPr>
                <w:rFonts w:ascii="Verdana" w:eastAsia="Times New Roman" w:hAnsi="Verdana" w:cs="Arial"/>
                <w:bCs/>
                <w:color w:val="000000" w:themeColor="text1"/>
                <w:lang w:val="es-ES" w:eastAsia="es-ES"/>
              </w:rPr>
              <w:t>La publicación tardía produce efectos hacia el futuro y no sanea la inobservancia del plazo. Las consecuencias que de la demora se deriven las valoran los organismos de control o las autoridades judiciales, dentro de sus competencias</w:t>
            </w:r>
            <w:r w:rsidR="002C4879">
              <w:rPr>
                <w:rFonts w:ascii="Verdana" w:eastAsia="Times New Roman" w:hAnsi="Verdana" w:cs="Arial"/>
                <w:bCs/>
                <w:color w:val="000000" w:themeColor="text1"/>
                <w:lang w:val="es-ES" w:eastAsia="es-ES"/>
              </w:rPr>
              <w:t>.</w:t>
            </w:r>
            <w:r w:rsidRPr="004F3256">
              <w:rPr>
                <w:rStyle w:val="Refdenotaalpie"/>
                <w:rFonts w:ascii="Verdana" w:hAnsi="Verdana"/>
                <w:sz w:val="20"/>
              </w:rPr>
              <w:footnoteReference w:id="3"/>
            </w:r>
          </w:p>
          <w:p w14:paraId="77F1FB5B" w14:textId="56D83424" w:rsidR="00443F5F" w:rsidRDefault="00443F5F" w:rsidP="00D3722A">
            <w:pPr>
              <w:spacing w:line="276" w:lineRule="auto"/>
              <w:ind w:firstLine="875"/>
              <w:jc w:val="both"/>
              <w:rPr>
                <w:rFonts w:ascii="Verdana" w:eastAsia="Times New Roman" w:hAnsi="Verdana" w:cs="Arial"/>
                <w:bCs/>
                <w:color w:val="000000" w:themeColor="text1"/>
                <w:lang w:val="es-ES" w:eastAsia="es-ES"/>
              </w:rPr>
            </w:pPr>
            <w:proofErr w:type="spellStart"/>
            <w:r w:rsidRPr="00915472">
              <w:rPr>
                <w:rFonts w:ascii="Verdana" w:eastAsia="Times New Roman" w:hAnsi="Verdana" w:cs="Arial"/>
                <w:bCs/>
                <w:color w:val="000000" w:themeColor="text1"/>
                <w:lang w:val="es-ES" w:eastAsia="es-ES"/>
              </w:rPr>
              <w:t>ii</w:t>
            </w:r>
            <w:proofErr w:type="spellEnd"/>
            <w:r w:rsidRPr="00915472">
              <w:rPr>
                <w:rFonts w:ascii="Verdana" w:eastAsia="Times New Roman" w:hAnsi="Verdana" w:cs="Arial"/>
                <w:bCs/>
                <w:color w:val="000000" w:themeColor="text1"/>
                <w:lang w:val="es-ES" w:eastAsia="es-ES"/>
              </w:rPr>
              <w:t xml:space="preserve">) </w:t>
            </w:r>
            <w:r w:rsidR="002C4879">
              <w:rPr>
                <w:rFonts w:ascii="Verdana" w:eastAsia="Times New Roman" w:hAnsi="Verdana" w:cs="Arial"/>
                <w:bCs/>
                <w:color w:val="000000" w:themeColor="text1"/>
                <w:lang w:val="es-ES" w:eastAsia="es-ES"/>
              </w:rPr>
              <w:t>Para el caso en mención por el peticionario, l</w:t>
            </w:r>
            <w:r w:rsidRPr="00915472">
              <w:rPr>
                <w:rFonts w:ascii="Verdana" w:eastAsia="Times New Roman" w:hAnsi="Verdana" w:cs="Arial"/>
                <w:bCs/>
                <w:color w:val="000000" w:themeColor="text1"/>
                <w:lang w:val="es-ES" w:eastAsia="es-ES"/>
              </w:rPr>
              <w:t>os medios son el SECOP y el sitio web oficial de la entidad, cada uno con un contenido propio. La intranet no satisface el deber</w:t>
            </w:r>
            <w:r w:rsidR="002811D5">
              <w:rPr>
                <w:rFonts w:ascii="Verdana" w:eastAsia="Times New Roman" w:hAnsi="Verdana" w:cs="Arial"/>
                <w:bCs/>
                <w:color w:val="000000" w:themeColor="text1"/>
                <w:lang w:val="es-ES" w:eastAsia="es-ES"/>
              </w:rPr>
              <w:t xml:space="preserve"> de publicar</w:t>
            </w:r>
            <w:r w:rsidRPr="00915472">
              <w:rPr>
                <w:rFonts w:ascii="Verdana" w:eastAsia="Times New Roman" w:hAnsi="Verdana" w:cs="Arial"/>
                <w:bCs/>
                <w:color w:val="000000" w:themeColor="text1"/>
                <w:lang w:val="es-ES" w:eastAsia="es-ES"/>
              </w:rPr>
              <w:t>.</w:t>
            </w:r>
          </w:p>
          <w:p w14:paraId="621B9878" w14:textId="5095C5DB" w:rsidR="00EB2105" w:rsidRDefault="00EB2105" w:rsidP="00EB2105">
            <w:pPr>
              <w:spacing w:line="276" w:lineRule="auto"/>
              <w:ind w:firstLine="875"/>
              <w:jc w:val="both"/>
              <w:rPr>
                <w:rFonts w:ascii="Verdana" w:hAnsi="Verdana" w:cs="Arial"/>
                <w:lang w:val="es-ES" w:eastAsia="es-ES"/>
              </w:rPr>
            </w:pPr>
            <w:r>
              <w:rPr>
                <w:rFonts w:ascii="Verdana" w:eastAsia="Times New Roman" w:hAnsi="Verdana" w:cs="Arial"/>
                <w:bCs/>
                <w:color w:val="000000" w:themeColor="text1"/>
                <w:lang w:val="es-ES" w:eastAsia="es-ES"/>
              </w:rPr>
              <w:t>Antes de proseguir, y atendiendo la época del convenio que menciona en su petición, se debe indicar que la</w:t>
            </w:r>
            <w:r w:rsidRPr="00915472">
              <w:rPr>
                <w:rFonts w:ascii="Verdana" w:eastAsia="Times New Roman" w:hAnsi="Verdana" w:cs="Arial"/>
                <w:bCs/>
                <w:color w:val="000000" w:themeColor="text1"/>
                <w:lang w:val="es-ES" w:eastAsia="es-ES"/>
              </w:rPr>
              <w:t xml:space="preserve">s normas con arreglo a las cuales se </w:t>
            </w:r>
            <w:r w:rsidRPr="00915472">
              <w:rPr>
                <w:rFonts w:ascii="Verdana" w:eastAsia="Times New Roman" w:hAnsi="Verdana" w:cs="Arial"/>
                <w:bCs/>
                <w:color w:val="000000" w:themeColor="text1"/>
                <w:lang w:val="es-ES" w:eastAsia="es-ES"/>
              </w:rPr>
              <w:lastRenderedPageBreak/>
              <w:t xml:space="preserve">verifica el cumplimiento </w:t>
            </w:r>
            <w:r>
              <w:rPr>
                <w:rFonts w:ascii="Verdana" w:eastAsia="Times New Roman" w:hAnsi="Verdana" w:cs="Arial"/>
                <w:bCs/>
                <w:color w:val="000000" w:themeColor="text1"/>
                <w:lang w:val="es-ES" w:eastAsia="es-ES"/>
              </w:rPr>
              <w:t xml:space="preserve">del deber de publicación </w:t>
            </w:r>
            <w:r w:rsidRPr="00915472">
              <w:rPr>
                <w:rFonts w:ascii="Verdana" w:eastAsia="Times New Roman" w:hAnsi="Verdana" w:cs="Arial"/>
                <w:bCs/>
                <w:color w:val="000000" w:themeColor="text1"/>
                <w:lang w:val="es-ES" w:eastAsia="es-ES"/>
              </w:rPr>
              <w:t>son las que regían cuando el contrato o convenio se celebró, conforme al artículo 38 de la Ley 153 de 1887. Las expedidas con posterioridad no se aplican de manera retroactiva, salvo que ellas mismas dispongan su aplicación inmediata o se trate de disposiciones de orden público ineludibles.</w:t>
            </w:r>
            <w:r w:rsidRPr="004F3256">
              <w:rPr>
                <w:rStyle w:val="Refdenotaalpie"/>
                <w:rFonts w:ascii="Verdana" w:hAnsi="Verdana"/>
                <w:sz w:val="20"/>
              </w:rPr>
              <w:footnoteReference w:id="4"/>
            </w:r>
          </w:p>
          <w:p w14:paraId="0F516D88" w14:textId="13CAB5FD" w:rsidR="002811D5" w:rsidRDefault="002811D5" w:rsidP="002811D5">
            <w:pPr>
              <w:spacing w:line="276" w:lineRule="auto"/>
              <w:ind w:firstLine="875"/>
              <w:jc w:val="both"/>
              <w:rPr>
                <w:rFonts w:ascii="Verdana" w:eastAsia="Times New Roman" w:hAnsi="Verdana" w:cs="Arial"/>
                <w:bCs/>
                <w:color w:val="000000" w:themeColor="text1"/>
                <w:lang w:val="es-ES" w:eastAsia="es-ES"/>
              </w:rPr>
            </w:pPr>
            <w:r>
              <w:rPr>
                <w:rFonts w:ascii="Verdana" w:eastAsia="Times New Roman" w:hAnsi="Verdana" w:cs="Arial"/>
                <w:bCs/>
                <w:color w:val="000000" w:themeColor="text1"/>
                <w:lang w:val="es-ES" w:eastAsia="es-ES"/>
              </w:rPr>
              <w:t xml:space="preserve">SECOP: </w:t>
            </w:r>
            <w:r w:rsidR="00EB2105">
              <w:rPr>
                <w:rFonts w:ascii="Verdana" w:eastAsia="Times New Roman" w:hAnsi="Verdana" w:cs="Arial"/>
                <w:bCs/>
                <w:color w:val="000000" w:themeColor="text1"/>
                <w:lang w:val="es-ES" w:eastAsia="es-ES"/>
              </w:rPr>
              <w:t>S</w:t>
            </w:r>
            <w:r>
              <w:rPr>
                <w:rFonts w:ascii="Verdana" w:eastAsia="Times New Roman" w:hAnsi="Verdana" w:cs="Arial"/>
                <w:bCs/>
                <w:color w:val="000000" w:themeColor="text1"/>
                <w:lang w:val="es-ES" w:eastAsia="es-ES"/>
              </w:rPr>
              <w:t xml:space="preserve">e debe insistir que las normas que rigen el deber de publicar son </w:t>
            </w:r>
            <w:r w:rsidRPr="00915472">
              <w:rPr>
                <w:rFonts w:ascii="Verdana" w:eastAsia="Times New Roman" w:hAnsi="Verdana" w:cs="Arial"/>
                <w:bCs/>
                <w:color w:val="000000" w:themeColor="text1"/>
                <w:lang w:val="es-ES" w:eastAsia="es-ES"/>
              </w:rPr>
              <w:t>el artículo 3 de la Ley 1150 de 2007 y el artículo 2.1.1.2.1.7 del Decreto 1081 de 2015 identifica</w:t>
            </w:r>
            <w:r>
              <w:rPr>
                <w:rFonts w:ascii="Verdana" w:eastAsia="Times New Roman" w:hAnsi="Verdana" w:cs="Arial"/>
                <w:bCs/>
                <w:color w:val="000000" w:themeColor="text1"/>
                <w:lang w:val="es-ES" w:eastAsia="es-ES"/>
              </w:rPr>
              <w:t>n</w:t>
            </w:r>
            <w:r w:rsidRPr="00915472">
              <w:rPr>
                <w:rFonts w:ascii="Verdana" w:eastAsia="Times New Roman" w:hAnsi="Verdana" w:cs="Arial"/>
                <w:bCs/>
                <w:color w:val="000000" w:themeColor="text1"/>
                <w:lang w:val="es-ES" w:eastAsia="es-ES"/>
              </w:rPr>
              <w:t xml:space="preserve"> </w:t>
            </w:r>
            <w:r>
              <w:rPr>
                <w:rFonts w:ascii="Verdana" w:eastAsia="Times New Roman" w:hAnsi="Verdana" w:cs="Arial"/>
                <w:bCs/>
                <w:color w:val="000000" w:themeColor="text1"/>
                <w:lang w:val="es-ES" w:eastAsia="es-ES"/>
              </w:rPr>
              <w:t>el SECOP</w:t>
            </w:r>
            <w:r w:rsidRPr="00915472">
              <w:rPr>
                <w:rFonts w:ascii="Verdana" w:eastAsia="Times New Roman" w:hAnsi="Verdana" w:cs="Arial"/>
                <w:bCs/>
                <w:color w:val="000000" w:themeColor="text1"/>
                <w:lang w:val="es-ES" w:eastAsia="es-ES"/>
              </w:rPr>
              <w:t xml:space="preserve"> como aquel en el cual los sujetos obligados que contratan con cargo a recursos públicos cumplen la obligación de publicar la información de su gestión contractual. Allí se publican el convenio y los demás Documentos del Proceso, así como los documentos que prueban la ejecución del contrato.</w:t>
            </w:r>
            <w:r w:rsidRPr="004F3256">
              <w:rPr>
                <w:rStyle w:val="Refdenotaalpie"/>
                <w:rFonts w:ascii="Verdana" w:hAnsi="Verdana"/>
                <w:sz w:val="20"/>
              </w:rPr>
              <w:footnoteReference w:id="5"/>
            </w:r>
            <w:r>
              <w:rPr>
                <w:rFonts w:ascii="Verdana" w:eastAsia="Times New Roman" w:hAnsi="Verdana" w:cs="Arial"/>
                <w:bCs/>
                <w:color w:val="000000" w:themeColor="text1"/>
                <w:lang w:val="es-ES" w:eastAsia="es-ES"/>
              </w:rPr>
              <w:t xml:space="preserve"> En todo caso, siempre teniendo en cuenta la diferencia que existen entre el </w:t>
            </w:r>
            <w:proofErr w:type="spellStart"/>
            <w:r>
              <w:rPr>
                <w:rFonts w:ascii="Verdana" w:eastAsia="Times New Roman" w:hAnsi="Verdana" w:cs="Arial"/>
                <w:bCs/>
                <w:color w:val="000000" w:themeColor="text1"/>
                <w:lang w:val="es-ES" w:eastAsia="es-ES"/>
              </w:rPr>
              <w:t>Secop</w:t>
            </w:r>
            <w:proofErr w:type="spellEnd"/>
            <w:r>
              <w:rPr>
                <w:rFonts w:ascii="Verdana" w:eastAsia="Times New Roman" w:hAnsi="Verdana" w:cs="Arial"/>
                <w:bCs/>
                <w:color w:val="000000" w:themeColor="text1"/>
                <w:lang w:val="es-ES" w:eastAsia="es-ES"/>
              </w:rPr>
              <w:t xml:space="preserve"> I donde se aplican el término de tres (3) días, y el </w:t>
            </w:r>
            <w:proofErr w:type="spellStart"/>
            <w:r>
              <w:rPr>
                <w:rFonts w:ascii="Verdana" w:eastAsia="Times New Roman" w:hAnsi="Verdana" w:cs="Arial"/>
                <w:bCs/>
                <w:color w:val="000000" w:themeColor="text1"/>
                <w:lang w:val="es-ES" w:eastAsia="es-ES"/>
              </w:rPr>
              <w:t>Secop</w:t>
            </w:r>
            <w:proofErr w:type="spellEnd"/>
            <w:r>
              <w:rPr>
                <w:rFonts w:ascii="Verdana" w:eastAsia="Times New Roman" w:hAnsi="Verdana" w:cs="Arial"/>
                <w:bCs/>
                <w:color w:val="000000" w:themeColor="text1"/>
                <w:lang w:val="es-ES" w:eastAsia="es-ES"/>
              </w:rPr>
              <w:t xml:space="preserve"> II en el que ese término no opera debido a su carácter transaccional.</w:t>
            </w:r>
          </w:p>
          <w:p w14:paraId="3AE8CC87" w14:textId="577E9579" w:rsidR="00443F5F" w:rsidRDefault="00EB2105" w:rsidP="00D3722A">
            <w:pPr>
              <w:spacing w:line="276" w:lineRule="auto"/>
              <w:ind w:firstLine="875"/>
              <w:jc w:val="both"/>
              <w:rPr>
                <w:rFonts w:ascii="Verdana" w:hAnsi="Verdana" w:cs="Arial"/>
                <w:lang w:val="es-ES" w:eastAsia="es-ES"/>
              </w:rPr>
            </w:pPr>
            <w:r>
              <w:rPr>
                <w:rFonts w:ascii="Verdana" w:eastAsia="Times New Roman" w:hAnsi="Verdana" w:cs="Arial"/>
                <w:bCs/>
                <w:color w:val="000000" w:themeColor="text1"/>
                <w:lang w:val="es-ES" w:eastAsia="es-ES"/>
              </w:rPr>
              <w:t>PÁGINA WEB: En</w:t>
            </w:r>
            <w:r w:rsidR="006676A8">
              <w:rPr>
                <w:rFonts w:ascii="Verdana" w:eastAsia="Times New Roman" w:hAnsi="Verdana" w:cs="Arial"/>
                <w:bCs/>
                <w:color w:val="000000" w:themeColor="text1"/>
                <w:lang w:val="es-ES" w:eastAsia="es-ES"/>
              </w:rPr>
              <w:t xml:space="preserve"> relación a las normas que regulan la publicación en </w:t>
            </w:r>
            <w:r w:rsidR="00443F5F" w:rsidRPr="00915472">
              <w:rPr>
                <w:rFonts w:ascii="Verdana" w:eastAsia="Times New Roman" w:hAnsi="Verdana" w:cs="Arial"/>
                <w:bCs/>
                <w:color w:val="000000" w:themeColor="text1"/>
                <w:lang w:val="es-ES" w:eastAsia="es-ES"/>
              </w:rPr>
              <w:t>el sitio web oficia</w:t>
            </w:r>
            <w:r>
              <w:rPr>
                <w:rFonts w:ascii="Verdana" w:eastAsia="Times New Roman" w:hAnsi="Verdana" w:cs="Arial"/>
                <w:bCs/>
                <w:color w:val="000000" w:themeColor="text1"/>
                <w:lang w:val="es-ES" w:eastAsia="es-ES"/>
              </w:rPr>
              <w:t>l</w:t>
            </w:r>
            <w:r w:rsidR="006676A8">
              <w:rPr>
                <w:rFonts w:ascii="Verdana" w:eastAsia="Times New Roman" w:hAnsi="Verdana" w:cs="Arial"/>
                <w:bCs/>
                <w:color w:val="000000" w:themeColor="text1"/>
                <w:lang w:val="es-ES" w:eastAsia="es-ES"/>
              </w:rPr>
              <w:t xml:space="preserve"> para la época del señalado convenio</w:t>
            </w:r>
            <w:r w:rsidR="00443F5F" w:rsidRPr="00915472">
              <w:rPr>
                <w:rFonts w:ascii="Verdana" w:eastAsia="Times New Roman" w:hAnsi="Verdana" w:cs="Arial"/>
                <w:bCs/>
                <w:color w:val="000000" w:themeColor="text1"/>
                <w:lang w:val="es-ES" w:eastAsia="es-ES"/>
              </w:rPr>
              <w:t>, el artículo 2.1.1.2.1.4 del Decreto 1081 de 2015 ordena disponer, en la página principal, una sección identificada como «Transparencia y acceso a información pública» con la información mínima de los artículos 9, 10 y 11 de la Ley 1712 de 2014; y prevé que, cuando esa información repose en un sistema de información del Estado, el sujeto obligado la identifique y habilite los enlaces de acceso. El deber relativo al sitio web se cumple, en consecuencia, con esa sección y con el enlace al expediente del SECOP, sin perjuicio de publicar allí el Plan Anual de Adquisiciones y el manual de contratación.</w:t>
            </w:r>
            <w:r w:rsidR="00443F5F" w:rsidRPr="004F3256">
              <w:rPr>
                <w:rStyle w:val="Refdenotaalpie"/>
                <w:rFonts w:ascii="Verdana" w:hAnsi="Verdana"/>
                <w:sz w:val="20"/>
              </w:rPr>
              <w:footnoteReference w:id="6"/>
            </w:r>
          </w:p>
          <w:p w14:paraId="2EBDCBBF" w14:textId="77777777" w:rsidR="00443F5F" w:rsidRDefault="00443F5F" w:rsidP="00D3722A">
            <w:pPr>
              <w:spacing w:line="276" w:lineRule="auto"/>
              <w:ind w:firstLine="875"/>
              <w:jc w:val="both"/>
              <w:rPr>
                <w:rFonts w:ascii="Verdana" w:hAnsi="Verdana" w:cs="Arial"/>
                <w:lang w:val="es-ES" w:eastAsia="es-ES"/>
              </w:rPr>
            </w:pPr>
            <w:r w:rsidRPr="00915472">
              <w:rPr>
                <w:rFonts w:ascii="Verdana" w:eastAsia="Times New Roman" w:hAnsi="Verdana" w:cs="Arial"/>
                <w:bCs/>
                <w:color w:val="000000" w:themeColor="text1"/>
                <w:lang w:val="es-ES" w:eastAsia="es-ES"/>
              </w:rPr>
              <w:t xml:space="preserve">La intranet no sirve a ese propósito. Es un canal de consulta reservado a los servidores de la entidad, mientras que el artículo 2 de la Ley 1712 de 2014 exige que la información esté al alcance de cualquier persona sin que deba acreditar calidad, interés o condición particular. Su utilización no </w:t>
            </w:r>
            <w:r w:rsidRPr="00915472">
              <w:rPr>
                <w:rFonts w:ascii="Verdana" w:eastAsia="Times New Roman" w:hAnsi="Verdana" w:cs="Arial"/>
                <w:bCs/>
                <w:color w:val="000000" w:themeColor="text1"/>
                <w:lang w:val="es-ES" w:eastAsia="es-ES"/>
              </w:rPr>
              <w:lastRenderedPageBreak/>
              <w:t>reemplaza la publicación en el SECOP ni la sección de transparencia del sitio web.</w:t>
            </w:r>
            <w:r w:rsidRPr="004F3256">
              <w:rPr>
                <w:rStyle w:val="Refdenotaalpie"/>
                <w:rFonts w:ascii="Verdana" w:hAnsi="Verdana"/>
                <w:sz w:val="20"/>
              </w:rPr>
              <w:footnoteReference w:id="7"/>
            </w:r>
          </w:p>
          <w:p w14:paraId="65313B12" w14:textId="140CF58F" w:rsidR="00443F5F" w:rsidRDefault="00443F5F" w:rsidP="00D3722A">
            <w:pPr>
              <w:spacing w:line="276" w:lineRule="auto"/>
              <w:ind w:firstLine="875"/>
              <w:jc w:val="both"/>
              <w:rPr>
                <w:rFonts w:ascii="Verdana" w:hAnsi="Verdana" w:cs="Arial"/>
                <w:lang w:val="es-ES" w:eastAsia="es-ES"/>
              </w:rPr>
            </w:pPr>
          </w:p>
        </w:tc>
      </w:tr>
    </w:tbl>
    <w:p w14:paraId="32A243EE" w14:textId="77777777" w:rsidR="00443F5F" w:rsidRPr="00B57A1B" w:rsidRDefault="00443F5F" w:rsidP="00443F5F">
      <w:pPr>
        <w:spacing w:after="0" w:line="276" w:lineRule="auto"/>
        <w:jc w:val="both"/>
        <w:rPr>
          <w:rFonts w:ascii="Verdana" w:eastAsia="Calibri" w:hAnsi="Verdana" w:cs="Arial"/>
          <w:bCs/>
          <w:color w:val="000000" w:themeColor="text1"/>
        </w:rPr>
      </w:pPr>
      <w:bookmarkStart w:id="0" w:name="_Hlk37703813"/>
    </w:p>
    <w:p w14:paraId="1614C799" w14:textId="77777777" w:rsidR="00443F5F" w:rsidRPr="00B57A1B" w:rsidRDefault="00443F5F" w:rsidP="00443F5F">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3639ECA8" w14:textId="77777777" w:rsidR="00443F5F" w:rsidRPr="003C0ED7" w:rsidRDefault="00443F5F" w:rsidP="00443F5F">
      <w:pPr>
        <w:spacing w:after="0" w:line="276" w:lineRule="auto"/>
        <w:jc w:val="both"/>
        <w:rPr>
          <w:rFonts w:ascii="Verdana" w:eastAsia="Calibri" w:hAnsi="Verdana" w:cs="Arial"/>
          <w:lang w:val="es-ES"/>
        </w:rPr>
      </w:pPr>
    </w:p>
    <w:p w14:paraId="6738CC16" w14:textId="77777777" w:rsidR="00443F5F" w:rsidRDefault="00443F5F" w:rsidP="00443F5F">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08FA46C8" w14:textId="77777777" w:rsidR="00443F5F" w:rsidRPr="00C22134" w:rsidRDefault="00443F5F" w:rsidP="00443F5F">
      <w:pPr>
        <w:spacing w:after="0" w:line="276" w:lineRule="auto"/>
        <w:jc w:val="both"/>
        <w:rPr>
          <w:rFonts w:ascii="Verdana" w:eastAsia="Calibri" w:hAnsi="Verdana" w:cs="Arial"/>
          <w:lang w:val="es-ES"/>
        </w:rPr>
      </w:pPr>
    </w:p>
    <w:p w14:paraId="6B992416" w14:textId="77777777" w:rsidR="00F81B11" w:rsidRDefault="00443F5F" w:rsidP="00F81B11">
      <w:pPr>
        <w:spacing w:after="120" w:line="276" w:lineRule="auto"/>
        <w:jc w:val="both"/>
        <w:rPr>
          <w:rFonts w:ascii="Verdana" w:eastAsia="Calibri" w:hAnsi="Verdana" w:cs="Arial"/>
          <w:lang w:val="es-ES"/>
        </w:rPr>
      </w:pPr>
      <w:r>
        <w:rPr>
          <w:rFonts w:ascii="Verdana" w:hAnsi="Verdana" w:cs="Arial"/>
          <w:bCs/>
          <w:szCs w:val="24"/>
          <w:lang w:val="es-ES_tradnl" w:eastAsia="es-ES_tradnl"/>
        </w:rPr>
        <w:t>i) Uno de los postulados más importantes de un Estado Social y Democrático de Derecho es el principio de publicidad, pues este permite que las actuaciones de las autoridades gocen de visibilidad. En tal sentido, la filosofía política ha indicado que la democracia “[…] es idealmente el gobierno de un poder visible, es decir, el gobierno cuyos actos se realizan ante el público y bajo la supervisión de la opinión pública”. El secreto generalizado en el ejercicio del poder político constituye, por el contrario, una negación de la democracia, porque dificulta la supervisión de las autoridades por parte de la sociedad civil y establece una barrera para la participación ciudadana. Inspirada en esta concepción axiológica, en los Estados de derecho se pregona la publicidad de las actuaciones de los poderes públicos</w:t>
      </w:r>
      <w:r>
        <w:rPr>
          <w:rStyle w:val="Refdenotaalpie"/>
          <w:rFonts w:ascii="Verdana" w:hAnsi="Verdana"/>
          <w:sz w:val="20"/>
        </w:rPr>
        <w:footnoteReference w:id="8"/>
      </w:r>
      <w:r>
        <w:rPr>
          <w:rFonts w:ascii="Verdana" w:hAnsi="Verdana" w:cs="Arial"/>
          <w:bCs/>
          <w:szCs w:val="24"/>
          <w:lang w:val="es-ES_tradnl" w:eastAsia="es-ES_tradnl"/>
        </w:rPr>
        <w:t>.</w:t>
      </w:r>
    </w:p>
    <w:p w14:paraId="77B846F1" w14:textId="10175EB6" w:rsidR="00443F5F" w:rsidRPr="00C22134" w:rsidRDefault="00443F5F" w:rsidP="00F81B11">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Como evidencia de ello,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74, que consagra la garantía de acceso a los documentos públicos que no gocen de reserva –y esta, además, es excepcional, pues solo procede si existe causal constitucional o legal expresa–</w:t>
      </w:r>
      <w:r>
        <w:rPr>
          <w:rStyle w:val="Refdenotaalpie"/>
          <w:rFonts w:ascii="Verdana" w:hAnsi="Verdana"/>
          <w:sz w:val="20"/>
        </w:rPr>
        <w:footnoteReference w:id="9"/>
      </w:r>
      <w:r>
        <w:rPr>
          <w:rFonts w:ascii="Verdana" w:hAnsi="Verdana" w:cs="Arial"/>
          <w:bCs/>
          <w:szCs w:val="24"/>
          <w:lang w:val="es-ES_tradnl" w:eastAsia="es-ES_tradnl"/>
        </w:rPr>
        <w:t>.</w:t>
      </w:r>
    </w:p>
    <w:p w14:paraId="0CC3103E" w14:textId="7C880DE6"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 xml:space="preserve">El principio de publicidad impone a las autoridades administrativas el deber de dar a conocer sus actos, contratos y decisiones, para que se divulguen y eventualmente se controlen. En sintonía con este postulado, en la contratación estatal el literal c) del artículo 3 de la Ley 1150 de 2007 establece el Sistema Electrónico para la Contratación Pública, en adelante SECOP, como un mecanismo que “contará con la información oficial de la contratación realizada </w:t>
      </w:r>
      <w:r>
        <w:rPr>
          <w:rFonts w:ascii="Verdana" w:hAnsi="Verdana" w:cs="Arial"/>
          <w:bCs/>
          <w:szCs w:val="24"/>
          <w:lang w:val="es-ES_tradnl" w:eastAsia="es-ES_tradnl"/>
        </w:rPr>
        <w:lastRenderedPageBreak/>
        <w:t>con dineros públicos, para lo cual establecerá los patrones a que haya lugar y se encargará de su difusión a través de canales electrónicos”</w:t>
      </w:r>
      <w:r>
        <w:rPr>
          <w:rStyle w:val="Refdenotaalpie"/>
          <w:rFonts w:ascii="Verdana" w:hAnsi="Verdana"/>
          <w:sz w:val="20"/>
        </w:rPr>
        <w:footnoteReference w:id="10"/>
      </w:r>
      <w:r>
        <w:rPr>
          <w:rFonts w:ascii="Verdana" w:hAnsi="Verdana" w:cs="Arial"/>
          <w:bCs/>
          <w:szCs w:val="24"/>
          <w:lang w:val="es-ES_tradnl" w:eastAsia="es-ES_tradnl"/>
        </w:rPr>
        <w:t>.</w:t>
      </w:r>
    </w:p>
    <w:p w14:paraId="30FD01E9" w14:textId="0447B291"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De otra parte, la Ley 1712 de 2014 –Ley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legales</w:t>
      </w:r>
      <w:r>
        <w:rPr>
          <w:rStyle w:val="Refdenotaalpie"/>
          <w:rFonts w:ascii="Verdana" w:hAnsi="Verdana"/>
          <w:sz w:val="20"/>
        </w:rPr>
        <w:footnoteReference w:id="11"/>
      </w:r>
      <w:r>
        <w:rPr>
          <w:rFonts w:ascii="Verdana" w:hAnsi="Verdana" w:cs="Arial"/>
          <w:bCs/>
          <w:szCs w:val="24"/>
          <w:lang w:val="es-ES_tradnl" w:eastAsia="es-ES_tradnl"/>
        </w:rPr>
        <w:t>.</w:t>
      </w:r>
    </w:p>
    <w:p w14:paraId="0FC6BCD0" w14:textId="7ACE0AF7"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La Ley Estatutaria citada establece, en el literal e) del artículo 9, que los sujetos obligados, que son todas las entidades públicas, deben publicar la información relativa a su contratación. Esta obligación fue desarrollada por el Decreto Único Reglamentario 1081 de 2015, el cual dispuso que la publicación de la información contractual de los sujetos obligados, que contratan con cargo a recursos públicos, debe hacerse en el SECOP</w:t>
      </w:r>
      <w:r>
        <w:rPr>
          <w:rStyle w:val="Refdenotaalpie"/>
          <w:rFonts w:ascii="Verdana" w:hAnsi="Verdana"/>
          <w:sz w:val="20"/>
        </w:rPr>
        <w:footnoteReference w:id="12"/>
      </w:r>
      <w:r>
        <w:rPr>
          <w:rFonts w:ascii="Verdana" w:hAnsi="Verdana" w:cs="Arial"/>
          <w:bCs/>
          <w:szCs w:val="24"/>
          <w:lang w:val="es-ES_tradnl" w:eastAsia="es-ES_tradnl"/>
        </w:rPr>
        <w:t>.</w:t>
      </w:r>
    </w:p>
    <w:p w14:paraId="5BF0FBAF" w14:textId="58FC11D3"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Asimismo, de acuerdo con el literal g) del artículo 11 de la Ley 1712 de 2014, todos los destinatarios de la Ley Estatutaria de Transparencia y Acceso a la Información Pública deben garantizar la publicidad de “sus procedimientos, lineamientos, políticas en materia de adquisiciones y compras, así como todos los datos de adjudicación y ejecución de contratos, incluidos concursos y licitaciones”, y esta información también debe estar en el SECOP</w:t>
      </w:r>
      <w:r>
        <w:rPr>
          <w:rStyle w:val="Refdenotaalpie"/>
          <w:rFonts w:ascii="Verdana" w:hAnsi="Verdana"/>
          <w:sz w:val="20"/>
        </w:rPr>
        <w:footnoteReference w:id="13"/>
      </w:r>
      <w:r>
        <w:rPr>
          <w:rFonts w:ascii="Verdana" w:hAnsi="Verdana" w:cs="Arial"/>
          <w:bCs/>
          <w:szCs w:val="24"/>
          <w:lang w:val="es-ES_tradnl" w:eastAsia="es-ES_tradnl"/>
        </w:rPr>
        <w:t>.</w:t>
      </w:r>
    </w:p>
    <w:p w14:paraId="262E50F4" w14:textId="626B543E"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 xml:space="preserve">El derecho de acceso a la información pública o de interés público permite a toda persona, sin necesidad de acreditar calidad, interés o condición particular, conocer la existencia de información pública, acceder a la misma y difundirla o publicarla, según su interés. En ese contexto, las Entidades Estatales, conforme al artículo 2.2.1.1.1.7.1 del Decreto 1082 de 2015, tienen la obligación de publicar en el SECOP “[…] los Documentos del Proceso y los actos </w:t>
      </w:r>
      <w:r>
        <w:rPr>
          <w:rFonts w:ascii="Verdana" w:hAnsi="Verdana" w:cs="Arial"/>
          <w:bCs/>
          <w:szCs w:val="24"/>
          <w:lang w:val="es-ES_tradnl" w:eastAsia="es-ES_tradnl"/>
        </w:rPr>
        <w:lastRenderedPageBreak/>
        <w:t>administrativos del Proceso de Contratación, dentro de los tres (3) días siguientes a su expedición […]”</w:t>
      </w:r>
      <w:r>
        <w:rPr>
          <w:rStyle w:val="Refdenotaalpie"/>
          <w:rFonts w:ascii="Verdana" w:hAnsi="Verdana"/>
          <w:sz w:val="20"/>
        </w:rPr>
        <w:footnoteReference w:id="14"/>
      </w:r>
      <w:r>
        <w:rPr>
          <w:rFonts w:ascii="Verdana" w:hAnsi="Verdana" w:cs="Arial"/>
          <w:bCs/>
          <w:szCs w:val="24"/>
          <w:lang w:val="es-ES_tradnl" w:eastAsia="es-ES_tradnl"/>
        </w:rPr>
        <w:t>.</w:t>
      </w:r>
    </w:p>
    <w:p w14:paraId="2B92257F" w14:textId="5D0D610A"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Pr>
          <w:rStyle w:val="Refdenotaalpie"/>
          <w:rFonts w:ascii="Verdana" w:hAnsi="Verdana"/>
          <w:sz w:val="20"/>
        </w:rPr>
        <w:footnoteReference w:id="15"/>
      </w:r>
      <w:r>
        <w:rPr>
          <w:rFonts w:ascii="Verdana" w:hAnsi="Verdana" w:cs="Arial"/>
          <w:bCs/>
          <w:szCs w:val="24"/>
          <w:lang w:val="es-ES_tradnl" w:eastAsia="es-ES_tradnl"/>
        </w:rPr>
        <w:t>.</w:t>
      </w:r>
    </w:p>
    <w:p w14:paraId="669659FE" w14:textId="7E6D0488"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Sin embargo, para identificar los documentos que deben publicarse, es necesario realizar una interpretación sistemática de las disposiciones del Decreto 1082 de 2015, comoquiera que el anterior no es un listado taxativo, sino enunciativo, porque además de los documentos enlistados, el artículo 2.2.1.1.1.3.1 ibidem recoge en la noción de Documentos del Proceso “cualquier otro documento expedido por la Entidad Estatal durante el Proceso de Contratación”</w:t>
      </w:r>
      <w:r>
        <w:rPr>
          <w:rStyle w:val="Refdenotaalpie"/>
          <w:rFonts w:ascii="Verdana" w:hAnsi="Verdana"/>
          <w:sz w:val="20"/>
        </w:rPr>
        <w:footnoteReference w:id="16"/>
      </w:r>
      <w:r>
        <w:rPr>
          <w:rFonts w:ascii="Verdana" w:hAnsi="Verdana" w:cs="Arial"/>
          <w:bCs/>
          <w:szCs w:val="24"/>
          <w:lang w:val="es-ES_tradnl" w:eastAsia="es-ES_tradnl"/>
        </w:rPr>
        <w:t>.</w:t>
      </w:r>
    </w:p>
    <w:p w14:paraId="105826C1" w14:textId="3DE14799" w:rsidR="00B80A92" w:rsidRDefault="00443F5F" w:rsidP="00343458">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la norma se refiere a los documentos “expedidos por la entidad estatal” durante el Proceso de Contratación, excluyendo de la noción de Documentos del Proceso los expedidos por un sujeto distinto a la entidad, salvo la oferta, la cual se incluye expresamente en el referido artículo 2.2.1.1.1.3.1</w:t>
      </w:r>
      <w:r>
        <w:rPr>
          <w:rStyle w:val="Refdenotaalpie"/>
          <w:rFonts w:ascii="Verdana" w:hAnsi="Verdana"/>
          <w:sz w:val="20"/>
        </w:rPr>
        <w:footnoteReference w:id="17"/>
      </w:r>
      <w:r>
        <w:rPr>
          <w:rFonts w:ascii="Verdana" w:hAnsi="Verdana" w:cs="Arial"/>
          <w:bCs/>
          <w:szCs w:val="24"/>
          <w:lang w:val="es-ES_tradnl" w:eastAsia="es-ES_tradnl"/>
        </w:rPr>
        <w:t>.</w:t>
      </w:r>
    </w:p>
    <w:p w14:paraId="380D9EB1" w14:textId="77777777" w:rsidR="00B80A92" w:rsidRPr="00C22134" w:rsidRDefault="00B80A92" w:rsidP="00B80A92">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 xml:space="preserve">Con el propósito de garantizar el cumplimiento del mencionado deber de publicidad, se le asignó a la Agencia Nacional de Contratación Pública – Colombia Compra Eficiente la función de administrar el SECOP. Dicha plataforma ha tenido dos versiones, esto es, el SECOP I y el SECOP II. La primera versión de la plataforma –SECOP I– sólo funciona como medio de publicidad, es decir, no es </w:t>
      </w:r>
      <w:r>
        <w:rPr>
          <w:rFonts w:ascii="Verdana" w:hAnsi="Verdana" w:cs="Arial"/>
          <w:bCs/>
          <w:szCs w:val="24"/>
          <w:lang w:val="es-ES_tradnl" w:eastAsia="es-ES_tradnl"/>
        </w:rPr>
        <w:lastRenderedPageBreak/>
        <w:t>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r>
        <w:rPr>
          <w:rStyle w:val="Refdenotaalpie"/>
          <w:rFonts w:ascii="Verdana" w:hAnsi="Verdana"/>
          <w:sz w:val="20"/>
        </w:rPr>
        <w:footnoteReference w:id="18"/>
      </w:r>
      <w:r>
        <w:rPr>
          <w:rFonts w:ascii="Verdana" w:hAnsi="Verdana" w:cs="Arial"/>
          <w:bCs/>
          <w:szCs w:val="24"/>
          <w:lang w:val="es-ES_tradnl" w:eastAsia="es-ES_tradnl"/>
        </w:rPr>
        <w:t>.</w:t>
      </w:r>
    </w:p>
    <w:p w14:paraId="7D8DBD38" w14:textId="77777777" w:rsidR="00B80A92" w:rsidRPr="00C22134" w:rsidRDefault="00B80A92" w:rsidP="00B80A92">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En cambio, el SECOP II es una plataforma transaccional que permite gestionar en línea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r>
        <w:rPr>
          <w:rStyle w:val="Refdenotaalpie"/>
          <w:rFonts w:ascii="Verdana" w:hAnsi="Verdana"/>
          <w:sz w:val="20"/>
        </w:rPr>
        <w:footnoteReference w:id="19"/>
      </w:r>
      <w:r>
        <w:rPr>
          <w:rFonts w:ascii="Verdana" w:hAnsi="Verdana" w:cs="Arial"/>
          <w:bCs/>
          <w:szCs w:val="24"/>
          <w:lang w:val="es-ES_tradnl" w:eastAsia="es-ES_tradnl"/>
        </w:rPr>
        <w:t>.</w:t>
      </w:r>
    </w:p>
    <w:p w14:paraId="7F4EFEB8" w14:textId="6C6D149A" w:rsidR="00443F5F" w:rsidRPr="00D3722A" w:rsidRDefault="00B80A92" w:rsidP="00D3722A">
      <w:pPr>
        <w:spacing w:after="12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Pese a que los documentos que deben publicarse en el SECOP II corresponden a los mismos que deben publicarse en el SECOP I, esto es, todos los expedidos con ocasión del Proceso de Contratación, con excepción de los expresamente excluidos, la naturaleza transaccional del SECOP II implica que los procesos contractuales no sólo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w:t>
      </w:r>
      <w:r>
        <w:rPr>
          <w:rStyle w:val="Refdenotaalpie"/>
          <w:rFonts w:ascii="Verdana" w:hAnsi="Verdana"/>
          <w:sz w:val="20"/>
        </w:rPr>
        <w:footnoteReference w:id="20"/>
      </w:r>
      <w:r>
        <w:rPr>
          <w:rFonts w:ascii="Verdana" w:hAnsi="Verdana" w:cs="Arial"/>
          <w:bCs/>
          <w:szCs w:val="24"/>
          <w:lang w:val="es-ES_tradnl" w:eastAsia="es-ES_tradnl"/>
        </w:rPr>
        <w:t>.</w:t>
      </w:r>
    </w:p>
    <w:p w14:paraId="46EA35F4" w14:textId="10FD8E0C" w:rsidR="00443F5F" w:rsidRPr="00C22134" w:rsidRDefault="00443F5F" w:rsidP="00D3722A">
      <w:pPr>
        <w:spacing w:after="120" w:line="276" w:lineRule="auto"/>
        <w:ind w:firstLine="851"/>
        <w:jc w:val="both"/>
        <w:rPr>
          <w:rFonts w:ascii="Verdana" w:eastAsia="Calibri" w:hAnsi="Verdana" w:cs="Arial"/>
          <w:lang w:val="es-ES"/>
        </w:rPr>
      </w:pPr>
      <w:r>
        <w:rPr>
          <w:rFonts w:ascii="Verdana" w:hAnsi="Verdana" w:cs="Arial"/>
          <w:bCs/>
          <w:szCs w:val="24"/>
          <w:lang w:val="es-ES_tradnl" w:eastAsia="es-ES_tradnl"/>
        </w:rPr>
        <w:t xml:space="preserve">En ese sentido, la interpretación sistemática de los preceptos del Decreto 1082 de 2015, de acuerdo con el principio de publicidad, indica que las Entidades Estatales tienen la obligación de publicar todos los documentos que expidan con ocasión del Proceso de Contratación, es decir, que todos los documentos </w:t>
      </w:r>
      <w:r>
        <w:rPr>
          <w:rFonts w:ascii="Verdana" w:hAnsi="Verdana" w:cs="Arial"/>
          <w:bCs/>
          <w:szCs w:val="24"/>
          <w:lang w:val="es-ES_tradnl" w:eastAsia="es-ES_tradnl"/>
        </w:rPr>
        <w:lastRenderedPageBreak/>
        <w:t xml:space="preserve">expedidos por la entidad durante las etapas precontractual, de ejecución y </w:t>
      </w:r>
      <w:proofErr w:type="spellStart"/>
      <w:r>
        <w:rPr>
          <w:rFonts w:ascii="Verdana" w:hAnsi="Verdana" w:cs="Arial"/>
          <w:bCs/>
          <w:szCs w:val="24"/>
          <w:lang w:val="es-ES_tradnl" w:eastAsia="es-ES_tradnl"/>
        </w:rPr>
        <w:t>postcontractual</w:t>
      </w:r>
      <w:proofErr w:type="spellEnd"/>
      <w:r>
        <w:rPr>
          <w:rFonts w:ascii="Verdana" w:hAnsi="Verdana" w:cs="Arial"/>
          <w:bCs/>
          <w:szCs w:val="24"/>
          <w:lang w:val="es-ES_tradnl" w:eastAsia="es-ES_tradnl"/>
        </w:rPr>
        <w:t xml:space="preserve"> deberán publicarse en el SECOP dentro de los tres (3) días siguientes a su expedición, para cumplir el deber de publicidad regulado por el artículo 2.2.1.1.1.7.1 del Decreto 1082 de 2015</w:t>
      </w:r>
      <w:r>
        <w:rPr>
          <w:rStyle w:val="Refdenotaalpie"/>
          <w:rFonts w:ascii="Verdana" w:hAnsi="Verdana"/>
          <w:sz w:val="20"/>
        </w:rPr>
        <w:footnoteReference w:id="21"/>
      </w:r>
      <w:r>
        <w:rPr>
          <w:rFonts w:ascii="Verdana" w:hAnsi="Verdana" w:cs="Arial"/>
          <w:bCs/>
          <w:szCs w:val="24"/>
          <w:lang w:val="es-ES_tradnl" w:eastAsia="es-ES_tradnl"/>
        </w:rPr>
        <w:t>.</w:t>
      </w:r>
    </w:p>
    <w:p w14:paraId="54BAC2E0" w14:textId="165F0247" w:rsidR="00443F5F" w:rsidRPr="00C22134" w:rsidRDefault="00443F5F" w:rsidP="00D3722A">
      <w:pPr>
        <w:spacing w:after="120" w:line="276" w:lineRule="auto"/>
        <w:ind w:firstLine="708"/>
        <w:jc w:val="both"/>
        <w:rPr>
          <w:rFonts w:ascii="Verdana" w:eastAsia="Calibri" w:hAnsi="Verdana" w:cs="Arial"/>
          <w:lang w:val="es-ES"/>
        </w:rPr>
      </w:pPr>
      <w:r>
        <w:rPr>
          <w:rFonts w:ascii="Verdana" w:hAnsi="Verdana" w:cs="Arial"/>
          <w:bCs/>
          <w:szCs w:val="24"/>
          <w:lang w:val="es-ES_tradnl" w:eastAsia="es-ES_tradnl"/>
        </w:rPr>
        <w:t>De la estructura de esa disposición se desprende la respuesta al primer problema planteado. La norma fija la oportunidad del cumplimiento y no condiciona la existencia del deber a su observancia, de modo que el vencimiento del término deja subsistente la obligación de publicar. El documento conserva su calidad de información pública mientras no medie reserva constitucional o legal, y el acceso de la ciudadanía a él se garantiza mediante la publicación, cualquiera que sea el momento en que esta se surta. La valoración de los efectos que la demora produzca corresponde a las autoridades de control, en el ámbito de sus competencias</w:t>
      </w:r>
      <w:r>
        <w:rPr>
          <w:rStyle w:val="Refdenotaalpie"/>
          <w:rFonts w:ascii="Verdana" w:hAnsi="Verdana"/>
          <w:sz w:val="20"/>
        </w:rPr>
        <w:footnoteReference w:id="22"/>
      </w:r>
      <w:r>
        <w:rPr>
          <w:rFonts w:ascii="Verdana" w:hAnsi="Verdana" w:cs="Arial"/>
          <w:bCs/>
          <w:szCs w:val="24"/>
          <w:lang w:val="es-ES_tradnl" w:eastAsia="es-ES_tradnl"/>
        </w:rPr>
        <w:t>.</w:t>
      </w:r>
    </w:p>
    <w:p w14:paraId="35543120" w14:textId="77777777" w:rsidR="00443F5F" w:rsidRPr="00C22134" w:rsidRDefault="00443F5F" w:rsidP="00D3722A">
      <w:pPr>
        <w:spacing w:after="120" w:line="276" w:lineRule="auto"/>
        <w:ind w:firstLine="708"/>
        <w:jc w:val="both"/>
        <w:rPr>
          <w:rFonts w:ascii="Verdana" w:eastAsia="Calibri" w:hAnsi="Verdana" w:cs="Arial"/>
          <w:lang w:val="es-ES"/>
        </w:rPr>
      </w:pPr>
      <w:r>
        <w:rPr>
          <w:rFonts w:ascii="Verdana" w:hAnsi="Verdana" w:cs="Arial"/>
          <w:bCs/>
          <w:szCs w:val="24"/>
          <w:lang w:val="es-ES_tradnl" w:eastAsia="es-ES_tradnl"/>
        </w:rPr>
        <w:t>Ahora bien, la determinación del régimen de publicidad aplicable exige atender el efecto de la ley en el tiempo. El artículo 38 de la Ley 153 de 1887 dispone que en los contratos se entienden incorporadas las leyes vigentes al tiempo de su celebración. Este principio, reiterado por el Consejo de Estado, implica que la normatividad aplicable a un contrato estatal es la vigente en la fecha de su perfeccionamiento, sin que las disposiciones expedidas con posterioridad puedan aplicarse retroactivamente para modificar las condiciones bajo las cuales se celebró, salvo que la propia norma disponga expresamente su aplicación inmediata o se trate de disposiciones de orden público ineludibles.</w:t>
      </w:r>
      <w:r w:rsidRPr="004F3256">
        <w:rPr>
          <w:rStyle w:val="Refdenotaalpie"/>
          <w:rFonts w:ascii="Verdana" w:hAnsi="Verdana"/>
          <w:sz w:val="20"/>
        </w:rPr>
        <w:footnoteReference w:id="23"/>
      </w:r>
    </w:p>
    <w:p w14:paraId="23BAA303" w14:textId="77777777" w:rsidR="00443F5F" w:rsidRPr="00C22134" w:rsidRDefault="00443F5F" w:rsidP="00D3722A">
      <w:pPr>
        <w:spacing w:after="120" w:line="276" w:lineRule="auto"/>
        <w:ind w:firstLine="708"/>
        <w:jc w:val="both"/>
        <w:rPr>
          <w:rFonts w:ascii="Verdana" w:eastAsia="Calibri" w:hAnsi="Verdana" w:cs="Arial"/>
          <w:lang w:val="es-ES"/>
        </w:rPr>
      </w:pPr>
      <w:r>
        <w:rPr>
          <w:rFonts w:ascii="Verdana" w:hAnsi="Verdana" w:cs="Arial"/>
          <w:bCs/>
          <w:szCs w:val="24"/>
          <w:lang w:val="es-ES_tradnl" w:eastAsia="es-ES_tradnl"/>
        </w:rPr>
        <w:t xml:space="preserve">De ello se sigue que el contenido del deber de publicidad y los medios dispuestos para cumplirlo deben identificarse con las normas que regían al momento de la celebración. Así, respecto de un convenio celebrado en el año 2018, el deber se gobierna por el literal c) del artículo 3 de la Ley 1150 de 2007, por los literales e) del artículo 9 y g) del artículo 11 de la Ley 1712 de 2014, por los artículos 2.1.1.2.1.4, 2.1.1.2.1.7, 2.1.1.2.1.8, 2.1.1.2.1.9 y 2.1.1.2.1.10 del </w:t>
      </w:r>
      <w:r>
        <w:rPr>
          <w:rFonts w:ascii="Verdana" w:hAnsi="Verdana" w:cs="Arial"/>
          <w:bCs/>
          <w:szCs w:val="24"/>
          <w:lang w:val="es-ES_tradnl" w:eastAsia="es-ES_tradnl"/>
        </w:rPr>
        <w:lastRenderedPageBreak/>
        <w:t>Decreto 1081 de 2015, y por los artículos 2.2.1.1.1.3.1 y 2.2.1.1.1.7.1 del Decreto 1082 de 2015. Conforme al artículo 2.1.1.2.1.7 del Decreto 1081 de 2015, el sistema en el cual se cumple la obligación de publicar la información de la gestión contractual es el SECOP; y de acuerdo con el artículo 2.1.1.2.1.4 ibidem, el sujeto obligado debe disponer en la página principal de su sitio web oficial la sección «Transparencia y acceso a información pública» con la información mínima de los artículos 9, 10 y 11 de la Ley 1712 de 2014 y, cuando esa información repose en un sistema de información del Estado, identificarla y habilitar los enlaces que permitan acceder a ella. Los dos deberes concurren y cada uno se satisface en el medio que la norma señala, de suerte que la publicidad del convenio se cumple con su publicación en el SECOP y con la disposición, en la sección de transparencia del sitio web, del enlace que permite acceder al expediente electrónico.</w:t>
      </w:r>
      <w:r w:rsidRPr="004F3256">
        <w:rPr>
          <w:rStyle w:val="Refdenotaalpie"/>
          <w:rFonts w:ascii="Verdana" w:hAnsi="Verdana"/>
          <w:sz w:val="20"/>
        </w:rPr>
        <w:footnoteReference w:id="24"/>
      </w:r>
    </w:p>
    <w:p w14:paraId="1BD2DB2D" w14:textId="77777777" w:rsidR="00443F5F" w:rsidRPr="00A0389A" w:rsidRDefault="00443F5F" w:rsidP="00443F5F">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 xml:space="preserve">Conforme a lo anterior, es clara la obligatoriedad de publicar la información de la actividad contractual que se realiza con cargo a recursos públicos en el SECOP, incluidas aquellas con regímenes contractuales especiales. Esta obligación incluye todos los documentos generados durante las fases precontractual, contractual y </w:t>
      </w:r>
      <w:proofErr w:type="spellStart"/>
      <w:r>
        <w:rPr>
          <w:rFonts w:ascii="Verdana" w:hAnsi="Verdana" w:cs="Arial"/>
          <w:bCs/>
          <w:szCs w:val="24"/>
          <w:lang w:val="es-ES_tradnl" w:eastAsia="es-ES_tradnl"/>
        </w:rPr>
        <w:t>postcontractual</w:t>
      </w:r>
      <w:proofErr w:type="spellEnd"/>
      <w:r>
        <w:rPr>
          <w:rFonts w:ascii="Verdana" w:hAnsi="Verdana" w:cs="Arial"/>
          <w:bCs/>
          <w:szCs w:val="24"/>
          <w:lang w:val="es-ES_tradnl" w:eastAsia="es-ES_tradnl"/>
        </w:rPr>
        <w:t>, como contratos, actos administrativos e información generada con ocasión del proceso de contratación. Esto tiene como objetivo garantizar la transparencia, el acceso público a la información y el control social sobre la contratación pública, permitiendo que la ciudadanía tenga acceso a los documentos en un sistema unificado y oficial. Corresponderá a la Entidad Estatal, previo concepto de sus órganos asesores, cumplir con la publicación de los documentos que expide dentro de un Proceso de Contratación en el SECOP, ya sea en SECOP I o en SECOP II, en cumplimiento de las disposiciones legales y reglamentarias</w:t>
      </w:r>
      <w:r>
        <w:rPr>
          <w:rStyle w:val="Refdenotaalpie"/>
          <w:rFonts w:ascii="Verdana" w:hAnsi="Verdana"/>
          <w:sz w:val="20"/>
        </w:rPr>
        <w:footnoteReference w:id="25"/>
      </w:r>
      <w:r>
        <w:rPr>
          <w:rFonts w:ascii="Verdana" w:hAnsi="Verdana" w:cs="Arial"/>
          <w:bCs/>
          <w:szCs w:val="24"/>
          <w:lang w:val="es-ES_tradnl" w:eastAsia="es-ES_tradnl"/>
        </w:rPr>
        <w:t>.</w:t>
      </w:r>
    </w:p>
    <w:p w14:paraId="032F11FC" w14:textId="77777777" w:rsidR="00443F5F" w:rsidRPr="00C22134" w:rsidRDefault="00443F5F" w:rsidP="00443F5F">
      <w:pPr>
        <w:spacing w:after="0" w:line="276" w:lineRule="auto"/>
        <w:jc w:val="both"/>
        <w:rPr>
          <w:rFonts w:ascii="Verdana" w:eastAsia="Calibri" w:hAnsi="Verdana" w:cs="Arial"/>
          <w:lang w:val="es-ES"/>
        </w:rPr>
      </w:pPr>
    </w:p>
    <w:p w14:paraId="3FD1B2B5" w14:textId="77777777" w:rsidR="00443F5F" w:rsidRPr="00A0389A" w:rsidRDefault="00443F5F" w:rsidP="00443F5F">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En el marco del principio de publicidad de las actuaciones del Estado, se han establecido estrategias mediante leyes y reglamentos que buscan fortalecer la transparencia y la lucha contra la corrupción. En esta línea, la Ley 1474 de 2011, “Por la cual se dictan normas orientadas a fortalecer los mecanismos de </w:t>
      </w:r>
      <w:r>
        <w:rPr>
          <w:rFonts w:ascii="Verdana" w:hAnsi="Verdana" w:cs="Arial"/>
          <w:bCs/>
          <w:szCs w:val="24"/>
          <w:lang w:val="es-ES_tradnl" w:eastAsia="es-ES_tradnl"/>
        </w:rPr>
        <w:lastRenderedPageBreak/>
        <w:t>prevención, investigación y sanción de actos de corrupción y la efectividad del control de la gestión pública”, y otras normativas afines, tales como la Ley 1712 de 2014 y la Ley 2195 de 2022, tienen como fin instituir principios y reglas destinadas a asegurar la transparencia y facilitar el acceso a la información pública</w:t>
      </w:r>
      <w:r>
        <w:rPr>
          <w:rStyle w:val="Refdenotaalpie"/>
          <w:rFonts w:ascii="Verdana" w:hAnsi="Verdana"/>
          <w:sz w:val="20"/>
        </w:rPr>
        <w:footnoteReference w:id="26"/>
      </w:r>
      <w:r>
        <w:rPr>
          <w:rFonts w:ascii="Verdana" w:hAnsi="Verdana" w:cs="Arial"/>
          <w:bCs/>
          <w:szCs w:val="24"/>
          <w:lang w:val="es-ES_tradnl" w:eastAsia="es-ES_tradnl"/>
        </w:rPr>
        <w:t>.</w:t>
      </w:r>
    </w:p>
    <w:p w14:paraId="1D184A89" w14:textId="77777777" w:rsidR="00443F5F" w:rsidRPr="00C22134" w:rsidRDefault="00443F5F" w:rsidP="00443F5F">
      <w:pPr>
        <w:spacing w:after="0" w:line="276" w:lineRule="auto"/>
        <w:jc w:val="both"/>
        <w:rPr>
          <w:rFonts w:ascii="Verdana" w:eastAsia="Calibri" w:hAnsi="Verdana" w:cs="Arial"/>
          <w:lang w:val="es-ES"/>
        </w:rPr>
      </w:pPr>
    </w:p>
    <w:p w14:paraId="47F032D3" w14:textId="77777777" w:rsidR="00443F5F" w:rsidRDefault="00443F5F" w:rsidP="00443F5F">
      <w:pPr>
        <w:spacing w:after="0" w:line="276" w:lineRule="auto"/>
        <w:ind w:firstLine="851"/>
        <w:jc w:val="both"/>
        <w:rPr>
          <w:rFonts w:ascii="Verdana" w:hAnsi="Verdana" w:cs="Arial"/>
          <w:bCs/>
          <w:szCs w:val="24"/>
          <w:lang w:val="es-ES_tradnl" w:eastAsia="es-ES_tradnl"/>
        </w:rPr>
      </w:pPr>
      <w:r>
        <w:rPr>
          <w:rFonts w:ascii="Verdana" w:hAnsi="Verdana" w:cs="Arial"/>
          <w:bCs/>
          <w:szCs w:val="24"/>
          <w:lang w:val="es-ES_tradnl" w:eastAsia="es-ES_tradnl"/>
        </w:rPr>
        <w:t>Dentro de este marco, la entidad pública definirá en cada caso concreto lo relacionado con el tema objeto de consulta, sin que sea atribución de Colombia Compra Eficiente validar sus actuaciones. Las inquietudes sobre la disponibilidad técnica de las plataformas para registrar actuaciones de vigencias anteriores pueden dirigirse a la Subdirección de Información y Desarrollo Tecnológico de esta Agencia, a través de la mesa de servicio</w:t>
      </w:r>
      <w:r>
        <w:rPr>
          <w:rStyle w:val="Refdenotaalpie"/>
          <w:rFonts w:ascii="Verdana" w:hAnsi="Verdana"/>
          <w:sz w:val="20"/>
        </w:rPr>
        <w:footnoteReference w:id="27"/>
      </w:r>
      <w:r>
        <w:rPr>
          <w:rFonts w:ascii="Verdana" w:hAnsi="Verdana" w:cs="Arial"/>
          <w:bCs/>
          <w:szCs w:val="24"/>
          <w:lang w:val="es-ES_tradnl" w:eastAsia="es-ES_tradnl"/>
        </w:rPr>
        <w:t>.</w:t>
      </w:r>
    </w:p>
    <w:p w14:paraId="64DAA650" w14:textId="77777777" w:rsidR="00443F5F" w:rsidRPr="00A0389A" w:rsidRDefault="00443F5F" w:rsidP="00443F5F">
      <w:pPr>
        <w:spacing w:after="0" w:line="276" w:lineRule="auto"/>
        <w:jc w:val="both"/>
        <w:rPr>
          <w:rFonts w:ascii="Verdana" w:hAnsi="Verdana" w:cs="Arial"/>
          <w:bCs/>
          <w:szCs w:val="24"/>
          <w:lang w:val="es-ES_tradnl" w:eastAsia="es-ES_tradnl"/>
        </w:rPr>
      </w:pPr>
    </w:p>
    <w:bookmarkEnd w:id="0"/>
    <w:p w14:paraId="332B26DA" w14:textId="77777777" w:rsidR="00443F5F" w:rsidRDefault="00443F5F" w:rsidP="00443F5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197E403B" w14:textId="77777777" w:rsidR="00443F5F" w:rsidRPr="00215B71" w:rsidRDefault="00443F5F" w:rsidP="00443F5F">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43F5F" w:rsidRPr="009037F6" w14:paraId="01CB8E6F" w14:textId="77777777" w:rsidTr="007601B2">
        <w:trPr>
          <w:trHeight w:val="487"/>
          <w:jc w:val="center"/>
        </w:trPr>
        <w:tc>
          <w:tcPr>
            <w:tcW w:w="8647" w:type="dxa"/>
          </w:tcPr>
          <w:p w14:paraId="1B72D268" w14:textId="77777777" w:rsidR="00443F5F" w:rsidRDefault="00443F5F" w:rsidP="00443F5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23, 74 y 209. Ley 153 de 1887, artículo 38. Ley 80 de 1993. Ley 1150 de 2007, artículo 3, literal c). Ley 1437 de 2011, artículo 28, sustituido por el artículo 1 de la Ley 1755 de 2015. Ley 1474 de 2011, artículo 74. Ley 1712 de 2014, artículos 2, 3, 4, 5, 9 —literal e)—, 10 y 11 —literal g)—. Ley 2195 de 2022. Ley 2294 de 2023, artículo 200. Decreto Ley 4170 de 2011, artículos 3 —numerales 5 y 8— y 11 —numeral 8—. Decreto 1510 de 2013, artículo 19. Decreto 1081 de 2015, artículos 2.1.1.2.1.1, 2.1.1.2.1.4, 2.1.1.2.1.7, 2.1.1.2.1.8, 2.1.1.2.1.9 y 2.1.1.2.1.10. Decreto 1082 de 2015, artículos 2.2.1.1.1.3.1 y 2.2.1.1.1.7.1. Resolución 469 de 2025 de la ANCP-CCE.</w:t>
            </w:r>
          </w:p>
          <w:p w14:paraId="1EFE9163" w14:textId="77777777" w:rsidR="00443F5F" w:rsidRDefault="00443F5F" w:rsidP="00443F5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Jurisprudencia: Consejo de Estado, Sala de lo Contencioso Administrativo, Sección Tercera, Subsección C, sentencia del 24 de marzo de 2011, expediente 63001-23-31-000-1998-00752-01(18118), M.P. Jaime Orlando Santofimio Gamboa.</w:t>
            </w:r>
          </w:p>
          <w:p w14:paraId="271C3FE2" w14:textId="77777777" w:rsidR="00443F5F" w:rsidRDefault="00443F5F" w:rsidP="00443F5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Documentos de la ANCP-CCE: Circular Externa Única de la Agencia Nacional de Contratación Pública – Colombia Compra Eficiente, </w:t>
            </w:r>
            <w:r>
              <w:rPr>
                <w:rFonts w:ascii="Verdana" w:eastAsia="Arial MT" w:hAnsi="Verdana" w:cs="Arial"/>
                <w:lang w:val="es-ES" w:eastAsia="es-ES" w:bidi="es-ES"/>
              </w:rPr>
              <w:lastRenderedPageBreak/>
              <w:t>numeral 1.2.</w:t>
            </w:r>
          </w:p>
          <w:p w14:paraId="7D7DD03D" w14:textId="77777777" w:rsidR="00443F5F" w:rsidRDefault="00443F5F" w:rsidP="00443F5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Sobre el principio de publicidad y el deber de publicar la información de la gestión contractual en el SECOP, el Concepto CU-367 del 23 de julio de 2020, reiterado en los Conceptos C-433, C-468 y C-474 del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C-804 de 2024, C-185 del 24 de marzo de 2025 y C-487 del 30 de mayo de 2025. Sobre la noción de Documentos del Proceso, su deber de publicación y la naturaleza transaccional del SECOP II, los Conceptos C-478 de 2024 y C-1177 de 2025. Sobre el alcance y el término del deber de publicidad, los Conceptos C-292 de 2025 y C-070 de 2026. Sobre el efecto de la ley en el tiempo en materia contractual, el Concepto C-841 de 2025. Sobre el deber de publicidad en los regímenes especiales, el Concepto C-967 de 2026.</w:t>
            </w:r>
          </w:p>
        </w:tc>
      </w:tr>
    </w:tbl>
    <w:p w14:paraId="7923D6D1" w14:textId="77777777" w:rsidR="00443F5F" w:rsidRPr="007815BD" w:rsidRDefault="00443F5F" w:rsidP="007815BD">
      <w:pPr>
        <w:widowControl w:val="0"/>
        <w:autoSpaceDE w:val="0"/>
        <w:autoSpaceDN w:val="0"/>
        <w:spacing w:after="0" w:line="276" w:lineRule="auto"/>
        <w:jc w:val="both"/>
        <w:rPr>
          <w:rFonts w:ascii="Verdana" w:hAnsi="Verdana" w:cs="Arial"/>
        </w:rPr>
      </w:pPr>
    </w:p>
    <w:p w14:paraId="6EF50D5B" w14:textId="77777777" w:rsidR="00443F5F" w:rsidRPr="007815BD" w:rsidRDefault="00443F5F" w:rsidP="00D3722A">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7815BD">
        <w:rPr>
          <w:rFonts w:ascii="Verdana" w:eastAsia="Century Gothic" w:hAnsi="Verdana" w:cs="Century Gothic"/>
          <w:b/>
          <w:bCs/>
          <w:lang w:val="es-ES"/>
        </w:rPr>
        <w:t>Doctrina de la Agencia Nacional de Contratación Pública:</w:t>
      </w:r>
    </w:p>
    <w:p w14:paraId="4A0E4F5F" w14:textId="77777777" w:rsidR="00443F5F" w:rsidRPr="00040DF7" w:rsidRDefault="00443F5F" w:rsidP="007815BD">
      <w:pPr>
        <w:widowControl w:val="0"/>
        <w:autoSpaceDE w:val="0"/>
        <w:autoSpaceDN w:val="0"/>
        <w:spacing w:after="0" w:line="276" w:lineRule="auto"/>
        <w:jc w:val="both"/>
        <w:rPr>
          <w:rFonts w:ascii="Verdana" w:hAnsi="Verdana" w:cs="Arial"/>
        </w:rPr>
      </w:pPr>
    </w:p>
    <w:p w14:paraId="2207DE55" w14:textId="77777777" w:rsidR="00443F5F" w:rsidRPr="00040DF7" w:rsidRDefault="00443F5F" w:rsidP="00040DF7">
      <w:pPr>
        <w:widowControl w:val="0"/>
        <w:autoSpaceDE w:val="0"/>
        <w:autoSpaceDN w:val="0"/>
        <w:spacing w:after="0" w:line="276" w:lineRule="auto"/>
        <w:jc w:val="both"/>
        <w:rPr>
          <w:rStyle w:val="normaltextrun"/>
          <w:rFonts w:ascii="Verdana" w:hAnsi="Verdana" w:cs="Arial"/>
          <w:shd w:val="clear" w:color="auto" w:fill="FFFFFF"/>
        </w:rPr>
      </w:pPr>
      <w:r w:rsidRPr="00040DF7">
        <w:rPr>
          <w:rFonts w:ascii="Verdana" w:hAnsi="Verdana" w:cs="Arial"/>
          <w:shd w:val="clear" w:color="auto" w:fill="FFFFFF"/>
        </w:rPr>
        <w:t>Las razones de la respuesta de este concepto se toman de los Conceptos C-292 de 2025 y C-1177 de 2025 de esta Subdirección, con las adaptaciones necesarias para el caso objeto de consulta.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 través del siguiente enlace:</w:t>
      </w:r>
    </w:p>
    <w:p w14:paraId="22E92F28" w14:textId="77777777" w:rsidR="00443F5F" w:rsidRPr="007815BD" w:rsidRDefault="00443F5F">
      <w:pPr>
        <w:widowControl w:val="0"/>
        <w:autoSpaceDE w:val="0"/>
        <w:autoSpaceDN w:val="0"/>
        <w:spacing w:after="0" w:line="276" w:lineRule="auto"/>
        <w:jc w:val="both"/>
        <w:rPr>
          <w:rStyle w:val="normaltextrun"/>
          <w:rFonts w:ascii="Verdana" w:hAnsi="Verdana" w:cs="Arial"/>
          <w:shd w:val="clear" w:color="auto" w:fill="FFFFFF"/>
        </w:rPr>
      </w:pPr>
    </w:p>
    <w:p w14:paraId="66C2E7EC" w14:textId="77777777" w:rsidR="00443F5F" w:rsidRPr="007815BD" w:rsidRDefault="00443F5F" w:rsidP="00D3722A">
      <w:pPr>
        <w:spacing w:after="0" w:line="276" w:lineRule="auto"/>
        <w:jc w:val="both"/>
        <w:rPr>
          <w:rFonts w:ascii="Verdana" w:eastAsia="Calibri" w:hAnsi="Verdana" w:cs="Times New Roman"/>
        </w:rPr>
      </w:pPr>
      <w:hyperlink r:id="rId12" w:history="1">
        <w:r w:rsidRPr="007815BD">
          <w:rPr>
            <w:rFonts w:ascii="Verdana" w:eastAsia="Calibri" w:hAnsi="Verdana" w:cs="Times New Roman"/>
            <w:color w:val="0000FF"/>
            <w:u w:val="single"/>
            <w:lang w:val="es-ES"/>
          </w:rPr>
          <w:t>https://relatoria.colombiacompra.gov.co/busqueda/conceptos</w:t>
        </w:r>
      </w:hyperlink>
    </w:p>
    <w:p w14:paraId="5E483322" w14:textId="77777777" w:rsidR="00443F5F" w:rsidRPr="007815BD" w:rsidRDefault="00443F5F" w:rsidP="00D3722A">
      <w:pPr>
        <w:spacing w:after="0" w:line="276" w:lineRule="auto"/>
        <w:jc w:val="both"/>
        <w:rPr>
          <w:rFonts w:ascii="Verdana" w:hAnsi="Verdana"/>
        </w:rPr>
      </w:pPr>
    </w:p>
    <w:p w14:paraId="12DE767F" w14:textId="77777777" w:rsidR="00443F5F" w:rsidRPr="00D3722A" w:rsidRDefault="00443F5F" w:rsidP="00D3722A">
      <w:pPr>
        <w:spacing w:after="0" w:line="276" w:lineRule="auto"/>
        <w:jc w:val="both"/>
        <w:rPr>
          <w:rFonts w:ascii="Verdana" w:hAnsi="Verdana"/>
        </w:rPr>
      </w:pPr>
      <w:r w:rsidRPr="007815BD">
        <w:rPr>
          <w:rFonts w:ascii="Verdana" w:hAnsi="Verdana"/>
        </w:rPr>
        <w:t xml:space="preserve">La sostenibilidad no es una opción, es una </w:t>
      </w:r>
      <w:r w:rsidRPr="00040DF7">
        <w:rPr>
          <w:rFonts w:ascii="Verdana" w:hAnsi="Verdana"/>
        </w:rPr>
        <w:t>obligación. Por ello, la Agencia Nacional de Contratación Pública –Colombia Compra Eficiente– te invita a realizar el Curso de Contratación Pública Sostenible y Socialmente Responsable, una herramienta clave para fortalecer las capacidades de todos</w:t>
      </w:r>
      <w:r w:rsidRPr="007815BD">
        <w:rPr>
          <w:rFonts w:ascii="Verdana" w:hAnsi="Verdana"/>
        </w:rPr>
        <w:t xml:space="preserve"> los compradores </w:t>
      </w:r>
      <w:r w:rsidRPr="007815BD">
        <w:rPr>
          <w:rFonts w:ascii="Verdana" w:hAnsi="Verdana"/>
        </w:rPr>
        <w:lastRenderedPageBreak/>
        <w:t>públicos, proveedores, servidores públicos v para generar mayor valor público. Accede al curso y aprende como implementar criterios sociales y ambientales en las diferentes etapas del proceso de contratación:</w:t>
      </w:r>
      <w:r w:rsidRPr="007815BD">
        <w:rPr>
          <w:rFonts w:ascii="Verdana" w:hAnsi="Verdana"/>
        </w:rPr>
        <w:br/>
      </w:r>
      <w:hyperlink r:id="rId13" w:tgtFrame="_new" w:history="1">
        <w:r w:rsidRPr="007815BD">
          <w:rPr>
            <w:rStyle w:val="Hipervnculo"/>
            <w:rFonts w:ascii="Verdana" w:hAnsi="Verdana"/>
          </w:rPr>
          <w:t>https://formacionvirtual.colombiacompra.gov.co/mod/page/view.php?id=3718</w:t>
        </w:r>
      </w:hyperlink>
    </w:p>
    <w:p w14:paraId="7B74A320" w14:textId="77777777" w:rsidR="00443F5F" w:rsidRPr="007815BD" w:rsidRDefault="00443F5F" w:rsidP="00D3722A">
      <w:pPr>
        <w:spacing w:after="0" w:line="276" w:lineRule="auto"/>
        <w:jc w:val="both"/>
        <w:rPr>
          <w:rFonts w:ascii="Verdana" w:hAnsi="Verdana"/>
        </w:rPr>
      </w:pPr>
    </w:p>
    <w:p w14:paraId="44A2FD48" w14:textId="77777777" w:rsidR="00443F5F" w:rsidRPr="00D3722A" w:rsidRDefault="00443F5F" w:rsidP="00D3722A">
      <w:pPr>
        <w:spacing w:after="0" w:line="276" w:lineRule="auto"/>
        <w:jc w:val="both"/>
        <w:rPr>
          <w:rFonts w:ascii="Verdana" w:hAnsi="Verdana"/>
        </w:rPr>
      </w:pPr>
      <w:r w:rsidRPr="007815BD">
        <w:rPr>
          <w:rFonts w:ascii="Verdana" w:hAnsi="Verdana"/>
        </w:rPr>
        <w:t xml:space="preserve">De otro lado, te contamos que </w:t>
      </w:r>
      <w:r w:rsidRPr="00040DF7">
        <w:rPr>
          <w:rFonts w:ascii="Verdana" w:hAnsi="Verdana"/>
        </w:rPr>
        <w:t xml:space="preserve">esta Agencia ha da un paso decisivo en la </w:t>
      </w:r>
      <w:r w:rsidRPr="007815BD">
        <w:rPr>
          <w:rFonts w:ascii="Verdana" w:hAnsi="Verdana"/>
        </w:rPr>
        <w:t xml:space="preserve">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7815BD">
          <w:rPr>
            <w:rStyle w:val="Hipervnculo"/>
            <w:rFonts w:ascii="Verdana" w:hAnsi="Verdana"/>
          </w:rPr>
          <w:t>https://www.colombiacompra.gov.co/normativa-y-relatoria/documentos-tipo</w:t>
        </w:r>
      </w:hyperlink>
    </w:p>
    <w:p w14:paraId="3BDB9A55" w14:textId="77777777" w:rsidR="00443F5F" w:rsidRPr="007815BD" w:rsidRDefault="00443F5F" w:rsidP="00D3722A">
      <w:pPr>
        <w:spacing w:after="0" w:line="276" w:lineRule="auto"/>
        <w:jc w:val="both"/>
        <w:rPr>
          <w:rFonts w:ascii="Verdana" w:hAnsi="Verdana"/>
        </w:rPr>
      </w:pPr>
    </w:p>
    <w:p w14:paraId="72BC8D49" w14:textId="77777777" w:rsidR="00443F5F" w:rsidRPr="007815BD" w:rsidRDefault="00443F5F" w:rsidP="00D3722A">
      <w:pPr>
        <w:spacing w:after="0" w:line="276" w:lineRule="auto"/>
        <w:jc w:val="both"/>
        <w:rPr>
          <w:rFonts w:ascii="Verdana" w:hAnsi="Verdana"/>
        </w:rPr>
      </w:pPr>
      <w:r w:rsidRPr="007815BD">
        <w:rPr>
          <w:rFonts w:ascii="Verdana" w:hAnsi="Verdana"/>
        </w:rPr>
        <w:t xml:space="preserve">Si quieres conocer más sobre la aplicación de Documentos Tipo </w:t>
      </w:r>
      <w:r w:rsidRPr="00040DF7">
        <w:rPr>
          <w:rFonts w:ascii="Verdana" w:hAnsi="Verdana"/>
        </w:rPr>
        <w:t xml:space="preserve">puedes consultar </w:t>
      </w:r>
      <w:r w:rsidRPr="007815BD">
        <w:rPr>
          <w:rFonts w:ascii="Verdana" w:hAnsi="Verdana"/>
        </w:rPr>
        <w:t>la última versión de la Guía para la comprensión e implementación de los Documentos Tipo de obra pública de infraestructura de transporte.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7815BD">
        <w:rPr>
          <w:rFonts w:ascii="Verdana" w:hAnsi="Verdana"/>
        </w:rPr>
        <w:br/>
      </w:r>
      <w:hyperlink r:id="rId15" w:tgtFrame="_new" w:history="1">
        <w:r w:rsidRPr="007815BD">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68524A0" w14:textId="77777777" w:rsidR="00443F5F" w:rsidRPr="007815BD" w:rsidRDefault="00443F5F" w:rsidP="007815BD">
      <w:pPr>
        <w:shd w:val="clear" w:color="auto" w:fill="FFFFFF"/>
        <w:spacing w:after="0" w:line="276" w:lineRule="auto"/>
        <w:jc w:val="both"/>
        <w:rPr>
          <w:rFonts w:ascii="Verdana" w:hAnsi="Verdana"/>
          <w:color w:val="000000"/>
          <w:u w:val="single"/>
        </w:rPr>
      </w:pPr>
    </w:p>
    <w:p w14:paraId="7CDAF8BF" w14:textId="77777777" w:rsidR="00443F5F" w:rsidRPr="007815BD" w:rsidRDefault="00443F5F" w:rsidP="00D3722A">
      <w:pPr>
        <w:spacing w:after="0" w:line="276" w:lineRule="auto"/>
        <w:jc w:val="both"/>
        <w:rPr>
          <w:rFonts w:ascii="Verdana" w:hAnsi="Verdana"/>
        </w:rPr>
      </w:pPr>
      <w:r w:rsidRPr="007815BD">
        <w:rPr>
          <w:rFonts w:ascii="Verdana" w:hAnsi="Verdana"/>
        </w:rPr>
        <w:t>A</w:t>
      </w:r>
      <w:r w:rsidRPr="00040DF7">
        <w:rPr>
          <w:rFonts w:ascii="Verdana" w:hAnsi="Verdana"/>
        </w:rPr>
        <w:t xml:space="preserve">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w:t>
      </w:r>
      <w:r w:rsidRPr="007815BD">
        <w:rPr>
          <w:rFonts w:ascii="Verdana" w:hAnsi="Verdana"/>
        </w:rPr>
        <w:t xml:space="preserve">atención: </w:t>
      </w:r>
    </w:p>
    <w:p w14:paraId="7785A36E" w14:textId="77777777" w:rsidR="00443F5F" w:rsidRPr="007815BD" w:rsidRDefault="00443F5F" w:rsidP="00D3722A">
      <w:pPr>
        <w:spacing w:after="0" w:line="276" w:lineRule="auto"/>
        <w:jc w:val="both"/>
        <w:rPr>
          <w:rFonts w:ascii="Verdana" w:hAnsi="Verdana"/>
        </w:rPr>
      </w:pPr>
    </w:p>
    <w:p w14:paraId="5CDBB051" w14:textId="77777777" w:rsidR="00443F5F" w:rsidRPr="007815BD" w:rsidRDefault="00443F5F" w:rsidP="00D3722A">
      <w:pPr>
        <w:pStyle w:val="Prrafodelista"/>
        <w:numPr>
          <w:ilvl w:val="0"/>
          <w:numId w:val="15"/>
        </w:numPr>
        <w:spacing w:after="0" w:line="276" w:lineRule="auto"/>
        <w:contextualSpacing w:val="0"/>
        <w:jc w:val="both"/>
        <w:rPr>
          <w:rFonts w:ascii="Verdana" w:eastAsia="Verdana" w:hAnsi="Verdana" w:cs="Verdana"/>
          <w:color w:val="4472C4" w:themeColor="accent1"/>
          <w:u w:val="single"/>
        </w:rPr>
      </w:pPr>
      <w:r w:rsidRPr="007815BD">
        <w:rPr>
          <w:rFonts w:ascii="Verdana" w:eastAsia="Verdana" w:hAnsi="Verdana" w:cs="Verdana"/>
        </w:rPr>
        <w:lastRenderedPageBreak/>
        <w:t xml:space="preserve">Línea nacional gratuita o servicio a la ciudadanía (Mesa de servicio): </w:t>
      </w:r>
      <w:r w:rsidRPr="007815BD">
        <w:rPr>
          <w:rStyle w:val="Hipervnculo"/>
          <w:rFonts w:ascii="Verdana" w:hAnsi="Verdana"/>
        </w:rPr>
        <w:t>01800 0520808</w:t>
      </w:r>
    </w:p>
    <w:p w14:paraId="7307E8EB" w14:textId="77777777" w:rsidR="00443F5F" w:rsidRPr="007815BD" w:rsidRDefault="00443F5F" w:rsidP="00D3722A">
      <w:pPr>
        <w:pStyle w:val="Prrafodelista"/>
        <w:numPr>
          <w:ilvl w:val="0"/>
          <w:numId w:val="15"/>
        </w:numPr>
        <w:spacing w:after="0" w:line="276" w:lineRule="auto"/>
        <w:contextualSpacing w:val="0"/>
        <w:rPr>
          <w:rFonts w:ascii="Verdana" w:eastAsia="Verdana" w:hAnsi="Verdana" w:cs="Verdana"/>
          <w:color w:val="4472C4" w:themeColor="accent1"/>
          <w:u w:val="single"/>
        </w:rPr>
      </w:pPr>
      <w:r w:rsidRPr="007815BD">
        <w:rPr>
          <w:rFonts w:ascii="Verdana" w:eastAsia="Verdana" w:hAnsi="Verdana" w:cs="Verdana"/>
        </w:rPr>
        <w:t>Línea en Bogotá (Mesa de servicio</w:t>
      </w:r>
      <w:proofErr w:type="gramStart"/>
      <w:r w:rsidRPr="007815BD">
        <w:rPr>
          <w:rFonts w:ascii="Verdana" w:eastAsia="Verdana" w:hAnsi="Verdana" w:cs="Verdana"/>
        </w:rPr>
        <w:t>):</w:t>
      </w:r>
      <w:r w:rsidRPr="007815BD">
        <w:rPr>
          <w:rStyle w:val="Hipervnculo"/>
          <w:rFonts w:ascii="Verdana" w:hAnsi="Verdana"/>
        </w:rPr>
        <w:t>+</w:t>
      </w:r>
      <w:proofErr w:type="gramEnd"/>
      <w:r w:rsidRPr="007815BD">
        <w:rPr>
          <w:rStyle w:val="Hipervnculo"/>
          <w:rFonts w:ascii="Verdana" w:hAnsi="Verdana"/>
        </w:rPr>
        <w:t>57 601 7456788</w:t>
      </w:r>
    </w:p>
    <w:p w14:paraId="117F62E1" w14:textId="77777777" w:rsidR="00443F5F" w:rsidRPr="007815BD" w:rsidRDefault="00443F5F" w:rsidP="00D3722A">
      <w:pPr>
        <w:pStyle w:val="Prrafodelista"/>
        <w:numPr>
          <w:ilvl w:val="0"/>
          <w:numId w:val="15"/>
        </w:numPr>
        <w:spacing w:after="0" w:line="276" w:lineRule="auto"/>
        <w:contextualSpacing w:val="0"/>
        <w:rPr>
          <w:rFonts w:ascii="Verdana" w:eastAsia="Verdana" w:hAnsi="Verdana" w:cs="Verdana"/>
          <w:color w:val="0000FF"/>
          <w:u w:val="single"/>
        </w:rPr>
      </w:pPr>
      <w:r w:rsidRPr="007815BD">
        <w:rPr>
          <w:rFonts w:ascii="Verdana" w:eastAsia="Verdana" w:hAnsi="Verdana" w:cs="Verdana"/>
        </w:rPr>
        <w:t xml:space="preserve">Correo de radicación de correspondencia: </w:t>
      </w:r>
      <w:hyperlink r:id="rId16">
        <w:r w:rsidRPr="007815BD">
          <w:rPr>
            <w:rStyle w:val="Hipervnculo"/>
            <w:rFonts w:ascii="Verdana" w:eastAsia="Verdana" w:hAnsi="Verdana" w:cs="Verdana"/>
          </w:rPr>
          <w:t>ventanilladeradicacion@colombiacompra.gov.co</w:t>
        </w:r>
      </w:hyperlink>
    </w:p>
    <w:p w14:paraId="5F010D9B" w14:textId="77777777" w:rsidR="00443F5F" w:rsidRPr="007815BD" w:rsidRDefault="00443F5F" w:rsidP="00D3722A">
      <w:pPr>
        <w:pStyle w:val="Prrafodelista"/>
        <w:numPr>
          <w:ilvl w:val="0"/>
          <w:numId w:val="15"/>
        </w:numPr>
        <w:spacing w:after="0" w:line="276" w:lineRule="auto"/>
        <w:contextualSpacing w:val="0"/>
        <w:rPr>
          <w:rFonts w:ascii="Verdana" w:eastAsia="Verdana" w:hAnsi="Verdana" w:cs="Verdana"/>
          <w:color w:val="0000FF"/>
          <w:u w:val="single"/>
        </w:rPr>
      </w:pPr>
      <w:r w:rsidRPr="007815BD">
        <w:rPr>
          <w:rFonts w:ascii="Verdana" w:eastAsia="Verdana" w:hAnsi="Verdana" w:cs="Verdana"/>
        </w:rPr>
        <w:t>Formulario web para</w:t>
      </w:r>
      <w:r w:rsidRPr="007815BD">
        <w:rPr>
          <w:rFonts w:ascii="Verdana" w:eastAsia="Verdana" w:hAnsi="Verdana" w:cs="Verdana"/>
          <w:lang w:val="es"/>
        </w:rPr>
        <w:t xml:space="preserve"> PQRSD: </w:t>
      </w:r>
      <w:hyperlink r:id="rId17">
        <w:r w:rsidRPr="007815BD">
          <w:rPr>
            <w:rStyle w:val="Hipervnculo"/>
            <w:rFonts w:ascii="Verdana" w:eastAsia="Verdana" w:hAnsi="Verdana" w:cs="Verdana"/>
          </w:rPr>
          <w:t>https://www.colombiacompra.gov.co/pqrsd/informacion-importante-antes-de-formular-una-pqrsd</w:t>
        </w:r>
      </w:hyperlink>
    </w:p>
    <w:p w14:paraId="4673D22B" w14:textId="77777777" w:rsidR="00443F5F" w:rsidRPr="007815BD" w:rsidRDefault="00443F5F" w:rsidP="00D3722A">
      <w:pPr>
        <w:spacing w:after="0" w:line="276" w:lineRule="auto"/>
        <w:ind w:left="720"/>
        <w:jc w:val="both"/>
        <w:rPr>
          <w:rFonts w:ascii="Verdana" w:hAnsi="Verdana"/>
        </w:rPr>
      </w:pPr>
    </w:p>
    <w:p w14:paraId="4EFD6462" w14:textId="2E1B9DA1" w:rsidR="00443F5F" w:rsidRPr="007815BD" w:rsidRDefault="00443F5F" w:rsidP="00D3722A">
      <w:pPr>
        <w:spacing w:after="0" w:line="276" w:lineRule="auto"/>
        <w:rPr>
          <w:rFonts w:ascii="Verdana" w:hAnsi="Verdana"/>
        </w:rPr>
      </w:pPr>
      <w:r w:rsidRPr="007815BD">
        <w:rPr>
          <w:rFonts w:ascii="Verdana" w:hAnsi="Verdana"/>
        </w:rPr>
        <w:t>Evalúa el servicio que ofrece la Agencia por el canal de atención de PQRSD en el siguiente enlace :</w:t>
      </w:r>
      <w:hyperlink r:id="rId18" w:tgtFrame="_blank" w:tooltip="https://forms.office.com/r/pphywvs2sz" w:history="1">
        <w:r w:rsidRPr="007815BD">
          <w:rPr>
            <w:rStyle w:val="Hipervnculo"/>
            <w:rFonts w:ascii="Verdana" w:hAnsi="Verdana"/>
          </w:rPr>
          <w:t>https://forms.office.com/r/pPHyWVs2SZ</w:t>
        </w:r>
      </w:hyperlink>
      <w:r w:rsidRPr="007815BD">
        <w:rPr>
          <w:rFonts w:ascii="Verdana" w:hAnsi="Verdana"/>
        </w:rPr>
        <w:t xml:space="preserve"> .¡Ayúdanos a mejorar porque el compromiso es de todos!</w:t>
      </w:r>
    </w:p>
    <w:p w14:paraId="40417272" w14:textId="66322E00" w:rsidR="00443F5F" w:rsidRDefault="00443F5F" w:rsidP="00D3722A">
      <w:pPr>
        <w:spacing w:after="0" w:line="276" w:lineRule="auto"/>
        <w:jc w:val="both"/>
        <w:rPr>
          <w:rFonts w:ascii="Verdana" w:hAnsi="Verdana"/>
        </w:rPr>
      </w:pPr>
      <w:r w:rsidRPr="00040DF7">
        <w:rPr>
          <w:rFonts w:ascii="Verdana" w:hAnsi="Verdana"/>
        </w:rPr>
        <w:t xml:space="preserve">Por último, lo invitamos a seguirnos en las redes sociales en las cuales se difunde información institucional: </w:t>
      </w:r>
    </w:p>
    <w:p w14:paraId="29AF5391" w14:textId="77777777" w:rsidR="00DE266A" w:rsidRPr="007815BD" w:rsidRDefault="00DE266A" w:rsidP="00D3722A">
      <w:pPr>
        <w:spacing w:after="0" w:line="276" w:lineRule="auto"/>
        <w:jc w:val="both"/>
        <w:rPr>
          <w:rFonts w:ascii="Verdana" w:hAnsi="Verdana"/>
        </w:rPr>
      </w:pPr>
    </w:p>
    <w:p w14:paraId="29D04BEB" w14:textId="77777777" w:rsidR="00443F5F" w:rsidRPr="007815BD" w:rsidRDefault="00443F5F" w:rsidP="00D3722A">
      <w:pPr>
        <w:spacing w:after="0" w:line="276" w:lineRule="auto"/>
        <w:jc w:val="both"/>
        <w:rPr>
          <w:rFonts w:ascii="Verdana" w:hAnsi="Verdana"/>
        </w:rPr>
      </w:pPr>
      <w:r w:rsidRPr="007815BD">
        <w:rPr>
          <w:rFonts w:ascii="Verdana" w:hAnsi="Verdana"/>
        </w:rPr>
        <w:t xml:space="preserve">Twitter: </w:t>
      </w:r>
      <w:r w:rsidRPr="007815BD">
        <w:rPr>
          <w:rStyle w:val="Hipervnculo"/>
          <w:rFonts w:ascii="Verdana" w:hAnsi="Verdana"/>
        </w:rPr>
        <w:t>@colombiacompra</w:t>
      </w:r>
      <w:r w:rsidRPr="007815BD">
        <w:rPr>
          <w:rFonts w:ascii="Verdana" w:hAnsi="Verdana"/>
        </w:rPr>
        <w:t xml:space="preserve"> </w:t>
      </w:r>
    </w:p>
    <w:p w14:paraId="36FD3B4E" w14:textId="77777777" w:rsidR="00443F5F" w:rsidRPr="007815BD" w:rsidRDefault="00443F5F" w:rsidP="00D3722A">
      <w:pPr>
        <w:spacing w:after="0" w:line="276" w:lineRule="auto"/>
        <w:jc w:val="both"/>
        <w:rPr>
          <w:rFonts w:ascii="Verdana" w:hAnsi="Verdana"/>
        </w:rPr>
      </w:pPr>
      <w:r w:rsidRPr="007815BD">
        <w:rPr>
          <w:rFonts w:ascii="Verdana" w:hAnsi="Verdana"/>
        </w:rPr>
        <w:t xml:space="preserve">Facebook: </w:t>
      </w:r>
      <w:proofErr w:type="spellStart"/>
      <w:r w:rsidRPr="007815BD">
        <w:rPr>
          <w:rStyle w:val="Hipervnculo"/>
          <w:rFonts w:ascii="Verdana" w:hAnsi="Verdana"/>
        </w:rPr>
        <w:t>ColombiaCompraEficiente</w:t>
      </w:r>
      <w:proofErr w:type="spellEnd"/>
    </w:p>
    <w:p w14:paraId="2BD8FD5F" w14:textId="77777777" w:rsidR="00443F5F" w:rsidRPr="007815BD" w:rsidRDefault="00443F5F" w:rsidP="00D3722A">
      <w:pPr>
        <w:spacing w:after="0" w:line="276" w:lineRule="auto"/>
        <w:jc w:val="both"/>
        <w:rPr>
          <w:rFonts w:ascii="Verdana" w:hAnsi="Verdana"/>
        </w:rPr>
      </w:pPr>
      <w:r w:rsidRPr="007815BD">
        <w:rPr>
          <w:rFonts w:ascii="Verdana" w:hAnsi="Verdana"/>
        </w:rPr>
        <w:t xml:space="preserve">LinkedIn: </w:t>
      </w:r>
      <w:r w:rsidRPr="007815BD">
        <w:rPr>
          <w:rStyle w:val="Hipervnculo"/>
          <w:rFonts w:ascii="Verdana" w:hAnsi="Verdana"/>
        </w:rPr>
        <w:t>Agencia Nacional de Contratación Pública - Colombia Compra Eficiente</w:t>
      </w:r>
      <w:r w:rsidRPr="007815BD">
        <w:rPr>
          <w:rFonts w:ascii="Verdana" w:hAnsi="Verdana"/>
        </w:rPr>
        <w:t xml:space="preserve"> Instagram: </w:t>
      </w:r>
      <w:r w:rsidRPr="007815BD">
        <w:rPr>
          <w:rStyle w:val="Hipervnculo"/>
          <w:rFonts w:ascii="Verdana" w:hAnsi="Verdana"/>
        </w:rPr>
        <w:t>@colombiacompraeficiente_cce</w:t>
      </w:r>
    </w:p>
    <w:p w14:paraId="3E7CFDC7" w14:textId="77777777" w:rsidR="00443F5F" w:rsidRPr="007815BD" w:rsidRDefault="00443F5F" w:rsidP="007815BD">
      <w:pPr>
        <w:shd w:val="clear" w:color="auto" w:fill="FFFFFF"/>
        <w:spacing w:after="0" w:line="276" w:lineRule="auto"/>
        <w:jc w:val="both"/>
        <w:rPr>
          <w:rFonts w:ascii="Verdana" w:hAnsi="Verdana" w:cs="Arial"/>
          <w:color w:val="FF0000"/>
          <w:shd w:val="clear" w:color="auto" w:fill="FFFFFF"/>
          <w:lang w:val="es-ES_tradnl"/>
        </w:rPr>
      </w:pPr>
      <w:r w:rsidRPr="007815BD">
        <w:rPr>
          <w:rFonts w:ascii="Verdana" w:hAnsi="Verdana" w:cs="Arial"/>
          <w:color w:val="000000" w:themeColor="text1"/>
          <w:shd w:val="clear" w:color="auto" w:fill="FFFFFF"/>
          <w:lang w:val="es-ES_tradnl"/>
        </w:rPr>
        <w:t xml:space="preserve"> </w:t>
      </w:r>
      <w:r w:rsidRPr="007815BD">
        <w:rPr>
          <w:rStyle w:val="normaltextrun"/>
          <w:rFonts w:ascii="Verdana" w:hAnsi="Verdana" w:cs="Arial"/>
          <w:color w:val="FF0000"/>
          <w:shd w:val="clear" w:color="auto" w:fill="FFFFFF"/>
          <w:lang w:val="es-ES_tradnl"/>
        </w:rPr>
        <w:t xml:space="preserve">        </w:t>
      </w:r>
    </w:p>
    <w:p w14:paraId="5C209415" w14:textId="77777777" w:rsidR="00443F5F" w:rsidRPr="007815BD" w:rsidRDefault="00443F5F" w:rsidP="00040DF7">
      <w:pPr>
        <w:widowControl w:val="0"/>
        <w:autoSpaceDE w:val="0"/>
        <w:autoSpaceDN w:val="0"/>
        <w:spacing w:after="0" w:line="276" w:lineRule="auto"/>
        <w:jc w:val="both"/>
        <w:rPr>
          <w:rFonts w:ascii="Verdana" w:hAnsi="Verdana" w:cs="Arial"/>
          <w:lang w:val="es-ES_tradnl"/>
        </w:rPr>
      </w:pPr>
      <w:r w:rsidRPr="007815BD">
        <w:rPr>
          <w:rFonts w:ascii="Verdana" w:hAnsi="Verdana" w:cs="Arial"/>
        </w:rPr>
        <w:t xml:space="preserve">Este concepto tiene el alcance previsto en el artículo 28 del Código de Procedimiento Administrativo y de lo Contencioso Administrativo </w:t>
      </w:r>
      <w:r w:rsidRPr="007815BD">
        <w:rPr>
          <w:rFonts w:ascii="Verdana" w:hAnsi="Verdana" w:cs="Arial"/>
          <w:lang w:val="es-ES_tradnl"/>
        </w:rPr>
        <w:t xml:space="preserve">y las expresiones aquí utilizadas con mayúscula inicial deben ser entendidas con el significado que les otorga el artículo 2.2.1.1.1.3.1. del Decreto 1082 de 2015. </w:t>
      </w:r>
    </w:p>
    <w:p w14:paraId="68DDCCD5" w14:textId="77777777" w:rsidR="00443F5F" w:rsidRPr="007815BD" w:rsidRDefault="00443F5F">
      <w:pPr>
        <w:widowControl w:val="0"/>
        <w:autoSpaceDE w:val="0"/>
        <w:autoSpaceDN w:val="0"/>
        <w:spacing w:after="0" w:line="276" w:lineRule="auto"/>
        <w:jc w:val="both"/>
        <w:rPr>
          <w:rFonts w:ascii="Verdana" w:hAnsi="Verdana" w:cs="Arial"/>
        </w:rPr>
      </w:pPr>
    </w:p>
    <w:p w14:paraId="2F1258A7" w14:textId="32199CFF" w:rsidR="007815BD" w:rsidRPr="007815BD" w:rsidRDefault="00443F5F">
      <w:pPr>
        <w:spacing w:after="0" w:line="276" w:lineRule="auto"/>
        <w:rPr>
          <w:rFonts w:ascii="Verdana" w:eastAsia="Calibri" w:hAnsi="Verdana" w:cs="Arial"/>
          <w:lang w:val="es-ES" w:eastAsia="es-CO"/>
        </w:rPr>
      </w:pPr>
      <w:r w:rsidRPr="007815BD">
        <w:rPr>
          <w:rFonts w:ascii="Verdana" w:eastAsia="Times New Roman" w:hAnsi="Verdana" w:cs="Arial"/>
          <w:lang w:val="es-ES" w:eastAsia="es-CO"/>
        </w:rPr>
        <w:t>Atentamente,</w:t>
      </w:r>
      <w:r w:rsidRPr="007815BD">
        <w:rPr>
          <w:rFonts w:ascii="Verdana" w:eastAsia="Calibri" w:hAnsi="Verdana" w:cs="Arial"/>
          <w:lang w:val="es-ES" w:eastAsia="es-CO"/>
        </w:rPr>
        <w:t xml:space="preserve"> </w:t>
      </w:r>
    </w:p>
    <w:p w14:paraId="4D0FBC08" w14:textId="57E8F4D1" w:rsidR="00443F5F" w:rsidRPr="007815BD" w:rsidRDefault="001B597D" w:rsidP="00D3722A">
      <w:pPr>
        <w:spacing w:after="0" w:line="276" w:lineRule="auto"/>
        <w:rPr>
          <w:rFonts w:ascii="Verdana" w:eastAsia="Times New Roman" w:hAnsi="Verdana" w:cs="Arial"/>
          <w:lang w:eastAsia="es-ES"/>
        </w:rPr>
      </w:pPr>
      <w:r>
        <w:rPr>
          <w:rFonts w:ascii="Verdana" w:eastAsia="Times New Roman" w:hAnsi="Verdana" w:cs="Arial"/>
          <w:noProof/>
          <w:lang w:eastAsia="es-ES"/>
        </w:rPr>
        <w:drawing>
          <wp:anchor distT="0" distB="0" distL="114300" distR="114300" simplePos="0" relativeHeight="251659264" behindDoc="0" locked="0" layoutInCell="1" allowOverlap="1" wp14:anchorId="264AB322" wp14:editId="1F04CABF">
            <wp:simplePos x="0" y="0"/>
            <wp:positionH relativeFrom="margin">
              <wp:align>center</wp:align>
            </wp:positionH>
            <wp:positionV relativeFrom="paragraph">
              <wp:posOffset>5439</wp:posOffset>
            </wp:positionV>
            <wp:extent cx="3437255" cy="1279525"/>
            <wp:effectExtent l="0" t="0" r="0" b="0"/>
            <wp:wrapSquare wrapText="bothSides"/>
            <wp:docPr id="8191221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22122" name="Imagen 819122122"/>
                    <pic:cNvPicPr/>
                  </pic:nvPicPr>
                  <pic:blipFill>
                    <a:blip r:embed="rId19">
                      <a:extLst>
                        <a:ext uri="{28A0092B-C50C-407E-A947-70E740481C1C}">
                          <a14:useLocalDpi xmlns:a14="http://schemas.microsoft.com/office/drawing/2010/main" val="0"/>
                        </a:ext>
                      </a:extLst>
                    </a:blip>
                    <a:stretch>
                      <a:fillRect/>
                    </a:stretch>
                  </pic:blipFill>
                  <pic:spPr>
                    <a:xfrm>
                      <a:off x="0" y="0"/>
                      <a:ext cx="3437255" cy="1279525"/>
                    </a:xfrm>
                    <a:prstGeom prst="rect">
                      <a:avLst/>
                    </a:prstGeom>
                  </pic:spPr>
                </pic:pic>
              </a:graphicData>
            </a:graphic>
            <wp14:sizeRelH relativeFrom="margin">
              <wp14:pctWidth>0</wp14:pctWidth>
            </wp14:sizeRelH>
            <wp14:sizeRelV relativeFrom="margin">
              <wp14:pctHeight>0</wp14:pctHeight>
            </wp14:sizeRelV>
          </wp:anchor>
        </w:drawing>
      </w:r>
    </w:p>
    <w:p w14:paraId="476E8A80" w14:textId="77777777" w:rsidR="001B597D" w:rsidRDefault="001B597D" w:rsidP="001B597D">
      <w:pPr>
        <w:spacing w:after="0" w:line="240" w:lineRule="auto"/>
        <w:jc w:val="center"/>
        <w:rPr>
          <w:rFonts w:ascii="Verdana" w:eastAsia="Times New Roman" w:hAnsi="Verdana" w:cs="Arial"/>
          <w:lang w:eastAsia="es-ES"/>
        </w:rPr>
      </w:pPr>
    </w:p>
    <w:p w14:paraId="5E4E60A3" w14:textId="355423AD" w:rsidR="001B597D" w:rsidRDefault="001B597D" w:rsidP="001B597D">
      <w:pPr>
        <w:spacing w:after="0" w:line="240" w:lineRule="auto"/>
        <w:jc w:val="center"/>
        <w:rPr>
          <w:rFonts w:ascii="Verdana" w:eastAsia="Times New Roman" w:hAnsi="Verdana" w:cs="Arial"/>
          <w:lang w:eastAsia="es-ES"/>
        </w:rPr>
      </w:pPr>
    </w:p>
    <w:p w14:paraId="0D0AE208" w14:textId="77777777" w:rsidR="001B597D" w:rsidRDefault="001B597D" w:rsidP="001B597D">
      <w:pPr>
        <w:spacing w:after="0" w:line="240" w:lineRule="auto"/>
        <w:jc w:val="center"/>
        <w:rPr>
          <w:rFonts w:ascii="Verdana" w:eastAsia="Times New Roman" w:hAnsi="Verdana" w:cs="Arial"/>
          <w:lang w:eastAsia="es-ES"/>
        </w:rPr>
      </w:pPr>
    </w:p>
    <w:p w14:paraId="6EB9A71D" w14:textId="4A8B2A77" w:rsidR="00443F5F" w:rsidRPr="008D539F" w:rsidRDefault="00443F5F" w:rsidP="001B597D">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443F5F" w:rsidRPr="008D539F" w14:paraId="7AE73AE8" w14:textId="77777777" w:rsidTr="007601B2">
        <w:trPr>
          <w:trHeight w:val="322"/>
        </w:trPr>
        <w:tc>
          <w:tcPr>
            <w:tcW w:w="733" w:type="dxa"/>
            <w:tcBorders>
              <w:top w:val="nil"/>
              <w:left w:val="nil"/>
              <w:bottom w:val="nil"/>
              <w:right w:val="nil"/>
            </w:tcBorders>
            <w:vAlign w:val="center"/>
            <w:hideMark/>
          </w:tcPr>
          <w:p w14:paraId="14AD94A4"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4E99EACB"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53D3E140"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669278B7"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29EA139C"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38BEE96D"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09484E0E"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1201E803"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04B974D8"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595BBF4E"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0145BDD4"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006D713F"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2B5D1F88" w14:textId="77777777" w:rsidR="001B597D" w:rsidRDefault="001B597D" w:rsidP="007601B2">
            <w:pPr>
              <w:spacing w:after="0" w:line="240" w:lineRule="auto"/>
              <w:textAlignment w:val="baseline"/>
              <w:rPr>
                <w:rFonts w:ascii="Verdana" w:eastAsia="Times New Roman" w:hAnsi="Verdana" w:cs="Times New Roman"/>
                <w:sz w:val="16"/>
                <w:szCs w:val="16"/>
                <w:lang w:val="es-MX" w:eastAsia="es-CO"/>
              </w:rPr>
            </w:pPr>
          </w:p>
          <w:p w14:paraId="634D01CA" w14:textId="019E277A" w:rsidR="00443F5F" w:rsidRPr="008D539F" w:rsidRDefault="00443F5F"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314CBF4" w14:textId="77777777" w:rsidR="001B597D" w:rsidRDefault="001B597D" w:rsidP="007601B2">
            <w:pPr>
              <w:spacing w:after="0" w:line="254" w:lineRule="auto"/>
              <w:rPr>
                <w:rFonts w:ascii="Verdana" w:eastAsia="Times New Roman" w:hAnsi="Verdana" w:cs="Arial"/>
                <w:sz w:val="16"/>
                <w:szCs w:val="16"/>
                <w:lang w:val="es-ES_tradnl" w:eastAsia="es-ES"/>
              </w:rPr>
            </w:pPr>
          </w:p>
          <w:p w14:paraId="6FE0D8BC" w14:textId="77777777" w:rsidR="001B597D" w:rsidRDefault="001B597D" w:rsidP="007601B2">
            <w:pPr>
              <w:spacing w:after="0" w:line="254" w:lineRule="auto"/>
              <w:rPr>
                <w:rFonts w:ascii="Verdana" w:eastAsia="Times New Roman" w:hAnsi="Verdana" w:cs="Arial"/>
                <w:sz w:val="16"/>
                <w:szCs w:val="16"/>
                <w:lang w:val="es-ES_tradnl" w:eastAsia="es-ES"/>
              </w:rPr>
            </w:pPr>
          </w:p>
          <w:p w14:paraId="1434391C" w14:textId="77777777" w:rsidR="001B597D" w:rsidRDefault="001B597D" w:rsidP="007601B2">
            <w:pPr>
              <w:spacing w:after="0" w:line="254" w:lineRule="auto"/>
              <w:rPr>
                <w:rFonts w:ascii="Verdana" w:eastAsia="Times New Roman" w:hAnsi="Verdana" w:cs="Arial"/>
                <w:sz w:val="16"/>
                <w:szCs w:val="16"/>
                <w:lang w:val="es-ES_tradnl" w:eastAsia="es-ES"/>
              </w:rPr>
            </w:pPr>
          </w:p>
          <w:p w14:paraId="3AE008E8" w14:textId="77777777" w:rsidR="001B597D" w:rsidRDefault="001B597D" w:rsidP="007601B2">
            <w:pPr>
              <w:spacing w:after="0" w:line="254" w:lineRule="auto"/>
              <w:rPr>
                <w:rFonts w:ascii="Verdana" w:eastAsia="Times New Roman" w:hAnsi="Verdana" w:cs="Arial"/>
                <w:sz w:val="16"/>
                <w:szCs w:val="16"/>
                <w:lang w:val="es-ES_tradnl" w:eastAsia="es-ES"/>
              </w:rPr>
            </w:pPr>
          </w:p>
          <w:p w14:paraId="2113CDCE" w14:textId="77777777" w:rsidR="001B597D" w:rsidRDefault="001B597D" w:rsidP="007601B2">
            <w:pPr>
              <w:spacing w:after="0" w:line="254" w:lineRule="auto"/>
              <w:rPr>
                <w:rFonts w:ascii="Verdana" w:eastAsia="Times New Roman" w:hAnsi="Verdana" w:cs="Arial"/>
                <w:sz w:val="16"/>
                <w:szCs w:val="16"/>
                <w:lang w:val="es-ES_tradnl" w:eastAsia="es-ES"/>
              </w:rPr>
            </w:pPr>
          </w:p>
          <w:p w14:paraId="7B1C1221" w14:textId="77777777" w:rsidR="001B597D" w:rsidRDefault="001B597D" w:rsidP="007601B2">
            <w:pPr>
              <w:spacing w:after="0" w:line="254" w:lineRule="auto"/>
              <w:rPr>
                <w:rFonts w:ascii="Verdana" w:eastAsia="Times New Roman" w:hAnsi="Verdana" w:cs="Arial"/>
                <w:sz w:val="16"/>
                <w:szCs w:val="16"/>
                <w:lang w:val="es-ES_tradnl" w:eastAsia="es-ES"/>
              </w:rPr>
            </w:pPr>
          </w:p>
          <w:p w14:paraId="69B89502" w14:textId="77777777" w:rsidR="001B597D" w:rsidRDefault="001B597D" w:rsidP="007601B2">
            <w:pPr>
              <w:spacing w:after="0" w:line="254" w:lineRule="auto"/>
              <w:rPr>
                <w:rFonts w:ascii="Verdana" w:eastAsia="Times New Roman" w:hAnsi="Verdana" w:cs="Arial"/>
                <w:sz w:val="16"/>
                <w:szCs w:val="16"/>
                <w:lang w:val="es-ES_tradnl" w:eastAsia="es-ES"/>
              </w:rPr>
            </w:pPr>
          </w:p>
          <w:p w14:paraId="1402A935" w14:textId="77777777" w:rsidR="001B597D" w:rsidRDefault="001B597D" w:rsidP="007601B2">
            <w:pPr>
              <w:spacing w:after="0" w:line="254" w:lineRule="auto"/>
              <w:rPr>
                <w:rFonts w:ascii="Verdana" w:eastAsia="Times New Roman" w:hAnsi="Verdana" w:cs="Arial"/>
                <w:sz w:val="16"/>
                <w:szCs w:val="16"/>
                <w:lang w:val="es-ES_tradnl" w:eastAsia="es-ES"/>
              </w:rPr>
            </w:pPr>
          </w:p>
          <w:p w14:paraId="57EDFB27" w14:textId="77777777" w:rsidR="001B597D" w:rsidRDefault="001B597D" w:rsidP="007601B2">
            <w:pPr>
              <w:spacing w:after="0" w:line="254" w:lineRule="auto"/>
              <w:rPr>
                <w:rFonts w:ascii="Verdana" w:eastAsia="Times New Roman" w:hAnsi="Verdana" w:cs="Arial"/>
                <w:sz w:val="16"/>
                <w:szCs w:val="16"/>
                <w:lang w:val="es-ES_tradnl" w:eastAsia="es-ES"/>
              </w:rPr>
            </w:pPr>
          </w:p>
          <w:p w14:paraId="3BB435A3" w14:textId="77777777" w:rsidR="001B597D" w:rsidRDefault="001B597D" w:rsidP="007601B2">
            <w:pPr>
              <w:spacing w:after="0" w:line="254" w:lineRule="auto"/>
              <w:rPr>
                <w:rFonts w:ascii="Verdana" w:eastAsia="Times New Roman" w:hAnsi="Verdana" w:cs="Arial"/>
                <w:sz w:val="16"/>
                <w:szCs w:val="16"/>
                <w:lang w:val="es-ES_tradnl" w:eastAsia="es-ES"/>
              </w:rPr>
            </w:pPr>
          </w:p>
          <w:p w14:paraId="7494ABD8" w14:textId="77777777" w:rsidR="001B597D" w:rsidRDefault="001B597D" w:rsidP="007601B2">
            <w:pPr>
              <w:spacing w:after="0" w:line="254" w:lineRule="auto"/>
              <w:rPr>
                <w:rFonts w:ascii="Verdana" w:eastAsia="Times New Roman" w:hAnsi="Verdana" w:cs="Arial"/>
                <w:sz w:val="16"/>
                <w:szCs w:val="16"/>
                <w:lang w:val="es-ES_tradnl" w:eastAsia="es-ES"/>
              </w:rPr>
            </w:pPr>
          </w:p>
          <w:p w14:paraId="15920C9D" w14:textId="77777777" w:rsidR="001B597D" w:rsidRDefault="001B597D" w:rsidP="007601B2">
            <w:pPr>
              <w:spacing w:after="0" w:line="254" w:lineRule="auto"/>
              <w:rPr>
                <w:rFonts w:ascii="Verdana" w:eastAsia="Times New Roman" w:hAnsi="Verdana" w:cs="Arial"/>
                <w:sz w:val="16"/>
                <w:szCs w:val="16"/>
                <w:lang w:val="es-ES_tradnl" w:eastAsia="es-ES"/>
              </w:rPr>
            </w:pPr>
          </w:p>
          <w:p w14:paraId="1C4A7EC6" w14:textId="06917715" w:rsidR="00443F5F" w:rsidRPr="008D539F" w:rsidRDefault="00443F5F" w:rsidP="007601B2">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 xml:space="preserve">Camilo José Martínez </w:t>
            </w:r>
            <w:proofErr w:type="spellStart"/>
            <w:r w:rsidRPr="008D539F">
              <w:rPr>
                <w:rFonts w:ascii="Verdana" w:eastAsia="Times New Roman" w:hAnsi="Verdana" w:cs="Arial"/>
                <w:sz w:val="16"/>
                <w:szCs w:val="16"/>
                <w:lang w:val="es-ES_tradnl" w:eastAsia="es-ES"/>
              </w:rPr>
              <w:t>Martínez</w:t>
            </w:r>
            <w:proofErr w:type="spellEnd"/>
          </w:p>
          <w:p w14:paraId="70EE23FB" w14:textId="77777777" w:rsidR="00443F5F" w:rsidRPr="008D539F" w:rsidRDefault="00443F5F" w:rsidP="007601B2">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443F5F" w:rsidRPr="008D539F" w14:paraId="33F8B928" w14:textId="77777777" w:rsidTr="007601B2">
        <w:trPr>
          <w:trHeight w:val="322"/>
        </w:trPr>
        <w:tc>
          <w:tcPr>
            <w:tcW w:w="733" w:type="dxa"/>
            <w:tcBorders>
              <w:top w:val="nil"/>
              <w:left w:val="nil"/>
              <w:bottom w:val="nil"/>
              <w:right w:val="nil"/>
            </w:tcBorders>
            <w:vAlign w:val="center"/>
            <w:hideMark/>
          </w:tcPr>
          <w:p w14:paraId="13CBD7AF" w14:textId="77777777" w:rsidR="00443F5F" w:rsidRPr="008D539F" w:rsidRDefault="00443F5F"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lastRenderedPageBreak/>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E1E22BA" w14:textId="4117E9B0" w:rsidR="00443F5F" w:rsidRPr="008D539F" w:rsidRDefault="00443F5F" w:rsidP="007601B2">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Diana </w:t>
            </w:r>
            <w:r w:rsidR="007815BD">
              <w:rPr>
                <w:rFonts w:ascii="Verdana" w:eastAsia="Times New Roman" w:hAnsi="Verdana" w:cs="Times New Roman"/>
                <w:sz w:val="16"/>
                <w:szCs w:val="16"/>
                <w:lang w:eastAsia="es-CO"/>
              </w:rPr>
              <w:t xml:space="preserve">Lucia </w:t>
            </w:r>
            <w:r>
              <w:rPr>
                <w:rFonts w:ascii="Verdana" w:eastAsia="Times New Roman" w:hAnsi="Verdana" w:cs="Times New Roman"/>
                <w:sz w:val="16"/>
                <w:szCs w:val="16"/>
                <w:lang w:eastAsia="es-CO"/>
              </w:rPr>
              <w:t>Saavedra</w:t>
            </w:r>
            <w:r w:rsidR="007815BD">
              <w:rPr>
                <w:rFonts w:ascii="Verdana" w:eastAsia="Times New Roman" w:hAnsi="Verdana" w:cs="Times New Roman"/>
                <w:sz w:val="16"/>
                <w:szCs w:val="16"/>
                <w:lang w:eastAsia="es-CO"/>
              </w:rPr>
              <w:t xml:space="preserve"> Castañeda</w:t>
            </w:r>
          </w:p>
          <w:p w14:paraId="3526FE5B" w14:textId="77777777" w:rsidR="00443F5F" w:rsidRPr="008D539F" w:rsidRDefault="00443F5F"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443F5F" w:rsidRPr="008D539F" w14:paraId="26E89881" w14:textId="77777777" w:rsidTr="007601B2">
        <w:trPr>
          <w:trHeight w:val="307"/>
        </w:trPr>
        <w:tc>
          <w:tcPr>
            <w:tcW w:w="733" w:type="dxa"/>
            <w:tcBorders>
              <w:top w:val="nil"/>
              <w:left w:val="nil"/>
              <w:bottom w:val="nil"/>
              <w:right w:val="nil"/>
            </w:tcBorders>
            <w:vAlign w:val="center"/>
            <w:hideMark/>
          </w:tcPr>
          <w:p w14:paraId="67E41409" w14:textId="77777777" w:rsidR="00443F5F" w:rsidRPr="008D539F" w:rsidRDefault="00443F5F" w:rsidP="007601B2">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3E19BAD" w14:textId="77777777" w:rsidR="00443F5F" w:rsidRPr="008D539F" w:rsidRDefault="00443F5F" w:rsidP="007601B2">
            <w:pPr>
              <w:spacing w:after="0" w:line="254" w:lineRule="auto"/>
              <w:rPr>
                <w:rFonts w:ascii="Verdana" w:eastAsia="Times New Roman" w:hAnsi="Verdana" w:cs="Arial"/>
                <w:sz w:val="16"/>
                <w:szCs w:val="16"/>
                <w:lang w:eastAsia="es-ES"/>
              </w:rPr>
            </w:pPr>
            <w:r>
              <w:rPr>
                <w:rFonts w:ascii="Verdana" w:eastAsia="Times New Roman" w:hAnsi="Verdana" w:cs="Arial"/>
                <w:sz w:val="16"/>
                <w:szCs w:val="16"/>
                <w:lang w:eastAsia="es-ES"/>
              </w:rPr>
              <w:t xml:space="preserve">William Javier Murcia Acevedo </w:t>
            </w:r>
          </w:p>
          <w:p w14:paraId="711DFFBB" w14:textId="77777777" w:rsidR="00443F5F" w:rsidRPr="008D539F" w:rsidRDefault="00443F5F" w:rsidP="007601B2">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 xml:space="preserve">Subdirectora de Gestión Contractual </w:t>
            </w:r>
            <w:r>
              <w:rPr>
                <w:rFonts w:ascii="Verdana" w:eastAsia="Times New Roman" w:hAnsi="Verdana" w:cs="Arial"/>
                <w:sz w:val="16"/>
                <w:szCs w:val="16"/>
                <w:lang w:eastAsia="es-ES"/>
              </w:rPr>
              <w:t>(e)</w:t>
            </w:r>
          </w:p>
        </w:tc>
      </w:tr>
    </w:tbl>
    <w:p w14:paraId="0F293BF4" w14:textId="5DEB2A0E" w:rsidR="00127233" w:rsidRPr="00443F5F" w:rsidRDefault="00127233" w:rsidP="001B597D"/>
    <w:sectPr w:rsidR="00127233" w:rsidRPr="00443F5F"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A2650" w14:textId="77777777" w:rsidR="00ED5CD6" w:rsidRDefault="00ED5CD6" w:rsidP="004A1847">
      <w:pPr>
        <w:spacing w:after="0" w:line="240" w:lineRule="auto"/>
      </w:pPr>
      <w:r>
        <w:separator/>
      </w:r>
    </w:p>
  </w:endnote>
  <w:endnote w:type="continuationSeparator" w:id="0">
    <w:p w14:paraId="3FF9BBFA" w14:textId="77777777" w:rsidR="00ED5CD6" w:rsidRDefault="00ED5CD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E5017" w14:textId="77777777" w:rsidR="00ED5CD6" w:rsidRDefault="00ED5CD6" w:rsidP="004A1847">
      <w:pPr>
        <w:spacing w:after="0" w:line="240" w:lineRule="auto"/>
      </w:pPr>
      <w:r>
        <w:separator/>
      </w:r>
    </w:p>
  </w:footnote>
  <w:footnote w:type="continuationSeparator" w:id="0">
    <w:p w14:paraId="205EF1B2" w14:textId="77777777" w:rsidR="00ED5CD6" w:rsidRDefault="00ED5CD6" w:rsidP="004A1847">
      <w:pPr>
        <w:spacing w:after="0" w:line="240" w:lineRule="auto"/>
      </w:pPr>
      <w:r>
        <w:continuationSeparator/>
      </w:r>
    </w:p>
  </w:footnote>
  <w:footnote w:id="1">
    <w:p w14:paraId="58F3F79D" w14:textId="77777777" w:rsidR="00295536" w:rsidRPr="00D3722A" w:rsidRDefault="00295536" w:rsidP="00295536">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1150 de 2007, artículo 3, literal c); Ley 1712 de 2014, artículos 2, 3, 9 —literal e)— y 11 —literal g)—; Decreto 1082 de 2015, artículos 2.2.1.1.1.3.1 y 2.2.1.1.1.7.1. AGENCIA NACIONAL DE CONTRATACIÓN PÚBLICA – COLOMBIA COMPRA EFICIENTE. Subdirección de Gestión Contractual. Conceptos C-478 de 2024, C-292 de 2025 y C-070 de 2026.</w:t>
      </w:r>
    </w:p>
  </w:footnote>
  <w:footnote w:id="2">
    <w:p w14:paraId="23690242" w14:textId="77777777" w:rsidR="00E12848" w:rsidRPr="00D3722A" w:rsidRDefault="00E12848" w:rsidP="00E12848">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AGENCIA NACIONAL DE CONTRATACIÓN PÚBLICA – COLOMBIA COMPRA EFICIENTE. Circular Externa Única, numeral 1.2. AGENCIA NACIONAL DE CONTRATACIÓN PÚBLICA – COLOMBIA COMPRA EFICIENTE. Subdirección de Gestión Contractual. Conceptos C-478 de 2024, C-292 de 2025 y C-1177 de 2025.</w:t>
      </w:r>
    </w:p>
  </w:footnote>
  <w:footnote w:id="3">
    <w:p w14:paraId="5A2F0E39"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1437 de 2011, artículo 28, sustituido por el artículo 1 de la Ley 1755 de 2015. Decreto Ley 4170 de 2011, artículos 3 —numeral 5— y 11 —numeral 8—.</w:t>
      </w:r>
    </w:p>
  </w:footnote>
  <w:footnote w:id="4">
    <w:p w14:paraId="57B50BC9" w14:textId="77777777" w:rsidR="00EB2105" w:rsidRPr="00D3722A" w:rsidRDefault="00EB2105" w:rsidP="00EB2105">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153 de 1887, artículo 38. CONSEJO DE ESTADO. Sala de lo Contencioso Administrativo. Sección Tercera. Subsección C. Sentencia del 24 de marzo de 2011, expediente 63001-23-31-000-1998-00752-01(18118). M.P. Jaime Orlando Santofimio Gamboa. AGENCIA NACIONAL DE CONTRATACIÓN PÚBLICA – COLOMBIA COMPRA EFICIENTE. Subdirección de Gestión Contractual. Concepto C-841 de 2025.</w:t>
      </w:r>
    </w:p>
  </w:footnote>
  <w:footnote w:id="5">
    <w:p w14:paraId="2A2FAACB" w14:textId="77777777" w:rsidR="002811D5" w:rsidRPr="00D3722A" w:rsidRDefault="002811D5" w:rsidP="002811D5">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1150 de 2007, artículo 3, literal c); Ley 1712 de 2014, artículos 9 —literal e)— y 11 —literal g)—; Decreto 1081 de 2015, artículos 2.1.1.2.1.7 y 2.1.1.2.1.8; Decreto 1082 de 2015, artículos 2.2.1.1.1.3.1 y 2.2.1.1.1.7.1.</w:t>
      </w:r>
    </w:p>
  </w:footnote>
  <w:footnote w:id="6">
    <w:p w14:paraId="526D2C65"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1081 de 2015, artículos 2.1.1.2.1.1, 2.1.1.2.1.4, 2.1.1.2.1.9 y 2.1.1.2.1.10; Ley 1712 de 2014, artículos 5, 9, 10 y 11; Ley 1474 de 2011, artículo 74.</w:t>
      </w:r>
    </w:p>
  </w:footnote>
  <w:footnote w:id="7">
    <w:p w14:paraId="414CFEC0"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artículos 2, 3 —literales a) y b)— y 4; Constitución Política, artículos 74 y 209.</w:t>
      </w:r>
    </w:p>
  </w:footnote>
  <w:footnote w:id="8">
    <w:p w14:paraId="41B9804E"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AGENCIA NACIONAL DE CONTRATACIÓN PÚBLICA – COLOMBIA COMPRA EFICIENTE. Subdirección de Gestión Contractual. Concepto C-292 de 2025.</w:t>
      </w:r>
    </w:p>
  </w:footnote>
  <w:footnote w:id="9">
    <w:p w14:paraId="047C02FC"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Constitución Política, artículos 74 y 209.</w:t>
      </w:r>
    </w:p>
  </w:footnote>
  <w:footnote w:id="10">
    <w:p w14:paraId="248B3E70"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1150 de 2007, artículo 3, literal c).</w:t>
      </w:r>
    </w:p>
  </w:footnote>
  <w:footnote w:id="11">
    <w:p w14:paraId="0CE70DB5"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artículos 2 y 3, literales a) y b).</w:t>
      </w:r>
    </w:p>
  </w:footnote>
  <w:footnote w:id="12">
    <w:p w14:paraId="17058304"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 9, literal e); Decreto 1081 de 2015, artículo 2.1.1.2.1.7.</w:t>
      </w:r>
    </w:p>
  </w:footnote>
  <w:footnote w:id="13">
    <w:p w14:paraId="497FF503"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 11, literal g).</w:t>
      </w:r>
    </w:p>
  </w:footnote>
  <w:footnote w:id="14">
    <w:p w14:paraId="4CE755A5"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 4; Decreto 1082 de 2015, artículo 2.2.1.1.1.7.1.</w:t>
      </w:r>
    </w:p>
  </w:footnote>
  <w:footnote w:id="15">
    <w:p w14:paraId="61CD87CF"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1082 de 2015, artículo 2.2.1.1.1.3.1.</w:t>
      </w:r>
    </w:p>
  </w:footnote>
  <w:footnote w:id="16">
    <w:p w14:paraId="24E00D7B"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1082 de 2015, artículo 2.2.1.1.1.3.1. AGENCIA NACIONAL DE CONTRATACIÓN PÚBLICA – COLOMBIA COMPRA EFICIENTE. Subdirección de Gestión Contractual. Conceptos C-292 de 2025 y C-967 de 2026.</w:t>
      </w:r>
    </w:p>
  </w:footnote>
  <w:footnote w:id="17">
    <w:p w14:paraId="4271F622"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1082 de 2015, artículo 2.2.1.1.1.3.1.</w:t>
      </w:r>
    </w:p>
  </w:footnote>
  <w:footnote w:id="18">
    <w:p w14:paraId="5B8E7A39" w14:textId="77777777" w:rsidR="00B80A92" w:rsidRPr="00D3722A" w:rsidRDefault="00B80A92"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Ley 4170 de 2011, artículo 3, numeral 5. AGENCIA NACIONAL DE CONTRATACIÓN PÚBLICA – COLOMBIA COMPRA EFICIENTE. Circular Externa Única, numeral 1.2.</w:t>
      </w:r>
    </w:p>
  </w:footnote>
  <w:footnote w:id="19">
    <w:p w14:paraId="03F3D20C" w14:textId="77777777" w:rsidR="00B80A92" w:rsidRPr="00D3722A" w:rsidRDefault="00B80A92"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AGENCIA NACIONAL DE CONTRATACIÓN PÚBLICA – COLOMBIA COMPRA EFICIENTE. Circular Externa Única, numeral 1.2. AGENCIA NACIONAL DE CONTRATACIÓN PÚBLICA – COLOMBIA COMPRA EFICIENTE. Subdirección de Gestión Contractual. Concepto C-292 de 2025.</w:t>
      </w:r>
    </w:p>
  </w:footnote>
  <w:footnote w:id="20">
    <w:p w14:paraId="3BCDDB12" w14:textId="77777777" w:rsidR="00B80A92" w:rsidRPr="00D3722A" w:rsidRDefault="00B80A92"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1082 de 2015, artículo 2.2.1.1.1.7.1. AGENCIA NACIONAL DE CONTRATACIÓN PÚBLICA – COLOMBIA COMPRA EFICIENTE. Subdirección de Gestión Contractual. Concepto C-292 de 2025.</w:t>
      </w:r>
    </w:p>
  </w:footnote>
  <w:footnote w:id="21">
    <w:p w14:paraId="28FC5703"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Decreto 1082 de 2015, artículos 2.2.1.1.1.3.1 y 2.2.1.1.1.7.1. AGENCIA NACIONAL DE CONTRATACIÓN PÚBLICA – COLOMBIA COMPRA EFICIENTE. Subdirección de Gestión Contractual. Concepto C-292 de 2025.</w:t>
      </w:r>
    </w:p>
  </w:footnote>
  <w:footnote w:id="22">
    <w:p w14:paraId="73A2CDB3"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Constitución Política, artículo 74; Ley 1712 de 2014, artículos 2, 3 y 4; Decreto 1082 de 2015, artículo 2.2.1.1.1.7.1.</w:t>
      </w:r>
    </w:p>
  </w:footnote>
  <w:footnote w:id="23">
    <w:p w14:paraId="450C6C95"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153 de 1887, artículo 38. CONSEJO DE ESTADO. Sala de lo Contencioso Administrativo. Sección Tercera. Subsección C. Sentencia del 24 de marzo de 2011, expediente 63001-23-31-000-1998-00752-01(18118). M.P. Jaime Orlando Santofimio Gamboa. AGENCIA NACIONAL DE CONTRATACIÓN PÚBLICA – COLOMBIA COMPRA EFICIENTE. Subdirección de Gestión Contractual. Concepto C-841 de 2025.</w:t>
      </w:r>
    </w:p>
  </w:footnote>
  <w:footnote w:id="24">
    <w:p w14:paraId="08AE5717"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1712 de 2014, artículos 9, 10 y 11; Decreto 1081 de 2015, artículos 2.1.1.2.1.1, 2.1.1.2.1.4, 2.1.1.2.1.7, 2.1.1.2.1.8, 2.1.1.2.1.9 y 2.1.1.2.1.10; Decreto 1082 de 2015, artículos 2.2.1.1.1.3.1 y 2.2.1.1.1.7.1.</w:t>
      </w:r>
    </w:p>
  </w:footnote>
  <w:footnote w:id="25">
    <w:p w14:paraId="487DF6DB"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1150 de 2007, artículo 3; Decreto 1082 de 2015, artículo 2.2.1.1.1.7.1. AGENCIA NACIONAL DE CONTRATACIÓN PÚBLICA – COLOMBIA COMPRA EFICIENTE. Subdirección de Gestión Contractual. Concepto C-292 de 2025.</w:t>
      </w:r>
    </w:p>
  </w:footnote>
  <w:footnote w:id="26">
    <w:p w14:paraId="2373FB17"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1474 de 2011; Ley 1712 de 2014; Ley 2195 de 2022. AGENCIA NACIONAL DE CONTRATACIÓN PÚBLICA – COLOMBIA COMPRA EFICIENTE. Subdirección de Gestión Contractual. Concepto C-292 de 2025.</w:t>
      </w:r>
    </w:p>
  </w:footnote>
  <w:footnote w:id="27">
    <w:p w14:paraId="5855DBB6" w14:textId="77777777" w:rsidR="00443F5F" w:rsidRPr="00D3722A" w:rsidRDefault="00443F5F" w:rsidP="00D3722A">
      <w:pPr>
        <w:pStyle w:val="Textonotapie"/>
        <w:ind w:firstLine="709"/>
        <w:jc w:val="both"/>
        <w:rPr>
          <w:rFonts w:ascii="Verdana" w:hAnsi="Verdana"/>
          <w:sz w:val="16"/>
          <w:szCs w:val="16"/>
          <w:lang w:val="es-ES_tradnl"/>
        </w:rPr>
      </w:pPr>
      <w:r w:rsidRPr="00D3722A">
        <w:rPr>
          <w:rStyle w:val="Refdenotaalpie"/>
          <w:rFonts w:ascii="Verdana" w:hAnsi="Verdana"/>
          <w:sz w:val="16"/>
          <w:szCs w:val="16"/>
        </w:rPr>
        <w:footnoteRef/>
      </w:r>
      <w:r w:rsidRPr="00D3722A">
        <w:rPr>
          <w:rFonts w:ascii="Verdana" w:hAnsi="Verdana"/>
          <w:sz w:val="16"/>
          <w:szCs w:val="16"/>
          <w:lang w:val="es-ES_tradnl"/>
        </w:rPr>
        <w:t xml:space="preserve"> Ley 1437 de 2011, artículo 28, sustituido por el artículo 1 de la Ley 1755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15pt;height:13.1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5721826">
    <w:abstractNumId w:val="6"/>
  </w:num>
  <w:num w:numId="2" w16cid:durableId="900553141">
    <w:abstractNumId w:val="1"/>
  </w:num>
  <w:num w:numId="3" w16cid:durableId="1616518122">
    <w:abstractNumId w:val="4"/>
  </w:num>
  <w:num w:numId="4" w16cid:durableId="17599089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8304737">
    <w:abstractNumId w:val="1"/>
  </w:num>
  <w:num w:numId="6" w16cid:durableId="1629316522">
    <w:abstractNumId w:val="13"/>
  </w:num>
  <w:num w:numId="7" w16cid:durableId="1925140013">
    <w:abstractNumId w:val="5"/>
  </w:num>
  <w:num w:numId="8" w16cid:durableId="689140630">
    <w:abstractNumId w:val="12"/>
  </w:num>
  <w:num w:numId="9" w16cid:durableId="1703093380">
    <w:abstractNumId w:val="7"/>
  </w:num>
  <w:num w:numId="10" w16cid:durableId="1511020240">
    <w:abstractNumId w:val="11"/>
  </w:num>
  <w:num w:numId="11" w16cid:durableId="406804302">
    <w:abstractNumId w:val="8"/>
  </w:num>
  <w:num w:numId="12" w16cid:durableId="1017778554">
    <w:abstractNumId w:val="0"/>
  </w:num>
  <w:num w:numId="13" w16cid:durableId="1310549155">
    <w:abstractNumId w:val="2"/>
  </w:num>
  <w:num w:numId="14" w16cid:durableId="1819685920">
    <w:abstractNumId w:val="14"/>
  </w:num>
  <w:num w:numId="15" w16cid:durableId="1569808149">
    <w:abstractNumId w:val="10"/>
  </w:num>
  <w:num w:numId="16" w16cid:durableId="1584217937">
    <w:abstractNumId w:val="3"/>
  </w:num>
  <w:num w:numId="17" w16cid:durableId="19923676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DF7"/>
    <w:rsid w:val="00046945"/>
    <w:rsid w:val="00060BBF"/>
    <w:rsid w:val="00061B2A"/>
    <w:rsid w:val="00082362"/>
    <w:rsid w:val="000A683E"/>
    <w:rsid w:val="000B19B9"/>
    <w:rsid w:val="000D0334"/>
    <w:rsid w:val="000D5DA7"/>
    <w:rsid w:val="000F6486"/>
    <w:rsid w:val="00116940"/>
    <w:rsid w:val="00125105"/>
    <w:rsid w:val="00127233"/>
    <w:rsid w:val="0015699B"/>
    <w:rsid w:val="00174076"/>
    <w:rsid w:val="001A33BF"/>
    <w:rsid w:val="001B597D"/>
    <w:rsid w:val="001D02CE"/>
    <w:rsid w:val="001E4177"/>
    <w:rsid w:val="001F0B24"/>
    <w:rsid w:val="001F7DC6"/>
    <w:rsid w:val="0022400B"/>
    <w:rsid w:val="002358FE"/>
    <w:rsid w:val="002421BB"/>
    <w:rsid w:val="0025796E"/>
    <w:rsid w:val="002707A2"/>
    <w:rsid w:val="002811D5"/>
    <w:rsid w:val="002951A0"/>
    <w:rsid w:val="00295536"/>
    <w:rsid w:val="002962BC"/>
    <w:rsid w:val="002A093D"/>
    <w:rsid w:val="002A0DD0"/>
    <w:rsid w:val="002A49AC"/>
    <w:rsid w:val="002A64FD"/>
    <w:rsid w:val="002C4879"/>
    <w:rsid w:val="002C7A84"/>
    <w:rsid w:val="002E2BF8"/>
    <w:rsid w:val="002E4FD9"/>
    <w:rsid w:val="0030657A"/>
    <w:rsid w:val="00322A85"/>
    <w:rsid w:val="00324168"/>
    <w:rsid w:val="00330834"/>
    <w:rsid w:val="00343458"/>
    <w:rsid w:val="003448F4"/>
    <w:rsid w:val="00374F5E"/>
    <w:rsid w:val="00377E3E"/>
    <w:rsid w:val="003A779E"/>
    <w:rsid w:val="003D0F4D"/>
    <w:rsid w:val="003D5B0D"/>
    <w:rsid w:val="003E0499"/>
    <w:rsid w:val="003E4F80"/>
    <w:rsid w:val="003E6439"/>
    <w:rsid w:val="003F3941"/>
    <w:rsid w:val="00406575"/>
    <w:rsid w:val="00414C74"/>
    <w:rsid w:val="0042722E"/>
    <w:rsid w:val="00443F5F"/>
    <w:rsid w:val="0044528D"/>
    <w:rsid w:val="00466E39"/>
    <w:rsid w:val="004A1847"/>
    <w:rsid w:val="004A305D"/>
    <w:rsid w:val="004B3839"/>
    <w:rsid w:val="004F21C4"/>
    <w:rsid w:val="004F685F"/>
    <w:rsid w:val="00531D34"/>
    <w:rsid w:val="005566E8"/>
    <w:rsid w:val="00574867"/>
    <w:rsid w:val="00591460"/>
    <w:rsid w:val="005A65E0"/>
    <w:rsid w:val="005B65D8"/>
    <w:rsid w:val="005C3777"/>
    <w:rsid w:val="005C5CDC"/>
    <w:rsid w:val="005D476C"/>
    <w:rsid w:val="006200BF"/>
    <w:rsid w:val="006219F8"/>
    <w:rsid w:val="006302F7"/>
    <w:rsid w:val="00632667"/>
    <w:rsid w:val="00646B9F"/>
    <w:rsid w:val="00665D70"/>
    <w:rsid w:val="006676A8"/>
    <w:rsid w:val="006900D9"/>
    <w:rsid w:val="006B3801"/>
    <w:rsid w:val="00706C16"/>
    <w:rsid w:val="007340C3"/>
    <w:rsid w:val="0075235A"/>
    <w:rsid w:val="00756841"/>
    <w:rsid w:val="007649AB"/>
    <w:rsid w:val="00771D0C"/>
    <w:rsid w:val="007815BD"/>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0884"/>
    <w:rsid w:val="00961B09"/>
    <w:rsid w:val="00965334"/>
    <w:rsid w:val="0097093E"/>
    <w:rsid w:val="00986EB4"/>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80A92"/>
    <w:rsid w:val="00BC3D36"/>
    <w:rsid w:val="00BD54A6"/>
    <w:rsid w:val="00BD7F72"/>
    <w:rsid w:val="00BF7425"/>
    <w:rsid w:val="00C04FB3"/>
    <w:rsid w:val="00C11D8B"/>
    <w:rsid w:val="00C15139"/>
    <w:rsid w:val="00C24E34"/>
    <w:rsid w:val="00C330EB"/>
    <w:rsid w:val="00C50D69"/>
    <w:rsid w:val="00C5365C"/>
    <w:rsid w:val="00C754BE"/>
    <w:rsid w:val="00C76B1C"/>
    <w:rsid w:val="00C852A7"/>
    <w:rsid w:val="00C925AC"/>
    <w:rsid w:val="00CB6357"/>
    <w:rsid w:val="00CC1B26"/>
    <w:rsid w:val="00D361FD"/>
    <w:rsid w:val="00D3722A"/>
    <w:rsid w:val="00D423A2"/>
    <w:rsid w:val="00D44E26"/>
    <w:rsid w:val="00D520D8"/>
    <w:rsid w:val="00D63AC2"/>
    <w:rsid w:val="00D7383B"/>
    <w:rsid w:val="00D7788A"/>
    <w:rsid w:val="00DA231B"/>
    <w:rsid w:val="00DC39FC"/>
    <w:rsid w:val="00DE266A"/>
    <w:rsid w:val="00DF5254"/>
    <w:rsid w:val="00E02524"/>
    <w:rsid w:val="00E12848"/>
    <w:rsid w:val="00E128FE"/>
    <w:rsid w:val="00E16408"/>
    <w:rsid w:val="00E20894"/>
    <w:rsid w:val="00E245AB"/>
    <w:rsid w:val="00E2764C"/>
    <w:rsid w:val="00E27F2E"/>
    <w:rsid w:val="00E50AFE"/>
    <w:rsid w:val="00E75C92"/>
    <w:rsid w:val="00E771DC"/>
    <w:rsid w:val="00E8772A"/>
    <w:rsid w:val="00E90F6B"/>
    <w:rsid w:val="00E92C27"/>
    <w:rsid w:val="00EA0E3D"/>
    <w:rsid w:val="00EB2105"/>
    <w:rsid w:val="00EC38A7"/>
    <w:rsid w:val="00ED2923"/>
    <w:rsid w:val="00ED5CD6"/>
    <w:rsid w:val="00EE1AA8"/>
    <w:rsid w:val="00F23FEA"/>
    <w:rsid w:val="00F31EDC"/>
    <w:rsid w:val="00F36DBA"/>
    <w:rsid w:val="00F462B3"/>
    <w:rsid w:val="00F5664F"/>
    <w:rsid w:val="00F666C4"/>
    <w:rsid w:val="00F76AFC"/>
    <w:rsid w:val="00F81B11"/>
    <w:rsid w:val="00FA47C0"/>
    <w:rsid w:val="00FB5DD1"/>
    <w:rsid w:val="00FC2B5D"/>
    <w:rsid w:val="00FE0DC9"/>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43F5F"/>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43F5F"/>
    <w:rPr>
      <w:rFonts w:ascii="Geomanist Light" w:hAnsi="Geomanist Light"/>
      <w:lang w:val="es-ES"/>
    </w:rPr>
  </w:style>
  <w:style w:type="table" w:customStyle="1" w:styleId="Tablaconcuadrcula11">
    <w:name w:val="Tabla con cuadrícula11"/>
    <w:basedOn w:val="Tablanormal"/>
    <w:next w:val="Tablaconcuadrcula"/>
    <w:uiPriority w:val="59"/>
    <w:qFormat/>
    <w:rsid w:val="00443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443F5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43458"/>
    <w:rPr>
      <w:sz w:val="16"/>
      <w:szCs w:val="16"/>
    </w:rPr>
  </w:style>
  <w:style w:type="paragraph" w:styleId="Textocomentario">
    <w:name w:val="annotation text"/>
    <w:basedOn w:val="Normal"/>
    <w:link w:val="TextocomentarioCar"/>
    <w:uiPriority w:val="99"/>
    <w:semiHidden/>
    <w:unhideWhenUsed/>
    <w:rsid w:val="0034345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43458"/>
    <w:rPr>
      <w:sz w:val="20"/>
      <w:szCs w:val="20"/>
    </w:rPr>
  </w:style>
  <w:style w:type="paragraph" w:styleId="Asuntodelcomentario">
    <w:name w:val="annotation subject"/>
    <w:basedOn w:val="Textocomentario"/>
    <w:next w:val="Textocomentario"/>
    <w:link w:val="AsuntodelcomentarioCar"/>
    <w:uiPriority w:val="99"/>
    <w:semiHidden/>
    <w:unhideWhenUsed/>
    <w:rsid w:val="00343458"/>
    <w:rPr>
      <w:b/>
      <w:bCs/>
    </w:rPr>
  </w:style>
  <w:style w:type="character" w:customStyle="1" w:styleId="AsuntodelcomentarioCar">
    <w:name w:val="Asunto del comentario Car"/>
    <w:basedOn w:val="TextocomentarioCar"/>
    <w:link w:val="Asuntodelcomentario"/>
    <w:uiPriority w:val="99"/>
    <w:semiHidden/>
    <w:rsid w:val="003434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acionvirtual.colombiacompra.gov.co/mod/page/view.php?id=3718"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normativa-y-relatoria/documentos-tip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4E998A-38A1-43B0-8048-C902D86C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519A2-054F-6549-B204-E838895341E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17</Pages>
  <Words>5020</Words>
  <Characters>27615</Characters>
  <Application>Microsoft Office Word</Application>
  <DocSecurity>0</DocSecurity>
  <Lines>230</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2026-10-22T22:42:00Z</dcterms:created>
  <dcterms:modified xsi:type="dcterms:W3CDTF">2026-10-30T19:05:00Z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