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2D3B6" w14:textId="2DD164A4" w:rsidR="00F4514A" w:rsidRPr="003B459E" w:rsidRDefault="00596BFE" w:rsidP="001E4044">
      <w:pPr>
        <w:shd w:val="clear" w:color="auto" w:fill="FFFFFF"/>
        <w:spacing w:after="120"/>
        <w:contextualSpacing/>
        <w:jc w:val="both"/>
        <w:rPr>
          <w:rFonts w:ascii="Verdana" w:eastAsia="Calibri" w:hAnsi="Verdana" w:cs="Arial"/>
          <w:b/>
          <w:lang w:val="es-MX"/>
        </w:rPr>
      </w:pPr>
      <w:bookmarkStart w:id="0" w:name="_Hlk143780582"/>
      <w:r w:rsidRPr="003B459E">
        <w:rPr>
          <w:rFonts w:ascii="Verdana" w:eastAsia="Calibri" w:hAnsi="Verdana" w:cs="Arial"/>
          <w:b/>
          <w:lang w:val="es-MX"/>
        </w:rPr>
        <w:t>LEY 2166 DE 2021 – Organismos de Acción Comunal – Capacidad contractual – Límites</w:t>
      </w:r>
    </w:p>
    <w:p w14:paraId="16724946" w14:textId="77777777" w:rsidR="00596BFE" w:rsidRPr="003B459E" w:rsidRDefault="00596BFE" w:rsidP="001E4044">
      <w:pPr>
        <w:shd w:val="clear" w:color="auto" w:fill="FFFFFF"/>
        <w:spacing w:after="120"/>
        <w:contextualSpacing/>
        <w:jc w:val="both"/>
        <w:rPr>
          <w:rFonts w:ascii="Verdana" w:eastAsia="Aptos" w:hAnsi="Verdana"/>
          <w:sz w:val="20"/>
          <w:szCs w:val="20"/>
        </w:rPr>
      </w:pPr>
    </w:p>
    <w:p w14:paraId="67D5E4C6" w14:textId="4B0335A2" w:rsidR="00F4514A" w:rsidRPr="003B459E" w:rsidRDefault="00891480" w:rsidP="001E4044">
      <w:pPr>
        <w:shd w:val="clear" w:color="auto" w:fill="FFFFFF"/>
        <w:spacing w:after="120"/>
        <w:contextualSpacing/>
        <w:jc w:val="both"/>
        <w:rPr>
          <w:rFonts w:ascii="Verdana" w:eastAsia="Aptos" w:hAnsi="Verdana"/>
          <w:sz w:val="20"/>
          <w:szCs w:val="20"/>
        </w:rPr>
      </w:pPr>
      <w:r w:rsidRPr="003B459E">
        <w:rPr>
          <w:rFonts w:ascii="Verdana" w:eastAsia="Aptos" w:hAnsi="Verdana"/>
          <w:sz w:val="20"/>
          <w:szCs w:val="20"/>
        </w:rPr>
        <w:t xml:space="preserve">El literal f) del artículo 16 de la Ley 2166 de 2021 faculta a los Organismos de Acción Comunal para celebrar contratos con entidades del Estado, empresas públicas y privadas del orden internacional, nacional, departamental, distrital, municipal y local, hasta por la menor cuantía, con el fin de impulsar planes, programas y proyectos acordes con los planes comunales y comunitarios de desarrollo territorial. La ley no fija un listado taxativo de bienes o servicios que estos organismos pueden suministrar o prestar. Su capacidad se determina por la concurrencia de su objeto y estatutos, la finalidad comunitaria que la ley les asigna, el límite de menor cuantía y la territorialidad dentro de la cual desarrollan sus actividades. </w:t>
      </w:r>
    </w:p>
    <w:p w14:paraId="10AD196E" w14:textId="77777777" w:rsidR="00891480" w:rsidRPr="003B459E" w:rsidRDefault="00891480" w:rsidP="001E4044">
      <w:pPr>
        <w:shd w:val="clear" w:color="auto" w:fill="FFFFFF"/>
        <w:spacing w:after="120"/>
        <w:contextualSpacing/>
        <w:jc w:val="both"/>
        <w:rPr>
          <w:rFonts w:ascii="Verdana" w:eastAsia="Calibri" w:hAnsi="Verdana" w:cs="Arial"/>
          <w:b/>
          <w:sz w:val="20"/>
          <w:szCs w:val="20"/>
        </w:rPr>
      </w:pPr>
    </w:p>
    <w:p w14:paraId="5A1C7882" w14:textId="4DDEADF5" w:rsidR="00F4514A" w:rsidRPr="003B459E" w:rsidRDefault="00D80A7F" w:rsidP="001E4044">
      <w:pPr>
        <w:shd w:val="clear" w:color="auto" w:fill="FFFFFF"/>
        <w:spacing w:after="120"/>
        <w:contextualSpacing/>
        <w:jc w:val="both"/>
        <w:rPr>
          <w:rFonts w:ascii="Verdana" w:eastAsia="Calibri" w:hAnsi="Verdana" w:cs="Arial"/>
          <w:b/>
          <w:lang w:val="es-MX"/>
        </w:rPr>
      </w:pPr>
      <w:r w:rsidRPr="003B459E">
        <w:rPr>
          <w:rFonts w:ascii="Verdana" w:eastAsia="Calibri" w:hAnsi="Verdana" w:cs="Arial"/>
          <w:b/>
          <w:lang w:val="es-MX"/>
        </w:rPr>
        <w:t>LEY 2166 DE 2021 – Artículo 63 – Vinculación al desarrollo municipal – Remisión al artículo 141 de la Ley 136 de 1994</w:t>
      </w:r>
    </w:p>
    <w:p w14:paraId="7E5720FD" w14:textId="77777777" w:rsidR="00D80A7F" w:rsidRPr="003B459E" w:rsidRDefault="00D80A7F" w:rsidP="001E4044">
      <w:pPr>
        <w:shd w:val="clear" w:color="auto" w:fill="FFFFFF"/>
        <w:spacing w:after="120"/>
        <w:contextualSpacing/>
        <w:jc w:val="both"/>
        <w:rPr>
          <w:rFonts w:ascii="Verdana" w:eastAsia="Calibri" w:hAnsi="Verdana" w:cs="Arial"/>
          <w:b/>
          <w:sz w:val="20"/>
          <w:szCs w:val="20"/>
        </w:rPr>
      </w:pPr>
    </w:p>
    <w:p w14:paraId="2FC846F6" w14:textId="3C175624" w:rsidR="00F4514A" w:rsidRPr="003B459E" w:rsidRDefault="00514E71" w:rsidP="001E4044">
      <w:pPr>
        <w:shd w:val="clear" w:color="auto" w:fill="FFFFFF"/>
        <w:spacing w:after="120"/>
        <w:contextualSpacing/>
        <w:jc w:val="both"/>
        <w:rPr>
          <w:rFonts w:ascii="Verdana" w:eastAsia="Aptos" w:hAnsi="Verdana"/>
          <w:sz w:val="20"/>
          <w:szCs w:val="20"/>
        </w:rPr>
      </w:pPr>
      <w:r w:rsidRPr="003B459E">
        <w:rPr>
          <w:rFonts w:ascii="Verdana" w:eastAsia="Aptos" w:hAnsi="Verdana"/>
          <w:sz w:val="20"/>
          <w:szCs w:val="20"/>
        </w:rPr>
        <w:t>El artículo 63 de la Ley 2166 de 2021 permite que los Organismos de Acción Comunal se vinculen al desarrollo y mejoramiento municipal mediante la participación en el ejercicio de las funciones, la prestación de bienes y servicios o la ejecución de obras públicas a cargo de la administración central o descentralizada. Para la celebración de estos negocios jurídicos, el inciso primero de la norma remite al artículo 141 de la Ley 136 de 1994, que a su vez los sujeta a los artículos 375 a 378 del Decreto 1333 de 1986 y a la Ley 80 de 1993. Por ello, esta disposición no constituye por sí misma una habilitación autónoma para contratar directamente, y debe interpretarse en armonía con el Estatuto General de Contratación de la Administración Pública, salvo que exista una forma especial de contratación, como la prevista en el Decreto 092 de 2017.</w:t>
      </w:r>
    </w:p>
    <w:p w14:paraId="43274083" w14:textId="77777777" w:rsidR="00514E71" w:rsidRPr="003B459E" w:rsidRDefault="00514E71" w:rsidP="001E4044">
      <w:pPr>
        <w:shd w:val="clear" w:color="auto" w:fill="FFFFFF"/>
        <w:spacing w:after="120"/>
        <w:contextualSpacing/>
        <w:jc w:val="both"/>
        <w:rPr>
          <w:rFonts w:ascii="Verdana" w:eastAsia="Calibri" w:hAnsi="Verdana" w:cs="Arial"/>
          <w:b/>
          <w:sz w:val="20"/>
          <w:szCs w:val="20"/>
        </w:rPr>
      </w:pPr>
    </w:p>
    <w:p w14:paraId="759786CE" w14:textId="0AE5AD60" w:rsidR="00F4514A" w:rsidRPr="003B459E" w:rsidRDefault="000B237A" w:rsidP="001E4044">
      <w:pPr>
        <w:shd w:val="clear" w:color="auto" w:fill="FFFFFF"/>
        <w:spacing w:after="120"/>
        <w:contextualSpacing/>
        <w:jc w:val="both"/>
        <w:rPr>
          <w:rFonts w:ascii="Verdana" w:eastAsia="Calibri" w:hAnsi="Verdana" w:cs="Arial"/>
          <w:b/>
          <w:sz w:val="20"/>
          <w:szCs w:val="20"/>
        </w:rPr>
      </w:pPr>
      <w:r w:rsidRPr="003B459E">
        <w:rPr>
          <w:rFonts w:ascii="Verdana" w:eastAsia="Calibri" w:hAnsi="Verdana" w:cs="Arial"/>
          <w:b/>
          <w:lang w:val="es-MX"/>
        </w:rPr>
        <w:t>LEY 2166 DE 2021 – Asociaciones de Juntas de Acción Comunal – Territorialidad – Alcance</w:t>
      </w:r>
    </w:p>
    <w:p w14:paraId="271BA01C" w14:textId="77777777" w:rsidR="00F4514A" w:rsidRPr="003B459E" w:rsidRDefault="00F4514A" w:rsidP="001E4044">
      <w:pPr>
        <w:shd w:val="clear" w:color="auto" w:fill="FFFFFF"/>
        <w:spacing w:after="120"/>
        <w:contextualSpacing/>
        <w:jc w:val="both"/>
        <w:rPr>
          <w:rFonts w:ascii="Verdana" w:eastAsia="Aptos" w:hAnsi="Verdana"/>
          <w:sz w:val="20"/>
          <w:szCs w:val="20"/>
        </w:rPr>
      </w:pPr>
    </w:p>
    <w:p w14:paraId="78B955DF" w14:textId="3495136B" w:rsidR="001E4044" w:rsidRPr="003B459E" w:rsidRDefault="00E47D35" w:rsidP="001E4044">
      <w:pPr>
        <w:jc w:val="both"/>
        <w:rPr>
          <w:rFonts w:ascii="Verdana" w:eastAsia="Verdana" w:hAnsi="Verdana" w:cs="Verdana"/>
          <w:sz w:val="20"/>
          <w:szCs w:val="20"/>
        </w:rPr>
      </w:pPr>
      <w:r w:rsidRPr="003B459E">
        <w:rPr>
          <w:rFonts w:ascii="Verdana" w:eastAsia="Verdana" w:hAnsi="Verdana" w:cs="Verdana"/>
          <w:sz w:val="20"/>
          <w:szCs w:val="20"/>
        </w:rPr>
        <w:t>Las Asociaciones de Juntas de Acción Comunal, como organismos de acción comunal de segundo grado, tienen la misma naturaleza jurídica de las Juntas de Acción Comunal. Su capacidad jurídica también está condicionada por la territorialidad, y su alcance se determina por el territorio que les corresponde según la ley y sus estatutos y por la territorialidad de los organismos de primer grado que las integran. El mayor ámbito territorial de una asociación no altera los demás presupuestos de su capacidad, como el objeto, la finalidad comunitaria y el límite de cuantía, ni constituye por sí mismo una causal de contratación directa.</w:t>
      </w:r>
    </w:p>
    <w:p w14:paraId="1AC25EFB" w14:textId="77777777" w:rsidR="001E4044" w:rsidRPr="003B459E" w:rsidRDefault="001E4044" w:rsidP="001E4044">
      <w:pPr>
        <w:pStyle w:val="t"/>
        <w:jc w:val="both"/>
        <w:rPr>
          <w:rFonts w:ascii="Verdana" w:hAnsi="Verdana" w:cs="Arial"/>
          <w:sz w:val="22"/>
          <w:szCs w:val="22"/>
        </w:rPr>
      </w:pPr>
      <w:r w:rsidRPr="003B459E">
        <w:rPr>
          <w:rFonts w:ascii="Verdana" w:hAnsi="Verdana" w:cs="Arial"/>
          <w:sz w:val="22"/>
          <w:szCs w:val="22"/>
        </w:rPr>
        <w:t>LEY 1150 DE 2007 – Contratación directa – Capacidad jurídica – Diferencia</w:t>
      </w:r>
    </w:p>
    <w:p w14:paraId="2DC270BE" w14:textId="77777777" w:rsidR="001E4044" w:rsidRPr="003B459E" w:rsidRDefault="001E4044" w:rsidP="001E4044">
      <w:pPr>
        <w:pStyle w:val="NormalWeb"/>
        <w:jc w:val="both"/>
        <w:rPr>
          <w:rFonts w:ascii="Verdana" w:hAnsi="Verdana" w:cs="Arial"/>
          <w:sz w:val="20"/>
          <w:szCs w:val="20"/>
        </w:rPr>
      </w:pPr>
      <w:r w:rsidRPr="003B459E">
        <w:rPr>
          <w:rFonts w:ascii="Verdana" w:hAnsi="Verdana" w:cs="Arial"/>
          <w:sz w:val="20"/>
          <w:szCs w:val="20"/>
        </w:rPr>
        <w:t xml:space="preserve">La capacidad jurídica es un atributo del sujeto que le permite ser parte de un negocio jurídico, conforme al artículo 6 de la Ley 80 de 1993. La modalidad de selección, en </w:t>
      </w:r>
      <w:r w:rsidRPr="003B459E">
        <w:rPr>
          <w:rFonts w:ascii="Verdana" w:hAnsi="Verdana" w:cs="Arial"/>
          <w:sz w:val="20"/>
          <w:szCs w:val="20"/>
        </w:rPr>
        <w:lastRenderedPageBreak/>
        <w:t>cambio, depende de la ley. Tratándose de la contratación directa, se requiere una causal expresa prevista en el numeral 4 del artículo 2 de la Ley 1150 de 2007 o en normas especiales de rango legal, que es de interpretación restrictiva por constituir una excepción al principio de selección objetiva. En consecuencia, el ordenamiento jurídico no contempla una causal de contratación directa fundada en la sola condición de Organismo de Acción Comunal del contratista.</w:t>
      </w:r>
    </w:p>
    <w:p w14:paraId="176BED49" w14:textId="77777777" w:rsidR="001E4044" w:rsidRPr="003B459E" w:rsidRDefault="001E4044" w:rsidP="001E4044">
      <w:pPr>
        <w:pStyle w:val="t"/>
        <w:jc w:val="both"/>
        <w:rPr>
          <w:rFonts w:ascii="Verdana" w:hAnsi="Verdana" w:cs="Arial"/>
          <w:sz w:val="22"/>
          <w:szCs w:val="22"/>
        </w:rPr>
      </w:pPr>
      <w:r w:rsidRPr="003B459E">
        <w:rPr>
          <w:rFonts w:ascii="Verdana" w:hAnsi="Verdana" w:cs="Arial"/>
          <w:sz w:val="22"/>
          <w:szCs w:val="22"/>
        </w:rPr>
        <w:t>LEY 136 DE 1994 – Convenios solidarios – Programas y actividades – Ejecución de obras – Diferencias</w:t>
      </w:r>
    </w:p>
    <w:p w14:paraId="227ACF34" w14:textId="77777777" w:rsidR="001E4044" w:rsidRPr="003B459E" w:rsidRDefault="001E4044" w:rsidP="001E4044">
      <w:pPr>
        <w:pStyle w:val="NormalWeb"/>
        <w:jc w:val="both"/>
        <w:rPr>
          <w:rFonts w:ascii="Verdana" w:hAnsi="Verdana" w:cs="Arial"/>
          <w:sz w:val="20"/>
          <w:szCs w:val="20"/>
        </w:rPr>
      </w:pPr>
      <w:r w:rsidRPr="003B459E">
        <w:rPr>
          <w:rFonts w:ascii="Verdana" w:hAnsi="Verdana" w:cs="Arial"/>
          <w:sz w:val="20"/>
          <w:szCs w:val="20"/>
        </w:rPr>
        <w:t>El convenio solidario para el desarrollo conjunto de programas y actividades, previsto en el numeral 16 del artículo 3 de la Ley 136 de 1994, y el convenio solidario para la ejecución de obras, regulado en el artículo 95 de la Ley 2166 de 2021, son figuras que se diferencian por su objeto y por sus reglas de selección. Solo el segundo cuenta con una autorización legal expresa de contratación directa con Organismos de Acción Comunal. El primero debe sujetarse a las reglas del Decreto 092 de 2017 o del Estatuto General de Contratación, según corresponda. En ambos casos opera el límite de menor cuantía derivado del literal f) del artículo 16 de la Ley 2166 de 2021.</w:t>
      </w:r>
    </w:p>
    <w:p w14:paraId="5C6BD4E2" w14:textId="77777777" w:rsidR="001E4044" w:rsidRPr="003B459E" w:rsidRDefault="001E4044" w:rsidP="001E4044">
      <w:pPr>
        <w:pStyle w:val="t"/>
        <w:jc w:val="both"/>
        <w:rPr>
          <w:rFonts w:ascii="Verdana" w:hAnsi="Verdana" w:cs="Arial"/>
          <w:sz w:val="22"/>
          <w:szCs w:val="22"/>
        </w:rPr>
      </w:pPr>
      <w:r w:rsidRPr="003B459E">
        <w:rPr>
          <w:rFonts w:ascii="Verdana" w:hAnsi="Verdana" w:cs="Arial"/>
          <w:sz w:val="22"/>
          <w:szCs w:val="22"/>
        </w:rPr>
        <w:t>DECRETO 092 DE 2017 – Convenios de asociación – Aporte del 30 % – Recursos en dinero</w:t>
      </w:r>
    </w:p>
    <w:p w14:paraId="2FD2B785" w14:textId="77777777" w:rsidR="001E4044" w:rsidRPr="003B459E" w:rsidRDefault="001E4044" w:rsidP="001E4044">
      <w:pPr>
        <w:pStyle w:val="NormalWeb"/>
        <w:jc w:val="both"/>
        <w:rPr>
          <w:rFonts w:ascii="Verdana" w:hAnsi="Verdana" w:cs="Arial"/>
          <w:sz w:val="20"/>
          <w:szCs w:val="20"/>
        </w:rPr>
      </w:pPr>
      <w:r w:rsidRPr="003B459E">
        <w:rPr>
          <w:rFonts w:ascii="Verdana" w:hAnsi="Verdana" w:cs="Arial"/>
          <w:sz w:val="20"/>
          <w:szCs w:val="20"/>
        </w:rPr>
        <w:t>El artículo 96 de la Ley 489 de 1998 permite a las entidades estatales asociarse con personas jurídicas particulares, mediante convenios de asociación, para el desarrollo conjunto de actividades relacionadas con los cometidos y funciones que les asigna la ley. El artículo 5 del Decreto 092 de 2017 reglamenta la celebración de estos convenios con entidades privadas sin ánimo de lucro de reconocida idoneidad.</w:t>
      </w:r>
    </w:p>
    <w:p w14:paraId="41D745DA" w14:textId="77777777" w:rsidR="001E4044" w:rsidRPr="003B459E" w:rsidRDefault="001E4044" w:rsidP="001E4044">
      <w:pPr>
        <w:pStyle w:val="NormalWeb"/>
        <w:jc w:val="both"/>
        <w:rPr>
          <w:rFonts w:ascii="Verdana" w:hAnsi="Verdana" w:cs="Arial"/>
          <w:sz w:val="20"/>
          <w:szCs w:val="20"/>
        </w:rPr>
      </w:pPr>
      <w:r w:rsidRPr="003B459E">
        <w:rPr>
          <w:rFonts w:ascii="Verdana" w:hAnsi="Verdana" w:cs="Arial"/>
          <w:sz w:val="20"/>
          <w:szCs w:val="20"/>
        </w:rPr>
        <w:t>Como lo ha precisado esta Agencia en la Guía para la contratación con entidades privadas sin ánimo de lucro y de reconocida idoneidad, el convenio de asociación deberá celebrarse mediante un proceso competitivo cuando el aporte de la entidad privada sin ánimo de lucro sea inferior al treinta por ciento (30 %) en dinero propio o de cooperación internacional. En consecuencia, para prescindir de dicho proceso, el aporte deberá efectuarse en dinero, de manera que los aportes en especie, como bienes, servicios, trabajo, voluntariado o capacidad instalada, aunque pueden integrar el convenio, no se computan para acreditar el porcentaje señalado. Si más de una entidad sin ánimo de lucro ofrece comprometer recursos en dinero en esa proporción, la entidad estatal deberá seleccionarla de forma objetiva, conforme al artículo 4 del mismo decreto. Adicionalmente, para que un Organismo de Acción Comunal pueda ser parte de un convenio de asociación, deberá acreditar la reconocida idoneidad y los demás requisitos previstos en el Decreto 092 de 2017, así como los límites de su capacidad jurídica derivados de la Ley 2166 de 2021, incluidos los de cuantía y territorialidad.</w:t>
      </w:r>
    </w:p>
    <w:p w14:paraId="7A9FA28B" w14:textId="77777777" w:rsidR="001E4044" w:rsidRPr="003B459E" w:rsidRDefault="001E4044" w:rsidP="001E4044">
      <w:pPr>
        <w:pStyle w:val="t"/>
        <w:jc w:val="both"/>
        <w:rPr>
          <w:rFonts w:ascii="Verdana" w:hAnsi="Verdana" w:cs="Arial"/>
          <w:sz w:val="22"/>
          <w:szCs w:val="22"/>
        </w:rPr>
      </w:pPr>
      <w:r w:rsidRPr="003B459E">
        <w:rPr>
          <w:rFonts w:ascii="Verdana" w:hAnsi="Verdana" w:cs="Arial"/>
          <w:sz w:val="22"/>
          <w:szCs w:val="22"/>
        </w:rPr>
        <w:lastRenderedPageBreak/>
        <w:t>DECRETO 092 DE 2017 – Convenios solidarios y de colaboración – Contratos conmutativos – Criterios de distinción</w:t>
      </w:r>
    </w:p>
    <w:p w14:paraId="592BB358" w14:textId="77777777" w:rsidR="001E4044" w:rsidRPr="003B459E" w:rsidRDefault="001E4044" w:rsidP="001E4044">
      <w:pPr>
        <w:pStyle w:val="NormalWeb"/>
        <w:jc w:val="both"/>
        <w:rPr>
          <w:rFonts w:ascii="Verdana" w:eastAsiaTheme="minorEastAsia" w:hAnsi="Verdana" w:cs="Arial"/>
          <w:sz w:val="20"/>
          <w:szCs w:val="20"/>
        </w:rPr>
      </w:pPr>
      <w:r w:rsidRPr="003B459E">
        <w:rPr>
          <w:rFonts w:ascii="Verdana" w:hAnsi="Verdana" w:cs="Arial"/>
          <w:sz w:val="20"/>
          <w:szCs w:val="20"/>
        </w:rPr>
        <w:t>La naturaleza de un negocio jurídico se determina por su contenido y no por su denominación. Un negocio cuyo verdadero objeto económico es que la entidad adquiera bienes o servicios para atender sus propias necesidades corresponde a un contrato estatal conmutativo, aun cuando se le denomine convenio. Para distinguirlo de un convenio genuinamente solidario o asociativo, la entidad deberá valorar, entre otros, los siguientes criterios: i) si el objeto corresponde a un programa o actividad de interés público previsto en el plan de desarrollo; ii) si existe una contraprestación directa en favor de la entidad; iii) si la organización aporta esfuerzos y recursos propios y de la comunidad, o se limita a proveer bienes y servicios a cambio de un precio; iv) si la entidad imparte instrucciones precisas para la ejecución; y v) si la organización actúa como ejecutora o como simple intermediaria entre la entidad y proveedores privados.</w:t>
      </w:r>
    </w:p>
    <w:p w14:paraId="7C8C12C1" w14:textId="77777777" w:rsidR="001E4044" w:rsidRPr="003B459E" w:rsidRDefault="001E4044" w:rsidP="001E4044">
      <w:pPr>
        <w:pStyle w:val="t"/>
        <w:jc w:val="both"/>
        <w:rPr>
          <w:rFonts w:ascii="Verdana" w:hAnsi="Verdana" w:cs="Arial"/>
          <w:sz w:val="22"/>
          <w:szCs w:val="22"/>
        </w:rPr>
      </w:pPr>
      <w:r w:rsidRPr="003B459E">
        <w:rPr>
          <w:rFonts w:ascii="Verdana" w:hAnsi="Verdana" w:cs="Arial"/>
          <w:sz w:val="22"/>
          <w:szCs w:val="22"/>
        </w:rPr>
        <w:t>LEY 2166 DE 2021 – Organismos de Acción Comunal – Proceso de Contratación – Participación como oferente</w:t>
      </w:r>
    </w:p>
    <w:p w14:paraId="24B86383" w14:textId="77777777" w:rsidR="001E4044" w:rsidRPr="003B459E" w:rsidRDefault="001E4044" w:rsidP="001E4044">
      <w:pPr>
        <w:pStyle w:val="NormalWeb"/>
        <w:jc w:val="both"/>
        <w:rPr>
          <w:rFonts w:ascii="Verdana" w:eastAsiaTheme="minorEastAsia" w:hAnsi="Verdana" w:cs="Arial"/>
          <w:sz w:val="20"/>
          <w:szCs w:val="20"/>
        </w:rPr>
      </w:pPr>
      <w:r w:rsidRPr="003B459E">
        <w:rPr>
          <w:rFonts w:ascii="Verdana" w:hAnsi="Verdana" w:cs="Arial"/>
          <w:sz w:val="20"/>
          <w:szCs w:val="20"/>
        </w:rPr>
        <w:t>Cuando el negocio corresponda a un contrato estatal conmutativo, su celebración se sujeta a la modalidad de selección que corresponda según el artículo 2 de la Ley 1150 de 2007 y el Decreto 1082 de 2015, de acuerdo con el objeto y la cuantía. Un Organismo de Acción Comunal podrá participar como oferente siempre que acredite lo siguiente: i) su existencia y representación legal, conforme al artículo 78 de la Ley 2166 de 2021; ii) su capacidad jurídica en cuanto a objeto, límite de cuantía y territorialidad; y iii) los requisitos habilitantes exigidos en los documentos del proceso, incluida la inscripción en el Registro Único de Proponentes cuando sea exigible.</w:t>
      </w:r>
    </w:p>
    <w:p w14:paraId="6854DD80" w14:textId="77777777" w:rsidR="001E4044" w:rsidRPr="003B459E" w:rsidRDefault="001E4044" w:rsidP="00E47D35">
      <w:pPr>
        <w:jc w:val="both"/>
        <w:rPr>
          <w:rFonts w:ascii="Verdana" w:eastAsia="Verdana" w:hAnsi="Verdana" w:cs="Verdana"/>
          <w:sz w:val="20"/>
          <w:szCs w:val="20"/>
        </w:rPr>
      </w:pPr>
    </w:p>
    <w:p w14:paraId="04B74607" w14:textId="77777777" w:rsidR="00F4514A" w:rsidRPr="003B459E" w:rsidRDefault="00F4514A" w:rsidP="30821638">
      <w:pPr>
        <w:rPr>
          <w:rFonts w:ascii="Verdana" w:eastAsia="Verdana" w:hAnsi="Verdana" w:cs="Verdana"/>
          <w:lang w:val="es-MX"/>
        </w:rPr>
      </w:pPr>
    </w:p>
    <w:p w14:paraId="0B73DB6A" w14:textId="77777777" w:rsidR="00A5479B" w:rsidRPr="003B459E" w:rsidRDefault="00A5479B" w:rsidP="30821638">
      <w:pPr>
        <w:rPr>
          <w:rFonts w:ascii="Verdana" w:eastAsia="Verdana" w:hAnsi="Verdana" w:cs="Verdana"/>
          <w:lang w:val="es-MX"/>
        </w:rPr>
      </w:pPr>
    </w:p>
    <w:p w14:paraId="21B142AF" w14:textId="77777777" w:rsidR="00A5479B" w:rsidRPr="003B459E" w:rsidRDefault="00A5479B" w:rsidP="30821638">
      <w:pPr>
        <w:rPr>
          <w:rFonts w:ascii="Verdana" w:eastAsia="Verdana" w:hAnsi="Verdana" w:cs="Verdana"/>
          <w:lang w:val="es-MX"/>
        </w:rPr>
      </w:pPr>
    </w:p>
    <w:p w14:paraId="4F2530F2" w14:textId="77777777" w:rsidR="00A5479B" w:rsidRPr="003B459E" w:rsidRDefault="00A5479B" w:rsidP="30821638">
      <w:pPr>
        <w:rPr>
          <w:rFonts w:ascii="Verdana" w:eastAsia="Verdana" w:hAnsi="Verdana" w:cs="Verdana"/>
          <w:lang w:val="es-MX"/>
        </w:rPr>
      </w:pPr>
    </w:p>
    <w:p w14:paraId="308A246C" w14:textId="77777777" w:rsidR="00A5479B" w:rsidRPr="003B459E" w:rsidRDefault="00A5479B" w:rsidP="30821638">
      <w:pPr>
        <w:rPr>
          <w:rFonts w:ascii="Verdana" w:eastAsia="Verdana" w:hAnsi="Verdana" w:cs="Verdana"/>
          <w:lang w:val="es-MX"/>
        </w:rPr>
      </w:pPr>
    </w:p>
    <w:p w14:paraId="3775452A" w14:textId="77777777" w:rsidR="00A5479B" w:rsidRPr="003B459E" w:rsidRDefault="00A5479B" w:rsidP="30821638">
      <w:pPr>
        <w:rPr>
          <w:rFonts w:ascii="Verdana" w:eastAsia="Verdana" w:hAnsi="Verdana" w:cs="Verdana"/>
          <w:lang w:val="es-MX"/>
        </w:rPr>
      </w:pPr>
    </w:p>
    <w:p w14:paraId="60370965" w14:textId="77777777" w:rsidR="00A5479B" w:rsidRPr="003B459E" w:rsidRDefault="00A5479B" w:rsidP="30821638">
      <w:pPr>
        <w:rPr>
          <w:rFonts w:ascii="Verdana" w:eastAsia="Verdana" w:hAnsi="Verdana" w:cs="Verdana"/>
          <w:lang w:val="es-MX"/>
        </w:rPr>
      </w:pPr>
    </w:p>
    <w:p w14:paraId="3433F800" w14:textId="77777777" w:rsidR="004A7861" w:rsidRPr="003B459E" w:rsidRDefault="004A7861" w:rsidP="30821638">
      <w:pPr>
        <w:rPr>
          <w:rFonts w:ascii="Verdana" w:eastAsia="Verdana" w:hAnsi="Verdana" w:cs="Verdana"/>
          <w:lang w:val="es-MX"/>
        </w:rPr>
      </w:pPr>
    </w:p>
    <w:p w14:paraId="003B4853" w14:textId="77777777" w:rsidR="00A5479B" w:rsidRPr="003B459E" w:rsidRDefault="00A5479B" w:rsidP="30821638">
      <w:pPr>
        <w:rPr>
          <w:rFonts w:ascii="Verdana" w:eastAsia="Verdana" w:hAnsi="Verdana" w:cs="Verdana"/>
          <w:lang w:val="es-MX"/>
        </w:rPr>
      </w:pPr>
    </w:p>
    <w:p w14:paraId="568B8F6C" w14:textId="77777777" w:rsidR="00A5479B" w:rsidRPr="003B459E" w:rsidRDefault="00A5479B" w:rsidP="30821638">
      <w:pPr>
        <w:rPr>
          <w:rFonts w:ascii="Verdana" w:eastAsia="Verdana" w:hAnsi="Verdana" w:cs="Verdana"/>
          <w:lang w:val="es-MX"/>
        </w:rPr>
      </w:pPr>
    </w:p>
    <w:p w14:paraId="73F81577" w14:textId="77777777" w:rsidR="00A5479B" w:rsidRPr="003B459E" w:rsidRDefault="00A5479B" w:rsidP="30821638">
      <w:pPr>
        <w:rPr>
          <w:rFonts w:ascii="Verdana" w:eastAsia="Verdana" w:hAnsi="Verdana" w:cs="Verdana"/>
          <w:lang w:val="es-MX"/>
        </w:rPr>
      </w:pPr>
    </w:p>
    <w:p w14:paraId="4C9BEBD0" w14:textId="77777777" w:rsidR="00A5479B" w:rsidRPr="003B459E" w:rsidRDefault="00A5479B" w:rsidP="30821638">
      <w:pPr>
        <w:rPr>
          <w:rFonts w:ascii="Verdana" w:eastAsia="Verdana" w:hAnsi="Verdana" w:cs="Verdana"/>
          <w:lang w:val="es-MX"/>
        </w:rPr>
      </w:pPr>
    </w:p>
    <w:p w14:paraId="67039004" w14:textId="77777777" w:rsidR="00A5479B" w:rsidRPr="003B459E" w:rsidRDefault="00A5479B" w:rsidP="30821638">
      <w:pPr>
        <w:rPr>
          <w:rFonts w:ascii="Verdana" w:eastAsia="Verdana" w:hAnsi="Verdana" w:cs="Verdana"/>
          <w:lang w:val="es-MX"/>
        </w:rPr>
      </w:pPr>
    </w:p>
    <w:p w14:paraId="0ECE437B" w14:textId="77777777" w:rsidR="00F4514A" w:rsidRPr="003B459E" w:rsidRDefault="00F4514A" w:rsidP="30821638">
      <w:pPr>
        <w:rPr>
          <w:rFonts w:ascii="Verdana" w:eastAsia="Verdana" w:hAnsi="Verdana" w:cs="Verdana"/>
        </w:rPr>
      </w:pPr>
    </w:p>
    <w:p w14:paraId="34D1E672" w14:textId="77777777" w:rsidR="004A7861" w:rsidRPr="003B459E" w:rsidRDefault="00C15139" w:rsidP="30821638">
      <w:pPr>
        <w:rPr>
          <w:rFonts w:ascii="Verdana" w:eastAsia="Verdana" w:hAnsi="Verdana" w:cs="Verdana"/>
          <w:sz w:val="22"/>
          <w:szCs w:val="22"/>
        </w:rPr>
      </w:pPr>
      <w:r w:rsidRPr="003B459E">
        <w:rPr>
          <w:rFonts w:ascii="Verdana" w:eastAsia="Verdana" w:hAnsi="Verdana" w:cs="Verdana"/>
          <w:sz w:val="22"/>
          <w:szCs w:val="22"/>
        </w:rPr>
        <w:lastRenderedPageBreak/>
        <w:t xml:space="preserve">Bogotá D.C., </w:t>
      </w:r>
      <w:r w:rsidR="004A7861" w:rsidRPr="003B459E">
        <w:rPr>
          <w:rFonts w:ascii="Verdana" w:eastAsia="Verdana" w:hAnsi="Verdana" w:cs="Verdana"/>
          <w:sz w:val="22"/>
          <w:szCs w:val="22"/>
        </w:rPr>
        <w:t>21 de octubre del 2026</w:t>
      </w:r>
    </w:p>
    <w:p w14:paraId="6BD0490A" w14:textId="77777777" w:rsidR="004A7861" w:rsidRPr="003B459E" w:rsidRDefault="004A7861" w:rsidP="30821638">
      <w:pPr>
        <w:rPr>
          <w:rFonts w:ascii="Verdana" w:eastAsia="Verdana" w:hAnsi="Verdana" w:cs="Verdana"/>
          <w:sz w:val="22"/>
          <w:szCs w:val="22"/>
        </w:rPr>
      </w:pPr>
    </w:p>
    <w:p w14:paraId="099D1EB6" w14:textId="61E45C1C" w:rsidR="000913EC" w:rsidRPr="003B459E" w:rsidRDefault="000913EC" w:rsidP="000913EC">
      <w:pPr>
        <w:jc w:val="right"/>
        <w:rPr>
          <w:rFonts w:ascii="Verdana" w:eastAsia="Verdana" w:hAnsi="Verdana" w:cs="Verdana"/>
          <w:sz w:val="22"/>
          <w:szCs w:val="22"/>
        </w:rPr>
      </w:pPr>
      <w:r w:rsidRPr="003B459E">
        <w:rPr>
          <w:rFonts w:ascii="Verdana" w:eastAsia="Verdana" w:hAnsi="Verdana" w:cs="Verdana"/>
          <w:noProof/>
          <w:sz w:val="22"/>
          <w:szCs w:val="22"/>
        </w:rPr>
        <w:drawing>
          <wp:inline distT="0" distB="0" distL="0" distR="0" wp14:anchorId="424DC30F" wp14:editId="4A7572E6">
            <wp:extent cx="2571750" cy="790575"/>
            <wp:effectExtent l="0" t="0" r="0" b="9525"/>
            <wp:docPr id="40969986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0" cy="790575"/>
                    </a:xfrm>
                    <a:prstGeom prst="rect">
                      <a:avLst/>
                    </a:prstGeom>
                    <a:noFill/>
                    <a:ln>
                      <a:noFill/>
                    </a:ln>
                  </pic:spPr>
                </pic:pic>
              </a:graphicData>
            </a:graphic>
          </wp:inline>
        </w:drawing>
      </w:r>
    </w:p>
    <w:p w14:paraId="053B7500" w14:textId="7DB6C2A1" w:rsidR="00C062A9" w:rsidRPr="003B459E" w:rsidRDefault="00C062A9" w:rsidP="00C062A9">
      <w:pPr>
        <w:rPr>
          <w:rFonts w:ascii="Verdana" w:eastAsia="Verdana" w:hAnsi="Verdana" w:cs="Verdana"/>
          <w:sz w:val="22"/>
          <w:szCs w:val="22"/>
        </w:rPr>
      </w:pPr>
      <w:r w:rsidRPr="003B459E">
        <w:rPr>
          <w:rFonts w:ascii="Verdana" w:eastAsia="Calibri" w:hAnsi="Verdana" w:cs="Arial"/>
          <w:sz w:val="22"/>
          <w:szCs w:val="22"/>
          <w:lang w:val="es-ES" w:eastAsia="es-ES"/>
        </w:rPr>
        <w:t>Señor</w:t>
      </w:r>
    </w:p>
    <w:p w14:paraId="550432D4" w14:textId="4980D004" w:rsidR="00C062A9" w:rsidRPr="003B459E" w:rsidRDefault="00541D4E" w:rsidP="00C062A9">
      <w:pPr>
        <w:jc w:val="both"/>
        <w:rPr>
          <w:rFonts w:ascii="Verdana" w:eastAsia="Calibri" w:hAnsi="Verdana" w:cs="Arial"/>
          <w:b/>
          <w:bCs/>
          <w:sz w:val="22"/>
          <w:szCs w:val="22"/>
          <w:lang w:eastAsia="es-ES"/>
        </w:rPr>
      </w:pPr>
      <w:r w:rsidRPr="003B459E">
        <w:rPr>
          <w:rFonts w:ascii="Verdana" w:eastAsia="Calibri" w:hAnsi="Verdana" w:cs="Arial"/>
          <w:b/>
          <w:bCs/>
          <w:sz w:val="22"/>
          <w:szCs w:val="22"/>
          <w:lang w:eastAsia="es-ES"/>
        </w:rPr>
        <w:t xml:space="preserve">José David Ramírez Giraldo </w:t>
      </w:r>
    </w:p>
    <w:p w14:paraId="7157CB0F" w14:textId="0E1C3C95" w:rsidR="0044113E" w:rsidRPr="003B459E" w:rsidRDefault="0044113E" w:rsidP="00C062A9">
      <w:pPr>
        <w:rPr>
          <w:rFonts w:ascii="Verdana" w:hAnsi="Verdana"/>
          <w:sz w:val="22"/>
          <w:szCs w:val="22"/>
        </w:rPr>
      </w:pPr>
      <w:hyperlink r:id="rId12" w:history="1">
        <w:r w:rsidRPr="003B459E">
          <w:rPr>
            <w:rStyle w:val="Hipervnculo"/>
            <w:rFonts w:ascii="Verdana" w:hAnsi="Verdana"/>
            <w:sz w:val="22"/>
            <w:szCs w:val="22"/>
          </w:rPr>
          <w:t>josedavidrg4@gmail.com</w:t>
        </w:r>
      </w:hyperlink>
    </w:p>
    <w:p w14:paraId="7840AD85" w14:textId="75CA6A2A" w:rsidR="00C062A9" w:rsidRPr="003B459E" w:rsidRDefault="00C062A9" w:rsidP="00C062A9">
      <w:pPr>
        <w:rPr>
          <w:rFonts w:ascii="Verdana" w:hAnsi="Verdana"/>
          <w:sz w:val="22"/>
          <w:szCs w:val="22"/>
        </w:rPr>
      </w:pPr>
      <w:r w:rsidRPr="003B459E">
        <w:rPr>
          <w:rFonts w:ascii="Verdana" w:eastAsia="Calibri" w:hAnsi="Verdana" w:cs="Arial"/>
          <w:sz w:val="22"/>
          <w:szCs w:val="22"/>
          <w:lang w:val="es-ES_tradnl" w:eastAsia="es-ES"/>
        </w:rPr>
        <w:t xml:space="preserve">Bogotá D.C. </w:t>
      </w:r>
    </w:p>
    <w:p w14:paraId="644DBA2E" w14:textId="77777777" w:rsidR="00C062A9" w:rsidRPr="003B459E" w:rsidRDefault="00C062A9" w:rsidP="00C062A9">
      <w:pPr>
        <w:rPr>
          <w:rFonts w:ascii="Verdana" w:eastAsia="Calibri" w:hAnsi="Verdana" w:cs="Arial"/>
          <w:b/>
          <w:bCs/>
          <w:sz w:val="22"/>
          <w:szCs w:val="22"/>
          <w:highlight w:val="cyan"/>
          <w:lang w:val="es-ES_tradnl"/>
        </w:rPr>
      </w:pPr>
    </w:p>
    <w:p w14:paraId="14EC6216" w14:textId="10B41652" w:rsidR="00C062A9" w:rsidRPr="003B459E" w:rsidRDefault="00C062A9" w:rsidP="00C062A9">
      <w:pPr>
        <w:rPr>
          <w:rFonts w:ascii="Verdana" w:eastAsia="Calibri" w:hAnsi="Verdana" w:cs="Arial"/>
          <w:b/>
          <w:bCs/>
          <w:sz w:val="22"/>
          <w:szCs w:val="22"/>
          <w:lang w:val="es-ES_tradnl"/>
        </w:rPr>
      </w:pPr>
      <w:r w:rsidRPr="003B459E">
        <w:rPr>
          <w:rFonts w:ascii="Verdana" w:eastAsia="Calibri" w:hAnsi="Verdana" w:cs="Arial"/>
          <w:b/>
          <w:bCs/>
          <w:sz w:val="22"/>
          <w:szCs w:val="22"/>
          <w:lang w:val="es-ES_tradnl"/>
        </w:rPr>
        <w:t xml:space="preserve">                                   Concepto </w:t>
      </w:r>
      <w:r w:rsidR="00A835C1" w:rsidRPr="003B459E">
        <w:rPr>
          <w:rFonts w:ascii="Verdana" w:eastAsia="Calibri" w:hAnsi="Verdana" w:cs="Arial"/>
          <w:b/>
          <w:bCs/>
          <w:sz w:val="22"/>
          <w:szCs w:val="22"/>
          <w:lang w:val="es-ES_tradnl"/>
        </w:rPr>
        <w:t>C-1439</w:t>
      </w:r>
      <w:r w:rsidRPr="003B459E">
        <w:rPr>
          <w:rFonts w:ascii="Verdana" w:eastAsia="Calibri" w:hAnsi="Verdana" w:cs="Arial"/>
          <w:b/>
          <w:bCs/>
          <w:sz w:val="22"/>
          <w:szCs w:val="22"/>
          <w:lang w:val="es-ES_tradnl"/>
        </w:rPr>
        <w:t xml:space="preserve"> del 2026</w:t>
      </w:r>
    </w:p>
    <w:p w14:paraId="4B7BA4A2" w14:textId="77777777" w:rsidR="00C062A9" w:rsidRPr="003B459E" w:rsidRDefault="00C062A9" w:rsidP="00C062A9">
      <w:pPr>
        <w:rPr>
          <w:rFonts w:ascii="Verdana" w:eastAsia="Calibri" w:hAnsi="Verdana" w:cs="Arial"/>
          <w:b/>
          <w:bCs/>
          <w:sz w:val="22"/>
          <w:szCs w:val="22"/>
          <w:highlight w:val="cyan"/>
          <w:lang w:val="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062A9" w:rsidRPr="003B459E" w14:paraId="01993BA7" w14:textId="77777777" w:rsidTr="00EC3B29">
        <w:trPr>
          <w:trHeight w:val="884"/>
        </w:trPr>
        <w:tc>
          <w:tcPr>
            <w:tcW w:w="2689" w:type="dxa"/>
          </w:tcPr>
          <w:p w14:paraId="6167AEFF" w14:textId="77777777" w:rsidR="00C062A9" w:rsidRPr="003B459E" w:rsidRDefault="00C062A9" w:rsidP="00EC3B29">
            <w:pPr>
              <w:jc w:val="both"/>
              <w:rPr>
                <w:rFonts w:ascii="Verdana" w:eastAsia="Calibri" w:hAnsi="Verdana" w:cs="Arial"/>
                <w:sz w:val="22"/>
                <w:szCs w:val="22"/>
                <w:lang w:val="es-ES_tradnl"/>
              </w:rPr>
            </w:pPr>
            <w:r w:rsidRPr="003B459E">
              <w:rPr>
                <w:rFonts w:ascii="Verdana" w:eastAsia="Calibri" w:hAnsi="Verdana" w:cs="Arial"/>
                <w:b/>
                <w:sz w:val="22"/>
                <w:szCs w:val="22"/>
                <w:lang w:val="es-ES_tradnl"/>
              </w:rPr>
              <w:t>Temas:</w:t>
            </w:r>
            <w:r w:rsidRPr="003B459E">
              <w:rPr>
                <w:rFonts w:ascii="Verdana" w:eastAsia="Calibri" w:hAnsi="Verdana" w:cs="Arial"/>
                <w:sz w:val="22"/>
                <w:szCs w:val="22"/>
                <w:lang w:val="es-ES_tradnl"/>
              </w:rPr>
              <w:t xml:space="preserve">                   </w:t>
            </w:r>
          </w:p>
        </w:tc>
        <w:tc>
          <w:tcPr>
            <w:tcW w:w="6100" w:type="dxa"/>
          </w:tcPr>
          <w:p w14:paraId="2DE1CEA8" w14:textId="77777777" w:rsidR="00C062A9" w:rsidRPr="003B459E" w:rsidRDefault="00891480" w:rsidP="00EC3B29">
            <w:pPr>
              <w:jc w:val="both"/>
              <w:rPr>
                <w:rFonts w:ascii="Verdana" w:eastAsia="Calibri" w:hAnsi="Verdana" w:cs="Arial"/>
                <w:bCs/>
                <w:sz w:val="22"/>
                <w:szCs w:val="22"/>
                <w:lang w:val="es-ES_tradnl"/>
              </w:rPr>
            </w:pPr>
            <w:r w:rsidRPr="003B459E">
              <w:rPr>
                <w:rFonts w:ascii="Verdana" w:eastAsia="Calibri" w:hAnsi="Verdana" w:cs="Arial"/>
                <w:bCs/>
                <w:sz w:val="22"/>
                <w:szCs w:val="22"/>
                <w:lang w:val="es-ES_tradnl"/>
              </w:rPr>
              <w:t xml:space="preserve">LEY 2166 DE 2021 – Organismos de Acción Comunal – Capacidad contractual – Límites / </w:t>
            </w:r>
            <w:r w:rsidR="00D80A7F" w:rsidRPr="003B459E">
              <w:rPr>
                <w:rFonts w:ascii="Verdana" w:eastAsia="Calibri" w:hAnsi="Verdana" w:cs="Arial"/>
                <w:bCs/>
                <w:sz w:val="22"/>
                <w:szCs w:val="22"/>
                <w:lang w:val="es-ES_tradnl"/>
              </w:rPr>
              <w:t>LEY 2166 DE 2021 – Artículo 63 – Vinculación al desarrollo municipal – Remisión al artículo 141 de la Ley 136 de 1994</w:t>
            </w:r>
            <w:r w:rsidR="000B237A" w:rsidRPr="003B459E">
              <w:rPr>
                <w:rFonts w:ascii="Verdana" w:eastAsia="Calibri" w:hAnsi="Verdana" w:cs="Arial"/>
                <w:bCs/>
                <w:sz w:val="22"/>
                <w:szCs w:val="22"/>
                <w:lang w:val="es-ES_tradnl"/>
              </w:rPr>
              <w:t xml:space="preserve"> / LEY 2166 DE 2021 – Asociaciones de Juntas de Acción Comunal – Territorialidad – Alcance</w:t>
            </w:r>
            <w:r w:rsidR="002D4344" w:rsidRPr="003B459E">
              <w:rPr>
                <w:rFonts w:ascii="Verdana" w:eastAsia="Calibri" w:hAnsi="Verdana" w:cs="Arial"/>
                <w:bCs/>
                <w:sz w:val="22"/>
                <w:szCs w:val="22"/>
                <w:lang w:val="es-ES_tradnl"/>
              </w:rPr>
              <w:t xml:space="preserve"> / LEY 1150 DE 2007 – Contratación directa – Capacidad jurídica – Diferencia / </w:t>
            </w:r>
            <w:r w:rsidR="00C52FDB" w:rsidRPr="003B459E">
              <w:rPr>
                <w:rFonts w:ascii="Verdana" w:eastAsia="Calibri" w:hAnsi="Verdana" w:cs="Arial"/>
                <w:bCs/>
                <w:sz w:val="22"/>
                <w:szCs w:val="22"/>
                <w:lang w:val="es-ES_tradnl"/>
              </w:rPr>
              <w:t xml:space="preserve">LEY 136 DE 1994 – Convenios solidarios – Programas y actividades – Ejecución de obras – Diferencias / </w:t>
            </w:r>
            <w:r w:rsidR="00E03CC4" w:rsidRPr="003B459E">
              <w:rPr>
                <w:rFonts w:ascii="Verdana" w:eastAsia="Calibri" w:hAnsi="Verdana" w:cs="Arial"/>
                <w:bCs/>
                <w:sz w:val="22"/>
                <w:szCs w:val="22"/>
                <w:lang w:val="es-ES_tradnl"/>
              </w:rPr>
              <w:t>DECRETO 092 DE 2017 – Convenios de asociación – Aporte del 30 % – Recursos en dinero</w:t>
            </w:r>
            <w:r w:rsidR="0035604B" w:rsidRPr="003B459E">
              <w:rPr>
                <w:rFonts w:ascii="Verdana" w:eastAsia="Calibri" w:hAnsi="Verdana" w:cs="Arial"/>
                <w:bCs/>
                <w:sz w:val="22"/>
                <w:szCs w:val="22"/>
                <w:lang w:val="es-ES_tradnl"/>
              </w:rPr>
              <w:t xml:space="preserve"> / DECRETO 092 DE 2017 – Convenios solidarios y de colaboración – Contratos conmutativos – Criterios de distinción</w:t>
            </w:r>
            <w:r w:rsidR="00984F76" w:rsidRPr="003B459E">
              <w:rPr>
                <w:rFonts w:ascii="Verdana" w:eastAsia="Calibri" w:hAnsi="Verdana" w:cs="Arial"/>
                <w:bCs/>
                <w:sz w:val="22"/>
                <w:szCs w:val="22"/>
                <w:lang w:val="es-ES_tradnl"/>
              </w:rPr>
              <w:t xml:space="preserve"> / LEY 2166 DE 2021 – Organismos de Acción Comunal – Proceso de Contratación – Participación como oferente</w:t>
            </w:r>
          </w:p>
          <w:p w14:paraId="68CFA927" w14:textId="763D6F40" w:rsidR="00B72323" w:rsidRPr="003B459E" w:rsidRDefault="00B72323" w:rsidP="00EC3B29">
            <w:pPr>
              <w:jc w:val="both"/>
              <w:rPr>
                <w:rFonts w:ascii="Verdana" w:eastAsia="Aptos" w:hAnsi="Verdana"/>
                <w:sz w:val="22"/>
                <w:szCs w:val="22"/>
              </w:rPr>
            </w:pPr>
          </w:p>
        </w:tc>
      </w:tr>
      <w:tr w:rsidR="00C062A9" w:rsidRPr="003B459E" w14:paraId="538F7D54" w14:textId="77777777" w:rsidTr="00EC3B29">
        <w:trPr>
          <w:trHeight w:val="342"/>
        </w:trPr>
        <w:tc>
          <w:tcPr>
            <w:tcW w:w="2689" w:type="dxa"/>
          </w:tcPr>
          <w:p w14:paraId="6E921A28" w14:textId="77777777" w:rsidR="00C062A9" w:rsidRPr="003B459E" w:rsidRDefault="00C062A9" w:rsidP="00EC3B29">
            <w:pPr>
              <w:jc w:val="both"/>
              <w:rPr>
                <w:rFonts w:ascii="Verdana" w:eastAsia="Calibri" w:hAnsi="Verdana" w:cs="Arial"/>
                <w:b/>
                <w:sz w:val="22"/>
                <w:szCs w:val="22"/>
                <w:lang w:val="es-ES_tradnl"/>
              </w:rPr>
            </w:pPr>
            <w:r w:rsidRPr="003B459E">
              <w:rPr>
                <w:rFonts w:ascii="Verdana" w:eastAsia="Calibri" w:hAnsi="Verdana" w:cs="Arial"/>
                <w:b/>
                <w:sz w:val="22"/>
                <w:szCs w:val="22"/>
                <w:lang w:val="es-ES_tradnl"/>
              </w:rPr>
              <w:t>Radicación:</w:t>
            </w:r>
            <w:r w:rsidRPr="003B459E">
              <w:rPr>
                <w:rFonts w:ascii="Verdana" w:eastAsia="Calibri" w:hAnsi="Verdana" w:cs="Arial"/>
                <w:sz w:val="22"/>
                <w:szCs w:val="22"/>
                <w:lang w:val="es-ES_tradnl"/>
              </w:rPr>
              <w:t xml:space="preserve">               </w:t>
            </w:r>
          </w:p>
        </w:tc>
        <w:tc>
          <w:tcPr>
            <w:tcW w:w="6100" w:type="dxa"/>
          </w:tcPr>
          <w:p w14:paraId="76025BFA" w14:textId="4B62A246" w:rsidR="00C062A9" w:rsidRPr="003B459E" w:rsidRDefault="00C062A9" w:rsidP="00EC3B29">
            <w:pPr>
              <w:spacing w:line="276" w:lineRule="auto"/>
              <w:jc w:val="both"/>
              <w:rPr>
                <w:rFonts w:ascii="Verdana" w:eastAsia="Calibri" w:hAnsi="Verdana" w:cs="Arial"/>
                <w:sz w:val="22"/>
                <w:szCs w:val="22"/>
              </w:rPr>
            </w:pPr>
            <w:r w:rsidRPr="003B459E">
              <w:rPr>
                <w:rFonts w:ascii="Verdana" w:eastAsia="Calibri" w:hAnsi="Verdana" w:cs="Arial"/>
                <w:sz w:val="22"/>
                <w:szCs w:val="22"/>
                <w:lang w:val="es-ES_tradnl"/>
              </w:rPr>
              <w:t>Respuesta a la consulta con radicado No.</w:t>
            </w:r>
            <w:r w:rsidRPr="003B459E">
              <w:rPr>
                <w:rFonts w:ascii="Verdana" w:hAnsi="Verdana"/>
                <w:sz w:val="22"/>
                <w:szCs w:val="22"/>
              </w:rPr>
              <w:t xml:space="preserve"> </w:t>
            </w:r>
            <w:r w:rsidR="00865AF0" w:rsidRPr="003B459E">
              <w:rPr>
                <w:rFonts w:ascii="Verdana" w:hAnsi="Verdana"/>
                <w:sz w:val="22"/>
                <w:szCs w:val="22"/>
              </w:rPr>
              <w:t>1_2026_09_11_012190</w:t>
            </w:r>
          </w:p>
        </w:tc>
      </w:tr>
    </w:tbl>
    <w:p w14:paraId="42C7F4EE" w14:textId="77777777" w:rsidR="00C062A9" w:rsidRPr="003B459E" w:rsidRDefault="00C062A9" w:rsidP="00243ABB">
      <w:pPr>
        <w:spacing w:line="276" w:lineRule="auto"/>
        <w:jc w:val="both"/>
        <w:rPr>
          <w:rFonts w:ascii="Verdana" w:eastAsia="Calibri" w:hAnsi="Verdana" w:cs="Arial"/>
          <w:sz w:val="22"/>
          <w:szCs w:val="22"/>
          <w:highlight w:val="cyan"/>
          <w:lang w:val="es-ES" w:eastAsia="es-ES"/>
        </w:rPr>
      </w:pPr>
    </w:p>
    <w:p w14:paraId="0C0C1A24" w14:textId="2A8123BB" w:rsidR="00C062A9" w:rsidRPr="003B459E" w:rsidRDefault="00C062A9" w:rsidP="00C44880">
      <w:pPr>
        <w:spacing w:line="276" w:lineRule="auto"/>
        <w:jc w:val="both"/>
        <w:rPr>
          <w:rFonts w:ascii="Verdana" w:eastAsia="Calibri" w:hAnsi="Verdana" w:cs="Arial"/>
          <w:sz w:val="22"/>
          <w:szCs w:val="22"/>
          <w:lang w:val="es-ES" w:eastAsia="es-ES"/>
        </w:rPr>
      </w:pPr>
      <w:r w:rsidRPr="003B459E">
        <w:rPr>
          <w:rFonts w:ascii="Verdana" w:eastAsia="Calibri" w:hAnsi="Verdana" w:cs="Arial"/>
          <w:sz w:val="22"/>
          <w:szCs w:val="22"/>
          <w:lang w:val="es-ES" w:eastAsia="es-ES"/>
        </w:rPr>
        <w:t>Estimad</w:t>
      </w:r>
      <w:r w:rsidR="0041405D" w:rsidRPr="003B459E">
        <w:rPr>
          <w:rFonts w:ascii="Verdana" w:eastAsia="Calibri" w:hAnsi="Verdana" w:cs="Arial"/>
          <w:sz w:val="22"/>
          <w:szCs w:val="22"/>
          <w:lang w:val="es-ES" w:eastAsia="es-ES"/>
        </w:rPr>
        <w:t>o</w:t>
      </w:r>
      <w:r w:rsidRPr="003B459E">
        <w:rPr>
          <w:rFonts w:ascii="Verdana" w:eastAsia="Calibri" w:hAnsi="Verdana" w:cs="Arial"/>
          <w:sz w:val="22"/>
          <w:szCs w:val="22"/>
          <w:lang w:val="es-ES" w:eastAsia="es-ES"/>
        </w:rPr>
        <w:t xml:space="preserve"> señor </w:t>
      </w:r>
      <w:r w:rsidR="0041405D" w:rsidRPr="003B459E">
        <w:rPr>
          <w:rFonts w:ascii="Verdana" w:eastAsia="Calibri" w:hAnsi="Verdana" w:cs="Arial"/>
          <w:sz w:val="22"/>
          <w:szCs w:val="22"/>
          <w:lang w:eastAsia="es-ES"/>
        </w:rPr>
        <w:t>Ramírez</w:t>
      </w:r>
      <w:r w:rsidRPr="003B459E">
        <w:rPr>
          <w:rFonts w:ascii="Verdana" w:eastAsia="Calibri" w:hAnsi="Verdana" w:cs="Arial"/>
          <w:sz w:val="22"/>
          <w:szCs w:val="22"/>
          <w:lang w:val="es-ES" w:eastAsia="es-ES"/>
        </w:rPr>
        <w:t xml:space="preserve">: </w:t>
      </w:r>
    </w:p>
    <w:p w14:paraId="47539C16" w14:textId="77777777" w:rsidR="00C062A9" w:rsidRPr="003B459E" w:rsidRDefault="00C062A9" w:rsidP="00CA679E">
      <w:pPr>
        <w:spacing w:line="276" w:lineRule="auto"/>
        <w:rPr>
          <w:rFonts w:ascii="Verdana" w:hAnsi="Verdana" w:cs="Segoe UI"/>
          <w:sz w:val="22"/>
          <w:szCs w:val="22"/>
          <w:highlight w:val="cyan"/>
          <w:lang w:eastAsia="es-CO"/>
        </w:rPr>
      </w:pPr>
    </w:p>
    <w:p w14:paraId="6D97DCFE" w14:textId="7E689DE7" w:rsidR="00C062A9" w:rsidRPr="003B459E" w:rsidRDefault="00C062A9" w:rsidP="00206651">
      <w:pPr>
        <w:spacing w:line="276" w:lineRule="auto"/>
        <w:jc w:val="both"/>
        <w:rPr>
          <w:rFonts w:ascii="Verdana" w:eastAsia="Calibri" w:hAnsi="Verdana" w:cs="Arial"/>
          <w:sz w:val="22"/>
          <w:szCs w:val="22"/>
          <w:lang w:val="es-ES" w:eastAsia="es-ES"/>
        </w:rPr>
      </w:pPr>
      <w:r w:rsidRPr="003B459E">
        <w:rPr>
          <w:rFonts w:ascii="Verdana" w:eastAsia="Calibri" w:hAnsi="Verdana" w:cs="Arial"/>
          <w:sz w:val="22"/>
          <w:szCs w:val="22"/>
          <w:lang w:val="es-ES" w:eastAsia="es-ES"/>
        </w:rPr>
        <w:t>En ejercicio de la competencia otorgada por los artículos 3, numeral 5º, y 11, numeral 8º, del Decreto Ley 4170 de 2011,</w:t>
      </w:r>
      <w:r w:rsidRPr="003B459E">
        <w:rPr>
          <w:rFonts w:ascii="Verdana" w:eastAsia="Arial MT" w:hAnsi="Verdana" w:cs="Arial"/>
          <w:sz w:val="22"/>
          <w:szCs w:val="22"/>
          <w:lang w:val="es-ES" w:eastAsia="es-ES"/>
        </w:rPr>
        <w:t xml:space="preserve"> </w:t>
      </w:r>
      <w:r w:rsidRPr="003B459E">
        <w:rPr>
          <w:rFonts w:ascii="Verdana" w:hAnsi="Verdana" w:cs="Arial"/>
          <w:sz w:val="22"/>
          <w:szCs w:val="22"/>
        </w:rPr>
        <w:t xml:space="preserve">así como lo establecido en el artículo 4 de la Resolución 1707 de 2018 expedida por esta Entidad, </w:t>
      </w:r>
      <w:r w:rsidRPr="003B459E">
        <w:rPr>
          <w:rFonts w:ascii="Verdana" w:eastAsia="Calibri" w:hAnsi="Verdana" w:cs="Arial"/>
          <w:sz w:val="22"/>
          <w:szCs w:val="22"/>
          <w:lang w:val="es-ES" w:eastAsia="es-ES"/>
        </w:rPr>
        <w:t xml:space="preserve">la Agencia Nacional de Contratación Pública – Colombia Compra Eficiente– responde su solicitud del </w:t>
      </w:r>
      <w:r w:rsidR="002244A1" w:rsidRPr="003B459E">
        <w:rPr>
          <w:rFonts w:ascii="Verdana" w:eastAsia="Calibri" w:hAnsi="Verdana" w:cs="Arial"/>
          <w:sz w:val="22"/>
          <w:szCs w:val="22"/>
          <w:lang w:val="es-ES" w:eastAsia="es-ES"/>
        </w:rPr>
        <w:t>11 de septiembre del 2026</w:t>
      </w:r>
      <w:r w:rsidRPr="003B459E">
        <w:rPr>
          <w:rFonts w:ascii="Verdana" w:eastAsia="Calibri" w:hAnsi="Verdana" w:cs="Arial"/>
          <w:sz w:val="22"/>
          <w:szCs w:val="22"/>
          <w:lang w:val="es-ES" w:eastAsia="es-ES"/>
        </w:rPr>
        <w:t xml:space="preserve">, en la cual manifiesta lo siguiente: </w:t>
      </w:r>
    </w:p>
    <w:p w14:paraId="7605F6C7" w14:textId="77777777" w:rsidR="00C062A9" w:rsidRPr="003B459E" w:rsidRDefault="00C062A9" w:rsidP="00687D68">
      <w:pPr>
        <w:spacing w:line="276" w:lineRule="auto"/>
        <w:jc w:val="both"/>
        <w:rPr>
          <w:rFonts w:ascii="Verdana" w:eastAsia="Calibri" w:hAnsi="Verdana" w:cs="Arial"/>
          <w:sz w:val="22"/>
          <w:szCs w:val="22"/>
          <w:highlight w:val="cyan"/>
          <w:lang w:val="es-ES" w:eastAsia="es-ES"/>
        </w:rPr>
      </w:pPr>
    </w:p>
    <w:p w14:paraId="019EB0C1" w14:textId="77777777" w:rsidR="007963DF" w:rsidRPr="003B459E" w:rsidRDefault="00C062A9" w:rsidP="007963DF">
      <w:pPr>
        <w:ind w:left="709" w:right="709"/>
        <w:jc w:val="both"/>
        <w:rPr>
          <w:rFonts w:ascii="Verdana" w:eastAsia="Century Gothic" w:hAnsi="Verdana" w:cs="Arial"/>
          <w:b/>
          <w:bCs/>
          <w:sz w:val="20"/>
          <w:szCs w:val="20"/>
        </w:rPr>
      </w:pPr>
      <w:r w:rsidRPr="003B459E">
        <w:rPr>
          <w:rFonts w:ascii="Verdana" w:eastAsia="Century Gothic" w:hAnsi="Verdana" w:cs="Arial"/>
          <w:sz w:val="20"/>
          <w:szCs w:val="20"/>
          <w:lang w:val="es-ES"/>
        </w:rPr>
        <w:lastRenderedPageBreak/>
        <w:t xml:space="preserve">“[…] </w:t>
      </w:r>
      <w:r w:rsidR="007963DF" w:rsidRPr="003B459E">
        <w:rPr>
          <w:rFonts w:ascii="Verdana" w:eastAsia="Century Gothic" w:hAnsi="Verdana" w:cs="Arial"/>
          <w:b/>
          <w:bCs/>
          <w:sz w:val="20"/>
          <w:szCs w:val="20"/>
        </w:rPr>
        <w:t>A. CAPACIDAD PARA PRESTAR BIENES Y SERVICIOS</w:t>
      </w:r>
    </w:p>
    <w:p w14:paraId="245C990F" w14:textId="77777777" w:rsidR="007963DF" w:rsidRPr="003B459E" w:rsidRDefault="007963DF" w:rsidP="007963DF">
      <w:pPr>
        <w:ind w:left="709" w:right="709"/>
        <w:jc w:val="both"/>
        <w:rPr>
          <w:rFonts w:ascii="Verdana" w:eastAsia="Century Gothic" w:hAnsi="Verdana" w:cs="Arial"/>
          <w:sz w:val="20"/>
          <w:szCs w:val="20"/>
        </w:rPr>
      </w:pPr>
    </w:p>
    <w:p w14:paraId="3FEF9D14"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PRIMERO. ¿Cuál es el alcance actual de la facultad contemplada en el artículo 63 de la Ley 2166 de 2021 relativa a la vinculación de los organismos comunales al desarrollo y mejoramiento municipal mediante la prestación de bienes y servicios?</w:t>
      </w:r>
    </w:p>
    <w:p w14:paraId="38671E71" w14:textId="77777777" w:rsidR="007963DF" w:rsidRPr="003B459E" w:rsidRDefault="007963DF" w:rsidP="007963DF">
      <w:pPr>
        <w:ind w:left="709" w:right="709"/>
        <w:jc w:val="both"/>
        <w:rPr>
          <w:rFonts w:ascii="Verdana" w:eastAsia="Century Gothic" w:hAnsi="Verdana" w:cs="Arial"/>
          <w:sz w:val="20"/>
          <w:szCs w:val="20"/>
        </w:rPr>
      </w:pPr>
    </w:p>
    <w:p w14:paraId="6669CE3F"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SEGUNDO. ¿Qué clases o categorías de bienes y servicios puede suministrar o prestar una Junta de Acción Comunal a una entidad territorial?</w:t>
      </w:r>
    </w:p>
    <w:p w14:paraId="2D1DAEE1" w14:textId="77777777" w:rsidR="007963DF" w:rsidRPr="003B459E" w:rsidRDefault="007963DF" w:rsidP="007963DF">
      <w:pPr>
        <w:ind w:left="709" w:right="709"/>
        <w:jc w:val="both"/>
        <w:rPr>
          <w:rFonts w:ascii="Verdana" w:eastAsia="Century Gothic" w:hAnsi="Verdana" w:cs="Arial"/>
          <w:sz w:val="20"/>
          <w:szCs w:val="20"/>
        </w:rPr>
      </w:pPr>
    </w:p>
    <w:p w14:paraId="041A4538"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TERCERO. ¿Existe alguna limitación legal respecto de la naturaleza de los bienes o servicios que una Junta de Acción Comunal puede ofrecer a una entidad territorial, o dicha capacidad depende de su objeto, estatutos y capacidad jurídica, técnica, administrativa, financiera y organizacional?</w:t>
      </w:r>
    </w:p>
    <w:p w14:paraId="0C3A8BBC" w14:textId="77777777" w:rsidR="007963DF" w:rsidRPr="003B459E" w:rsidRDefault="007963DF" w:rsidP="007963DF">
      <w:pPr>
        <w:ind w:left="709" w:right="709"/>
        <w:jc w:val="both"/>
        <w:rPr>
          <w:rFonts w:ascii="Verdana" w:eastAsia="Century Gothic" w:hAnsi="Verdana" w:cs="Arial"/>
          <w:sz w:val="20"/>
          <w:szCs w:val="20"/>
        </w:rPr>
      </w:pPr>
    </w:p>
    <w:p w14:paraId="7EDE3242"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CUARTO. ¿Puede una Junta de Acción Comunal prestar servicios diferentes a aquellos dirigidos exclusivamente a sus propios afiliados o habitantes de su barrio o vereda?</w:t>
      </w:r>
    </w:p>
    <w:p w14:paraId="120F9F77" w14:textId="77777777" w:rsidR="007963DF" w:rsidRPr="003B459E" w:rsidRDefault="007963DF" w:rsidP="007963DF">
      <w:pPr>
        <w:ind w:left="709" w:right="709"/>
        <w:jc w:val="both"/>
        <w:rPr>
          <w:rFonts w:ascii="Verdana" w:eastAsia="Century Gothic" w:hAnsi="Verdana" w:cs="Arial"/>
          <w:sz w:val="20"/>
          <w:szCs w:val="20"/>
        </w:rPr>
      </w:pPr>
    </w:p>
    <w:p w14:paraId="2D3B01A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QUINTO. ¿Puede una Junta de Acción Comunal desarrollar actividades económicas, comerciales o de prestación de servicios complementarias a sus finalidades comunitarias y contratar dichos servicios con entidades estatales?</w:t>
      </w:r>
    </w:p>
    <w:p w14:paraId="5840CBF4" w14:textId="77777777" w:rsidR="007963DF" w:rsidRPr="003B459E" w:rsidRDefault="007963DF" w:rsidP="007963DF">
      <w:pPr>
        <w:ind w:left="709" w:right="709"/>
        <w:jc w:val="both"/>
        <w:rPr>
          <w:rFonts w:ascii="Verdana" w:eastAsia="Century Gothic" w:hAnsi="Verdana" w:cs="Arial"/>
          <w:sz w:val="20"/>
          <w:szCs w:val="20"/>
        </w:rPr>
      </w:pPr>
    </w:p>
    <w:p w14:paraId="4BBBC1F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SEXTO. ¿Puede una Junta de Acción Comunal actuar como contratista de una entidad territorial para suministrar bienes o prestar servicios diferentes de la ejecución de obras públicas?</w:t>
      </w:r>
    </w:p>
    <w:p w14:paraId="6B8C7750" w14:textId="77777777" w:rsidR="007963DF" w:rsidRPr="003B459E" w:rsidRDefault="007963DF" w:rsidP="007963DF">
      <w:pPr>
        <w:ind w:left="709" w:right="709"/>
        <w:jc w:val="both"/>
        <w:rPr>
          <w:rFonts w:ascii="Verdana" w:eastAsia="Century Gothic" w:hAnsi="Verdana" w:cs="Arial"/>
          <w:sz w:val="20"/>
          <w:szCs w:val="20"/>
        </w:rPr>
      </w:pPr>
    </w:p>
    <w:p w14:paraId="7D0D913F" w14:textId="77777777" w:rsidR="007963DF" w:rsidRPr="003B459E" w:rsidRDefault="007963DF" w:rsidP="007963DF">
      <w:pPr>
        <w:ind w:left="709" w:right="709"/>
        <w:jc w:val="both"/>
        <w:rPr>
          <w:rFonts w:ascii="Verdana" w:eastAsia="Century Gothic" w:hAnsi="Verdana" w:cs="Arial"/>
          <w:b/>
          <w:bCs/>
          <w:sz w:val="20"/>
          <w:szCs w:val="20"/>
        </w:rPr>
      </w:pPr>
      <w:r w:rsidRPr="003B459E">
        <w:rPr>
          <w:rFonts w:ascii="Verdana" w:eastAsia="Century Gothic" w:hAnsi="Verdana" w:cs="Arial"/>
          <w:b/>
          <w:bCs/>
          <w:sz w:val="20"/>
          <w:szCs w:val="20"/>
        </w:rPr>
        <w:t>B. OPERACIÓN LOGÍSTICA INTEGRAL</w:t>
      </w:r>
    </w:p>
    <w:p w14:paraId="1567AB44" w14:textId="77777777" w:rsidR="007963DF" w:rsidRPr="003B459E" w:rsidRDefault="007963DF" w:rsidP="007963DF">
      <w:pPr>
        <w:ind w:left="709" w:right="709"/>
        <w:jc w:val="both"/>
        <w:rPr>
          <w:rFonts w:ascii="Verdana" w:eastAsia="Century Gothic" w:hAnsi="Verdana" w:cs="Arial"/>
          <w:sz w:val="20"/>
          <w:szCs w:val="20"/>
        </w:rPr>
      </w:pPr>
    </w:p>
    <w:p w14:paraId="0C8A20A4"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SÉPTIMO. ¿Puede una Junta de Acción Comunal prestar a una entidad territorial servicios de OPERACIÓN LOGÍSTICA INTEGRAL?</w:t>
      </w:r>
    </w:p>
    <w:p w14:paraId="45A72476" w14:textId="77777777" w:rsidR="007963DF" w:rsidRPr="003B459E" w:rsidRDefault="007963DF" w:rsidP="007963DF">
      <w:pPr>
        <w:ind w:left="709" w:right="709"/>
        <w:jc w:val="both"/>
        <w:rPr>
          <w:rFonts w:ascii="Verdana" w:eastAsia="Century Gothic" w:hAnsi="Verdana" w:cs="Arial"/>
          <w:sz w:val="20"/>
          <w:szCs w:val="20"/>
        </w:rPr>
      </w:pPr>
    </w:p>
    <w:p w14:paraId="2A12E5B5"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OCTAVO. En caso afirmativo, ¿puede dicha operación comprender conjuntamente actividades tales como planeación y coordinación de eventos, tarimas, sonido, iluminación, carpas, mesas, sillas, transporte, alimentación, hospedaje, personal logístico, publicidad, producción, actividades artísticas y culturales, montaje, desmontaje, alquiler de equipos, suministro de elementos y demás componentes ordinariamente comprendidos dentro de una operación logística integral?</w:t>
      </w:r>
    </w:p>
    <w:p w14:paraId="6CCED97D" w14:textId="77777777" w:rsidR="007963DF" w:rsidRPr="003B459E" w:rsidRDefault="007963DF" w:rsidP="007963DF">
      <w:pPr>
        <w:ind w:left="709" w:right="709"/>
        <w:jc w:val="both"/>
        <w:rPr>
          <w:rFonts w:ascii="Verdana" w:eastAsia="Century Gothic" w:hAnsi="Verdana" w:cs="Arial"/>
          <w:sz w:val="20"/>
          <w:szCs w:val="20"/>
        </w:rPr>
      </w:pPr>
    </w:p>
    <w:p w14:paraId="32031816"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 xml:space="preserve">NOVENO. ¿Puede una Junta de Acción Comunal celebrar con un municipio un contrato cuyo objeto consista en la “prestación del servicio de operación logística integral para atender las necesidades de las diferentes </w:t>
      </w:r>
      <w:r w:rsidRPr="003B459E">
        <w:rPr>
          <w:rFonts w:ascii="Verdana" w:eastAsia="Century Gothic" w:hAnsi="Verdana" w:cs="Arial"/>
          <w:sz w:val="20"/>
          <w:szCs w:val="20"/>
        </w:rPr>
        <w:lastRenderedPageBreak/>
        <w:t>secretarías, dependencias, programas, proyectos y eventos del Municipio durante una determinada vigencia”?</w:t>
      </w:r>
    </w:p>
    <w:p w14:paraId="3302B723" w14:textId="77777777" w:rsidR="007963DF" w:rsidRPr="003B459E" w:rsidRDefault="007963DF" w:rsidP="007963DF">
      <w:pPr>
        <w:ind w:left="709" w:right="709"/>
        <w:jc w:val="both"/>
        <w:rPr>
          <w:rFonts w:ascii="Verdana" w:eastAsia="Century Gothic" w:hAnsi="Verdana" w:cs="Arial"/>
          <w:sz w:val="20"/>
          <w:szCs w:val="20"/>
        </w:rPr>
      </w:pPr>
    </w:p>
    <w:p w14:paraId="3BBFDAD6"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En otros términos, ¿puede una Junta de Acción Comunal asumir la LOGÍSTICA INTEGRAL DE LAS DIFERENTES NECESIDADES DE UN MUNICIPIO, incluyendo eventos institucionales, culturales, comunitarios, deportivos, recreativos y sociales desarrollados por sus distintas secretarías y dependencias?</w:t>
      </w:r>
    </w:p>
    <w:p w14:paraId="34EF3DE0" w14:textId="77777777" w:rsidR="007963DF" w:rsidRPr="003B459E" w:rsidRDefault="007963DF" w:rsidP="007963DF">
      <w:pPr>
        <w:ind w:left="709" w:right="709"/>
        <w:jc w:val="both"/>
        <w:rPr>
          <w:rFonts w:ascii="Verdana" w:eastAsia="Century Gothic" w:hAnsi="Verdana" w:cs="Arial"/>
          <w:sz w:val="20"/>
          <w:szCs w:val="20"/>
        </w:rPr>
      </w:pPr>
    </w:p>
    <w:p w14:paraId="4A3B0B39"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PRIMERO. ¿Existe alguna disposición del régimen de acción comunal que impida que una Junta de Acción Comunal atienda, mediante un mismo contrato, diferentes necesidades logísticas de una administración municipal?</w:t>
      </w:r>
    </w:p>
    <w:p w14:paraId="11D75525" w14:textId="77777777" w:rsidR="000739BA" w:rsidRPr="003B459E" w:rsidRDefault="000739BA" w:rsidP="007963DF">
      <w:pPr>
        <w:ind w:left="709" w:right="709"/>
        <w:jc w:val="both"/>
        <w:rPr>
          <w:rFonts w:ascii="Verdana" w:eastAsia="Century Gothic" w:hAnsi="Verdana" w:cs="Arial"/>
          <w:sz w:val="20"/>
          <w:szCs w:val="20"/>
        </w:rPr>
      </w:pPr>
    </w:p>
    <w:p w14:paraId="562A6E7C"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SEGUNDO. Si el contrato comprende la logística de fiestas tradicionales o populares, eventos culturales, deportivos, recreativos, institucionales y comunitarios, ¿la diversidad de actividades resulta compatible con la capacidad contractual de una Junta de Acción Comunal o debe existir una relación específica entre cada actividad contratada y las finalidades comunitarias de la organización?</w:t>
      </w:r>
    </w:p>
    <w:p w14:paraId="0BD1B7D1" w14:textId="77777777" w:rsidR="000739BA" w:rsidRPr="003B459E" w:rsidRDefault="000739BA" w:rsidP="007963DF">
      <w:pPr>
        <w:ind w:left="709" w:right="709"/>
        <w:jc w:val="both"/>
        <w:rPr>
          <w:rFonts w:ascii="Verdana" w:eastAsia="Century Gothic" w:hAnsi="Verdana" w:cs="Arial"/>
          <w:sz w:val="20"/>
          <w:szCs w:val="20"/>
        </w:rPr>
      </w:pPr>
    </w:p>
    <w:p w14:paraId="34DD70A7"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TERCERO. ¿Puede una Junta de Acción Comunal adquirir, alquilar o subcontratar con terceros los bienes y servicios necesarios para ejecutar una operación logística integral cuando no disponga directamente de todos los elementos necesarios?</w:t>
      </w:r>
    </w:p>
    <w:p w14:paraId="263FF0BD" w14:textId="77777777" w:rsidR="000739BA" w:rsidRPr="003B459E" w:rsidRDefault="000739BA" w:rsidP="007963DF">
      <w:pPr>
        <w:ind w:left="709" w:right="709"/>
        <w:jc w:val="both"/>
        <w:rPr>
          <w:rFonts w:ascii="Verdana" w:eastAsia="Century Gothic" w:hAnsi="Verdana" w:cs="Arial"/>
          <w:sz w:val="20"/>
          <w:szCs w:val="20"/>
        </w:rPr>
      </w:pPr>
    </w:p>
    <w:p w14:paraId="2E3775D5"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CUARTO. En caso afirmativo, ¿existe algún límite legal a dicha subcontratación y qué criterios permiten establecer cuándo la Junta ejecuta materialmente el contrato y cuándo actúa simplemente como intermediario entre la entidad territorial y proveedores privados?</w:t>
      </w:r>
    </w:p>
    <w:p w14:paraId="61EC4D13" w14:textId="77777777" w:rsidR="000739BA" w:rsidRPr="003B459E" w:rsidRDefault="000739BA" w:rsidP="007963DF">
      <w:pPr>
        <w:ind w:left="709" w:right="709"/>
        <w:jc w:val="both"/>
        <w:rPr>
          <w:rFonts w:ascii="Verdana" w:eastAsia="Century Gothic" w:hAnsi="Verdana" w:cs="Arial"/>
          <w:sz w:val="20"/>
          <w:szCs w:val="20"/>
        </w:rPr>
      </w:pPr>
    </w:p>
    <w:p w14:paraId="20B04AF1"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QUINTO. ¿Resulta jurídicamente admisible que una Junta de Acción Comunal que no sea propietaria de tarimas, equipos de sonido, iluminación, carpas, vehículos, mobiliario u otros elementos los alquile o contrate con terceros para cumplir las obligaciones asumidas frente al municipio?</w:t>
      </w:r>
    </w:p>
    <w:p w14:paraId="31D875F8" w14:textId="77777777" w:rsidR="000739BA" w:rsidRPr="003B459E" w:rsidRDefault="000739BA" w:rsidP="007963DF">
      <w:pPr>
        <w:ind w:left="709" w:right="709"/>
        <w:jc w:val="both"/>
        <w:rPr>
          <w:rFonts w:ascii="Verdana" w:eastAsia="Century Gothic" w:hAnsi="Verdana" w:cs="Arial"/>
          <w:sz w:val="20"/>
          <w:szCs w:val="20"/>
        </w:rPr>
      </w:pPr>
    </w:p>
    <w:p w14:paraId="2637BBDF"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SEXTO. ¿La posibilidad de contratar bienes y servicios con terceros depende de que la Junta conserve directamente la dirección, coordinación y responsabilidad por la ejecución integral del objeto contractual?</w:t>
      </w:r>
    </w:p>
    <w:p w14:paraId="216281B1" w14:textId="77777777" w:rsidR="000739BA" w:rsidRPr="003B459E" w:rsidRDefault="000739BA" w:rsidP="007963DF">
      <w:pPr>
        <w:ind w:left="709" w:right="709"/>
        <w:jc w:val="both"/>
        <w:rPr>
          <w:rFonts w:ascii="Verdana" w:eastAsia="Century Gothic" w:hAnsi="Verdana" w:cs="Arial"/>
          <w:sz w:val="20"/>
          <w:szCs w:val="20"/>
        </w:rPr>
      </w:pPr>
    </w:p>
    <w:p w14:paraId="432F15F4" w14:textId="77777777" w:rsidR="007963DF" w:rsidRPr="003B459E" w:rsidRDefault="007963DF" w:rsidP="007963DF">
      <w:pPr>
        <w:ind w:left="709" w:right="709"/>
        <w:jc w:val="both"/>
        <w:rPr>
          <w:rFonts w:ascii="Verdana" w:eastAsia="Century Gothic" w:hAnsi="Verdana" w:cs="Arial"/>
          <w:b/>
          <w:bCs/>
          <w:sz w:val="20"/>
          <w:szCs w:val="20"/>
        </w:rPr>
      </w:pPr>
      <w:r w:rsidRPr="003B459E">
        <w:rPr>
          <w:rFonts w:ascii="Verdana" w:eastAsia="Century Gothic" w:hAnsi="Verdana" w:cs="Arial"/>
          <w:b/>
          <w:bCs/>
          <w:sz w:val="20"/>
          <w:szCs w:val="20"/>
        </w:rPr>
        <w:t>C. TERRITORIALIDAD</w:t>
      </w:r>
    </w:p>
    <w:p w14:paraId="08C76F53" w14:textId="77777777" w:rsidR="000739BA" w:rsidRPr="003B459E" w:rsidRDefault="000739BA" w:rsidP="007963DF">
      <w:pPr>
        <w:ind w:left="709" w:right="709"/>
        <w:jc w:val="both"/>
        <w:rPr>
          <w:rFonts w:ascii="Verdana" w:eastAsia="Century Gothic" w:hAnsi="Verdana" w:cs="Arial"/>
          <w:sz w:val="20"/>
          <w:szCs w:val="20"/>
        </w:rPr>
      </w:pPr>
    </w:p>
    <w:p w14:paraId="006A1779"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lastRenderedPageBreak/>
        <w:t>DÉCIMO SÉPTIMO. ¿Cuál es el alcance jurídico del criterio de territorialidad de los organismos de acción comunal respecto de su capacidad contractual?</w:t>
      </w:r>
    </w:p>
    <w:p w14:paraId="1FD11DDF" w14:textId="77777777" w:rsidR="000739BA" w:rsidRPr="003B459E" w:rsidRDefault="000739BA" w:rsidP="007963DF">
      <w:pPr>
        <w:ind w:left="709" w:right="709"/>
        <w:jc w:val="both"/>
        <w:rPr>
          <w:rFonts w:ascii="Verdana" w:eastAsia="Century Gothic" w:hAnsi="Verdana" w:cs="Arial"/>
          <w:sz w:val="20"/>
          <w:szCs w:val="20"/>
        </w:rPr>
      </w:pPr>
    </w:p>
    <w:p w14:paraId="01132AA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OCTAVO. Cuando una Junta de Acción Comunal corresponde a una determinada vereda, barrio o sector de un municipio, ¿su capacidad para celebrar y ejecutar contratos se encuentra físicamente limitada a ese territorio?</w:t>
      </w:r>
    </w:p>
    <w:p w14:paraId="56151F40" w14:textId="77777777" w:rsidR="000739BA" w:rsidRPr="003B459E" w:rsidRDefault="000739BA" w:rsidP="007963DF">
      <w:pPr>
        <w:ind w:left="709" w:right="709"/>
        <w:jc w:val="both"/>
        <w:rPr>
          <w:rFonts w:ascii="Verdana" w:eastAsia="Century Gothic" w:hAnsi="Verdana" w:cs="Arial"/>
          <w:sz w:val="20"/>
          <w:szCs w:val="20"/>
        </w:rPr>
      </w:pPr>
    </w:p>
    <w:p w14:paraId="57588DF4"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DÉCIMO NOVENO. ¿Puede una Junta de Acción Comunal de un barrio o vereda celebrar un contrato con el respectivo municipio para prestar servicios que deban ejecutarse en diferentes barrios, veredas, corregimientos y sectores del territorio municipal?</w:t>
      </w:r>
    </w:p>
    <w:p w14:paraId="188C4FFA" w14:textId="77777777" w:rsidR="000739BA" w:rsidRPr="003B459E" w:rsidRDefault="000739BA" w:rsidP="007963DF">
      <w:pPr>
        <w:ind w:left="709" w:right="709"/>
        <w:jc w:val="both"/>
        <w:rPr>
          <w:rFonts w:ascii="Verdana" w:eastAsia="Century Gothic" w:hAnsi="Verdana" w:cs="Arial"/>
          <w:sz w:val="20"/>
          <w:szCs w:val="20"/>
        </w:rPr>
      </w:pPr>
    </w:p>
    <w:p w14:paraId="7B4AB8F1"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Específicamente, ¿puede una Junta de Acción Comunal prestar la OPERACIÓN LOGÍSTICA INTEGRAL DE LOS DIFERENTES EVENTOS DE UN MUNICIPIO, aun cuando estos se desarrollen en lugares distintos del territorio específico del barrio, vereda o sector representado por esa Junta?</w:t>
      </w:r>
    </w:p>
    <w:p w14:paraId="3C15FDC4" w14:textId="77777777" w:rsidR="000739BA" w:rsidRPr="003B459E" w:rsidRDefault="000739BA" w:rsidP="007963DF">
      <w:pPr>
        <w:ind w:left="709" w:right="709"/>
        <w:jc w:val="both"/>
        <w:rPr>
          <w:rFonts w:ascii="Verdana" w:eastAsia="Century Gothic" w:hAnsi="Verdana" w:cs="Arial"/>
          <w:sz w:val="20"/>
          <w:szCs w:val="20"/>
        </w:rPr>
      </w:pPr>
    </w:p>
    <w:p w14:paraId="7CA5EB56"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PRIMERO. ¿Puede, por ejemplo, una JAC constituida en una determinada vereda prestar servicios logísticos para unas fiestas populares realizadas en la cabecera municipal?</w:t>
      </w:r>
    </w:p>
    <w:p w14:paraId="675E2EE5" w14:textId="77777777" w:rsidR="000739BA" w:rsidRPr="003B459E" w:rsidRDefault="000739BA" w:rsidP="007963DF">
      <w:pPr>
        <w:ind w:left="709" w:right="709"/>
        <w:jc w:val="both"/>
        <w:rPr>
          <w:rFonts w:ascii="Verdana" w:eastAsia="Century Gothic" w:hAnsi="Verdana" w:cs="Arial"/>
          <w:sz w:val="20"/>
          <w:szCs w:val="20"/>
        </w:rPr>
      </w:pPr>
    </w:p>
    <w:p w14:paraId="044230C4"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SEGUNDO. ¿Puede esa misma JAC prestar servicios logísticos para actividades que se desarrollen sucesivamente en diferentes veredas, corregimientos, barrios y en la cabecera del mismo municipio?</w:t>
      </w:r>
    </w:p>
    <w:p w14:paraId="0001AFFE" w14:textId="77777777" w:rsidR="000739BA" w:rsidRPr="003B459E" w:rsidRDefault="000739BA" w:rsidP="007963DF">
      <w:pPr>
        <w:ind w:left="709" w:right="709"/>
        <w:jc w:val="both"/>
        <w:rPr>
          <w:rFonts w:ascii="Verdana" w:eastAsia="Century Gothic" w:hAnsi="Verdana" w:cs="Arial"/>
          <w:sz w:val="20"/>
          <w:szCs w:val="20"/>
        </w:rPr>
      </w:pPr>
    </w:p>
    <w:p w14:paraId="7A557FAE"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TERCERO. ¿La territorialidad prevista en el régimen de acción comunal constituye:</w:t>
      </w:r>
    </w:p>
    <w:p w14:paraId="583F7C55" w14:textId="77777777" w:rsidR="000739BA" w:rsidRPr="003B459E" w:rsidRDefault="000739BA" w:rsidP="007963DF">
      <w:pPr>
        <w:ind w:left="709" w:right="709"/>
        <w:jc w:val="both"/>
        <w:rPr>
          <w:rFonts w:ascii="Verdana" w:eastAsia="Century Gothic" w:hAnsi="Verdana" w:cs="Arial"/>
          <w:sz w:val="20"/>
          <w:szCs w:val="20"/>
        </w:rPr>
      </w:pPr>
    </w:p>
    <w:p w14:paraId="3D10240E"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a) una delimitación de la comunidad que integra y representa la organización;</w:t>
      </w:r>
    </w:p>
    <w:p w14:paraId="2F441204"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b) una delimitación de sus finalidades y competencias comunitarias;</w:t>
      </w:r>
    </w:p>
    <w:p w14:paraId="6173F0A1"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 una restricción física de los lugares donde puede ejecutar contratos;</w:t>
      </w:r>
    </w:p>
    <w:p w14:paraId="37E32DC6"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d) una limitación de su capacidad jurídica contractual; o</w:t>
      </w:r>
    </w:p>
    <w:p w14:paraId="215FE43E"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e) una combinación de las anteriores?</w:t>
      </w:r>
    </w:p>
    <w:p w14:paraId="6F0A7CC2" w14:textId="77777777" w:rsidR="000739BA" w:rsidRPr="003B459E" w:rsidRDefault="000739BA" w:rsidP="007963DF">
      <w:pPr>
        <w:ind w:left="709" w:right="709"/>
        <w:jc w:val="both"/>
        <w:rPr>
          <w:rFonts w:ascii="Verdana" w:eastAsia="Century Gothic" w:hAnsi="Verdana" w:cs="Arial"/>
          <w:sz w:val="20"/>
          <w:szCs w:val="20"/>
        </w:rPr>
      </w:pPr>
    </w:p>
    <w:p w14:paraId="76C3D3C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Se solicita precisar expresamente cuál es el alcance jurídico correcto conforme al régimen actualmente vigente.</w:t>
      </w:r>
    </w:p>
    <w:p w14:paraId="289AEE44" w14:textId="77777777" w:rsidR="000739BA" w:rsidRPr="003B459E" w:rsidRDefault="000739BA" w:rsidP="007963DF">
      <w:pPr>
        <w:ind w:left="709" w:right="709"/>
        <w:jc w:val="both"/>
        <w:rPr>
          <w:rFonts w:ascii="Verdana" w:eastAsia="Century Gothic" w:hAnsi="Verdana" w:cs="Arial"/>
          <w:sz w:val="20"/>
          <w:szCs w:val="20"/>
        </w:rPr>
      </w:pPr>
    </w:p>
    <w:p w14:paraId="51A11891"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CUARTO. ¿Existe diferencia, para estos efectos, entre una Junta de Acción Comunal de primer grado y una Asociación de Juntas de Acción Comunal – ASOCOMUNAL cuyo ámbito territorial comprende el respectivo municipio?</w:t>
      </w:r>
    </w:p>
    <w:p w14:paraId="02F9B809" w14:textId="77777777" w:rsidR="00770414" w:rsidRPr="003B459E" w:rsidRDefault="00770414" w:rsidP="007963DF">
      <w:pPr>
        <w:ind w:left="709" w:right="709"/>
        <w:jc w:val="both"/>
        <w:rPr>
          <w:rFonts w:ascii="Verdana" w:eastAsia="Century Gothic" w:hAnsi="Verdana" w:cs="Arial"/>
          <w:sz w:val="20"/>
          <w:szCs w:val="20"/>
        </w:rPr>
      </w:pPr>
    </w:p>
    <w:p w14:paraId="2C385C67"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lastRenderedPageBreak/>
        <w:t>VIGÉSIMO QUINTO. Si por razones de territorialidad una JAC de barrio o vereda estuviera limitada para prestar servicios en todo el territorio municipal, ¿podría una ASOCOMUNAL de ámbito municipal asumir la operación logística integral para las diferentes dependencias y eventos de ese municipio?</w:t>
      </w:r>
    </w:p>
    <w:p w14:paraId="00FAD94C" w14:textId="77777777" w:rsidR="00770414" w:rsidRPr="003B459E" w:rsidRDefault="00770414" w:rsidP="007963DF">
      <w:pPr>
        <w:ind w:left="709" w:right="709"/>
        <w:jc w:val="both"/>
        <w:rPr>
          <w:rFonts w:ascii="Verdana" w:eastAsia="Century Gothic" w:hAnsi="Verdana" w:cs="Arial"/>
          <w:sz w:val="20"/>
          <w:szCs w:val="20"/>
        </w:rPr>
      </w:pPr>
    </w:p>
    <w:p w14:paraId="093D9A36" w14:textId="77777777" w:rsidR="007963DF" w:rsidRPr="003B459E" w:rsidRDefault="007963DF" w:rsidP="007963DF">
      <w:pPr>
        <w:ind w:left="709" w:right="709"/>
        <w:jc w:val="both"/>
        <w:rPr>
          <w:rFonts w:ascii="Verdana" w:eastAsia="Century Gothic" w:hAnsi="Verdana" w:cs="Arial"/>
          <w:b/>
          <w:bCs/>
          <w:sz w:val="20"/>
          <w:szCs w:val="20"/>
        </w:rPr>
      </w:pPr>
      <w:r w:rsidRPr="003B459E">
        <w:rPr>
          <w:rFonts w:ascii="Verdana" w:eastAsia="Century Gothic" w:hAnsi="Verdana" w:cs="Arial"/>
          <w:b/>
          <w:bCs/>
          <w:sz w:val="20"/>
          <w:szCs w:val="20"/>
        </w:rPr>
        <w:t>D. CONTRATACIÓN DIRECTA</w:t>
      </w:r>
    </w:p>
    <w:p w14:paraId="634FE614" w14:textId="77777777" w:rsidR="00770414" w:rsidRPr="003B459E" w:rsidRDefault="00770414" w:rsidP="007963DF">
      <w:pPr>
        <w:ind w:left="709" w:right="709"/>
        <w:jc w:val="both"/>
        <w:rPr>
          <w:rFonts w:ascii="Verdana" w:eastAsia="Century Gothic" w:hAnsi="Verdana" w:cs="Arial"/>
          <w:sz w:val="20"/>
          <w:szCs w:val="20"/>
        </w:rPr>
      </w:pPr>
    </w:p>
    <w:p w14:paraId="1B51C556"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SEXTO. ¿La capacidad jurídica de una Junta de Acción Comunal para prestar bienes y servicios constituye por sí misma una habilitación para que una entidad territorial la contrate directamente?</w:t>
      </w:r>
    </w:p>
    <w:p w14:paraId="5E0630C0" w14:textId="77777777" w:rsidR="00770414" w:rsidRPr="003B459E" w:rsidRDefault="00770414" w:rsidP="007963DF">
      <w:pPr>
        <w:ind w:left="709" w:right="709"/>
        <w:jc w:val="both"/>
        <w:rPr>
          <w:rFonts w:ascii="Verdana" w:eastAsia="Century Gothic" w:hAnsi="Verdana" w:cs="Arial"/>
          <w:sz w:val="20"/>
          <w:szCs w:val="20"/>
        </w:rPr>
      </w:pPr>
    </w:p>
    <w:p w14:paraId="2B0C452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SÉPTIMO. ¿El artículo 63 de la Ley 2166 de 2021 constituye actualmente una habilitación autónoma para celebrar directamente contratos de prestación de bienes o servicios con organismos de acción comunal?</w:t>
      </w:r>
    </w:p>
    <w:p w14:paraId="0B4541B4" w14:textId="77777777" w:rsidR="00770414" w:rsidRPr="003B459E" w:rsidRDefault="00770414" w:rsidP="007963DF">
      <w:pPr>
        <w:ind w:left="709" w:right="709"/>
        <w:jc w:val="both"/>
        <w:rPr>
          <w:rFonts w:ascii="Verdana" w:eastAsia="Century Gothic" w:hAnsi="Verdana" w:cs="Arial"/>
          <w:sz w:val="20"/>
          <w:szCs w:val="20"/>
        </w:rPr>
      </w:pPr>
    </w:p>
    <w:p w14:paraId="10C63CB2" w14:textId="48F3FAD5" w:rsidR="007963DF" w:rsidRPr="003B459E" w:rsidRDefault="007963DF" w:rsidP="00770414">
      <w:pPr>
        <w:ind w:left="709" w:right="709"/>
        <w:jc w:val="both"/>
        <w:rPr>
          <w:rFonts w:ascii="Verdana" w:eastAsia="Century Gothic" w:hAnsi="Verdana" w:cs="Arial"/>
          <w:sz w:val="20"/>
          <w:szCs w:val="20"/>
        </w:rPr>
      </w:pPr>
      <w:r w:rsidRPr="003B459E">
        <w:rPr>
          <w:rFonts w:ascii="Verdana" w:eastAsia="Century Gothic" w:hAnsi="Verdana" w:cs="Arial"/>
          <w:sz w:val="20"/>
          <w:szCs w:val="20"/>
        </w:rPr>
        <w:t>En caso negativo, se solicita precisar el efecto producido sobre dicha disposición por las modificaciones o derogatorias legislativas posteriores y cuál es actualmente el régimen aplicable.</w:t>
      </w:r>
    </w:p>
    <w:p w14:paraId="54998589" w14:textId="77777777" w:rsidR="00770414" w:rsidRPr="003B459E" w:rsidRDefault="00770414" w:rsidP="00770414">
      <w:pPr>
        <w:ind w:left="709" w:right="709"/>
        <w:jc w:val="both"/>
        <w:rPr>
          <w:rFonts w:ascii="Verdana" w:eastAsia="Century Gothic" w:hAnsi="Verdana" w:cs="Arial"/>
          <w:sz w:val="20"/>
          <w:szCs w:val="20"/>
        </w:rPr>
      </w:pPr>
    </w:p>
    <w:p w14:paraId="20132360"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OCTAVO. ¿El numeral 16 del artículo 3 de la Ley 136 de 1994 constituye una habilitación para celebrar directamente convenios solidarios con organismos de acción comunal destinados al desarrollo conjunto de programas y actividades municipales?</w:t>
      </w:r>
    </w:p>
    <w:p w14:paraId="6C223CC9" w14:textId="77777777" w:rsidR="00770414" w:rsidRPr="003B459E" w:rsidRDefault="00770414" w:rsidP="007963DF">
      <w:pPr>
        <w:ind w:left="709" w:right="709"/>
        <w:jc w:val="both"/>
        <w:rPr>
          <w:rFonts w:ascii="Verdana" w:eastAsia="Century Gothic" w:hAnsi="Verdana" w:cs="Arial"/>
          <w:sz w:val="20"/>
          <w:szCs w:val="20"/>
        </w:rPr>
      </w:pPr>
    </w:p>
    <w:p w14:paraId="1940E1E2"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VIGÉSIMO NOVENO. En caso afirmativo, ¿qué requisitos, límites, condiciones de cuantía y reglas de selección deben observarse?</w:t>
      </w:r>
    </w:p>
    <w:p w14:paraId="503F0A32" w14:textId="77777777" w:rsidR="00770414" w:rsidRPr="003B459E" w:rsidRDefault="00770414" w:rsidP="007963DF">
      <w:pPr>
        <w:ind w:left="709" w:right="709"/>
        <w:jc w:val="both"/>
        <w:rPr>
          <w:rFonts w:ascii="Verdana" w:eastAsia="Century Gothic" w:hAnsi="Verdana" w:cs="Arial"/>
          <w:sz w:val="20"/>
          <w:szCs w:val="20"/>
        </w:rPr>
      </w:pPr>
    </w:p>
    <w:p w14:paraId="692663EE"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¿Debe diferenciarse jurídicamente el convenio solidario para el “desarrollo conjunto de programas y actividades” contemplado en la Ley 136 de 1994 del convenio solidario para “ejecución de obras” regulado por el artículo 95 de la Ley 2166 de 2021?</w:t>
      </w:r>
    </w:p>
    <w:p w14:paraId="7AC8EE5B" w14:textId="77777777" w:rsidR="00770414" w:rsidRPr="003B459E" w:rsidRDefault="00770414" w:rsidP="007963DF">
      <w:pPr>
        <w:ind w:left="709" w:right="709"/>
        <w:jc w:val="both"/>
        <w:rPr>
          <w:rFonts w:ascii="Verdana" w:eastAsia="Century Gothic" w:hAnsi="Verdana" w:cs="Arial"/>
          <w:sz w:val="20"/>
          <w:szCs w:val="20"/>
        </w:rPr>
      </w:pPr>
    </w:p>
    <w:p w14:paraId="00D49095"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PRIMERO. ¿La limitación correspondiente a la menor cuantía establecida para determinados convenios solidarios de obra resulta igualmente aplicable a los convenios destinados al desarrollo conjunto de programas y actividades?</w:t>
      </w:r>
    </w:p>
    <w:p w14:paraId="396EF116" w14:textId="77777777" w:rsidR="00770414" w:rsidRPr="003B459E" w:rsidRDefault="00770414" w:rsidP="007963DF">
      <w:pPr>
        <w:ind w:left="709" w:right="709"/>
        <w:jc w:val="both"/>
        <w:rPr>
          <w:rFonts w:ascii="Verdana" w:eastAsia="Century Gothic" w:hAnsi="Verdana" w:cs="Arial"/>
          <w:sz w:val="20"/>
          <w:szCs w:val="20"/>
        </w:rPr>
      </w:pPr>
    </w:p>
    <w:p w14:paraId="75BB65EA"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SEGUNDO. ¿Puede celebrarse directamente con una Junta de Acción Comunal un convenio para desarrollar conjuntamente un programa cultural, comunitario, deportivo o recreativo previsto en el Plan de Desarrollo municipal cuando dentro de sus actividades se requiera contratar componentes logísticos?</w:t>
      </w:r>
    </w:p>
    <w:p w14:paraId="258A7BCD" w14:textId="77777777" w:rsidR="00770414" w:rsidRPr="003B459E" w:rsidRDefault="00770414" w:rsidP="007963DF">
      <w:pPr>
        <w:ind w:left="709" w:right="709"/>
        <w:jc w:val="both"/>
        <w:rPr>
          <w:rFonts w:ascii="Verdana" w:eastAsia="Century Gothic" w:hAnsi="Verdana" w:cs="Arial"/>
          <w:sz w:val="20"/>
          <w:szCs w:val="20"/>
        </w:rPr>
      </w:pPr>
    </w:p>
    <w:p w14:paraId="3141AE48"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TERCERO. ¿Qué criterios permiten distinguir entre:</w:t>
      </w:r>
    </w:p>
    <w:p w14:paraId="6B174345" w14:textId="77777777" w:rsidR="00770414" w:rsidRPr="003B459E" w:rsidRDefault="00770414" w:rsidP="007963DF">
      <w:pPr>
        <w:ind w:left="709" w:right="709"/>
        <w:jc w:val="both"/>
        <w:rPr>
          <w:rFonts w:ascii="Verdana" w:eastAsia="Century Gothic" w:hAnsi="Verdana" w:cs="Arial"/>
          <w:sz w:val="20"/>
          <w:szCs w:val="20"/>
        </w:rPr>
      </w:pPr>
    </w:p>
    <w:p w14:paraId="3FC7D14E"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a) un convenio solidario o de colaboración destinado al desarrollo conjunto de un programa municipal que incorpora componentes logísticos instrumentales; y</w:t>
      </w:r>
    </w:p>
    <w:p w14:paraId="6FB56C4F"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b) un contrato conmutativo cuyo verdadero objeto económico consiste en adquirir servicios de operación logística?</w:t>
      </w:r>
    </w:p>
    <w:p w14:paraId="258FFD56" w14:textId="77777777" w:rsidR="00770414" w:rsidRPr="003B459E" w:rsidRDefault="00770414" w:rsidP="007963DF">
      <w:pPr>
        <w:ind w:left="709" w:right="709"/>
        <w:jc w:val="both"/>
        <w:rPr>
          <w:rFonts w:ascii="Verdana" w:eastAsia="Century Gothic" w:hAnsi="Verdana" w:cs="Arial"/>
          <w:sz w:val="20"/>
          <w:szCs w:val="20"/>
        </w:rPr>
      </w:pPr>
    </w:p>
    <w:p w14:paraId="1E08FDC6"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CUARTO. ¿Resultaría jurídicamente procedente celebrar directamente con una Junta de Acción Comunal un convenio cuyo objeto consista en:</w:t>
      </w:r>
    </w:p>
    <w:p w14:paraId="5190E4DB" w14:textId="77777777" w:rsidR="00770414" w:rsidRPr="003B459E" w:rsidRDefault="00770414" w:rsidP="007963DF">
      <w:pPr>
        <w:ind w:left="709" w:right="709"/>
        <w:jc w:val="both"/>
        <w:rPr>
          <w:rFonts w:ascii="Verdana" w:eastAsia="Century Gothic" w:hAnsi="Verdana" w:cs="Arial"/>
          <w:sz w:val="20"/>
          <w:szCs w:val="20"/>
        </w:rPr>
      </w:pPr>
    </w:p>
    <w:p w14:paraId="41B429F3" w14:textId="6E520101" w:rsidR="007963DF" w:rsidRPr="003B459E" w:rsidRDefault="007963DF" w:rsidP="00770414">
      <w:pPr>
        <w:ind w:left="709" w:right="709"/>
        <w:jc w:val="both"/>
        <w:rPr>
          <w:rFonts w:ascii="Verdana" w:eastAsia="Century Gothic" w:hAnsi="Verdana" w:cs="Arial"/>
          <w:sz w:val="20"/>
          <w:szCs w:val="20"/>
        </w:rPr>
      </w:pPr>
      <w:r w:rsidRPr="003B459E">
        <w:rPr>
          <w:rFonts w:ascii="Verdana" w:eastAsia="Century Gothic" w:hAnsi="Verdana" w:cs="Arial"/>
          <w:sz w:val="20"/>
          <w:szCs w:val="20"/>
        </w:rPr>
        <w:t>“Aunar esfuerzos técnicos, administrativos, financieros, organizacionales y comunitarios para desarrollar conjuntamente el programa de promoción, preservación y fortalecimiento de las manifestaciones culturales y tradicionales del municipio mediante la realización de sus fiestas tradicionales”,</w:t>
      </w:r>
      <w:r w:rsidR="00770414" w:rsidRPr="003B459E">
        <w:rPr>
          <w:rFonts w:ascii="Verdana" w:eastAsia="Century Gothic" w:hAnsi="Verdana" w:cs="Arial"/>
          <w:sz w:val="20"/>
          <w:szCs w:val="20"/>
        </w:rPr>
        <w:t xml:space="preserve"> </w:t>
      </w:r>
      <w:r w:rsidRPr="003B459E">
        <w:rPr>
          <w:rFonts w:ascii="Verdana" w:eastAsia="Century Gothic" w:hAnsi="Verdana" w:cs="Arial"/>
          <w:sz w:val="20"/>
          <w:szCs w:val="20"/>
        </w:rPr>
        <w:t>cuando dentro del correspondiente plan de actividades se contemplen componentes logísticos necesarios para la realización de dichas fiestas?</w:t>
      </w:r>
    </w:p>
    <w:p w14:paraId="45C4FC03" w14:textId="77777777" w:rsidR="00770414" w:rsidRPr="003B459E" w:rsidRDefault="00770414" w:rsidP="00770414">
      <w:pPr>
        <w:ind w:left="709" w:right="709"/>
        <w:jc w:val="both"/>
        <w:rPr>
          <w:rFonts w:ascii="Verdana" w:eastAsia="Century Gothic" w:hAnsi="Verdana" w:cs="Arial"/>
          <w:sz w:val="20"/>
          <w:szCs w:val="20"/>
        </w:rPr>
      </w:pPr>
    </w:p>
    <w:p w14:paraId="37BA22D3"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QUINTO. ¿Cambiaría la respuesta si la entidad territorial aporta la totalidad o la mayor parte de los recursos económicos y la Junta aporta capacidad organizativa, bienes, servicios, trabajo comunitario, gestión, voluntariado u otros aportes en especie?</w:t>
      </w:r>
    </w:p>
    <w:p w14:paraId="23B5009B" w14:textId="77777777" w:rsidR="00770414" w:rsidRPr="003B459E" w:rsidRDefault="00770414" w:rsidP="007963DF">
      <w:pPr>
        <w:ind w:left="709" w:right="709"/>
        <w:jc w:val="both"/>
        <w:rPr>
          <w:rFonts w:ascii="Verdana" w:eastAsia="Century Gothic" w:hAnsi="Verdana" w:cs="Arial"/>
          <w:sz w:val="20"/>
          <w:szCs w:val="20"/>
        </w:rPr>
      </w:pPr>
    </w:p>
    <w:p w14:paraId="7AD6C06E" w14:textId="77777777" w:rsidR="007963DF" w:rsidRPr="003B459E" w:rsidRDefault="007963DF" w:rsidP="007963DF">
      <w:pPr>
        <w:ind w:left="709" w:right="709"/>
        <w:jc w:val="both"/>
        <w:rPr>
          <w:rFonts w:ascii="Verdana" w:eastAsia="Century Gothic" w:hAnsi="Verdana" w:cs="Arial"/>
          <w:b/>
          <w:bCs/>
          <w:sz w:val="20"/>
          <w:szCs w:val="20"/>
        </w:rPr>
      </w:pPr>
      <w:r w:rsidRPr="003B459E">
        <w:rPr>
          <w:rFonts w:ascii="Verdana" w:eastAsia="Century Gothic" w:hAnsi="Verdana" w:cs="Arial"/>
          <w:b/>
          <w:bCs/>
          <w:sz w:val="20"/>
          <w:szCs w:val="20"/>
        </w:rPr>
        <w:t>E. CONVENIOS DE ASOCIACIÓN</w:t>
      </w:r>
    </w:p>
    <w:p w14:paraId="7AECB6DD" w14:textId="77777777" w:rsidR="00770414" w:rsidRPr="003B459E" w:rsidRDefault="00770414" w:rsidP="007963DF">
      <w:pPr>
        <w:ind w:left="709" w:right="709"/>
        <w:jc w:val="both"/>
        <w:rPr>
          <w:rFonts w:ascii="Verdana" w:eastAsia="Century Gothic" w:hAnsi="Verdana" w:cs="Arial"/>
          <w:sz w:val="20"/>
          <w:szCs w:val="20"/>
        </w:rPr>
      </w:pPr>
    </w:p>
    <w:p w14:paraId="1BA13C9E"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SEXTO. ¿Una Junta de Acción Comunal, atendiendo a su naturaleza de organización comunitaria sin ánimo de lucro, puede celebrar un convenio de asociación con una entidad territorial al amparo del artículo 96 de la Ley 489 de 1998 y del artículo 5 del Decreto 092 de 2017?</w:t>
      </w:r>
    </w:p>
    <w:p w14:paraId="623FE828" w14:textId="77777777" w:rsidR="00770414" w:rsidRPr="003B459E" w:rsidRDefault="00770414" w:rsidP="007963DF">
      <w:pPr>
        <w:ind w:left="709" w:right="709"/>
        <w:jc w:val="both"/>
        <w:rPr>
          <w:rFonts w:ascii="Verdana" w:eastAsia="Century Gothic" w:hAnsi="Verdana" w:cs="Arial"/>
          <w:sz w:val="20"/>
          <w:szCs w:val="20"/>
        </w:rPr>
      </w:pPr>
    </w:p>
    <w:p w14:paraId="139F283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SÉPTIMO. Si la Junta compromete recursos propios en dinero equivalentes o superiores al treinta por ciento (30 %) del valor total del convenio, ¿puede celebrarse el convenio sin adelantar proceso competitivo?</w:t>
      </w:r>
    </w:p>
    <w:p w14:paraId="2B19246A" w14:textId="77777777" w:rsidR="00770414" w:rsidRPr="003B459E" w:rsidRDefault="00770414" w:rsidP="007963DF">
      <w:pPr>
        <w:ind w:left="709" w:right="709"/>
        <w:jc w:val="both"/>
        <w:rPr>
          <w:rFonts w:ascii="Verdana" w:eastAsia="Century Gothic" w:hAnsi="Verdana" w:cs="Arial"/>
          <w:sz w:val="20"/>
          <w:szCs w:val="20"/>
        </w:rPr>
      </w:pPr>
    </w:p>
    <w:p w14:paraId="5BD72710"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OCTAVO. ¿El aporte del treinta por ciento (30 %) requerido para exceptuar el proceso competitivo debe efectuarse exclusivamente en dinero o pueden contabilizarse aportes en especie, trabajo comunitario, voluntariado, bienes, servicios o capacidad instalada?</w:t>
      </w:r>
    </w:p>
    <w:p w14:paraId="76B046F2" w14:textId="77777777" w:rsidR="00770414" w:rsidRPr="003B459E" w:rsidRDefault="00770414" w:rsidP="007963DF">
      <w:pPr>
        <w:ind w:left="709" w:right="709"/>
        <w:jc w:val="both"/>
        <w:rPr>
          <w:rFonts w:ascii="Verdana" w:eastAsia="Century Gothic" w:hAnsi="Verdana" w:cs="Arial"/>
          <w:sz w:val="20"/>
          <w:szCs w:val="20"/>
        </w:rPr>
      </w:pPr>
    </w:p>
    <w:p w14:paraId="68028387"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TRIGÉSIMO NOVENO. Si existen varias Juntas, ASOCOMUNALES u otras entidades sin ánimo de lucro que manifiestan estar en capacidad de efectuar dicho aporte, ¿qué procedimiento debe adelantar la entidad territorial para garantizar la selección objetiva?</w:t>
      </w:r>
    </w:p>
    <w:p w14:paraId="3EE0BD7D" w14:textId="77777777" w:rsidR="0037035A" w:rsidRPr="003B459E" w:rsidRDefault="0037035A" w:rsidP="007963DF">
      <w:pPr>
        <w:ind w:left="709" w:right="709"/>
        <w:jc w:val="both"/>
        <w:rPr>
          <w:rFonts w:ascii="Verdana" w:eastAsia="Century Gothic" w:hAnsi="Verdana" w:cs="Arial"/>
          <w:sz w:val="20"/>
          <w:szCs w:val="20"/>
        </w:rPr>
      </w:pPr>
    </w:p>
    <w:p w14:paraId="437CAF67" w14:textId="77777777" w:rsidR="007963DF" w:rsidRPr="003B459E" w:rsidRDefault="007963DF" w:rsidP="007963DF">
      <w:pPr>
        <w:ind w:left="709" w:right="709"/>
        <w:jc w:val="both"/>
        <w:rPr>
          <w:rFonts w:ascii="Verdana" w:eastAsia="Century Gothic" w:hAnsi="Verdana" w:cs="Arial"/>
          <w:b/>
          <w:bCs/>
          <w:sz w:val="20"/>
          <w:szCs w:val="20"/>
        </w:rPr>
      </w:pPr>
      <w:r w:rsidRPr="003B459E">
        <w:rPr>
          <w:rFonts w:ascii="Verdana" w:eastAsia="Century Gothic" w:hAnsi="Verdana" w:cs="Arial"/>
          <w:b/>
          <w:bCs/>
          <w:sz w:val="20"/>
          <w:szCs w:val="20"/>
        </w:rPr>
        <w:lastRenderedPageBreak/>
        <w:t>F. SUPUESTO HIPOTÉTICO CONCRETO</w:t>
      </w:r>
    </w:p>
    <w:p w14:paraId="714C3EB2" w14:textId="77777777" w:rsidR="0037035A" w:rsidRPr="003B459E" w:rsidRDefault="0037035A" w:rsidP="007963DF">
      <w:pPr>
        <w:ind w:left="709" w:right="709"/>
        <w:jc w:val="both"/>
        <w:rPr>
          <w:rFonts w:ascii="Verdana" w:eastAsia="Century Gothic" w:hAnsi="Verdana" w:cs="Arial"/>
          <w:sz w:val="20"/>
          <w:szCs w:val="20"/>
        </w:rPr>
      </w:pPr>
    </w:p>
    <w:p w14:paraId="2161E8B3"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Con el propósito exclusivo de obtener una orientación jurídica general y evitar que la consulta sea respondida únicamente en términos abstractos, se plantea el siguiente supuesto:</w:t>
      </w:r>
    </w:p>
    <w:p w14:paraId="5D4C3A30" w14:textId="77777777" w:rsidR="0037035A" w:rsidRPr="003B459E" w:rsidRDefault="0037035A" w:rsidP="007963DF">
      <w:pPr>
        <w:ind w:left="709" w:right="709"/>
        <w:jc w:val="both"/>
        <w:rPr>
          <w:rFonts w:ascii="Verdana" w:eastAsia="Century Gothic" w:hAnsi="Verdana" w:cs="Arial"/>
          <w:sz w:val="20"/>
          <w:szCs w:val="20"/>
        </w:rPr>
      </w:pPr>
    </w:p>
    <w:p w14:paraId="4428CC2E"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Un municipio pretende contratar durante una vigencia la LOGÍSTICA INTEGRAL necesaria para desarrollar las diferentes actividades contempladas en su Plan de Desarrollo.</w:t>
      </w:r>
    </w:p>
    <w:p w14:paraId="38C11D8F" w14:textId="77777777" w:rsidR="0037035A" w:rsidRPr="003B459E" w:rsidRDefault="0037035A" w:rsidP="007963DF">
      <w:pPr>
        <w:ind w:left="709" w:right="709"/>
        <w:jc w:val="both"/>
        <w:rPr>
          <w:rFonts w:ascii="Verdana" w:eastAsia="Century Gothic" w:hAnsi="Verdana" w:cs="Arial"/>
          <w:sz w:val="20"/>
          <w:szCs w:val="20"/>
        </w:rPr>
      </w:pPr>
    </w:p>
    <w:p w14:paraId="6C2DE08B" w14:textId="148CD557" w:rsidR="007963DF" w:rsidRPr="003B459E" w:rsidRDefault="007963DF" w:rsidP="0037035A">
      <w:pPr>
        <w:ind w:left="709" w:right="709"/>
        <w:jc w:val="both"/>
        <w:rPr>
          <w:rFonts w:ascii="Verdana" w:eastAsia="Century Gothic" w:hAnsi="Verdana" w:cs="Arial"/>
          <w:sz w:val="20"/>
          <w:szCs w:val="20"/>
        </w:rPr>
      </w:pPr>
      <w:r w:rsidRPr="003B459E">
        <w:rPr>
          <w:rFonts w:ascii="Verdana" w:eastAsia="Century Gothic" w:hAnsi="Verdana" w:cs="Arial"/>
          <w:sz w:val="20"/>
          <w:szCs w:val="20"/>
        </w:rPr>
        <w:t>La necesidad comprende fiestas tradicionales y populares, eventos culturales, actividades deportivas y recreativas, jornadas comunitarias, eventos institucionales, actividades sociales y demás eventos desarrollados por sus diferentes secretarías y dependencias.</w:t>
      </w:r>
    </w:p>
    <w:p w14:paraId="4B51D40E" w14:textId="77777777" w:rsidR="0037035A" w:rsidRPr="003B459E" w:rsidRDefault="0037035A" w:rsidP="0037035A">
      <w:pPr>
        <w:ind w:left="709" w:right="709"/>
        <w:jc w:val="both"/>
        <w:rPr>
          <w:rFonts w:ascii="Verdana" w:eastAsia="Century Gothic" w:hAnsi="Verdana" w:cs="Arial"/>
          <w:sz w:val="20"/>
          <w:szCs w:val="20"/>
        </w:rPr>
      </w:pPr>
    </w:p>
    <w:p w14:paraId="370C1A8D"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La operación requiere, dependiendo de cada evento, tarimas, sonido, iluminación, carpas, mesas, sillas, transporte, alimentación, hospedaje, personal operativo, producción, publicidad, montaje, desmontaje y demás componentes logísticos necesarios.</w:t>
      </w:r>
    </w:p>
    <w:p w14:paraId="5EAFC664" w14:textId="77777777" w:rsidR="0037035A" w:rsidRPr="003B459E" w:rsidRDefault="0037035A" w:rsidP="007963DF">
      <w:pPr>
        <w:ind w:left="709" w:right="709"/>
        <w:jc w:val="both"/>
        <w:rPr>
          <w:rFonts w:ascii="Verdana" w:eastAsia="Century Gothic" w:hAnsi="Verdana" w:cs="Arial"/>
          <w:sz w:val="20"/>
          <w:szCs w:val="20"/>
        </w:rPr>
      </w:pPr>
    </w:p>
    <w:p w14:paraId="666355F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En el municipio existe una Junta de Acción Comunal legalmente constituida e interesada en ejecutar estas actividades. Su ámbito territorial corresponde a una determinada vereda o barrio, pero las actividades objeto del eventual contrato se desarrollarían en diferentes lugares del municipio, incluida la cabecera municipal y otras veredas o barrios.</w:t>
      </w:r>
    </w:p>
    <w:p w14:paraId="6FC51907" w14:textId="77777777" w:rsidR="0037035A" w:rsidRPr="003B459E" w:rsidRDefault="0037035A" w:rsidP="007963DF">
      <w:pPr>
        <w:ind w:left="709" w:right="709"/>
        <w:jc w:val="both"/>
        <w:rPr>
          <w:rFonts w:ascii="Verdana" w:eastAsia="Century Gothic" w:hAnsi="Verdana" w:cs="Arial"/>
          <w:sz w:val="20"/>
          <w:szCs w:val="20"/>
        </w:rPr>
      </w:pPr>
    </w:p>
    <w:p w14:paraId="0BE67852"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Con fundamento en este supuesto se consulta:</w:t>
      </w:r>
    </w:p>
    <w:p w14:paraId="7066F7F6" w14:textId="77777777" w:rsidR="0037035A" w:rsidRPr="003B459E" w:rsidRDefault="0037035A" w:rsidP="007963DF">
      <w:pPr>
        <w:ind w:left="709" w:right="709"/>
        <w:jc w:val="both"/>
        <w:rPr>
          <w:rFonts w:ascii="Verdana" w:eastAsia="Century Gothic" w:hAnsi="Verdana" w:cs="Arial"/>
          <w:sz w:val="20"/>
          <w:szCs w:val="20"/>
        </w:rPr>
      </w:pPr>
    </w:p>
    <w:p w14:paraId="23A2981D"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CUADRAGÉSIMO. ¿Puede jurídicamente dicha Junta de Acción Comunal contratar y ejecutar la operación logística integral descrita?</w:t>
      </w:r>
    </w:p>
    <w:p w14:paraId="069E35FD" w14:textId="77777777" w:rsidR="00777B0D" w:rsidRPr="003B459E" w:rsidRDefault="00777B0D" w:rsidP="007963DF">
      <w:pPr>
        <w:ind w:left="709" w:right="709"/>
        <w:jc w:val="both"/>
        <w:rPr>
          <w:rFonts w:ascii="Verdana" w:eastAsia="Century Gothic" w:hAnsi="Verdana" w:cs="Arial"/>
          <w:sz w:val="20"/>
          <w:szCs w:val="20"/>
        </w:rPr>
      </w:pPr>
    </w:p>
    <w:p w14:paraId="2FB25E76"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CUADRAGÉSIMO PRIMERO. ¿Puede atender mediante un solo contrato las necesidades logísticas de las diferentes secretarías, programas, proyectos y eventos municipales durante una determinada vigencia?</w:t>
      </w:r>
    </w:p>
    <w:p w14:paraId="096D55EB" w14:textId="77777777" w:rsidR="00777B0D" w:rsidRPr="003B459E" w:rsidRDefault="00777B0D" w:rsidP="007963DF">
      <w:pPr>
        <w:ind w:left="709" w:right="709"/>
        <w:jc w:val="both"/>
        <w:rPr>
          <w:rFonts w:ascii="Verdana" w:eastAsia="Century Gothic" w:hAnsi="Verdana" w:cs="Arial"/>
          <w:sz w:val="20"/>
          <w:szCs w:val="20"/>
        </w:rPr>
      </w:pPr>
    </w:p>
    <w:p w14:paraId="68DEAB1C"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CUADRAGÉSIMO SEGUNDO. ¿Puede ejecutar tales servicios en todo el territorio municipal pese a que su ámbito territorial corresponda específicamente a una determinada vereda o barrio?</w:t>
      </w:r>
    </w:p>
    <w:p w14:paraId="21269E4D" w14:textId="77777777" w:rsidR="00777B0D" w:rsidRPr="003B459E" w:rsidRDefault="00777B0D" w:rsidP="007963DF">
      <w:pPr>
        <w:ind w:left="709" w:right="709"/>
        <w:jc w:val="both"/>
        <w:rPr>
          <w:rFonts w:ascii="Verdana" w:eastAsia="Century Gothic" w:hAnsi="Verdana" w:cs="Arial"/>
          <w:sz w:val="20"/>
          <w:szCs w:val="20"/>
        </w:rPr>
      </w:pPr>
    </w:p>
    <w:p w14:paraId="41572DA2"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CUADRAGÉSIMO TERCERO. ¿Puede la entidad territorial escoger directamente dicha Junta de Acción Comunal para ejecutar esa operación logística integral?</w:t>
      </w:r>
    </w:p>
    <w:p w14:paraId="79A1710C" w14:textId="77777777" w:rsidR="00777B0D" w:rsidRPr="003B459E" w:rsidRDefault="00777B0D" w:rsidP="007963DF">
      <w:pPr>
        <w:ind w:left="709" w:right="709"/>
        <w:jc w:val="both"/>
        <w:rPr>
          <w:rFonts w:ascii="Verdana" w:eastAsia="Century Gothic" w:hAnsi="Verdana" w:cs="Arial"/>
          <w:sz w:val="20"/>
          <w:szCs w:val="20"/>
        </w:rPr>
      </w:pPr>
    </w:p>
    <w:p w14:paraId="487E7F3C"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 xml:space="preserve">CUADRAGÉSIMO CUARTO. En caso afirmativo, ¿cuál es específicamente la disposición legal que permite prescindir de un procedimiento competitivo, </w:t>
      </w:r>
      <w:r w:rsidRPr="003B459E">
        <w:rPr>
          <w:rFonts w:ascii="Verdana" w:eastAsia="Century Gothic" w:hAnsi="Verdana" w:cs="Arial"/>
          <w:sz w:val="20"/>
          <w:szCs w:val="20"/>
        </w:rPr>
        <w:lastRenderedPageBreak/>
        <w:t>cuál sería la tipología del contrato o convenio y cuáles son los requisitos que deben acreditarse?</w:t>
      </w:r>
    </w:p>
    <w:p w14:paraId="20414357" w14:textId="77777777" w:rsidR="00777B0D" w:rsidRPr="003B459E" w:rsidRDefault="00777B0D" w:rsidP="007963DF">
      <w:pPr>
        <w:ind w:left="709" w:right="709"/>
        <w:jc w:val="both"/>
        <w:rPr>
          <w:rFonts w:ascii="Verdana" w:eastAsia="Century Gothic" w:hAnsi="Verdana" w:cs="Arial"/>
          <w:sz w:val="20"/>
          <w:szCs w:val="20"/>
        </w:rPr>
      </w:pPr>
    </w:p>
    <w:p w14:paraId="37E40367"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CUADRAGÉSIMO QUINTO. Si no existe causal de contratación directa para la operación logística integral descrita, ¿puede la Junta participar como oferente en el procedimiento de selección correspondiente y qué requisitos particulares derivados de su naturaleza jurídica deben verificarse?</w:t>
      </w:r>
    </w:p>
    <w:p w14:paraId="446E5854" w14:textId="77777777" w:rsidR="00777B0D" w:rsidRPr="003B459E" w:rsidRDefault="00777B0D" w:rsidP="007963DF">
      <w:pPr>
        <w:ind w:left="709" w:right="709"/>
        <w:jc w:val="both"/>
        <w:rPr>
          <w:rFonts w:ascii="Verdana" w:eastAsia="Century Gothic" w:hAnsi="Verdana" w:cs="Arial"/>
          <w:sz w:val="20"/>
          <w:szCs w:val="20"/>
        </w:rPr>
      </w:pPr>
    </w:p>
    <w:p w14:paraId="416361C1"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CUADRAGÉSIMO SEXTO. ¿Cambiarían las respuestas anteriores si, en lugar de una Junta de Acción Comunal de primer grado, el eventual contratista fuera una ASOCIACIÓN DE JUNTAS DE ACCIÓN COMUNAL – ASOCOMUNAL cuyo ámbito territorial comprenda todo el municipio?</w:t>
      </w:r>
    </w:p>
    <w:p w14:paraId="10CD53AE" w14:textId="77777777" w:rsidR="00777B0D" w:rsidRPr="003B459E" w:rsidRDefault="00777B0D" w:rsidP="007963DF">
      <w:pPr>
        <w:ind w:left="709" w:right="709"/>
        <w:jc w:val="both"/>
        <w:rPr>
          <w:rFonts w:ascii="Verdana" w:eastAsia="Century Gothic" w:hAnsi="Verdana" w:cs="Arial"/>
          <w:sz w:val="20"/>
          <w:szCs w:val="20"/>
        </w:rPr>
      </w:pPr>
    </w:p>
    <w:p w14:paraId="1CAA1310"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CUADRAGÉSIMO SÉPTIMO. ¿Cambiarían las respuestas si, en lugar de contratar la logística de todos los eventos municipales durante la vigencia, el objeto contractual se limitara exclusivamente a la organización y ejecución de las fiestas tradicionales o populares del municipio?</w:t>
      </w:r>
    </w:p>
    <w:p w14:paraId="6FC1F7BA" w14:textId="77777777" w:rsidR="00777B0D" w:rsidRPr="003B459E" w:rsidRDefault="00777B0D" w:rsidP="007963DF">
      <w:pPr>
        <w:ind w:left="709" w:right="709"/>
        <w:jc w:val="both"/>
        <w:rPr>
          <w:rFonts w:ascii="Verdana" w:eastAsia="Century Gothic" w:hAnsi="Verdana" w:cs="Arial"/>
          <w:sz w:val="20"/>
          <w:szCs w:val="20"/>
        </w:rPr>
      </w:pPr>
    </w:p>
    <w:p w14:paraId="43AA2082"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CUADRAGÉSIMO OCTAVO. Finalmente, ¿existe actualmente alguna disposición legal o reglamentaria que permita a una entidad territorial contratar DIRECTAMENTE con una Junta de Acción Comunal la prestación de servicios de operación logística integral por la sola circunstancia de tratarse de un organismo de acción comunal?</w:t>
      </w:r>
    </w:p>
    <w:p w14:paraId="41C41DB7" w14:textId="77777777" w:rsidR="00777B0D" w:rsidRPr="003B459E" w:rsidRDefault="00777B0D" w:rsidP="007963DF">
      <w:pPr>
        <w:ind w:left="709" w:right="709"/>
        <w:jc w:val="both"/>
        <w:rPr>
          <w:rFonts w:ascii="Verdana" w:eastAsia="Century Gothic" w:hAnsi="Verdana" w:cs="Arial"/>
          <w:sz w:val="20"/>
          <w:szCs w:val="20"/>
        </w:rPr>
      </w:pPr>
    </w:p>
    <w:p w14:paraId="70ADF0F1"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En caso afirmativo, se solicita identificar expresamente la disposición normativa habilitante, los límites de cuantía, objeto, territorialidad y demás requisitos correspondientes.</w:t>
      </w:r>
    </w:p>
    <w:p w14:paraId="04E3B30C" w14:textId="77777777" w:rsidR="00777B0D" w:rsidRPr="003B459E" w:rsidRDefault="00777B0D" w:rsidP="007963DF">
      <w:pPr>
        <w:ind w:left="709" w:right="709"/>
        <w:jc w:val="both"/>
        <w:rPr>
          <w:rFonts w:ascii="Verdana" w:eastAsia="Century Gothic" w:hAnsi="Verdana" w:cs="Arial"/>
          <w:sz w:val="20"/>
          <w:szCs w:val="20"/>
        </w:rPr>
      </w:pPr>
    </w:p>
    <w:p w14:paraId="5C0145F6" w14:textId="77777777" w:rsidR="007963DF" w:rsidRPr="003B459E" w:rsidRDefault="007963DF" w:rsidP="007963DF">
      <w:pPr>
        <w:ind w:left="709" w:right="709"/>
        <w:jc w:val="both"/>
        <w:rPr>
          <w:rFonts w:ascii="Verdana" w:eastAsia="Century Gothic" w:hAnsi="Verdana" w:cs="Arial"/>
          <w:b/>
          <w:bCs/>
          <w:sz w:val="20"/>
          <w:szCs w:val="20"/>
        </w:rPr>
      </w:pPr>
      <w:r w:rsidRPr="003B459E">
        <w:rPr>
          <w:rFonts w:ascii="Verdana" w:eastAsia="Century Gothic" w:hAnsi="Verdana" w:cs="Arial"/>
          <w:b/>
          <w:bCs/>
          <w:sz w:val="20"/>
          <w:szCs w:val="20"/>
        </w:rPr>
        <w:t>IV. SOLICITUD DE PRONUNCIAMIENTO EXPRESO</w:t>
      </w:r>
    </w:p>
    <w:p w14:paraId="1675C331" w14:textId="77777777" w:rsidR="00777B0D" w:rsidRPr="003B459E" w:rsidRDefault="00777B0D" w:rsidP="007963DF">
      <w:pPr>
        <w:ind w:left="709" w:right="709"/>
        <w:jc w:val="both"/>
        <w:rPr>
          <w:rFonts w:ascii="Verdana" w:eastAsia="Century Gothic" w:hAnsi="Verdana" w:cs="Arial"/>
          <w:sz w:val="20"/>
          <w:szCs w:val="20"/>
        </w:rPr>
      </w:pPr>
    </w:p>
    <w:p w14:paraId="37E5C450"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Atendiendo a la finalidad preventiva y de orientación jurídica de esta consulta, respetuosamente solicito que en la respuesta se diferencien expresamente:</w:t>
      </w:r>
    </w:p>
    <w:p w14:paraId="7C6B8415" w14:textId="77777777" w:rsidR="00777B0D" w:rsidRPr="003B459E" w:rsidRDefault="00777B0D" w:rsidP="007963DF">
      <w:pPr>
        <w:ind w:left="709" w:right="709"/>
        <w:jc w:val="both"/>
        <w:rPr>
          <w:rFonts w:ascii="Verdana" w:eastAsia="Century Gothic" w:hAnsi="Verdana" w:cs="Arial"/>
          <w:sz w:val="20"/>
          <w:szCs w:val="20"/>
        </w:rPr>
      </w:pPr>
    </w:p>
    <w:p w14:paraId="57941017" w14:textId="59E1610E" w:rsidR="00350394" w:rsidRPr="003B459E" w:rsidRDefault="008C5F60" w:rsidP="00F34546">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1. </w:t>
      </w:r>
      <w:r w:rsidR="007963DF" w:rsidRPr="003B459E">
        <w:rPr>
          <w:rFonts w:ascii="Verdana" w:eastAsia="Century Gothic" w:hAnsi="Verdana" w:cs="Arial"/>
          <w:sz w:val="20"/>
          <w:szCs w:val="20"/>
        </w:rPr>
        <w:t>La capacidad jurídica de las Juntas de Acción Comunal para suministrar bienes y prestar servicios.</w:t>
      </w:r>
    </w:p>
    <w:p w14:paraId="1EC9A134" w14:textId="71B96DE6" w:rsidR="00F34546" w:rsidRPr="003B459E" w:rsidRDefault="00350394" w:rsidP="00F34546">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2. </w:t>
      </w:r>
      <w:r w:rsidR="007963DF" w:rsidRPr="003B459E">
        <w:rPr>
          <w:rFonts w:ascii="Verdana" w:eastAsia="Century Gothic" w:hAnsi="Verdana" w:cs="Arial"/>
          <w:sz w:val="20"/>
          <w:szCs w:val="20"/>
        </w:rPr>
        <w:t>Los tipos o categorías de bienes y servicios que pueden prestar.</w:t>
      </w:r>
    </w:p>
    <w:p w14:paraId="3DA1A378" w14:textId="77777777" w:rsidR="00350394" w:rsidRPr="003B459E" w:rsidRDefault="00350394" w:rsidP="00350394">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3. </w:t>
      </w:r>
      <w:r w:rsidR="007963DF" w:rsidRPr="003B459E">
        <w:rPr>
          <w:rFonts w:ascii="Verdana" w:eastAsia="Century Gothic" w:hAnsi="Verdana" w:cs="Arial"/>
          <w:sz w:val="20"/>
          <w:szCs w:val="20"/>
        </w:rPr>
        <w:t>La posibilidad de desarrollar operaciones logísticas integrales.</w:t>
      </w:r>
    </w:p>
    <w:p w14:paraId="778FF234" w14:textId="77777777" w:rsidR="00933ED1" w:rsidRPr="003B459E" w:rsidRDefault="00350394"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4. </w:t>
      </w:r>
      <w:r w:rsidR="007963DF" w:rsidRPr="003B459E">
        <w:rPr>
          <w:rFonts w:ascii="Verdana" w:eastAsia="Century Gothic" w:hAnsi="Verdana" w:cs="Arial"/>
          <w:sz w:val="20"/>
          <w:szCs w:val="20"/>
        </w:rPr>
        <w:t>La posibilidad de atender mediante un mismo contrato diferentes eventos, programas y dependencias de una administración municipal.</w:t>
      </w:r>
    </w:p>
    <w:p w14:paraId="2F7DAE56" w14:textId="77777777" w:rsidR="00933ED1" w:rsidRPr="003B459E" w:rsidRDefault="00933ED1"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5. </w:t>
      </w:r>
      <w:r w:rsidR="007963DF" w:rsidRPr="003B459E">
        <w:rPr>
          <w:rFonts w:ascii="Verdana" w:eastAsia="Century Gothic" w:hAnsi="Verdana" w:cs="Arial"/>
          <w:sz w:val="20"/>
          <w:szCs w:val="20"/>
        </w:rPr>
        <w:t>El alcance de la territorialidad de las Juntas de Acción Comunal respecto de la ejecución de contratos.</w:t>
      </w:r>
    </w:p>
    <w:p w14:paraId="6B65AC68" w14:textId="77777777" w:rsidR="00933ED1" w:rsidRPr="003B459E" w:rsidRDefault="00933ED1"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6. </w:t>
      </w:r>
      <w:r w:rsidR="007963DF" w:rsidRPr="003B459E">
        <w:rPr>
          <w:rFonts w:ascii="Verdana" w:eastAsia="Century Gothic" w:hAnsi="Verdana" w:cs="Arial"/>
          <w:sz w:val="20"/>
          <w:szCs w:val="20"/>
        </w:rPr>
        <w:t>Las diferencias existentes entre una JAC y una ASOCOMUNAL respecto de su ámbito territorial.</w:t>
      </w:r>
    </w:p>
    <w:p w14:paraId="0F0CEC54" w14:textId="77777777" w:rsidR="00933ED1" w:rsidRPr="003B459E" w:rsidRDefault="00933ED1"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7. </w:t>
      </w:r>
      <w:r w:rsidR="007963DF" w:rsidRPr="003B459E">
        <w:rPr>
          <w:rFonts w:ascii="Verdana" w:eastAsia="Century Gothic" w:hAnsi="Verdana" w:cs="Arial"/>
          <w:sz w:val="20"/>
          <w:szCs w:val="20"/>
        </w:rPr>
        <w:t>La diferencia entre tener capacidad jurídica para contratar y existir una causal legal que permita la contratación directa.</w:t>
      </w:r>
    </w:p>
    <w:p w14:paraId="352446C0" w14:textId="77777777" w:rsidR="00933ED1" w:rsidRPr="003B459E" w:rsidRDefault="00933ED1"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lastRenderedPageBreak/>
        <w:t xml:space="preserve">8. </w:t>
      </w:r>
      <w:r w:rsidR="007963DF" w:rsidRPr="003B459E">
        <w:rPr>
          <w:rFonts w:ascii="Verdana" w:eastAsia="Century Gothic" w:hAnsi="Verdana" w:cs="Arial"/>
          <w:sz w:val="20"/>
          <w:szCs w:val="20"/>
        </w:rPr>
        <w:t>Los convenios solidarios para programas y actividades y los convenios solidarios para ejecución de obras.</w:t>
      </w:r>
    </w:p>
    <w:p w14:paraId="1657277A" w14:textId="77777777" w:rsidR="00933ED1" w:rsidRPr="003B459E" w:rsidRDefault="00933ED1"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9. </w:t>
      </w:r>
      <w:r w:rsidR="007963DF" w:rsidRPr="003B459E">
        <w:rPr>
          <w:rFonts w:ascii="Verdana" w:eastAsia="Century Gothic" w:hAnsi="Verdana" w:cs="Arial"/>
          <w:sz w:val="20"/>
          <w:szCs w:val="20"/>
        </w:rPr>
        <w:t>Los convenios de asociación regulados por el artículo 96 de la Ley 489 de 1998 y el Decreto 092 de 2017.</w:t>
      </w:r>
    </w:p>
    <w:p w14:paraId="62B079C0" w14:textId="77777777" w:rsidR="00933ED1" w:rsidRPr="003B459E" w:rsidRDefault="00933ED1"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10. </w:t>
      </w:r>
      <w:r w:rsidR="007963DF" w:rsidRPr="003B459E">
        <w:rPr>
          <w:rFonts w:ascii="Verdana" w:eastAsia="Century Gothic" w:hAnsi="Verdana" w:cs="Arial"/>
          <w:sz w:val="20"/>
          <w:szCs w:val="20"/>
        </w:rPr>
        <w:t>Los contratos estatales conmutativos cuyo objeto corresponde a la adquisición de servicios de operación logística.</w:t>
      </w:r>
    </w:p>
    <w:p w14:paraId="3CC3706D" w14:textId="77777777" w:rsidR="00933ED1" w:rsidRPr="003B459E" w:rsidRDefault="00933ED1"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11. </w:t>
      </w:r>
      <w:r w:rsidR="007963DF" w:rsidRPr="003B459E">
        <w:rPr>
          <w:rFonts w:ascii="Verdana" w:eastAsia="Century Gothic" w:hAnsi="Verdana" w:cs="Arial"/>
          <w:sz w:val="20"/>
          <w:szCs w:val="20"/>
        </w:rPr>
        <w:t>El alcance actualmente vigente de los artículos 63 y 95 de la Ley 2166 de 2021.</w:t>
      </w:r>
    </w:p>
    <w:p w14:paraId="7C255020" w14:textId="18BDADE1" w:rsidR="007963DF" w:rsidRPr="003B459E" w:rsidRDefault="00933ED1" w:rsidP="00933ED1">
      <w:pPr>
        <w:ind w:left="708" w:right="709"/>
        <w:jc w:val="both"/>
        <w:rPr>
          <w:rFonts w:ascii="Verdana" w:eastAsia="Century Gothic" w:hAnsi="Verdana" w:cs="Arial"/>
          <w:sz w:val="20"/>
          <w:szCs w:val="20"/>
        </w:rPr>
      </w:pPr>
      <w:r w:rsidRPr="003B459E">
        <w:rPr>
          <w:rFonts w:ascii="Verdana" w:eastAsia="Century Gothic" w:hAnsi="Verdana" w:cs="Arial"/>
          <w:sz w:val="20"/>
          <w:szCs w:val="20"/>
        </w:rPr>
        <w:t xml:space="preserve">12. </w:t>
      </w:r>
      <w:r w:rsidR="007963DF" w:rsidRPr="003B459E">
        <w:rPr>
          <w:rFonts w:ascii="Verdana" w:eastAsia="Century Gothic" w:hAnsi="Verdana" w:cs="Arial"/>
          <w:sz w:val="20"/>
          <w:szCs w:val="20"/>
        </w:rPr>
        <w:t>Las disposiciones legales o reglamentarias que, de existir, permiten prescindir de un procedimiento competitivo en cada una de las hipótesis consultadas.</w:t>
      </w:r>
    </w:p>
    <w:p w14:paraId="54940296" w14:textId="77777777" w:rsidR="008C5F60" w:rsidRPr="003B459E" w:rsidRDefault="008C5F60" w:rsidP="008C5F60">
      <w:pPr>
        <w:ind w:left="720" w:right="709"/>
        <w:jc w:val="both"/>
        <w:rPr>
          <w:rFonts w:ascii="Verdana" w:eastAsia="Century Gothic" w:hAnsi="Verdana" w:cs="Arial"/>
          <w:sz w:val="20"/>
          <w:szCs w:val="20"/>
        </w:rPr>
      </w:pPr>
    </w:p>
    <w:p w14:paraId="3E7FC7D2" w14:textId="77777777" w:rsidR="007963DF" w:rsidRPr="003B459E" w:rsidRDefault="007963DF" w:rsidP="007963DF">
      <w:pPr>
        <w:ind w:left="709" w:right="709"/>
        <w:jc w:val="both"/>
        <w:rPr>
          <w:rFonts w:ascii="Verdana" w:eastAsia="Century Gothic" w:hAnsi="Verdana" w:cs="Arial"/>
          <w:b/>
          <w:bCs/>
          <w:sz w:val="20"/>
          <w:szCs w:val="20"/>
        </w:rPr>
      </w:pPr>
      <w:r w:rsidRPr="003B459E">
        <w:rPr>
          <w:rFonts w:ascii="Verdana" w:eastAsia="Century Gothic" w:hAnsi="Verdana" w:cs="Arial"/>
          <w:b/>
          <w:bCs/>
          <w:sz w:val="20"/>
          <w:szCs w:val="20"/>
        </w:rPr>
        <w:t>V. PETICIONES</w:t>
      </w:r>
    </w:p>
    <w:p w14:paraId="67F83DF6" w14:textId="77777777" w:rsidR="00933ED1" w:rsidRPr="003B459E" w:rsidRDefault="00933ED1" w:rsidP="007963DF">
      <w:pPr>
        <w:ind w:left="709" w:right="709"/>
        <w:jc w:val="both"/>
        <w:rPr>
          <w:rFonts w:ascii="Verdana" w:eastAsia="Century Gothic" w:hAnsi="Verdana" w:cs="Arial"/>
          <w:b/>
          <w:bCs/>
          <w:sz w:val="20"/>
          <w:szCs w:val="20"/>
        </w:rPr>
      </w:pPr>
    </w:p>
    <w:p w14:paraId="4721A838"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PRIMERO. Emitir concepto jurídico respecto de cada uno de los interrogantes formulados.</w:t>
      </w:r>
    </w:p>
    <w:p w14:paraId="48C05199" w14:textId="77777777" w:rsidR="00933ED1" w:rsidRPr="003B459E" w:rsidRDefault="00933ED1" w:rsidP="007963DF">
      <w:pPr>
        <w:ind w:left="709" w:right="709"/>
        <w:jc w:val="both"/>
        <w:rPr>
          <w:rFonts w:ascii="Verdana" w:eastAsia="Century Gothic" w:hAnsi="Verdana" w:cs="Arial"/>
          <w:sz w:val="20"/>
          <w:szCs w:val="20"/>
        </w:rPr>
      </w:pPr>
    </w:p>
    <w:p w14:paraId="713F3984"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SEGUNDO. Identificar las disposiciones legales y reglamentarias actualmente vigentes aplicables a las hipótesis planteadas.</w:t>
      </w:r>
    </w:p>
    <w:p w14:paraId="4E1CFFCE" w14:textId="77777777" w:rsidR="00933ED1" w:rsidRPr="003B459E" w:rsidRDefault="00933ED1" w:rsidP="007963DF">
      <w:pPr>
        <w:ind w:left="709" w:right="709"/>
        <w:jc w:val="both"/>
        <w:rPr>
          <w:rFonts w:ascii="Verdana" w:eastAsia="Century Gothic" w:hAnsi="Verdana" w:cs="Arial"/>
          <w:sz w:val="20"/>
          <w:szCs w:val="20"/>
        </w:rPr>
      </w:pPr>
    </w:p>
    <w:p w14:paraId="218E809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TERCERO. Precisar expresamente si una Junta de Acción Comunal puede prestar servicios de operación logística integral a una entidad territorial y cuáles son los límites jurídicos de dicha actividad.</w:t>
      </w:r>
    </w:p>
    <w:p w14:paraId="77487788" w14:textId="77777777" w:rsidR="00933ED1" w:rsidRPr="003B459E" w:rsidRDefault="00933ED1" w:rsidP="007963DF">
      <w:pPr>
        <w:ind w:left="709" w:right="709"/>
        <w:jc w:val="both"/>
        <w:rPr>
          <w:rFonts w:ascii="Verdana" w:eastAsia="Century Gothic" w:hAnsi="Verdana" w:cs="Arial"/>
          <w:sz w:val="20"/>
          <w:szCs w:val="20"/>
        </w:rPr>
      </w:pPr>
    </w:p>
    <w:p w14:paraId="72E87354"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CUARTO. Precisar si una Junta de Acción Comunal puede atender la logística integral de las diferentes necesidades, dependencias y eventos de un municipio durante una vigencia.</w:t>
      </w:r>
    </w:p>
    <w:p w14:paraId="59D87086" w14:textId="77777777" w:rsidR="00933ED1" w:rsidRPr="003B459E" w:rsidRDefault="00933ED1" w:rsidP="007963DF">
      <w:pPr>
        <w:ind w:left="709" w:right="709"/>
        <w:jc w:val="both"/>
        <w:rPr>
          <w:rFonts w:ascii="Verdana" w:eastAsia="Century Gothic" w:hAnsi="Verdana" w:cs="Arial"/>
          <w:sz w:val="20"/>
          <w:szCs w:val="20"/>
        </w:rPr>
      </w:pPr>
    </w:p>
    <w:p w14:paraId="5A9D401F"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QUINTO. Precisar el alcance de la territorialidad de las Juntas de Acción Comunal y determinar si una Junta cuyo ámbito corresponde a una vereda, barrio o sector puede ejecutar contratos que comprendan actividades en todo el territorio municipal.</w:t>
      </w:r>
    </w:p>
    <w:p w14:paraId="403EB827" w14:textId="77777777" w:rsidR="00933ED1" w:rsidRPr="003B459E" w:rsidRDefault="00933ED1" w:rsidP="007963DF">
      <w:pPr>
        <w:ind w:left="709" w:right="709"/>
        <w:jc w:val="both"/>
        <w:rPr>
          <w:rFonts w:ascii="Verdana" w:eastAsia="Century Gothic" w:hAnsi="Verdana" w:cs="Arial"/>
          <w:sz w:val="20"/>
          <w:szCs w:val="20"/>
        </w:rPr>
      </w:pPr>
    </w:p>
    <w:p w14:paraId="5DB1C099"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SEXTO. Precisar si una ASOCOMUNAL presenta una situación jurídica diferente frente a la posibilidad de ejecutar servicios en todo el territorio municipal.</w:t>
      </w:r>
    </w:p>
    <w:p w14:paraId="3B71C1E5" w14:textId="77777777" w:rsidR="00933ED1" w:rsidRPr="003B459E" w:rsidRDefault="00933ED1" w:rsidP="007963DF">
      <w:pPr>
        <w:ind w:left="709" w:right="709"/>
        <w:jc w:val="both"/>
        <w:rPr>
          <w:rFonts w:ascii="Verdana" w:eastAsia="Century Gothic" w:hAnsi="Verdana" w:cs="Arial"/>
          <w:sz w:val="20"/>
          <w:szCs w:val="20"/>
        </w:rPr>
      </w:pPr>
    </w:p>
    <w:p w14:paraId="07369789"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SÉPTIMO. Precisar en qué eventos una entidad territorial puede celebrar directamente un contrato o convenio con una Junta de Acción Comunal para prestación de servicios y cuál es, en cada caso, la norma específica que autoriza prescindir de un procedimiento competitivo.</w:t>
      </w:r>
    </w:p>
    <w:p w14:paraId="21495920" w14:textId="77777777" w:rsidR="00933ED1" w:rsidRPr="003B459E" w:rsidRDefault="00933ED1" w:rsidP="007963DF">
      <w:pPr>
        <w:ind w:left="709" w:right="709"/>
        <w:jc w:val="both"/>
        <w:rPr>
          <w:rFonts w:ascii="Verdana" w:eastAsia="Century Gothic" w:hAnsi="Verdana" w:cs="Arial"/>
          <w:sz w:val="20"/>
          <w:szCs w:val="20"/>
        </w:rPr>
      </w:pPr>
    </w:p>
    <w:p w14:paraId="5460101A"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 xml:space="preserve">OCTAVO. Indicar los conceptos previamente expedidos por la Agencia que resulten aplicables, particularmente aquellos relacionados con territorialidad de organismos comunales, prestación de bienes y servicios, </w:t>
      </w:r>
      <w:r w:rsidRPr="003B459E">
        <w:rPr>
          <w:rFonts w:ascii="Verdana" w:eastAsia="Century Gothic" w:hAnsi="Verdana" w:cs="Arial"/>
          <w:sz w:val="20"/>
          <w:szCs w:val="20"/>
        </w:rPr>
        <w:lastRenderedPageBreak/>
        <w:t>convenios solidarios, operación logística, convenios de asociación y contratación directa.</w:t>
      </w:r>
    </w:p>
    <w:p w14:paraId="3BEA8017" w14:textId="77777777" w:rsidR="00933ED1" w:rsidRPr="003B459E" w:rsidRDefault="00933ED1" w:rsidP="007963DF">
      <w:pPr>
        <w:ind w:left="709" w:right="709"/>
        <w:jc w:val="both"/>
        <w:rPr>
          <w:rFonts w:ascii="Verdana" w:eastAsia="Century Gothic" w:hAnsi="Verdana" w:cs="Arial"/>
          <w:sz w:val="20"/>
          <w:szCs w:val="20"/>
        </w:rPr>
      </w:pPr>
    </w:p>
    <w:p w14:paraId="04568B2B"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NOVENO. Precisar los criterios jurídicos que permitan distinguir un convenio genuinamente asociativo o solidario de un contrato estatal conmutativo para la adquisición de servicios.</w:t>
      </w:r>
    </w:p>
    <w:p w14:paraId="043D2A7D" w14:textId="77777777" w:rsidR="00933ED1" w:rsidRPr="003B459E" w:rsidRDefault="00933ED1" w:rsidP="007963DF">
      <w:pPr>
        <w:ind w:left="709" w:right="709"/>
        <w:jc w:val="both"/>
        <w:rPr>
          <w:rFonts w:ascii="Verdana" w:eastAsia="Century Gothic" w:hAnsi="Verdana" w:cs="Arial"/>
          <w:sz w:val="20"/>
          <w:szCs w:val="20"/>
        </w:rPr>
      </w:pPr>
    </w:p>
    <w:p w14:paraId="07259C4F" w14:textId="77777777" w:rsidR="007963DF" w:rsidRPr="003B459E" w:rsidRDefault="007963DF" w:rsidP="007963DF">
      <w:pPr>
        <w:ind w:left="709" w:right="709"/>
        <w:jc w:val="both"/>
        <w:rPr>
          <w:rFonts w:ascii="Verdana" w:eastAsia="Century Gothic" w:hAnsi="Verdana" w:cs="Arial"/>
          <w:sz w:val="20"/>
          <w:szCs w:val="20"/>
        </w:rPr>
      </w:pPr>
      <w:r w:rsidRPr="003B459E">
        <w:rPr>
          <w:rFonts w:ascii="Verdana" w:eastAsia="Century Gothic" w:hAnsi="Verdana" w:cs="Arial"/>
          <w:sz w:val="20"/>
          <w:szCs w:val="20"/>
        </w:rPr>
        <w:t>La presente consulta se formula en términos generales y abstractos, con el propósito de conocer la interpretación del régimen jurídico de contratación pública aplicable y prevenir eventuales irregularidades en la estructuración de procesos contractuales, sin pretender obtener un pronunciamiento sobre la legalidad de un proceso contractual específico.</w:t>
      </w:r>
    </w:p>
    <w:p w14:paraId="5DD92FE5" w14:textId="48EA3234" w:rsidR="00C062A9" w:rsidRPr="003B459E" w:rsidRDefault="00C062A9" w:rsidP="00C062A9">
      <w:pPr>
        <w:ind w:left="709" w:right="709"/>
        <w:jc w:val="both"/>
        <w:rPr>
          <w:rFonts w:ascii="Verdana" w:eastAsia="Century Gothic" w:hAnsi="Verdana" w:cs="Arial"/>
          <w:sz w:val="20"/>
          <w:szCs w:val="20"/>
        </w:rPr>
      </w:pPr>
      <w:r w:rsidRPr="003B459E">
        <w:rPr>
          <w:rFonts w:ascii="Verdana" w:eastAsia="Century Gothic" w:hAnsi="Verdana" w:cs="Arial"/>
          <w:sz w:val="20"/>
          <w:szCs w:val="20"/>
        </w:rPr>
        <w:t>[…]”</w:t>
      </w:r>
    </w:p>
    <w:p w14:paraId="700F4AEA" w14:textId="77777777" w:rsidR="00C062A9" w:rsidRPr="003B459E" w:rsidRDefault="00C062A9" w:rsidP="00C062A9">
      <w:pPr>
        <w:jc w:val="both"/>
        <w:rPr>
          <w:rFonts w:ascii="Verdana" w:hAnsi="Verdana" w:cs="Arial"/>
          <w:sz w:val="22"/>
          <w:szCs w:val="22"/>
          <w:highlight w:val="cyan"/>
          <w:lang w:val="es-ES"/>
        </w:rPr>
      </w:pPr>
    </w:p>
    <w:p w14:paraId="15B9F456" w14:textId="77777777" w:rsidR="00C062A9" w:rsidRPr="003B459E" w:rsidRDefault="00C062A9" w:rsidP="00C062A9">
      <w:pPr>
        <w:spacing w:after="120" w:line="276" w:lineRule="auto"/>
        <w:ind w:firstLine="709"/>
        <w:jc w:val="both"/>
        <w:rPr>
          <w:rFonts w:ascii="Verdana" w:eastAsia="Calibri" w:hAnsi="Verdana" w:cs="Arial"/>
          <w:sz w:val="22"/>
          <w:szCs w:val="22"/>
          <w:lang w:val="es-ES_tradnl"/>
        </w:rPr>
      </w:pPr>
      <w:r w:rsidRPr="003B459E">
        <w:rPr>
          <w:rFonts w:ascii="Verdana" w:eastAsia="Calibri" w:hAnsi="Verdana" w:cs="Arial"/>
          <w:sz w:val="22"/>
          <w:szCs w:val="22"/>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9DF4E80" w14:textId="77777777" w:rsidR="00C062A9" w:rsidRPr="003B459E" w:rsidRDefault="00C062A9" w:rsidP="00C062A9">
      <w:pPr>
        <w:spacing w:line="276" w:lineRule="auto"/>
        <w:ind w:firstLine="709"/>
        <w:jc w:val="both"/>
        <w:rPr>
          <w:rFonts w:ascii="Verdana" w:eastAsia="Calibri" w:hAnsi="Verdana" w:cs="Arial"/>
          <w:sz w:val="22"/>
          <w:szCs w:val="22"/>
          <w:lang w:val="es-ES" w:eastAsia="es-ES"/>
        </w:rPr>
      </w:pPr>
      <w:r w:rsidRPr="003B459E">
        <w:rPr>
          <w:rFonts w:ascii="Verdana" w:eastAsia="Calibri" w:hAnsi="Verdana" w:cs="Arial"/>
          <w:sz w:val="22"/>
          <w:szCs w:val="22"/>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6D35460" w14:textId="77777777" w:rsidR="00C062A9" w:rsidRPr="003B459E" w:rsidRDefault="00C062A9" w:rsidP="00C062A9">
      <w:pPr>
        <w:spacing w:line="276" w:lineRule="auto"/>
        <w:jc w:val="both"/>
        <w:rPr>
          <w:rStyle w:val="Hipervnculo"/>
          <w:rFonts w:ascii="Verdana" w:hAnsi="Verdana"/>
          <w:color w:val="auto"/>
          <w:sz w:val="22"/>
          <w:szCs w:val="22"/>
          <w:highlight w:val="cyan"/>
          <w:u w:val="none"/>
          <w:lang w:val="es-ES"/>
        </w:rPr>
      </w:pPr>
    </w:p>
    <w:p w14:paraId="1458B27B" w14:textId="509846FD" w:rsidR="00C062A9" w:rsidRPr="003B459E" w:rsidRDefault="00C062A9" w:rsidP="00C062A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3B459E">
        <w:rPr>
          <w:rFonts w:ascii="Verdana" w:eastAsia="Century Gothic" w:hAnsi="Verdana" w:cs="Arial"/>
          <w:b/>
          <w:bCs/>
        </w:rPr>
        <w:t>Problema</w:t>
      </w:r>
      <w:r w:rsidR="004C5256" w:rsidRPr="003B459E">
        <w:rPr>
          <w:rFonts w:ascii="Verdana" w:eastAsia="Century Gothic" w:hAnsi="Verdana" w:cs="Arial"/>
          <w:b/>
          <w:bCs/>
        </w:rPr>
        <w:t>s</w:t>
      </w:r>
      <w:r w:rsidRPr="003B459E">
        <w:rPr>
          <w:rFonts w:ascii="Verdana" w:eastAsia="Century Gothic" w:hAnsi="Verdana" w:cs="Arial"/>
          <w:b/>
          <w:bCs/>
        </w:rPr>
        <w:t xml:space="preserve"> planteado</w:t>
      </w:r>
      <w:r w:rsidR="004C5256" w:rsidRPr="003B459E">
        <w:rPr>
          <w:rFonts w:ascii="Verdana" w:eastAsia="Century Gothic" w:hAnsi="Verdana" w:cs="Arial"/>
          <w:b/>
          <w:bCs/>
        </w:rPr>
        <w:t>s</w:t>
      </w:r>
      <w:r w:rsidRPr="003B459E">
        <w:rPr>
          <w:rFonts w:ascii="Verdana" w:eastAsia="Century Gothic" w:hAnsi="Verdana" w:cs="Arial"/>
          <w:b/>
          <w:bCs/>
        </w:rPr>
        <w:t>:</w:t>
      </w:r>
    </w:p>
    <w:p w14:paraId="29C3D6BA" w14:textId="77777777" w:rsidR="00C062A9" w:rsidRPr="003B459E" w:rsidRDefault="00C062A9" w:rsidP="00C062A9">
      <w:pPr>
        <w:spacing w:line="276" w:lineRule="auto"/>
        <w:jc w:val="both"/>
        <w:rPr>
          <w:rStyle w:val="Hipervnculo"/>
          <w:rFonts w:ascii="Verdana" w:hAnsi="Verdana" w:cs="Arial"/>
          <w:color w:val="auto"/>
          <w:sz w:val="22"/>
          <w:szCs w:val="22"/>
          <w:highlight w:val="cyan"/>
        </w:rPr>
      </w:pPr>
    </w:p>
    <w:p w14:paraId="4ABF04FB" w14:textId="30FCB95F" w:rsidR="00CD4862" w:rsidRPr="003B459E" w:rsidRDefault="00CD4862" w:rsidP="00CA679E">
      <w:pPr>
        <w:spacing w:line="276" w:lineRule="auto"/>
        <w:jc w:val="both"/>
        <w:rPr>
          <w:rFonts w:ascii="Verdana" w:eastAsia="Arial" w:hAnsi="Verdana" w:cs="Arial"/>
          <w:b/>
          <w:bCs/>
          <w:sz w:val="22"/>
          <w:szCs w:val="22"/>
          <w:lang w:val="es-ES"/>
        </w:rPr>
      </w:pPr>
      <w:r w:rsidRPr="003B459E">
        <w:rPr>
          <w:rFonts w:ascii="Verdana" w:eastAsia="Calibri" w:hAnsi="Verdana"/>
          <w:sz w:val="22"/>
          <w:szCs w:val="22"/>
        </w:rPr>
        <w:t>De acuerdo con el contenido de su solicitud, la Agencia procede a resolver los siguientes problemas jurídicos: i) ¿Cuál es el alcance de la capacidad jurídica</w:t>
      </w:r>
      <w:r w:rsidR="00C44880" w:rsidRPr="003B459E">
        <w:rPr>
          <w:rFonts w:ascii="Verdana" w:eastAsia="Calibri" w:hAnsi="Verdana"/>
          <w:sz w:val="22"/>
          <w:szCs w:val="22"/>
        </w:rPr>
        <w:t xml:space="preserve"> y contractual</w:t>
      </w:r>
      <w:r w:rsidRPr="003B459E">
        <w:rPr>
          <w:rFonts w:ascii="Verdana" w:eastAsia="Calibri" w:hAnsi="Verdana"/>
          <w:sz w:val="22"/>
          <w:szCs w:val="22"/>
        </w:rPr>
        <w:t xml:space="preserve"> de los Organismos de Acción Comunal para suministrar bienes y prestar servicios a las entidades estatales, y cuál es el alcance del artículo 63 de </w:t>
      </w:r>
      <w:r w:rsidRPr="003B459E">
        <w:rPr>
          <w:rFonts w:ascii="Verdana" w:eastAsia="Calibri" w:hAnsi="Verdana"/>
          <w:sz w:val="22"/>
          <w:szCs w:val="22"/>
        </w:rPr>
        <w:lastRenderedPageBreak/>
        <w:t>la Ley 2166 de 2021? (preguntas primera a sexta); ii) ¿Pueden los Organismos de Acción Comunal asumir objetos</w:t>
      </w:r>
      <w:r w:rsidR="00701C41" w:rsidRPr="003B459E">
        <w:rPr>
          <w:rFonts w:ascii="Verdana" w:eastAsia="Calibri" w:hAnsi="Verdana"/>
          <w:sz w:val="22"/>
          <w:szCs w:val="22"/>
        </w:rPr>
        <w:t xml:space="preserve"> contractuales relacionados con la prestación de servicios</w:t>
      </w:r>
      <w:r w:rsidRPr="003B459E">
        <w:rPr>
          <w:rFonts w:ascii="Verdana" w:eastAsia="Calibri" w:hAnsi="Verdana"/>
          <w:sz w:val="22"/>
          <w:szCs w:val="22"/>
        </w:rPr>
        <w:t xml:space="preserve"> de operación logística, atender con un mismo contrato diversas necesidades de una entidad territorial y subcontratar con terceros los bienes y servicios requeridos? (preguntas séptima a décima sexta); iii) ¿Cuál es el alcance </w:t>
      </w:r>
      <w:r w:rsidR="00701C41" w:rsidRPr="003B459E">
        <w:rPr>
          <w:rFonts w:ascii="Verdana" w:eastAsia="Calibri" w:hAnsi="Verdana"/>
          <w:sz w:val="22"/>
          <w:szCs w:val="22"/>
        </w:rPr>
        <w:t xml:space="preserve">del criterio </w:t>
      </w:r>
      <w:r w:rsidRPr="003B459E">
        <w:rPr>
          <w:rFonts w:ascii="Verdana" w:eastAsia="Calibri" w:hAnsi="Verdana"/>
          <w:sz w:val="22"/>
          <w:szCs w:val="22"/>
        </w:rPr>
        <w:t>de territorialidad de los Organismos de Acción Comunal frente a su capacidad contractual y</w:t>
      </w:r>
      <w:r w:rsidR="008D5F5D" w:rsidRPr="003B459E">
        <w:rPr>
          <w:rFonts w:ascii="Verdana" w:eastAsia="Calibri" w:hAnsi="Verdana"/>
          <w:sz w:val="22"/>
          <w:szCs w:val="22"/>
        </w:rPr>
        <w:t xml:space="preserve"> qué efectos produce sobre su capacidad para ejecutar contratos y actividades en territorios distintos a aquellos respecto de los cuales ejercen representación comunitaria, así como si</w:t>
      </w:r>
      <w:r w:rsidRPr="003B459E">
        <w:rPr>
          <w:rFonts w:ascii="Verdana" w:eastAsia="Calibri" w:hAnsi="Verdana"/>
          <w:sz w:val="22"/>
          <w:szCs w:val="22"/>
        </w:rPr>
        <w:t xml:space="preserve"> existe</w:t>
      </w:r>
      <w:r w:rsidR="008D5F5D" w:rsidRPr="003B459E">
        <w:rPr>
          <w:rFonts w:ascii="Verdana" w:eastAsia="Calibri" w:hAnsi="Verdana"/>
          <w:sz w:val="22"/>
          <w:szCs w:val="22"/>
        </w:rPr>
        <w:t>n</w:t>
      </w:r>
      <w:r w:rsidRPr="003B459E">
        <w:rPr>
          <w:rFonts w:ascii="Verdana" w:eastAsia="Calibri" w:hAnsi="Verdana"/>
          <w:sz w:val="22"/>
          <w:szCs w:val="22"/>
        </w:rPr>
        <w:t xml:space="preserve"> diferencia entre una Junta de Acción Comunal y una Asociación de Juntas de Acción Comunal? (preguntas décima séptima a vigésima quinta); iv) ¿La capacidad jurídica de un Organismo de Acción Comunal constituye una causal </w:t>
      </w:r>
      <w:r w:rsidR="00AF247A" w:rsidRPr="003B459E">
        <w:rPr>
          <w:rFonts w:ascii="Verdana" w:eastAsia="Calibri" w:hAnsi="Verdana"/>
          <w:sz w:val="22"/>
          <w:szCs w:val="22"/>
        </w:rPr>
        <w:t xml:space="preserve">que habilite su </w:t>
      </w:r>
      <w:r w:rsidRPr="003B459E">
        <w:rPr>
          <w:rFonts w:ascii="Verdana" w:eastAsia="Calibri" w:hAnsi="Verdana"/>
          <w:sz w:val="22"/>
          <w:szCs w:val="22"/>
        </w:rPr>
        <w:t>contratación directa</w:t>
      </w:r>
      <w:r w:rsidR="00AF247A" w:rsidRPr="003B459E">
        <w:rPr>
          <w:rFonts w:ascii="Verdana" w:eastAsia="Calibri" w:hAnsi="Verdana"/>
          <w:sz w:val="22"/>
          <w:szCs w:val="22"/>
        </w:rPr>
        <w:t xml:space="preserve"> por parte de las entidades estatales</w:t>
      </w:r>
      <w:r w:rsidRPr="003B459E">
        <w:rPr>
          <w:rFonts w:ascii="Verdana" w:eastAsia="Calibri" w:hAnsi="Verdana"/>
          <w:sz w:val="22"/>
          <w:szCs w:val="22"/>
        </w:rPr>
        <w:t xml:space="preserve"> y cuáles son los regímenes de convenios solidarios y de asociación </w:t>
      </w:r>
      <w:r w:rsidR="00AF247A" w:rsidRPr="003B459E">
        <w:rPr>
          <w:rFonts w:ascii="Verdana" w:eastAsia="Calibri" w:hAnsi="Verdana"/>
          <w:sz w:val="22"/>
          <w:szCs w:val="22"/>
        </w:rPr>
        <w:t xml:space="preserve">celebrados con este tipo de organizaciones? ¿En </w:t>
      </w:r>
      <w:proofErr w:type="spellStart"/>
      <w:r w:rsidR="00AF247A" w:rsidRPr="003B459E">
        <w:rPr>
          <w:rFonts w:ascii="Verdana" w:eastAsia="Calibri" w:hAnsi="Verdana"/>
          <w:sz w:val="22"/>
          <w:szCs w:val="22"/>
        </w:rPr>
        <w:t>que</w:t>
      </w:r>
      <w:proofErr w:type="spellEnd"/>
      <w:r w:rsidR="00AF247A" w:rsidRPr="003B459E">
        <w:rPr>
          <w:rFonts w:ascii="Verdana" w:eastAsia="Calibri" w:hAnsi="Verdana"/>
          <w:sz w:val="22"/>
          <w:szCs w:val="22"/>
        </w:rPr>
        <w:t xml:space="preserve"> casos se </w:t>
      </w:r>
      <w:r w:rsidRPr="003B459E">
        <w:rPr>
          <w:rFonts w:ascii="Verdana" w:eastAsia="Calibri" w:hAnsi="Verdana"/>
          <w:sz w:val="22"/>
          <w:szCs w:val="22"/>
        </w:rPr>
        <w:t>permite prescindir de un procedimiento competitivo</w:t>
      </w:r>
      <w:r w:rsidR="00AF247A" w:rsidRPr="003B459E">
        <w:rPr>
          <w:rFonts w:ascii="Verdana" w:eastAsia="Calibri" w:hAnsi="Verdana"/>
          <w:sz w:val="22"/>
          <w:szCs w:val="22"/>
        </w:rPr>
        <w:t xml:space="preserve"> en el marco de estas tipologías contractuales</w:t>
      </w:r>
      <w:r w:rsidRPr="003B459E">
        <w:rPr>
          <w:rFonts w:ascii="Verdana" w:eastAsia="Calibri" w:hAnsi="Verdana"/>
          <w:sz w:val="22"/>
          <w:szCs w:val="22"/>
        </w:rPr>
        <w:t>? (preguntas vigésima sexta a trigésima segunda y trigésima sexta a trigésima novena); y v) ¿Qué criterios permiten distinguir un convenio genuinamente solidario o asociativo de un contrato estatal conmutativo? (preguntas trigésima tercera a trigésima quinta y cuadragésima a cuadragésima octava).</w:t>
      </w:r>
    </w:p>
    <w:p w14:paraId="2CFAEB58" w14:textId="77777777" w:rsidR="00CD4862" w:rsidRPr="003B459E" w:rsidRDefault="00CD4862" w:rsidP="00243ABB">
      <w:pPr>
        <w:pStyle w:val="Prrafodelista"/>
        <w:spacing w:after="0" w:line="276" w:lineRule="auto"/>
        <w:ind w:left="363"/>
        <w:jc w:val="both"/>
        <w:rPr>
          <w:rFonts w:ascii="Verdana" w:eastAsia="Arial" w:hAnsi="Verdana" w:cs="Arial"/>
          <w:b/>
          <w:bCs/>
        </w:rPr>
      </w:pPr>
    </w:p>
    <w:p w14:paraId="0AA970A7" w14:textId="5C6EC255" w:rsidR="00C062A9" w:rsidRPr="003B459E" w:rsidRDefault="00C062A9" w:rsidP="008D5F5D">
      <w:pPr>
        <w:pStyle w:val="Prrafodelista"/>
        <w:numPr>
          <w:ilvl w:val="0"/>
          <w:numId w:val="16"/>
        </w:numPr>
        <w:spacing w:after="0" w:line="276" w:lineRule="auto"/>
        <w:ind w:left="363"/>
        <w:jc w:val="both"/>
        <w:rPr>
          <w:rFonts w:ascii="Verdana" w:eastAsia="Arial" w:hAnsi="Verdana" w:cs="Arial"/>
          <w:b/>
          <w:bCs/>
        </w:rPr>
      </w:pPr>
      <w:r w:rsidRPr="003B459E">
        <w:rPr>
          <w:rFonts w:ascii="Verdana" w:eastAsia="Arial" w:hAnsi="Verdana" w:cs="Arial"/>
          <w:b/>
          <w:bCs/>
        </w:rPr>
        <w:t>Respuesta:</w:t>
      </w:r>
    </w:p>
    <w:p w14:paraId="2022251A" w14:textId="77777777" w:rsidR="008D5F5D" w:rsidRPr="003B459E" w:rsidRDefault="008D5F5D" w:rsidP="00243ABB">
      <w:pPr>
        <w:spacing w:line="276" w:lineRule="auto"/>
        <w:ind w:left="3"/>
        <w:jc w:val="both"/>
        <w:rPr>
          <w:rFonts w:ascii="Verdana" w:eastAsia="Arial" w:hAnsi="Verdana" w:cs="Arial"/>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062A9" w:rsidRPr="003B459E" w14:paraId="1983FBBB" w14:textId="77777777" w:rsidTr="00EC3B29">
        <w:tc>
          <w:tcPr>
            <w:tcW w:w="8828" w:type="dxa"/>
          </w:tcPr>
          <w:p w14:paraId="39664D32" w14:textId="6FB5A03D" w:rsidR="00E43402" w:rsidRPr="003B459E" w:rsidRDefault="00600265" w:rsidP="002E0F04">
            <w:pPr>
              <w:widowControl w:val="0"/>
              <w:autoSpaceDE w:val="0"/>
              <w:autoSpaceDN w:val="0"/>
              <w:spacing w:after="120" w:line="276" w:lineRule="auto"/>
              <w:jc w:val="both"/>
              <w:rPr>
                <w:rFonts w:ascii="Verdana" w:eastAsia="Calibri" w:hAnsi="Verdana"/>
                <w:sz w:val="22"/>
                <w:szCs w:val="22"/>
              </w:rPr>
            </w:pPr>
            <w:bookmarkStart w:id="1" w:name="_Hlk171067516"/>
            <w:r w:rsidRPr="003B459E">
              <w:rPr>
                <w:rFonts w:ascii="Verdana" w:eastAsia="Calibri" w:hAnsi="Verdana"/>
                <w:sz w:val="22"/>
                <w:szCs w:val="22"/>
              </w:rPr>
              <w:t>i) En primer lugar, los Organismos de Acción Comunal son personas jurídicas sin ánimo de lucro, de naturaleza solidaria, cuya capacidad jurídica para contratar con el Estado no es general ni ilimitada, sino que se encuentra definida y condicionada por la ley que los regula. En efecto, el literal f) del artículo 16 de la Ley 2166 de 2021 los faculta para celebrar contratos con entidades del Estado, empresas públicas y privadas del orden internacional, nacional, departamental, distrital, municipal y local, hasta por la menor cuantía, “con el fin de impulsar planes, programas y proyectos acordes con los planes comunales y comunitarios de desarrollo territorial”. Por su parte, el artículo 63 de la Ley 2166 de 2021 permite que estos organismos se vinculen al desarrollo y mejoramiento municipal mediante la participación en el ejercicio de las funciones, la prestación de bienes y servicios o la ejecución de obras públicas a cargo de la administración central o descentralizada.</w:t>
            </w:r>
          </w:p>
          <w:p w14:paraId="121192ED" w14:textId="0E64064C" w:rsidR="00991DB2" w:rsidRPr="003B459E" w:rsidRDefault="00991DB2" w:rsidP="00206651">
            <w:pPr>
              <w:widowControl w:val="0"/>
              <w:autoSpaceDE w:val="0"/>
              <w:autoSpaceDN w:val="0"/>
              <w:spacing w:after="120" w:line="276" w:lineRule="auto"/>
              <w:ind w:firstLine="709"/>
              <w:jc w:val="both"/>
              <w:rPr>
                <w:rFonts w:ascii="Verdana" w:hAnsi="Verdana"/>
                <w:sz w:val="22"/>
                <w:szCs w:val="22"/>
              </w:rPr>
            </w:pPr>
            <w:r w:rsidRPr="003B459E">
              <w:rPr>
                <w:rFonts w:ascii="Verdana" w:hAnsi="Verdana"/>
                <w:sz w:val="22"/>
                <w:szCs w:val="22"/>
              </w:rPr>
              <w:lastRenderedPageBreak/>
              <w:t>De lo anterior se desprende que la ley no contiene un listado taxativo de clases o categorías de bienes y servicios que un Organismo de Acción Comunal puede suministrar o prestar. Su capacidad, en todo caso, se determina por la concurrencia de los siguientes elementos: a) su objeto y estatutos; b) la finalidad comunitaria que la ley le asigna, esto es, el impulso de planes, programas y proyectos acordes con los planes comunales y comunitarios de desarrollo; c) el límite de cuantía previsto en el literal f) del artículo 16 de la Ley 2166 de 2021; d) la territorialidad dentro de la cual desarrolla sus actividades, conforme al artículo 9 de la misma ley; y e) las condiciones técnicas, administrativas, financieras y organizacionales que la entidad estatal exija en el respectivo Proceso de Contratación. Así, la posibilidad de que un Organismo de Acción Comunal desarrolle actividades económicas o de prestación de servicios y las ofrezca a entidades estatales —incluso distintas a la ejecución de obras— no se encuentra proscrita de manera general, siempre que tales actividades sean instrumentales a su finalidad comunitaria y se ejecuten dentro de los límites señalados, sin que ello implique desnaturalizar su carácter de organización sin ánimo de lucro.</w:t>
            </w:r>
          </w:p>
          <w:p w14:paraId="2E5242C4" w14:textId="3A8CF5EF" w:rsidR="00206651" w:rsidRPr="003B459E" w:rsidRDefault="00206651" w:rsidP="00243ABB">
            <w:pPr>
              <w:spacing w:after="120" w:line="276" w:lineRule="auto"/>
              <w:ind w:firstLine="709"/>
              <w:jc w:val="both"/>
              <w:rPr>
                <w:rFonts w:ascii="Verdana" w:hAnsi="Verdana" w:cs="Segoe UI"/>
                <w:sz w:val="22"/>
                <w:szCs w:val="22"/>
              </w:rPr>
            </w:pPr>
            <w:r w:rsidRPr="003B459E">
              <w:rPr>
                <w:rFonts w:ascii="Verdana" w:hAnsi="Verdana" w:cs="Segoe UI"/>
                <w:sz w:val="22"/>
                <w:szCs w:val="22"/>
              </w:rPr>
              <w:t>Conviene precisar que la existencia de capacidad jurídica para celebrar contratos o convenios con entidades estatales no implica que un Organismo de Acción Comunal se encuentre habilitado automáticamente para ejecutar cualquier objeto contractual. Corresponde a la entidad estatal verificar, durante la etapa de planeación, que el organismo cuenta con las condiciones técnicas, administrativas, operativas, financieras y organizacionales necesarias para cumplir las obligaciones derivadas del negocio jurídico que pretende celebrarse. En este sentido, la capacidad jurídica constituye un presupuesto para contratar, pero no sustituye la acreditación de la idoneidad y de la capacidad real de ejecución que resulten exigibles para el cumplimiento del objeto específico.</w:t>
            </w:r>
          </w:p>
          <w:p w14:paraId="1C30A8B7" w14:textId="292C0077" w:rsidR="00E43402" w:rsidRPr="003B459E" w:rsidRDefault="00E43402" w:rsidP="00DB08C4">
            <w:pPr>
              <w:widowControl w:val="0"/>
              <w:autoSpaceDE w:val="0"/>
              <w:autoSpaceDN w:val="0"/>
              <w:spacing w:line="276" w:lineRule="auto"/>
              <w:ind w:firstLine="743"/>
              <w:jc w:val="both"/>
              <w:rPr>
                <w:rFonts w:ascii="Verdana" w:hAnsi="Verdana"/>
                <w:sz w:val="22"/>
                <w:szCs w:val="22"/>
                <w:lang w:val="es-ES"/>
              </w:rPr>
            </w:pPr>
            <w:r w:rsidRPr="003B459E">
              <w:rPr>
                <w:rFonts w:ascii="Verdana" w:hAnsi="Verdana"/>
                <w:sz w:val="22"/>
                <w:szCs w:val="22"/>
                <w:lang w:val="es-ES"/>
              </w:rPr>
              <w:t xml:space="preserve">Ahora bien, el artículo 63 de la Ley 2166 de 2021 no constituye, por sí mismo, una habilitación autónoma para la contratación directa. Como lo ha sostenido esta Agencia, dicha disposición remite en su inciso primero al artículo 141 de la Ley 136 de 1994, según el cual los contratos o convenios que se celebren en desarrollo de esta vinculación se sujetan a lo dispuesto en los artículos 375 a 378 del Decreto 1333 de 1986 y en la Ley 80 de 1993, de manera que debe interpretarse armónicamente con estas normas y con los parágrafos tercero y quinto del artículo 3 de la Ley 136 de 1994, aplicando el </w:t>
            </w:r>
            <w:r w:rsidRPr="003B459E">
              <w:rPr>
                <w:rFonts w:ascii="Verdana" w:hAnsi="Verdana"/>
                <w:sz w:val="22"/>
                <w:szCs w:val="22"/>
                <w:lang w:val="es-ES"/>
              </w:rPr>
              <w:lastRenderedPageBreak/>
              <w:t>Estatuto General de Contratación de la Administración Pública, salvo que exista una forma especial de contratación, como la prevista en el Decreto 092 de 2017.</w:t>
            </w:r>
          </w:p>
          <w:p w14:paraId="181A9E70" w14:textId="77777777" w:rsidR="00DB08C4" w:rsidRPr="003B459E" w:rsidRDefault="00DB08C4" w:rsidP="00243ABB">
            <w:pPr>
              <w:widowControl w:val="0"/>
              <w:autoSpaceDE w:val="0"/>
              <w:autoSpaceDN w:val="0"/>
              <w:spacing w:line="276" w:lineRule="auto"/>
              <w:ind w:firstLine="743"/>
              <w:jc w:val="both"/>
              <w:rPr>
                <w:rFonts w:ascii="Verdana" w:hAnsi="Verdana"/>
                <w:sz w:val="22"/>
                <w:szCs w:val="22"/>
                <w:lang w:val="es-ES"/>
              </w:rPr>
            </w:pPr>
          </w:p>
          <w:p w14:paraId="684D695D" w14:textId="176D7283" w:rsidR="005D19FA" w:rsidRPr="003B459E" w:rsidRDefault="005D19FA" w:rsidP="005D19FA">
            <w:pPr>
              <w:widowControl w:val="0"/>
              <w:autoSpaceDE w:val="0"/>
              <w:autoSpaceDN w:val="0"/>
              <w:spacing w:after="120" w:line="276" w:lineRule="auto"/>
              <w:jc w:val="both"/>
              <w:rPr>
                <w:rFonts w:ascii="Verdana" w:hAnsi="Verdana"/>
                <w:sz w:val="22"/>
                <w:szCs w:val="22"/>
              </w:rPr>
            </w:pPr>
            <w:r w:rsidRPr="003B459E">
              <w:rPr>
                <w:rFonts w:ascii="Verdana" w:hAnsi="Verdana"/>
                <w:sz w:val="22"/>
                <w:szCs w:val="22"/>
              </w:rPr>
              <w:t>ii) En segundo lugar, frente a la operación logística, el régimen de acción comunal no contiene una disposición que, de manera expresa, prohíba a un Organismo de Acción Comunal prestar servicios logísticos ni que impida atender, mediante un mismo contrato, distintas necesidades de una administración territorial. No obstante, la procedencia de que un Organismo de Acción Comunal asuma un objeto de esta naturaleza no se deriva de la ausencia de prohibición, sino del cumplimiento de los límites de su capacidad jurídica antes descritos, entre ellos, que el objeto guarde relación con sus estatutos y con su finalidad comunitaria, que no supere la menor cuantía de la entidad y que su ejecución se circunscriba a la territorialidad del organismo. En consecuencia, cuanto más amplio sea el objeto, en número de dependencias, eventos, componentes y lugares de ejecución, mayor será la dificultad para que este se ajuste a dichos límites, y corresponde a cada entidad, en ejercicio del principio de planeación, verificar esa correspondencia al estructurar el Proceso de Contratación, así como definir si la necesidad se atiende mediante un solo contrato o mediante lotes o contratos independientes.</w:t>
            </w:r>
          </w:p>
          <w:p w14:paraId="3952827D" w14:textId="0A1B34F8" w:rsidR="00991DB2" w:rsidRPr="003B459E" w:rsidRDefault="00A32A8C" w:rsidP="00243ABB">
            <w:pPr>
              <w:widowControl w:val="0"/>
              <w:autoSpaceDE w:val="0"/>
              <w:autoSpaceDN w:val="0"/>
              <w:spacing w:after="120" w:line="276" w:lineRule="auto"/>
              <w:ind w:firstLine="709"/>
              <w:jc w:val="both"/>
              <w:rPr>
                <w:rFonts w:ascii="Verdana" w:hAnsi="Verdana"/>
                <w:sz w:val="22"/>
                <w:szCs w:val="22"/>
              </w:rPr>
            </w:pPr>
            <w:r w:rsidRPr="003B459E">
              <w:rPr>
                <w:rFonts w:ascii="Verdana" w:hAnsi="Verdana"/>
                <w:sz w:val="22"/>
                <w:szCs w:val="22"/>
              </w:rPr>
              <w:t>Respecto a la subcontratación o el alquiler de bienes y servicios con terceros, debe distinguirse según la tipología del negocio jurídico. En los contratos estatales conmutativos, la posibilidad de subcontratar se rige por lo pactado en el contrato y en los documentos del proceso, sin que el contratista se libere de su responsabilidad por la ejecución integral del objeto frente a la entidad. En cambio, en los convenios solidarios y en los convenios celebrados al amparo del artículo 355 de la Constitución Política, la esencia del negocio es la complementación o el aporte de esfuerzos propios de la organización y de la comunidad; por ello, como lo ha señalado esta Agencia, quedan excluidos de esta figura aquellos objetos cuya naturaleza corresponda a la de un contrato estatal típico, como sucede cuando la organización actúa únicamente como proveedor o intermediario entre la entidad y terceros.</w:t>
            </w:r>
          </w:p>
          <w:p w14:paraId="232435B2" w14:textId="77777777" w:rsidR="00206651" w:rsidRPr="003B459E" w:rsidRDefault="00206651" w:rsidP="00243ABB">
            <w:pPr>
              <w:pStyle w:val="NormalWeb"/>
              <w:spacing w:before="0" w:beforeAutospacing="0" w:after="120" w:afterAutospacing="0" w:line="276" w:lineRule="auto"/>
              <w:ind w:firstLine="709"/>
              <w:jc w:val="both"/>
              <w:rPr>
                <w:rFonts w:ascii="Verdana" w:hAnsi="Verdana" w:cs="Segoe UI"/>
                <w:sz w:val="22"/>
                <w:szCs w:val="22"/>
              </w:rPr>
            </w:pPr>
            <w:r w:rsidRPr="003B459E">
              <w:rPr>
                <w:rFonts w:ascii="Verdana" w:hAnsi="Verdana" w:cs="Segoe UI"/>
                <w:sz w:val="22"/>
                <w:szCs w:val="22"/>
              </w:rPr>
              <w:t xml:space="preserve">En consecuencia, desde una perspectiva general, no existe una prohibición legal que impida a un Organismo de Acción Comunal asumir obligaciones relacionadas con actividades logísticas. Sin embargo, la viabilidad </w:t>
            </w:r>
            <w:r w:rsidRPr="003B459E">
              <w:rPr>
                <w:rFonts w:ascii="Verdana" w:hAnsi="Verdana" w:cs="Segoe UI"/>
                <w:sz w:val="22"/>
                <w:szCs w:val="22"/>
              </w:rPr>
              <w:lastRenderedPageBreak/>
              <w:t>jurídica de cada contratación dependerá de que el objeto concreto resulte compatible con la capacidad jurídica, la finalidad comunitaria, la territorialidad, los límites de cuantía y las condiciones organizacionales del respectivo organismo, así como de la modalidad contractual aplicable conforme al ordenamiento jurídico.</w:t>
            </w:r>
          </w:p>
          <w:p w14:paraId="3F2CB778" w14:textId="77777777" w:rsidR="00206651" w:rsidRPr="003B459E" w:rsidRDefault="00206651" w:rsidP="00243ABB">
            <w:pPr>
              <w:pStyle w:val="NormalWeb"/>
              <w:spacing w:before="0" w:beforeAutospacing="0" w:after="120" w:afterAutospacing="0" w:line="276" w:lineRule="auto"/>
              <w:ind w:firstLine="709"/>
              <w:jc w:val="both"/>
              <w:rPr>
                <w:rFonts w:ascii="Verdana" w:hAnsi="Verdana" w:cs="Segoe UI"/>
                <w:sz w:val="22"/>
                <w:szCs w:val="22"/>
              </w:rPr>
            </w:pPr>
            <w:r w:rsidRPr="003B459E">
              <w:rPr>
                <w:rFonts w:ascii="Verdana" w:hAnsi="Verdana" w:cs="Segoe UI"/>
                <w:sz w:val="22"/>
                <w:szCs w:val="22"/>
              </w:rPr>
              <w:t>Asimismo, el hecho de que un Organismo de Acción Comunal requiera contratar con terceros determinados bienes o servicios necesarios para la ejecución del objeto contractual no implica, por sí mismo, que actúe como un simple intermediario. No obstante, cuando la participación del organismo se limite sustancialmente a trasladar recursos públicos a proveedores privados o a servir de canal para la adquisición de bienes o servicios ejecutados íntegramente por terceros, la entidad deberá analizar si realmente existe una ejecución material por parte de la organización comunal o si, por el contrario, se está utilizando una estructura asociativa para atender una necesidad que corresponde a un contrato estatal de naturaleza conmutativa.</w:t>
            </w:r>
          </w:p>
          <w:p w14:paraId="50CBB50E" w14:textId="32CE8E1E" w:rsidR="00206651" w:rsidRPr="003B459E" w:rsidRDefault="00206651" w:rsidP="00206651">
            <w:pPr>
              <w:pStyle w:val="NormalWeb"/>
              <w:spacing w:before="0" w:beforeAutospacing="0" w:after="0" w:afterAutospacing="0" w:line="276" w:lineRule="auto"/>
              <w:ind w:firstLine="709"/>
              <w:jc w:val="both"/>
              <w:rPr>
                <w:rFonts w:ascii="Verdana" w:hAnsi="Verdana" w:cs="Segoe UI"/>
                <w:sz w:val="22"/>
                <w:szCs w:val="22"/>
              </w:rPr>
            </w:pPr>
            <w:r w:rsidRPr="003B459E">
              <w:rPr>
                <w:rFonts w:ascii="Verdana" w:hAnsi="Verdana" w:cs="Segoe UI"/>
                <w:sz w:val="22"/>
                <w:szCs w:val="22"/>
              </w:rPr>
              <w:t>En todo caso, la posibilidad de acudir a terceros para la ejecución de determinadas actividades se encuentra condicionada por lo pactado en el contrato o convenio respectivo y por la naturaleza de las obligaciones asumidas. Por ello, cuando la ejecución directa de una determinada actividad constituya un elemento esencial de la selección del contratista o responda a las condiciones particulares de idoneidad valoradas por la entidad estatal, su traslado a terceros deberá analizarse con especial rigor. En cualquier caso, la celebración de contratos con terceros no exonera al Organismo de Acción Comunal de la responsabilidad integral por la correcta ejecución de las obligaciones asumidas frente a la entidad estatal.</w:t>
            </w:r>
          </w:p>
          <w:p w14:paraId="392EF615" w14:textId="77777777" w:rsidR="00206651" w:rsidRPr="003B459E" w:rsidRDefault="00206651" w:rsidP="00243ABB">
            <w:pPr>
              <w:pStyle w:val="NormalWeb"/>
              <w:spacing w:before="0" w:beforeAutospacing="0" w:after="0" w:afterAutospacing="0" w:line="276" w:lineRule="auto"/>
              <w:ind w:firstLine="709"/>
              <w:jc w:val="both"/>
              <w:rPr>
                <w:rFonts w:ascii="Verdana" w:hAnsi="Verdana" w:cs="Segoe UI"/>
                <w:sz w:val="22"/>
                <w:szCs w:val="22"/>
              </w:rPr>
            </w:pPr>
          </w:p>
          <w:p w14:paraId="112A4802" w14:textId="59A34DA8" w:rsidR="00991DB2" w:rsidRPr="003B459E" w:rsidRDefault="007500D9" w:rsidP="004305DF">
            <w:pPr>
              <w:widowControl w:val="0"/>
              <w:autoSpaceDE w:val="0"/>
              <w:autoSpaceDN w:val="0"/>
              <w:spacing w:after="120" w:line="276" w:lineRule="auto"/>
              <w:jc w:val="both"/>
              <w:rPr>
                <w:rFonts w:ascii="Verdana" w:hAnsi="Verdana"/>
                <w:sz w:val="22"/>
                <w:szCs w:val="22"/>
              </w:rPr>
            </w:pPr>
            <w:r w:rsidRPr="003B459E">
              <w:rPr>
                <w:rFonts w:ascii="Verdana" w:hAnsi="Verdana"/>
                <w:sz w:val="22"/>
                <w:szCs w:val="22"/>
              </w:rPr>
              <w:t xml:space="preserve">iii) En tercer lugar, frente a la territorialidad, el artículo 9 de la Ley 2166 de 2021 dispone que “cada organismo de acción comunal desarrollará sus actividades dentro de un territorio delimitado”. En la línea sostenida por esta Agencia, por la naturaleza jurídica de estos organismos y la incidencia que en ellos tiene el principio de participación, la territorialidad no se reduce a delimitar la comunidad que el organismo integra y representa, sino que se proyecta sobre su capacidad jurídica: los Organismos de Acción Comunal encuentran limitada su capacidad con relación a la territorialidad de la comunidad a la cual pertenecen y representan, y solo en ella pueden desarrollar sus actividades, pues solo así se garantiza una verdadera </w:t>
            </w:r>
            <w:r w:rsidRPr="003B459E">
              <w:rPr>
                <w:rFonts w:ascii="Verdana" w:hAnsi="Verdana"/>
                <w:sz w:val="22"/>
                <w:szCs w:val="22"/>
              </w:rPr>
              <w:lastRenderedPageBreak/>
              <w:t>participación de la comunidad en la formulación, ejecución y administración de planes, programas y proyectos en su territorio. De este modo, resultaría contrario al principio de participación que un Organismo de Acción Comunal ejecutara contratos o convenios en sitios donde no tiene representación participativa. En otras palabras, la territorialidad opera como una delimitación de la comunidad representada y de las finalidades comunitarias del organismo que, a su vez, condiciona su capacidad jurídica contractual y, por esa vía, los lugares de ejecución de los negocios que celebre.</w:t>
            </w:r>
          </w:p>
          <w:p w14:paraId="68E7118D" w14:textId="33691A72" w:rsidR="00206651" w:rsidRPr="003B459E" w:rsidRDefault="00206651" w:rsidP="00243ABB">
            <w:pPr>
              <w:spacing w:after="120" w:line="276" w:lineRule="auto"/>
              <w:ind w:firstLine="709"/>
              <w:jc w:val="both"/>
              <w:rPr>
                <w:rFonts w:ascii="Verdana" w:hAnsi="Verdana" w:cs="Segoe UI"/>
                <w:sz w:val="22"/>
                <w:szCs w:val="22"/>
              </w:rPr>
            </w:pPr>
            <w:r w:rsidRPr="003B459E">
              <w:rPr>
                <w:rFonts w:ascii="Verdana" w:hAnsi="Verdana" w:cs="Segoe UI"/>
                <w:sz w:val="22"/>
                <w:szCs w:val="22"/>
              </w:rPr>
              <w:t>En este contexto, la territorialidad no constituye únicamente un criterio geográfico de ubicación física del Organismo de Acción Comunal, sino un elemento estructural de su naturaleza jurídica, pues delimita la comunidad respecto de la cual se ejerce la representación y participación comunitaria. Por esta razón, la valoración sobre la procedencia de una determinada actuación contractual debe considerar no solo el lugar donde se ejecutan materialmente las actividades, sino también la relación existente entre dichas actividades y la comunidad que integra y representa el respectivo organismo comunal.</w:t>
            </w:r>
          </w:p>
          <w:p w14:paraId="414A383E" w14:textId="62285D48" w:rsidR="004305DF" w:rsidRPr="003B459E" w:rsidRDefault="004305DF" w:rsidP="00206651">
            <w:pPr>
              <w:widowControl w:val="0"/>
              <w:autoSpaceDE w:val="0"/>
              <w:autoSpaceDN w:val="0"/>
              <w:spacing w:line="276" w:lineRule="auto"/>
              <w:ind w:firstLine="743"/>
              <w:jc w:val="both"/>
              <w:rPr>
                <w:rFonts w:ascii="Verdana" w:eastAsia="Calibri" w:hAnsi="Verdana" w:cs="Arial"/>
                <w:sz w:val="22"/>
                <w:szCs w:val="22"/>
                <w:lang w:val="es-ES"/>
              </w:rPr>
            </w:pPr>
            <w:r w:rsidRPr="003B459E">
              <w:rPr>
                <w:rFonts w:ascii="Verdana" w:eastAsia="Calibri" w:hAnsi="Verdana" w:cs="Arial"/>
                <w:sz w:val="22"/>
                <w:szCs w:val="22"/>
                <w:lang w:val="es-ES"/>
              </w:rPr>
              <w:t>En el caso de los Organismos de Acción Comunal de segundo grado, Asociaciones de Juntas de Acción Comunal, su capacidad se encuentra igualmente condicionada por la territorialidad, pero su alcance se determina conforme al territorio que les corresponde según la ley y sus estatutos y a la territorialidad de los organismos de primer grado que la fundaron o que se afilien a ella. Por tanto, la diferencia entre una Junta de Acción Comunal y una Asociación de Juntas de Acción Comunal radica en la extensión del ámbito territorial dentro del cual pueden actuar, sin que el grado asociativo modifique los demás límites de su capacidad</w:t>
            </w:r>
            <w:r w:rsidR="002477B7" w:rsidRPr="003B459E">
              <w:rPr>
                <w:rFonts w:ascii="Verdana" w:eastAsia="Calibri" w:hAnsi="Verdana" w:cs="Arial"/>
                <w:sz w:val="22"/>
                <w:szCs w:val="22"/>
                <w:lang w:val="es-ES"/>
              </w:rPr>
              <w:t xml:space="preserve">, </w:t>
            </w:r>
            <w:r w:rsidRPr="003B459E">
              <w:rPr>
                <w:rFonts w:ascii="Verdana" w:eastAsia="Calibri" w:hAnsi="Verdana" w:cs="Arial"/>
                <w:sz w:val="22"/>
                <w:szCs w:val="22"/>
                <w:lang w:val="es-ES"/>
              </w:rPr>
              <w:t>objeto, finalidad comunitaria y cuantía</w:t>
            </w:r>
            <w:r w:rsidR="002477B7" w:rsidRPr="003B459E">
              <w:rPr>
                <w:rFonts w:ascii="Verdana" w:eastAsia="Calibri" w:hAnsi="Verdana" w:cs="Arial"/>
                <w:sz w:val="22"/>
                <w:szCs w:val="22"/>
                <w:lang w:val="es-ES"/>
              </w:rPr>
              <w:t>,</w:t>
            </w:r>
            <w:r w:rsidRPr="003B459E">
              <w:rPr>
                <w:rFonts w:ascii="Verdana" w:eastAsia="Calibri" w:hAnsi="Verdana" w:cs="Arial"/>
                <w:sz w:val="22"/>
                <w:szCs w:val="22"/>
                <w:lang w:val="es-ES"/>
              </w:rPr>
              <w:t xml:space="preserve"> ni constituya, por sí mismo, una causal de contratación directa.</w:t>
            </w:r>
          </w:p>
          <w:p w14:paraId="418F7324" w14:textId="77777777" w:rsidR="00206651" w:rsidRPr="003B459E" w:rsidRDefault="00206651" w:rsidP="00243ABB">
            <w:pPr>
              <w:widowControl w:val="0"/>
              <w:autoSpaceDE w:val="0"/>
              <w:autoSpaceDN w:val="0"/>
              <w:spacing w:line="276" w:lineRule="auto"/>
              <w:ind w:firstLine="743"/>
              <w:jc w:val="both"/>
              <w:rPr>
                <w:rFonts w:ascii="Verdana" w:eastAsia="Calibri" w:hAnsi="Verdana" w:cs="Arial"/>
                <w:sz w:val="22"/>
                <w:szCs w:val="22"/>
                <w:lang w:val="es-ES"/>
              </w:rPr>
            </w:pPr>
          </w:p>
          <w:p w14:paraId="471D5EA2" w14:textId="1B7A7DBB" w:rsidR="002477B7" w:rsidRPr="003B459E" w:rsidRDefault="002477B7" w:rsidP="002477B7">
            <w:pPr>
              <w:widowControl w:val="0"/>
              <w:autoSpaceDE w:val="0"/>
              <w:autoSpaceDN w:val="0"/>
              <w:spacing w:after="120" w:line="276" w:lineRule="auto"/>
              <w:jc w:val="both"/>
              <w:rPr>
                <w:rFonts w:ascii="Verdana" w:eastAsia="Calibri" w:hAnsi="Verdana" w:cs="Arial"/>
                <w:sz w:val="22"/>
                <w:szCs w:val="22"/>
              </w:rPr>
            </w:pPr>
            <w:r w:rsidRPr="003B459E">
              <w:rPr>
                <w:rFonts w:ascii="Verdana" w:eastAsia="Calibri" w:hAnsi="Verdana" w:cs="Arial"/>
                <w:sz w:val="22"/>
                <w:szCs w:val="22"/>
              </w:rPr>
              <w:t xml:space="preserve">iv) En cuarto lugar, debe diferenciarse la capacidad jurídica para contratar de la existencia de una causal que habilite prescindir de un procedimiento competitivo. La capacidad es un atributo del sujeto que le permite ser parte de un negocio jurídico; la modalidad de selección, en cambio, depende de la ley y, tratándose de la contratación directa, de una causal expresa, cuya interpretación es restrictiva por constituir una excepción a la regla general de selección objetiva. En consecuencia, la sola circunstancia de tratarse de un Organismo de Acción Comunal no habilita a una </w:t>
            </w:r>
            <w:r w:rsidR="00D30044" w:rsidRPr="003B459E">
              <w:rPr>
                <w:rFonts w:ascii="Verdana" w:eastAsia="Calibri" w:hAnsi="Verdana" w:cs="Arial"/>
                <w:sz w:val="22"/>
                <w:szCs w:val="22"/>
              </w:rPr>
              <w:t>E</w:t>
            </w:r>
            <w:r w:rsidRPr="003B459E">
              <w:rPr>
                <w:rFonts w:ascii="Verdana" w:eastAsia="Calibri" w:hAnsi="Verdana" w:cs="Arial"/>
                <w:sz w:val="22"/>
                <w:szCs w:val="22"/>
              </w:rPr>
              <w:t xml:space="preserve">ntidad </w:t>
            </w:r>
            <w:r w:rsidR="00D30044" w:rsidRPr="003B459E">
              <w:rPr>
                <w:rFonts w:ascii="Verdana" w:eastAsia="Calibri" w:hAnsi="Verdana" w:cs="Arial"/>
                <w:sz w:val="22"/>
                <w:szCs w:val="22"/>
              </w:rPr>
              <w:t>E</w:t>
            </w:r>
            <w:r w:rsidRPr="003B459E">
              <w:rPr>
                <w:rFonts w:ascii="Verdana" w:eastAsia="Calibri" w:hAnsi="Verdana" w:cs="Arial"/>
                <w:sz w:val="22"/>
                <w:szCs w:val="22"/>
              </w:rPr>
              <w:t xml:space="preserve">statal para </w:t>
            </w:r>
            <w:r w:rsidRPr="003B459E">
              <w:rPr>
                <w:rFonts w:ascii="Verdana" w:eastAsia="Calibri" w:hAnsi="Verdana" w:cs="Arial"/>
                <w:sz w:val="22"/>
                <w:szCs w:val="22"/>
              </w:rPr>
              <w:lastRenderedPageBreak/>
              <w:t>contratarlo directamente.</w:t>
            </w:r>
          </w:p>
          <w:p w14:paraId="6CEF0CDB" w14:textId="77777777" w:rsidR="000E1591" w:rsidRPr="003B459E" w:rsidRDefault="000E1591" w:rsidP="000E1591">
            <w:pPr>
              <w:widowControl w:val="0"/>
              <w:autoSpaceDE w:val="0"/>
              <w:autoSpaceDN w:val="0"/>
              <w:spacing w:after="120" w:line="276" w:lineRule="auto"/>
              <w:ind w:firstLine="743"/>
              <w:jc w:val="both"/>
              <w:rPr>
                <w:rFonts w:ascii="Verdana" w:eastAsia="Calibri" w:hAnsi="Verdana" w:cs="Arial"/>
                <w:sz w:val="22"/>
                <w:szCs w:val="22"/>
                <w:lang w:val="es-ES"/>
              </w:rPr>
            </w:pPr>
            <w:r w:rsidRPr="003B459E">
              <w:rPr>
                <w:rFonts w:ascii="Verdana" w:eastAsia="Calibri" w:hAnsi="Verdana" w:cs="Arial"/>
                <w:sz w:val="22"/>
                <w:szCs w:val="22"/>
                <w:lang w:val="es-ES"/>
              </w:rPr>
              <w:t>En ese orden, y conforme a la doctrina de esta Agencia, en la actualidad existen tres regímenes para la celebración de convenios solidarios con Organismos de Acción Comunal: a) el previsto en el parágrafo cuarto del artículo 3 de la Ley 136 de 1994, el artículo 95 de la Ley 2166 de 2021 y el artículo 2.2.15.1.2. del Decreto 1082 de 2015, que habilita la contratación directa siempre que el objeto consista únicamente en la ejecución de obras, el valor no supere la menor cuantía de la entidad y se vincule como personal de ejecución a los habitantes de la comunidad; b) el previsto en el Decreto 092 de 2017, que desarrolla el artículo 355 de la Constitución Política y que, en concordancia con el numeral 16 y el parágrafo tercero del artículo 3 de la Ley 136 de 1994, permite celebrar convenios para el impulso de programas y actividades de interés público acordes con el plan de desarrollo, siempre que no reflejen relaciones conmutativas ni la entidad imparta instrucciones precisas, y con sujeción al límite de menor cuantía previsto en el literal f) del artículo 16 de la Ley 2166 de 2021; y c) el derivado de los parágrafos tercero y quinto del artículo 3 de la Ley 136 de 1994, el artículo 141 de la misma ley y el artículo 63 de la Ley 2166 de 2021, que se rige por los artículos 375 a 378 del Decreto 1333 de 1986 y el Estatuto General de Contratación de la Administración Pública.</w:t>
            </w:r>
          </w:p>
          <w:p w14:paraId="6B4AE885" w14:textId="11DAC761" w:rsidR="000E1591" w:rsidRPr="003B459E" w:rsidRDefault="00EE2036" w:rsidP="000E1591">
            <w:pPr>
              <w:widowControl w:val="0"/>
              <w:autoSpaceDE w:val="0"/>
              <w:autoSpaceDN w:val="0"/>
              <w:spacing w:after="120" w:line="276" w:lineRule="auto"/>
              <w:ind w:firstLine="743"/>
              <w:jc w:val="both"/>
              <w:rPr>
                <w:rFonts w:ascii="Verdana" w:eastAsia="Calibri" w:hAnsi="Verdana" w:cs="Arial"/>
                <w:sz w:val="22"/>
                <w:szCs w:val="22"/>
                <w:lang w:val="es-ES"/>
              </w:rPr>
            </w:pPr>
            <w:r w:rsidRPr="003B459E">
              <w:rPr>
                <w:rFonts w:ascii="Verdana" w:eastAsia="Calibri" w:hAnsi="Verdana" w:cs="Arial"/>
                <w:sz w:val="22"/>
                <w:szCs w:val="22"/>
                <w:lang w:val="es-ES"/>
              </w:rPr>
              <w:t xml:space="preserve">Así las cosas, el numeral 16 del artículo 3 de la Ley 136 de 1994 habilita la figura del convenio solidario para el desarrollo conjunto de programas y actividades, pero no contiene por sí mismo una regla de selección que permita prescindir del procedimiento competitivo; la selección del cooperante deberá adelantarse conforme al Decreto 092 de 2017 o, en su defecto, al Estatuto General de Contratación. Este convenio debe diferenciarse del convenio solidario para la ejecución de obras del artículo 95 de la Ley 2166 de 2021, que </w:t>
            </w:r>
            <w:r w:rsidR="00206651" w:rsidRPr="003B459E">
              <w:rPr>
                <w:rFonts w:ascii="Verdana" w:eastAsia="Calibri" w:hAnsi="Verdana" w:cs="Arial"/>
                <w:sz w:val="22"/>
                <w:szCs w:val="22"/>
                <w:lang w:val="es-ES"/>
              </w:rPr>
              <w:t>constituye el</w:t>
            </w:r>
            <w:r w:rsidRPr="003B459E">
              <w:rPr>
                <w:rFonts w:ascii="Verdana" w:eastAsia="Calibri" w:hAnsi="Verdana" w:cs="Arial"/>
                <w:sz w:val="22"/>
                <w:szCs w:val="22"/>
                <w:lang w:val="es-ES"/>
              </w:rPr>
              <w:t xml:space="preserve"> único </w:t>
            </w:r>
            <w:r w:rsidR="00206651" w:rsidRPr="003B459E">
              <w:rPr>
                <w:rFonts w:ascii="Verdana" w:eastAsia="Calibri" w:hAnsi="Verdana" w:cs="Arial"/>
                <w:sz w:val="22"/>
                <w:szCs w:val="22"/>
                <w:lang w:val="es-ES"/>
              </w:rPr>
              <w:t xml:space="preserve">régimen </w:t>
            </w:r>
            <w:r w:rsidRPr="003B459E">
              <w:rPr>
                <w:rFonts w:ascii="Verdana" w:eastAsia="Calibri" w:hAnsi="Verdana" w:cs="Arial"/>
                <w:sz w:val="22"/>
                <w:szCs w:val="22"/>
                <w:lang w:val="es-ES"/>
              </w:rPr>
              <w:t xml:space="preserve">que contiene una </w:t>
            </w:r>
            <w:r w:rsidR="00206651" w:rsidRPr="003B459E">
              <w:rPr>
                <w:rFonts w:ascii="Verdana" w:eastAsia="Calibri" w:hAnsi="Verdana" w:cs="Arial"/>
                <w:sz w:val="22"/>
                <w:szCs w:val="22"/>
                <w:lang w:val="es-ES"/>
              </w:rPr>
              <w:t xml:space="preserve">habilitación legal </w:t>
            </w:r>
            <w:r w:rsidRPr="003B459E">
              <w:rPr>
                <w:rFonts w:ascii="Verdana" w:eastAsia="Calibri" w:hAnsi="Verdana" w:cs="Arial"/>
                <w:sz w:val="22"/>
                <w:szCs w:val="22"/>
                <w:lang w:val="es-ES"/>
              </w:rPr>
              <w:t xml:space="preserve">expresa </w:t>
            </w:r>
            <w:r w:rsidR="00206651" w:rsidRPr="003B459E">
              <w:rPr>
                <w:rFonts w:ascii="Verdana" w:eastAsia="Calibri" w:hAnsi="Verdana" w:cs="Arial"/>
                <w:sz w:val="22"/>
                <w:szCs w:val="22"/>
                <w:lang w:val="es-ES"/>
              </w:rPr>
              <w:t>para la</w:t>
            </w:r>
            <w:r w:rsidRPr="003B459E">
              <w:rPr>
                <w:rFonts w:ascii="Verdana" w:eastAsia="Calibri" w:hAnsi="Verdana" w:cs="Arial"/>
                <w:sz w:val="22"/>
                <w:szCs w:val="22"/>
                <w:lang w:val="es-ES"/>
              </w:rPr>
              <w:t xml:space="preserve"> contratación directa</w:t>
            </w:r>
            <w:r w:rsidR="00206651" w:rsidRPr="003B459E">
              <w:rPr>
                <w:rFonts w:ascii="Verdana" w:eastAsia="Calibri" w:hAnsi="Verdana" w:cs="Arial"/>
                <w:sz w:val="22"/>
                <w:szCs w:val="22"/>
                <w:lang w:val="es-ES"/>
              </w:rPr>
              <w:t xml:space="preserve"> de convenios solidarios cuyo objeto consiste en la ejecución de obras</w:t>
            </w:r>
            <w:r w:rsidRPr="003B459E">
              <w:rPr>
                <w:rFonts w:ascii="Verdana" w:eastAsia="Calibri" w:hAnsi="Verdana" w:cs="Arial"/>
                <w:sz w:val="22"/>
                <w:szCs w:val="22"/>
                <w:lang w:val="es-ES"/>
              </w:rPr>
              <w:t xml:space="preserve"> con Organismos de Acción Comunal. En todo caso, el límite de la menor cuantía resulta aplicable a ambos, en la medida en que el literal f) del artículo 16 de la Ley 2166 de 2021 lo establece como límite general de la capacidad contractual de estos organismos.</w:t>
            </w:r>
          </w:p>
          <w:p w14:paraId="3F8D0292" w14:textId="7B08C066" w:rsidR="00DC676A" w:rsidRPr="003B459E" w:rsidRDefault="00DC676A" w:rsidP="00243ABB">
            <w:pPr>
              <w:widowControl w:val="0"/>
              <w:autoSpaceDE w:val="0"/>
              <w:autoSpaceDN w:val="0"/>
              <w:spacing w:line="276" w:lineRule="auto"/>
              <w:ind w:firstLine="743"/>
              <w:jc w:val="both"/>
              <w:rPr>
                <w:rFonts w:ascii="Verdana" w:eastAsia="Calibri" w:hAnsi="Verdana" w:cs="Arial"/>
                <w:sz w:val="22"/>
                <w:szCs w:val="22"/>
              </w:rPr>
            </w:pPr>
            <w:r w:rsidRPr="003B459E">
              <w:rPr>
                <w:rFonts w:ascii="Verdana" w:eastAsia="Calibri" w:hAnsi="Verdana" w:cs="Arial"/>
                <w:sz w:val="22"/>
                <w:szCs w:val="22"/>
              </w:rPr>
              <w:t xml:space="preserve">Respecto a los convenios de asociación, los Organismos de Acción Comunal, en tanto personas jurídicas sin ánimo de lucro, pueden ser parte de </w:t>
            </w:r>
            <w:r w:rsidRPr="003B459E">
              <w:rPr>
                <w:rFonts w:ascii="Verdana" w:eastAsia="Calibri" w:hAnsi="Verdana" w:cs="Arial"/>
                <w:sz w:val="22"/>
                <w:szCs w:val="22"/>
              </w:rPr>
              <w:lastRenderedPageBreak/>
              <w:t>los convenios previstos en el artículo 96 de la Ley 489 de 1998, cuya celebración se rige por el artículo 5 del Decreto 092 de 2017, siempre que se cumplan los requisitos de este y los límites de capacidad antes señalados. Conforme a dicha disposición, la entidad puede prescindir del proceso competitivo cuando la entidad sin ánimo de lucro comprometa recursos en dinero en una proporción no inferior al treinta por ciento (30 %) del valor total del convenio; los aportes en especie, trabajo comunitario, voluntariado, bienes, servicios o capacidad instalada pueden pactarse, pero no se contabilizan para efectos de acreditar dicho porcentaje. Si más de una entidad sin ánimo de lucro ofrece comprometer recursos en dinero en esa proporción, la entidad estatal deberá seleccionarla de forma objetiva, mediante un proceso competitivo, en los términos del citado artículo 5 y del artículo 4 del Decreto 092 de 2017.</w:t>
            </w:r>
          </w:p>
          <w:p w14:paraId="3F2AAEB4" w14:textId="77777777" w:rsidR="00206651" w:rsidRPr="003B459E" w:rsidRDefault="00206651" w:rsidP="00243ABB">
            <w:pPr>
              <w:widowControl w:val="0"/>
              <w:autoSpaceDE w:val="0"/>
              <w:autoSpaceDN w:val="0"/>
              <w:spacing w:line="276" w:lineRule="auto"/>
              <w:jc w:val="both"/>
              <w:rPr>
                <w:rFonts w:ascii="Verdana" w:eastAsia="Calibri" w:hAnsi="Verdana" w:cs="Arial"/>
                <w:sz w:val="22"/>
                <w:szCs w:val="22"/>
              </w:rPr>
            </w:pPr>
          </w:p>
          <w:p w14:paraId="299C699B" w14:textId="51FBAD0D" w:rsidR="007B6E31" w:rsidRPr="003B459E" w:rsidRDefault="007B6E31" w:rsidP="00243ABB">
            <w:pPr>
              <w:widowControl w:val="0"/>
              <w:autoSpaceDE w:val="0"/>
              <w:autoSpaceDN w:val="0"/>
              <w:spacing w:after="120" w:line="276" w:lineRule="auto"/>
              <w:jc w:val="both"/>
              <w:rPr>
                <w:rFonts w:ascii="Verdana" w:eastAsia="Calibri" w:hAnsi="Verdana" w:cs="Arial"/>
                <w:sz w:val="22"/>
                <w:szCs w:val="22"/>
              </w:rPr>
            </w:pPr>
            <w:r w:rsidRPr="003B459E">
              <w:rPr>
                <w:rFonts w:ascii="Verdana" w:eastAsia="Calibri" w:hAnsi="Verdana" w:cs="Arial"/>
                <w:sz w:val="22"/>
                <w:szCs w:val="22"/>
              </w:rPr>
              <w:t xml:space="preserve">v) Finalmente, la naturaleza de un negocio jurídico se determina por su contenido y no por su denominación. En consecuencia, para distinguir un convenio solidario o de colaboración que incorpora componentes logísticos instrumentales de un contrato conmutativo cuyo objeto es la adquisición de servicios de operación logística, la entidad deberá valorar, entre otros, los siguientes criterios: a) si el objeto corresponde a un programa o actividad de interés público previsto en el plan de desarrollo, o si, por el contrario, consiste en la satisfacción de una necesidad de funcionamiento de la entidad; b) si existe una contraprestación directa en favor de la entidad, esto es, si esta recibe un bien o servicio para su propio provecho; c) si la organización aporta esfuerzos, recursos o capacidades propias y de la comunidad, o se limita a proveer bienes y servicios a cambio de un precio; d) si la entidad imparte instrucciones precisas para la ejecución; e) si la organización actúa como ejecutora del programa o únicamente como intermediaria entre la entidad y proveedores privados; y f) si el objeto guarda relación con la finalidad comunitaria y la territorialidad del organismo. Cuando el verdadero objeto económico del negocio consista en adquirir servicios logísticos para la entidad, este corresponderá a un contrato estatal conmutativo, cuya celebración debe sujetarse a la modalidad de selección que corresponda según el Estatuto General de Contratación, sin perjuicio de que un Organismo de Acción Comunal pueda participar como oferente si acredita su capacidad jurídica en los términos expuestos y los requisitos habilitantes exigidos en los documentos </w:t>
            </w:r>
            <w:r w:rsidRPr="003B459E">
              <w:rPr>
                <w:rFonts w:ascii="Verdana" w:eastAsia="Calibri" w:hAnsi="Verdana" w:cs="Arial"/>
                <w:sz w:val="22"/>
                <w:szCs w:val="22"/>
              </w:rPr>
              <w:lastRenderedPageBreak/>
              <w:t>del proceso.</w:t>
            </w:r>
          </w:p>
          <w:p w14:paraId="52F3FC03" w14:textId="4208DDE7" w:rsidR="00BE5CA5" w:rsidRPr="003B459E" w:rsidRDefault="00BE5CA5" w:rsidP="00243ABB">
            <w:pPr>
              <w:widowControl w:val="0"/>
              <w:autoSpaceDE w:val="0"/>
              <w:autoSpaceDN w:val="0"/>
              <w:spacing w:after="120" w:line="276" w:lineRule="auto"/>
              <w:ind w:firstLine="709"/>
              <w:jc w:val="both"/>
              <w:rPr>
                <w:rFonts w:ascii="Verdana" w:eastAsia="Calibri" w:hAnsi="Verdana" w:cs="Arial"/>
                <w:sz w:val="22"/>
                <w:szCs w:val="22"/>
              </w:rPr>
            </w:pPr>
            <w:r w:rsidRPr="003B459E">
              <w:rPr>
                <w:rFonts w:ascii="Verdana" w:eastAsia="Calibri" w:hAnsi="Verdana" w:cs="Arial"/>
                <w:sz w:val="22"/>
                <w:szCs w:val="22"/>
              </w:rPr>
              <w:t>Estas mismas reglas resultan aplicables con independencia de que el objeto se refiera a la totalidad de las necesidades logísticas de una entidad durante una vigencia o se limite a una actividad específica, como fiestas tradicionales o populares, pues lo determinante no es la extensión del objeto sino su naturaleza, la existencia de una causal legal que permita prescindir del procedimiento competitivo y el respeto de los límites de capacidad de la organización. En ese sentido, no existe una disposición legal o reglamentaria que permita a una entidad territorial contratar directamente con un Organismo de Acción Comunal la prestación de servicios de operación logística por la sola circunstancia de tratarse de un organismo de acción comunal.</w:t>
            </w:r>
          </w:p>
          <w:p w14:paraId="197825A2" w14:textId="77777777" w:rsidR="00687D68" w:rsidRPr="003B459E" w:rsidRDefault="00687D68" w:rsidP="00243ABB">
            <w:pPr>
              <w:pStyle w:val="NormalWeb"/>
              <w:spacing w:before="0" w:beforeAutospacing="0" w:after="120" w:afterAutospacing="0" w:line="276" w:lineRule="auto"/>
              <w:ind w:firstLine="709"/>
              <w:jc w:val="both"/>
              <w:rPr>
                <w:rFonts w:ascii="Verdana" w:hAnsi="Verdana" w:cs="Segoe UI"/>
                <w:sz w:val="22"/>
                <w:szCs w:val="22"/>
              </w:rPr>
            </w:pPr>
            <w:r w:rsidRPr="003B459E">
              <w:rPr>
                <w:rFonts w:ascii="Verdana" w:hAnsi="Verdana" w:cs="Segoe UI"/>
                <w:sz w:val="22"/>
                <w:szCs w:val="22"/>
              </w:rPr>
              <w:t>La naturaleza jurídica de un negocio celebrado entre una entidad estatal y un Organismo de Acción Comunal depende de su contenido material y de las obligaciones efectivamente asumidas por las partes, y no de la denominación utilizada en el documento contractual. En consecuencia, la utilización de expresiones como “convenio solidario”, “convenio de asociación” o “convenio de colaboración” no modifica la naturaleza jurídica del negocio cuando este corresponde sustancialmente a la adquisición de bienes o servicios a cambio de una contraprestación económica.</w:t>
            </w:r>
          </w:p>
          <w:p w14:paraId="6935C626" w14:textId="6922F160" w:rsidR="00687D68" w:rsidRPr="003B459E" w:rsidRDefault="00687D68" w:rsidP="00243ABB">
            <w:pPr>
              <w:pStyle w:val="NormalWeb"/>
              <w:spacing w:before="0" w:beforeAutospacing="0" w:after="120" w:afterAutospacing="0" w:line="276" w:lineRule="auto"/>
              <w:ind w:firstLine="709"/>
              <w:jc w:val="both"/>
              <w:rPr>
                <w:rFonts w:ascii="Verdana" w:hAnsi="Verdana" w:cs="Segoe UI"/>
                <w:sz w:val="22"/>
                <w:szCs w:val="22"/>
              </w:rPr>
            </w:pPr>
            <w:r w:rsidRPr="003B459E">
              <w:rPr>
                <w:rFonts w:ascii="Verdana" w:hAnsi="Verdana" w:cs="Segoe UI"/>
                <w:sz w:val="22"/>
                <w:szCs w:val="22"/>
              </w:rPr>
              <w:t>Por esta razón, la sola incorporación de componentes culturales, comunitarios, recreativos, deportivos o tradicionales dentro del objeto contractual no transforma automáticamente un contrato de prestación de servicios logísticos en un convenio solidario o asociativo, cuando el contenido económico predominante del negocio continúe siendo la adquisición de bienes o servicios destinados a satisfacer necesidades de la entidad estatal.</w:t>
            </w:r>
          </w:p>
          <w:p w14:paraId="42DC53B4" w14:textId="635B7A83" w:rsidR="00C062A9" w:rsidRPr="003B459E" w:rsidRDefault="00AB418E" w:rsidP="000E1591">
            <w:pPr>
              <w:widowControl w:val="0"/>
              <w:autoSpaceDE w:val="0"/>
              <w:autoSpaceDN w:val="0"/>
              <w:spacing w:after="120" w:line="276" w:lineRule="auto"/>
              <w:ind w:firstLine="743"/>
              <w:jc w:val="both"/>
              <w:rPr>
                <w:rFonts w:ascii="Verdana" w:eastAsia="Calibri" w:hAnsi="Verdana" w:cs="Arial"/>
                <w:sz w:val="22"/>
                <w:szCs w:val="22"/>
              </w:rPr>
            </w:pPr>
            <w:r w:rsidRPr="003B459E">
              <w:rPr>
                <w:rFonts w:ascii="Verdana" w:eastAsia="Calibri" w:hAnsi="Verdana" w:cs="Arial"/>
                <w:sz w:val="22"/>
                <w:szCs w:val="22"/>
                <w:lang w:val="es-ES"/>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w:t>
            </w:r>
            <w:r w:rsidRPr="003B459E">
              <w:rPr>
                <w:rFonts w:ascii="Verdana" w:eastAsia="Calibri" w:hAnsi="Verdana" w:cs="Arial"/>
                <w:sz w:val="22"/>
                <w:szCs w:val="22"/>
                <w:lang w:val="es-ES"/>
              </w:rPr>
              <w:lastRenderedPageBreak/>
              <w:t>judiciales, fiscales y disciplinarias.</w:t>
            </w:r>
          </w:p>
        </w:tc>
      </w:tr>
      <w:bookmarkEnd w:id="1"/>
    </w:tbl>
    <w:p w14:paraId="775CF884" w14:textId="77777777" w:rsidR="00C062A9" w:rsidRPr="003B459E" w:rsidRDefault="00C062A9" w:rsidP="00243ABB">
      <w:pPr>
        <w:widowControl w:val="0"/>
        <w:autoSpaceDE w:val="0"/>
        <w:autoSpaceDN w:val="0"/>
        <w:spacing w:after="120" w:line="276" w:lineRule="auto"/>
        <w:outlineLvl w:val="0"/>
        <w:rPr>
          <w:rFonts w:ascii="Verdana" w:eastAsia="Arial" w:hAnsi="Verdana" w:cs="Arial"/>
          <w:b/>
          <w:bCs/>
          <w:sz w:val="22"/>
          <w:szCs w:val="22"/>
          <w:highlight w:val="cyan"/>
        </w:rPr>
      </w:pPr>
    </w:p>
    <w:p w14:paraId="44B6DA03" w14:textId="77777777" w:rsidR="00C062A9" w:rsidRPr="003B459E" w:rsidRDefault="00C062A9" w:rsidP="00243ABB">
      <w:pPr>
        <w:widowControl w:val="0"/>
        <w:autoSpaceDE w:val="0"/>
        <w:autoSpaceDN w:val="0"/>
        <w:spacing w:after="120" w:line="276" w:lineRule="auto"/>
        <w:ind w:left="360" w:hanging="360"/>
        <w:outlineLvl w:val="0"/>
        <w:rPr>
          <w:rFonts w:ascii="Verdana" w:eastAsia="Arial" w:hAnsi="Verdana" w:cs="Arial"/>
          <w:b/>
          <w:bCs/>
          <w:sz w:val="22"/>
          <w:szCs w:val="22"/>
          <w:lang w:val="es-ES"/>
        </w:rPr>
      </w:pPr>
      <w:r w:rsidRPr="003B459E">
        <w:rPr>
          <w:rFonts w:ascii="Verdana" w:eastAsia="Arial" w:hAnsi="Verdana" w:cs="Arial"/>
          <w:b/>
          <w:bCs/>
          <w:sz w:val="22"/>
          <w:szCs w:val="22"/>
          <w:lang w:val="es-ES"/>
        </w:rPr>
        <w:t>3. Razones de la respuesta:</w:t>
      </w:r>
    </w:p>
    <w:p w14:paraId="35D67AE2" w14:textId="77777777" w:rsidR="00C062A9" w:rsidRPr="003B459E" w:rsidRDefault="00C062A9" w:rsidP="00243ABB">
      <w:pPr>
        <w:spacing w:after="120" w:line="276" w:lineRule="auto"/>
        <w:jc w:val="both"/>
        <w:rPr>
          <w:rFonts w:ascii="Verdana" w:eastAsia="Verdana" w:hAnsi="Verdana" w:cs="Verdana"/>
          <w:sz w:val="22"/>
          <w:szCs w:val="22"/>
          <w:lang w:val="es-ES"/>
        </w:rPr>
      </w:pPr>
    </w:p>
    <w:p w14:paraId="0035091F" w14:textId="77777777" w:rsidR="00C062A9" w:rsidRPr="003B459E" w:rsidRDefault="00C062A9" w:rsidP="00243ABB">
      <w:pPr>
        <w:spacing w:after="120" w:line="276" w:lineRule="auto"/>
        <w:jc w:val="both"/>
        <w:rPr>
          <w:rFonts w:ascii="Verdana" w:eastAsia="Calibri" w:hAnsi="Verdana" w:cs="Arial"/>
          <w:sz w:val="22"/>
          <w:szCs w:val="22"/>
          <w:lang w:val="es-ES"/>
        </w:rPr>
      </w:pPr>
      <w:r w:rsidRPr="003B459E">
        <w:rPr>
          <w:rFonts w:ascii="Verdana" w:eastAsia="Calibri" w:hAnsi="Verdana" w:cs="Arial"/>
          <w:sz w:val="22"/>
          <w:szCs w:val="22"/>
          <w:lang w:val="es-ES"/>
        </w:rPr>
        <w:t xml:space="preserve">La respuesta anterior se sustenta en las siguientes consideraciones: </w:t>
      </w:r>
    </w:p>
    <w:p w14:paraId="70D74E5F" w14:textId="77777777" w:rsidR="002A0DD0" w:rsidRPr="003B459E" w:rsidRDefault="002A0DD0" w:rsidP="00243ABB">
      <w:pPr>
        <w:spacing w:after="120" w:line="276" w:lineRule="auto"/>
        <w:jc w:val="both"/>
        <w:rPr>
          <w:rFonts w:ascii="Verdana" w:eastAsia="Verdana" w:hAnsi="Verdana" w:cs="Verdana"/>
          <w:sz w:val="22"/>
          <w:szCs w:val="22"/>
          <w:lang w:val="es-ES"/>
        </w:rPr>
      </w:pPr>
    </w:p>
    <w:p w14:paraId="4B09A0A4" w14:textId="06ECC511" w:rsidR="00996D7C" w:rsidRPr="003B459E" w:rsidRDefault="00C06E51" w:rsidP="00CA679E">
      <w:pPr>
        <w:shd w:val="clear" w:color="auto" w:fill="FFFFFF" w:themeFill="background1"/>
        <w:spacing w:after="120" w:line="276" w:lineRule="auto"/>
        <w:jc w:val="both"/>
        <w:rPr>
          <w:rFonts w:ascii="Verdana" w:eastAsia="Calibri" w:hAnsi="Verdana" w:cs="Arial"/>
          <w:color w:val="000000" w:themeColor="text1"/>
          <w:sz w:val="22"/>
          <w:szCs w:val="22"/>
          <w:lang w:val="es-ES"/>
        </w:rPr>
      </w:pPr>
      <w:r w:rsidRPr="003B459E">
        <w:rPr>
          <w:rFonts w:ascii="Verdana" w:eastAsia="Calibri" w:hAnsi="Verdana" w:cs="Arial"/>
          <w:color w:val="000000" w:themeColor="text1"/>
          <w:sz w:val="22"/>
          <w:szCs w:val="22"/>
          <w:lang w:val="es-ES"/>
        </w:rPr>
        <w:t xml:space="preserve">i) </w:t>
      </w:r>
      <w:r w:rsidR="00996D7C" w:rsidRPr="003B459E">
        <w:rPr>
          <w:rFonts w:ascii="Verdana" w:eastAsia="Calibri" w:hAnsi="Verdana" w:cs="Arial"/>
          <w:color w:val="000000" w:themeColor="text1"/>
          <w:sz w:val="22"/>
          <w:szCs w:val="22"/>
          <w:lang w:val="es-ES"/>
        </w:rPr>
        <w:t>La Ley 136 de 1994 introdujo un tipo especial de contratación cuyo objetivo consiste en la celebración de convenios solidarios, definido en el parágrafo tercero del artículo 3 como “</w:t>
      </w:r>
      <w:r w:rsidR="00996D7C" w:rsidRPr="003B459E">
        <w:rPr>
          <w:rFonts w:ascii="Verdana" w:eastAsia="Calibri" w:hAnsi="Verdana" w:cs="Arial"/>
          <w:i/>
          <w:iCs/>
          <w:color w:val="000000" w:themeColor="text1"/>
          <w:sz w:val="22"/>
          <w:szCs w:val="22"/>
          <w:lang w:val="es-ES"/>
        </w:rPr>
        <w:t>la complementación de esfuerzos institucionales, comunitarios, económicos y sociales para la construcción de obras y la satisfacción de necesidades y aspiraciones de las comunidades”.</w:t>
      </w:r>
      <w:r w:rsidR="00996D7C" w:rsidRPr="003B459E">
        <w:rPr>
          <w:rFonts w:ascii="Verdana" w:eastAsia="Calibri" w:hAnsi="Verdana" w:cs="Arial"/>
          <w:color w:val="000000" w:themeColor="text1"/>
          <w:sz w:val="22"/>
          <w:szCs w:val="22"/>
          <w:lang w:val="es-ES"/>
        </w:rPr>
        <w:t xml:space="preserve"> En este sentido, reiterando la tesis expuesta por esta Agencia en el Concepto C-140 </w:t>
      </w:r>
      <w:r w:rsidR="00B42F63" w:rsidRPr="003B459E">
        <w:rPr>
          <w:rFonts w:ascii="Verdana" w:eastAsia="Calibri" w:hAnsi="Verdana" w:cs="Arial"/>
          <w:color w:val="000000" w:themeColor="text1"/>
          <w:sz w:val="22"/>
          <w:szCs w:val="22"/>
          <w:lang w:val="es-ES"/>
        </w:rPr>
        <w:t>de</w:t>
      </w:r>
      <w:r w:rsidR="00996D7C" w:rsidRPr="003B459E">
        <w:rPr>
          <w:rFonts w:ascii="Verdana" w:eastAsia="Calibri" w:hAnsi="Verdana" w:cs="Arial"/>
          <w:color w:val="000000" w:themeColor="text1"/>
          <w:sz w:val="22"/>
          <w:szCs w:val="22"/>
          <w:lang w:val="es-ES"/>
        </w:rPr>
        <w:t xml:space="preserve"> abril de 2020, el artículo tercero de la Ley 136 de 1994, modificado por la Ley 1551 de 2012, determinó, en una primera instancia, tres (3) alternativas mediante las cuales las entidades territoriales pueden celebrar convenios solidarios con las Juntas de Acción Comunal, las cuales se enlistan a continuación:</w:t>
      </w:r>
    </w:p>
    <w:p w14:paraId="4B647FC8" w14:textId="77777777" w:rsidR="00996D7C" w:rsidRPr="003B459E" w:rsidRDefault="00996D7C" w:rsidP="00206651">
      <w:pPr>
        <w:shd w:val="clear" w:color="auto" w:fill="FFFFFF" w:themeFill="background1"/>
        <w:spacing w:after="120" w:line="276" w:lineRule="auto"/>
        <w:ind w:firstLine="708"/>
        <w:jc w:val="both"/>
        <w:rPr>
          <w:rFonts w:ascii="Verdana" w:eastAsia="Calibri" w:hAnsi="Verdana" w:cs="Arial"/>
          <w:color w:val="000000" w:themeColor="text1"/>
          <w:sz w:val="22"/>
          <w:szCs w:val="22"/>
        </w:rPr>
      </w:pPr>
      <w:r w:rsidRPr="003B459E">
        <w:rPr>
          <w:rFonts w:ascii="Verdana" w:eastAsia="Calibri" w:hAnsi="Verdana" w:cs="Arial"/>
          <w:color w:val="000000" w:themeColor="text1"/>
          <w:sz w:val="22"/>
          <w:szCs w:val="22"/>
        </w:rPr>
        <w:t>i) En primer lugar, las entidades territoriales del orden municipal o distrital pueden celebrar convenios solidarios con Juntas de Acción Comunal</w:t>
      </w:r>
      <w:r w:rsidRPr="003B459E">
        <w:rPr>
          <w:rFonts w:ascii="Verdana" w:eastAsia="Calibri" w:hAnsi="Verdana" w:cs="Arial"/>
          <w:i/>
          <w:iCs/>
          <w:color w:val="000000" w:themeColor="text1"/>
          <w:sz w:val="22"/>
          <w:szCs w:val="22"/>
        </w:rPr>
        <w:t xml:space="preserve"> “[…] para el desarrollo conjunto de programas y actividades establecidas por la Ley a los municipios y distritos, acorde con sus planes y desarrollos</w:t>
      </w:r>
      <w:r w:rsidRPr="003B459E">
        <w:rPr>
          <w:rFonts w:ascii="Verdana" w:eastAsia="Calibri" w:hAnsi="Verdana" w:cs="Arial"/>
          <w:color w:val="000000" w:themeColor="text1"/>
          <w:sz w:val="22"/>
          <w:szCs w:val="22"/>
        </w:rPr>
        <w:t>”</w:t>
      </w:r>
      <w:r w:rsidRPr="003B459E">
        <w:rPr>
          <w:rFonts w:ascii="Verdana" w:hAnsi="Verdana"/>
          <w:sz w:val="22"/>
          <w:szCs w:val="22"/>
          <w:vertAlign w:val="superscript"/>
        </w:rPr>
        <w:footnoteReference w:id="1"/>
      </w:r>
      <w:r w:rsidRPr="003B459E">
        <w:rPr>
          <w:rFonts w:ascii="Verdana" w:eastAsia="Calibri" w:hAnsi="Verdana" w:cs="Arial"/>
          <w:color w:val="000000" w:themeColor="text1"/>
          <w:sz w:val="22"/>
          <w:szCs w:val="22"/>
        </w:rPr>
        <w:t>.</w:t>
      </w:r>
    </w:p>
    <w:p w14:paraId="6986EB14" w14:textId="77777777" w:rsidR="00996D7C" w:rsidRPr="003B459E" w:rsidRDefault="00996D7C" w:rsidP="00687D68">
      <w:pPr>
        <w:shd w:val="clear" w:color="auto" w:fill="FFFFFF" w:themeFill="background1"/>
        <w:spacing w:after="120" w:line="276" w:lineRule="auto"/>
        <w:ind w:firstLine="708"/>
        <w:jc w:val="both"/>
        <w:rPr>
          <w:rFonts w:ascii="Verdana" w:eastAsia="Calibri" w:hAnsi="Verdana" w:cs="Arial"/>
          <w:color w:val="000000" w:themeColor="text1"/>
          <w:sz w:val="22"/>
          <w:szCs w:val="22"/>
          <w:lang w:val="es-ES"/>
        </w:rPr>
      </w:pPr>
      <w:r w:rsidRPr="003B459E">
        <w:rPr>
          <w:rFonts w:ascii="Verdana" w:eastAsia="Calibri" w:hAnsi="Verdana" w:cs="Arial"/>
          <w:color w:val="000000" w:themeColor="text1"/>
          <w:sz w:val="22"/>
          <w:szCs w:val="22"/>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77F54CC8" w14:textId="77777777" w:rsidR="00996D7C" w:rsidRPr="003B459E" w:rsidRDefault="00996D7C" w:rsidP="00F7295F">
      <w:pPr>
        <w:shd w:val="clear" w:color="auto" w:fill="FFFFFF" w:themeFill="background1"/>
        <w:spacing w:after="120" w:line="276" w:lineRule="auto"/>
        <w:ind w:firstLine="709"/>
        <w:jc w:val="both"/>
        <w:rPr>
          <w:rFonts w:ascii="Verdana" w:eastAsia="Calibri" w:hAnsi="Verdana" w:cs="Arial"/>
          <w:color w:val="000000" w:themeColor="text1"/>
          <w:sz w:val="22"/>
          <w:szCs w:val="22"/>
          <w:lang w:val="es-ES"/>
        </w:rPr>
      </w:pPr>
      <w:r w:rsidRPr="003B459E">
        <w:rPr>
          <w:rFonts w:ascii="Verdana" w:eastAsia="Calibri" w:hAnsi="Verdana" w:cs="Arial"/>
          <w:color w:val="000000" w:themeColor="text1"/>
          <w:sz w:val="22"/>
          <w:szCs w:val="22"/>
          <w:lang w:val="es-ES"/>
        </w:rPr>
        <w:t xml:space="preserve">iii) En tercer lugar, la Ley 1955 de 2019 introdujo un quinto parágrafo al artículo tercero, mediante el cual se permite la celebración de convenios </w:t>
      </w:r>
      <w:r w:rsidRPr="003B459E">
        <w:rPr>
          <w:rFonts w:ascii="Verdana" w:eastAsia="Calibri" w:hAnsi="Verdana" w:cs="Arial"/>
          <w:color w:val="000000" w:themeColor="text1"/>
          <w:sz w:val="22"/>
          <w:szCs w:val="22"/>
          <w:lang w:val="es-ES"/>
        </w:rPr>
        <w:lastRenderedPageBreak/>
        <w:t xml:space="preserve">solidarios en aras de ejecutar proyectos previstos en el Plan Nacional de Desarrollo. </w:t>
      </w:r>
    </w:p>
    <w:p w14:paraId="188F91CA" w14:textId="77777777" w:rsidR="00996D7C" w:rsidRPr="003B459E" w:rsidRDefault="00996D7C" w:rsidP="00F7295F">
      <w:pPr>
        <w:shd w:val="clear" w:color="auto" w:fill="FFFFFF" w:themeFill="background1"/>
        <w:spacing w:after="120" w:line="276" w:lineRule="auto"/>
        <w:ind w:firstLine="709"/>
        <w:jc w:val="both"/>
        <w:rPr>
          <w:rFonts w:ascii="Verdana" w:eastAsia="Calibri" w:hAnsi="Verdana" w:cs="Arial"/>
          <w:color w:val="000000" w:themeColor="text1"/>
          <w:sz w:val="22"/>
          <w:szCs w:val="22"/>
          <w:lang w:val="es-ES"/>
        </w:rPr>
      </w:pPr>
      <w:r w:rsidRPr="003B459E">
        <w:rPr>
          <w:rFonts w:ascii="Verdana" w:eastAsia="Calibri" w:hAnsi="Verdana" w:cs="Arial"/>
          <w:color w:val="000000" w:themeColor="text1"/>
          <w:sz w:val="22"/>
          <w:szCs w:val="22"/>
          <w:lang w:val="es-ES"/>
        </w:rPr>
        <w:t xml:space="preserve">Existen características </w:t>
      </w:r>
      <w:r w:rsidRPr="003B459E">
        <w:rPr>
          <w:rFonts w:ascii="Verdana" w:hAnsi="Verdana" w:cs="Arial"/>
          <w:color w:val="000000" w:themeColor="text1"/>
          <w:sz w:val="22"/>
          <w:szCs w:val="22"/>
          <w:lang w:val="es-ES"/>
        </w:rPr>
        <w:t>generales aplicables a la celebración de cualquier convenio solidario</w:t>
      </w:r>
      <w:r w:rsidRPr="003B459E">
        <w:rPr>
          <w:rFonts w:ascii="Verdana" w:eastAsia="Calibri" w:hAnsi="Verdana" w:cs="Arial"/>
          <w:color w:val="000000" w:themeColor="text1"/>
          <w:sz w:val="22"/>
          <w:szCs w:val="22"/>
          <w:lang w:val="es-ES"/>
        </w:rPr>
        <w:t xml:space="preserve"> que se encuentran presentes en los tres regímenes de contratación expuestos y que están contenidas en el parágrafo tercero del artículo 3 de la Ley 136 de 1994, en consonancia con el artículo 355 de la Constitución Política. En ese sentido, debe tenerse en cuenta que todos los convenios solidarios celebrados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56D8B30B" w14:textId="5F4717D4" w:rsidR="00996D7C" w:rsidRPr="003B459E" w:rsidRDefault="00996D7C" w:rsidP="00F7295F">
      <w:pPr>
        <w:shd w:val="clear" w:color="auto" w:fill="FFFFFF" w:themeFill="background1"/>
        <w:spacing w:after="120" w:line="276" w:lineRule="auto"/>
        <w:ind w:firstLine="709"/>
        <w:jc w:val="both"/>
        <w:rPr>
          <w:rFonts w:ascii="Verdana" w:hAnsi="Verdana" w:cs="Arial"/>
          <w:color w:val="000000" w:themeColor="text1"/>
          <w:sz w:val="22"/>
          <w:szCs w:val="22"/>
          <w:lang w:val="es-ES"/>
        </w:rPr>
      </w:pPr>
      <w:r w:rsidRPr="003B459E">
        <w:rPr>
          <w:rFonts w:ascii="Verdana" w:hAnsi="Verdana" w:cs="Arial"/>
          <w:color w:val="000000" w:themeColor="text1"/>
          <w:sz w:val="22"/>
          <w:szCs w:val="22"/>
          <w:lang w:val="es-ES"/>
        </w:rPr>
        <w:t xml:space="preserve">Posteriormente, con la expedición de la Ley 2166 de 2021, se presentan modificaciones para la celebración de convenios solidarios con Organismos de Acción Comunal. En primer lugar, </w:t>
      </w:r>
      <w:r w:rsidRPr="003B459E">
        <w:rPr>
          <w:rFonts w:ascii="Verdana" w:hAnsi="Verdana" w:cs="Arial"/>
          <w:bCs/>
          <w:color w:val="000000" w:themeColor="text1"/>
          <w:sz w:val="22"/>
          <w:szCs w:val="22"/>
          <w:lang w:eastAsia="es-MX"/>
        </w:rPr>
        <w:t>el artículo 95 de dicha ley contempló la celebración directa de convenios solidarios entre Organismos de Acción Comunal y “los entes territoriales del orden Nacional, Departamental, Distrital y municipal”. Según se evidencia, esta norma desarrolla las siguientes reglas:</w:t>
      </w:r>
    </w:p>
    <w:p w14:paraId="5259A3D5" w14:textId="77777777" w:rsidR="00996D7C" w:rsidRPr="003B459E" w:rsidRDefault="00996D7C">
      <w:pPr>
        <w:shd w:val="clear" w:color="auto" w:fill="FFFFFF" w:themeFill="background1"/>
        <w:spacing w:after="120" w:line="276" w:lineRule="auto"/>
        <w:ind w:firstLine="709"/>
        <w:jc w:val="both"/>
        <w:rPr>
          <w:rFonts w:ascii="Verdana" w:eastAsia="Calibri" w:hAnsi="Verdana" w:cs="Arial"/>
          <w:color w:val="000000" w:themeColor="text1"/>
          <w:sz w:val="22"/>
          <w:szCs w:val="22"/>
          <w:lang w:val="es-ES_tradnl"/>
        </w:rPr>
      </w:pPr>
      <w:r w:rsidRPr="003B459E">
        <w:rPr>
          <w:rFonts w:ascii="Verdana" w:hAnsi="Verdana" w:cs="Arial"/>
          <w:bCs/>
          <w:color w:val="000000" w:themeColor="text1"/>
          <w:sz w:val="22"/>
          <w:szCs w:val="22"/>
          <w:lang w:eastAsia="es-MX"/>
        </w:rPr>
        <w:t xml:space="preserve">i) Las </w:t>
      </w:r>
      <w:r w:rsidRPr="003B459E">
        <w:rPr>
          <w:rFonts w:ascii="Verdana" w:eastAsia="Calibri" w:hAnsi="Verdana" w:cs="Arial"/>
          <w:i/>
          <w:iCs/>
          <w:color w:val="000000" w:themeColor="text1"/>
          <w:sz w:val="22"/>
          <w:szCs w:val="22"/>
          <w:lang w:val="es-ES_tradnl"/>
        </w:rPr>
        <w:t>“</w:t>
      </w:r>
      <w:r w:rsidRPr="003B459E">
        <w:rPr>
          <w:rFonts w:ascii="Verdana" w:hAnsi="Verdana" w:cs="Arial"/>
          <w:bCs/>
          <w:i/>
          <w:iCs/>
          <w:color w:val="000000" w:themeColor="text1"/>
          <w:sz w:val="22"/>
          <w:szCs w:val="22"/>
          <w:lang w:eastAsia="es-MX"/>
        </w:rPr>
        <w:t>entidades territoriales del</w:t>
      </w:r>
      <w:r w:rsidRPr="003B459E">
        <w:rPr>
          <w:rFonts w:ascii="Verdana" w:eastAsia="Calibri" w:hAnsi="Verdana" w:cs="Arial"/>
          <w:i/>
          <w:iCs/>
          <w:color w:val="000000" w:themeColor="text1"/>
          <w:sz w:val="22"/>
          <w:szCs w:val="22"/>
          <w:lang w:val="es-ES_tradnl"/>
        </w:rPr>
        <w:t xml:space="preserve"> </w:t>
      </w:r>
      <w:r w:rsidRPr="003B459E">
        <w:rPr>
          <w:rFonts w:ascii="Verdana" w:hAnsi="Verdana" w:cs="Arial"/>
          <w:i/>
          <w:iCs/>
          <w:color w:val="000000" w:themeColor="text1"/>
          <w:sz w:val="22"/>
          <w:szCs w:val="22"/>
        </w:rPr>
        <w:t>orden Nacional, Departamental, Distrital y municipal</w:t>
      </w:r>
      <w:r w:rsidRPr="003B459E">
        <w:rPr>
          <w:rFonts w:ascii="Verdana" w:eastAsia="Calibri" w:hAnsi="Verdana" w:cs="Arial"/>
          <w:i/>
          <w:iCs/>
          <w:color w:val="000000" w:themeColor="text1"/>
          <w:sz w:val="22"/>
          <w:szCs w:val="22"/>
          <w:lang w:val="es-ES_tradnl"/>
        </w:rPr>
        <w:t>”</w:t>
      </w:r>
      <w:r w:rsidRPr="003B459E">
        <w:rPr>
          <w:rFonts w:ascii="Verdana" w:eastAsia="Calibri" w:hAnsi="Verdana" w:cs="Arial"/>
          <w:color w:val="000000" w:themeColor="text1"/>
          <w:sz w:val="22"/>
          <w:szCs w:val="22"/>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3B459E">
        <w:rPr>
          <w:rFonts w:ascii="Verdana" w:eastAsia="Calibri" w:hAnsi="Verdana" w:cs="Arial"/>
          <w:i/>
          <w:iCs/>
          <w:color w:val="000000" w:themeColor="text1"/>
          <w:sz w:val="22"/>
          <w:szCs w:val="22"/>
          <w:lang w:val="es-ES_tradnl"/>
        </w:rPr>
        <w:t>Organismos de Acción Comunal</w:t>
      </w:r>
      <w:r w:rsidRPr="003B459E">
        <w:rPr>
          <w:rStyle w:val="Refdenotaalpie"/>
          <w:rFonts w:ascii="Verdana" w:eastAsia="Calibri" w:hAnsi="Verdana" w:cs="Arial"/>
          <w:color w:val="000000" w:themeColor="text1"/>
          <w:sz w:val="22"/>
          <w:szCs w:val="22"/>
          <w:lang w:val="es-ES_tradnl"/>
        </w:rPr>
        <w:footnoteReference w:id="2"/>
      </w:r>
      <w:r w:rsidRPr="003B459E">
        <w:rPr>
          <w:rFonts w:ascii="Verdana" w:eastAsia="Calibri" w:hAnsi="Verdana" w:cs="Arial"/>
          <w:color w:val="000000" w:themeColor="text1"/>
          <w:sz w:val="22"/>
          <w:szCs w:val="22"/>
          <w:lang w:val="es-ES_tradnl"/>
        </w:rPr>
        <w:t xml:space="preserve">.  </w:t>
      </w:r>
    </w:p>
    <w:p w14:paraId="53EEFF5D" w14:textId="77777777" w:rsidR="00996D7C" w:rsidRPr="003B459E" w:rsidRDefault="00996D7C">
      <w:pPr>
        <w:shd w:val="clear" w:color="auto" w:fill="FFFFFF" w:themeFill="background1"/>
        <w:spacing w:after="120" w:line="276" w:lineRule="auto"/>
        <w:ind w:firstLine="709"/>
        <w:jc w:val="both"/>
        <w:rPr>
          <w:rFonts w:ascii="Verdana" w:eastAsia="Calibri" w:hAnsi="Verdana" w:cs="Arial"/>
          <w:color w:val="000000" w:themeColor="text1"/>
          <w:sz w:val="22"/>
          <w:szCs w:val="22"/>
          <w:lang w:val="es-ES"/>
        </w:rPr>
      </w:pPr>
      <w:r w:rsidRPr="003B459E">
        <w:rPr>
          <w:rFonts w:ascii="Verdana" w:eastAsia="Calibri" w:hAnsi="Verdana" w:cs="Arial"/>
          <w:color w:val="000000" w:themeColor="text1"/>
          <w:sz w:val="22"/>
          <w:szCs w:val="22"/>
          <w:lang w:val="es-ES"/>
        </w:rPr>
        <w:lastRenderedPageBreak/>
        <w:t xml:space="preserve">ii) Estos convenios solidarios deben tener por objeto únicamente la ejecución de obras. Esto significa que no pueden desarrollarse otros objetos distintos a la obra con fundamento en este artículo. </w:t>
      </w:r>
    </w:p>
    <w:p w14:paraId="12C77C96" w14:textId="77777777" w:rsidR="00996D7C" w:rsidRPr="003B459E" w:rsidRDefault="00996D7C">
      <w:pPr>
        <w:shd w:val="clear" w:color="auto" w:fill="FFFFFF" w:themeFill="background1"/>
        <w:spacing w:after="120" w:line="276" w:lineRule="auto"/>
        <w:ind w:firstLine="709"/>
        <w:jc w:val="both"/>
        <w:rPr>
          <w:rFonts w:ascii="Verdana" w:eastAsia="Calibri" w:hAnsi="Verdana" w:cs="Arial"/>
          <w:color w:val="000000" w:themeColor="text1"/>
          <w:sz w:val="22"/>
          <w:szCs w:val="22"/>
          <w:lang w:val="es-ES"/>
        </w:rPr>
      </w:pPr>
      <w:r w:rsidRPr="003B459E">
        <w:rPr>
          <w:rFonts w:ascii="Verdana" w:eastAsia="Calibri" w:hAnsi="Verdana" w:cs="Arial"/>
          <w:color w:val="000000" w:themeColor="text1"/>
          <w:sz w:val="22"/>
          <w:szCs w:val="22"/>
          <w:lang w:val="es-ES"/>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0A034C41" w14:textId="77777777" w:rsidR="00996D7C" w:rsidRPr="003B459E" w:rsidRDefault="00996D7C">
      <w:pPr>
        <w:shd w:val="clear" w:color="auto" w:fill="FFFFFF" w:themeFill="background1"/>
        <w:spacing w:after="120" w:line="276" w:lineRule="auto"/>
        <w:ind w:firstLine="709"/>
        <w:jc w:val="both"/>
        <w:rPr>
          <w:rFonts w:ascii="Verdana" w:eastAsia="Calibri" w:hAnsi="Verdana" w:cs="Arial"/>
          <w:color w:val="000000" w:themeColor="text1"/>
          <w:sz w:val="22"/>
          <w:szCs w:val="22"/>
          <w:lang w:val="es-ES"/>
        </w:rPr>
      </w:pPr>
      <w:r w:rsidRPr="003B459E">
        <w:rPr>
          <w:rFonts w:ascii="Verdana" w:eastAsia="Calibri" w:hAnsi="Verdana" w:cs="Arial"/>
          <w:color w:val="000000" w:themeColor="text1"/>
          <w:sz w:val="22"/>
          <w:szCs w:val="22"/>
          <w:lang w:val="es-ES"/>
        </w:rPr>
        <w:t>iv) Para la ejecución de las obras se establece el deber de contratar con los habitantes de la comunidad.</w:t>
      </w:r>
    </w:p>
    <w:p w14:paraId="3B911136" w14:textId="77777777" w:rsidR="00996D7C" w:rsidRPr="003B459E" w:rsidRDefault="00996D7C">
      <w:pPr>
        <w:shd w:val="clear" w:color="auto" w:fill="FFFFFF" w:themeFill="background1"/>
        <w:spacing w:after="120" w:line="276" w:lineRule="auto"/>
        <w:ind w:firstLine="709"/>
        <w:jc w:val="both"/>
        <w:rPr>
          <w:rFonts w:ascii="Verdana" w:eastAsia="Calibri" w:hAnsi="Verdana" w:cs="Arial"/>
          <w:color w:val="000000" w:themeColor="text1"/>
          <w:sz w:val="22"/>
          <w:szCs w:val="22"/>
        </w:rPr>
      </w:pPr>
      <w:r w:rsidRPr="003B459E">
        <w:rPr>
          <w:rFonts w:ascii="Verdana" w:eastAsia="Calibri" w:hAnsi="Verdana" w:cs="Arial"/>
          <w:color w:val="000000" w:themeColor="text1"/>
          <w:sz w:val="22"/>
          <w:szCs w:val="22"/>
          <w:lang w:val="es-ES_tradnl"/>
        </w:rPr>
        <w:t xml:space="preserve">v) En el valor total del convenio la entidad podrá incluir los costos directos, los costos administrativos y el subsidio </w:t>
      </w:r>
      <w:r w:rsidRPr="003B459E">
        <w:rPr>
          <w:rFonts w:ascii="Verdana" w:eastAsia="Calibri" w:hAnsi="Verdana" w:cs="Arial"/>
          <w:color w:val="000000" w:themeColor="text1"/>
          <w:sz w:val="22"/>
          <w:szCs w:val="22"/>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474E15EA" w14:textId="77777777" w:rsidR="00996D7C" w:rsidRPr="003B459E" w:rsidRDefault="00996D7C">
      <w:pPr>
        <w:shd w:val="clear" w:color="auto" w:fill="FFFFFF" w:themeFill="background1"/>
        <w:spacing w:after="120" w:line="276" w:lineRule="auto"/>
        <w:ind w:firstLine="709"/>
        <w:jc w:val="both"/>
        <w:rPr>
          <w:rFonts w:ascii="Verdana" w:eastAsia="Calibri" w:hAnsi="Verdana" w:cs="Arial"/>
          <w:color w:val="000000" w:themeColor="text1"/>
          <w:sz w:val="22"/>
          <w:szCs w:val="22"/>
          <w:lang w:val="es-ES_tradnl"/>
        </w:rPr>
      </w:pPr>
      <w:r w:rsidRPr="003B459E">
        <w:rPr>
          <w:rFonts w:ascii="Verdana" w:eastAsia="Calibri" w:hAnsi="Verdana" w:cs="Arial"/>
          <w:color w:val="000000" w:themeColor="text1"/>
          <w:sz w:val="22"/>
          <w:szCs w:val="22"/>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19AB8EEC" w14:textId="77777777" w:rsidR="00996D7C" w:rsidRPr="003B459E" w:rsidRDefault="00996D7C">
      <w:pPr>
        <w:shd w:val="clear" w:color="auto" w:fill="FFFFFF" w:themeFill="background1"/>
        <w:spacing w:after="120" w:line="276" w:lineRule="auto"/>
        <w:ind w:firstLine="709"/>
        <w:jc w:val="both"/>
        <w:rPr>
          <w:rFonts w:ascii="Verdana" w:eastAsia="Calibri" w:hAnsi="Verdana" w:cs="Arial"/>
          <w:color w:val="000000" w:themeColor="text1"/>
          <w:sz w:val="22"/>
          <w:szCs w:val="22"/>
          <w:lang w:val="es-ES_tradnl"/>
        </w:rPr>
      </w:pPr>
      <w:r w:rsidRPr="003B459E">
        <w:rPr>
          <w:rFonts w:ascii="Verdana" w:hAnsi="Verdana" w:cs="Arial"/>
          <w:bCs/>
          <w:color w:val="000000" w:themeColor="text1"/>
          <w:sz w:val="22"/>
          <w:szCs w:val="22"/>
          <w:lang w:eastAsia="es-MX"/>
        </w:rPr>
        <w:t xml:space="preserve">Como se observa, el artículo 95 de la Ley 2166 de 2021 determinó la celebración por contratación directa de convenios solidarios. Este régimen de contratación, como se explicó, ya se había contemplado inicialmente en el parágrafo 4 del artículo 3 de la Ley 136 de 1994. Sin embargo, el contenido del </w:t>
      </w:r>
      <w:r w:rsidRPr="003B459E">
        <w:rPr>
          <w:rFonts w:ascii="Verdana" w:hAnsi="Verdana" w:cs="Arial"/>
          <w:bCs/>
          <w:color w:val="000000" w:themeColor="text1"/>
          <w:sz w:val="22"/>
          <w:szCs w:val="22"/>
          <w:lang w:eastAsia="es-MX"/>
        </w:rPr>
        <w:lastRenderedPageBreak/>
        <w:t xml:space="preserve">artículo 95 es más amplio en relación con los sujetos, la cuantía del contrato y la ejecución de dichos convenios. En efecto, el artículo 95 incluye a los </w:t>
      </w:r>
      <w:r w:rsidRPr="003B459E">
        <w:rPr>
          <w:rFonts w:ascii="Verdana" w:eastAsia="Calibri" w:hAnsi="Verdana" w:cs="Arial"/>
          <w:color w:val="000000" w:themeColor="text1"/>
          <w:sz w:val="22"/>
          <w:szCs w:val="22"/>
          <w:lang w:val="es-ES_tradnl"/>
        </w:rPr>
        <w:t>“</w:t>
      </w:r>
      <w:r w:rsidRPr="003B459E">
        <w:rPr>
          <w:rFonts w:ascii="Verdana" w:hAnsi="Verdana" w:cs="Arial"/>
          <w:bCs/>
          <w:i/>
          <w:iCs/>
          <w:color w:val="000000" w:themeColor="text1"/>
          <w:sz w:val="22"/>
          <w:szCs w:val="22"/>
          <w:lang w:eastAsia="es-MX"/>
        </w:rPr>
        <w:t>entes territoriales del</w:t>
      </w:r>
      <w:r w:rsidRPr="003B459E">
        <w:rPr>
          <w:rFonts w:ascii="Verdana" w:eastAsia="Calibri" w:hAnsi="Verdana" w:cs="Arial"/>
          <w:i/>
          <w:iCs/>
          <w:color w:val="000000" w:themeColor="text1"/>
          <w:sz w:val="22"/>
          <w:szCs w:val="22"/>
          <w:lang w:val="es-ES_tradnl"/>
        </w:rPr>
        <w:t xml:space="preserve"> </w:t>
      </w:r>
      <w:r w:rsidRPr="003B459E">
        <w:rPr>
          <w:rFonts w:ascii="Verdana" w:hAnsi="Verdana" w:cs="Arial"/>
          <w:i/>
          <w:iCs/>
          <w:color w:val="000000" w:themeColor="text1"/>
          <w:sz w:val="22"/>
          <w:szCs w:val="22"/>
        </w:rPr>
        <w:t>orden Nacional, Departamental, Distrital y municipal</w:t>
      </w:r>
      <w:r w:rsidRPr="003B459E">
        <w:rPr>
          <w:rFonts w:ascii="Verdana" w:eastAsia="Calibri" w:hAnsi="Verdana" w:cs="Arial"/>
          <w:i/>
          <w:iCs/>
          <w:color w:val="000000" w:themeColor="text1"/>
          <w:sz w:val="22"/>
          <w:szCs w:val="22"/>
          <w:lang w:val="es-ES_tradnl"/>
        </w:rPr>
        <w:t>”</w:t>
      </w:r>
      <w:r w:rsidRPr="003B459E">
        <w:rPr>
          <w:rFonts w:ascii="Verdana" w:eastAsia="Calibri" w:hAnsi="Verdana" w:cs="Arial"/>
          <w:color w:val="000000" w:themeColor="text1"/>
          <w:sz w:val="22"/>
          <w:szCs w:val="22"/>
          <w:lang w:val="es-ES_tradnl"/>
        </w:rPr>
        <w:t xml:space="preserve"> y a los “Organismos de Acción Comunal”. Es decir, </w:t>
      </w:r>
      <w:r w:rsidRPr="003B459E">
        <w:rPr>
          <w:rFonts w:ascii="Verdana" w:hAnsi="Verdana" w:cs="Arial"/>
          <w:bCs/>
          <w:color w:val="000000" w:themeColor="text1"/>
          <w:sz w:val="22"/>
          <w:szCs w:val="22"/>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w:t>
      </w:r>
    </w:p>
    <w:p w14:paraId="6596B033" w14:textId="77777777" w:rsidR="00996D7C" w:rsidRPr="003B459E" w:rsidRDefault="00996D7C">
      <w:pPr>
        <w:shd w:val="clear" w:color="auto" w:fill="FFFFFF" w:themeFill="background1"/>
        <w:spacing w:after="120" w:line="276" w:lineRule="auto"/>
        <w:ind w:firstLine="708"/>
        <w:jc w:val="both"/>
        <w:rPr>
          <w:rFonts w:ascii="Verdana" w:eastAsia="Calibri" w:hAnsi="Verdana" w:cs="Arial"/>
          <w:color w:val="000000" w:themeColor="text1"/>
          <w:sz w:val="22"/>
          <w:szCs w:val="22"/>
          <w:lang w:val="es-ES_tradnl"/>
        </w:rPr>
      </w:pPr>
      <w:r w:rsidRPr="003B459E">
        <w:rPr>
          <w:rFonts w:ascii="Verdana" w:hAnsi="Verdana" w:cs="Arial"/>
          <w:bCs/>
          <w:color w:val="000000" w:themeColor="text1"/>
          <w:sz w:val="22"/>
          <w:szCs w:val="22"/>
          <w:lang w:eastAsia="es-MX"/>
        </w:rPr>
        <w:t>En relación con los sujetos, es importante señalar que,</w:t>
      </w:r>
      <w:r w:rsidRPr="003B459E">
        <w:rPr>
          <w:rFonts w:ascii="Verdana" w:eastAsia="Calibri" w:hAnsi="Verdana" w:cs="Arial"/>
          <w:color w:val="000000" w:themeColor="text1"/>
          <w:sz w:val="22"/>
          <w:szCs w:val="22"/>
          <w:lang w:val="es-ES_tradnl"/>
        </w:rPr>
        <w:t xml:space="preserve"> aunque la norma de forma imprecisa incluye como parte de los “entes territoriales” a las entidades del orden nacional</w:t>
      </w:r>
      <w:r w:rsidRPr="003B459E">
        <w:rPr>
          <w:rStyle w:val="Refdenotaalpie"/>
          <w:rFonts w:ascii="Verdana" w:eastAsia="Calibri" w:hAnsi="Verdana" w:cs="Arial"/>
          <w:color w:val="000000" w:themeColor="text1"/>
          <w:sz w:val="22"/>
          <w:szCs w:val="22"/>
          <w:lang w:val="es-ES_tradnl"/>
        </w:rPr>
        <w:footnoteReference w:id="3"/>
      </w:r>
      <w:r w:rsidRPr="003B459E">
        <w:rPr>
          <w:rFonts w:ascii="Verdana" w:eastAsia="Calibri" w:hAnsi="Verdana" w:cs="Arial"/>
          <w:color w:val="000000" w:themeColor="text1"/>
          <w:sz w:val="22"/>
          <w:szCs w:val="22"/>
          <w:lang w:val="es-ES_tradnl"/>
        </w:rPr>
        <w:t>, a nuestro juicio su intención no es otra que incluir a las entidades del orden nacional dentro de los sujetos que pueden celebrar estos convenios solidarios con los Organismos de Acción Comunal.</w:t>
      </w:r>
    </w:p>
    <w:p w14:paraId="60F284C5" w14:textId="5C0968B1" w:rsidR="00996D7C" w:rsidRPr="003B459E" w:rsidRDefault="00996D7C">
      <w:pPr>
        <w:shd w:val="clear" w:color="auto" w:fill="FFFFFF" w:themeFill="background1"/>
        <w:spacing w:after="120" w:line="276" w:lineRule="auto"/>
        <w:ind w:firstLine="708"/>
        <w:jc w:val="both"/>
        <w:rPr>
          <w:rFonts w:ascii="Verdana" w:hAnsi="Verdana" w:cs="Arial"/>
          <w:color w:val="000000" w:themeColor="text1"/>
          <w:sz w:val="22"/>
          <w:szCs w:val="22"/>
          <w:lang w:val="es-ES" w:eastAsia="es-MX"/>
        </w:rPr>
      </w:pPr>
      <w:r w:rsidRPr="003B459E">
        <w:rPr>
          <w:rFonts w:ascii="Verdana" w:hAnsi="Verdana" w:cs="Arial"/>
          <w:bCs/>
          <w:color w:val="000000" w:themeColor="text1"/>
          <w:sz w:val="22"/>
          <w:szCs w:val="22"/>
          <w:lang w:eastAsia="es-MX"/>
        </w:rPr>
        <w:t xml:space="preserve">En segundo lugar, el artículo 63 de la </w:t>
      </w:r>
      <w:r w:rsidRPr="003B459E">
        <w:rPr>
          <w:rFonts w:ascii="Verdana" w:hAnsi="Verdana" w:cs="Arial"/>
          <w:color w:val="000000" w:themeColor="text1"/>
          <w:sz w:val="22"/>
          <w:szCs w:val="22"/>
          <w:lang w:val="es-ES" w:eastAsia="es-MX"/>
        </w:rPr>
        <w:t>Ley 2166 de 2021, contempló otra modificación importante sobre la celebración de convenios solidarios, pues en virtud de este artículo, l</w:t>
      </w:r>
      <w:r w:rsidR="00302DAE" w:rsidRPr="003B459E">
        <w:rPr>
          <w:rFonts w:ascii="Verdana" w:hAnsi="Verdana" w:cs="Arial"/>
          <w:color w:val="000000" w:themeColor="text1"/>
          <w:sz w:val="22"/>
          <w:szCs w:val="22"/>
          <w:lang w:val="es-ES" w:eastAsia="es-MX"/>
        </w:rPr>
        <w:t>o</w:t>
      </w:r>
      <w:r w:rsidRPr="003B459E">
        <w:rPr>
          <w:rFonts w:ascii="Verdana" w:hAnsi="Verdana" w:cs="Arial"/>
          <w:color w:val="000000" w:themeColor="text1"/>
          <w:sz w:val="22"/>
          <w:szCs w:val="22"/>
          <w:lang w:val="es-ES" w:eastAsia="es-MX"/>
        </w:rPr>
        <w:t>s Organismos de Acción Comunal cuentan con la posibilidad de vincularse al desarrollo y mejoramiento municipal mediante la participación en el ejercicio de las funciones, la prestación de servicios o la ejecución de obras públicas a cargo de la administración central o descentralizada.</w:t>
      </w:r>
    </w:p>
    <w:p w14:paraId="52DC5727" w14:textId="4D0D7F2D" w:rsidR="00996D7C" w:rsidRPr="003B459E" w:rsidRDefault="00996D7C">
      <w:pPr>
        <w:shd w:val="clear" w:color="auto" w:fill="FFFFFF" w:themeFill="background1"/>
        <w:spacing w:after="120" w:line="276" w:lineRule="auto"/>
        <w:ind w:firstLine="708"/>
        <w:jc w:val="both"/>
        <w:rPr>
          <w:rFonts w:ascii="Verdana" w:eastAsia="Calibri" w:hAnsi="Verdana" w:cs="Arial"/>
          <w:color w:val="000000" w:themeColor="text1"/>
          <w:sz w:val="22"/>
          <w:szCs w:val="22"/>
          <w:lang w:val="es-ES"/>
        </w:rPr>
      </w:pPr>
      <w:r w:rsidRPr="003B459E">
        <w:rPr>
          <w:rFonts w:ascii="Verdana" w:hAnsi="Verdana" w:cs="Arial"/>
          <w:color w:val="000000" w:themeColor="text1"/>
          <w:sz w:val="22"/>
          <w:szCs w:val="22"/>
          <w:lang w:val="es-ES" w:eastAsia="es-MX"/>
        </w:rPr>
        <w:t xml:space="preserve">Es necesario tener en cuenta que </w:t>
      </w:r>
      <w:r w:rsidRPr="003B459E">
        <w:rPr>
          <w:rFonts w:ascii="Verdana" w:hAnsi="Verdana" w:cs="Arial"/>
          <w:color w:val="000000" w:themeColor="text1"/>
          <w:sz w:val="22"/>
          <w:szCs w:val="22"/>
          <w:lang w:eastAsia="es-MX"/>
        </w:rPr>
        <w:t xml:space="preserve">esta </w:t>
      </w:r>
      <w:r w:rsidRPr="003B459E">
        <w:rPr>
          <w:rFonts w:ascii="Verdana" w:hAnsi="Verdana" w:cs="Arial"/>
          <w:color w:val="000000" w:themeColor="text1"/>
          <w:sz w:val="22"/>
          <w:szCs w:val="22"/>
          <w:lang w:val="es-ES" w:eastAsia="es-MX"/>
        </w:rPr>
        <w:t xml:space="preserve">disposición contempla supuestos distintos al establecido en el artículo 95 de la Ley 2166 de 2021. En efecto, el parágrafo 2 del artículo 63 </w:t>
      </w:r>
      <w:r w:rsidRPr="003B459E">
        <w:rPr>
          <w:rFonts w:ascii="Verdana" w:hAnsi="Verdana" w:cs="Arial"/>
          <w:i/>
          <w:iCs/>
          <w:color w:val="000000" w:themeColor="text1"/>
          <w:sz w:val="22"/>
          <w:szCs w:val="22"/>
          <w:lang w:val="es-ES" w:eastAsia="es-MX"/>
        </w:rPr>
        <w:t xml:space="preserve">ibidem </w:t>
      </w:r>
      <w:r w:rsidRPr="003B459E">
        <w:rPr>
          <w:rFonts w:ascii="Verdana" w:hAnsi="Verdana" w:cs="Arial"/>
          <w:color w:val="000000" w:themeColor="text1"/>
          <w:sz w:val="22"/>
          <w:szCs w:val="22"/>
          <w:lang w:val="es-ES" w:eastAsia="es-MX"/>
        </w:rPr>
        <w:t xml:space="preserve">permite la celebración de convenios solidarios con </w:t>
      </w:r>
      <w:r w:rsidRPr="003B459E">
        <w:rPr>
          <w:rFonts w:ascii="Verdana" w:hAnsi="Verdana" w:cs="Arial"/>
          <w:color w:val="000000" w:themeColor="text1"/>
          <w:sz w:val="22"/>
          <w:szCs w:val="22"/>
          <w:lang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003B459E">
        <w:rPr>
          <w:rFonts w:ascii="Verdana" w:hAnsi="Verdana" w:cs="Arial"/>
          <w:color w:val="000000" w:themeColor="text1"/>
          <w:sz w:val="22"/>
          <w:szCs w:val="22"/>
        </w:rPr>
        <w:t xml:space="preserve"> </w:t>
      </w:r>
      <w:r w:rsidRPr="003B459E">
        <w:rPr>
          <w:rFonts w:ascii="Verdana" w:hAnsi="Verdana" w:cs="Arial"/>
          <w:color w:val="000000" w:themeColor="text1"/>
          <w:sz w:val="22"/>
          <w:szCs w:val="22"/>
          <w:lang w:eastAsia="es-MX"/>
        </w:rPr>
        <w:t xml:space="preserve">cargo de la administración central o descentralizada, todos estos objetos contractuales </w:t>
      </w:r>
      <w:r w:rsidRPr="003B459E">
        <w:rPr>
          <w:rFonts w:ascii="Verdana" w:hAnsi="Verdana" w:cs="Arial"/>
          <w:color w:val="000000" w:themeColor="text1"/>
          <w:sz w:val="22"/>
          <w:szCs w:val="22"/>
        </w:rPr>
        <w:t>hasta por la menor cuantía de la Entidad</w:t>
      </w:r>
      <w:r w:rsidRPr="003B459E">
        <w:rPr>
          <w:rFonts w:ascii="Verdana" w:hAnsi="Verdana" w:cs="Arial"/>
          <w:color w:val="000000" w:themeColor="text1"/>
          <w:sz w:val="22"/>
          <w:szCs w:val="22"/>
          <w:lang w:eastAsia="es-MX"/>
        </w:rPr>
        <w:t xml:space="preserve">. Además, con fundamento en este artículo, las entidades del orden nacional, departamental, distrital, local y municipal y los Organismos de Acción Comunal podrán ejecutar los proyectos incluidos en el respectivo Plan Nacional de Desarrollo o para la </w:t>
      </w:r>
      <w:r w:rsidRPr="003B459E">
        <w:rPr>
          <w:rFonts w:ascii="Verdana" w:hAnsi="Verdana" w:cs="Arial"/>
          <w:color w:val="000000" w:themeColor="text1"/>
          <w:sz w:val="22"/>
          <w:szCs w:val="22"/>
          <w:lang w:eastAsia="es-MX"/>
        </w:rPr>
        <w:lastRenderedPageBreak/>
        <w:t>ejecución de los proyectos derivados del Acuerdo Final de Paz, como lo son, los Programas de Desarrollo con Enfoque territorial o los Planes de Acción para la Transformación Regional (PATR) o la Hoja de Ruta Única</w:t>
      </w:r>
      <w:r w:rsidR="000619DA" w:rsidRPr="003B459E">
        <w:rPr>
          <w:rFonts w:ascii="Verdana" w:hAnsi="Verdana" w:cs="Arial"/>
          <w:color w:val="000000" w:themeColor="text1"/>
          <w:sz w:val="22"/>
          <w:szCs w:val="22"/>
          <w:lang w:eastAsia="es-MX"/>
        </w:rPr>
        <w:t>. C</w:t>
      </w:r>
      <w:r w:rsidRPr="003B459E">
        <w:rPr>
          <w:rFonts w:ascii="Verdana" w:hAnsi="Verdana" w:cs="Arial"/>
          <w:color w:val="000000" w:themeColor="text1"/>
          <w:sz w:val="22"/>
          <w:szCs w:val="22"/>
          <w:lang w:eastAsia="es-MX"/>
        </w:rPr>
        <w:t xml:space="preserve">omo se observa, la norma señalada contempla diversos objetos para la celebración de convenios solidarios, mientras que en contraste el artículo 95 </w:t>
      </w:r>
      <w:r w:rsidRPr="003B459E">
        <w:rPr>
          <w:rFonts w:ascii="Verdana" w:hAnsi="Verdana" w:cs="Arial"/>
          <w:color w:val="000000" w:themeColor="text1"/>
          <w:sz w:val="22"/>
          <w:szCs w:val="22"/>
          <w:lang w:val="es-ES" w:eastAsia="es-MX"/>
        </w:rPr>
        <w:t>de la Ley 2166 de 2021 permite la ejecución de obras.</w:t>
      </w:r>
    </w:p>
    <w:p w14:paraId="6A0847FC" w14:textId="7D40C7B7" w:rsidR="00996D7C" w:rsidRPr="003B459E" w:rsidRDefault="00996D7C">
      <w:pPr>
        <w:shd w:val="clear" w:color="auto" w:fill="FFFFFF" w:themeFill="background1"/>
        <w:spacing w:after="120" w:line="276" w:lineRule="auto"/>
        <w:ind w:firstLine="708"/>
        <w:jc w:val="both"/>
        <w:rPr>
          <w:rFonts w:ascii="Verdana" w:hAnsi="Verdana" w:cs="Arial"/>
          <w:color w:val="000000" w:themeColor="text1"/>
          <w:sz w:val="22"/>
          <w:szCs w:val="22"/>
          <w:lang w:val="es-ES"/>
        </w:rPr>
      </w:pPr>
      <w:r w:rsidRPr="003B459E">
        <w:rPr>
          <w:rFonts w:ascii="Verdana" w:hAnsi="Verdana" w:cs="Arial"/>
          <w:color w:val="000000" w:themeColor="text1"/>
          <w:sz w:val="22"/>
          <w:szCs w:val="22"/>
          <w:lang w:eastAsia="es-MX"/>
        </w:rPr>
        <w:t xml:space="preserve">Aunado a lo anterior, para la celebración de dichos convenios el inciso primero del citado artículo 63 remite al artículo 141 de la Ley 136 de 1994, en virtud del cual </w:t>
      </w:r>
      <w:r w:rsidRPr="003B459E">
        <w:rPr>
          <w:rFonts w:ascii="Verdana" w:eastAsia="Calibri" w:hAnsi="Verdana" w:cs="Arial"/>
          <w:color w:val="000000" w:themeColor="text1"/>
          <w:sz w:val="22"/>
          <w:szCs w:val="22"/>
          <w:lang w:val="es-ES_tradnl"/>
        </w:rPr>
        <w:t>“</w:t>
      </w:r>
      <w:r w:rsidRPr="003B459E">
        <w:rPr>
          <w:rFonts w:ascii="Verdana" w:hAnsi="Verdana" w:cs="Arial"/>
          <w:i/>
          <w:iCs/>
          <w:color w:val="000000" w:themeColor="text1"/>
          <w:sz w:val="22"/>
          <w:szCs w:val="22"/>
          <w:lang w:eastAsia="es-MX"/>
        </w:rPr>
        <w:t xml:space="preserve">Los contratos o convenios que se celebren en desarrollo del artículo anterior, se sujetarán a lo dispuesto por los artículos </w:t>
      </w:r>
      <w:hyperlink r:id="rId13" w:anchor="375" w:history="1">
        <w:r w:rsidRPr="003B459E">
          <w:rPr>
            <w:rStyle w:val="Hipervnculo"/>
            <w:rFonts w:ascii="Verdana" w:hAnsi="Verdana" w:cs="Arial"/>
            <w:i/>
            <w:iCs/>
            <w:color w:val="000000" w:themeColor="text1"/>
            <w:sz w:val="22"/>
            <w:szCs w:val="22"/>
            <w:lang w:eastAsia="es-MX"/>
          </w:rPr>
          <w:t>375</w:t>
        </w:r>
      </w:hyperlink>
      <w:r w:rsidRPr="003B459E">
        <w:rPr>
          <w:rFonts w:ascii="Verdana" w:hAnsi="Verdana" w:cs="Arial"/>
          <w:i/>
          <w:iCs/>
          <w:color w:val="000000" w:themeColor="text1"/>
          <w:sz w:val="22"/>
          <w:szCs w:val="22"/>
          <w:lang w:eastAsia="es-MX"/>
        </w:rPr>
        <w:t xml:space="preserve"> a </w:t>
      </w:r>
      <w:hyperlink r:id="rId14" w:anchor="378" w:history="1">
        <w:r w:rsidRPr="003B459E">
          <w:rPr>
            <w:rStyle w:val="Hipervnculo"/>
            <w:rFonts w:ascii="Verdana" w:hAnsi="Verdana" w:cs="Arial"/>
            <w:i/>
            <w:iCs/>
            <w:color w:val="000000" w:themeColor="text1"/>
            <w:sz w:val="22"/>
            <w:szCs w:val="22"/>
            <w:lang w:eastAsia="es-MX"/>
          </w:rPr>
          <w:t>378</w:t>
        </w:r>
      </w:hyperlink>
      <w:r w:rsidRPr="003B459E">
        <w:rPr>
          <w:rFonts w:ascii="Verdana" w:hAnsi="Verdana" w:cs="Arial"/>
          <w:i/>
          <w:iCs/>
          <w:color w:val="000000" w:themeColor="text1"/>
          <w:sz w:val="22"/>
          <w:szCs w:val="22"/>
          <w:lang w:eastAsia="es-MX"/>
        </w:rPr>
        <w:t xml:space="preserve"> del Decreto 1333 de 1986 y la Ley </w:t>
      </w:r>
      <w:hyperlink r:id="rId15" w:anchor="inicio" w:history="1">
        <w:r w:rsidRPr="003B459E">
          <w:rPr>
            <w:rStyle w:val="Hipervnculo"/>
            <w:rFonts w:ascii="Verdana" w:hAnsi="Verdana" w:cs="Arial"/>
            <w:i/>
            <w:iCs/>
            <w:color w:val="000000" w:themeColor="text1"/>
            <w:sz w:val="22"/>
            <w:szCs w:val="22"/>
            <w:lang w:eastAsia="es-MX"/>
          </w:rPr>
          <w:t>80</w:t>
        </w:r>
      </w:hyperlink>
      <w:r w:rsidRPr="003B459E">
        <w:rPr>
          <w:rFonts w:ascii="Verdana" w:hAnsi="Verdana" w:cs="Arial"/>
          <w:i/>
          <w:iCs/>
          <w:color w:val="000000" w:themeColor="text1"/>
          <w:sz w:val="22"/>
          <w:szCs w:val="22"/>
          <w:lang w:eastAsia="es-MX"/>
        </w:rPr>
        <w:t xml:space="preserve"> de 1993</w:t>
      </w:r>
      <w:r w:rsidRPr="003B459E">
        <w:rPr>
          <w:rFonts w:ascii="Verdana" w:eastAsia="Calibri" w:hAnsi="Verdana" w:cs="Arial"/>
          <w:i/>
          <w:iCs/>
          <w:color w:val="000000" w:themeColor="text1"/>
          <w:sz w:val="22"/>
          <w:szCs w:val="22"/>
          <w:lang w:val="es-ES_tradnl"/>
        </w:rPr>
        <w:t>”</w:t>
      </w:r>
      <w:r w:rsidRPr="003B459E">
        <w:rPr>
          <w:rFonts w:ascii="Verdana" w:hAnsi="Verdana" w:cs="Arial"/>
          <w:i/>
          <w:iCs/>
          <w:color w:val="000000" w:themeColor="text1"/>
          <w:sz w:val="22"/>
          <w:szCs w:val="22"/>
          <w:lang w:eastAsia="es-MX"/>
        </w:rPr>
        <w:t>.</w:t>
      </w:r>
      <w:r w:rsidRPr="003B459E">
        <w:rPr>
          <w:rFonts w:ascii="Verdana" w:hAnsi="Verdana" w:cs="Arial"/>
          <w:color w:val="000000" w:themeColor="text1"/>
          <w:sz w:val="22"/>
          <w:szCs w:val="22"/>
          <w:lang w:eastAsia="es-MX"/>
        </w:rPr>
        <w:t xml:space="preserve"> En este sentido, y retomando las consideraciones de los conceptos de esta Agencia, lo anterior implica que los convenios solidarios que se celebren con fundamento el artículo 63 de la Ley </w:t>
      </w:r>
      <w:r w:rsidRPr="003B459E">
        <w:rPr>
          <w:rFonts w:ascii="Verdana" w:hAnsi="Verdana" w:cs="Arial"/>
          <w:color w:val="000000" w:themeColor="text1"/>
          <w:sz w:val="22"/>
          <w:szCs w:val="22"/>
          <w:lang w:val="es-ES" w:eastAsia="es-MX"/>
        </w:rPr>
        <w:t>2166 de 2021</w:t>
      </w:r>
      <w:r w:rsidRPr="003B459E">
        <w:rPr>
          <w:rFonts w:ascii="Verdana" w:hAnsi="Verdana" w:cs="Arial"/>
          <w:color w:val="000000" w:themeColor="text1"/>
          <w:sz w:val="22"/>
          <w:szCs w:val="22"/>
          <w:lang w:val="es-ES"/>
        </w:rPr>
        <w:t xml:space="preserve"> deben interpretarse armónicamente con </w:t>
      </w:r>
      <w:r w:rsidRPr="003B459E">
        <w:rPr>
          <w:rFonts w:ascii="Verdana" w:hAnsi="Verdana" w:cs="Arial"/>
          <w:color w:val="000000" w:themeColor="text1"/>
          <w:sz w:val="22"/>
          <w:szCs w:val="22"/>
          <w:lang w:eastAsia="es-MX"/>
        </w:rPr>
        <w:t xml:space="preserve">el artículo 141 de la Ley 136 de 1994 y </w:t>
      </w:r>
      <w:r w:rsidRPr="003B459E">
        <w:rPr>
          <w:rFonts w:ascii="Verdana" w:hAnsi="Verdana" w:cs="Arial"/>
          <w:color w:val="000000" w:themeColor="text1"/>
          <w:sz w:val="22"/>
          <w:szCs w:val="22"/>
          <w:lang w:val="es-ES"/>
        </w:rPr>
        <w:t>los parágrafos tercero y quinto del artículo tercero de la Ley 136 de 1994</w:t>
      </w:r>
      <w:r w:rsidRPr="003B459E">
        <w:rPr>
          <w:rFonts w:ascii="Verdana" w:hAnsi="Verdana" w:cs="Arial"/>
          <w:color w:val="000000" w:themeColor="text1"/>
          <w:sz w:val="22"/>
          <w:szCs w:val="22"/>
          <w:lang w:val="es-ES" w:eastAsia="es-MX"/>
        </w:rPr>
        <w:t xml:space="preserve">, por lo que podrán aplicarse lo dispuesto en los artículos 375 a 378 del Decreto 1333 de 1986 y el </w:t>
      </w:r>
      <w:r w:rsidRPr="003B459E">
        <w:rPr>
          <w:rFonts w:ascii="Verdana" w:hAnsi="Verdana" w:cs="Arial"/>
          <w:color w:val="000000" w:themeColor="text1"/>
          <w:sz w:val="22"/>
          <w:szCs w:val="22"/>
          <w:lang w:val="es-ES"/>
        </w:rPr>
        <w:t xml:space="preserve">EGCAP, salvo </w:t>
      </w:r>
      <w:r w:rsidR="00B62E73" w:rsidRPr="003B459E">
        <w:rPr>
          <w:rFonts w:ascii="Verdana" w:hAnsi="Verdana" w:cs="Arial"/>
          <w:color w:val="000000" w:themeColor="text1"/>
          <w:sz w:val="22"/>
          <w:szCs w:val="22"/>
          <w:lang w:val="es-ES"/>
        </w:rPr>
        <w:t>que</w:t>
      </w:r>
      <w:r w:rsidRPr="003B459E">
        <w:rPr>
          <w:rFonts w:ascii="Verdana" w:hAnsi="Verdana" w:cs="Arial"/>
          <w:color w:val="000000" w:themeColor="text1"/>
          <w:sz w:val="22"/>
          <w:szCs w:val="22"/>
          <w:lang w:val="es-ES"/>
        </w:rPr>
        <w:t xml:space="preserve"> exista otra forma especial de contratación como puede ser la consagrada en el Decreto 092 de 2017 para la ejecución de programas.</w:t>
      </w:r>
    </w:p>
    <w:p w14:paraId="5ABE8010" w14:textId="77777777" w:rsidR="00996D7C" w:rsidRPr="003B459E" w:rsidRDefault="00996D7C">
      <w:pPr>
        <w:shd w:val="clear" w:color="auto" w:fill="FFFFFF" w:themeFill="background1"/>
        <w:spacing w:after="120" w:line="276" w:lineRule="auto"/>
        <w:ind w:firstLine="709"/>
        <w:jc w:val="both"/>
        <w:rPr>
          <w:rFonts w:ascii="Verdana" w:hAnsi="Verdana" w:cs="Arial"/>
          <w:color w:val="000000" w:themeColor="text1"/>
          <w:sz w:val="22"/>
          <w:szCs w:val="22"/>
          <w:lang w:val="es-ES"/>
        </w:rPr>
      </w:pPr>
      <w:r w:rsidRPr="003B459E">
        <w:rPr>
          <w:rFonts w:ascii="Verdana" w:hAnsi="Verdana" w:cs="Arial"/>
          <w:color w:val="000000" w:themeColor="text1"/>
          <w:sz w:val="22"/>
          <w:szCs w:val="22"/>
          <w:lang w:val="es-ES"/>
        </w:rPr>
        <w:t xml:space="preserve">En ese orden, y a efectos de brindar claridad sobre los fundamentos jurídicos para la celebración de los convenios solidarios, debe tenerse en cuenta que en la actualidad existen tres regímenes a saber: </w:t>
      </w:r>
    </w:p>
    <w:p w14:paraId="5943C6C5" w14:textId="77777777" w:rsidR="00996D7C" w:rsidRPr="003B459E" w:rsidRDefault="00996D7C">
      <w:pPr>
        <w:shd w:val="clear" w:color="auto" w:fill="FFFFFF" w:themeFill="background1"/>
        <w:spacing w:after="120" w:line="276" w:lineRule="auto"/>
        <w:ind w:firstLine="708"/>
        <w:jc w:val="both"/>
        <w:rPr>
          <w:rFonts w:ascii="Verdana" w:hAnsi="Verdana" w:cs="Arial"/>
          <w:color w:val="000000" w:themeColor="text1"/>
          <w:sz w:val="22"/>
          <w:szCs w:val="22"/>
          <w:lang w:val="es-ES"/>
        </w:rPr>
      </w:pPr>
      <w:r w:rsidRPr="003B459E">
        <w:rPr>
          <w:rFonts w:ascii="Verdana" w:hAnsi="Verdana" w:cs="Arial"/>
          <w:color w:val="000000" w:themeColor="text1"/>
          <w:sz w:val="22"/>
          <w:szCs w:val="22"/>
          <w:lang w:val="es-ES"/>
        </w:rPr>
        <w:t xml:space="preserve">El </w:t>
      </w:r>
      <w:r w:rsidRPr="003B459E">
        <w:rPr>
          <w:rFonts w:ascii="Verdana" w:hAnsi="Verdana" w:cs="Arial"/>
          <w:i/>
          <w:color w:val="000000" w:themeColor="text1"/>
          <w:sz w:val="22"/>
          <w:szCs w:val="22"/>
          <w:lang w:val="es-ES"/>
        </w:rPr>
        <w:t>primer régimen</w:t>
      </w:r>
      <w:r w:rsidRPr="003B459E">
        <w:rPr>
          <w:rFonts w:ascii="Verdana" w:hAnsi="Verdana" w:cs="Arial"/>
          <w:color w:val="000000" w:themeColor="text1"/>
          <w:sz w:val="22"/>
          <w:szCs w:val="22"/>
          <w:lang w:val="es-ES"/>
        </w:rPr>
        <w:t xml:space="preserve"> encuentra su fundamento en el parágrafo cuarto del artículo 3 de la Ley 136 de 1994, el artículo 95 de la Ley 2166 de 2021 y el artículo 15 del Decreto 142 de 2023 que adicionó el artículo 2.2.15.1.2. del Decreto 1082 de 2015.  Este primer régimen determina una sub-regla de contratación prevalente por su especificidad, la cual requiere que concurran los siguientes requisitos: i) que las partes intervinientes sean, por un lado, entidades de orden nacional, departamental, distrital o municipal y, por otro, Organismos de Acción Comunal; ii) que el objeto contractual consista únicamente en la ejecución de obras; y, iii) que el contrato no supere la menor cuantía. De concurrir las anteriores circunstancias, la norma autoriza la contratación directa entre dichas entidades y el respectivo Organismo de Acción Comunal, previamente legalizada y reconocida ante los organismos </w:t>
      </w:r>
      <w:r w:rsidRPr="003B459E">
        <w:rPr>
          <w:rFonts w:ascii="Verdana" w:hAnsi="Verdana" w:cs="Arial"/>
          <w:color w:val="000000" w:themeColor="text1"/>
          <w:sz w:val="22"/>
          <w:szCs w:val="22"/>
          <w:lang w:val="es-ES"/>
        </w:rPr>
        <w:lastRenderedPageBreak/>
        <w:t xml:space="preserve">competentes. En todo caso, esta contratación debe tomar como personal para la ejecución de la obra a los habitantes de la comunidad. </w:t>
      </w:r>
    </w:p>
    <w:p w14:paraId="182D4F0E" w14:textId="77777777" w:rsidR="00996D7C" w:rsidRPr="003B459E" w:rsidRDefault="00996D7C">
      <w:pPr>
        <w:shd w:val="clear" w:color="auto" w:fill="FFFFFF" w:themeFill="background1"/>
        <w:spacing w:after="120" w:line="276" w:lineRule="auto"/>
        <w:ind w:firstLine="709"/>
        <w:jc w:val="both"/>
        <w:rPr>
          <w:rFonts w:ascii="Verdana" w:hAnsi="Verdana" w:cs="Arial"/>
          <w:color w:val="000000" w:themeColor="text1"/>
          <w:sz w:val="22"/>
          <w:szCs w:val="22"/>
          <w:lang w:val="es-ES"/>
        </w:rPr>
      </w:pPr>
      <w:r w:rsidRPr="003B459E">
        <w:rPr>
          <w:rFonts w:ascii="Verdana" w:hAnsi="Verdana" w:cs="Arial"/>
          <w:color w:val="000000" w:themeColor="text1"/>
          <w:sz w:val="22"/>
          <w:szCs w:val="22"/>
          <w:lang w:val="es-ES"/>
        </w:rPr>
        <w:t xml:space="preserve">Un </w:t>
      </w:r>
      <w:r w:rsidRPr="003B459E">
        <w:rPr>
          <w:rFonts w:ascii="Verdana" w:hAnsi="Verdana" w:cs="Arial"/>
          <w:i/>
          <w:color w:val="000000" w:themeColor="text1"/>
          <w:sz w:val="22"/>
          <w:szCs w:val="22"/>
          <w:lang w:val="es-ES"/>
        </w:rPr>
        <w:t>segundo</w:t>
      </w:r>
      <w:r w:rsidRPr="003B459E">
        <w:rPr>
          <w:rFonts w:ascii="Verdana" w:hAnsi="Verdana" w:cs="Arial"/>
          <w:color w:val="000000" w:themeColor="text1"/>
          <w:sz w:val="22"/>
          <w:szCs w:val="22"/>
          <w:lang w:val="es-ES"/>
        </w:rPr>
        <w:t xml:space="preserve"> </w:t>
      </w:r>
      <w:r w:rsidRPr="003B459E">
        <w:rPr>
          <w:rFonts w:ascii="Verdana" w:hAnsi="Verdana" w:cs="Arial"/>
          <w:i/>
          <w:color w:val="000000" w:themeColor="text1"/>
          <w:sz w:val="22"/>
          <w:szCs w:val="22"/>
          <w:lang w:val="es-ES"/>
        </w:rPr>
        <w:t>régimen</w:t>
      </w:r>
      <w:r w:rsidRPr="003B459E">
        <w:rPr>
          <w:rFonts w:ascii="Verdana" w:hAnsi="Verdana" w:cs="Arial"/>
          <w:color w:val="000000" w:themeColor="text1"/>
          <w:sz w:val="22"/>
          <w:szCs w:val="22"/>
          <w:lang w:val="es-ES"/>
        </w:rPr>
        <w:t xml:space="preserve"> o modalidad de contratación se encuentra prevista en el Decreto 092 de 2017. 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1D3E9D9C" w14:textId="77777777" w:rsidR="00996D7C" w:rsidRPr="003B459E" w:rsidRDefault="00996D7C">
      <w:pPr>
        <w:shd w:val="clear" w:color="auto" w:fill="FFFFFF" w:themeFill="background1"/>
        <w:spacing w:after="120" w:line="276" w:lineRule="auto"/>
        <w:ind w:firstLine="709"/>
        <w:jc w:val="both"/>
        <w:rPr>
          <w:rFonts w:ascii="Verdana" w:hAnsi="Verdana" w:cs="Arial"/>
          <w:color w:val="000000" w:themeColor="text1"/>
          <w:sz w:val="22"/>
          <w:szCs w:val="22"/>
          <w:lang w:val="es-ES"/>
        </w:rPr>
      </w:pPr>
      <w:r w:rsidRPr="003B459E">
        <w:rPr>
          <w:rFonts w:ascii="Verdana" w:hAnsi="Verdana" w:cs="Arial"/>
          <w:color w:val="000000" w:themeColor="text1"/>
          <w:sz w:val="22"/>
          <w:szCs w:val="22"/>
          <w:lang w:val="es-ES"/>
        </w:rPr>
        <w:t>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no refleje relaciones conmutativas que impliquen contraprestaciones para la entidad del Estado; iv) que la entidad del Estado no imparta instrucciones precisas para la ejecución del objeto convenido; y, v) en virtud del literal f) del artículo 16 de la Ley 2166 de 2021, su cuantía no puede ser superior a la menor cuantía.</w:t>
      </w:r>
    </w:p>
    <w:p w14:paraId="06313521" w14:textId="77777777" w:rsidR="00996D7C" w:rsidRPr="003B459E" w:rsidRDefault="00996D7C">
      <w:pPr>
        <w:shd w:val="clear" w:color="auto" w:fill="FFFFFF" w:themeFill="background1"/>
        <w:spacing w:after="120" w:line="276" w:lineRule="auto"/>
        <w:ind w:firstLine="709"/>
        <w:jc w:val="both"/>
        <w:rPr>
          <w:rFonts w:ascii="Verdana" w:hAnsi="Verdana" w:cs="Arial"/>
          <w:color w:val="000000" w:themeColor="text1"/>
          <w:sz w:val="22"/>
          <w:szCs w:val="22"/>
          <w:lang w:val="es-ES"/>
        </w:rPr>
      </w:pPr>
      <w:r w:rsidRPr="003B459E">
        <w:rPr>
          <w:rFonts w:ascii="Verdana" w:hAnsi="Verdana" w:cs="Arial"/>
          <w:i/>
          <w:color w:val="000000" w:themeColor="text1"/>
          <w:sz w:val="22"/>
          <w:szCs w:val="22"/>
          <w:lang w:val="es-ES"/>
        </w:rPr>
        <w:t>Por último</w:t>
      </w:r>
      <w:r w:rsidRPr="003B459E">
        <w:rPr>
          <w:rFonts w:ascii="Verdana" w:hAnsi="Verdana" w:cs="Arial"/>
          <w:color w:val="000000" w:themeColor="text1"/>
          <w:sz w:val="22"/>
          <w:szCs w:val="22"/>
          <w:lang w:val="es-ES"/>
        </w:rPr>
        <w:t xml:space="preserve">, en armonía con la modificación realizada por la Ley 1955 de 2019 y la Ley 2200 de 2022, se presenta un </w:t>
      </w:r>
      <w:r w:rsidRPr="003B459E">
        <w:rPr>
          <w:rFonts w:ascii="Verdana" w:hAnsi="Verdana" w:cs="Arial"/>
          <w:i/>
          <w:color w:val="000000" w:themeColor="text1"/>
          <w:sz w:val="22"/>
          <w:szCs w:val="22"/>
          <w:lang w:val="es-ES"/>
        </w:rPr>
        <w:t>tercer régimen</w:t>
      </w:r>
      <w:r w:rsidRPr="003B459E">
        <w:rPr>
          <w:rFonts w:ascii="Verdana" w:hAnsi="Verdana" w:cs="Arial"/>
          <w:color w:val="000000" w:themeColor="text1"/>
          <w:sz w:val="22"/>
          <w:szCs w:val="22"/>
          <w:lang w:val="es-ES"/>
        </w:rPr>
        <w:t>, que encuentra su fundamento en los parágrafos tercero y quinto del artículo tercero de la Ley 136 de 1994, que deben interpretarse armónicamente con lo dispuesto en el artículo 141 de la precitada Ley y el artículo 63 de la Ley 2166 de 2021. En virtud de tales disposiciones normativas, los Organismos de Acción Comunal cuentan con la posibilidad de vincularse al desarrollo y mejoramiento municipal y departamental, mediante la participación en el ejercicio de las funciones o la ejecución de obras. Para el caso de la vinculación en el desarrollo municipal, la norma también contempló la prestación de servicios públicos,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del Decreto 19 de 1958.</w:t>
      </w:r>
    </w:p>
    <w:p w14:paraId="28CFE318" w14:textId="77777777" w:rsidR="00996D7C" w:rsidRPr="003B459E" w:rsidRDefault="00996D7C">
      <w:pPr>
        <w:shd w:val="clear" w:color="auto" w:fill="FFFFFF" w:themeFill="background1"/>
        <w:spacing w:after="120" w:line="276" w:lineRule="auto"/>
        <w:ind w:firstLine="708"/>
        <w:jc w:val="both"/>
        <w:rPr>
          <w:rFonts w:ascii="Verdana" w:hAnsi="Verdana" w:cs="Arial"/>
          <w:color w:val="000000" w:themeColor="text1"/>
          <w:sz w:val="22"/>
          <w:szCs w:val="22"/>
          <w:lang w:val="es-ES"/>
        </w:rPr>
      </w:pPr>
      <w:r w:rsidRPr="003B459E">
        <w:rPr>
          <w:rFonts w:ascii="Verdana" w:hAnsi="Verdana" w:cs="Arial"/>
          <w:color w:val="000000" w:themeColor="text1"/>
          <w:sz w:val="22"/>
          <w:szCs w:val="22"/>
          <w:lang w:val="es-ES"/>
        </w:rPr>
        <w:t xml:space="preserve">Realizadas las anteriores precisiones sobre los convenios solidarios y para brindar respuesta a la consulta elevada, se hace necesario realizar un análisis </w:t>
      </w:r>
      <w:r w:rsidRPr="003B459E">
        <w:rPr>
          <w:rFonts w:ascii="Verdana" w:hAnsi="Verdana" w:cs="Arial"/>
          <w:color w:val="000000" w:themeColor="text1"/>
          <w:sz w:val="22"/>
          <w:szCs w:val="22"/>
          <w:lang w:val="es-ES"/>
        </w:rPr>
        <w:lastRenderedPageBreak/>
        <w:t xml:space="preserve">sobre la naturaleza jurídica de los Organismos de Acción Comunal y su actividad contractual con el estado, para lo cual debe tenerse de presente que el </w:t>
      </w:r>
      <w:r w:rsidRPr="003B459E">
        <w:rPr>
          <w:rFonts w:ascii="Verdana" w:eastAsia="Calibri" w:hAnsi="Verdana" w:cs="Arial"/>
          <w:bCs/>
          <w:color w:val="000000" w:themeColor="text1"/>
          <w:sz w:val="22"/>
          <w:szCs w:val="22"/>
          <w:lang w:val="es-MX"/>
        </w:rPr>
        <w:t xml:space="preserve">artículo 38 de la Constitución Política, estableció la obligación de </w:t>
      </w:r>
      <w:r w:rsidRPr="003B459E">
        <w:rPr>
          <w:rFonts w:ascii="Verdana" w:eastAsia="Calibri" w:hAnsi="Verdana" w:cs="Arial"/>
          <w:color w:val="000000" w:themeColor="text1"/>
          <w:sz w:val="22"/>
          <w:szCs w:val="22"/>
        </w:rPr>
        <w:t>“</w:t>
      </w:r>
      <w:r w:rsidRPr="003B459E">
        <w:rPr>
          <w:rFonts w:ascii="Verdana" w:eastAsia="Calibri" w:hAnsi="Verdana" w:cs="Arial"/>
          <w:bCs/>
          <w:color w:val="000000" w:themeColor="text1"/>
          <w:sz w:val="22"/>
          <w:szCs w:val="22"/>
          <w:lang w:val="es-MX"/>
        </w:rPr>
        <w:t>garantizar el derecho de libre asociación para el desarrollo de las distintas actividades que las personas realizan en sociedad</w:t>
      </w:r>
      <w:r w:rsidRPr="003B459E">
        <w:rPr>
          <w:rFonts w:ascii="Verdana" w:eastAsia="Calibri" w:hAnsi="Verdana" w:cs="Arial"/>
          <w:color w:val="000000" w:themeColor="text1"/>
          <w:sz w:val="22"/>
          <w:szCs w:val="22"/>
          <w:lang w:val="es-ES_tradnl"/>
        </w:rPr>
        <w:t>”</w:t>
      </w:r>
      <w:r w:rsidRPr="003B459E">
        <w:rPr>
          <w:rFonts w:ascii="Verdana" w:eastAsia="Calibri" w:hAnsi="Verdana" w:cs="Arial"/>
          <w:bCs/>
          <w:i/>
          <w:iCs/>
          <w:color w:val="000000" w:themeColor="text1"/>
          <w:sz w:val="22"/>
          <w:szCs w:val="22"/>
          <w:lang w:val="es-MX"/>
        </w:rPr>
        <w:t>,</w:t>
      </w:r>
      <w:r w:rsidRPr="003B459E">
        <w:rPr>
          <w:rFonts w:ascii="Verdana" w:eastAsia="Calibri" w:hAnsi="Verdana" w:cs="Arial"/>
          <w:bCs/>
          <w:color w:val="000000" w:themeColor="text1"/>
          <w:sz w:val="22"/>
          <w:szCs w:val="22"/>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3B459E">
        <w:rPr>
          <w:rFonts w:ascii="Verdana" w:eastAsia="Calibri" w:hAnsi="Verdana" w:cs="Arial"/>
          <w:bCs/>
          <w:color w:val="000000" w:themeColor="text1"/>
          <w:sz w:val="22"/>
          <w:szCs w:val="22"/>
          <w:vertAlign w:val="superscript"/>
          <w:lang w:val="es-MX"/>
        </w:rPr>
        <w:footnoteReference w:id="4"/>
      </w:r>
      <w:r w:rsidRPr="003B459E">
        <w:rPr>
          <w:rFonts w:ascii="Verdana" w:eastAsia="Calibri" w:hAnsi="Verdana" w:cs="Arial"/>
          <w:bCs/>
          <w:color w:val="000000" w:themeColor="text1"/>
          <w:sz w:val="22"/>
          <w:szCs w:val="22"/>
          <w:lang w:val="es-MX"/>
        </w:rPr>
        <w:t>.</w:t>
      </w:r>
    </w:p>
    <w:p w14:paraId="4A47DAB9" w14:textId="77777777" w:rsidR="00996D7C" w:rsidRPr="003B459E" w:rsidRDefault="00996D7C">
      <w:pPr>
        <w:shd w:val="clear" w:color="auto" w:fill="FFFFFF" w:themeFill="background1"/>
        <w:spacing w:after="120" w:line="276" w:lineRule="auto"/>
        <w:ind w:firstLine="708"/>
        <w:jc w:val="both"/>
        <w:rPr>
          <w:rFonts w:ascii="Verdana" w:hAnsi="Verdana" w:cs="Arial"/>
          <w:bCs/>
          <w:color w:val="000000" w:themeColor="text1"/>
          <w:sz w:val="22"/>
          <w:szCs w:val="22"/>
          <w:lang w:eastAsia="es-MX"/>
        </w:rPr>
      </w:pPr>
      <w:r w:rsidRPr="003B459E">
        <w:rPr>
          <w:rFonts w:ascii="Verdana" w:hAnsi="Verdana" w:cs="Arial"/>
          <w:bCs/>
          <w:color w:val="000000" w:themeColor="text1"/>
          <w:sz w:val="22"/>
          <w:szCs w:val="22"/>
          <w:lang w:eastAsia="es-MX"/>
        </w:rPr>
        <w:t xml:space="preserve">Con la expedición de la Ley 2166 de 2021 se derogó la Ley 743 de 2002, mediante la cual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la Ley 2166 de 2021, esta tiene como objeto </w:t>
      </w:r>
      <w:r w:rsidRPr="003B459E">
        <w:rPr>
          <w:rFonts w:ascii="Verdana" w:eastAsia="Calibri" w:hAnsi="Verdana" w:cs="Arial"/>
          <w:color w:val="000000" w:themeColor="text1"/>
          <w:sz w:val="22"/>
          <w:szCs w:val="22"/>
          <w:lang w:val="es-ES_tradnl"/>
        </w:rPr>
        <w:t>“</w:t>
      </w:r>
      <w:r w:rsidRPr="003B459E">
        <w:rPr>
          <w:rFonts w:ascii="Verdana" w:hAnsi="Verdana" w:cs="Arial"/>
          <w:bCs/>
          <w:color w:val="000000" w:themeColor="text1"/>
          <w:sz w:val="22"/>
          <w:szCs w:val="22"/>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3B459E">
        <w:rPr>
          <w:rFonts w:ascii="Verdana" w:eastAsia="Calibri" w:hAnsi="Verdana" w:cs="Arial"/>
          <w:color w:val="000000" w:themeColor="text1"/>
          <w:sz w:val="22"/>
          <w:szCs w:val="22"/>
          <w:lang w:val="es-ES_tradnl"/>
        </w:rPr>
        <w:t>”</w:t>
      </w:r>
      <w:r w:rsidRPr="003B459E">
        <w:rPr>
          <w:rFonts w:ascii="Verdana" w:hAnsi="Verdana" w:cs="Arial"/>
          <w:bCs/>
          <w:color w:val="000000" w:themeColor="text1"/>
          <w:sz w:val="22"/>
          <w:szCs w:val="22"/>
          <w:lang w:eastAsia="es-MX"/>
        </w:rPr>
        <w:t xml:space="preserve">. </w:t>
      </w:r>
    </w:p>
    <w:p w14:paraId="419EBE3A" w14:textId="77777777" w:rsidR="00996D7C" w:rsidRPr="003B459E" w:rsidRDefault="00996D7C">
      <w:pPr>
        <w:shd w:val="clear" w:color="auto" w:fill="FFFFFF" w:themeFill="background1"/>
        <w:spacing w:after="120" w:line="276" w:lineRule="auto"/>
        <w:ind w:firstLine="708"/>
        <w:jc w:val="both"/>
        <w:rPr>
          <w:rFonts w:ascii="Verdana" w:eastAsia="Calibri" w:hAnsi="Verdana" w:cs="Arial"/>
          <w:color w:val="000000" w:themeColor="text1"/>
          <w:sz w:val="22"/>
          <w:szCs w:val="22"/>
          <w:lang w:val="es-MX"/>
        </w:rPr>
      </w:pPr>
      <w:r w:rsidRPr="003B459E">
        <w:rPr>
          <w:rFonts w:ascii="Verdana" w:eastAsia="Calibri" w:hAnsi="Verdana" w:cs="Arial"/>
          <w:color w:val="000000" w:themeColor="text1"/>
          <w:sz w:val="22"/>
          <w:szCs w:val="22"/>
          <w:lang w:val="es-MX"/>
        </w:rPr>
        <w:t xml:space="preserve">Es así como, en desarrollo del principio de participación, el artículo 7 de la Ley 2166 de 2021 definió cuatro grados de Organismos de Acción Comunal. En el primer grado clasificó a las Juntas de Acción Comunal y las Juntas de Vivienda Comunal. Las primeras de ellas fueron definidas como </w:t>
      </w:r>
      <w:r w:rsidRPr="003B459E">
        <w:rPr>
          <w:rFonts w:ascii="Verdana" w:eastAsia="Calibri" w:hAnsi="Verdana" w:cs="Arial"/>
          <w:i/>
          <w:color w:val="000000" w:themeColor="text1"/>
          <w:sz w:val="22"/>
          <w:szCs w:val="22"/>
          <w:lang w:val="es-MX"/>
        </w:rPr>
        <w:t>“una organización cívica, social y comunitaria de gestión social, sin ánimo de lucro, de naturaleza solidaria, con personería jurídica y patrimonio propio (…)</w:t>
      </w:r>
      <w:r w:rsidRPr="003B459E">
        <w:rPr>
          <w:rFonts w:ascii="Verdana" w:eastAsia="Calibri" w:hAnsi="Verdana" w:cs="Arial"/>
          <w:color w:val="000000" w:themeColor="text1"/>
          <w:sz w:val="22"/>
          <w:szCs w:val="22"/>
          <w:lang w:val="es-MX"/>
        </w:rPr>
        <w:t xml:space="preserve">”, que se encuentra integrada voluntariamente por los residentes de un lugar que aúnan esfuerzos y recursos para </w:t>
      </w:r>
      <w:r w:rsidRPr="003B459E">
        <w:rPr>
          <w:rFonts w:ascii="Verdana" w:eastAsia="Calibri" w:hAnsi="Verdana" w:cs="Arial"/>
          <w:i/>
          <w:color w:val="000000" w:themeColor="text1"/>
          <w:sz w:val="22"/>
          <w:szCs w:val="22"/>
          <w:lang w:val="es-MX"/>
        </w:rPr>
        <w:t>“procurar un desarrollo integral, sostenible y sustentable con fundamento en el ejercicio de la democracia participativa.”</w:t>
      </w:r>
      <w:r w:rsidRPr="003B459E">
        <w:rPr>
          <w:rFonts w:ascii="Verdana" w:eastAsia="Calibri" w:hAnsi="Verdana" w:cs="Arial"/>
          <w:color w:val="000000" w:themeColor="text1"/>
          <w:sz w:val="22"/>
          <w:szCs w:val="22"/>
          <w:lang w:val="es-MX"/>
        </w:rPr>
        <w:t xml:space="preserve">. Por </w:t>
      </w:r>
      <w:r w:rsidRPr="003B459E">
        <w:rPr>
          <w:rFonts w:ascii="Verdana" w:eastAsia="Calibri" w:hAnsi="Verdana" w:cs="Arial"/>
          <w:color w:val="000000" w:themeColor="text1"/>
          <w:sz w:val="22"/>
          <w:szCs w:val="22"/>
          <w:lang w:val="es-MX"/>
        </w:rPr>
        <w:lastRenderedPageBreak/>
        <w:t>su parte, las Juntas de Vivienda Comunal, fueron definidas como “</w:t>
      </w:r>
      <w:r w:rsidRPr="003B459E">
        <w:rPr>
          <w:rFonts w:ascii="Verdana" w:eastAsia="Calibri" w:hAnsi="Verdana" w:cs="Arial"/>
          <w:i/>
          <w:color w:val="000000" w:themeColor="text1"/>
          <w:sz w:val="22"/>
          <w:szCs w:val="22"/>
          <w:lang w:val="es-MX"/>
        </w:rPr>
        <w:t>una organización cívica sin ánimo de lucro, integrada por familias que se reúnen con el propósito de adelantar programas de mejoramiento o de autoconstrucción de vivienda”</w:t>
      </w:r>
      <w:r w:rsidRPr="003B459E">
        <w:rPr>
          <w:rFonts w:ascii="Verdana" w:eastAsia="Calibri" w:hAnsi="Verdana" w:cs="Arial"/>
          <w:color w:val="000000" w:themeColor="text1"/>
          <w:sz w:val="22"/>
          <w:szCs w:val="22"/>
          <w:lang w:val="es-MX"/>
        </w:rPr>
        <w:t xml:space="preserve"> y una vez concluido el programa se podrán asimilar a una Junta de Acción Comunal, siempre y cuando cumplan los requisitos de Ley.</w:t>
      </w:r>
    </w:p>
    <w:p w14:paraId="01F49ACE" w14:textId="77777777" w:rsidR="00996D7C" w:rsidRPr="003B459E" w:rsidRDefault="00996D7C">
      <w:pPr>
        <w:shd w:val="clear" w:color="auto" w:fill="FFFFFF" w:themeFill="background1"/>
        <w:spacing w:after="120" w:line="276" w:lineRule="auto"/>
        <w:ind w:firstLine="708"/>
        <w:jc w:val="both"/>
        <w:rPr>
          <w:rFonts w:ascii="Verdana" w:eastAsia="Calibri" w:hAnsi="Verdana" w:cs="Arial"/>
          <w:bCs/>
          <w:color w:val="000000" w:themeColor="text1"/>
          <w:sz w:val="22"/>
          <w:szCs w:val="22"/>
          <w:lang w:val="es-MX"/>
        </w:rPr>
      </w:pPr>
      <w:r w:rsidRPr="003B459E">
        <w:rPr>
          <w:rFonts w:ascii="Verdana" w:eastAsia="Calibri" w:hAnsi="Verdana" w:cs="Arial"/>
          <w:bCs/>
          <w:color w:val="000000" w:themeColor="text1"/>
          <w:sz w:val="22"/>
          <w:szCs w:val="22"/>
          <w:lang w:val="es-MX"/>
        </w:rPr>
        <w:t>En el segundo grado de los Organismos de Acción Comunal se clasificó a las Asociaciones de Juntas de Acción Comunal, indicando que tienen la misma naturaleza jurídica de las Juntas de Acción Comunal y se constituyen por los organismos de primer grado fundadores, esto es, por las Juntas de Acción Comunal o por las Juntas de Vivienda Comunal y los que posteriormente se afilien a ella.</w:t>
      </w:r>
    </w:p>
    <w:p w14:paraId="1FE37B3F" w14:textId="77777777" w:rsidR="00996D7C" w:rsidRPr="003B459E" w:rsidRDefault="00996D7C">
      <w:pPr>
        <w:shd w:val="clear" w:color="auto" w:fill="FFFFFF" w:themeFill="background1"/>
        <w:spacing w:after="120" w:line="276" w:lineRule="auto"/>
        <w:ind w:firstLine="708"/>
        <w:jc w:val="both"/>
        <w:rPr>
          <w:rFonts w:ascii="Verdana" w:eastAsia="Calibri" w:hAnsi="Verdana" w:cs="Arial"/>
          <w:bCs/>
          <w:color w:val="000000" w:themeColor="text1"/>
          <w:sz w:val="22"/>
          <w:szCs w:val="22"/>
          <w:lang w:val="es-MX"/>
        </w:rPr>
      </w:pPr>
      <w:r w:rsidRPr="003B459E">
        <w:rPr>
          <w:rFonts w:ascii="Verdana" w:eastAsia="Calibri" w:hAnsi="Verdana" w:cs="Arial"/>
          <w:bCs/>
          <w:color w:val="000000" w:themeColor="text1"/>
          <w:sz w:val="22"/>
          <w:szCs w:val="22"/>
          <w:lang w:val="es-MX"/>
        </w:rPr>
        <w:t>En el tercer grado, el artículo 7 de la Ley 2166 de 2021 ubicó a la Federación de la Acción Comunal, constituida por los organismos de segundo grado y en cuarto grado al Confederación Nacional de Acción comunal, constituido por los organismos de tercer grado y que posteriormente se afilien.</w:t>
      </w:r>
    </w:p>
    <w:p w14:paraId="74FBF262" w14:textId="77777777" w:rsidR="00996D7C" w:rsidRPr="003B459E" w:rsidRDefault="00996D7C">
      <w:pPr>
        <w:shd w:val="clear" w:color="auto" w:fill="FFFFFF" w:themeFill="background1"/>
        <w:spacing w:after="120" w:line="276" w:lineRule="auto"/>
        <w:ind w:firstLine="708"/>
        <w:jc w:val="both"/>
        <w:rPr>
          <w:rFonts w:ascii="Verdana" w:eastAsia="Calibri" w:hAnsi="Verdana" w:cs="Arial"/>
          <w:bCs/>
          <w:color w:val="000000" w:themeColor="text1"/>
          <w:sz w:val="22"/>
          <w:szCs w:val="22"/>
          <w:lang w:val="es-MX"/>
        </w:rPr>
      </w:pPr>
      <w:r w:rsidRPr="003B459E">
        <w:rPr>
          <w:rFonts w:ascii="Verdana" w:eastAsia="Calibri" w:hAnsi="Verdana" w:cs="Arial"/>
          <w:color w:val="000000" w:themeColor="text1"/>
          <w:sz w:val="22"/>
          <w:szCs w:val="22"/>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008E89EC" w14:textId="0ACE0AB6" w:rsidR="00996D7C" w:rsidRPr="003B459E" w:rsidRDefault="00996D7C">
      <w:pPr>
        <w:shd w:val="clear" w:color="auto" w:fill="FFFFFF" w:themeFill="background1"/>
        <w:spacing w:after="120" w:line="276" w:lineRule="auto"/>
        <w:ind w:firstLine="708"/>
        <w:jc w:val="both"/>
        <w:rPr>
          <w:rFonts w:ascii="Verdana" w:eastAsia="Calibri" w:hAnsi="Verdana" w:cs="Arial"/>
          <w:bCs/>
          <w:color w:val="000000" w:themeColor="text1"/>
          <w:sz w:val="22"/>
          <w:szCs w:val="22"/>
          <w:lang w:val="es-MX"/>
        </w:rPr>
      </w:pPr>
      <w:r w:rsidRPr="003B459E">
        <w:rPr>
          <w:rFonts w:ascii="Verdana" w:eastAsia="Calibri" w:hAnsi="Verdana" w:cs="Arial"/>
          <w:bCs/>
          <w:color w:val="000000" w:themeColor="text1"/>
          <w:sz w:val="22"/>
          <w:szCs w:val="22"/>
          <w:lang w:val="es-MX"/>
        </w:rPr>
        <w:t>De igual forma, la Corte Constitucional en sentencia C-126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3B459E">
        <w:rPr>
          <w:rFonts w:ascii="Verdana" w:hAnsi="Verdana" w:cs="Arial"/>
          <w:bCs/>
          <w:color w:val="000000" w:themeColor="text1"/>
          <w:sz w:val="22"/>
          <w:szCs w:val="22"/>
          <w:vertAlign w:val="superscript"/>
          <w:lang w:val="es-MX" w:eastAsia="es-MX"/>
        </w:rPr>
        <w:footnoteReference w:id="5"/>
      </w:r>
      <w:r w:rsidRPr="003B459E">
        <w:rPr>
          <w:rFonts w:ascii="Verdana" w:eastAsia="Calibri" w:hAnsi="Verdana" w:cs="Arial"/>
          <w:bCs/>
          <w:color w:val="000000" w:themeColor="text1"/>
          <w:sz w:val="22"/>
          <w:szCs w:val="22"/>
          <w:lang w:val="es-MX"/>
        </w:rPr>
        <w:t>.</w:t>
      </w:r>
    </w:p>
    <w:p w14:paraId="774DE0FF" w14:textId="7F128071" w:rsidR="00996D7C" w:rsidRPr="003B459E" w:rsidRDefault="00996D7C">
      <w:pPr>
        <w:shd w:val="clear" w:color="auto" w:fill="FFFFFF" w:themeFill="background1"/>
        <w:spacing w:after="120" w:line="276" w:lineRule="auto"/>
        <w:ind w:firstLine="708"/>
        <w:jc w:val="both"/>
        <w:rPr>
          <w:rFonts w:ascii="Verdana" w:hAnsi="Verdana" w:cs="Arial"/>
          <w:sz w:val="22"/>
          <w:szCs w:val="22"/>
          <w:lang w:eastAsia="es-MX"/>
        </w:rPr>
      </w:pPr>
      <w:r w:rsidRPr="003B459E">
        <w:rPr>
          <w:rFonts w:ascii="Verdana" w:eastAsia="Calibri" w:hAnsi="Verdana" w:cs="Arial"/>
          <w:color w:val="000000" w:themeColor="text1"/>
          <w:sz w:val="22"/>
          <w:szCs w:val="22"/>
          <w:lang w:val="es-ES"/>
        </w:rPr>
        <w:lastRenderedPageBreak/>
        <w:t xml:space="preserve">Ahora bien, </w:t>
      </w:r>
      <w:r w:rsidRPr="003B459E">
        <w:rPr>
          <w:rFonts w:ascii="Verdana" w:hAnsi="Verdana" w:cs="Arial"/>
          <w:color w:val="000000" w:themeColor="text1"/>
          <w:sz w:val="22"/>
          <w:szCs w:val="22"/>
          <w:lang w:val="es-ES" w:eastAsia="es-CO"/>
        </w:rPr>
        <w:t xml:space="preserve">para la celebración de convenios solidarios con Entidades Estatales, </w:t>
      </w:r>
      <w:r w:rsidRPr="003B459E">
        <w:rPr>
          <w:rFonts w:ascii="Verdana" w:hAnsi="Verdana" w:cs="Arial"/>
          <w:sz w:val="22"/>
          <w:szCs w:val="22"/>
          <w:lang w:eastAsia="es-MX"/>
        </w:rPr>
        <w:t>cada Organismo de Acción Comunal debe acreditar su existencia y representación legal en los términos del artículo 78 de la Ley 2166 de 2021</w:t>
      </w:r>
      <w:r w:rsidRPr="003B459E">
        <w:rPr>
          <w:rStyle w:val="Refdenotaalpie"/>
          <w:rFonts w:ascii="Verdana" w:hAnsi="Verdana" w:cs="Arial"/>
          <w:sz w:val="22"/>
          <w:szCs w:val="22"/>
          <w:lang w:eastAsia="es-MX"/>
        </w:rPr>
        <w:footnoteReference w:id="6"/>
      </w:r>
      <w:r w:rsidRPr="003B459E">
        <w:rPr>
          <w:rFonts w:ascii="Verdana" w:hAnsi="Verdana" w:cs="Arial"/>
          <w:sz w:val="22"/>
          <w:szCs w:val="22"/>
          <w:lang w:eastAsia="es-MX"/>
        </w:rPr>
        <w:t>, lo que implica observar su capacidad jurídica, la cual se verá condicionada por la territorialidad a la cual pertenecen l</w:t>
      </w:r>
      <w:r w:rsidR="00B608EC" w:rsidRPr="003B459E">
        <w:rPr>
          <w:rFonts w:ascii="Verdana" w:hAnsi="Verdana" w:cs="Arial"/>
          <w:sz w:val="22"/>
          <w:szCs w:val="22"/>
          <w:lang w:eastAsia="es-MX"/>
        </w:rPr>
        <w:t>a</w:t>
      </w:r>
      <w:r w:rsidRPr="003B459E">
        <w:rPr>
          <w:rFonts w:ascii="Verdana" w:hAnsi="Verdana" w:cs="Arial"/>
          <w:sz w:val="22"/>
          <w:szCs w:val="22"/>
          <w:lang w:eastAsia="es-MX"/>
        </w:rPr>
        <w:t>s Juntas de Acción Comunal o las Juntas de Vivienda Comunal, y en el caso de los Organismos de Acción Comunal de segundo grado y siguientes, está verá condicionado su alcance conforme a la territorialidad a la cual pertenecen sus fundadores.</w:t>
      </w:r>
    </w:p>
    <w:p w14:paraId="1DACD05F" w14:textId="02F1CE35" w:rsidR="00C45444" w:rsidRPr="003B459E" w:rsidRDefault="00996D7C" w:rsidP="00DB08C4">
      <w:pPr>
        <w:shd w:val="clear" w:color="auto" w:fill="FFFFFF" w:themeFill="background1"/>
        <w:spacing w:line="276" w:lineRule="auto"/>
        <w:ind w:firstLine="708"/>
        <w:jc w:val="both"/>
        <w:rPr>
          <w:rFonts w:ascii="Verdana" w:eastAsia="Calibri" w:hAnsi="Verdana" w:cs="Arial"/>
          <w:i/>
          <w:iCs/>
          <w:color w:val="000000" w:themeColor="text1"/>
          <w:sz w:val="22"/>
          <w:szCs w:val="22"/>
          <w:lang w:val="es-ES_tradnl"/>
        </w:rPr>
      </w:pPr>
      <w:r w:rsidRPr="003B459E">
        <w:rPr>
          <w:rFonts w:ascii="Verdana" w:hAnsi="Verdana" w:cs="Arial"/>
          <w:sz w:val="22"/>
          <w:szCs w:val="22"/>
          <w:lang w:eastAsia="es-MX"/>
        </w:rPr>
        <w:t xml:space="preserve">En ese sentido, por </w:t>
      </w:r>
      <w:r w:rsidRPr="003B459E">
        <w:rPr>
          <w:rFonts w:ascii="Verdana" w:hAnsi="Verdana" w:cs="Arial"/>
          <w:bCs/>
          <w:color w:val="000000" w:themeColor="text1"/>
          <w:sz w:val="22"/>
          <w:szCs w:val="22"/>
          <w:lang w:val="es-MX" w:eastAsia="es-MX"/>
        </w:rPr>
        <w:t xml:space="preserve">la naturaleza jurídica y la incidencia que en ellas tiene el principio de participación, los Organismos de Acción Comunal encuentran limitada su capacidad jurídica con relación a la territorialidad de la comunidad a la cual pertenecen y representan, y sólo en ella podrán desarrollar sus actividades, pues sólo así se garantizaría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w:t>
      </w:r>
      <w:r w:rsidRPr="003B459E">
        <w:rPr>
          <w:rFonts w:ascii="Verdana" w:hAnsi="Verdana" w:cs="Arial"/>
          <w:sz w:val="22"/>
          <w:szCs w:val="22"/>
          <w:lang w:eastAsia="es-MX"/>
        </w:rPr>
        <w:t xml:space="preserve">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9 que </w:t>
      </w:r>
      <w:r w:rsidRPr="003B459E">
        <w:rPr>
          <w:rFonts w:ascii="Verdana" w:hAnsi="Verdana" w:cs="Arial"/>
          <w:i/>
          <w:iCs/>
          <w:color w:val="000000" w:themeColor="text1"/>
          <w:sz w:val="22"/>
          <w:szCs w:val="22"/>
        </w:rPr>
        <w:t>“</w:t>
      </w:r>
      <w:r w:rsidRPr="003B459E">
        <w:rPr>
          <w:rFonts w:ascii="Verdana" w:hAnsi="Verdana" w:cs="Arial"/>
          <w:bCs/>
          <w:i/>
          <w:iCs/>
          <w:color w:val="000000" w:themeColor="text1"/>
          <w:sz w:val="22"/>
          <w:szCs w:val="22"/>
          <w:lang w:val="es-MX" w:eastAsia="es-MX"/>
        </w:rPr>
        <w:t>cada organismo de acción comunal desarrollará sus actividades dentro de un territorio delimitado</w:t>
      </w:r>
      <w:r w:rsidRPr="003B459E">
        <w:rPr>
          <w:rFonts w:ascii="Verdana" w:eastAsia="Calibri" w:hAnsi="Verdana" w:cs="Arial"/>
          <w:i/>
          <w:iCs/>
          <w:color w:val="000000" w:themeColor="text1"/>
          <w:sz w:val="22"/>
          <w:szCs w:val="22"/>
          <w:lang w:val="es-ES_tradnl"/>
        </w:rPr>
        <w:t>”.</w:t>
      </w:r>
    </w:p>
    <w:p w14:paraId="11807809" w14:textId="77777777" w:rsidR="00DB08C4" w:rsidRPr="003B459E" w:rsidRDefault="00DB08C4" w:rsidP="00243ABB">
      <w:pPr>
        <w:shd w:val="clear" w:color="auto" w:fill="FFFFFF" w:themeFill="background1"/>
        <w:spacing w:line="276" w:lineRule="auto"/>
        <w:ind w:firstLine="708"/>
        <w:jc w:val="both"/>
        <w:rPr>
          <w:rFonts w:ascii="Verdana" w:hAnsi="Verdana" w:cs="Arial"/>
          <w:sz w:val="22"/>
          <w:szCs w:val="22"/>
          <w:lang w:val="es-ES_tradnl" w:eastAsia="es-MX"/>
        </w:rPr>
      </w:pPr>
    </w:p>
    <w:p w14:paraId="339EA5ED" w14:textId="77777777" w:rsidR="00C45444" w:rsidRPr="003B459E" w:rsidRDefault="00C45444" w:rsidP="00DB08C4">
      <w:pPr>
        <w:shd w:val="clear" w:color="auto" w:fill="FFFFFF" w:themeFill="background1"/>
        <w:spacing w:after="120" w:line="276" w:lineRule="auto"/>
        <w:jc w:val="both"/>
        <w:rPr>
          <w:rFonts w:ascii="Verdana" w:hAnsi="Verdana" w:cs="Arial"/>
          <w:sz w:val="22"/>
          <w:szCs w:val="22"/>
          <w:lang w:eastAsia="es-MX"/>
        </w:rPr>
      </w:pPr>
      <w:r w:rsidRPr="003B459E">
        <w:rPr>
          <w:rFonts w:ascii="Verdana" w:hAnsi="Verdana" w:cs="Arial"/>
          <w:sz w:val="22"/>
          <w:szCs w:val="22"/>
          <w:lang w:val="es-ES_tradnl" w:eastAsia="es-MX"/>
        </w:rPr>
        <w:t xml:space="preserve">ii) </w:t>
      </w:r>
      <w:r w:rsidRPr="003B459E">
        <w:rPr>
          <w:rFonts w:ascii="Verdana" w:eastAsia="Verdana" w:hAnsi="Verdana" w:cs="Verdana"/>
          <w:sz w:val="22"/>
          <w:szCs w:val="22"/>
        </w:rPr>
        <w:t xml:space="preserve">Hechas las precisiones sobre los convenios solidarios y sus regímenes, conviene referirse a los convenios de asociación previstos en el artículo 96 de la </w:t>
      </w:r>
      <w:r w:rsidRPr="003B459E">
        <w:rPr>
          <w:rFonts w:ascii="Verdana" w:eastAsia="Verdana" w:hAnsi="Verdana" w:cs="Verdana"/>
          <w:sz w:val="22"/>
          <w:szCs w:val="22"/>
        </w:rPr>
        <w:lastRenderedPageBreak/>
        <w:t>Ley 489 de 1998 y en el artículo 5 del Decreto 092 de 2017, en atención a la consulta formulada.</w:t>
      </w:r>
    </w:p>
    <w:p w14:paraId="7493BB02" w14:textId="77777777" w:rsidR="004F25F5" w:rsidRPr="003B459E" w:rsidRDefault="00C45444" w:rsidP="00206651">
      <w:pPr>
        <w:shd w:val="clear" w:color="auto" w:fill="FFFFFF" w:themeFill="background1"/>
        <w:spacing w:after="120" w:line="276" w:lineRule="auto"/>
        <w:ind w:firstLine="708"/>
        <w:jc w:val="both"/>
        <w:rPr>
          <w:rFonts w:ascii="Verdana" w:hAnsi="Verdana" w:cs="Arial"/>
          <w:sz w:val="22"/>
          <w:szCs w:val="22"/>
          <w:lang w:val="es-ES_tradnl" w:eastAsia="es-MX"/>
        </w:rPr>
      </w:pPr>
      <w:r w:rsidRPr="003B459E">
        <w:rPr>
          <w:rFonts w:ascii="Verdana" w:eastAsia="Verdana" w:hAnsi="Verdana" w:cs="Verdana"/>
          <w:sz w:val="22"/>
          <w:szCs w:val="22"/>
        </w:rPr>
        <w:t>El artículo 96 de la Ley 489 de 1998 permite a las Entidades Estatales asociarse con personas jurídicas particulares, mediante la celebración de convenios de asociación, para el desarrollo conjunto de actividades relacionadas con los cometidos y funciones que les asigna la ley. Por su parte, el artículo 5 del Decreto 092 de 2017 reglamenta la celebración de estos convenios con entidades privadas sin ánimo de lucro de reconocida idoneidad. Esa norma establece como regla general que la selección de la entidad sin ánimo de lucro se adelante mediante un proceso competitivo. La excepción es que dicha entidad comprometa recursos en dinero en una proporción no inferior al treinta por ciento (30 %) del valor total del convenio.</w:t>
      </w:r>
    </w:p>
    <w:p w14:paraId="04E5C37C" w14:textId="77777777" w:rsidR="00774AD5" w:rsidRPr="003B459E" w:rsidRDefault="00C45444" w:rsidP="00687D68">
      <w:pPr>
        <w:shd w:val="clear" w:color="auto" w:fill="FFFFFF" w:themeFill="background1"/>
        <w:spacing w:after="120" w:line="276" w:lineRule="auto"/>
        <w:ind w:firstLine="708"/>
        <w:jc w:val="both"/>
        <w:rPr>
          <w:rFonts w:ascii="Verdana" w:hAnsi="Verdana" w:cs="Arial"/>
          <w:sz w:val="22"/>
          <w:szCs w:val="22"/>
          <w:lang w:val="es-ES_tradnl" w:eastAsia="es-MX"/>
        </w:rPr>
      </w:pPr>
      <w:r w:rsidRPr="003B459E">
        <w:rPr>
          <w:rFonts w:ascii="Verdana" w:eastAsia="Verdana" w:hAnsi="Verdana" w:cs="Verdana"/>
          <w:sz w:val="22"/>
          <w:szCs w:val="22"/>
        </w:rPr>
        <w:t>No obstante, aun en este último supuesto, si más de una entidad sin ánimo de lucro ofrece comprometer recursos en dinero en la proporción señalada, la entidad estatal deberá seleccionar de forma objetiva a aquella con la cual celebrará el convenio, conforme a lo previsto en el artículo 4 del mismo decreto.</w:t>
      </w:r>
    </w:p>
    <w:p w14:paraId="0250736F" w14:textId="7FAFA39D" w:rsidR="00BE1651" w:rsidRPr="003B459E" w:rsidRDefault="00BE1651" w:rsidP="00F7295F">
      <w:pPr>
        <w:spacing w:after="120" w:line="276" w:lineRule="auto"/>
        <w:ind w:firstLine="708"/>
        <w:jc w:val="both"/>
        <w:rPr>
          <w:rFonts w:ascii="Verdana" w:eastAsia="Verdana" w:hAnsi="Verdana" w:cs="Verdana"/>
          <w:sz w:val="22"/>
          <w:szCs w:val="22"/>
        </w:rPr>
      </w:pPr>
      <w:r w:rsidRPr="003B459E">
        <w:rPr>
          <w:rFonts w:ascii="Verdana" w:eastAsia="Verdana" w:hAnsi="Verdana" w:cs="Verdana"/>
          <w:sz w:val="22"/>
          <w:szCs w:val="22"/>
        </w:rPr>
        <w:t>Como lo ha precisado esta Agencia en la Guía para la contratación con entidades privadas sin ánimo de lucro y de reconocida idoneidad, el convenio de asociación deberá celebrarse mediante un proceso competitivo cuando el aporte de la entidad privada sin ánimo de lucro sea inferior al treinta por ciento (30%) en dinero propio o de cooperación internacional. En consecuencia, para prescindir de dicho proceso, el aporte deberá efectuarse en dinero, de manera que los aportes en especie, como bienes, servicios, trabajo, voluntariado o capacidad instalada, aunque pueden integrar el convenio, no se computan para acreditar el porcentaje señalado. Adicionalmente, para que un Organismo de Acción Comunal pueda ser parte de un convenio de asociación, deberá acreditar la reconocida idoneidad y los demás requisitos previstos en el Decreto 092 de 2017, así como los límites de su capacidad jurídica derivados de la Ley 2166 de 2021, incluidos los de cuantía y territorialidad.</w:t>
      </w:r>
    </w:p>
    <w:p w14:paraId="7280AFB1" w14:textId="19AFA4C2" w:rsidR="00774AD5" w:rsidRPr="003B459E" w:rsidRDefault="00774AD5" w:rsidP="00F7295F">
      <w:pPr>
        <w:spacing w:after="120" w:line="276" w:lineRule="auto"/>
        <w:jc w:val="both"/>
        <w:rPr>
          <w:rFonts w:ascii="Verdana" w:eastAsia="Verdana" w:hAnsi="Verdana" w:cs="Verdana"/>
          <w:sz w:val="22"/>
          <w:szCs w:val="22"/>
        </w:rPr>
      </w:pPr>
      <w:r w:rsidRPr="003B459E">
        <w:rPr>
          <w:rFonts w:ascii="Verdana" w:eastAsia="Verdana" w:hAnsi="Verdana" w:cs="Verdana"/>
          <w:sz w:val="22"/>
          <w:szCs w:val="22"/>
          <w:lang w:val="es-ES_tradnl"/>
        </w:rPr>
        <w:t xml:space="preserve">iii) </w:t>
      </w:r>
      <w:r w:rsidR="004F5F46" w:rsidRPr="003B459E">
        <w:rPr>
          <w:rFonts w:ascii="Verdana" w:eastAsia="Verdana" w:hAnsi="Verdana" w:cs="Verdana"/>
          <w:sz w:val="22"/>
          <w:szCs w:val="22"/>
        </w:rPr>
        <w:t xml:space="preserve">Por último y respecto a la </w:t>
      </w:r>
      <w:r w:rsidR="003E3D66" w:rsidRPr="003B459E">
        <w:rPr>
          <w:rFonts w:ascii="Verdana" w:hAnsi="Verdana" w:cs="Arial"/>
          <w:sz w:val="22"/>
          <w:szCs w:val="22"/>
        </w:rPr>
        <w:t>distinción entre los convenios asociativos o solidarios y los contratos conmutativos</w:t>
      </w:r>
      <w:r w:rsidR="008E73FE" w:rsidRPr="003B459E">
        <w:rPr>
          <w:rFonts w:ascii="Verdana" w:hAnsi="Verdana" w:cs="Arial"/>
          <w:sz w:val="22"/>
          <w:szCs w:val="22"/>
        </w:rPr>
        <w:t xml:space="preserve">, </w:t>
      </w:r>
      <w:r w:rsidR="00F16580" w:rsidRPr="003B459E">
        <w:rPr>
          <w:rFonts w:ascii="Verdana" w:hAnsi="Verdana" w:cs="Arial"/>
          <w:sz w:val="22"/>
          <w:szCs w:val="22"/>
        </w:rPr>
        <w:t xml:space="preserve">el artículo 355 de la Constitución Política prohíbe a las ramas u órganos del poder público decretar auxilios o donaciones en favor de personas naturales o jurídicas de derecho privado, y permite a los gobiernos nacional, departamentales, distritales y municipales celebrar </w:t>
      </w:r>
      <w:r w:rsidR="00F16580" w:rsidRPr="003B459E">
        <w:rPr>
          <w:rFonts w:ascii="Verdana" w:hAnsi="Verdana" w:cs="Arial"/>
          <w:sz w:val="22"/>
          <w:szCs w:val="22"/>
        </w:rPr>
        <w:lastRenderedPageBreak/>
        <w:t>contratos con entidades privadas sin ánimo de lucro y de reconocida idoneidad con el fin de impulsar programas y actividades de interés público acordes con los planes de desarrollo. El artículo 2 del Decreto 092 de 2017 excluye de este régimen, entre otros, los contratos que impliquen una contraprestación directa a favor de la Entidad Estatal, esto es, aquellos en los que esta adquiere bienes o servicios para su propio uso o beneficio, y aquellos en los que la entidad imparta instrucciones precisas al contratista para cumplir con el objeto.</w:t>
      </w:r>
    </w:p>
    <w:p w14:paraId="7DF43EB9" w14:textId="77777777" w:rsidR="000A0A6B" w:rsidRPr="003B459E" w:rsidRDefault="00774AD5">
      <w:pPr>
        <w:spacing w:after="120" w:line="276" w:lineRule="auto"/>
        <w:ind w:firstLine="708"/>
        <w:jc w:val="both"/>
        <w:rPr>
          <w:rFonts w:ascii="Verdana" w:eastAsia="Verdana" w:hAnsi="Verdana" w:cs="Verdana"/>
          <w:sz w:val="22"/>
          <w:szCs w:val="22"/>
        </w:rPr>
      </w:pPr>
      <w:r w:rsidRPr="003B459E">
        <w:rPr>
          <w:rFonts w:ascii="Verdana" w:eastAsia="Verdana" w:hAnsi="Verdana" w:cs="Verdana"/>
          <w:sz w:val="22"/>
          <w:szCs w:val="22"/>
        </w:rPr>
        <w:t>En consecuencia, un negocio cuyo verdadero objeto económico consiste en que la entidad adquiera servicios para la atención de sus propias necesidades</w:t>
      </w:r>
      <w:r w:rsidR="00F923D8" w:rsidRPr="003B459E">
        <w:rPr>
          <w:rFonts w:ascii="Verdana" w:eastAsia="Verdana" w:hAnsi="Verdana" w:cs="Verdana"/>
          <w:sz w:val="22"/>
          <w:szCs w:val="22"/>
        </w:rPr>
        <w:t xml:space="preserve">, </w:t>
      </w:r>
      <w:r w:rsidRPr="003B459E">
        <w:rPr>
          <w:rFonts w:ascii="Verdana" w:eastAsia="Verdana" w:hAnsi="Verdana" w:cs="Verdana"/>
          <w:sz w:val="22"/>
          <w:szCs w:val="22"/>
        </w:rPr>
        <w:t>como la operación logística de los eventos institucionales de sus dependencias</w:t>
      </w:r>
      <w:r w:rsidR="00F923D8" w:rsidRPr="003B459E">
        <w:rPr>
          <w:rFonts w:ascii="Verdana" w:eastAsia="Verdana" w:hAnsi="Verdana" w:cs="Verdana"/>
          <w:sz w:val="22"/>
          <w:szCs w:val="22"/>
        </w:rPr>
        <w:t>,</w:t>
      </w:r>
      <w:r w:rsidRPr="003B459E">
        <w:rPr>
          <w:rFonts w:ascii="Verdana" w:eastAsia="Verdana" w:hAnsi="Verdana" w:cs="Verdana"/>
          <w:sz w:val="22"/>
          <w:szCs w:val="22"/>
        </w:rPr>
        <w:t xml:space="preserve"> corresponde, en principio, a un contrato estatal conmutativo, aun cuando se le denomine convenio, pues la naturaleza del negocio jurídico se determina por su contenido y no por su denominación. Por el contrario, un convenio genuinamente solidario o asociativo supone que la organización y la entidad aúnan esfuerzos para ejecutar un programa o actividad de interés público, previsto en el plan de desarrollo, en beneficio de la comunidad, en el que los componentes logísticos, de existir, tienen carácter instrumental y no constituyen la finalidad del negocio. La valoración de estos elementos corresponde a la entidad estatal en la etapa de planeación de cada Proceso de Contratación.</w:t>
      </w:r>
    </w:p>
    <w:p w14:paraId="5F7DA65F" w14:textId="4F0BB4D6" w:rsidR="009802E0" w:rsidRPr="003B459E" w:rsidRDefault="00774AD5">
      <w:pPr>
        <w:spacing w:after="120" w:line="276" w:lineRule="auto"/>
        <w:ind w:firstLine="708"/>
        <w:jc w:val="both"/>
        <w:rPr>
          <w:rFonts w:ascii="Verdana" w:eastAsia="Verdana" w:hAnsi="Verdana" w:cs="Verdana"/>
          <w:sz w:val="22"/>
          <w:szCs w:val="22"/>
        </w:rPr>
      </w:pPr>
      <w:r w:rsidRPr="003B459E">
        <w:rPr>
          <w:rFonts w:ascii="Verdana" w:eastAsia="Verdana" w:hAnsi="Verdana" w:cs="Verdana"/>
          <w:sz w:val="22"/>
          <w:szCs w:val="22"/>
        </w:rPr>
        <w:t>Cuando el negocio corresponda a un contrato conmutativo, su celebración se sujetará a la modalidad de selección que corresponda conforme al artículo 2 de la Ley 1150 de 2007 y al Decreto 1082 de 2015, de acuerdo con el objeto y la cuantía, y un Organismo de Acción Comunal podrá participar como oferente siempre que acredite su capacidad jurídica</w:t>
      </w:r>
      <w:r w:rsidR="009802E0" w:rsidRPr="003B459E">
        <w:rPr>
          <w:rFonts w:ascii="Verdana" w:eastAsia="Verdana" w:hAnsi="Verdana" w:cs="Verdana"/>
          <w:sz w:val="22"/>
          <w:szCs w:val="22"/>
        </w:rPr>
        <w:t xml:space="preserve">, </w:t>
      </w:r>
      <w:r w:rsidRPr="003B459E">
        <w:rPr>
          <w:rFonts w:ascii="Verdana" w:eastAsia="Verdana" w:hAnsi="Verdana" w:cs="Verdana"/>
          <w:sz w:val="22"/>
          <w:szCs w:val="22"/>
        </w:rPr>
        <w:t>existencia y representación legal, objeto, límite de cuantía y territorialidad</w:t>
      </w:r>
      <w:r w:rsidR="009802E0" w:rsidRPr="003B459E">
        <w:rPr>
          <w:rFonts w:ascii="Verdana" w:eastAsia="Verdana" w:hAnsi="Verdana" w:cs="Verdana"/>
          <w:sz w:val="22"/>
          <w:szCs w:val="22"/>
        </w:rPr>
        <w:t xml:space="preserve">, </w:t>
      </w:r>
      <w:r w:rsidRPr="003B459E">
        <w:rPr>
          <w:rFonts w:ascii="Verdana" w:eastAsia="Verdana" w:hAnsi="Verdana" w:cs="Verdana"/>
          <w:sz w:val="22"/>
          <w:szCs w:val="22"/>
        </w:rPr>
        <w:t>y cumpla los requisitos habilitantes previstos en los documentos del proceso.</w:t>
      </w:r>
    </w:p>
    <w:p w14:paraId="0F254EAF" w14:textId="7C7CD386" w:rsidR="00CA679E" w:rsidRPr="003B459E" w:rsidRDefault="00CA679E" w:rsidP="00243ABB">
      <w:pPr>
        <w:spacing w:after="120" w:line="276" w:lineRule="auto"/>
        <w:ind w:firstLine="709"/>
        <w:jc w:val="both"/>
        <w:rPr>
          <w:rFonts w:ascii="Verdana" w:hAnsi="Verdana" w:cs="Segoe UI"/>
          <w:sz w:val="22"/>
          <w:szCs w:val="22"/>
        </w:rPr>
      </w:pPr>
      <w:r w:rsidRPr="003B459E">
        <w:rPr>
          <w:rFonts w:ascii="Verdana" w:hAnsi="Verdana" w:cs="Segoe UI"/>
          <w:sz w:val="22"/>
          <w:szCs w:val="22"/>
        </w:rPr>
        <w:t xml:space="preserve">En síntesis: (i) los Organismos de Acción Comunal tienen capacidad jurídica para celebrar contratos y convenios con entidades estatales dentro de los límites establecidos por la Ley 2166 de 2021; (ii) dicha capacidad no constituye una causal autónoma de contratación directa; (iii) la prestación de bienes, servicios y actividades logísticas no se encuentra prohibida de manera general, pero debe ser compatible con la finalidad comunitaria, la capacidad del organismo y los límites legales aplicables; (iv) la territorialidad constituye un elemento que condiciona su actuación jurídica y comunitaria; y (v) la procedencia de convenios solidarios o asociativos depende de que el negocio </w:t>
      </w:r>
      <w:r w:rsidRPr="003B459E">
        <w:rPr>
          <w:rFonts w:ascii="Verdana" w:hAnsi="Verdana" w:cs="Segoe UI"/>
          <w:sz w:val="22"/>
          <w:szCs w:val="22"/>
        </w:rPr>
        <w:lastRenderedPageBreak/>
        <w:t>conserve su naturaleza colaborativa y no corresponda realmente a la adquisición de bienes o servicios mediante un contrato estatal conmutativo.</w:t>
      </w:r>
    </w:p>
    <w:p w14:paraId="27837C1B" w14:textId="0889AE44" w:rsidR="00B94039" w:rsidRPr="003B459E" w:rsidRDefault="00774AD5" w:rsidP="00DB08C4">
      <w:pPr>
        <w:spacing w:line="276" w:lineRule="auto"/>
        <w:ind w:firstLine="708"/>
        <w:jc w:val="both"/>
        <w:rPr>
          <w:rFonts w:ascii="Verdana" w:eastAsia="Verdana" w:hAnsi="Verdana" w:cs="Verdana"/>
          <w:sz w:val="22"/>
          <w:szCs w:val="22"/>
        </w:rPr>
      </w:pPr>
      <w:r w:rsidRPr="003B459E">
        <w:rPr>
          <w:rFonts w:ascii="Verdana" w:eastAsia="Verdana" w:hAnsi="Verdana" w:cs="Verdana"/>
          <w:sz w:val="22"/>
          <w:szCs w:val="22"/>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4EF2BA4" w14:textId="77777777" w:rsidR="00DB08C4" w:rsidRPr="003B459E" w:rsidRDefault="00DB08C4" w:rsidP="00243ABB">
      <w:pPr>
        <w:spacing w:line="276" w:lineRule="auto"/>
        <w:ind w:firstLine="708"/>
        <w:jc w:val="both"/>
        <w:rPr>
          <w:rFonts w:ascii="Verdana" w:eastAsia="Verdana" w:hAnsi="Verdana" w:cs="Verdana"/>
          <w:sz w:val="22"/>
          <w:szCs w:val="22"/>
        </w:rPr>
      </w:pPr>
    </w:p>
    <w:p w14:paraId="7A3CEE46" w14:textId="77777777" w:rsidR="00B94039" w:rsidRPr="003B459E" w:rsidRDefault="00B94039" w:rsidP="00DB08C4">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3B459E">
        <w:rPr>
          <w:rFonts w:ascii="Verdana" w:eastAsia="Century Gothic" w:hAnsi="Verdana" w:cs="Century Gothic"/>
          <w:b/>
          <w:bCs/>
        </w:rPr>
        <w:t>Referencias normativas, jurisprudenciales y otras fuentes:</w:t>
      </w:r>
    </w:p>
    <w:p w14:paraId="0E8DE4CD" w14:textId="77777777" w:rsidR="00B94039" w:rsidRPr="003B459E" w:rsidRDefault="00B94039" w:rsidP="00DB08C4">
      <w:pPr>
        <w:widowControl w:val="0"/>
        <w:autoSpaceDE w:val="0"/>
        <w:autoSpaceDN w:val="0"/>
        <w:spacing w:line="276" w:lineRule="auto"/>
        <w:jc w:val="both"/>
        <w:rPr>
          <w:rFonts w:ascii="Verdana" w:hAnsi="Verdana" w:cs="Arial"/>
          <w:sz w:val="22"/>
          <w:szCs w:val="22"/>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94039" w:rsidRPr="003B459E" w14:paraId="7A2A5F28" w14:textId="77777777" w:rsidTr="001C30F2">
        <w:trPr>
          <w:trHeight w:val="878"/>
        </w:trPr>
        <w:tc>
          <w:tcPr>
            <w:tcW w:w="8647" w:type="dxa"/>
          </w:tcPr>
          <w:p w14:paraId="697A8A21" w14:textId="77777777" w:rsidR="004F29BA" w:rsidRPr="003B459E" w:rsidRDefault="004F29BA" w:rsidP="00206651">
            <w:pPr>
              <w:pStyle w:val="Prrafodelista"/>
              <w:numPr>
                <w:ilvl w:val="0"/>
                <w:numId w:val="17"/>
              </w:numPr>
              <w:spacing w:line="276" w:lineRule="auto"/>
              <w:jc w:val="both"/>
              <w:rPr>
                <w:rFonts w:ascii="Verdana" w:hAnsi="Verdana" w:cs="Arial"/>
              </w:rPr>
            </w:pPr>
            <w:r w:rsidRPr="003B459E">
              <w:rPr>
                <w:rFonts w:ascii="Verdana" w:hAnsi="Verdana" w:cs="Arial"/>
              </w:rPr>
              <w:t>Constitución Política de 1991, artículos 38, 103, 286 y 355.</w:t>
            </w:r>
          </w:p>
          <w:p w14:paraId="1D11F207" w14:textId="77777777" w:rsidR="004F29BA" w:rsidRPr="003B459E" w:rsidRDefault="004F29BA" w:rsidP="00687D68">
            <w:pPr>
              <w:pStyle w:val="Prrafodelista"/>
              <w:numPr>
                <w:ilvl w:val="0"/>
                <w:numId w:val="17"/>
              </w:numPr>
              <w:spacing w:line="276" w:lineRule="auto"/>
              <w:jc w:val="both"/>
              <w:rPr>
                <w:rFonts w:ascii="Verdana" w:hAnsi="Verdana" w:cs="Arial"/>
              </w:rPr>
            </w:pPr>
            <w:r w:rsidRPr="003B459E">
              <w:rPr>
                <w:rFonts w:ascii="Verdana" w:hAnsi="Verdana" w:cs="Arial"/>
              </w:rPr>
              <w:t>Ley 80 de 1993, artículo 6.</w:t>
            </w:r>
          </w:p>
          <w:p w14:paraId="547EA872" w14:textId="77777777" w:rsidR="004F29BA" w:rsidRPr="003B459E" w:rsidRDefault="004F29BA" w:rsidP="00F7295F">
            <w:pPr>
              <w:pStyle w:val="Prrafodelista"/>
              <w:numPr>
                <w:ilvl w:val="0"/>
                <w:numId w:val="17"/>
              </w:numPr>
              <w:spacing w:line="276" w:lineRule="auto"/>
              <w:jc w:val="both"/>
              <w:rPr>
                <w:rFonts w:ascii="Verdana" w:hAnsi="Verdana" w:cs="Arial"/>
              </w:rPr>
            </w:pPr>
            <w:r w:rsidRPr="003B459E">
              <w:rPr>
                <w:rFonts w:ascii="Verdana" w:hAnsi="Verdana" w:cs="Arial"/>
              </w:rPr>
              <w:t>Ley 136 de 1994, artículos 3 (numeral 16 y parágrafos 3, 4 y 5) y 141.</w:t>
            </w:r>
          </w:p>
          <w:p w14:paraId="1A10F635" w14:textId="77777777" w:rsidR="004F29BA" w:rsidRPr="003B459E" w:rsidRDefault="004F29BA" w:rsidP="00F7295F">
            <w:pPr>
              <w:pStyle w:val="Prrafodelista"/>
              <w:numPr>
                <w:ilvl w:val="0"/>
                <w:numId w:val="17"/>
              </w:numPr>
              <w:spacing w:line="276" w:lineRule="auto"/>
              <w:jc w:val="both"/>
              <w:rPr>
                <w:rFonts w:ascii="Verdana" w:hAnsi="Verdana" w:cs="Arial"/>
              </w:rPr>
            </w:pPr>
            <w:r w:rsidRPr="003B459E">
              <w:rPr>
                <w:rFonts w:ascii="Verdana" w:hAnsi="Verdana" w:cs="Arial"/>
              </w:rPr>
              <w:t>Ley 489 de 1998, artículo 96.</w:t>
            </w:r>
          </w:p>
          <w:p w14:paraId="17C20C19" w14:textId="77777777" w:rsidR="004F29BA" w:rsidRPr="003B459E" w:rsidRDefault="004F29BA">
            <w:pPr>
              <w:pStyle w:val="Prrafodelista"/>
              <w:numPr>
                <w:ilvl w:val="0"/>
                <w:numId w:val="17"/>
              </w:numPr>
              <w:spacing w:line="276" w:lineRule="auto"/>
              <w:jc w:val="both"/>
              <w:rPr>
                <w:rFonts w:ascii="Verdana" w:hAnsi="Verdana" w:cs="Arial"/>
              </w:rPr>
            </w:pPr>
            <w:r w:rsidRPr="003B459E">
              <w:rPr>
                <w:rFonts w:ascii="Verdana" w:hAnsi="Verdana" w:cs="Arial"/>
              </w:rPr>
              <w:t>Ley 1150 de 2007, artículos 2 y 6.</w:t>
            </w:r>
          </w:p>
          <w:p w14:paraId="0A56E171" w14:textId="77777777" w:rsidR="004F29BA" w:rsidRPr="003B459E" w:rsidRDefault="004F29BA">
            <w:pPr>
              <w:pStyle w:val="Prrafodelista"/>
              <w:numPr>
                <w:ilvl w:val="0"/>
                <w:numId w:val="17"/>
              </w:numPr>
              <w:spacing w:line="276" w:lineRule="auto"/>
              <w:jc w:val="both"/>
              <w:rPr>
                <w:rFonts w:ascii="Verdana" w:hAnsi="Verdana" w:cs="Arial"/>
              </w:rPr>
            </w:pPr>
            <w:r w:rsidRPr="003B459E">
              <w:rPr>
                <w:rFonts w:ascii="Verdana" w:hAnsi="Verdana" w:cs="Arial"/>
              </w:rPr>
              <w:t>Ley 2166 de 2021, artículos 1, 7, 9, 16, 38, 63, 74, 78 y 95.</w:t>
            </w:r>
          </w:p>
          <w:p w14:paraId="42137508" w14:textId="77777777" w:rsidR="004F29BA" w:rsidRPr="003B459E" w:rsidRDefault="004F29BA">
            <w:pPr>
              <w:pStyle w:val="Prrafodelista"/>
              <w:numPr>
                <w:ilvl w:val="0"/>
                <w:numId w:val="17"/>
              </w:numPr>
              <w:spacing w:line="276" w:lineRule="auto"/>
              <w:jc w:val="both"/>
              <w:rPr>
                <w:rFonts w:ascii="Verdana" w:hAnsi="Verdana" w:cs="Arial"/>
              </w:rPr>
            </w:pPr>
            <w:r w:rsidRPr="003B459E">
              <w:rPr>
                <w:rFonts w:ascii="Verdana" w:hAnsi="Verdana" w:cs="Arial"/>
              </w:rPr>
              <w:t>Decreto 19 de 1958, artículo 22.</w:t>
            </w:r>
          </w:p>
          <w:p w14:paraId="7F7D8A98" w14:textId="77777777" w:rsidR="004F29BA" w:rsidRPr="003B459E" w:rsidRDefault="004F29BA">
            <w:pPr>
              <w:pStyle w:val="Prrafodelista"/>
              <w:numPr>
                <w:ilvl w:val="0"/>
                <w:numId w:val="17"/>
              </w:numPr>
              <w:spacing w:line="276" w:lineRule="auto"/>
              <w:jc w:val="both"/>
              <w:rPr>
                <w:rFonts w:ascii="Verdana" w:hAnsi="Verdana" w:cs="Arial"/>
              </w:rPr>
            </w:pPr>
            <w:r w:rsidRPr="003B459E">
              <w:rPr>
                <w:rFonts w:ascii="Verdana" w:hAnsi="Verdana" w:cs="Arial"/>
              </w:rPr>
              <w:t>Decreto 1333 de 1986, artículos 375 a 378.</w:t>
            </w:r>
          </w:p>
          <w:p w14:paraId="0E3AEF7E" w14:textId="77777777" w:rsidR="004F29BA" w:rsidRPr="003B459E" w:rsidRDefault="004F29BA">
            <w:pPr>
              <w:pStyle w:val="Prrafodelista"/>
              <w:numPr>
                <w:ilvl w:val="0"/>
                <w:numId w:val="17"/>
              </w:numPr>
              <w:spacing w:line="276" w:lineRule="auto"/>
              <w:jc w:val="both"/>
              <w:rPr>
                <w:rFonts w:ascii="Verdana" w:hAnsi="Verdana" w:cs="Arial"/>
              </w:rPr>
            </w:pPr>
            <w:r w:rsidRPr="003B459E">
              <w:rPr>
                <w:rFonts w:ascii="Verdana" w:hAnsi="Verdana" w:cs="Arial"/>
              </w:rPr>
              <w:t>Decreto 1082 de 2015, artículo 2.2.15.1.2.</w:t>
            </w:r>
          </w:p>
          <w:p w14:paraId="06027B6F" w14:textId="77777777" w:rsidR="004F29BA" w:rsidRPr="003B459E" w:rsidRDefault="004F29BA">
            <w:pPr>
              <w:pStyle w:val="Prrafodelista"/>
              <w:numPr>
                <w:ilvl w:val="0"/>
                <w:numId w:val="17"/>
              </w:numPr>
              <w:spacing w:line="276" w:lineRule="auto"/>
              <w:jc w:val="both"/>
              <w:rPr>
                <w:rFonts w:ascii="Verdana" w:hAnsi="Verdana" w:cs="Arial"/>
              </w:rPr>
            </w:pPr>
            <w:r w:rsidRPr="003B459E">
              <w:rPr>
                <w:rFonts w:ascii="Verdana" w:hAnsi="Verdana" w:cs="Arial"/>
              </w:rPr>
              <w:t>Decreto 092 de 2017, artículos 2, 4 y 5.</w:t>
            </w:r>
          </w:p>
          <w:p w14:paraId="28460FD1" w14:textId="77777777" w:rsidR="004F29BA" w:rsidRPr="003B459E" w:rsidRDefault="004F29BA">
            <w:pPr>
              <w:pStyle w:val="Prrafodelista"/>
              <w:numPr>
                <w:ilvl w:val="0"/>
                <w:numId w:val="17"/>
              </w:numPr>
              <w:spacing w:line="276" w:lineRule="auto"/>
              <w:jc w:val="both"/>
              <w:rPr>
                <w:rFonts w:ascii="Verdana" w:hAnsi="Verdana" w:cs="Arial"/>
              </w:rPr>
            </w:pPr>
            <w:r w:rsidRPr="003B459E">
              <w:rPr>
                <w:rFonts w:ascii="Verdana" w:hAnsi="Verdana" w:cs="Arial"/>
              </w:rPr>
              <w:t>Decreto 142 de 2023, artículo 15.</w:t>
            </w:r>
          </w:p>
          <w:p w14:paraId="0E4170CA" w14:textId="77777777" w:rsidR="00EE71DD" w:rsidRPr="003B459E" w:rsidRDefault="00EE71DD">
            <w:pPr>
              <w:pStyle w:val="Prrafodelista"/>
              <w:numPr>
                <w:ilvl w:val="0"/>
                <w:numId w:val="17"/>
              </w:numPr>
              <w:spacing w:line="276" w:lineRule="auto"/>
              <w:jc w:val="both"/>
              <w:rPr>
                <w:rFonts w:ascii="Verdana" w:hAnsi="Verdana" w:cs="Arial"/>
              </w:rPr>
            </w:pPr>
            <w:r w:rsidRPr="003B459E">
              <w:rPr>
                <w:rFonts w:ascii="Verdana" w:hAnsi="Verdana" w:cs="Arial"/>
              </w:rPr>
              <w:t>Corte Constitucional, sentencia C-580 del 6 de junio de 2001, M.P. Clara Inés Vargas Hernández, Exp. O.P. 047.</w:t>
            </w:r>
          </w:p>
          <w:p w14:paraId="7F90ADBA" w14:textId="77777777" w:rsidR="00EE71DD" w:rsidRPr="003B459E" w:rsidRDefault="00EE71DD">
            <w:pPr>
              <w:pStyle w:val="Prrafodelista"/>
              <w:numPr>
                <w:ilvl w:val="0"/>
                <w:numId w:val="17"/>
              </w:numPr>
              <w:spacing w:line="276" w:lineRule="auto"/>
              <w:jc w:val="both"/>
              <w:rPr>
                <w:rFonts w:ascii="Verdana" w:hAnsi="Verdana" w:cs="Arial"/>
              </w:rPr>
            </w:pPr>
            <w:r w:rsidRPr="003B459E">
              <w:rPr>
                <w:rFonts w:ascii="Verdana" w:hAnsi="Verdana" w:cs="Arial"/>
              </w:rPr>
              <w:t>Corte Constitucional, sentencia C-126 del 9 de marzo de 2016, M.P. Jorge Ignacio Pretelt Chaljub, Exp. D-10894.</w:t>
            </w:r>
          </w:p>
          <w:p w14:paraId="38387EC5" w14:textId="77777777" w:rsidR="004F29BA" w:rsidRPr="003B459E" w:rsidRDefault="00D16C9D">
            <w:pPr>
              <w:pStyle w:val="Prrafodelista"/>
              <w:numPr>
                <w:ilvl w:val="0"/>
                <w:numId w:val="17"/>
              </w:numPr>
              <w:spacing w:line="276" w:lineRule="auto"/>
              <w:jc w:val="both"/>
              <w:rPr>
                <w:rFonts w:ascii="Verdana" w:hAnsi="Verdana" w:cs="Arial"/>
              </w:rPr>
            </w:pPr>
            <w:r w:rsidRPr="003B459E">
              <w:rPr>
                <w:rFonts w:ascii="Verdana" w:hAnsi="Verdana" w:cs="Arial"/>
              </w:rPr>
              <w:t xml:space="preserve">Guía para la celebración de Convenios Solidarios disponible para consulta en el siguiente enlace: </w:t>
            </w:r>
            <w:hyperlink r:id="rId16" w:history="1">
              <w:r w:rsidRPr="003B459E">
                <w:rPr>
                  <w:rStyle w:val="Hipervnculo"/>
                  <w:rFonts w:ascii="Verdana" w:hAnsi="Verdana" w:cs="Arial"/>
                </w:rPr>
                <w:t>Guía para la celebración de Convenios Solidarios disponible</w:t>
              </w:r>
            </w:hyperlink>
            <w:r w:rsidRPr="003B459E">
              <w:rPr>
                <w:rFonts w:ascii="Verdana" w:hAnsi="Verdana" w:cs="Arial"/>
              </w:rPr>
              <w:t xml:space="preserve"> </w:t>
            </w:r>
          </w:p>
          <w:p w14:paraId="5751DA23" w14:textId="3E0E9FBB" w:rsidR="0048716A" w:rsidRPr="003B459E" w:rsidRDefault="0048716A">
            <w:pPr>
              <w:pStyle w:val="Prrafodelista"/>
              <w:numPr>
                <w:ilvl w:val="0"/>
                <w:numId w:val="17"/>
              </w:numPr>
              <w:spacing w:line="276" w:lineRule="auto"/>
              <w:jc w:val="both"/>
              <w:rPr>
                <w:rFonts w:ascii="Verdana" w:hAnsi="Verdana" w:cs="Arial"/>
              </w:rPr>
            </w:pPr>
            <w:r w:rsidRPr="003B459E">
              <w:rPr>
                <w:rFonts w:ascii="Verdana" w:eastAsia="Verdana" w:hAnsi="Verdana" w:cs="Verdana"/>
              </w:rPr>
              <w:t xml:space="preserve">Guía para la contratación con entidades privadas sin ánimo de lucro y de reconocida idoneidad disponible para consulta en el siguiente </w:t>
            </w:r>
            <w:r w:rsidRPr="003B459E">
              <w:rPr>
                <w:rFonts w:ascii="Verdana" w:eastAsia="Verdana" w:hAnsi="Verdana" w:cs="Verdana"/>
              </w:rPr>
              <w:lastRenderedPageBreak/>
              <w:t xml:space="preserve">enlace: </w:t>
            </w:r>
            <w:hyperlink r:id="rId17" w:history="1">
              <w:r w:rsidR="007B1C95" w:rsidRPr="003B459E">
                <w:rPr>
                  <w:rStyle w:val="Hipervnculo"/>
                  <w:rFonts w:ascii="Verdana" w:eastAsia="Verdana" w:hAnsi="Verdana" w:cs="Verdana"/>
                </w:rPr>
                <w:t>Guía para la contratación con entidades sin ánimo de lucro y de reconocida idoneidad</w:t>
              </w:r>
            </w:hyperlink>
            <w:r w:rsidR="00A54EF0" w:rsidRPr="003B459E">
              <w:rPr>
                <w:rFonts w:ascii="Verdana" w:eastAsia="Verdana" w:hAnsi="Verdana" w:cs="Verdana"/>
              </w:rPr>
              <w:t xml:space="preserve"> </w:t>
            </w:r>
          </w:p>
        </w:tc>
      </w:tr>
    </w:tbl>
    <w:p w14:paraId="469177B1" w14:textId="77777777" w:rsidR="00B94039" w:rsidRPr="003B459E" w:rsidRDefault="00B94039" w:rsidP="00DB08C4">
      <w:pPr>
        <w:widowControl w:val="0"/>
        <w:autoSpaceDE w:val="0"/>
        <w:autoSpaceDN w:val="0"/>
        <w:spacing w:line="276" w:lineRule="auto"/>
        <w:jc w:val="both"/>
        <w:rPr>
          <w:rFonts w:ascii="Verdana" w:hAnsi="Verdana" w:cs="Arial"/>
          <w:sz w:val="22"/>
          <w:szCs w:val="22"/>
        </w:rPr>
      </w:pPr>
    </w:p>
    <w:p w14:paraId="55A9AC5F" w14:textId="77777777" w:rsidR="00B94039" w:rsidRPr="003B459E" w:rsidRDefault="00B94039" w:rsidP="00DB08C4">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3B459E">
        <w:rPr>
          <w:rFonts w:ascii="Verdana" w:eastAsia="Century Gothic" w:hAnsi="Verdana" w:cs="Arial"/>
          <w:b/>
          <w:bCs/>
        </w:rPr>
        <w:t>Doctrina de la Agencia Nacional de Contratación Pública:</w:t>
      </w:r>
    </w:p>
    <w:p w14:paraId="6946A801" w14:textId="77777777" w:rsidR="00B94039" w:rsidRPr="003B459E" w:rsidRDefault="00B94039" w:rsidP="00DB08C4">
      <w:pPr>
        <w:widowControl w:val="0"/>
        <w:autoSpaceDE w:val="0"/>
        <w:autoSpaceDN w:val="0"/>
        <w:spacing w:line="276" w:lineRule="auto"/>
        <w:jc w:val="both"/>
        <w:rPr>
          <w:rFonts w:ascii="Verdana" w:hAnsi="Verdana" w:cs="Arial"/>
          <w:sz w:val="22"/>
          <w:szCs w:val="22"/>
          <w:highlight w:val="cyan"/>
        </w:rPr>
      </w:pPr>
    </w:p>
    <w:p w14:paraId="6EE04A8A" w14:textId="0669EA41" w:rsidR="00E20561" w:rsidRPr="003B459E" w:rsidRDefault="00457C8A" w:rsidP="00DB08C4">
      <w:pPr>
        <w:widowControl w:val="0"/>
        <w:autoSpaceDE w:val="0"/>
        <w:autoSpaceDN w:val="0"/>
        <w:spacing w:line="276" w:lineRule="auto"/>
        <w:jc w:val="both"/>
        <w:rPr>
          <w:rFonts w:ascii="Verdana" w:hAnsi="Verdana" w:cs="Arial"/>
          <w:sz w:val="22"/>
          <w:szCs w:val="22"/>
        </w:rPr>
      </w:pPr>
      <w:r w:rsidRPr="003B459E">
        <w:rPr>
          <w:rFonts w:ascii="Verdana" w:hAnsi="Verdana" w:cs="Arial"/>
          <w:sz w:val="22"/>
          <w:szCs w:val="22"/>
          <w:shd w:val="clear" w:color="auto" w:fill="FFFFFF"/>
          <w:lang w:val="es-ES"/>
        </w:rPr>
        <w:t xml:space="preserve">Sobre los convenios solidarios, su alcance y su régimen contractual, esta Subdirección se ha referido en los Conceptos Nro. </w:t>
      </w:r>
      <w:r w:rsidRPr="003B459E">
        <w:rPr>
          <w:rFonts w:ascii="Verdana" w:eastAsia="Calibri" w:hAnsi="Verdana" w:cs="Arial"/>
          <w:color w:val="000000"/>
          <w:sz w:val="22"/>
          <w:szCs w:val="22"/>
          <w:lang w:val="es-ES"/>
        </w:rPr>
        <w:t xml:space="preserve">C-730 del 3 de noviembre de 2022, C-740 del 31 de octubre de 2022, C-940 del 29 de diciembre de 2022, C-971 del 28 de febrero de 2023, C-972 del 8 de febrero de 2023 y C-068 del 9 de marzo de 2023, C-384 del 22 de septiembre del 2023, </w:t>
      </w:r>
      <w:r w:rsidRPr="003B459E">
        <w:rPr>
          <w:rFonts w:ascii="Verdana" w:hAnsi="Verdana" w:cs="Arial"/>
          <w:sz w:val="22"/>
          <w:szCs w:val="22"/>
          <w:shd w:val="clear" w:color="auto" w:fill="FFFFFF"/>
          <w:lang w:val="es-ES"/>
        </w:rPr>
        <w:t>C-469 del 5 de febrero de 2024, C-020 del 23 de febrero de 2024, C-057 del 26 de Abril de 2024, C-025 del 21 de febrero de 2025, C-027 del 30 de enero de 2025, C-051 del 3 de mayo de 2024 y C-210 del 6 de marzo de 2025 y C-428 del 07 de mayo del 2025, C-1336 del 27 de octubre del 2025</w:t>
      </w:r>
      <w:r w:rsidR="00B42F63" w:rsidRPr="003B459E">
        <w:rPr>
          <w:rFonts w:ascii="Verdana" w:hAnsi="Verdana" w:cs="Arial"/>
          <w:sz w:val="22"/>
          <w:szCs w:val="22"/>
          <w:shd w:val="clear" w:color="auto" w:fill="FFFFFF"/>
          <w:lang w:val="es-ES"/>
        </w:rPr>
        <w:t xml:space="preserve">, </w:t>
      </w:r>
      <w:r w:rsidRPr="003B459E">
        <w:rPr>
          <w:rFonts w:ascii="Verdana" w:hAnsi="Verdana" w:cs="Arial"/>
          <w:sz w:val="22"/>
          <w:szCs w:val="22"/>
          <w:shd w:val="clear" w:color="auto" w:fill="FFFFFF"/>
          <w:lang w:val="es-ES"/>
        </w:rPr>
        <w:t>C-451 del 30 de abril del 2026</w:t>
      </w:r>
      <w:r w:rsidR="00B42F63" w:rsidRPr="003B459E">
        <w:rPr>
          <w:rFonts w:ascii="Verdana" w:hAnsi="Verdana" w:cs="Arial"/>
          <w:sz w:val="22"/>
          <w:szCs w:val="22"/>
          <w:shd w:val="clear" w:color="auto" w:fill="FFFFFF"/>
          <w:lang w:val="es-ES"/>
        </w:rPr>
        <w:t xml:space="preserve"> y </w:t>
      </w:r>
      <w:r w:rsidR="00B42F63" w:rsidRPr="003B459E">
        <w:rPr>
          <w:rFonts w:ascii="Verdana" w:hAnsi="Verdana" w:cs="Arial"/>
          <w:sz w:val="22"/>
          <w:szCs w:val="22"/>
          <w:shd w:val="clear" w:color="auto" w:fill="FFFFFF"/>
        </w:rPr>
        <w:t>C-1384 del 13 de octubre del 2026</w:t>
      </w:r>
      <w:r w:rsidR="00B42F63" w:rsidRPr="003B459E">
        <w:rPr>
          <w:rFonts w:ascii="Verdana" w:hAnsi="Verdana" w:cs="Arial"/>
          <w:sz w:val="22"/>
          <w:szCs w:val="22"/>
          <w:shd w:val="clear" w:color="auto" w:fill="FFFFFF"/>
          <w:lang w:val="es-ES"/>
        </w:rPr>
        <w:t xml:space="preserve">, </w:t>
      </w:r>
      <w:r w:rsidRPr="003B459E">
        <w:rPr>
          <w:rFonts w:ascii="Verdana" w:hAnsi="Verdana" w:cs="Arial"/>
          <w:sz w:val="22"/>
          <w:szCs w:val="22"/>
          <w:shd w:val="clear" w:color="auto" w:fill="FFFFFF"/>
          <w:lang w:val="es-ES"/>
        </w:rPr>
        <w:t>entre otros</w:t>
      </w:r>
      <w:r w:rsidRPr="003B459E">
        <w:rPr>
          <w:rFonts w:ascii="Verdana" w:hAnsi="Verdana" w:cs="Arial"/>
          <w:sz w:val="22"/>
          <w:szCs w:val="22"/>
        </w:rPr>
        <w:t>.</w:t>
      </w:r>
    </w:p>
    <w:p w14:paraId="284C7184" w14:textId="77777777" w:rsidR="00DB08C4" w:rsidRPr="003B459E" w:rsidRDefault="00DB08C4" w:rsidP="00243ABB">
      <w:pPr>
        <w:widowControl w:val="0"/>
        <w:autoSpaceDE w:val="0"/>
        <w:autoSpaceDN w:val="0"/>
        <w:spacing w:line="276" w:lineRule="auto"/>
        <w:jc w:val="both"/>
        <w:rPr>
          <w:rFonts w:ascii="Verdana" w:hAnsi="Verdana" w:cs="Arial"/>
          <w:sz w:val="22"/>
          <w:szCs w:val="22"/>
        </w:rPr>
      </w:pPr>
    </w:p>
    <w:p w14:paraId="2ABF7E5A" w14:textId="0447DECC" w:rsidR="00B27F16" w:rsidRPr="003B459E" w:rsidRDefault="00E20561" w:rsidP="00DB08C4">
      <w:pPr>
        <w:widowControl w:val="0"/>
        <w:autoSpaceDE w:val="0"/>
        <w:autoSpaceDN w:val="0"/>
        <w:spacing w:line="276" w:lineRule="auto"/>
        <w:jc w:val="both"/>
        <w:rPr>
          <w:rFonts w:ascii="Verdana" w:hAnsi="Verdana" w:cs="Arial"/>
          <w:sz w:val="22"/>
          <w:szCs w:val="22"/>
          <w:shd w:val="clear" w:color="auto" w:fill="FFFFFF"/>
          <w:lang w:val="es-ES"/>
        </w:rPr>
      </w:pPr>
      <w:r w:rsidRPr="003B459E">
        <w:rPr>
          <w:rStyle w:val="normaltextrun"/>
          <w:rFonts w:ascii="Verdana" w:hAnsi="Verdana" w:cs="Arial"/>
          <w:color w:val="000000" w:themeColor="text1"/>
          <w:sz w:val="22"/>
          <w:szCs w:val="22"/>
          <w:shd w:val="clear" w:color="auto" w:fill="FFFFFF"/>
          <w:lang w:val="es-ES"/>
        </w:rPr>
        <w:t xml:space="preserve">Por otro lado, la Agencia Nacional de Contratación Pública – Colombia Compra Eficiente se ha referido al </w:t>
      </w:r>
      <w:r w:rsidRPr="003B459E">
        <w:rPr>
          <w:rFonts w:ascii="Verdana" w:hAnsi="Verdana" w:cs="Arial"/>
          <w:sz w:val="22"/>
          <w:szCs w:val="22"/>
          <w:shd w:val="clear" w:color="auto" w:fill="FFFFFF"/>
          <w:lang w:val="es-ES"/>
        </w:rPr>
        <w:t>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C-594 del 7 de septiembre de 2020, C-670 del 22 de noviembre de 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9 de diciembre de 2022, C-351 del 6 de octubre de 2023, , C-064 del 24 de abril de 2024, C-080 del 7 de mayo de 2024, C-281 del 29 de octubre de 2024, C-957 del 17 de diciembre de 2024,</w:t>
      </w:r>
      <w:r w:rsidRPr="003B459E">
        <w:rPr>
          <w:rFonts w:ascii="Verdana" w:eastAsia="Calibri" w:hAnsi="Verdana" w:cs="Arial"/>
          <w:b/>
          <w:bCs/>
          <w:sz w:val="22"/>
          <w:szCs w:val="22"/>
          <w:lang w:val="es-ES" w:eastAsia="es-ES"/>
        </w:rPr>
        <w:t xml:space="preserve"> </w:t>
      </w:r>
      <w:r w:rsidRPr="003B459E">
        <w:rPr>
          <w:rFonts w:ascii="Verdana" w:eastAsia="Calibri" w:hAnsi="Verdana" w:cs="Arial"/>
          <w:sz w:val="22"/>
          <w:szCs w:val="22"/>
          <w:lang w:val="es-ES" w:eastAsia="es-ES"/>
        </w:rPr>
        <w:t xml:space="preserve">C-875 del 13 de agosto de 2025, </w:t>
      </w:r>
      <w:r w:rsidRPr="003B459E">
        <w:rPr>
          <w:rFonts w:ascii="Verdana" w:hAnsi="Verdana" w:cs="Arial"/>
          <w:sz w:val="22"/>
          <w:szCs w:val="22"/>
          <w:shd w:val="clear" w:color="auto" w:fill="FFFFFF"/>
          <w:lang w:val="es-ES"/>
        </w:rPr>
        <w:t>C-1384 del 5 de noviembre de 2025, C-337 del 12 de marzo del 2026 y C-</w:t>
      </w:r>
      <w:r w:rsidR="00B27F16" w:rsidRPr="003B459E">
        <w:rPr>
          <w:rFonts w:ascii="Verdana" w:hAnsi="Verdana" w:cs="Arial"/>
          <w:sz w:val="22"/>
          <w:szCs w:val="22"/>
          <w:shd w:val="clear" w:color="auto" w:fill="FFFFFF"/>
          <w:lang w:val="es-ES"/>
        </w:rPr>
        <w:t xml:space="preserve">830 del 18 de junio del 2026, entre otros. </w:t>
      </w:r>
    </w:p>
    <w:p w14:paraId="543ADABA" w14:textId="77777777" w:rsidR="00DB08C4" w:rsidRPr="003B459E" w:rsidRDefault="00DB08C4" w:rsidP="00243ABB">
      <w:pPr>
        <w:widowControl w:val="0"/>
        <w:autoSpaceDE w:val="0"/>
        <w:autoSpaceDN w:val="0"/>
        <w:spacing w:line="276" w:lineRule="auto"/>
        <w:jc w:val="both"/>
        <w:rPr>
          <w:rFonts w:ascii="Verdana" w:hAnsi="Verdana" w:cs="Arial"/>
          <w:sz w:val="22"/>
          <w:szCs w:val="22"/>
          <w:lang w:val="es-ES"/>
        </w:rPr>
      </w:pPr>
    </w:p>
    <w:p w14:paraId="2D6A36FA" w14:textId="70E5E842" w:rsidR="00457C8A" w:rsidRPr="003B459E" w:rsidRDefault="00457C8A" w:rsidP="00DB08C4">
      <w:pPr>
        <w:widowControl w:val="0"/>
        <w:autoSpaceDE w:val="0"/>
        <w:autoSpaceDN w:val="0"/>
        <w:spacing w:line="276" w:lineRule="auto"/>
        <w:jc w:val="both"/>
        <w:rPr>
          <w:rFonts w:ascii="Verdana" w:eastAsia="Calibri" w:hAnsi="Verdana" w:cs="Arial"/>
          <w:sz w:val="22"/>
          <w:szCs w:val="22"/>
        </w:rPr>
      </w:pPr>
      <w:r w:rsidRPr="003B459E">
        <w:rPr>
          <w:rFonts w:ascii="Verdana" w:eastAsia="Calibri" w:hAnsi="Verdana" w:cs="Arial"/>
          <w:sz w:val="22"/>
          <w:szCs w:val="22"/>
          <w:lang w:eastAsia="es-ES"/>
        </w:rPr>
        <w:t xml:space="preserve">Estos y otros conceptos se encuentran disponibles para consulta en el Sistema de Relatoría de la Agencia, en el cual también podrás encontrar jurisprudencia </w:t>
      </w:r>
      <w:r w:rsidRPr="003B459E">
        <w:rPr>
          <w:rFonts w:ascii="Verdana" w:eastAsia="Calibri" w:hAnsi="Verdana" w:cs="Arial"/>
          <w:sz w:val="22"/>
          <w:szCs w:val="22"/>
          <w:lang w:eastAsia="es-ES"/>
        </w:rPr>
        <w:lastRenderedPageBreak/>
        <w:t xml:space="preserve">del Consejo de Estado, laudos arbitrales y la normativa de la contratación concordada con la doctrina de la Subdirección de Gestión Contractual. Accede a través del siguiente enlace: </w:t>
      </w:r>
      <w:hyperlink r:id="rId18" w:history="1">
        <w:r w:rsidRPr="003B459E">
          <w:rPr>
            <w:rStyle w:val="Hipervnculo"/>
            <w:rFonts w:ascii="Verdana" w:eastAsia="Calibri" w:hAnsi="Verdana" w:cs="Arial"/>
            <w:sz w:val="22"/>
            <w:szCs w:val="22"/>
          </w:rPr>
          <w:t>https://relatoria.colombiacompra.gov.co/</w:t>
        </w:r>
      </w:hyperlink>
      <w:r w:rsidRPr="003B459E">
        <w:rPr>
          <w:rFonts w:ascii="Verdana" w:eastAsia="Calibri" w:hAnsi="Verdana" w:cs="Arial"/>
          <w:sz w:val="22"/>
          <w:szCs w:val="22"/>
        </w:rPr>
        <w:t> </w:t>
      </w:r>
    </w:p>
    <w:p w14:paraId="3F0C3240" w14:textId="77777777" w:rsidR="00DB08C4" w:rsidRPr="003B459E" w:rsidRDefault="00DB08C4" w:rsidP="00243ABB">
      <w:pPr>
        <w:widowControl w:val="0"/>
        <w:autoSpaceDE w:val="0"/>
        <w:autoSpaceDN w:val="0"/>
        <w:spacing w:line="276" w:lineRule="auto"/>
        <w:jc w:val="both"/>
        <w:rPr>
          <w:rFonts w:ascii="Verdana" w:hAnsi="Verdana" w:cs="Arial"/>
          <w:sz w:val="22"/>
          <w:szCs w:val="22"/>
        </w:rPr>
      </w:pPr>
    </w:p>
    <w:p w14:paraId="08ED71F1" w14:textId="51F087E8" w:rsidR="00B94039" w:rsidRPr="003B459E" w:rsidRDefault="00B94039" w:rsidP="00DB08C4">
      <w:pPr>
        <w:widowControl w:val="0"/>
        <w:autoSpaceDE w:val="0"/>
        <w:autoSpaceDN w:val="0"/>
        <w:spacing w:line="276" w:lineRule="auto"/>
        <w:jc w:val="both"/>
        <w:rPr>
          <w:rStyle w:val="Hipervnculo"/>
          <w:rFonts w:ascii="Verdana" w:hAnsi="Verdana" w:cs="Arial"/>
          <w:sz w:val="22"/>
          <w:szCs w:val="22"/>
        </w:rPr>
      </w:pPr>
      <w:r w:rsidRPr="003B459E">
        <w:rPr>
          <w:rFonts w:ascii="Verdana" w:hAnsi="Verdana" w:cs="Arial"/>
          <w:sz w:val="22"/>
          <w:szCs w:val="22"/>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B459E">
        <w:rPr>
          <w:rFonts w:ascii="Verdana" w:hAnsi="Verdana" w:cs="Arial"/>
          <w:b/>
          <w:bCs/>
          <w:sz w:val="22"/>
          <w:szCs w:val="22"/>
        </w:rPr>
        <w:t>Guía para la Exigencia y Constitución de Garantías en los Procesos de Contratación</w:t>
      </w:r>
      <w:r w:rsidRPr="003B459E">
        <w:rPr>
          <w:rFonts w:ascii="Verdana" w:hAnsi="Verdana" w:cs="Arial"/>
          <w:sz w:val="22"/>
          <w:szCs w:val="22"/>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9" w:tgtFrame="_blank" w:tooltip="Dirección URL original: https://www.colombiacompra.gov.co/archivos/manual/guia-de-garantias-en-procesos-de-contratacion. Haga clic o pulse si confía en este vínculo." w:history="1">
        <w:r w:rsidRPr="003B459E">
          <w:rPr>
            <w:rStyle w:val="Hipervnculo"/>
            <w:rFonts w:ascii="Verdana" w:hAnsi="Verdana" w:cs="Arial"/>
            <w:sz w:val="22"/>
            <w:szCs w:val="22"/>
          </w:rPr>
          <w:t>https://www.colombiacompra.gov.co/archivos/manual/guia-de-garantias-en-procesos-de-contratacion</w:t>
        </w:r>
      </w:hyperlink>
    </w:p>
    <w:p w14:paraId="139AB423" w14:textId="77777777" w:rsidR="00DB08C4" w:rsidRPr="003B459E" w:rsidRDefault="00DB08C4" w:rsidP="00243ABB">
      <w:pPr>
        <w:widowControl w:val="0"/>
        <w:autoSpaceDE w:val="0"/>
        <w:autoSpaceDN w:val="0"/>
        <w:spacing w:line="276" w:lineRule="auto"/>
        <w:jc w:val="both"/>
        <w:rPr>
          <w:rFonts w:ascii="Verdana" w:hAnsi="Verdana" w:cs="Arial"/>
          <w:bCs/>
          <w:sz w:val="22"/>
          <w:szCs w:val="22"/>
          <w:shd w:val="clear" w:color="auto" w:fill="FFFFFF"/>
        </w:rPr>
      </w:pPr>
    </w:p>
    <w:p w14:paraId="1838F1F6" w14:textId="30FD68ED" w:rsidR="00B94039" w:rsidRPr="003B459E" w:rsidRDefault="00B94039" w:rsidP="00DB08C4">
      <w:pPr>
        <w:widowControl w:val="0"/>
        <w:autoSpaceDE w:val="0"/>
        <w:autoSpaceDN w:val="0"/>
        <w:spacing w:line="276" w:lineRule="auto"/>
        <w:jc w:val="both"/>
        <w:rPr>
          <w:rStyle w:val="Hipervnculo"/>
          <w:rFonts w:ascii="Verdana" w:hAnsi="Verdana" w:cs="Arial"/>
          <w:sz w:val="22"/>
          <w:szCs w:val="22"/>
        </w:rPr>
      </w:pPr>
      <w:r w:rsidRPr="003B459E">
        <w:rPr>
          <w:rFonts w:ascii="Verdana" w:hAnsi="Verdana" w:cs="Arial"/>
          <w:sz w:val="22"/>
          <w:szCs w:val="22"/>
        </w:rPr>
        <w:t>De otro lado, te contamos que el Decreto 287 del 19 de marzo de 2026 sustituyó los artículos 2.2.1.2.4.2.6., 2.2.1.2.4.2.7. y 2.2.1.2.4.2.8. del Decreto 1082 de 2015 y estructuró el </w:t>
      </w:r>
      <w:r w:rsidRPr="003B459E">
        <w:rPr>
          <w:rFonts w:ascii="Verdana" w:hAnsi="Verdana" w:cs="Arial"/>
          <w:b/>
          <w:bCs/>
          <w:sz w:val="22"/>
          <w:szCs w:val="22"/>
        </w:rPr>
        <w:t>Sistema Integral de Preferencias en favor de las personas con discapacidad</w:t>
      </w:r>
      <w:r w:rsidRPr="003B459E">
        <w:rPr>
          <w:rFonts w:ascii="Verdana" w:hAnsi="Verdana" w:cs="Arial"/>
          <w:sz w:val="22"/>
          <w:szCs w:val="22"/>
        </w:rPr>
        <w:t>, en cumplimiento del artículo 13 de la Ley Estatutaria 1618 de 2013. Para orientar su aplicación, esta Agencia expidió la </w:t>
      </w:r>
      <w:r w:rsidRPr="003B459E">
        <w:rPr>
          <w:rFonts w:ascii="Verdana" w:hAnsi="Verdana" w:cs="Arial"/>
          <w:b/>
          <w:bCs/>
          <w:sz w:val="22"/>
          <w:szCs w:val="22"/>
        </w:rPr>
        <w:t>Circular Externa 003 del 12 de mayo de 2026, </w:t>
      </w:r>
      <w:r w:rsidRPr="003B459E">
        <w:rPr>
          <w:rFonts w:ascii="Verdana" w:hAnsi="Verdana" w:cs="Arial"/>
          <w:sz w:val="22"/>
          <w:szCs w:val="22"/>
        </w:rPr>
        <w:t>en la que precisa quiénes son los beneficiarios, las cinco medidas que integran el sistema y su obligatoriedad según la modalidad de selección, y el régimen de transición aplicable a los procesos en curso. Consúltala aquí: </w:t>
      </w:r>
      <w:hyperlink r:id="rId20" w:tgtFrame="_blank" w:tooltip="Dirección URL original: https://www.colombiacompra.gov.co/archivos/circular/circular-externa-003-de-2026. Haga clic o pulse si confía en este vínculo." w:history="1">
        <w:r w:rsidRPr="003B459E">
          <w:rPr>
            <w:rStyle w:val="Hipervnculo"/>
            <w:rFonts w:ascii="Verdana" w:hAnsi="Verdana" w:cs="Arial"/>
            <w:sz w:val="22"/>
            <w:szCs w:val="22"/>
          </w:rPr>
          <w:t>https://www.colombiacompra.gov.co/archivos/circular/circular-externa-003-de-2026</w:t>
        </w:r>
      </w:hyperlink>
    </w:p>
    <w:p w14:paraId="04AF0725" w14:textId="77777777" w:rsidR="00DB08C4" w:rsidRPr="003B459E" w:rsidRDefault="00DB08C4" w:rsidP="00243ABB">
      <w:pPr>
        <w:widowControl w:val="0"/>
        <w:autoSpaceDE w:val="0"/>
        <w:autoSpaceDN w:val="0"/>
        <w:spacing w:line="276" w:lineRule="auto"/>
        <w:jc w:val="both"/>
        <w:rPr>
          <w:rFonts w:ascii="Verdana" w:eastAsia="Calibri" w:hAnsi="Verdana" w:cs="Arial"/>
          <w:sz w:val="22"/>
          <w:szCs w:val="22"/>
        </w:rPr>
      </w:pPr>
    </w:p>
    <w:p w14:paraId="5BA721D0" w14:textId="49B1CF03" w:rsidR="00B94039" w:rsidRPr="003B459E" w:rsidRDefault="00B94039" w:rsidP="00DB08C4">
      <w:pPr>
        <w:widowControl w:val="0"/>
        <w:autoSpaceDE w:val="0"/>
        <w:autoSpaceDN w:val="0"/>
        <w:spacing w:line="276" w:lineRule="auto"/>
        <w:jc w:val="both"/>
        <w:rPr>
          <w:rStyle w:val="Hipervnculo"/>
          <w:rFonts w:ascii="Verdana" w:hAnsi="Verdana" w:cs="Arial"/>
          <w:sz w:val="22"/>
          <w:szCs w:val="22"/>
        </w:rPr>
      </w:pPr>
      <w:r w:rsidRPr="003B459E">
        <w:rPr>
          <w:rFonts w:ascii="Verdana" w:hAnsi="Verdana" w:cs="Arial"/>
          <w:sz w:val="22"/>
          <w:szCs w:val="22"/>
        </w:rPr>
        <w:t>Recuerda también que la</w:t>
      </w:r>
      <w:r w:rsidRPr="003B459E">
        <w:rPr>
          <w:rFonts w:ascii="Verdana" w:hAnsi="Verdana" w:cs="Arial"/>
          <w:b/>
          <w:bCs/>
          <w:sz w:val="22"/>
          <w:szCs w:val="22"/>
        </w:rPr>
        <w:t> información sobre sanciones e inhabilidades </w:t>
      </w:r>
      <w:r w:rsidRPr="003B459E">
        <w:rPr>
          <w:rFonts w:ascii="Verdana" w:hAnsi="Verdana" w:cs="Arial"/>
          <w:sz w:val="22"/>
          <w:szCs w:val="22"/>
        </w:rPr>
        <w:t>solo cumple su función preventiva si llega oportunamente a los registros públicos. Sobre este deber, esta Agencia expidió la </w:t>
      </w:r>
      <w:r w:rsidRPr="003B459E">
        <w:rPr>
          <w:rFonts w:ascii="Verdana" w:hAnsi="Verdana" w:cs="Arial"/>
          <w:b/>
          <w:bCs/>
          <w:sz w:val="22"/>
          <w:szCs w:val="22"/>
        </w:rPr>
        <w:t>Circular Externa 002 del 5 de mayo de 2026,</w:t>
      </w:r>
      <w:r w:rsidRPr="003B459E">
        <w:rPr>
          <w:rFonts w:ascii="Verdana" w:hAnsi="Verdana" w:cs="Arial"/>
          <w:sz w:val="22"/>
          <w:szCs w:val="22"/>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3B459E">
        <w:rPr>
          <w:rFonts w:ascii="Verdana" w:hAnsi="Verdana" w:cs="Arial"/>
          <w:sz w:val="22"/>
          <w:szCs w:val="22"/>
        </w:rPr>
        <w:lastRenderedPageBreak/>
        <w:t>aquí: </w:t>
      </w:r>
      <w:hyperlink r:id="rId21" w:tgtFrame="_blank" w:tooltip="Dirección URL original: https://www.colombiacompra.gov.co/archivos/circular/circular-externa-002-de-2026. Haga clic o pulse si confía en este vínculo." w:history="1">
        <w:r w:rsidRPr="003B459E">
          <w:rPr>
            <w:rStyle w:val="Hipervnculo"/>
            <w:rFonts w:ascii="Verdana" w:hAnsi="Verdana" w:cs="Arial"/>
            <w:sz w:val="22"/>
            <w:szCs w:val="22"/>
          </w:rPr>
          <w:t>https://www.colombiacompra.gov.co/archivos/circular/circular-externa-002-de-2026</w:t>
        </w:r>
      </w:hyperlink>
    </w:p>
    <w:p w14:paraId="455F8540" w14:textId="77777777" w:rsidR="00DB08C4" w:rsidRPr="003B459E" w:rsidRDefault="00DB08C4" w:rsidP="00243ABB">
      <w:pPr>
        <w:widowControl w:val="0"/>
        <w:autoSpaceDE w:val="0"/>
        <w:autoSpaceDN w:val="0"/>
        <w:spacing w:line="276" w:lineRule="auto"/>
        <w:jc w:val="both"/>
        <w:rPr>
          <w:rFonts w:ascii="Verdana" w:eastAsia="Calibri" w:hAnsi="Verdana" w:cs="Arial"/>
          <w:sz w:val="22"/>
          <w:szCs w:val="22"/>
        </w:rPr>
      </w:pPr>
    </w:p>
    <w:p w14:paraId="35C9124A" w14:textId="7C87B5F3" w:rsidR="00B94039" w:rsidRPr="003B459E" w:rsidRDefault="00B94039" w:rsidP="00DB08C4">
      <w:pPr>
        <w:widowControl w:val="0"/>
        <w:autoSpaceDE w:val="0"/>
        <w:autoSpaceDN w:val="0"/>
        <w:spacing w:line="276" w:lineRule="auto"/>
        <w:jc w:val="both"/>
        <w:rPr>
          <w:rFonts w:ascii="Verdana" w:hAnsi="Verdana" w:cs="Arial"/>
          <w:sz w:val="22"/>
          <w:szCs w:val="22"/>
        </w:rPr>
      </w:pPr>
      <w:r w:rsidRPr="003B459E">
        <w:rPr>
          <w:rFonts w:ascii="Verdana" w:hAnsi="Verdana" w:cs="Arial"/>
          <w:sz w:val="22"/>
          <w:szCs w:val="22"/>
        </w:rPr>
        <w:t>Finalmente, si quieres seguir de cerca la actividad de la Agencia, la tercera edición de 2026 del</w:t>
      </w:r>
      <w:r w:rsidRPr="003B459E">
        <w:rPr>
          <w:rFonts w:ascii="Verdana" w:hAnsi="Verdana" w:cs="Arial"/>
          <w:b/>
          <w:bCs/>
          <w:sz w:val="22"/>
          <w:szCs w:val="22"/>
        </w:rPr>
        <w:t> Radar de la Compra Pública</w:t>
      </w:r>
      <w:r w:rsidRPr="003B459E">
        <w:rPr>
          <w:rFonts w:ascii="Verdana" w:hAnsi="Verdana" w:cs="Arial"/>
          <w:sz w:val="22"/>
          <w:szCs w:val="22"/>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2" w:tgtFrame="_blank" w:tooltip="Dirección URL original: https://www.colombiacompra.gov.co/archivos/boletin/boletin-edicion-n-3-de-2026-radar-de-la-compra-publica. Haga clic o pulse si confía en este vínculo." w:history="1">
        <w:r w:rsidRPr="003B459E">
          <w:rPr>
            <w:rStyle w:val="Hipervnculo"/>
            <w:rFonts w:ascii="Verdana" w:hAnsi="Verdana" w:cs="Arial"/>
            <w:sz w:val="22"/>
            <w:szCs w:val="22"/>
          </w:rPr>
          <w:t>https://www.colombiacompra.gov.co/archivos/boletin/boletin-edicion-n-3-de-2026-radar-de-la-compra-publica</w:t>
        </w:r>
      </w:hyperlink>
      <w:r w:rsidRPr="003B459E">
        <w:rPr>
          <w:rFonts w:ascii="Verdana" w:hAnsi="Verdana" w:cs="Arial"/>
          <w:sz w:val="22"/>
          <w:szCs w:val="22"/>
        </w:rPr>
        <w:t>"</w:t>
      </w:r>
    </w:p>
    <w:p w14:paraId="7D5C12FA" w14:textId="77777777" w:rsidR="00DB08C4" w:rsidRPr="003B459E" w:rsidRDefault="00DB08C4" w:rsidP="00243ABB">
      <w:pPr>
        <w:widowControl w:val="0"/>
        <w:autoSpaceDE w:val="0"/>
        <w:autoSpaceDN w:val="0"/>
        <w:spacing w:line="276" w:lineRule="auto"/>
        <w:jc w:val="both"/>
        <w:rPr>
          <w:rFonts w:ascii="Verdana" w:eastAsia="Calibri" w:hAnsi="Verdana" w:cs="Arial"/>
          <w:sz w:val="22"/>
          <w:szCs w:val="22"/>
        </w:rPr>
      </w:pPr>
    </w:p>
    <w:p w14:paraId="7DCF5FAB" w14:textId="5050E9A5" w:rsidR="00B94039" w:rsidRPr="003B459E" w:rsidRDefault="00B94039" w:rsidP="00DB08C4">
      <w:pPr>
        <w:widowControl w:val="0"/>
        <w:autoSpaceDE w:val="0"/>
        <w:autoSpaceDN w:val="0"/>
        <w:spacing w:line="276" w:lineRule="auto"/>
        <w:jc w:val="both"/>
        <w:rPr>
          <w:rFonts w:ascii="Verdana" w:hAnsi="Verdana" w:cs="Arial"/>
          <w:sz w:val="22"/>
          <w:szCs w:val="22"/>
        </w:rPr>
      </w:pPr>
      <w:r w:rsidRPr="003B459E">
        <w:rPr>
          <w:rFonts w:ascii="Verdana" w:hAnsi="Verdana" w:cs="Arial"/>
          <w:sz w:val="22"/>
          <w:szCs w:val="22"/>
        </w:rPr>
        <w:t xml:space="preserve">Por último, lo invitamos a seguirnos en las redes sociales en las cuales se difunde información institucional: </w:t>
      </w:r>
    </w:p>
    <w:p w14:paraId="4B203D47" w14:textId="77777777" w:rsidR="00DB08C4" w:rsidRPr="003B459E" w:rsidRDefault="00DB08C4" w:rsidP="00243ABB">
      <w:pPr>
        <w:widowControl w:val="0"/>
        <w:autoSpaceDE w:val="0"/>
        <w:autoSpaceDN w:val="0"/>
        <w:spacing w:line="276" w:lineRule="auto"/>
        <w:jc w:val="both"/>
        <w:rPr>
          <w:rFonts w:ascii="Verdana" w:eastAsia="Calibri" w:hAnsi="Verdana" w:cs="Arial"/>
          <w:sz w:val="22"/>
          <w:szCs w:val="22"/>
        </w:rPr>
      </w:pPr>
    </w:p>
    <w:p w14:paraId="17962B91" w14:textId="77777777" w:rsidR="00B94039" w:rsidRPr="003B459E" w:rsidRDefault="00B94039" w:rsidP="00DB08C4">
      <w:pPr>
        <w:spacing w:line="276" w:lineRule="auto"/>
        <w:jc w:val="both"/>
        <w:rPr>
          <w:rFonts w:ascii="Verdana" w:hAnsi="Verdana" w:cs="Arial"/>
          <w:sz w:val="22"/>
          <w:szCs w:val="22"/>
        </w:rPr>
      </w:pPr>
      <w:r w:rsidRPr="003B459E">
        <w:rPr>
          <w:rFonts w:ascii="Verdana" w:hAnsi="Verdana" w:cs="Arial"/>
          <w:sz w:val="22"/>
          <w:szCs w:val="22"/>
        </w:rPr>
        <w:t xml:space="preserve">Twitter: </w:t>
      </w:r>
      <w:r w:rsidRPr="003B459E">
        <w:rPr>
          <w:rStyle w:val="Hipervnculo"/>
          <w:rFonts w:ascii="Verdana" w:hAnsi="Verdana" w:cs="Arial"/>
          <w:color w:val="auto"/>
          <w:sz w:val="22"/>
          <w:szCs w:val="22"/>
        </w:rPr>
        <w:t>@colombiacompra</w:t>
      </w:r>
      <w:r w:rsidRPr="003B459E">
        <w:rPr>
          <w:rFonts w:ascii="Verdana" w:hAnsi="Verdana" w:cs="Arial"/>
          <w:sz w:val="22"/>
          <w:szCs w:val="22"/>
        </w:rPr>
        <w:t xml:space="preserve"> </w:t>
      </w:r>
    </w:p>
    <w:p w14:paraId="77122AAC" w14:textId="77777777" w:rsidR="00B94039" w:rsidRPr="003B459E" w:rsidRDefault="00B94039" w:rsidP="00206651">
      <w:pPr>
        <w:spacing w:line="276" w:lineRule="auto"/>
        <w:jc w:val="both"/>
        <w:rPr>
          <w:rFonts w:ascii="Verdana" w:hAnsi="Verdana" w:cs="Arial"/>
          <w:sz w:val="22"/>
          <w:szCs w:val="22"/>
        </w:rPr>
      </w:pPr>
      <w:r w:rsidRPr="003B459E">
        <w:rPr>
          <w:rFonts w:ascii="Verdana" w:hAnsi="Verdana" w:cs="Arial"/>
          <w:sz w:val="22"/>
          <w:szCs w:val="22"/>
        </w:rPr>
        <w:t xml:space="preserve">Facebook: </w:t>
      </w:r>
      <w:proofErr w:type="spellStart"/>
      <w:r w:rsidRPr="003B459E">
        <w:rPr>
          <w:rStyle w:val="Hipervnculo"/>
          <w:rFonts w:ascii="Verdana" w:hAnsi="Verdana" w:cs="Arial"/>
          <w:color w:val="auto"/>
          <w:sz w:val="22"/>
          <w:szCs w:val="22"/>
        </w:rPr>
        <w:t>ColombiaCompraEficiente</w:t>
      </w:r>
      <w:proofErr w:type="spellEnd"/>
    </w:p>
    <w:p w14:paraId="0EFBEFE4" w14:textId="77777777" w:rsidR="00B94039" w:rsidRPr="003B459E" w:rsidRDefault="00B94039" w:rsidP="00206651">
      <w:pPr>
        <w:spacing w:line="276" w:lineRule="auto"/>
        <w:jc w:val="both"/>
        <w:rPr>
          <w:rStyle w:val="Hipervnculo"/>
          <w:rFonts w:ascii="Verdana" w:hAnsi="Verdana" w:cs="Arial"/>
          <w:color w:val="auto"/>
          <w:sz w:val="22"/>
          <w:szCs w:val="22"/>
        </w:rPr>
      </w:pPr>
      <w:r w:rsidRPr="003B459E">
        <w:rPr>
          <w:rFonts w:ascii="Verdana" w:hAnsi="Verdana" w:cs="Arial"/>
          <w:sz w:val="22"/>
          <w:szCs w:val="22"/>
        </w:rPr>
        <w:t xml:space="preserve">LinkedIn: </w:t>
      </w:r>
      <w:r w:rsidRPr="003B459E">
        <w:rPr>
          <w:rStyle w:val="Hipervnculo"/>
          <w:rFonts w:ascii="Verdana" w:hAnsi="Verdana" w:cs="Arial"/>
          <w:color w:val="auto"/>
          <w:sz w:val="22"/>
          <w:szCs w:val="22"/>
        </w:rPr>
        <w:t>Agencia Nacional de Contratación Pública - Colombia Compra Eficiente</w:t>
      </w:r>
      <w:r w:rsidRPr="003B459E">
        <w:rPr>
          <w:rFonts w:ascii="Verdana" w:hAnsi="Verdana" w:cs="Arial"/>
          <w:sz w:val="22"/>
          <w:szCs w:val="22"/>
        </w:rPr>
        <w:t xml:space="preserve"> Instagram: </w:t>
      </w:r>
      <w:r w:rsidRPr="003B459E">
        <w:rPr>
          <w:rStyle w:val="Hipervnculo"/>
          <w:rFonts w:ascii="Verdana" w:hAnsi="Verdana" w:cs="Arial"/>
          <w:color w:val="auto"/>
          <w:sz w:val="22"/>
          <w:szCs w:val="22"/>
        </w:rPr>
        <w:t>@colombiacompraeficiente_cce</w:t>
      </w:r>
    </w:p>
    <w:p w14:paraId="39C59B58" w14:textId="77777777" w:rsidR="00DB08C4" w:rsidRPr="003B459E" w:rsidRDefault="00DB08C4" w:rsidP="00DB08C4">
      <w:pPr>
        <w:widowControl w:val="0"/>
        <w:autoSpaceDE w:val="0"/>
        <w:autoSpaceDN w:val="0"/>
        <w:spacing w:line="276" w:lineRule="auto"/>
        <w:jc w:val="both"/>
        <w:rPr>
          <w:rFonts w:ascii="Verdana" w:hAnsi="Verdana" w:cs="Arial"/>
          <w:sz w:val="22"/>
          <w:szCs w:val="22"/>
        </w:rPr>
      </w:pPr>
    </w:p>
    <w:p w14:paraId="722EA46A" w14:textId="2EDB9A92" w:rsidR="00B94039" w:rsidRPr="003B459E" w:rsidRDefault="00B94039" w:rsidP="00243ABB">
      <w:pPr>
        <w:widowControl w:val="0"/>
        <w:autoSpaceDE w:val="0"/>
        <w:autoSpaceDN w:val="0"/>
        <w:spacing w:line="276" w:lineRule="auto"/>
        <w:jc w:val="both"/>
        <w:rPr>
          <w:rFonts w:ascii="Verdana" w:hAnsi="Verdana" w:cs="Arial"/>
          <w:sz w:val="22"/>
          <w:szCs w:val="22"/>
          <w:lang w:val="es-ES_tradnl"/>
        </w:rPr>
      </w:pPr>
      <w:r w:rsidRPr="003B459E">
        <w:rPr>
          <w:rFonts w:ascii="Verdana" w:hAnsi="Verdana" w:cs="Arial"/>
          <w:sz w:val="22"/>
          <w:szCs w:val="22"/>
        </w:rPr>
        <w:t xml:space="preserve">Este concepto tiene el alcance previsto en el artículo 28 del Código de Procedimiento Administrativo y de lo Contencioso Administrativo </w:t>
      </w:r>
      <w:r w:rsidRPr="003B459E">
        <w:rPr>
          <w:rFonts w:ascii="Verdana" w:hAnsi="Verdana" w:cs="Arial"/>
          <w:sz w:val="22"/>
          <w:szCs w:val="22"/>
          <w:lang w:val="es-ES_tradnl"/>
        </w:rPr>
        <w:t>y las expresiones aquí utilizadas con mayúscula inicial deben ser entendidas con el significado que les otorga el artículo 2.2.1.1.1.3.1. del Decreto 1082 de 2015.</w:t>
      </w:r>
    </w:p>
    <w:p w14:paraId="02666542" w14:textId="77777777" w:rsidR="00B94039" w:rsidRPr="003B459E" w:rsidRDefault="00B94039" w:rsidP="00DB08C4">
      <w:pPr>
        <w:widowControl w:val="0"/>
        <w:autoSpaceDE w:val="0"/>
        <w:autoSpaceDN w:val="0"/>
        <w:spacing w:line="276" w:lineRule="auto"/>
        <w:jc w:val="both"/>
        <w:rPr>
          <w:rFonts w:ascii="Verdana" w:hAnsi="Verdana" w:cs="Arial"/>
          <w:sz w:val="22"/>
          <w:szCs w:val="22"/>
        </w:rPr>
      </w:pPr>
    </w:p>
    <w:p w14:paraId="69BC4D14" w14:textId="1081C2B7" w:rsidR="00C15139" w:rsidRPr="003B459E" w:rsidRDefault="00B94039" w:rsidP="00E25A57">
      <w:pPr>
        <w:spacing w:line="276" w:lineRule="auto"/>
        <w:jc w:val="both"/>
        <w:rPr>
          <w:rFonts w:ascii="Verdana" w:hAnsi="Verdana" w:cs="Arial"/>
          <w:sz w:val="22"/>
          <w:szCs w:val="22"/>
          <w:lang w:eastAsia="es-CO"/>
        </w:rPr>
      </w:pPr>
      <w:r w:rsidRPr="003B459E">
        <w:rPr>
          <w:rFonts w:ascii="Verdana" w:hAnsi="Verdana" w:cs="Arial"/>
          <w:sz w:val="22"/>
          <w:szCs w:val="22"/>
          <w:lang w:eastAsia="es-CO"/>
        </w:rPr>
        <w:t xml:space="preserve">Atentamente, </w:t>
      </w:r>
    </w:p>
    <w:p w14:paraId="613CAA5F" w14:textId="734DF3C4" w:rsidR="000B6212" w:rsidRPr="003B459E" w:rsidRDefault="00E25A57" w:rsidP="00E25A57">
      <w:pPr>
        <w:tabs>
          <w:tab w:val="center" w:pos="4419"/>
        </w:tabs>
        <w:spacing w:line="276" w:lineRule="auto"/>
        <w:jc w:val="center"/>
        <w:textAlignment w:val="baseline"/>
        <w:rPr>
          <w:rFonts w:ascii="Verdana" w:eastAsia="Verdana" w:hAnsi="Verdana" w:cs="Verdana"/>
          <w:sz w:val="22"/>
          <w:szCs w:val="22"/>
          <w:lang w:eastAsia="es-CO"/>
        </w:rPr>
      </w:pPr>
      <w:r w:rsidRPr="003B459E">
        <w:rPr>
          <w:rFonts w:ascii="Verdana" w:eastAsia="Verdana" w:hAnsi="Verdana" w:cs="Verdana"/>
          <w:sz w:val="22"/>
          <w:szCs w:val="22"/>
          <w:lang w:eastAsia="es-CO"/>
        </w:rPr>
        <w:drawing>
          <wp:inline distT="0" distB="0" distL="0" distR="0" wp14:anchorId="108D9EEA" wp14:editId="7B46EDB6">
            <wp:extent cx="3325045" cy="1238250"/>
            <wp:effectExtent l="0" t="0" r="8890" b="0"/>
            <wp:docPr id="4984232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23292" name=""/>
                    <pic:cNvPicPr/>
                  </pic:nvPicPr>
                  <pic:blipFill>
                    <a:blip r:embed="rId23"/>
                    <a:stretch>
                      <a:fillRect/>
                    </a:stretch>
                  </pic:blipFill>
                  <pic:spPr>
                    <a:xfrm>
                      <a:off x="0" y="0"/>
                      <a:ext cx="3332411" cy="1240993"/>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B619C" w:rsidRPr="003B459E" w14:paraId="1926555E" w14:textId="77777777" w:rsidTr="00EC3B29">
        <w:trPr>
          <w:trHeight w:val="315"/>
        </w:trPr>
        <w:tc>
          <w:tcPr>
            <w:tcW w:w="893" w:type="dxa"/>
            <w:vAlign w:val="center"/>
            <w:hideMark/>
          </w:tcPr>
          <w:bookmarkEnd w:id="0"/>
          <w:p w14:paraId="3E83405B" w14:textId="77777777" w:rsidR="00DB619C" w:rsidRPr="003B459E" w:rsidRDefault="00DB619C" w:rsidP="00EC3B29">
            <w:pPr>
              <w:contextualSpacing/>
              <w:rPr>
                <w:rFonts w:ascii="Verdana" w:hAnsi="Verdana" w:cs="Arial"/>
                <w:sz w:val="16"/>
                <w:szCs w:val="16"/>
                <w:lang w:val="es-ES" w:eastAsia="es-ES"/>
              </w:rPr>
            </w:pPr>
            <w:r w:rsidRPr="003B459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C48B8DA" w14:textId="77777777" w:rsidR="00DB619C" w:rsidRPr="003B459E" w:rsidRDefault="00DB619C" w:rsidP="00EC3B29">
            <w:pPr>
              <w:contextualSpacing/>
              <w:rPr>
                <w:rFonts w:ascii="Verdana" w:eastAsia="Arial" w:hAnsi="Verdana" w:cs="Arial"/>
                <w:sz w:val="16"/>
                <w:szCs w:val="16"/>
              </w:rPr>
            </w:pPr>
            <w:r w:rsidRPr="003B459E">
              <w:rPr>
                <w:rFonts w:ascii="Verdana" w:eastAsia="Arial" w:hAnsi="Verdana" w:cs="Arial"/>
                <w:sz w:val="16"/>
                <w:szCs w:val="16"/>
              </w:rPr>
              <w:t>Ana María Ortiz Ballesteros</w:t>
            </w:r>
          </w:p>
          <w:p w14:paraId="1CE85C36" w14:textId="77777777" w:rsidR="00DB619C" w:rsidRPr="003B459E" w:rsidRDefault="00DB619C" w:rsidP="00EC3B29">
            <w:pPr>
              <w:contextualSpacing/>
              <w:rPr>
                <w:rFonts w:ascii="Verdana" w:eastAsia="Arial" w:hAnsi="Verdana" w:cs="Arial"/>
                <w:sz w:val="16"/>
                <w:szCs w:val="16"/>
              </w:rPr>
            </w:pPr>
            <w:r w:rsidRPr="003B459E">
              <w:rPr>
                <w:rStyle w:val="normaltextrun"/>
                <w:rFonts w:ascii="Verdana" w:eastAsia="Arial" w:hAnsi="Verdana" w:cs="Arial"/>
                <w:sz w:val="16"/>
                <w:szCs w:val="16"/>
              </w:rPr>
              <w:t>C</w:t>
            </w:r>
            <w:r w:rsidRPr="003B459E">
              <w:rPr>
                <w:rStyle w:val="normaltextrun"/>
                <w:rFonts w:ascii="Verdana" w:hAnsi="Verdana"/>
                <w:sz w:val="16"/>
                <w:szCs w:val="16"/>
              </w:rPr>
              <w:t>ontratista</w:t>
            </w:r>
            <w:r w:rsidRPr="003B459E">
              <w:rPr>
                <w:rStyle w:val="normaltextrun"/>
                <w:rFonts w:ascii="Verdana" w:eastAsia="Arial" w:hAnsi="Verdana" w:cs="Arial"/>
                <w:sz w:val="16"/>
                <w:szCs w:val="16"/>
              </w:rPr>
              <w:t xml:space="preserve"> de la Subdirección de Gestión Contractual</w:t>
            </w:r>
          </w:p>
        </w:tc>
      </w:tr>
      <w:tr w:rsidR="00DB619C" w:rsidRPr="003B459E" w14:paraId="2D88B23D" w14:textId="77777777" w:rsidTr="00EC3B29">
        <w:trPr>
          <w:trHeight w:val="330"/>
        </w:trPr>
        <w:tc>
          <w:tcPr>
            <w:tcW w:w="893" w:type="dxa"/>
            <w:vAlign w:val="center"/>
            <w:hideMark/>
          </w:tcPr>
          <w:p w14:paraId="6EA5B124" w14:textId="77777777" w:rsidR="00DB619C" w:rsidRPr="003B459E" w:rsidRDefault="00DB619C" w:rsidP="00EC3B29">
            <w:pPr>
              <w:contextualSpacing/>
              <w:rPr>
                <w:rFonts w:ascii="Verdana" w:hAnsi="Verdana" w:cs="Arial"/>
                <w:sz w:val="16"/>
                <w:szCs w:val="16"/>
                <w:lang w:val="es-ES" w:eastAsia="es-ES"/>
              </w:rPr>
            </w:pPr>
            <w:r w:rsidRPr="003B459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589A28B" w14:textId="113A73FC" w:rsidR="00DB619C" w:rsidRPr="003B459E" w:rsidRDefault="00DB619C" w:rsidP="00EC3B29">
            <w:pPr>
              <w:pStyle w:val="paragraph"/>
              <w:spacing w:before="0" w:beforeAutospacing="0" w:after="0" w:afterAutospacing="0"/>
              <w:contextualSpacing/>
              <w:textAlignment w:val="baseline"/>
              <w:rPr>
                <w:rFonts w:ascii="Verdana" w:hAnsi="Verdana" w:cs="Arial"/>
                <w:sz w:val="16"/>
                <w:szCs w:val="16"/>
              </w:rPr>
            </w:pPr>
            <w:r w:rsidRPr="003B459E">
              <w:rPr>
                <w:rFonts w:ascii="Verdana" w:hAnsi="Verdana" w:cs="Arial"/>
                <w:sz w:val="16"/>
                <w:szCs w:val="16"/>
              </w:rPr>
              <w:t xml:space="preserve">Diana Lucia Saavedra Castañeda </w:t>
            </w:r>
          </w:p>
          <w:p w14:paraId="6C2DA10F" w14:textId="73E8BEF3" w:rsidR="00DB619C" w:rsidRPr="003B459E" w:rsidRDefault="00DB619C" w:rsidP="00EC3B29">
            <w:pPr>
              <w:pStyle w:val="paragraph"/>
              <w:spacing w:before="0" w:beforeAutospacing="0" w:after="0" w:afterAutospacing="0"/>
              <w:contextualSpacing/>
              <w:jc w:val="both"/>
              <w:textAlignment w:val="baseline"/>
              <w:rPr>
                <w:rFonts w:ascii="Verdana" w:hAnsi="Verdana" w:cs="Arial"/>
                <w:sz w:val="16"/>
                <w:szCs w:val="16"/>
              </w:rPr>
            </w:pPr>
            <w:r w:rsidRPr="003B459E">
              <w:rPr>
                <w:rStyle w:val="normaltextrun"/>
                <w:rFonts w:ascii="Verdana" w:eastAsia="Arial" w:hAnsi="Verdana" w:cs="Arial"/>
                <w:sz w:val="16"/>
                <w:szCs w:val="16"/>
              </w:rPr>
              <w:t>C</w:t>
            </w:r>
            <w:r w:rsidRPr="003B459E">
              <w:rPr>
                <w:rStyle w:val="normaltextrun"/>
                <w:rFonts w:ascii="Verdana" w:hAnsi="Verdana"/>
                <w:sz w:val="16"/>
                <w:szCs w:val="16"/>
              </w:rPr>
              <w:t>ontratista</w:t>
            </w:r>
            <w:r w:rsidRPr="003B459E">
              <w:rPr>
                <w:rStyle w:val="normaltextrun"/>
                <w:rFonts w:ascii="Verdana" w:eastAsia="Arial" w:hAnsi="Verdana" w:cs="Arial"/>
                <w:sz w:val="16"/>
                <w:szCs w:val="16"/>
              </w:rPr>
              <w:t xml:space="preserve"> de la Subdirección de Gestión Contractual</w:t>
            </w:r>
          </w:p>
        </w:tc>
      </w:tr>
      <w:tr w:rsidR="00DB619C" w:rsidRPr="003B459E" w14:paraId="47EE537D" w14:textId="77777777" w:rsidTr="00EC3B29">
        <w:trPr>
          <w:trHeight w:val="300"/>
        </w:trPr>
        <w:tc>
          <w:tcPr>
            <w:tcW w:w="893" w:type="dxa"/>
            <w:vAlign w:val="center"/>
          </w:tcPr>
          <w:p w14:paraId="702A9650" w14:textId="77777777" w:rsidR="00DB619C" w:rsidRPr="003B459E" w:rsidRDefault="00DB619C" w:rsidP="00EC3B29">
            <w:pPr>
              <w:contextualSpacing/>
              <w:rPr>
                <w:rFonts w:ascii="Verdana" w:hAnsi="Verdana" w:cs="Arial"/>
                <w:sz w:val="16"/>
                <w:szCs w:val="16"/>
                <w:lang w:val="es-ES" w:eastAsia="es-ES"/>
              </w:rPr>
            </w:pPr>
            <w:r w:rsidRPr="003B459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CD57832" w14:textId="0188C06D" w:rsidR="00DB619C" w:rsidRPr="003B459E" w:rsidRDefault="00951896" w:rsidP="00EC3B29">
            <w:pPr>
              <w:contextualSpacing/>
              <w:rPr>
                <w:rFonts w:ascii="Verdana" w:eastAsia="Calibri" w:hAnsi="Verdana" w:cs="Arial"/>
                <w:sz w:val="16"/>
                <w:szCs w:val="16"/>
                <w:lang w:val="pt-BR" w:eastAsia="es-ES"/>
              </w:rPr>
            </w:pPr>
            <w:r w:rsidRPr="003B459E">
              <w:rPr>
                <w:rFonts w:ascii="Verdana" w:eastAsia="Calibri" w:hAnsi="Verdana" w:cs="Arial"/>
                <w:sz w:val="16"/>
                <w:szCs w:val="16"/>
                <w:lang w:val="pt-BR" w:eastAsia="es-ES"/>
              </w:rPr>
              <w:t>William Javier Murcia Acevedo</w:t>
            </w:r>
          </w:p>
          <w:p w14:paraId="1470D6D5" w14:textId="34E18F03" w:rsidR="00DB619C" w:rsidRPr="003B459E" w:rsidRDefault="00DB619C" w:rsidP="00EC3B29">
            <w:pPr>
              <w:contextualSpacing/>
              <w:rPr>
                <w:rFonts w:ascii="Verdana" w:eastAsia="Calibri" w:hAnsi="Verdana" w:cs="Arial"/>
                <w:sz w:val="16"/>
                <w:szCs w:val="16"/>
                <w:lang w:val="pt-BR" w:eastAsia="es-ES"/>
              </w:rPr>
            </w:pPr>
            <w:r w:rsidRPr="003B459E">
              <w:rPr>
                <w:rFonts w:ascii="Verdana" w:eastAsia="Calibri" w:hAnsi="Verdana" w:cs="Arial"/>
                <w:sz w:val="16"/>
                <w:szCs w:val="16"/>
                <w:lang w:eastAsia="es-ES"/>
              </w:rPr>
              <w:t>Subdirector</w:t>
            </w:r>
            <w:r w:rsidRPr="003B459E">
              <w:rPr>
                <w:rFonts w:ascii="Verdana" w:eastAsia="Calibri" w:hAnsi="Verdana" w:cs="Arial"/>
                <w:sz w:val="16"/>
                <w:szCs w:val="16"/>
                <w:lang w:val="pt-BR" w:eastAsia="es-ES"/>
              </w:rPr>
              <w:t xml:space="preserve"> de Gestión Contractual ANCP – CCE</w:t>
            </w:r>
            <w:r w:rsidR="00951896" w:rsidRPr="003B459E">
              <w:rPr>
                <w:rFonts w:ascii="Verdana" w:eastAsia="Calibri" w:hAnsi="Verdana" w:cs="Arial"/>
                <w:sz w:val="16"/>
                <w:szCs w:val="16"/>
                <w:lang w:val="pt-BR" w:eastAsia="es-ES"/>
              </w:rPr>
              <w:t xml:space="preserve"> (E) </w:t>
            </w:r>
          </w:p>
        </w:tc>
      </w:tr>
    </w:tbl>
    <w:p w14:paraId="0F293BF4" w14:textId="13008D95" w:rsidR="00127233" w:rsidRPr="003B459E" w:rsidRDefault="00127233" w:rsidP="00FA7683">
      <w:pPr>
        <w:textAlignment w:val="baseline"/>
        <w:rPr>
          <w:rFonts w:ascii="Verdana" w:eastAsia="Verdana" w:hAnsi="Verdana" w:cs="Verdana"/>
          <w:lang w:eastAsia="es-CO"/>
        </w:rPr>
      </w:pPr>
    </w:p>
    <w:sectPr w:rsidR="00127233" w:rsidRPr="003B459E" w:rsidSect="007C0C0F">
      <w:headerReference w:type="default" r:id="rId24"/>
      <w:footerReference w:type="even" r:id="rId25"/>
      <w:footerReference w:type="default" r:id="rId26"/>
      <w:footerReference w:type="firs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6A22" w14:textId="77777777" w:rsidR="006B00DC" w:rsidRDefault="006B00DC" w:rsidP="004A1847">
      <w:r>
        <w:separator/>
      </w:r>
    </w:p>
  </w:endnote>
  <w:endnote w:type="continuationSeparator" w:id="0">
    <w:p w14:paraId="5F0658E6" w14:textId="77777777" w:rsidR="006B00DC" w:rsidRDefault="006B00DC"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A1E7" w14:textId="15AE630B" w:rsidR="007718E7" w:rsidRDefault="007718E7">
    <w:pPr>
      <w:pStyle w:val="Piedepgina"/>
    </w:pPr>
    <w:r>
      <w:rPr>
        <w:noProof/>
      </w:rPr>
      <mc:AlternateContent>
        <mc:Choice Requires="wps">
          <w:drawing>
            <wp:anchor distT="0" distB="0" distL="0" distR="0" simplePos="0" relativeHeight="251667456" behindDoc="0" locked="0" layoutInCell="1" allowOverlap="1" wp14:anchorId="5E1A5C4F" wp14:editId="44E6EA5E">
              <wp:simplePos x="635" y="635"/>
              <wp:positionH relativeFrom="page">
                <wp:align>left</wp:align>
              </wp:positionH>
              <wp:positionV relativeFrom="page">
                <wp:align>bottom</wp:align>
              </wp:positionV>
              <wp:extent cx="1360170" cy="345440"/>
              <wp:effectExtent l="0" t="0" r="11430" b="0"/>
              <wp:wrapNone/>
              <wp:docPr id="1739597259" name="Cuadro de texto 2"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45440"/>
                      </a:xfrm>
                      <a:prstGeom prst="rect">
                        <a:avLst/>
                      </a:prstGeom>
                      <a:noFill/>
                      <a:ln>
                        <a:noFill/>
                      </a:ln>
                    </wps:spPr>
                    <wps:txbx>
                      <w:txbxContent>
                        <w:p w14:paraId="4463D600" w14:textId="45159CC9" w:rsidR="007718E7" w:rsidRPr="007718E7" w:rsidRDefault="007718E7" w:rsidP="007718E7">
                          <w:pPr>
                            <w:rPr>
                              <w:rFonts w:ascii="Aptos" w:eastAsia="Aptos" w:hAnsi="Aptos" w:cs="Aptos"/>
                              <w:noProof/>
                              <w:color w:val="000000"/>
                              <w:sz w:val="20"/>
                              <w:szCs w:val="20"/>
                            </w:rPr>
                          </w:pPr>
                          <w:r w:rsidRPr="007718E7">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1A5C4F" id="_x0000_t202" coordsize="21600,21600" o:spt="202" path="m,l,21600r21600,l21600,xe">
              <v:stroke joinstyle="miter"/>
              <v:path gradientshapeok="t" o:connecttype="rect"/>
            </v:shapetype>
            <v:shape id="Cuadro de texto 2" o:spid="_x0000_s1026" type="#_x0000_t202" alt="Información Pública" style="position:absolute;margin-left:0;margin-top:0;width:107.1pt;height:27.2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" filled="f" stroked="f">
              <v:fill o:detectmouseclick="t"/>
              <v:textbox style="mso-fit-shape-to-text:t" inset="20pt,0,0,15pt">
                <w:txbxContent>
                  <w:p w14:paraId="4463D600" w14:textId="45159CC9" w:rsidR="007718E7" w:rsidRPr="007718E7" w:rsidRDefault="007718E7" w:rsidP="007718E7">
                    <w:pPr>
                      <w:rPr>
                        <w:rFonts w:ascii="Aptos" w:eastAsia="Aptos" w:hAnsi="Aptos" w:cs="Aptos"/>
                        <w:noProof/>
                        <w:color w:val="000000"/>
                        <w:sz w:val="20"/>
                        <w:szCs w:val="20"/>
                      </w:rPr>
                    </w:pPr>
                    <w:r w:rsidRPr="007718E7">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1D3D6BD1" w:rsidR="004A1847" w:rsidRDefault="007718E7">
    <w:pPr>
      <w:pStyle w:val="Piedepgina"/>
    </w:pPr>
    <w:r>
      <w:rPr>
        <w:noProof/>
      </w:rPr>
      <mc:AlternateContent>
        <mc:Choice Requires="wps">
          <w:drawing>
            <wp:anchor distT="0" distB="0" distL="0" distR="0" simplePos="0" relativeHeight="251668480" behindDoc="0" locked="0" layoutInCell="1" allowOverlap="1" wp14:anchorId="585DFE40" wp14:editId="4D4EB147">
              <wp:simplePos x="1076325" y="8724900"/>
              <wp:positionH relativeFrom="page">
                <wp:align>left</wp:align>
              </wp:positionH>
              <wp:positionV relativeFrom="page">
                <wp:align>bottom</wp:align>
              </wp:positionV>
              <wp:extent cx="1360170" cy="345440"/>
              <wp:effectExtent l="0" t="0" r="11430" b="0"/>
              <wp:wrapNone/>
              <wp:docPr id="1680192208" name="Cuadro de texto 3"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45440"/>
                      </a:xfrm>
                      <a:prstGeom prst="rect">
                        <a:avLst/>
                      </a:prstGeom>
                      <a:noFill/>
                      <a:ln>
                        <a:noFill/>
                      </a:ln>
                    </wps:spPr>
                    <wps:txbx>
                      <w:txbxContent>
                        <w:p w14:paraId="71303F90" w14:textId="63037617" w:rsidR="007718E7" w:rsidRPr="007718E7" w:rsidRDefault="007718E7" w:rsidP="007718E7">
                          <w:pPr>
                            <w:rPr>
                              <w:rFonts w:ascii="Aptos" w:eastAsia="Aptos" w:hAnsi="Aptos" w:cs="Aptos"/>
                              <w:noProof/>
                              <w:color w:val="000000"/>
                              <w:sz w:val="20"/>
                              <w:szCs w:val="20"/>
                            </w:rPr>
                          </w:pPr>
                          <w:r w:rsidRPr="007718E7">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5DFE40" id="_x0000_t202" coordsize="21600,21600" o:spt="202" path="m,l,21600r21600,l21600,xe">
              <v:stroke joinstyle="miter"/>
              <v:path gradientshapeok="t" o:connecttype="rect"/>
            </v:shapetype>
            <v:shape id="Cuadro de texto 3" o:spid="_x0000_s1027" type="#_x0000_t202" alt="Información Pública" style="position:absolute;margin-left:0;margin-top:0;width:107.1pt;height:27.2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" filled="f" stroked="f">
              <v:fill o:detectmouseclick="t"/>
              <v:textbox style="mso-fit-shape-to-text:t" inset="20pt,0,0,15pt">
                <w:txbxContent>
                  <w:p w14:paraId="71303F90" w14:textId="63037617" w:rsidR="007718E7" w:rsidRPr="007718E7" w:rsidRDefault="007718E7" w:rsidP="007718E7">
                    <w:pPr>
                      <w:rPr>
                        <w:rFonts w:ascii="Aptos" w:eastAsia="Aptos" w:hAnsi="Aptos" w:cs="Aptos"/>
                        <w:noProof/>
                        <w:color w:val="000000"/>
                        <w:sz w:val="20"/>
                        <w:szCs w:val="20"/>
                      </w:rPr>
                    </w:pPr>
                    <w:r w:rsidRPr="007718E7">
                      <w:rPr>
                        <w:rFonts w:ascii="Aptos" w:eastAsia="Aptos" w:hAnsi="Aptos" w:cs="Aptos"/>
                        <w:noProof/>
                        <w:color w:val="000000"/>
                        <w:sz w:val="20"/>
                        <w:szCs w:val="20"/>
                      </w:rPr>
                      <w:t>Información Pública</w:t>
                    </w:r>
                  </w:p>
                </w:txbxContent>
              </v:textbox>
              <w10:wrap anchorx="page" anchory="page"/>
            </v:shape>
          </w:pict>
        </mc:Fallback>
      </mc:AlternateContent>
    </w: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3C7B5" w14:textId="1CD4630D" w:rsidR="007718E7" w:rsidRDefault="007718E7">
    <w:pPr>
      <w:pStyle w:val="Piedepgina"/>
    </w:pPr>
    <w:r>
      <w:rPr>
        <w:noProof/>
      </w:rPr>
      <mc:AlternateContent>
        <mc:Choice Requires="wps">
          <w:drawing>
            <wp:anchor distT="0" distB="0" distL="0" distR="0" simplePos="0" relativeHeight="251666432" behindDoc="0" locked="0" layoutInCell="1" allowOverlap="1" wp14:anchorId="1AE89CFA" wp14:editId="7BD36904">
              <wp:simplePos x="635" y="635"/>
              <wp:positionH relativeFrom="page">
                <wp:align>left</wp:align>
              </wp:positionH>
              <wp:positionV relativeFrom="page">
                <wp:align>bottom</wp:align>
              </wp:positionV>
              <wp:extent cx="1360170" cy="345440"/>
              <wp:effectExtent l="0" t="0" r="11430" b="0"/>
              <wp:wrapNone/>
              <wp:docPr id="1434558706" name="Cuadro de texto 1" descr="Información 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60170" cy="345440"/>
                      </a:xfrm>
                      <a:prstGeom prst="rect">
                        <a:avLst/>
                      </a:prstGeom>
                      <a:noFill/>
                      <a:ln>
                        <a:noFill/>
                      </a:ln>
                    </wps:spPr>
                    <wps:txbx>
                      <w:txbxContent>
                        <w:p w14:paraId="02AC34FE" w14:textId="2379A43B" w:rsidR="007718E7" w:rsidRPr="007718E7" w:rsidRDefault="007718E7" w:rsidP="007718E7">
                          <w:pPr>
                            <w:rPr>
                              <w:rFonts w:ascii="Aptos" w:eastAsia="Aptos" w:hAnsi="Aptos" w:cs="Aptos"/>
                              <w:noProof/>
                              <w:color w:val="000000"/>
                              <w:sz w:val="20"/>
                              <w:szCs w:val="20"/>
                            </w:rPr>
                          </w:pPr>
                          <w:r w:rsidRPr="007718E7">
                            <w:rPr>
                              <w:rFonts w:ascii="Aptos" w:eastAsia="Aptos" w:hAnsi="Aptos" w:cs="Aptos"/>
                              <w:noProof/>
                              <w:color w:val="000000"/>
                              <w:sz w:val="20"/>
                              <w:szCs w:val="20"/>
                            </w:rPr>
                            <w:t>Información 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AE89CFA" id="_x0000_t202" coordsize="21600,21600" o:spt="202" path="m,l,21600r21600,l21600,xe">
              <v:stroke joinstyle="miter"/>
              <v:path gradientshapeok="t" o:connecttype="rect"/>
            </v:shapetype>
            <v:shape id="Cuadro de texto 1" o:spid="_x0000_s1028" type="#_x0000_t202" alt="Información Pública" style="position:absolute;margin-left:0;margin-top:0;width:107.1pt;height:27.2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" filled="f" stroked="f">
              <v:fill o:detectmouseclick="t"/>
              <v:textbox style="mso-fit-shape-to-text:t" inset="20pt,0,0,15pt">
                <w:txbxContent>
                  <w:p w14:paraId="02AC34FE" w14:textId="2379A43B" w:rsidR="007718E7" w:rsidRPr="007718E7" w:rsidRDefault="007718E7" w:rsidP="007718E7">
                    <w:pPr>
                      <w:rPr>
                        <w:rFonts w:ascii="Aptos" w:eastAsia="Aptos" w:hAnsi="Aptos" w:cs="Aptos"/>
                        <w:noProof/>
                        <w:color w:val="000000"/>
                        <w:sz w:val="20"/>
                        <w:szCs w:val="20"/>
                      </w:rPr>
                    </w:pPr>
                    <w:r w:rsidRPr="007718E7">
                      <w:rPr>
                        <w:rFonts w:ascii="Aptos" w:eastAsia="Aptos" w:hAnsi="Aptos" w:cs="Aptos"/>
                        <w:noProof/>
                        <w:color w:val="000000"/>
                        <w:sz w:val="20"/>
                        <w:szCs w:val="20"/>
                      </w:rPr>
                      <w:t>Información 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2F56" w14:textId="77777777" w:rsidR="006B00DC" w:rsidRDefault="006B00DC" w:rsidP="004A1847">
      <w:r>
        <w:separator/>
      </w:r>
    </w:p>
  </w:footnote>
  <w:footnote w:type="continuationSeparator" w:id="0">
    <w:p w14:paraId="144AADC3" w14:textId="77777777" w:rsidR="006B00DC" w:rsidRDefault="006B00DC" w:rsidP="004A1847">
      <w:r>
        <w:continuationSeparator/>
      </w:r>
    </w:p>
  </w:footnote>
  <w:footnote w:id="1">
    <w:p w14:paraId="60FD3711" w14:textId="77777777" w:rsidR="00996D7C" w:rsidRPr="00F7295F" w:rsidRDefault="00996D7C" w:rsidP="00996D7C">
      <w:pPr>
        <w:pStyle w:val="Textonotapie"/>
        <w:ind w:firstLine="709"/>
        <w:jc w:val="both"/>
        <w:rPr>
          <w:rFonts w:ascii="Verdana" w:hAnsi="Verdana" w:cs="Arial"/>
          <w:sz w:val="16"/>
          <w:szCs w:val="16"/>
          <w:lang w:val="es-ES"/>
        </w:rPr>
      </w:pPr>
      <w:r w:rsidRPr="00F7295F">
        <w:rPr>
          <w:rStyle w:val="Refdenotaalpie"/>
          <w:rFonts w:ascii="Verdana" w:hAnsi="Verdana" w:cs="Arial"/>
          <w:sz w:val="16"/>
          <w:szCs w:val="16"/>
        </w:rPr>
        <w:footnoteRef/>
      </w:r>
      <w:r w:rsidRPr="00F7295F">
        <w:rPr>
          <w:rFonts w:ascii="Verdana" w:hAnsi="Verdana" w:cs="Arial"/>
          <w:sz w:val="16"/>
          <w:szCs w:val="16"/>
        </w:rPr>
        <w:t xml:space="preserve"> </w:t>
      </w:r>
      <w:r w:rsidRPr="00F7295F">
        <w:rPr>
          <w:rFonts w:ascii="Verdana" w:hAnsi="Verdana" w:cs="Arial"/>
          <w:sz w:val="16"/>
          <w:szCs w:val="16"/>
          <w:lang w:val="es-ES"/>
        </w:rPr>
        <w:t>El numeral 16 del artículo tercero de la Ley 136 de 1994 dispone lo siguiente:</w:t>
      </w:r>
      <w:r w:rsidRPr="00F7295F">
        <w:rPr>
          <w:rFonts w:ascii="Verdana" w:hAnsi="Verdana" w:cs="Arial"/>
          <w:color w:val="000000" w:themeColor="text1"/>
          <w:sz w:val="16"/>
          <w:szCs w:val="16"/>
          <w:lang w:val="es-CO"/>
        </w:rPr>
        <w:t xml:space="preserve"> “[…] </w:t>
      </w:r>
      <w:r w:rsidRPr="00F7295F">
        <w:rPr>
          <w:rFonts w:ascii="Verdana" w:hAnsi="Verdana" w:cs="Arial"/>
          <w:sz w:val="16"/>
          <w:szCs w:val="16"/>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F7295F">
        <w:rPr>
          <w:rFonts w:ascii="Verdana" w:hAnsi="Verdana" w:cs="Arial"/>
          <w:color w:val="000000" w:themeColor="text1"/>
          <w:sz w:val="16"/>
          <w:szCs w:val="16"/>
          <w:lang w:val="es-CO"/>
        </w:rPr>
        <w:t xml:space="preserve"> […]”.</w:t>
      </w:r>
    </w:p>
  </w:footnote>
  <w:footnote w:id="2">
    <w:p w14:paraId="5AA4DA15" w14:textId="77777777" w:rsidR="00996D7C" w:rsidRPr="00F7295F" w:rsidRDefault="00996D7C" w:rsidP="00996D7C">
      <w:pPr>
        <w:pStyle w:val="Textonotapie"/>
        <w:ind w:firstLine="709"/>
        <w:jc w:val="both"/>
        <w:rPr>
          <w:rFonts w:ascii="Verdana" w:hAnsi="Verdana" w:cs="Arial"/>
          <w:sz w:val="16"/>
          <w:szCs w:val="16"/>
          <w:lang w:val="es-CO"/>
        </w:rPr>
      </w:pPr>
      <w:r w:rsidRPr="00F7295F">
        <w:rPr>
          <w:rStyle w:val="Refdenotaalpie"/>
          <w:rFonts w:ascii="Verdana" w:hAnsi="Verdana" w:cs="Arial"/>
          <w:sz w:val="16"/>
          <w:szCs w:val="16"/>
        </w:rPr>
        <w:footnoteRef/>
      </w:r>
      <w:r w:rsidRPr="00F7295F">
        <w:rPr>
          <w:rFonts w:ascii="Verdana" w:hAnsi="Verdana" w:cs="Arial"/>
          <w:sz w:val="16"/>
          <w:szCs w:val="16"/>
        </w:rPr>
        <w:t xml:space="preserve"> </w:t>
      </w:r>
      <w:bookmarkStart w:id="2" w:name="7"/>
      <w:r w:rsidRPr="00F7295F">
        <w:rPr>
          <w:rFonts w:ascii="Verdana" w:eastAsia="Calibri" w:hAnsi="Verdana" w:cs="Arial"/>
          <w:color w:val="000000" w:themeColor="text1"/>
          <w:sz w:val="16"/>
          <w:szCs w:val="16"/>
          <w:lang w:val="es-ES_tradnl"/>
        </w:rPr>
        <w:t>“</w:t>
      </w:r>
      <w:r w:rsidRPr="00F7295F">
        <w:rPr>
          <w:rFonts w:ascii="Verdana" w:hAnsi="Verdana" w:cs="Arial"/>
          <w:sz w:val="16"/>
          <w:szCs w:val="16"/>
          <w:lang w:val="es-CO"/>
        </w:rPr>
        <w:t>Artículo 7. Organismos de la Acción Comunal.</w:t>
      </w:r>
      <w:bookmarkEnd w:id="2"/>
    </w:p>
    <w:p w14:paraId="014F470D" w14:textId="77777777" w:rsidR="00996D7C" w:rsidRPr="00F7295F" w:rsidRDefault="00996D7C" w:rsidP="00996D7C">
      <w:pPr>
        <w:pStyle w:val="Textonotapie"/>
        <w:ind w:firstLine="709"/>
        <w:jc w:val="both"/>
        <w:rPr>
          <w:rFonts w:ascii="Verdana" w:hAnsi="Verdana" w:cs="Arial"/>
          <w:sz w:val="16"/>
          <w:szCs w:val="16"/>
          <w:lang w:val="es-CO"/>
        </w:rPr>
      </w:pPr>
      <w:r w:rsidRPr="00F7295F">
        <w:rPr>
          <w:rFonts w:ascii="Verdana" w:hAnsi="Verdana" w:cs="Arial"/>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59657505" w14:textId="77777777" w:rsidR="00996D7C" w:rsidRPr="00F7295F" w:rsidRDefault="00996D7C" w:rsidP="00996D7C">
      <w:pPr>
        <w:pStyle w:val="Textonotapie"/>
        <w:ind w:firstLine="709"/>
        <w:jc w:val="both"/>
        <w:rPr>
          <w:rFonts w:ascii="Verdana" w:hAnsi="Verdana" w:cs="Arial"/>
          <w:sz w:val="16"/>
          <w:szCs w:val="16"/>
          <w:lang w:val="es-CO"/>
        </w:rPr>
      </w:pPr>
      <w:r w:rsidRPr="00F7295F">
        <w:rPr>
          <w:rFonts w:ascii="Verdana" w:hAnsi="Verdana" w:cs="Arial"/>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24471C9B" w14:textId="77777777" w:rsidR="00996D7C" w:rsidRPr="00F7295F" w:rsidRDefault="00996D7C" w:rsidP="00996D7C">
      <w:pPr>
        <w:pStyle w:val="Textonotapie"/>
        <w:ind w:firstLine="709"/>
        <w:jc w:val="both"/>
        <w:rPr>
          <w:rFonts w:ascii="Verdana" w:hAnsi="Verdana" w:cs="Arial"/>
          <w:sz w:val="16"/>
          <w:szCs w:val="16"/>
          <w:lang w:val="es-CO"/>
        </w:rPr>
      </w:pPr>
      <w:r w:rsidRPr="00F7295F">
        <w:rPr>
          <w:rFonts w:ascii="Verdana" w:hAnsi="Verdana" w:cs="Arial"/>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72138CE" w14:textId="77777777" w:rsidR="00996D7C" w:rsidRPr="00F7295F" w:rsidRDefault="00996D7C" w:rsidP="00996D7C">
      <w:pPr>
        <w:pStyle w:val="Textonotapie"/>
        <w:ind w:firstLine="709"/>
        <w:jc w:val="both"/>
        <w:rPr>
          <w:rFonts w:ascii="Verdana" w:hAnsi="Verdana" w:cs="Arial"/>
          <w:sz w:val="16"/>
          <w:szCs w:val="16"/>
          <w:lang w:val="es-CO"/>
        </w:rPr>
      </w:pPr>
      <w:r w:rsidRPr="00F7295F">
        <w:rPr>
          <w:rFonts w:ascii="Verdana" w:hAnsi="Verdana" w:cs="Arial"/>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308D1027" w14:textId="77777777" w:rsidR="00996D7C" w:rsidRPr="00F7295F" w:rsidRDefault="00996D7C" w:rsidP="00996D7C">
      <w:pPr>
        <w:pStyle w:val="Textonotapie"/>
        <w:ind w:firstLine="709"/>
        <w:jc w:val="both"/>
        <w:rPr>
          <w:rFonts w:ascii="Verdana" w:hAnsi="Verdana" w:cs="Arial"/>
          <w:sz w:val="16"/>
          <w:szCs w:val="16"/>
          <w:lang w:val="es-CO"/>
        </w:rPr>
      </w:pPr>
      <w:r w:rsidRPr="00F7295F">
        <w:rPr>
          <w:rFonts w:ascii="Verdana" w:hAnsi="Verdana" w:cs="Arial"/>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2EB16F6D" w14:textId="77777777" w:rsidR="00996D7C" w:rsidRPr="00F7295F" w:rsidRDefault="00996D7C" w:rsidP="00996D7C">
      <w:pPr>
        <w:pStyle w:val="Textonotapie"/>
        <w:ind w:firstLine="709"/>
        <w:jc w:val="both"/>
        <w:rPr>
          <w:rFonts w:ascii="Verdana" w:hAnsi="Verdana" w:cs="Arial"/>
          <w:sz w:val="16"/>
          <w:szCs w:val="16"/>
          <w:lang w:val="es-CO"/>
        </w:rPr>
      </w:pPr>
      <w:r w:rsidRPr="00F7295F">
        <w:rPr>
          <w:rFonts w:ascii="Verdana" w:hAnsi="Verdana" w:cs="Arial"/>
          <w:sz w:val="16"/>
          <w:szCs w:val="16"/>
          <w:lang w:val="es-CO"/>
        </w:rPr>
        <w:t>PARÁGRAFO 1o. Cada organismo de acción comunal, se dará su propio reglamento conforme al marco brindado por esta ley enunciado en el artículo 1 y las normas que le sucedan.</w:t>
      </w:r>
    </w:p>
    <w:p w14:paraId="680C7878" w14:textId="77777777" w:rsidR="00996D7C" w:rsidRPr="00F7295F" w:rsidRDefault="00996D7C" w:rsidP="00996D7C">
      <w:pPr>
        <w:pStyle w:val="Textonotapie"/>
        <w:ind w:firstLine="709"/>
        <w:jc w:val="both"/>
        <w:rPr>
          <w:rFonts w:ascii="Verdana" w:hAnsi="Verdana" w:cs="Arial"/>
          <w:sz w:val="16"/>
          <w:szCs w:val="16"/>
          <w:lang w:val="es-CO"/>
        </w:rPr>
      </w:pPr>
      <w:r w:rsidRPr="00F7295F">
        <w:rPr>
          <w:rFonts w:ascii="Verdana" w:hAnsi="Verdana" w:cs="Arial"/>
          <w:sz w:val="16"/>
          <w:szCs w:val="16"/>
          <w:lang w:val="es-CO"/>
        </w:rPr>
        <w:t>PARÁGRAFO 2o. Dentro del año siguiente a la expedición de la presente Ley en concertación con la organización social de la Acción Comunal, el Gobierno nacional expedirá una reglamentación para las Juntas de Vivienda Comunal</w:t>
      </w:r>
      <w:r w:rsidRPr="00F7295F">
        <w:rPr>
          <w:rFonts w:ascii="Verdana" w:eastAsia="Calibri" w:hAnsi="Verdana" w:cs="Arial"/>
          <w:color w:val="000000" w:themeColor="text1"/>
          <w:sz w:val="16"/>
          <w:szCs w:val="16"/>
          <w:lang w:val="es-ES_tradnl"/>
        </w:rPr>
        <w:t>”.</w:t>
      </w:r>
    </w:p>
    <w:p w14:paraId="4176858F" w14:textId="77777777" w:rsidR="00996D7C" w:rsidRPr="00F7295F" w:rsidRDefault="00996D7C" w:rsidP="00996D7C">
      <w:pPr>
        <w:pStyle w:val="Textonotapie"/>
        <w:jc w:val="both"/>
        <w:rPr>
          <w:rFonts w:ascii="Verdana" w:hAnsi="Verdana" w:cs="Arial"/>
          <w:sz w:val="16"/>
          <w:szCs w:val="16"/>
          <w:lang w:val="es-CO"/>
        </w:rPr>
      </w:pPr>
    </w:p>
  </w:footnote>
  <w:footnote w:id="3">
    <w:p w14:paraId="7AEEA35A" w14:textId="77777777" w:rsidR="00996D7C" w:rsidRPr="00F7295F" w:rsidRDefault="00996D7C" w:rsidP="00996D7C">
      <w:pPr>
        <w:pStyle w:val="Textonotapie"/>
        <w:ind w:firstLine="709"/>
        <w:jc w:val="both"/>
        <w:rPr>
          <w:rFonts w:ascii="Verdana" w:hAnsi="Verdana" w:cs="Arial"/>
          <w:sz w:val="16"/>
          <w:szCs w:val="16"/>
          <w:lang w:val="es-CO"/>
        </w:rPr>
      </w:pPr>
      <w:r w:rsidRPr="00F7295F">
        <w:rPr>
          <w:rStyle w:val="Refdenotaalpie"/>
          <w:rFonts w:ascii="Verdana" w:hAnsi="Verdana" w:cs="Arial"/>
          <w:sz w:val="16"/>
          <w:szCs w:val="16"/>
        </w:rPr>
        <w:footnoteRef/>
      </w:r>
      <w:r w:rsidRPr="00F7295F">
        <w:rPr>
          <w:rFonts w:ascii="Verdana" w:hAnsi="Verdana" w:cs="Arial"/>
          <w:sz w:val="16"/>
          <w:szCs w:val="16"/>
        </w:rPr>
        <w:t xml:space="preserve"> </w:t>
      </w:r>
      <w:r w:rsidRPr="00F7295F">
        <w:rPr>
          <w:rFonts w:ascii="Verdana" w:hAnsi="Verdana" w:cs="Arial"/>
          <w:sz w:val="16"/>
          <w:szCs w:val="16"/>
          <w:lang w:val="es-CO"/>
        </w:rPr>
        <w:t xml:space="preserve">El artículo 286 de la Constitución política de Colombia señala que </w:t>
      </w:r>
      <w:r w:rsidRPr="00F7295F">
        <w:rPr>
          <w:rFonts w:ascii="Verdana" w:eastAsia="Calibri" w:hAnsi="Verdana" w:cs="Arial"/>
          <w:color w:val="000000" w:themeColor="text1"/>
          <w:sz w:val="16"/>
          <w:szCs w:val="16"/>
          <w:lang w:val="es-ES_tradnl"/>
        </w:rPr>
        <w:t>“</w:t>
      </w:r>
      <w:r w:rsidRPr="00F7295F">
        <w:rPr>
          <w:rFonts w:ascii="Verdana" w:hAnsi="Verdana" w:cs="Arial"/>
          <w:sz w:val="16"/>
          <w:szCs w:val="16"/>
          <w:lang w:val="es-CO"/>
        </w:rPr>
        <w:t>Son entidades territoriales los departamentos, los distritos, los municipios y los territorios indígenas”.</w:t>
      </w:r>
    </w:p>
  </w:footnote>
  <w:footnote w:id="4">
    <w:p w14:paraId="2FFD9CD2" w14:textId="77777777" w:rsidR="00996D7C" w:rsidRPr="00F7295F" w:rsidRDefault="00996D7C" w:rsidP="00996D7C">
      <w:pPr>
        <w:pStyle w:val="Textonotapie"/>
        <w:ind w:firstLine="708"/>
        <w:jc w:val="both"/>
        <w:rPr>
          <w:rFonts w:ascii="Verdana" w:hAnsi="Verdana" w:cs="Arial"/>
          <w:sz w:val="16"/>
          <w:szCs w:val="16"/>
          <w:lang w:val="es-CO"/>
        </w:rPr>
      </w:pPr>
      <w:r w:rsidRPr="00F7295F">
        <w:rPr>
          <w:rStyle w:val="Refdenotaalpie"/>
          <w:rFonts w:ascii="Verdana" w:hAnsi="Verdana" w:cs="Arial"/>
          <w:sz w:val="16"/>
          <w:szCs w:val="16"/>
        </w:rPr>
        <w:footnoteRef/>
      </w:r>
      <w:r w:rsidRPr="00F7295F">
        <w:rPr>
          <w:rFonts w:ascii="Verdana" w:hAnsi="Verdana" w:cs="Arial"/>
          <w:sz w:val="16"/>
          <w:szCs w:val="16"/>
        </w:rPr>
        <w:t xml:space="preserve"> </w:t>
      </w:r>
      <w:r w:rsidRPr="00F7295F">
        <w:rPr>
          <w:rFonts w:ascii="Verdana" w:hAnsi="Verdana" w:cs="Arial"/>
          <w:sz w:val="16"/>
          <w:szCs w:val="16"/>
          <w:lang w:val="es-CO"/>
        </w:rPr>
        <w:t xml:space="preserve">Corte Constitucional, M.P. Clara Inés Vargas Hernández, en sentencia C 580 del 6 de junio de 2001, </w:t>
      </w:r>
      <w:proofErr w:type="spellStart"/>
      <w:r w:rsidRPr="00F7295F">
        <w:rPr>
          <w:rFonts w:ascii="Verdana" w:hAnsi="Verdana" w:cs="Arial"/>
          <w:sz w:val="16"/>
          <w:szCs w:val="16"/>
          <w:lang w:val="es-CO"/>
        </w:rPr>
        <w:t>Exp</w:t>
      </w:r>
      <w:proofErr w:type="spellEnd"/>
      <w:r w:rsidRPr="00F7295F">
        <w:rPr>
          <w:rFonts w:ascii="Verdana" w:hAnsi="Verdana" w:cs="Arial"/>
          <w:sz w:val="16"/>
          <w:szCs w:val="16"/>
          <w:lang w:val="es-CO"/>
        </w:rPr>
        <w:t xml:space="preserve"> O.P.047.</w:t>
      </w:r>
    </w:p>
    <w:p w14:paraId="2F75F823" w14:textId="77777777" w:rsidR="00996D7C" w:rsidRPr="00F7295F" w:rsidRDefault="00996D7C" w:rsidP="00996D7C">
      <w:pPr>
        <w:pStyle w:val="Textonotapie"/>
        <w:ind w:firstLine="708"/>
        <w:jc w:val="both"/>
        <w:rPr>
          <w:rFonts w:ascii="Verdana" w:hAnsi="Verdana" w:cs="Arial"/>
          <w:sz w:val="16"/>
          <w:szCs w:val="16"/>
          <w:lang w:val="es-CO"/>
        </w:rPr>
      </w:pPr>
    </w:p>
  </w:footnote>
  <w:footnote w:id="5">
    <w:p w14:paraId="5BBD1401" w14:textId="779B9E51" w:rsidR="00996D7C" w:rsidRPr="00F7295F" w:rsidRDefault="00996D7C" w:rsidP="00996D7C">
      <w:pPr>
        <w:pStyle w:val="Textonotapie"/>
        <w:ind w:firstLine="708"/>
        <w:jc w:val="both"/>
        <w:rPr>
          <w:rFonts w:ascii="Verdana" w:hAnsi="Verdana" w:cs="Arial"/>
          <w:sz w:val="16"/>
          <w:szCs w:val="16"/>
          <w:lang w:val="es-CO"/>
        </w:rPr>
      </w:pPr>
      <w:r w:rsidRPr="00F7295F">
        <w:rPr>
          <w:rStyle w:val="Refdenotaalpie"/>
          <w:rFonts w:ascii="Verdana" w:hAnsi="Verdana" w:cs="Arial"/>
          <w:sz w:val="16"/>
          <w:szCs w:val="16"/>
        </w:rPr>
        <w:footnoteRef/>
      </w:r>
      <w:r w:rsidRPr="00F7295F">
        <w:rPr>
          <w:rFonts w:ascii="Verdana" w:hAnsi="Verdana" w:cs="Arial"/>
          <w:sz w:val="16"/>
          <w:szCs w:val="16"/>
        </w:rPr>
        <w:t xml:space="preserve"> </w:t>
      </w:r>
      <w:r w:rsidRPr="00F7295F">
        <w:rPr>
          <w:rFonts w:ascii="Verdana" w:hAnsi="Verdana" w:cs="Arial"/>
          <w:sz w:val="16"/>
          <w:szCs w:val="16"/>
          <w:lang w:val="es-CO"/>
        </w:rPr>
        <w:t>Corte Constitucional, M.P. Jorge Ignacio Pretelt Chaljub, en sentencia C 126 del 9 de marzo de 2016, Exp D-10894</w:t>
      </w:r>
    </w:p>
  </w:footnote>
  <w:footnote w:id="6">
    <w:p w14:paraId="7FB55A87" w14:textId="77777777" w:rsidR="00996D7C" w:rsidRPr="00F7295F" w:rsidRDefault="00996D7C" w:rsidP="00996D7C">
      <w:pPr>
        <w:pStyle w:val="Textonotapie"/>
        <w:ind w:firstLine="708"/>
        <w:jc w:val="both"/>
        <w:rPr>
          <w:rFonts w:ascii="Verdana" w:hAnsi="Verdana" w:cs="Arial"/>
          <w:sz w:val="16"/>
          <w:szCs w:val="16"/>
          <w:lang w:val="es-CO"/>
        </w:rPr>
      </w:pPr>
      <w:r w:rsidRPr="00F7295F">
        <w:rPr>
          <w:rStyle w:val="Refdenotaalpie"/>
          <w:rFonts w:ascii="Verdana" w:hAnsi="Verdana" w:cs="Arial"/>
          <w:sz w:val="16"/>
          <w:szCs w:val="16"/>
        </w:rPr>
        <w:footnoteRef/>
      </w:r>
      <w:r w:rsidRPr="00F7295F">
        <w:rPr>
          <w:rFonts w:ascii="Verdana" w:hAnsi="Verdana" w:cs="Arial"/>
          <w:sz w:val="16"/>
          <w:szCs w:val="16"/>
        </w:rPr>
        <w:t xml:space="preserve"> El artículo citado dispone que “</w:t>
      </w:r>
      <w:r w:rsidRPr="00F7295F">
        <w:rPr>
          <w:rFonts w:ascii="Verdana" w:hAnsi="Verdana" w:cs="Arial"/>
          <w:sz w:val="16"/>
          <w:szCs w:val="16"/>
          <w:lang w:val="es-CO"/>
        </w:rPr>
        <w:t>Los organismos de acción comunal a que se refiere esta ley, formarán una persona distinta de sus miembros individualmente considerados, a partir de su registro ante la entidad que ejerce su inspección, vigilancia y control.</w:t>
      </w:r>
    </w:p>
    <w:p w14:paraId="6B5EEA05" w14:textId="77777777" w:rsidR="00996D7C" w:rsidRPr="00F7295F" w:rsidRDefault="00996D7C" w:rsidP="00996D7C">
      <w:pPr>
        <w:pStyle w:val="Textonotapie"/>
        <w:ind w:firstLine="708"/>
        <w:jc w:val="both"/>
        <w:rPr>
          <w:rFonts w:ascii="Verdana" w:hAnsi="Verdana" w:cs="Arial"/>
          <w:sz w:val="16"/>
          <w:szCs w:val="16"/>
        </w:rPr>
      </w:pPr>
      <w:r w:rsidRPr="00F7295F">
        <w:rPr>
          <w:rFonts w:ascii="Verdana" w:hAnsi="Verdana" w:cs="Arial"/>
          <w:sz w:val="16"/>
          <w:szCs w:val="16"/>
        </w:rPr>
        <w:t>Sus estatutos y sus reformas, los nombramientos y elección de dignatarios, los libros y la disolución y liquidación de las personas jurídicas de que trata esta ley, se inscribirán ante las entidades que ejercen su inspección, vigilancia y control.</w:t>
      </w:r>
    </w:p>
    <w:p w14:paraId="3344C11F" w14:textId="77777777" w:rsidR="00996D7C" w:rsidRPr="00F7295F" w:rsidRDefault="00996D7C" w:rsidP="00996D7C">
      <w:pPr>
        <w:pStyle w:val="Textonotapie"/>
        <w:ind w:firstLine="708"/>
        <w:jc w:val="both"/>
        <w:rPr>
          <w:rFonts w:ascii="Verdana" w:hAnsi="Verdana" w:cs="Arial"/>
          <w:sz w:val="16"/>
          <w:szCs w:val="16"/>
        </w:rPr>
      </w:pPr>
      <w:r w:rsidRPr="00F7295F">
        <w:rPr>
          <w:rFonts w:ascii="Verdana" w:hAnsi="Verdana" w:cs="Arial"/>
          <w:sz w:val="16"/>
          <w:szCs w:val="16"/>
        </w:rPr>
        <w:t>La existencia y representación legal de las personas jurídicas a que se refiere esta ley se aprobarán con la certificación expedida por la entidad competente para la realización del registro”.</w:t>
      </w:r>
    </w:p>
    <w:p w14:paraId="6FB18D1D" w14:textId="77777777" w:rsidR="00996D7C" w:rsidRPr="00F7295F" w:rsidRDefault="00996D7C" w:rsidP="00996D7C">
      <w:pPr>
        <w:pStyle w:val="Textonotapie"/>
        <w:ind w:firstLine="708"/>
        <w:jc w:val="both"/>
        <w:rPr>
          <w:rFonts w:ascii="Verdana" w:hAnsi="Verdana" w:cs="Arial"/>
          <w:sz w:val="16"/>
          <w:szCs w:val="16"/>
          <w:lang w:val="es-CO"/>
        </w:rPr>
      </w:pPr>
      <w:r w:rsidRPr="00F7295F">
        <w:rPr>
          <w:rFonts w:ascii="Verdana" w:hAnsi="Verdana" w:cs="Arial"/>
          <w:sz w:val="16"/>
          <w:szCs w:val="16"/>
        </w:rPr>
        <w:t>Dicha norma debe entenderse en concordancia con el artículo 74 de la Ley 2166 de 2021, pues también prescribe lo siguiente: “</w:t>
      </w:r>
      <w:r w:rsidRPr="00F7295F">
        <w:rPr>
          <w:rFonts w:ascii="Verdana" w:hAnsi="Verdana" w:cs="Arial"/>
          <w:sz w:val="16"/>
          <w:szCs w:val="16"/>
          <w:lang w:val="es-CO"/>
        </w:rPr>
        <w:t>Existen dos niveles de autoridades que ejercen vigilancia, inspección y control sobre los organismos comunales, de acuerdo al grado al que pertenezcan:</w:t>
      </w:r>
    </w:p>
    <w:p w14:paraId="097F7CFC" w14:textId="77777777" w:rsidR="00996D7C" w:rsidRPr="00F7295F" w:rsidRDefault="00996D7C" w:rsidP="00996D7C">
      <w:pPr>
        <w:pStyle w:val="Textonotapie"/>
        <w:ind w:firstLine="708"/>
        <w:jc w:val="both"/>
        <w:rPr>
          <w:rFonts w:ascii="Verdana" w:hAnsi="Verdana" w:cs="Arial"/>
          <w:sz w:val="16"/>
          <w:szCs w:val="16"/>
        </w:rPr>
      </w:pPr>
      <w:r w:rsidRPr="00F7295F">
        <w:rPr>
          <w:rFonts w:ascii="Verdana" w:hAnsi="Verdana" w:cs="Arial"/>
          <w:sz w:val="16"/>
          <w:szCs w:val="16"/>
        </w:rPr>
        <w:t>a) Primer nivel: lo ejerce Ministerio del Interior, sobre los organismos comunales de tercer y cuarto grado.</w:t>
      </w:r>
    </w:p>
    <w:p w14:paraId="7AEA954D" w14:textId="77777777" w:rsidR="00996D7C" w:rsidRPr="00F7295F" w:rsidRDefault="00996D7C" w:rsidP="00996D7C">
      <w:pPr>
        <w:pStyle w:val="Textonotapie"/>
        <w:ind w:firstLine="708"/>
        <w:jc w:val="both"/>
        <w:rPr>
          <w:rFonts w:ascii="Verdana" w:hAnsi="Verdana" w:cs="Arial"/>
          <w:sz w:val="16"/>
          <w:szCs w:val="16"/>
        </w:rPr>
      </w:pPr>
      <w:r w:rsidRPr="00F7295F">
        <w:rPr>
          <w:rFonts w:ascii="Verdana" w:hAnsi="Verdana" w:cs="Arial"/>
          <w:sz w:val="16"/>
          <w:szCs w:val="16"/>
        </w:rPr>
        <w:t>b) Segundo nivel: lo ejercen los Departamentos, Distritos y Municipios, a través de las dependencias a las que se le asignen dichas funciones sobre los organismos comunales de primer y segundo grado”.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5A0054B1" w14:textId="77777777" w:rsidR="00A14468" w:rsidRPr="00C925AC" w:rsidRDefault="00A14468" w:rsidP="00844AE9">
    <w:pPr>
      <w:rPr>
        <w:rFonts w:ascii="Verdana" w:hAnsi="Verdana"/>
      </w:rPr>
    </w:pPr>
  </w:p>
  <w:p w14:paraId="1FD1C243" w14:textId="37C5500A" w:rsidR="008A446D" w:rsidRPr="00C925AC" w:rsidRDefault="00C925AC" w:rsidP="000D5DA7">
    <w:pPr>
      <w:spacing w:line="480" w:lineRule="auto"/>
      <w:rPr>
        <w:rFonts w:ascii="Verdana" w:hAnsi="Verdana"/>
        <w:b/>
        <w:bCs/>
      </w:rPr>
    </w:pPr>
    <w:r w:rsidRPr="00C925AC">
      <w:rPr>
        <w:rFonts w:ascii="Verdana" w:hAnsi="Verdana"/>
        <w:b/>
        <w:bCs/>
      </w:rPr>
      <w:t>FORMATO</w:t>
    </w:r>
    <w:r w:rsidR="00BF7425">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484036"/>
    <w:multiLevelType w:val="multilevel"/>
    <w:tmpl w:val="3EEA2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8534246">
    <w:abstractNumId w:val="7"/>
  </w:num>
  <w:num w:numId="2" w16cid:durableId="1075859430">
    <w:abstractNumId w:val="2"/>
  </w:num>
  <w:num w:numId="3" w16cid:durableId="1098407485">
    <w:abstractNumId w:val="4"/>
  </w:num>
  <w:num w:numId="4" w16cid:durableId="393434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3627146">
    <w:abstractNumId w:val="2"/>
  </w:num>
  <w:num w:numId="6" w16cid:durableId="1845167677">
    <w:abstractNumId w:val="15"/>
  </w:num>
  <w:num w:numId="7" w16cid:durableId="1106273398">
    <w:abstractNumId w:val="5"/>
  </w:num>
  <w:num w:numId="8" w16cid:durableId="1786344639">
    <w:abstractNumId w:val="14"/>
  </w:num>
  <w:num w:numId="9" w16cid:durableId="2114126056">
    <w:abstractNumId w:val="8"/>
  </w:num>
  <w:num w:numId="10" w16cid:durableId="1378625923">
    <w:abstractNumId w:val="13"/>
  </w:num>
  <w:num w:numId="11" w16cid:durableId="747700250">
    <w:abstractNumId w:val="9"/>
  </w:num>
  <w:num w:numId="12" w16cid:durableId="558395083">
    <w:abstractNumId w:val="1"/>
  </w:num>
  <w:num w:numId="13" w16cid:durableId="77874655">
    <w:abstractNumId w:val="3"/>
  </w:num>
  <w:num w:numId="14" w16cid:durableId="1158158532">
    <w:abstractNumId w:val="16"/>
  </w:num>
  <w:num w:numId="15" w16cid:durableId="329137177">
    <w:abstractNumId w:val="12"/>
  </w:num>
  <w:num w:numId="16" w16cid:durableId="1474369218">
    <w:abstractNumId w:val="0"/>
  </w:num>
  <w:num w:numId="17" w16cid:durableId="563950552">
    <w:abstractNumId w:val="10"/>
  </w:num>
  <w:num w:numId="18" w16cid:durableId="2104833031">
    <w:abstractNumId w:val="11"/>
  </w:num>
  <w:num w:numId="19" w16cid:durableId="2290023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9DA"/>
    <w:rsid w:val="00061B2A"/>
    <w:rsid w:val="000650A3"/>
    <w:rsid w:val="000739BA"/>
    <w:rsid w:val="00082362"/>
    <w:rsid w:val="000913EC"/>
    <w:rsid w:val="000A0A6B"/>
    <w:rsid w:val="000A683E"/>
    <w:rsid w:val="000B19B9"/>
    <w:rsid w:val="000B237A"/>
    <w:rsid w:val="000B6212"/>
    <w:rsid w:val="000D0334"/>
    <w:rsid w:val="000D5DA7"/>
    <w:rsid w:val="000E1591"/>
    <w:rsid w:val="000F6486"/>
    <w:rsid w:val="00116940"/>
    <w:rsid w:val="00125105"/>
    <w:rsid w:val="00127233"/>
    <w:rsid w:val="001508BF"/>
    <w:rsid w:val="0015699B"/>
    <w:rsid w:val="001A33BF"/>
    <w:rsid w:val="001B6FF9"/>
    <w:rsid w:val="001C0105"/>
    <w:rsid w:val="001C30F2"/>
    <w:rsid w:val="001E4044"/>
    <w:rsid w:val="001E4177"/>
    <w:rsid w:val="001F0B24"/>
    <w:rsid w:val="001F7DC6"/>
    <w:rsid w:val="00206651"/>
    <w:rsid w:val="0022400B"/>
    <w:rsid w:val="002244A1"/>
    <w:rsid w:val="002421BB"/>
    <w:rsid w:val="00243ABB"/>
    <w:rsid w:val="002477B7"/>
    <w:rsid w:val="0025796E"/>
    <w:rsid w:val="00264DBD"/>
    <w:rsid w:val="002707A2"/>
    <w:rsid w:val="002902CB"/>
    <w:rsid w:val="002951A0"/>
    <w:rsid w:val="002962BC"/>
    <w:rsid w:val="002A093D"/>
    <w:rsid w:val="002A0DD0"/>
    <w:rsid w:val="002A49AC"/>
    <w:rsid w:val="002A64FD"/>
    <w:rsid w:val="002C7A84"/>
    <w:rsid w:val="002D4344"/>
    <w:rsid w:val="002E0F04"/>
    <w:rsid w:val="002E2BF8"/>
    <w:rsid w:val="002E4FD9"/>
    <w:rsid w:val="00302DAE"/>
    <w:rsid w:val="0030657A"/>
    <w:rsid w:val="00322A85"/>
    <w:rsid w:val="00324168"/>
    <w:rsid w:val="00330834"/>
    <w:rsid w:val="003448F4"/>
    <w:rsid w:val="00350394"/>
    <w:rsid w:val="00351932"/>
    <w:rsid w:val="0035604B"/>
    <w:rsid w:val="00364190"/>
    <w:rsid w:val="0037035A"/>
    <w:rsid w:val="00374F5E"/>
    <w:rsid w:val="00377E3E"/>
    <w:rsid w:val="003A779E"/>
    <w:rsid w:val="003B459E"/>
    <w:rsid w:val="003C301C"/>
    <w:rsid w:val="003D0F4D"/>
    <w:rsid w:val="003D5B0D"/>
    <w:rsid w:val="003E0499"/>
    <w:rsid w:val="003E3D66"/>
    <w:rsid w:val="003E4F80"/>
    <w:rsid w:val="003E6439"/>
    <w:rsid w:val="003F3941"/>
    <w:rsid w:val="00406575"/>
    <w:rsid w:val="0041405D"/>
    <w:rsid w:val="00414C74"/>
    <w:rsid w:val="0042722E"/>
    <w:rsid w:val="004305DF"/>
    <w:rsid w:val="0044113E"/>
    <w:rsid w:val="0044528D"/>
    <w:rsid w:val="00457C8A"/>
    <w:rsid w:val="00466E39"/>
    <w:rsid w:val="0048716A"/>
    <w:rsid w:val="004900A7"/>
    <w:rsid w:val="004A1847"/>
    <w:rsid w:val="004A305D"/>
    <w:rsid w:val="004A7861"/>
    <w:rsid w:val="004C0E62"/>
    <w:rsid w:val="004C5256"/>
    <w:rsid w:val="004D3B14"/>
    <w:rsid w:val="004F21C4"/>
    <w:rsid w:val="004F25F5"/>
    <w:rsid w:val="004F29BA"/>
    <w:rsid w:val="004F5F46"/>
    <w:rsid w:val="004F685F"/>
    <w:rsid w:val="005003CC"/>
    <w:rsid w:val="00514E71"/>
    <w:rsid w:val="00541D4E"/>
    <w:rsid w:val="00551483"/>
    <w:rsid w:val="005566E8"/>
    <w:rsid w:val="00574867"/>
    <w:rsid w:val="00591460"/>
    <w:rsid w:val="00596BFE"/>
    <w:rsid w:val="005A65E0"/>
    <w:rsid w:val="005C3777"/>
    <w:rsid w:val="005C5CDC"/>
    <w:rsid w:val="005D19FA"/>
    <w:rsid w:val="005D476C"/>
    <w:rsid w:val="00600265"/>
    <w:rsid w:val="006200BF"/>
    <w:rsid w:val="006219F8"/>
    <w:rsid w:val="006302F7"/>
    <w:rsid w:val="00646B9F"/>
    <w:rsid w:val="00665D70"/>
    <w:rsid w:val="00677F1A"/>
    <w:rsid w:val="00687D68"/>
    <w:rsid w:val="006900D9"/>
    <w:rsid w:val="006B00DC"/>
    <w:rsid w:val="00701C41"/>
    <w:rsid w:val="00706C16"/>
    <w:rsid w:val="00726F23"/>
    <w:rsid w:val="007340C3"/>
    <w:rsid w:val="007500D9"/>
    <w:rsid w:val="0075235A"/>
    <w:rsid w:val="00756841"/>
    <w:rsid w:val="00760845"/>
    <w:rsid w:val="007649AB"/>
    <w:rsid w:val="00770414"/>
    <w:rsid w:val="007718E7"/>
    <w:rsid w:val="00771D0C"/>
    <w:rsid w:val="00774AD5"/>
    <w:rsid w:val="00775F19"/>
    <w:rsid w:val="00777B0D"/>
    <w:rsid w:val="007833AC"/>
    <w:rsid w:val="007963DF"/>
    <w:rsid w:val="007B1C95"/>
    <w:rsid w:val="007B268C"/>
    <w:rsid w:val="007B5397"/>
    <w:rsid w:val="007B6E31"/>
    <w:rsid w:val="007B7171"/>
    <w:rsid w:val="007C0C0F"/>
    <w:rsid w:val="007C3DC2"/>
    <w:rsid w:val="007D0D7F"/>
    <w:rsid w:val="007E5497"/>
    <w:rsid w:val="007F0B8F"/>
    <w:rsid w:val="007F1933"/>
    <w:rsid w:val="00806F5F"/>
    <w:rsid w:val="00820278"/>
    <w:rsid w:val="008258C9"/>
    <w:rsid w:val="00844AE9"/>
    <w:rsid w:val="00865AF0"/>
    <w:rsid w:val="00867F95"/>
    <w:rsid w:val="008843B6"/>
    <w:rsid w:val="00891480"/>
    <w:rsid w:val="00891928"/>
    <w:rsid w:val="008A0842"/>
    <w:rsid w:val="008A446D"/>
    <w:rsid w:val="008B25F1"/>
    <w:rsid w:val="008C5F60"/>
    <w:rsid w:val="008D180B"/>
    <w:rsid w:val="008D5F5D"/>
    <w:rsid w:val="008E73FE"/>
    <w:rsid w:val="008F0EA7"/>
    <w:rsid w:val="008F5407"/>
    <w:rsid w:val="00923EEF"/>
    <w:rsid w:val="00933ED1"/>
    <w:rsid w:val="009419F9"/>
    <w:rsid w:val="00951896"/>
    <w:rsid w:val="0095685E"/>
    <w:rsid w:val="00961B09"/>
    <w:rsid w:val="00965334"/>
    <w:rsid w:val="0097093E"/>
    <w:rsid w:val="009802E0"/>
    <w:rsid w:val="00984F76"/>
    <w:rsid w:val="00991DB2"/>
    <w:rsid w:val="00996D7C"/>
    <w:rsid w:val="009A0DFA"/>
    <w:rsid w:val="009A1C6F"/>
    <w:rsid w:val="009B0DD3"/>
    <w:rsid w:val="009B2D26"/>
    <w:rsid w:val="009B4207"/>
    <w:rsid w:val="009C71FA"/>
    <w:rsid w:val="009C72E7"/>
    <w:rsid w:val="009C7F7E"/>
    <w:rsid w:val="009D3058"/>
    <w:rsid w:val="009E45B2"/>
    <w:rsid w:val="009E544F"/>
    <w:rsid w:val="009F3A13"/>
    <w:rsid w:val="00A122D3"/>
    <w:rsid w:val="00A14468"/>
    <w:rsid w:val="00A17F13"/>
    <w:rsid w:val="00A20739"/>
    <w:rsid w:val="00A23AF9"/>
    <w:rsid w:val="00A32A8C"/>
    <w:rsid w:val="00A33C78"/>
    <w:rsid w:val="00A46F9A"/>
    <w:rsid w:val="00A5479B"/>
    <w:rsid w:val="00A54EF0"/>
    <w:rsid w:val="00A648CD"/>
    <w:rsid w:val="00A835C1"/>
    <w:rsid w:val="00AB0ADB"/>
    <w:rsid w:val="00AB1E53"/>
    <w:rsid w:val="00AB418E"/>
    <w:rsid w:val="00AF247A"/>
    <w:rsid w:val="00B00C0E"/>
    <w:rsid w:val="00B01B1A"/>
    <w:rsid w:val="00B0381D"/>
    <w:rsid w:val="00B27F16"/>
    <w:rsid w:val="00B42F63"/>
    <w:rsid w:val="00B44A47"/>
    <w:rsid w:val="00B608EC"/>
    <w:rsid w:val="00B62E73"/>
    <w:rsid w:val="00B710A6"/>
    <w:rsid w:val="00B72323"/>
    <w:rsid w:val="00B72CD3"/>
    <w:rsid w:val="00B72FFF"/>
    <w:rsid w:val="00B94039"/>
    <w:rsid w:val="00BC3D36"/>
    <w:rsid w:val="00BD202D"/>
    <w:rsid w:val="00BD54A6"/>
    <w:rsid w:val="00BD7F72"/>
    <w:rsid w:val="00BE1651"/>
    <w:rsid w:val="00BE5CA5"/>
    <w:rsid w:val="00BF7425"/>
    <w:rsid w:val="00C04FB3"/>
    <w:rsid w:val="00C062A9"/>
    <w:rsid w:val="00C06E51"/>
    <w:rsid w:val="00C11D8B"/>
    <w:rsid w:val="00C15139"/>
    <w:rsid w:val="00C330EB"/>
    <w:rsid w:val="00C44880"/>
    <w:rsid w:val="00C45444"/>
    <w:rsid w:val="00C50D69"/>
    <w:rsid w:val="00C52FDB"/>
    <w:rsid w:val="00C5365C"/>
    <w:rsid w:val="00C754BE"/>
    <w:rsid w:val="00C76B1C"/>
    <w:rsid w:val="00C925AC"/>
    <w:rsid w:val="00CA679E"/>
    <w:rsid w:val="00CB468C"/>
    <w:rsid w:val="00CB6357"/>
    <w:rsid w:val="00CC1B26"/>
    <w:rsid w:val="00CD4862"/>
    <w:rsid w:val="00D16C9D"/>
    <w:rsid w:val="00D27C38"/>
    <w:rsid w:val="00D30044"/>
    <w:rsid w:val="00D361FD"/>
    <w:rsid w:val="00D423A2"/>
    <w:rsid w:val="00D42AE5"/>
    <w:rsid w:val="00D44E26"/>
    <w:rsid w:val="00D520D8"/>
    <w:rsid w:val="00D63AC2"/>
    <w:rsid w:val="00D7383B"/>
    <w:rsid w:val="00D7788A"/>
    <w:rsid w:val="00D80A7F"/>
    <w:rsid w:val="00D910CA"/>
    <w:rsid w:val="00DA231B"/>
    <w:rsid w:val="00DA41AC"/>
    <w:rsid w:val="00DB08C4"/>
    <w:rsid w:val="00DB619C"/>
    <w:rsid w:val="00DB63AC"/>
    <w:rsid w:val="00DC39FC"/>
    <w:rsid w:val="00DC676A"/>
    <w:rsid w:val="00DF385B"/>
    <w:rsid w:val="00DF4A08"/>
    <w:rsid w:val="00DF5254"/>
    <w:rsid w:val="00E02524"/>
    <w:rsid w:val="00E03CC4"/>
    <w:rsid w:val="00E16408"/>
    <w:rsid w:val="00E20561"/>
    <w:rsid w:val="00E20894"/>
    <w:rsid w:val="00E245AB"/>
    <w:rsid w:val="00E25A57"/>
    <w:rsid w:val="00E2764C"/>
    <w:rsid w:val="00E27F2E"/>
    <w:rsid w:val="00E359CE"/>
    <w:rsid w:val="00E41C26"/>
    <w:rsid w:val="00E43402"/>
    <w:rsid w:val="00E47D35"/>
    <w:rsid w:val="00E50363"/>
    <w:rsid w:val="00E50AFE"/>
    <w:rsid w:val="00E608BA"/>
    <w:rsid w:val="00E75C92"/>
    <w:rsid w:val="00E771DC"/>
    <w:rsid w:val="00E8772A"/>
    <w:rsid w:val="00E90F6B"/>
    <w:rsid w:val="00E92C27"/>
    <w:rsid w:val="00EA0E3D"/>
    <w:rsid w:val="00EC38A7"/>
    <w:rsid w:val="00ED7CA8"/>
    <w:rsid w:val="00EE1AA8"/>
    <w:rsid w:val="00EE2036"/>
    <w:rsid w:val="00EE71DD"/>
    <w:rsid w:val="00F1012A"/>
    <w:rsid w:val="00F16580"/>
    <w:rsid w:val="00F23FEA"/>
    <w:rsid w:val="00F31EDC"/>
    <w:rsid w:val="00F34546"/>
    <w:rsid w:val="00F4514A"/>
    <w:rsid w:val="00F462B3"/>
    <w:rsid w:val="00F5664F"/>
    <w:rsid w:val="00F604C6"/>
    <w:rsid w:val="00F666C4"/>
    <w:rsid w:val="00F7295F"/>
    <w:rsid w:val="00F76AFC"/>
    <w:rsid w:val="00F827D6"/>
    <w:rsid w:val="00F91B2C"/>
    <w:rsid w:val="00F923D8"/>
    <w:rsid w:val="00FA47C0"/>
    <w:rsid w:val="00FA7683"/>
    <w:rsid w:val="00FB5DD1"/>
    <w:rsid w:val="00FC0501"/>
    <w:rsid w:val="00FC0739"/>
    <w:rsid w:val="00FC2B5D"/>
    <w:rsid w:val="00FC2C25"/>
    <w:rsid w:val="00FC34CE"/>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79E"/>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62A9"/>
    <w:rPr>
      <w:rFonts w:ascii="Geomanist Light" w:hAnsi="Geomanist Light"/>
      <w:lang w:val="es-ES"/>
    </w:rPr>
  </w:style>
  <w:style w:type="paragraph" w:customStyle="1" w:styleId="Appelnotedebasde">
    <w:name w:val="Appel note de bas de..."/>
    <w:basedOn w:val="Normal"/>
    <w:link w:val="Refdenotaalpie"/>
    <w:rsid w:val="00996D7C"/>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t">
    <w:name w:val="t"/>
    <w:basedOn w:val="Normal"/>
    <w:rsid w:val="001E4044"/>
    <w:pPr>
      <w:spacing w:before="320" w:after="200"/>
    </w:pPr>
    <w:rPr>
      <w:rFonts w:eastAsiaTheme="minorEastAsia"/>
      <w:b/>
      <w:bCs/>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83637072">
      <w:bodyDiv w:val="1"/>
      <w:marLeft w:val="0"/>
      <w:marRight w:val="0"/>
      <w:marTop w:val="0"/>
      <w:marBottom w:val="0"/>
      <w:divBdr>
        <w:top w:val="none" w:sz="0" w:space="0" w:color="auto"/>
        <w:left w:val="none" w:sz="0" w:space="0" w:color="auto"/>
        <w:bottom w:val="none" w:sz="0" w:space="0" w:color="auto"/>
        <w:right w:val="none" w:sz="0" w:space="0" w:color="auto"/>
      </w:divBdr>
      <w:divsChild>
        <w:div w:id="1441753570">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42818735">
      <w:bodyDiv w:val="1"/>
      <w:marLeft w:val="0"/>
      <w:marRight w:val="0"/>
      <w:marTop w:val="0"/>
      <w:marBottom w:val="0"/>
      <w:divBdr>
        <w:top w:val="none" w:sz="0" w:space="0" w:color="auto"/>
        <w:left w:val="none" w:sz="0" w:space="0" w:color="auto"/>
        <w:bottom w:val="none" w:sz="0" w:space="0" w:color="auto"/>
        <w:right w:val="none" w:sz="0" w:space="0" w:color="auto"/>
      </w:divBdr>
      <w:divsChild>
        <w:div w:id="1750687275">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55957905">
      <w:bodyDiv w:val="1"/>
      <w:marLeft w:val="0"/>
      <w:marRight w:val="0"/>
      <w:marTop w:val="0"/>
      <w:marBottom w:val="0"/>
      <w:divBdr>
        <w:top w:val="none" w:sz="0" w:space="0" w:color="auto"/>
        <w:left w:val="none" w:sz="0" w:space="0" w:color="auto"/>
        <w:bottom w:val="none" w:sz="0" w:space="0" w:color="auto"/>
        <w:right w:val="none" w:sz="0" w:space="0" w:color="auto"/>
      </w:divBdr>
      <w:divsChild>
        <w:div w:id="877618789">
          <w:marLeft w:val="0"/>
          <w:marRight w:val="0"/>
          <w:marTop w:val="0"/>
          <w:marBottom w:val="0"/>
          <w:divBdr>
            <w:top w:val="none" w:sz="0" w:space="0" w:color="auto"/>
            <w:left w:val="none" w:sz="0" w:space="0" w:color="auto"/>
            <w:bottom w:val="none" w:sz="0" w:space="0" w:color="auto"/>
            <w:right w:val="none" w:sz="0" w:space="0" w:color="auto"/>
          </w:divBdr>
        </w:div>
      </w:divsChild>
    </w:div>
    <w:div w:id="1615558992">
      <w:bodyDiv w:val="1"/>
      <w:marLeft w:val="0"/>
      <w:marRight w:val="0"/>
      <w:marTop w:val="0"/>
      <w:marBottom w:val="0"/>
      <w:divBdr>
        <w:top w:val="none" w:sz="0" w:space="0" w:color="auto"/>
        <w:left w:val="none" w:sz="0" w:space="0" w:color="auto"/>
        <w:bottom w:val="none" w:sz="0" w:space="0" w:color="auto"/>
        <w:right w:val="none" w:sz="0" w:space="0" w:color="auto"/>
      </w:divBdr>
      <w:divsChild>
        <w:div w:id="1210920001">
          <w:marLeft w:val="0"/>
          <w:marRight w:val="0"/>
          <w:marTop w:val="0"/>
          <w:marBottom w:val="0"/>
          <w:divBdr>
            <w:top w:val="none" w:sz="0" w:space="0" w:color="auto"/>
            <w:left w:val="none" w:sz="0" w:space="0" w:color="auto"/>
            <w:bottom w:val="none" w:sz="0" w:space="0" w:color="auto"/>
            <w:right w:val="none" w:sz="0" w:space="0" w:color="auto"/>
          </w:divBdr>
        </w:div>
      </w:divsChild>
    </w:div>
    <w:div w:id="1710568515">
      <w:bodyDiv w:val="1"/>
      <w:marLeft w:val="0"/>
      <w:marRight w:val="0"/>
      <w:marTop w:val="0"/>
      <w:marBottom w:val="0"/>
      <w:divBdr>
        <w:top w:val="none" w:sz="0" w:space="0" w:color="auto"/>
        <w:left w:val="none" w:sz="0" w:space="0" w:color="auto"/>
        <w:bottom w:val="none" w:sz="0" w:space="0" w:color="auto"/>
        <w:right w:val="none" w:sz="0" w:space="0" w:color="auto"/>
      </w:divBdr>
      <w:divsChild>
        <w:div w:id="1035740549">
          <w:marLeft w:val="0"/>
          <w:marRight w:val="0"/>
          <w:marTop w:val="0"/>
          <w:marBottom w:val="0"/>
          <w:divBdr>
            <w:top w:val="none" w:sz="0" w:space="0" w:color="auto"/>
            <w:left w:val="none" w:sz="0" w:space="0" w:color="auto"/>
            <w:bottom w:val="none" w:sz="0" w:space="0" w:color="auto"/>
            <w:right w:val="none" w:sz="0" w:space="0" w:color="auto"/>
          </w:divBdr>
        </w:div>
      </w:divsChild>
    </w:div>
    <w:div w:id="1892880105">
      <w:bodyDiv w:val="1"/>
      <w:marLeft w:val="0"/>
      <w:marRight w:val="0"/>
      <w:marTop w:val="0"/>
      <w:marBottom w:val="0"/>
      <w:divBdr>
        <w:top w:val="none" w:sz="0" w:space="0" w:color="auto"/>
        <w:left w:val="none" w:sz="0" w:space="0" w:color="auto"/>
        <w:bottom w:val="none" w:sz="0" w:space="0" w:color="auto"/>
        <w:right w:val="none" w:sz="0" w:space="0" w:color="auto"/>
      </w:divBdr>
      <w:divsChild>
        <w:div w:id="37994382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decreto_1333_1986_pr008.html" TargetMode="External"/><Relationship Id="rId18" Type="http://schemas.openxmlformats.org/officeDocument/2006/relationships/hyperlink" Target="https://relatoria.colombiacompra.gov.co/"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7" Type="http://schemas.openxmlformats.org/officeDocument/2006/relationships/settings" Target="settings.xml"/><Relationship Id="rId12" Type="http://schemas.openxmlformats.org/officeDocument/2006/relationships/hyperlink" Target="mailto:josedavidrg4@gmail.com" TargetMode="External"/><Relationship Id="rId17" Type="http://schemas.openxmlformats.org/officeDocument/2006/relationships/hyperlink" Target="https://www.colombiacompra.gov.co/archivos/manual/guia-para-la-contratacion-con-entidades-sin-animo-de-lucro-y-de-reconocida-idoneidad"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olombiacompra.gov.co/archivos/manual/guia-para-la-celebracion-de-convenios-solidarios" TargetMode="External"/><Relationship Id="rId20"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secretariasenado.gov.co/senado/basedoc/ley_0080_1993.html" TargetMode="Externa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decreto_1333_1986_pr008.html" TargetMode="External"/><Relationship Id="rId22"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9A2B2E-649A-41B1-9E9B-BF626DA5614C}"/>
</file>

<file path=customXml/itemProps2.xml><?xml version="1.0" encoding="utf-8"?>
<ds:datastoreItem xmlns:ds="http://schemas.openxmlformats.org/officeDocument/2006/customXml" ds:itemID="{C5E227E2-CC37-284B-882C-DF6AAAC6C2E0}">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37</Pages>
  <Words>13020</Words>
  <Characters>71613</Characters>
  <Application>Microsoft Office Word</Application>
  <DocSecurity>0</DocSecurity>
  <Lines>596</Lines>
  <Paragraphs>168</Paragraphs>
  <ScaleCrop>false</ScaleCrop>
  <Company/>
  <LinksUpToDate>false</LinksUpToDate>
  <CharactersWithSpaces>84465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49</cp:revision>
  <cp:lastPrinted>2023-01-10T21:18:00Z</cp:lastPrinted>
  <dcterms:created xsi:type="dcterms:W3CDTF">2026-10-22T02:42:00Z</dcterms:created>
  <dcterms:modified xsi:type="dcterms:W3CDTF">2026-10-22T02:46:00Z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ClassificationContentMarkingFooterShapeIds">
    <vt:lpwstr>5581a0f2,67b025cb,6425b2d0</vt:lpwstr>
  </property>
  <property fmtid="{D5CDD505-2E9C-101B-9397-08002B2CF9AE}" pid="5" name="ClassificationContentMarkingFooterFontProps">
    <vt:lpwstr>#000000,10,Aptos</vt:lpwstr>
  </property>
  <property fmtid="{D5CDD505-2E9C-101B-9397-08002B2CF9AE}" pid="6" name="ClassificationContentMarkingFooterText">
    <vt:lpwstr>Información Pública</vt:lpwstr>
  </property>
  <property fmtid="{D5CDD505-2E9C-101B-9397-08002B2CF9AE}" pid="7" name="MSIP_Label_a4b7c6c0-63aa-4c48-857c-972cf4a47d5d_Enabled">
    <vt:lpwstr>true</vt:lpwstr>
  </property>
  <property fmtid="{D5CDD505-2E9C-101B-9397-08002B2CF9AE}" pid="8" name="MSIP_Label_a4b7c6c0-63aa-4c48-857c-972cf4a47d5d_SetDate">
    <vt:lpwstr>2026-10-22T02:42:36Z</vt:lpwstr>
  </property>
  <property fmtid="{D5CDD505-2E9C-101B-9397-08002B2CF9AE}" pid="9" name="MSIP_Label_a4b7c6c0-63aa-4c48-857c-972cf4a47d5d_Method">
    <vt:lpwstr>Standard</vt:lpwstr>
  </property>
  <property fmtid="{D5CDD505-2E9C-101B-9397-08002B2CF9AE}" pid="10" name="MSIP_Label_a4b7c6c0-63aa-4c48-857c-972cf4a47d5d_Name">
    <vt:lpwstr>defa4170-0d19-0005-0001-bc88714345d2</vt:lpwstr>
  </property>
  <property fmtid="{D5CDD505-2E9C-101B-9397-08002B2CF9AE}" pid="11" name="MSIP_Label_a4b7c6c0-63aa-4c48-857c-972cf4a47d5d_SiteId">
    <vt:lpwstr>33fa6907-21c6-4126-aa66-bcbed95361bb</vt:lpwstr>
  </property>
  <property fmtid="{D5CDD505-2E9C-101B-9397-08002B2CF9AE}" pid="12" name="MSIP_Label_a4b7c6c0-63aa-4c48-857c-972cf4a47d5d_ActionId">
    <vt:lpwstr>7eb116d8-8658-416d-b8f7-f98a308f18ab</vt:lpwstr>
  </property>
  <property fmtid="{D5CDD505-2E9C-101B-9397-08002B2CF9AE}" pid="13" name="MSIP_Label_a4b7c6c0-63aa-4c48-857c-972cf4a47d5d_ContentBits">
    <vt:lpwstr>2</vt:lpwstr>
  </property>
  <property fmtid="{D5CDD505-2E9C-101B-9397-08002B2CF9AE}" pid="14" name="MSIP_Label_a4b7c6c0-63aa-4c48-857c-972cf4a47d5d_Tag">
    <vt:lpwstr>10, 3, 0, 1</vt:lpwstr>
  </property>
</Properties>
</file>