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E7469" w14:textId="77777777" w:rsidR="00F065BB" w:rsidRDefault="00F065BB" w:rsidP="00F065BB">
      <w:pPr>
        <w:spacing w:after="0"/>
        <w:jc w:val="both"/>
        <w:rPr>
          <w:rFonts w:ascii="Verdana" w:eastAsia="Verdana" w:hAnsi="Verdana" w:cs="Verdana"/>
          <w:b/>
          <w:bCs/>
          <w:lang w:val="es-ES"/>
        </w:rPr>
      </w:pPr>
      <w:r>
        <w:rPr>
          <w:rFonts w:ascii="Verdana" w:eastAsia="Verdana" w:hAnsi="Verdana" w:cs="Verdana"/>
          <w:b/>
          <w:bCs/>
          <w:lang w:val="es-ES"/>
        </w:rPr>
        <w:t xml:space="preserve">CONTRATOS Y CONVENIOS INTERADMINISTRATIVOS – Calidad de las partes – Entidades públicas </w:t>
      </w:r>
    </w:p>
    <w:p w14:paraId="4424E4C5" w14:textId="77777777" w:rsidR="00F065BB" w:rsidRDefault="00F065BB" w:rsidP="00F065BB">
      <w:pPr>
        <w:spacing w:after="0" w:line="240" w:lineRule="auto"/>
        <w:jc w:val="both"/>
        <w:rPr>
          <w:rFonts w:ascii="Verdana" w:eastAsia="Verdana" w:hAnsi="Verdana" w:cs="Verdana"/>
          <w:sz w:val="20"/>
          <w:szCs w:val="20"/>
          <w:lang w:val="es-ES"/>
        </w:rPr>
      </w:pPr>
    </w:p>
    <w:p w14:paraId="56692086"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1A118F0C" w14:textId="77777777" w:rsidR="00F065BB" w:rsidRDefault="00F065BB" w:rsidP="00F065BB">
      <w:pPr>
        <w:spacing w:after="0" w:line="240" w:lineRule="auto"/>
        <w:jc w:val="both"/>
        <w:rPr>
          <w:rFonts w:ascii="Verdana" w:eastAsia="Verdana" w:hAnsi="Verdana" w:cs="Verdana"/>
          <w:sz w:val="20"/>
          <w:szCs w:val="20"/>
        </w:rPr>
      </w:pPr>
    </w:p>
    <w:p w14:paraId="2EA97516"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 xml:space="preserve">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w:t>
      </w:r>
    </w:p>
    <w:p w14:paraId="35FD8989" w14:textId="77777777" w:rsidR="00F065BB" w:rsidRDefault="00F065BB" w:rsidP="00F065BB">
      <w:pPr>
        <w:spacing w:after="0"/>
        <w:jc w:val="both"/>
        <w:rPr>
          <w:rFonts w:ascii="Verdana" w:eastAsia="Verdana" w:hAnsi="Verdana" w:cs="Verdana"/>
          <w:b/>
          <w:bCs/>
        </w:rPr>
      </w:pPr>
    </w:p>
    <w:p w14:paraId="5A921D9E" w14:textId="77777777" w:rsidR="00F065BB" w:rsidRDefault="00F065BB" w:rsidP="00F065BB">
      <w:pPr>
        <w:spacing w:after="0"/>
        <w:jc w:val="both"/>
        <w:rPr>
          <w:rFonts w:ascii="Verdana" w:eastAsia="Verdana" w:hAnsi="Verdana" w:cs="Verdana"/>
          <w:b/>
          <w:bCs/>
          <w:lang w:val="es-ES"/>
        </w:rPr>
      </w:pPr>
      <w:r>
        <w:rPr>
          <w:rFonts w:ascii="Verdana" w:eastAsia="Verdana" w:hAnsi="Verdana" w:cs="Verdana"/>
          <w:b/>
          <w:bCs/>
          <w:lang w:val="es-ES"/>
        </w:rPr>
        <w:t xml:space="preserve">CONVENIOS INTERADMINISTRATIVOS – Noción – Diferencias – Contratos interadministrativos </w:t>
      </w:r>
    </w:p>
    <w:p w14:paraId="32870FDD" w14:textId="77777777" w:rsidR="00F065BB" w:rsidRDefault="00F065BB" w:rsidP="00F065BB">
      <w:pPr>
        <w:spacing w:after="0"/>
        <w:jc w:val="both"/>
        <w:rPr>
          <w:rFonts w:ascii="Verdana" w:eastAsia="Verdana" w:hAnsi="Verdana" w:cs="Verdana"/>
          <w:b/>
          <w:bCs/>
          <w:lang w:val="es-ES"/>
        </w:rPr>
      </w:pPr>
    </w:p>
    <w:p w14:paraId="0278667C"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El Consejo de Estado ha precisado que el convenio interadministrativo constituye un negocio jurídico de colaboración entre entidades públicas, orientado a articular capacidades, recursos y competencias institucionales para la consecución de fines comunes. Su esencia no radica en el intercambio de prestaciones propias del mercado, sino en la coordinación funcional y operativa entre organismos que comparten responsabilidades públicas y buscan optimizar el cumplimiento de sus objetivos misionales mediante actuaciones conjuntas.</w:t>
      </w:r>
    </w:p>
    <w:p w14:paraId="60004450" w14:textId="77777777" w:rsidR="00F065BB" w:rsidRDefault="00F065BB" w:rsidP="00F065BB">
      <w:pPr>
        <w:spacing w:after="0" w:line="240" w:lineRule="auto"/>
        <w:jc w:val="both"/>
        <w:rPr>
          <w:rFonts w:ascii="Verdana" w:eastAsia="Verdana" w:hAnsi="Verdana" w:cs="Verdana"/>
          <w:sz w:val="20"/>
          <w:szCs w:val="20"/>
        </w:rPr>
      </w:pPr>
    </w:p>
    <w:p w14:paraId="0549A3C9"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En contraste, el contrato interadministrativo se configura como un negocio jurídico con contenido prestacional, en el cual una entidad pública asume la posición de contratante y la otra la de contratista, generándose obligaciones recíprocas relacionadas con la entrega de bienes, la ejecución de obra</w:t>
      </w:r>
    </w:p>
    <w:p w14:paraId="751CFDA7"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s o la prestación de servicios. A diferencia del convenio, aquí no predomina la cooperación horizontal, sino una relación de carácter sinalagmático que se rige por las reglas propias de la contratación estatal y exige contraprestaciones claramente definidas entre las partes.</w:t>
      </w:r>
    </w:p>
    <w:p w14:paraId="743BF33D" w14:textId="77777777" w:rsidR="00F065BB" w:rsidRDefault="00F065BB" w:rsidP="00F065BB">
      <w:pPr>
        <w:spacing w:after="0" w:line="240" w:lineRule="auto"/>
        <w:jc w:val="both"/>
        <w:rPr>
          <w:rFonts w:ascii="Verdana" w:eastAsia="Verdana" w:hAnsi="Verdana" w:cs="Verdana"/>
          <w:sz w:val="20"/>
          <w:szCs w:val="20"/>
          <w:lang w:val="es-ES"/>
        </w:rPr>
      </w:pPr>
    </w:p>
    <w:p w14:paraId="3AEF69DD" w14:textId="77777777" w:rsidR="00F065BB" w:rsidRDefault="00F065BB" w:rsidP="00F065BB">
      <w:pPr>
        <w:spacing w:after="0" w:line="240" w:lineRule="auto"/>
        <w:jc w:val="both"/>
        <w:rPr>
          <w:rFonts w:ascii="Verdana" w:eastAsia="Verdana" w:hAnsi="Verdana" w:cs="Verdana"/>
          <w:b/>
          <w:bCs/>
          <w:lang w:val="es-ES"/>
        </w:rPr>
      </w:pPr>
      <w:r>
        <w:rPr>
          <w:rFonts w:ascii="Verdana" w:eastAsia="Verdana" w:hAnsi="Verdana" w:cs="Verdana"/>
          <w:b/>
          <w:bCs/>
          <w:lang w:val="es-ES"/>
        </w:rPr>
        <w:t xml:space="preserve">CONVENIOS INTERADMINISTRATIVOS – Cooperantes – Entidad ejecutora – Fines comunes </w:t>
      </w:r>
    </w:p>
    <w:p w14:paraId="0DBD231F" w14:textId="77777777" w:rsidR="00F065BB" w:rsidRDefault="00F065BB" w:rsidP="00F065BB">
      <w:pPr>
        <w:spacing w:after="0" w:line="240" w:lineRule="auto"/>
        <w:jc w:val="both"/>
        <w:rPr>
          <w:rFonts w:ascii="Verdana" w:eastAsia="Verdana" w:hAnsi="Verdana" w:cs="Verdana"/>
          <w:b/>
          <w:bCs/>
          <w:lang w:val="es-ES"/>
        </w:rPr>
      </w:pPr>
    </w:p>
    <w:p w14:paraId="2BF91BF4"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 xml:space="preserve">De igual manera, el convenio puede especificar la entidad o entidades ejecutoras, así como los costos directos, costos administrativos y demás erogaciones necesarias para </w:t>
      </w:r>
      <w:r>
        <w:rPr>
          <w:rFonts w:ascii="Verdana" w:eastAsia="Verdana" w:hAnsi="Verdana" w:cs="Verdana"/>
          <w:sz w:val="20"/>
          <w:szCs w:val="20"/>
        </w:rPr>
        <w:lastRenderedPageBreak/>
        <w:t xml:space="preserve">su desarrollo. La inclusión de estos aspectos no altera la naturaleza colaborativa del instrumento, sino que contribuye a su adecuada estructuración, planeación y control, garantizando claridad en la distribución de responsabilidades y en la gestión de los recursos públicos comprometidos. </w:t>
      </w:r>
      <w:r>
        <w:rPr>
          <w:rFonts w:ascii="Verdana" w:eastAsia="Verdana" w:hAnsi="Verdana" w:cs="Verdana"/>
          <w:sz w:val="20"/>
          <w:szCs w:val="20"/>
          <w:lang w:val="es-ES_tradnl"/>
        </w:rPr>
        <w:t xml:space="preserve">En esta línea, pueden estipularse convenios interadministrativos bajo la forma de una administración delegada sin el pacto de costos por concepto de honorarios, donde la entidad como actúa como administradora y ejecutora del convenio, como lo explicó en su momento la Agencia en el Concepto 1152 del 23 de septiembre de 2025. </w:t>
      </w:r>
    </w:p>
    <w:p w14:paraId="0EB22241" w14:textId="77777777" w:rsidR="00F065BB" w:rsidRDefault="00F065BB" w:rsidP="00F065BB">
      <w:pPr>
        <w:spacing w:after="0"/>
        <w:jc w:val="both"/>
        <w:rPr>
          <w:rFonts w:ascii="Verdana" w:eastAsia="Verdana" w:hAnsi="Verdana" w:cs="Verdana"/>
          <w:b/>
          <w:bCs/>
          <w:lang w:val="es-ES"/>
        </w:rPr>
      </w:pPr>
    </w:p>
    <w:p w14:paraId="62D8DD72" w14:textId="77777777" w:rsidR="00F065BB" w:rsidRDefault="00F065BB" w:rsidP="00F065BB">
      <w:pPr>
        <w:spacing w:after="0"/>
        <w:jc w:val="both"/>
        <w:rPr>
          <w:rFonts w:ascii="Verdana" w:eastAsia="Verdana" w:hAnsi="Verdana" w:cs="Verdana"/>
          <w:b/>
          <w:bCs/>
          <w:lang w:val="es-ES"/>
        </w:rPr>
      </w:pPr>
      <w:r>
        <w:rPr>
          <w:rFonts w:ascii="Verdana" w:eastAsia="Verdana" w:hAnsi="Verdana" w:cs="Verdana"/>
          <w:b/>
          <w:bCs/>
          <w:lang w:val="es-ES"/>
        </w:rPr>
        <w:t>LIQUIDACIÓN – Noción – Alcance</w:t>
      </w:r>
    </w:p>
    <w:p w14:paraId="34B44358" w14:textId="77777777" w:rsidR="00F065BB" w:rsidRDefault="00F065BB" w:rsidP="00F065BB">
      <w:pPr>
        <w:spacing w:after="0"/>
        <w:jc w:val="both"/>
        <w:rPr>
          <w:rFonts w:ascii="Verdana" w:eastAsia="Verdana" w:hAnsi="Verdana" w:cs="Verdana"/>
          <w:b/>
          <w:bCs/>
          <w:sz w:val="20"/>
          <w:szCs w:val="20"/>
          <w:lang w:val="es-ES"/>
        </w:rPr>
      </w:pPr>
    </w:p>
    <w:p w14:paraId="02885426" w14:textId="77777777" w:rsidR="00F065BB" w:rsidRDefault="00F065BB" w:rsidP="00F065BB">
      <w:pPr>
        <w:spacing w:after="0" w:line="240" w:lineRule="auto"/>
        <w:jc w:val="both"/>
        <w:rPr>
          <w:rFonts w:ascii="Verdana" w:eastAsia="Verdana" w:hAnsi="Verdana" w:cs="Verdana"/>
          <w:sz w:val="20"/>
          <w:szCs w:val="20"/>
          <w:lang w:val="es-ES"/>
        </w:rPr>
      </w:pPr>
      <w:r>
        <w:rPr>
          <w:rFonts w:ascii="Verdana" w:eastAsia="Verdana" w:hAnsi="Verdana" w:cs="Verdana"/>
          <w:sz w:val="20"/>
          <w:szCs w:val="2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 En armonía con lo anterior, la doctrina ha definido la liquidación de la siguiente manera:</w:t>
      </w:r>
    </w:p>
    <w:p w14:paraId="4310ECBA" w14:textId="77777777" w:rsidR="00F065BB" w:rsidRDefault="00F065BB" w:rsidP="00F065BB">
      <w:pPr>
        <w:spacing w:after="0" w:line="240" w:lineRule="auto"/>
        <w:jc w:val="both"/>
        <w:rPr>
          <w:rFonts w:ascii="Verdana" w:eastAsia="Verdana" w:hAnsi="Verdana" w:cs="Verdana"/>
          <w:sz w:val="20"/>
          <w:szCs w:val="20"/>
          <w:lang w:val="es-ES_tradnl"/>
        </w:rPr>
      </w:pPr>
      <w:r>
        <w:rPr>
          <w:rFonts w:ascii="Verdana" w:eastAsia="Verdana" w:hAnsi="Verdana" w:cs="Verdana"/>
          <w:sz w:val="20"/>
          <w:szCs w:val="20"/>
          <w:lang w:val="es-ES_tradnl"/>
        </w:rPr>
        <w:t>[…]</w:t>
      </w:r>
    </w:p>
    <w:p w14:paraId="7B567AE1" w14:textId="77777777" w:rsidR="00F065BB" w:rsidRDefault="00F065BB" w:rsidP="00F065BB">
      <w:pPr>
        <w:spacing w:after="0" w:line="240" w:lineRule="auto"/>
        <w:jc w:val="both"/>
        <w:rPr>
          <w:rFonts w:ascii="Verdana" w:eastAsia="Verdana" w:hAnsi="Verdana" w:cs="Verdana"/>
          <w:sz w:val="20"/>
          <w:szCs w:val="20"/>
          <w:lang w:val="es-ES"/>
        </w:rPr>
      </w:pPr>
      <w:r w:rsidRPr="7E143009">
        <w:rPr>
          <w:rFonts w:ascii="Verdana" w:eastAsia="Verdana" w:hAnsi="Verdana" w:cs="Verdana"/>
          <w:sz w:val="20"/>
          <w:szCs w:val="20"/>
          <w:lang w:val="es-ES"/>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7E143009">
        <w:rPr>
          <w:rFonts w:ascii="Verdana" w:eastAsia="Verdana" w:hAnsi="Verdana" w:cs="Verdana"/>
          <w:i/>
          <w:sz w:val="20"/>
          <w:szCs w:val="20"/>
          <w:lang w:val="es-ES"/>
        </w:rPr>
        <w:t>liquidar</w:t>
      </w:r>
      <w:r w:rsidRPr="7E143009">
        <w:rPr>
          <w:rFonts w:ascii="Verdana" w:eastAsia="Verdana" w:hAnsi="Verdana" w:cs="Verdana"/>
          <w:sz w:val="20"/>
          <w:szCs w:val="20"/>
          <w:lang w:val="es-ES"/>
        </w:rPr>
        <w:t xml:space="preserve"> supone un ajuste en relación con las cuentas y el estado de cumplimiento del contrato estatal y, por el otro, que la </w:t>
      </w:r>
      <w:r w:rsidRPr="7E143009">
        <w:rPr>
          <w:rFonts w:ascii="Verdana" w:eastAsia="Verdana" w:hAnsi="Verdana" w:cs="Verdana"/>
          <w:i/>
          <w:sz w:val="20"/>
          <w:szCs w:val="20"/>
          <w:lang w:val="es-ES"/>
        </w:rPr>
        <w:t>liquidación</w:t>
      </w:r>
      <w:r w:rsidRPr="7E143009">
        <w:rPr>
          <w:rFonts w:ascii="Verdana" w:eastAsia="Verdana" w:hAnsi="Verdana" w:cs="Verdana"/>
          <w:sz w:val="20"/>
          <w:szCs w:val="20"/>
          <w:lang w:val="es-ES"/>
        </w:rPr>
        <w:t xml:space="preserve"> debe incluir el análisis de las condiciones de calidad y oportunidad en la entrega de los bienes, obras o servicios, así como el balance económico y el comportamiento financiero del negocio.</w:t>
      </w:r>
    </w:p>
    <w:p w14:paraId="3FB4FC61" w14:textId="77777777" w:rsidR="00F065BB" w:rsidRDefault="00F065BB" w:rsidP="00F065BB">
      <w:pPr>
        <w:spacing w:after="0"/>
        <w:jc w:val="both"/>
        <w:rPr>
          <w:rFonts w:ascii="Verdana" w:eastAsia="Verdana" w:hAnsi="Verdana" w:cs="Verdana"/>
          <w:b/>
          <w:bCs/>
          <w:lang w:val="es-ES"/>
        </w:rPr>
      </w:pPr>
    </w:p>
    <w:p w14:paraId="1D42EBC8" w14:textId="77777777" w:rsidR="00F065BB" w:rsidRDefault="00F065BB" w:rsidP="00F065BB">
      <w:pPr>
        <w:spacing w:after="0"/>
        <w:jc w:val="both"/>
        <w:rPr>
          <w:rFonts w:ascii="Verdana" w:eastAsia="Verdana" w:hAnsi="Verdana" w:cs="Verdana"/>
          <w:b/>
          <w:bCs/>
          <w:lang w:val="es-ES"/>
        </w:rPr>
      </w:pPr>
      <w:r>
        <w:rPr>
          <w:rFonts w:ascii="Verdana" w:eastAsia="Verdana" w:hAnsi="Verdana" w:cs="Verdana"/>
          <w:b/>
          <w:bCs/>
          <w:lang w:val="es-ES"/>
        </w:rPr>
        <w:t xml:space="preserve">CONVENIOS INTERADMINISTRATIVOS – Autonomía – Límites – </w:t>
      </w:r>
      <w:r>
        <w:rPr>
          <w:rFonts w:ascii="Verdana" w:eastAsia="Verdana" w:hAnsi="Verdana" w:cs="Verdana"/>
          <w:b/>
          <w:bCs/>
        </w:rPr>
        <w:t>Restricciones sobre el vencimiento del plazo del convenio</w:t>
      </w:r>
      <w:r>
        <w:rPr>
          <w:rFonts w:ascii="Verdana" w:eastAsia="Verdana" w:hAnsi="Verdana" w:cs="Verdana"/>
          <w:b/>
          <w:bCs/>
          <w:lang w:val="es-ES"/>
        </w:rPr>
        <w:t xml:space="preserve"> </w:t>
      </w:r>
    </w:p>
    <w:p w14:paraId="2B5C29A1" w14:textId="77777777" w:rsidR="00F065BB" w:rsidRDefault="00F065BB" w:rsidP="00F065BB">
      <w:pPr>
        <w:spacing w:after="0" w:line="240" w:lineRule="auto"/>
        <w:jc w:val="both"/>
        <w:rPr>
          <w:rFonts w:ascii="Verdana" w:eastAsia="Verdana" w:hAnsi="Verdana" w:cs="Verdana"/>
          <w:lang w:val="es-ES"/>
        </w:rPr>
      </w:pPr>
    </w:p>
    <w:p w14:paraId="09B5D464"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En este contexto, cuando ocurre el vencimiento del plazo del convenio interadministrativo no genera la extinción de las obligaciones derivadas del convenio, ni impide que las entidades adopten actuaciones administrativas orientadas a reconocer prestaciones ya causadas. Dado que el convenio se rige por la autonomía de la voluntad de las partes, corresponde en el clausulado determinar si, una vez vencido el plazo, es posible expedir actas parciales de pago, adelantar gestiones de cierre financiero o adoptar decisiones administrativas para atender obligaciones derivadas del contrato de obra pública que está ejecutando la entidad pública cooperante que tiene la calidad de ejecutora. En ausencia de una prohibición expresa, el vencimiento del plazo no impide reconocer actividades ejecutadas dentro de la vigencia del convenio, pues ello responde a la necesidad de garantizar la adecuada administración de los recursos públicos comprometidos.</w:t>
      </w:r>
    </w:p>
    <w:p w14:paraId="1FA1BE12" w14:textId="77777777" w:rsidR="00F065BB" w:rsidRDefault="00F065BB" w:rsidP="00F065BB">
      <w:pPr>
        <w:spacing w:after="0" w:line="240" w:lineRule="auto"/>
        <w:jc w:val="both"/>
        <w:rPr>
          <w:rFonts w:ascii="Verdana" w:eastAsia="Verdana" w:hAnsi="Verdana" w:cs="Verdana"/>
        </w:rPr>
      </w:pPr>
    </w:p>
    <w:p w14:paraId="1B0585CB" w14:textId="77777777" w:rsidR="00F065BB" w:rsidRDefault="00F065BB" w:rsidP="00F065BB">
      <w:pPr>
        <w:spacing w:after="0" w:line="240" w:lineRule="auto"/>
        <w:jc w:val="both"/>
        <w:rPr>
          <w:rFonts w:ascii="Verdana" w:eastAsia="Verdana" w:hAnsi="Verdana" w:cs="Verdana"/>
          <w:sz w:val="20"/>
          <w:szCs w:val="20"/>
        </w:rPr>
      </w:pPr>
      <w:r>
        <w:rPr>
          <w:rFonts w:ascii="Verdana" w:eastAsia="Verdana" w:hAnsi="Verdana" w:cs="Verdana"/>
          <w:sz w:val="20"/>
          <w:szCs w:val="20"/>
        </w:rPr>
        <w:t xml:space="preserve">Ahora bien, el alcance de estas actuaciones debe diferenciarse del régimen aplicable al contrato de obra pública, que está sometido al régimen de la entidad ejecutora, ya sea el Estatuto General de Contratación o el régimen especial correspondiente. En este punto </w:t>
      </w:r>
      <w:r>
        <w:rPr>
          <w:rFonts w:ascii="Verdana" w:eastAsia="Verdana" w:hAnsi="Verdana" w:cs="Verdana"/>
          <w:sz w:val="20"/>
          <w:szCs w:val="20"/>
        </w:rPr>
        <w:lastRenderedPageBreak/>
        <w:t>conviene precisar que el acta parcial de pago no es un acto de liquidación —ni del convenio ni del contrato—, sino un instrumento propio de la fase de ejecución del contrato de obra, mediante el cual la entidad reconoce y paga las cantidades efectivamente ejecutadas conforme a la metodología de remuneración pactada. Por ello, su procedencia no depende de que el convenio interadministrativo esté o no liquidado: mientras existan prestaciones ejecutadas y debidamente soportadas, y exista respaldo presupuestal para atenderlas, el acta parcial se tramita bajo el régimen del contrato de obra con independencia del estado en que se encuentre el ciclo de cierre del convenio. La liquidación del convenio y la liquidación del contrato de obra son actuaciones distintas —con partes, régimen y finalidad diferentes— que no deben confundirse ni subordinarse la una a la otra. Las obligaciones causadas en el contrato —actas parciales, informes de avance, reconocimientos económicos, ajustes o revisiones derivadas de la ejecución— pueden y deben formalizarse conforme a su propio régimen jurídico, incluso si el convenio que soporta la financiación ha vencido.</w:t>
      </w:r>
    </w:p>
    <w:p w14:paraId="3DEA7AA3" w14:textId="77777777" w:rsidR="00F065BB" w:rsidRDefault="00F065BB" w:rsidP="00F065BB">
      <w:pPr>
        <w:spacing w:after="0"/>
        <w:jc w:val="both"/>
        <w:rPr>
          <w:rFonts w:ascii="Verdana" w:eastAsia="Verdana" w:hAnsi="Verdana" w:cs="Verdana"/>
          <w:b/>
          <w:bCs/>
        </w:rPr>
      </w:pPr>
    </w:p>
    <w:p w14:paraId="676F9A67" w14:textId="77777777" w:rsidR="00F065BB" w:rsidRDefault="00F065BB" w:rsidP="00F065BB">
      <w:pPr>
        <w:spacing w:after="0"/>
        <w:jc w:val="both"/>
        <w:rPr>
          <w:rFonts w:ascii="Verdana" w:eastAsia="Verdana" w:hAnsi="Verdana" w:cs="Verdana"/>
          <w:b/>
          <w:bCs/>
        </w:rPr>
      </w:pPr>
      <w:r>
        <w:rPr>
          <w:rFonts w:ascii="Verdana" w:eastAsia="Verdana" w:hAnsi="Verdana" w:cs="Verdana"/>
          <w:b/>
          <w:bCs/>
          <w:lang w:val="es-ES"/>
        </w:rPr>
        <w:t xml:space="preserve">CONVENIOS INTERADMINISTRATIVOS – </w:t>
      </w:r>
      <w:r>
        <w:rPr>
          <w:rFonts w:ascii="Verdana" w:eastAsia="Verdana" w:hAnsi="Verdana" w:cs="Verdana"/>
          <w:b/>
          <w:bCs/>
        </w:rPr>
        <w:t xml:space="preserve">Restricciones </w:t>
      </w:r>
      <w:r>
        <w:rPr>
          <w:rFonts w:ascii="Verdana" w:eastAsia="Verdana" w:hAnsi="Verdana" w:cs="Verdana"/>
          <w:b/>
          <w:bCs/>
          <w:lang w:val="es-ES"/>
        </w:rPr>
        <w:t>–</w:t>
      </w:r>
      <w:r>
        <w:rPr>
          <w:rFonts w:ascii="Verdana" w:eastAsia="Verdana" w:hAnsi="Verdana" w:cs="Verdana"/>
          <w:b/>
          <w:bCs/>
        </w:rPr>
        <w:t xml:space="preserve"> Relación entre convenio y contrato derivado</w:t>
      </w:r>
    </w:p>
    <w:p w14:paraId="3F833D6E" w14:textId="77777777" w:rsidR="00F065BB" w:rsidRDefault="00F065BB" w:rsidP="00F065BB">
      <w:pPr>
        <w:spacing w:after="0"/>
        <w:jc w:val="both"/>
        <w:rPr>
          <w:rFonts w:ascii="Verdana" w:eastAsia="Verdana" w:hAnsi="Verdana" w:cs="Verdana"/>
          <w:b/>
          <w:bCs/>
        </w:rPr>
      </w:pPr>
    </w:p>
    <w:p w14:paraId="28D880E6" w14:textId="77777777" w:rsidR="00F065BB" w:rsidRDefault="00F065BB" w:rsidP="00F065BB">
      <w:pPr>
        <w:tabs>
          <w:tab w:val="left" w:pos="7851"/>
        </w:tabs>
        <w:spacing w:after="0" w:line="240" w:lineRule="auto"/>
        <w:jc w:val="both"/>
        <w:rPr>
          <w:rFonts w:ascii="Verdana" w:eastAsiaTheme="minorEastAsia" w:hAnsi="Verdana" w:cs="Arial"/>
          <w:sz w:val="20"/>
          <w:szCs w:val="20"/>
          <w:lang w:eastAsia="es-CO"/>
        </w:rPr>
      </w:pPr>
      <w:r w:rsidRPr="00E11E13">
        <w:rPr>
          <w:rFonts w:ascii="Verdana" w:eastAsiaTheme="minorEastAsia" w:hAnsi="Verdana" w:cs="Arial"/>
          <w:sz w:val="20"/>
          <w:szCs w:val="20"/>
          <w:lang w:eastAsia="es-CO"/>
        </w:rPr>
        <w:t>En este sentido, la relación entre convenio y contrato debe entenderse como complementaria y funcional, nunca como una subordinación. El convenio interadministrativo —al no estar sujeto al Estatuto General de Contratación— se rige por la autonomía de la voluntad de las partes, de modo que sus cláusulas, su ejecución, su terminación, su liquidación y su cierre financiero dependen de lo pactado entre las entidades cooperantes. Los contratos derivados, por su parte, debe cumplir su propio ciclo contractual conforme al régimen aplicable, sin que las estipulaciones del convenio puedan alterar su naturaleza, sus obligaciones o sus efectos jurídicos. En todo caso, es pertinente señalar que las contingencias que surjan durante la ejecución, terminación o liquidación del contrato derivado pueden repercutir en el cierre y liquidación del convenio interadministrativo. En efecto, cuando el convenio incorpora obligaciones de reporte, hitos de ejecución, condiciones de desembolso o reglas de cierre financiero vinculadas al avance o culminación del contrato derivado, cualquier variación contractual —retrasos, modificaciones, prórrogas, incumplimientos o ajustes presupuestales— puede incidir en el cumplimiento de las obligaciones interadministrativas.</w:t>
      </w:r>
    </w:p>
    <w:p w14:paraId="14D5CC87" w14:textId="77777777" w:rsidR="00F065BB" w:rsidRDefault="00F065BB" w:rsidP="00F065BB">
      <w:pPr>
        <w:tabs>
          <w:tab w:val="left" w:pos="7851"/>
        </w:tabs>
        <w:spacing w:after="0" w:line="240" w:lineRule="auto"/>
        <w:jc w:val="both"/>
        <w:rPr>
          <w:rFonts w:ascii="Verdana" w:eastAsiaTheme="minorEastAsia" w:hAnsi="Verdana" w:cs="Arial"/>
          <w:sz w:val="20"/>
          <w:szCs w:val="20"/>
          <w:lang w:eastAsia="es-CO"/>
        </w:rPr>
      </w:pPr>
    </w:p>
    <w:p w14:paraId="691409C4" w14:textId="77777777" w:rsidR="00F065BB" w:rsidRDefault="00F065BB" w:rsidP="00F065BB">
      <w:pPr>
        <w:spacing w:after="0" w:line="240" w:lineRule="auto"/>
        <w:rPr>
          <w:rFonts w:ascii="Verdana" w:eastAsia="Geomanist Light" w:hAnsi="Verdana" w:cs="Arial"/>
          <w:color w:val="000000" w:themeColor="text1"/>
          <w:lang w:val="es-MX"/>
        </w:rPr>
      </w:pPr>
    </w:p>
    <w:p w14:paraId="40C7A348" w14:textId="77777777" w:rsidR="00F065BB" w:rsidRDefault="00F065BB" w:rsidP="00F065BB">
      <w:pPr>
        <w:spacing w:after="0" w:line="240" w:lineRule="auto"/>
        <w:rPr>
          <w:rFonts w:ascii="Verdana" w:eastAsia="Geomanist Light" w:hAnsi="Verdana" w:cs="Arial"/>
          <w:color w:val="000000" w:themeColor="text1"/>
          <w:lang w:val="es-MX"/>
        </w:rPr>
      </w:pPr>
    </w:p>
    <w:p w14:paraId="45CFDD65" w14:textId="77777777" w:rsidR="00F065BB" w:rsidRDefault="00F065BB" w:rsidP="00F065BB">
      <w:pPr>
        <w:spacing w:after="0" w:line="240" w:lineRule="auto"/>
        <w:rPr>
          <w:rFonts w:ascii="Verdana" w:eastAsia="Geomanist Light" w:hAnsi="Verdana" w:cs="Arial"/>
          <w:color w:val="000000" w:themeColor="text1"/>
          <w:lang w:val="es-MX"/>
        </w:rPr>
      </w:pPr>
    </w:p>
    <w:p w14:paraId="526D362B" w14:textId="77777777" w:rsidR="00F065BB" w:rsidRDefault="00F065BB" w:rsidP="00F065BB">
      <w:pPr>
        <w:spacing w:after="0" w:line="240" w:lineRule="auto"/>
        <w:rPr>
          <w:rFonts w:ascii="Verdana" w:eastAsia="Geomanist Light" w:hAnsi="Verdana" w:cs="Arial"/>
          <w:color w:val="000000" w:themeColor="text1"/>
          <w:lang w:val="es-MX"/>
        </w:rPr>
      </w:pPr>
    </w:p>
    <w:p w14:paraId="42C3FE97" w14:textId="77777777" w:rsidR="00F065BB" w:rsidRDefault="00F065BB" w:rsidP="00F065BB">
      <w:pPr>
        <w:spacing w:after="0" w:line="240" w:lineRule="auto"/>
        <w:rPr>
          <w:rFonts w:ascii="Verdana" w:eastAsia="Geomanist Light" w:hAnsi="Verdana" w:cs="Arial"/>
          <w:color w:val="000000" w:themeColor="text1"/>
          <w:lang w:val="es-MX"/>
        </w:rPr>
      </w:pPr>
    </w:p>
    <w:p w14:paraId="740AC111" w14:textId="77777777" w:rsidR="00F065BB" w:rsidRDefault="00F065BB" w:rsidP="00F065BB">
      <w:pPr>
        <w:spacing w:after="0" w:line="240" w:lineRule="auto"/>
        <w:rPr>
          <w:rFonts w:ascii="Verdana" w:eastAsia="Geomanist Light" w:hAnsi="Verdana" w:cs="Arial"/>
          <w:color w:val="000000" w:themeColor="text1"/>
          <w:lang w:val="es-MX"/>
        </w:rPr>
      </w:pPr>
    </w:p>
    <w:p w14:paraId="5B9D9DB0" w14:textId="77777777" w:rsidR="00F065BB" w:rsidRDefault="00F065BB" w:rsidP="00F065BB">
      <w:pPr>
        <w:spacing w:after="0" w:line="240" w:lineRule="auto"/>
        <w:rPr>
          <w:rFonts w:ascii="Verdana" w:eastAsia="Geomanist Light" w:hAnsi="Verdana" w:cs="Arial"/>
          <w:color w:val="000000" w:themeColor="text1"/>
          <w:lang w:val="es-MX"/>
        </w:rPr>
      </w:pPr>
    </w:p>
    <w:p w14:paraId="48B75429" w14:textId="77777777" w:rsidR="00F065BB" w:rsidRDefault="00F065BB" w:rsidP="00F065BB">
      <w:pPr>
        <w:spacing w:after="0" w:line="240" w:lineRule="auto"/>
        <w:rPr>
          <w:rFonts w:ascii="Verdana" w:eastAsia="Geomanist Light" w:hAnsi="Verdana" w:cs="Arial"/>
          <w:color w:val="000000" w:themeColor="text1"/>
          <w:lang w:val="es-MX"/>
        </w:rPr>
      </w:pPr>
    </w:p>
    <w:p w14:paraId="3C247FF6" w14:textId="77777777" w:rsidR="00F065BB" w:rsidRDefault="00F065BB" w:rsidP="00F065BB">
      <w:pPr>
        <w:spacing w:after="0" w:line="240" w:lineRule="auto"/>
        <w:rPr>
          <w:rFonts w:ascii="Verdana" w:eastAsia="Geomanist Light" w:hAnsi="Verdana" w:cs="Arial"/>
          <w:color w:val="000000" w:themeColor="text1"/>
          <w:lang w:val="es-MX"/>
        </w:rPr>
      </w:pPr>
    </w:p>
    <w:p w14:paraId="5F4DDCC1" w14:textId="77777777" w:rsidR="00F065BB" w:rsidRDefault="00F065BB" w:rsidP="00F065BB">
      <w:pPr>
        <w:spacing w:after="0" w:line="240" w:lineRule="auto"/>
        <w:rPr>
          <w:rFonts w:ascii="Verdana" w:eastAsia="Geomanist Light" w:hAnsi="Verdana" w:cs="Arial"/>
          <w:color w:val="000000" w:themeColor="text1"/>
          <w:lang w:val="es-MX"/>
        </w:rPr>
      </w:pPr>
    </w:p>
    <w:p w14:paraId="491AB087" w14:textId="0BB573DF" w:rsidR="00F065BB" w:rsidRPr="00593A5F" w:rsidRDefault="00F065BB" w:rsidP="00F065B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w:t>
      </w:r>
      <w:r>
        <w:rPr>
          <w:rFonts w:ascii="Verdana" w:eastAsia="Geomanist Light" w:hAnsi="Verdana" w:cs="Arial"/>
          <w:color w:val="000000" w:themeColor="text1"/>
          <w:lang w:val="es-MX"/>
        </w:rPr>
        <w:t xml:space="preserve"> </w:t>
      </w:r>
      <w:r w:rsidR="000F64FB">
        <w:rPr>
          <w:rFonts w:ascii="Verdana" w:eastAsia="Geomanist Light" w:hAnsi="Verdana" w:cs="Arial"/>
          <w:color w:val="201F1E"/>
        </w:rPr>
        <w:t>14 de octubre de 2026</w:t>
      </w:r>
    </w:p>
    <w:p w14:paraId="1FF311C6" w14:textId="1754CE5E" w:rsidR="00F065BB" w:rsidRDefault="000F64FB" w:rsidP="000F64FB">
      <w:pPr>
        <w:spacing w:after="0" w:line="240" w:lineRule="auto"/>
        <w:jc w:val="right"/>
        <w:rPr>
          <w:rFonts w:ascii="Verdana" w:eastAsia="Calibri" w:hAnsi="Verdana" w:cs="Arial"/>
          <w:color w:val="000000"/>
          <w:lang w:val="es-ES"/>
        </w:rPr>
      </w:pPr>
      <w:r w:rsidRPr="000F64FB">
        <w:rPr>
          <w:rFonts w:ascii="Verdana" w:eastAsia="Calibri" w:hAnsi="Verdana" w:cs="Arial"/>
          <w:noProof/>
          <w:color w:val="000000"/>
          <w:lang w:val="es-ES"/>
        </w:rPr>
        <w:drawing>
          <wp:anchor distT="0" distB="0" distL="114300" distR="114300" simplePos="0" relativeHeight="251658240" behindDoc="0" locked="0" layoutInCell="1" allowOverlap="1" wp14:anchorId="21665425" wp14:editId="73BBF455">
            <wp:simplePos x="0" y="0"/>
            <wp:positionH relativeFrom="column">
              <wp:posOffset>3324225</wp:posOffset>
            </wp:positionH>
            <wp:positionV relativeFrom="paragraph">
              <wp:posOffset>-2540</wp:posOffset>
            </wp:positionV>
            <wp:extent cx="2278380" cy="739140"/>
            <wp:effectExtent l="0" t="0" r="7620" b="3810"/>
            <wp:wrapSquare wrapText="bothSides"/>
            <wp:docPr id="2143096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8380" cy="739140"/>
                    </a:xfrm>
                    <a:prstGeom prst="rect">
                      <a:avLst/>
                    </a:prstGeom>
                    <a:noFill/>
                    <a:ln>
                      <a:noFill/>
                    </a:ln>
                  </pic:spPr>
                </pic:pic>
              </a:graphicData>
            </a:graphic>
          </wp:anchor>
        </w:drawing>
      </w:r>
    </w:p>
    <w:p w14:paraId="4AFD8D87" w14:textId="77777777" w:rsidR="00F065BB" w:rsidRDefault="00F065BB" w:rsidP="00F065BB">
      <w:pPr>
        <w:spacing w:after="0" w:line="240" w:lineRule="auto"/>
        <w:jc w:val="right"/>
        <w:rPr>
          <w:rFonts w:ascii="Verdana" w:eastAsia="Calibri" w:hAnsi="Verdana" w:cs="Arial"/>
          <w:color w:val="000000"/>
          <w:lang w:val="es-ES"/>
        </w:rPr>
      </w:pPr>
    </w:p>
    <w:p w14:paraId="7C2B6183" w14:textId="77777777" w:rsidR="00F065BB" w:rsidRPr="00B96799" w:rsidRDefault="00F065BB" w:rsidP="00F065BB">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2748C6E4" w14:textId="77777777" w:rsidR="00F065BB" w:rsidRDefault="00F065BB" w:rsidP="00F065BB">
      <w:pPr>
        <w:spacing w:after="0" w:line="240" w:lineRule="auto"/>
        <w:rPr>
          <w:rFonts w:ascii="Verdana" w:eastAsia="Calibri" w:hAnsi="Verdana" w:cs="Arial"/>
          <w:b/>
          <w:lang w:eastAsia="es-ES_tradnl"/>
        </w:rPr>
      </w:pPr>
      <w:r w:rsidRPr="00244F9A">
        <w:rPr>
          <w:rFonts w:ascii="Verdana" w:eastAsia="Calibri" w:hAnsi="Verdana" w:cs="Arial"/>
          <w:b/>
          <w:lang w:eastAsia="es-ES_tradnl"/>
        </w:rPr>
        <w:t xml:space="preserve">Diana Carolina Bolaño Pedreros </w:t>
      </w:r>
    </w:p>
    <w:p w14:paraId="2E02ECAD" w14:textId="77777777" w:rsidR="00F065BB" w:rsidRPr="006A0856" w:rsidRDefault="00F065BB" w:rsidP="00F065BB">
      <w:pPr>
        <w:spacing w:after="0" w:line="240" w:lineRule="auto"/>
        <w:rPr>
          <w:rFonts w:ascii="Verdana" w:eastAsia="Calibri" w:hAnsi="Verdana" w:cs="Arial"/>
          <w:bCs/>
          <w:lang w:eastAsia="es-ES_tradnl"/>
        </w:rPr>
      </w:pPr>
      <w:r w:rsidRPr="006A0856">
        <w:rPr>
          <w:rFonts w:ascii="Verdana" w:eastAsia="Calibri" w:hAnsi="Verdana" w:cs="Arial"/>
          <w:bCs/>
          <w:lang w:eastAsia="es-ES_tradnl"/>
        </w:rPr>
        <w:t>Jefe de Oficina Jurídica</w:t>
      </w:r>
    </w:p>
    <w:p w14:paraId="413E6624" w14:textId="77777777" w:rsidR="00F065BB" w:rsidRPr="006A0856" w:rsidRDefault="00F065BB" w:rsidP="00F065BB">
      <w:pPr>
        <w:spacing w:after="0" w:line="240" w:lineRule="auto"/>
        <w:rPr>
          <w:rFonts w:ascii="Verdana" w:eastAsia="Calibri" w:hAnsi="Verdana" w:cs="Arial"/>
          <w:bCs/>
          <w:lang w:eastAsia="es-ES_tradnl"/>
        </w:rPr>
      </w:pPr>
      <w:r w:rsidRPr="006A0856">
        <w:rPr>
          <w:rFonts w:ascii="Verdana" w:eastAsia="Calibri" w:hAnsi="Verdana" w:cs="Arial"/>
          <w:bCs/>
          <w:lang w:eastAsia="es-ES_tradnl"/>
        </w:rPr>
        <w:t>Subred Integrada De Servicios De Salud Centro Oriente E.S.E</w:t>
      </w:r>
    </w:p>
    <w:p w14:paraId="11E13CE3" w14:textId="77777777" w:rsidR="00F065BB" w:rsidRPr="00590689" w:rsidRDefault="00F065BB" w:rsidP="00F065BB">
      <w:pPr>
        <w:spacing w:after="0" w:line="240" w:lineRule="auto"/>
        <w:rPr>
          <w:rFonts w:ascii="Verdana" w:eastAsia="Calibri" w:hAnsi="Verdana" w:cs="Arial"/>
          <w:bCs/>
          <w:lang w:eastAsia="es-ES_tradnl"/>
        </w:rPr>
      </w:pPr>
      <w:hyperlink r:id="rId12" w:history="1">
        <w:r w:rsidRPr="006676E0">
          <w:rPr>
            <w:rStyle w:val="Hipervnculo"/>
            <w:rFonts w:ascii="Verdana" w:eastAsia="Calibri" w:hAnsi="Verdana" w:cs="Arial"/>
            <w:bCs/>
            <w:lang w:val="es-ES_tradnl" w:eastAsia="es-ES_tradnl"/>
          </w:rPr>
          <w:t>notificacionesjudiciales@subredcentrooriente.gov.co</w:t>
        </w:r>
      </w:hyperlink>
      <w:r>
        <w:rPr>
          <w:rFonts w:ascii="Verdana" w:eastAsia="Calibri" w:hAnsi="Verdana" w:cs="Arial"/>
          <w:bCs/>
          <w:lang w:val="es-ES_tradnl" w:eastAsia="es-ES_tradnl"/>
        </w:rPr>
        <w:t xml:space="preserve"> </w:t>
      </w:r>
    </w:p>
    <w:p w14:paraId="08E980B9" w14:textId="77777777" w:rsidR="00F065BB" w:rsidRPr="00DC6C3C" w:rsidRDefault="00F065BB" w:rsidP="00F065BB">
      <w:pPr>
        <w:spacing w:after="0" w:line="240" w:lineRule="auto"/>
        <w:rPr>
          <w:rFonts w:ascii="Verdana" w:eastAsia="Calibri" w:hAnsi="Verdana" w:cs="Arial"/>
          <w:lang w:val="es-ES" w:eastAsia="es-ES"/>
        </w:rPr>
      </w:pPr>
      <w:r>
        <w:rPr>
          <w:rFonts w:ascii="Verdana" w:hAnsi="Verdana"/>
        </w:rPr>
        <w:t>Bogotá D.C</w:t>
      </w:r>
      <w:r w:rsidRPr="00DC6C3C">
        <w:rPr>
          <w:rFonts w:ascii="Verdana" w:hAnsi="Verdana"/>
        </w:rPr>
        <w:t xml:space="preserve"> </w:t>
      </w:r>
    </w:p>
    <w:p w14:paraId="00FBEBCA" w14:textId="77777777" w:rsidR="00F065BB" w:rsidRPr="00593A5F" w:rsidRDefault="00F065BB" w:rsidP="00F065BB">
      <w:pPr>
        <w:spacing w:after="0" w:line="240" w:lineRule="auto"/>
        <w:rPr>
          <w:rFonts w:ascii="Verdana" w:eastAsia="Calibri" w:hAnsi="Verdana" w:cs="Arial"/>
          <w:b/>
          <w:bCs/>
          <w:color w:val="000000"/>
          <w:lang w:val="es-ES_tradnl" w:eastAsia="es-ES_tradnl"/>
        </w:rPr>
      </w:pPr>
    </w:p>
    <w:p w14:paraId="5B9148CC" w14:textId="77777777" w:rsidR="00F065BB" w:rsidRPr="00593A5F" w:rsidRDefault="00F065BB" w:rsidP="00F065B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065BB" w:rsidRPr="00593A5F" w14:paraId="51C8A66E" w14:textId="77777777" w:rsidTr="00BB1D31">
        <w:trPr>
          <w:trHeight w:val="884"/>
        </w:trPr>
        <w:tc>
          <w:tcPr>
            <w:tcW w:w="2689" w:type="dxa"/>
          </w:tcPr>
          <w:p w14:paraId="6FA29E96" w14:textId="77777777" w:rsidR="00F065BB" w:rsidRPr="00C00976" w:rsidRDefault="00F065BB" w:rsidP="00BB1D31">
            <w:pPr>
              <w:jc w:val="both"/>
              <w:rPr>
                <w:rFonts w:ascii="Verdana" w:eastAsia="Calibri" w:hAnsi="Verdana" w:cs="Arial"/>
                <w:b/>
                <w:bCs/>
                <w:color w:val="7030A0"/>
                <w:lang w:val="es-ES_tradnl" w:eastAsia="es-ES_tradnl"/>
              </w:rPr>
            </w:pPr>
          </w:p>
        </w:tc>
        <w:tc>
          <w:tcPr>
            <w:tcW w:w="6100" w:type="dxa"/>
          </w:tcPr>
          <w:p w14:paraId="4CAADC0C" w14:textId="77777777" w:rsidR="00F065BB" w:rsidRPr="00C00976" w:rsidRDefault="00F065BB" w:rsidP="00BB1D31">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 xml:space="preserve">-1443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F065BB" w:rsidRPr="00593A5F" w14:paraId="3D6954F7" w14:textId="77777777" w:rsidTr="00BB1D31">
        <w:trPr>
          <w:trHeight w:val="884"/>
        </w:trPr>
        <w:tc>
          <w:tcPr>
            <w:tcW w:w="2689" w:type="dxa"/>
          </w:tcPr>
          <w:p w14:paraId="19A59D49" w14:textId="77777777" w:rsidR="00F065BB" w:rsidRPr="00593A5F" w:rsidRDefault="00F065BB" w:rsidP="00BB1D3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18FAC66" w14:textId="77777777" w:rsidR="00F065BB" w:rsidRPr="00A11406" w:rsidRDefault="00F065BB" w:rsidP="00BB1D31">
            <w:pPr>
              <w:spacing w:line="276" w:lineRule="auto"/>
              <w:jc w:val="both"/>
              <w:rPr>
                <w:rFonts w:ascii="Verdana" w:eastAsia="Calibri" w:hAnsi="Verdana" w:cs="Arial"/>
                <w:lang w:val="es-ES" w:eastAsia="es-ES"/>
              </w:rPr>
            </w:pPr>
            <w:r>
              <w:rPr>
                <w:rFonts w:ascii="Verdana" w:hAnsi="Verdana" w:cs="Arial"/>
                <w:lang w:val="es-ES" w:eastAsia="es-ES"/>
              </w:rPr>
              <w:t xml:space="preserve">CONTRATOS Y CONVENIOS INTERADMINISTRATIVOS – Calidad de las partes – Entidades públicas / CONVENIOS INTERADMINISTRATIVOS – Noción – Diferencias – Contratos interadministrativos / CONVENIOS INTERADMINISTRATIVOS – Cooperantes – Entidad ejecutora / LIQUIDACIÓN – Noción – Alcance / CONVENIOS INTERADMINISTRATIVOS – Autonomía – Límites - </w:t>
            </w:r>
            <w:r>
              <w:rPr>
                <w:rFonts w:ascii="Verdana" w:hAnsi="Verdana" w:cs="Arial"/>
                <w:lang w:eastAsia="es-ES"/>
              </w:rPr>
              <w:t>Restricciones sobre el vencimiento del plazo del convenio</w:t>
            </w:r>
            <w:r>
              <w:rPr>
                <w:rFonts w:ascii="Verdana" w:hAnsi="Verdana" w:cs="Arial"/>
                <w:lang w:val="es-ES" w:eastAsia="es-ES"/>
              </w:rPr>
              <w:t xml:space="preserve"> / CONVENIOS INTERADMINISTRATIVOS – </w:t>
            </w:r>
            <w:r>
              <w:rPr>
                <w:rFonts w:ascii="Verdana" w:hAnsi="Verdana" w:cs="Arial"/>
                <w:lang w:eastAsia="es-ES"/>
              </w:rPr>
              <w:t xml:space="preserve">Restricciones- Relación entre convenio y contrato derivado </w:t>
            </w:r>
          </w:p>
          <w:p w14:paraId="7FD58557" w14:textId="77777777" w:rsidR="00F065BB" w:rsidRPr="00593A5F" w:rsidRDefault="00F065BB" w:rsidP="00BB1D31">
            <w:pPr>
              <w:spacing w:line="276" w:lineRule="auto"/>
              <w:jc w:val="both"/>
              <w:rPr>
                <w:rFonts w:ascii="Verdana" w:eastAsia="Calibri" w:hAnsi="Verdana" w:cs="Arial"/>
                <w:lang w:val="es-ES" w:eastAsia="es-ES"/>
              </w:rPr>
            </w:pP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F065BB" w:rsidRPr="008E6AD9" w14:paraId="282C66E2" w14:textId="77777777" w:rsidTr="00BB1D31">
        <w:tc>
          <w:tcPr>
            <w:tcW w:w="2689" w:type="dxa"/>
          </w:tcPr>
          <w:p w14:paraId="0CED5E93" w14:textId="77777777" w:rsidR="00F065BB" w:rsidRPr="008E6AD9" w:rsidRDefault="00F065BB" w:rsidP="00BB1D3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951F4E3" w14:textId="77777777" w:rsidR="00F065BB" w:rsidRPr="00B92340" w:rsidRDefault="00F065BB" w:rsidP="00BB1D31">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4D61E2">
              <w:rPr>
                <w:rFonts w:ascii="Verdana" w:eastAsia="Calibri" w:hAnsi="Verdana" w:cs="Arial"/>
                <w:lang w:val="es-ES_tradnl" w:eastAsia="es-ES_tradnl"/>
              </w:rPr>
              <w:t>1_2026_09_14_012227</w:t>
            </w:r>
            <w:r>
              <w:rPr>
                <w:rFonts w:ascii="Verdana" w:eastAsia="Calibri" w:hAnsi="Verdana" w:cs="Arial"/>
                <w:lang w:val="es-ES_tradnl" w:eastAsia="es-ES_tradnl"/>
              </w:rPr>
              <w:t xml:space="preserve">                                  </w:t>
            </w:r>
          </w:p>
        </w:tc>
      </w:tr>
    </w:tbl>
    <w:p w14:paraId="4A73AB57" w14:textId="77777777" w:rsidR="00F065BB" w:rsidRPr="00593A5F" w:rsidRDefault="00F065BB" w:rsidP="00F065BB">
      <w:pPr>
        <w:spacing w:after="0" w:line="240" w:lineRule="auto"/>
        <w:jc w:val="both"/>
        <w:rPr>
          <w:rFonts w:ascii="Verdana" w:eastAsia="Calibri" w:hAnsi="Verdana" w:cs="Arial"/>
          <w:color w:val="000000"/>
          <w:lang w:val="es-ES_tradnl" w:eastAsia="es-ES_tradnl"/>
        </w:rPr>
      </w:pPr>
    </w:p>
    <w:p w14:paraId="52810E22" w14:textId="77777777" w:rsidR="00F065BB" w:rsidRPr="00593A5F" w:rsidRDefault="00F065BB" w:rsidP="00F065BB">
      <w:pPr>
        <w:spacing w:after="0" w:line="240" w:lineRule="auto"/>
        <w:jc w:val="both"/>
        <w:rPr>
          <w:rFonts w:ascii="Verdana" w:eastAsia="Calibri" w:hAnsi="Verdana" w:cs="Arial"/>
          <w:color w:val="000000"/>
          <w:lang w:val="es-ES_tradnl" w:eastAsia="es-ES_tradnl"/>
        </w:rPr>
      </w:pPr>
    </w:p>
    <w:p w14:paraId="3C080CE9" w14:textId="77777777" w:rsidR="00F065BB" w:rsidRPr="008E6AD9" w:rsidRDefault="00F065BB" w:rsidP="00F065B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Bolaño</w:t>
      </w:r>
      <w:r w:rsidRPr="008E6AD9">
        <w:rPr>
          <w:rFonts w:ascii="Verdana" w:eastAsia="Calibri" w:hAnsi="Verdana" w:cs="Arial"/>
          <w:lang w:val="es-ES" w:eastAsia="es-ES"/>
        </w:rPr>
        <w:t xml:space="preserve">: </w:t>
      </w:r>
    </w:p>
    <w:p w14:paraId="1BE42954" w14:textId="77777777" w:rsidR="00F065BB" w:rsidRDefault="00F065BB" w:rsidP="00F065B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B123776" w14:textId="77777777" w:rsidR="00F065BB" w:rsidRPr="00593A5F" w:rsidRDefault="00F065BB" w:rsidP="00F065B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14 de septiembre de 2026, donde solicita conceptuar sobre los siguientes aspectos</w:t>
      </w:r>
      <w:r w:rsidRPr="008E6AD9">
        <w:rPr>
          <w:rFonts w:ascii="Verdana" w:eastAsia="Calibri" w:hAnsi="Verdana" w:cs="Arial"/>
          <w:lang w:val="es-ES" w:eastAsia="es-ES"/>
        </w:rPr>
        <w:t xml:space="preserve">: </w:t>
      </w:r>
    </w:p>
    <w:p w14:paraId="24E66955" w14:textId="77777777" w:rsidR="00F065BB" w:rsidRPr="00272A7B" w:rsidRDefault="00F065BB" w:rsidP="00F065BB">
      <w:pPr>
        <w:pStyle w:val="Prrafodelista"/>
        <w:tabs>
          <w:tab w:val="left" w:pos="142"/>
          <w:tab w:val="left" w:pos="284"/>
        </w:tabs>
        <w:spacing w:after="0" w:line="276" w:lineRule="auto"/>
        <w:ind w:left="0"/>
        <w:jc w:val="both"/>
        <w:rPr>
          <w:rFonts w:ascii="Verdana" w:eastAsia="Century Gothic" w:hAnsi="Verdana" w:cs="Century Gothic"/>
          <w:b/>
          <w:bCs/>
        </w:rPr>
      </w:pPr>
    </w:p>
    <w:p w14:paraId="3663B5F3" w14:textId="77777777" w:rsidR="00F065BB" w:rsidRPr="008A0E03" w:rsidRDefault="00F065BB" w:rsidP="00F065BB">
      <w:pPr>
        <w:spacing w:after="120" w:line="240" w:lineRule="auto"/>
        <w:ind w:left="709" w:right="709"/>
        <w:jc w:val="both"/>
        <w:rPr>
          <w:rFonts w:ascii="Verdana" w:eastAsia="Century Gothic" w:hAnsi="Verdana" w:cs="Century Gothic"/>
          <w:sz w:val="20"/>
          <w:szCs w:val="20"/>
          <w:lang w:val="es-ES"/>
        </w:rPr>
      </w:pPr>
      <w:bookmarkStart w:id="0" w:name="_Hlk95313578"/>
      <w:r w:rsidRPr="008A0E03">
        <w:rPr>
          <w:rFonts w:ascii="Verdana" w:eastAsia="Century Gothic" w:hAnsi="Verdana" w:cs="Century Gothic"/>
          <w:sz w:val="20"/>
          <w:szCs w:val="20"/>
          <w:lang w:val="es-ES"/>
        </w:rPr>
        <w:t>“</w:t>
      </w:r>
      <w:bookmarkEnd w:id="0"/>
      <w:r w:rsidRPr="008A0E03">
        <w:rPr>
          <w:rFonts w:ascii="Verdana" w:eastAsia="Century Gothic" w:hAnsi="Verdana" w:cs="Century Gothic"/>
          <w:sz w:val="20"/>
          <w:szCs w:val="20"/>
          <w:lang w:val="es-ES"/>
        </w:rPr>
        <w:t>(…)</w:t>
      </w:r>
    </w:p>
    <w:p w14:paraId="2A47FD7A" w14:textId="77777777" w:rsidR="00F065BB" w:rsidRDefault="00F065BB" w:rsidP="00F065BB">
      <w:pPr>
        <w:spacing w:after="120" w:line="240" w:lineRule="auto"/>
        <w:ind w:left="709" w:right="709"/>
        <w:jc w:val="both"/>
        <w:rPr>
          <w:rFonts w:ascii="Verdana" w:hAnsi="Verdana"/>
          <w:sz w:val="20"/>
          <w:szCs w:val="20"/>
        </w:rPr>
      </w:pPr>
      <w:r w:rsidRPr="008A0E03">
        <w:rPr>
          <w:rFonts w:ascii="Verdana" w:hAnsi="Verdana"/>
          <w:sz w:val="20"/>
          <w:szCs w:val="20"/>
        </w:rPr>
        <w:t xml:space="preserve">II. PROBLEMA JURÍDICO </w:t>
      </w:r>
    </w:p>
    <w:p w14:paraId="26D3EEC3" w14:textId="77777777" w:rsidR="00F065BB" w:rsidRPr="008A0E03" w:rsidRDefault="00F065BB" w:rsidP="00F065BB">
      <w:pPr>
        <w:spacing w:after="120" w:line="240" w:lineRule="auto"/>
        <w:ind w:left="709" w:right="709"/>
        <w:jc w:val="both"/>
        <w:rPr>
          <w:rFonts w:ascii="Verdana" w:hAnsi="Verdana"/>
          <w:sz w:val="20"/>
          <w:szCs w:val="20"/>
        </w:rPr>
      </w:pPr>
      <w:r w:rsidRPr="008A0E03">
        <w:rPr>
          <w:rFonts w:ascii="Verdana" w:hAnsi="Verdana"/>
          <w:sz w:val="20"/>
          <w:szCs w:val="20"/>
        </w:rPr>
        <w:t xml:space="preserve">¿La autonomía jurídica del convenio interadministrativo y de los contratos derivados celebrados para su ejecución permite que, aun cuando estos últimos se encuentren siniestrados o sometidos a litigio, las partes puedan reactivar, terminar y liquidar el convenio interadministrativo, hasta tanto i) sea superada la circunstancia que motivó su suspensión o </w:t>
      </w:r>
      <w:proofErr w:type="spellStart"/>
      <w:r w:rsidRPr="008A0E03">
        <w:rPr>
          <w:rFonts w:ascii="Verdana" w:hAnsi="Verdana"/>
          <w:sz w:val="20"/>
          <w:szCs w:val="20"/>
        </w:rPr>
        <w:t>ii</w:t>
      </w:r>
      <w:proofErr w:type="spellEnd"/>
      <w:r w:rsidRPr="008A0E03">
        <w:rPr>
          <w:rFonts w:ascii="Verdana" w:hAnsi="Verdana"/>
          <w:sz w:val="20"/>
          <w:szCs w:val="20"/>
        </w:rPr>
        <w:t>) cuando se configure la pérdida de su objeto, sin que resulte necesario esperar la terminación del proceso judicial ni constituir dentro de los recursos del convenio una provisión específica para atender eventuales condenas derivadas de los contratos independientes, aun cuando las reglas presupuestales distritales dispongan que los gastos derivados de decisiones judiciales originadas en proyectos de inversión deben atenderse con cargo al mismo rubro o proyecto que originó la obligación principal?</w:t>
      </w:r>
    </w:p>
    <w:p w14:paraId="2B7B8695" w14:textId="77777777" w:rsidR="00F065BB" w:rsidRPr="008A0E03" w:rsidRDefault="00F065BB" w:rsidP="00F065BB">
      <w:pPr>
        <w:spacing w:after="0" w:line="276" w:lineRule="auto"/>
        <w:ind w:firstLine="709"/>
        <w:jc w:val="both"/>
        <w:rPr>
          <w:rFonts w:ascii="Verdana" w:hAnsi="Verdana"/>
          <w:sz w:val="20"/>
          <w:szCs w:val="20"/>
        </w:rPr>
      </w:pPr>
      <w:r w:rsidRPr="008A0E03">
        <w:rPr>
          <w:rFonts w:ascii="Verdana" w:hAnsi="Verdana"/>
          <w:sz w:val="20"/>
          <w:szCs w:val="20"/>
        </w:rPr>
        <w:t>(…)”</w:t>
      </w:r>
    </w:p>
    <w:p w14:paraId="3CE6D081" w14:textId="77777777" w:rsidR="00F065BB" w:rsidRPr="00481B98" w:rsidRDefault="00F065BB" w:rsidP="00F065BB">
      <w:pPr>
        <w:spacing w:after="0" w:line="276" w:lineRule="auto"/>
        <w:ind w:firstLine="709"/>
        <w:jc w:val="both"/>
        <w:rPr>
          <w:rFonts w:ascii="Verdana" w:eastAsia="Calibri" w:hAnsi="Verdana" w:cs="Arial"/>
          <w:color w:val="000000"/>
          <w:lang w:eastAsia="es-ES"/>
        </w:rPr>
      </w:pPr>
    </w:p>
    <w:p w14:paraId="7DD9BE8D" w14:textId="77777777" w:rsidR="00F065BB" w:rsidRPr="00A652FF" w:rsidRDefault="00F065BB" w:rsidP="00F065B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5701153" w14:textId="77777777" w:rsidR="00F065BB" w:rsidRDefault="00F065BB" w:rsidP="00F065B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755586B" w14:textId="77777777" w:rsidR="00F065BB" w:rsidRPr="00593A5F" w:rsidRDefault="00F065BB" w:rsidP="00F065BB">
      <w:pPr>
        <w:spacing w:after="0" w:line="276" w:lineRule="auto"/>
        <w:ind w:firstLine="709"/>
        <w:jc w:val="both"/>
        <w:rPr>
          <w:rFonts w:ascii="Verdana" w:eastAsia="Calibri" w:hAnsi="Verdana" w:cs="Arial"/>
          <w:color w:val="000000"/>
          <w:lang w:val="es-ES" w:eastAsia="es-ES"/>
        </w:rPr>
      </w:pPr>
    </w:p>
    <w:p w14:paraId="002DF4B7" w14:textId="77777777" w:rsidR="00F065BB" w:rsidRPr="00593A5F" w:rsidRDefault="00F065BB" w:rsidP="00F065B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E11BCE9" w14:textId="77777777" w:rsidR="00F065BB" w:rsidRPr="00593A5F" w:rsidRDefault="00F065BB" w:rsidP="00F065BB">
      <w:pPr>
        <w:tabs>
          <w:tab w:val="left" w:pos="426"/>
        </w:tabs>
        <w:spacing w:after="0" w:line="276" w:lineRule="auto"/>
        <w:jc w:val="both"/>
        <w:rPr>
          <w:rFonts w:ascii="Verdana" w:eastAsia="Century Gothic" w:hAnsi="Verdana" w:cs="Century Gothic"/>
          <w:lang w:val="es-ES"/>
        </w:rPr>
      </w:pPr>
    </w:p>
    <w:p w14:paraId="09892BD6" w14:textId="6510B923" w:rsidR="00F065BB" w:rsidRPr="00F83C5D" w:rsidRDefault="00F065BB" w:rsidP="00F065BB">
      <w:pPr>
        <w:spacing w:after="0" w:line="276" w:lineRule="auto"/>
        <w:jc w:val="both"/>
        <w:rPr>
          <w:rFonts w:ascii="Verdana" w:hAnsi="Verdana"/>
        </w:rPr>
      </w:pPr>
      <w:r w:rsidRPr="00906BE9">
        <w:rPr>
          <w:rFonts w:ascii="Verdana" w:eastAsia="Century Gothic" w:hAnsi="Verdana" w:cs="Century Gothic"/>
        </w:rPr>
        <w:lastRenderedPageBreak/>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w:t>
      </w:r>
      <w:r>
        <w:rPr>
          <w:rFonts w:ascii="Verdana" w:hAnsi="Verdana"/>
        </w:rPr>
        <w:t>i) ¿</w:t>
      </w:r>
      <w:r>
        <w:rPr>
          <w:rFonts w:ascii="Verdana" w:eastAsia="Calibri" w:hAnsi="Verdana" w:cs="Times New Roman"/>
        </w:rPr>
        <w:t xml:space="preserve">Cuál es la naturaleza y el alcance de </w:t>
      </w:r>
      <w:r w:rsidRPr="007B0913">
        <w:rPr>
          <w:rFonts w:ascii="Verdana" w:eastAsia="Calibri" w:hAnsi="Verdana" w:cs="Times New Roman"/>
        </w:rPr>
        <w:t>la relación entre un convenio interadministrativo y los contratos específicos celebrados para desarrollar su objeto, y cómo</w:t>
      </w:r>
      <w:r>
        <w:rPr>
          <w:rFonts w:ascii="Verdana" w:eastAsia="Calibri" w:hAnsi="Verdana" w:cs="Times New Roman"/>
        </w:rPr>
        <w:t xml:space="preserve"> debe comprenderse dicha relación en términos de autonomía contractual, funcionalidad, ejecución, terminación, liquidación y cierre financiero?, y en este sentido </w:t>
      </w:r>
      <w:proofErr w:type="spellStart"/>
      <w:r>
        <w:rPr>
          <w:rFonts w:ascii="Verdana" w:hAnsi="Verdana"/>
        </w:rPr>
        <w:t>ii</w:t>
      </w:r>
      <w:proofErr w:type="spellEnd"/>
      <w:r>
        <w:rPr>
          <w:rFonts w:ascii="Verdana" w:hAnsi="Verdana"/>
        </w:rPr>
        <w:t xml:space="preserve">) </w:t>
      </w:r>
      <w:r w:rsidRPr="00CE5A96">
        <w:rPr>
          <w:rFonts w:ascii="Verdana" w:hAnsi="Verdana"/>
        </w:rPr>
        <w:t>¿Es jurídicamente procedente liquidar el convenio interadministrativo de manera independiente a los convenios o contratos derivados de su ejecución cuando estos se encuentran pendientes de liquidación o de resolución de controversias judiciales</w:t>
      </w:r>
      <w:r>
        <w:rPr>
          <w:rFonts w:ascii="Verdana" w:hAnsi="Verdana"/>
        </w:rPr>
        <w:t>?</w:t>
      </w:r>
    </w:p>
    <w:p w14:paraId="6E6375E6" w14:textId="77777777" w:rsidR="00F065BB" w:rsidRPr="004B140F" w:rsidRDefault="00F065BB" w:rsidP="00F065BB">
      <w:pPr>
        <w:spacing w:after="0" w:line="276" w:lineRule="auto"/>
        <w:jc w:val="both"/>
        <w:rPr>
          <w:rFonts w:ascii="Verdana" w:eastAsia="Calibri" w:hAnsi="Verdana" w:cs="Arial"/>
          <w:color w:val="7030A0"/>
        </w:rPr>
      </w:pPr>
    </w:p>
    <w:p w14:paraId="78AEEB7E" w14:textId="77777777" w:rsidR="00F065BB" w:rsidRPr="00593A5F" w:rsidRDefault="00F065BB" w:rsidP="00F065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98D3330" w14:textId="77777777" w:rsidR="00F065BB" w:rsidRPr="00593A5F" w:rsidRDefault="00F065BB" w:rsidP="00F065B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065BB" w:rsidRPr="00593A5F" w14:paraId="12315D8A" w14:textId="77777777" w:rsidTr="00BB1D31">
        <w:trPr>
          <w:jc w:val="center"/>
        </w:trPr>
        <w:tc>
          <w:tcPr>
            <w:tcW w:w="8828" w:type="dxa"/>
          </w:tcPr>
          <w:p w14:paraId="68F1A05C" w14:textId="77777777" w:rsidR="00F065BB" w:rsidRDefault="00F065BB" w:rsidP="00BB1D31">
            <w:pPr>
              <w:spacing w:after="120" w:line="276" w:lineRule="auto"/>
              <w:jc w:val="both"/>
              <w:rPr>
                <w:rFonts w:ascii="Verdana" w:hAnsi="Verdana" w:cs="Arial"/>
                <w:lang w:eastAsia="es-ES"/>
              </w:rPr>
            </w:pPr>
            <w:bookmarkStart w:id="1" w:name="_Hlk171694685"/>
            <w:r>
              <w:rPr>
                <w:rFonts w:ascii="Verdana" w:hAnsi="Verdana" w:cs="Arial"/>
                <w:lang w:eastAsia="es-ES"/>
              </w:rPr>
              <w:t>i. El convenio interadministrativo y los contratos derivados celebrados para desarrollar su objeto son negocios jurídicos autónomos, cuya relación es complementaria y funcional, nunca de subordinación. El convenio no se rige por el Estatuto General de Contratación de la Administración Pública, sino por la autonomía de la voluntad de las entidades cooperantes (artículo 95 de la Ley 489 de 1998), de modo que su contenido, alcance, ejecución, terminación, liquidación y cierre financiero dependen de lo pactado. Cuando su objeto incluye soportar unos contratos derivados como el obra, consultoría o interventoría a cargo de una de las partes, esta adquiere la calidad de entidad cooperante ejecutora. Los contratos derivados que dicha entidad celebre,</w:t>
            </w:r>
            <w:r w:rsidRPr="007C692A">
              <w:rPr>
                <w:rFonts w:ascii="Verdana" w:hAnsi="Verdana" w:cs="Arial"/>
                <w:lang w:eastAsia="es-ES"/>
              </w:rPr>
              <w:t xml:space="preserve"> </w:t>
            </w:r>
            <w:r w:rsidRPr="007B0913">
              <w:rPr>
                <w:rFonts w:ascii="Verdana" w:hAnsi="Verdana" w:cs="Arial"/>
                <w:lang w:eastAsia="es-ES"/>
              </w:rPr>
              <w:t>en cambio, se rigen por el régimen jurídico que le sea propio</w:t>
            </w:r>
            <w:r>
              <w:rPr>
                <w:rFonts w:ascii="Verdana" w:hAnsi="Verdana" w:cs="Arial"/>
                <w:lang w:eastAsia="es-ES"/>
              </w:rPr>
              <w:t xml:space="preserve"> —el Estatuto General de Contratación si está sometida a él, o el régimen especial correspondiente, sin perjuicio de los principios de la función administrativa, la gestión fiscal, el régimen de inhabilidades e incompatibilidades y el deber de publicidad en SECOP II— y cumple su propio ciclo contractual conforme a normas imperativas.</w:t>
            </w:r>
          </w:p>
          <w:p w14:paraId="18A1E727" w14:textId="77777777" w:rsidR="00F065BB" w:rsidRDefault="00F065BB" w:rsidP="00BB1D31">
            <w:pPr>
              <w:spacing w:after="120" w:line="276" w:lineRule="auto"/>
              <w:ind w:firstLine="709"/>
              <w:jc w:val="both"/>
              <w:rPr>
                <w:rFonts w:ascii="Verdana" w:hAnsi="Verdana" w:cs="Arial"/>
                <w:lang w:eastAsia="es-ES"/>
              </w:rPr>
            </w:pPr>
            <w:r>
              <w:rPr>
                <w:rFonts w:ascii="Verdana" w:hAnsi="Verdana" w:cs="Arial"/>
                <w:lang w:eastAsia="es-ES"/>
              </w:rPr>
              <w:t xml:space="preserve">En consecuencia, las estipulaciones del convenio —aportes, hitos, mecanismos de seguimiento— no sustituyen ni modifican el régimen de los contratos derivados ni sus reglas sobre responsabilidad, supervisión, interventoría, modificación, terminación y liquidación. Ahora bien, esa autonomía no impide que las contingencias del contrato (retrasos, prórrogas, modificaciones, incumplimientos o ajustes presupuestales) repercutan en el cierre y liquidación del convenio cuando este incorpora obligaciones de reporte, condiciones de desembolso o reglas de cierre vinculadas al avance del </w:t>
            </w:r>
            <w:r>
              <w:rPr>
                <w:rFonts w:ascii="Verdana" w:hAnsi="Verdana" w:cs="Arial"/>
                <w:lang w:eastAsia="es-ES"/>
              </w:rPr>
              <w:lastRenderedPageBreak/>
              <w:t>contrato; de ahí la necesidad de articular ambos instrumentos y prever mecanismos de coordinación y contingencia. Finalmente, debe distinguirse la liquidación de cada negocio: la del convenio es, por regla general, bilateral y se rige por lo pactado, sin que proceda la liquidación unilateral, pues el régimen paritario de la cooperación excluye el traslado automático de potestades exorbitantes propias de los contratos estatales; la del contrato derivado, por su parte, se rige por su propio régimen (artículo 60 de la Ley 80 de 1993 y artículo 11 de la Ley 1150 de 2007, cuando aplica el Estatuto).</w:t>
            </w:r>
          </w:p>
          <w:p w14:paraId="162D9511" w14:textId="77777777" w:rsidR="00F065BB" w:rsidRDefault="00F065BB" w:rsidP="00BB1D31">
            <w:pPr>
              <w:spacing w:after="120" w:line="276" w:lineRule="auto"/>
              <w:jc w:val="both"/>
              <w:rPr>
                <w:rFonts w:ascii="Verdana" w:hAnsi="Verdana" w:cs="Arial"/>
                <w:lang w:eastAsia="es-ES"/>
              </w:rPr>
            </w:pPr>
            <w:proofErr w:type="spellStart"/>
            <w:r>
              <w:rPr>
                <w:rFonts w:ascii="Verdana" w:hAnsi="Verdana" w:cs="Arial"/>
                <w:lang w:eastAsia="es-ES"/>
              </w:rPr>
              <w:t>ii</w:t>
            </w:r>
            <w:proofErr w:type="spellEnd"/>
            <w:r>
              <w:rPr>
                <w:rFonts w:ascii="Verdana" w:hAnsi="Verdana" w:cs="Arial"/>
                <w:lang w:eastAsia="es-ES"/>
              </w:rPr>
              <w:t xml:space="preserve">. </w:t>
            </w:r>
            <w:r w:rsidRPr="00686D8E">
              <w:rPr>
                <w:rFonts w:ascii="Verdana" w:hAnsi="Verdana" w:cs="Arial"/>
                <w:lang w:eastAsia="es-ES"/>
              </w:rPr>
              <w:t>La procedencia de</w:t>
            </w:r>
            <w:r w:rsidRPr="00982A5F">
              <w:rPr>
                <w:rFonts w:ascii="Verdana" w:eastAsia="Times New Roman" w:hAnsi="Verdana" w:cs="Arial"/>
                <w:color w:val="000000"/>
              </w:rPr>
              <w:t xml:space="preserve"> la </w:t>
            </w:r>
            <w:r>
              <w:rPr>
                <w:rFonts w:ascii="Verdana" w:eastAsia="Times New Roman" w:hAnsi="Verdana" w:cs="Arial"/>
                <w:color w:val="000000"/>
              </w:rPr>
              <w:t xml:space="preserve">reactivación, terminación </w:t>
            </w:r>
            <w:r w:rsidRPr="00982A5F">
              <w:rPr>
                <w:rFonts w:ascii="Verdana" w:eastAsia="Times New Roman" w:hAnsi="Verdana" w:cs="Arial"/>
                <w:color w:val="000000"/>
              </w:rPr>
              <w:t>y liquidación</w:t>
            </w:r>
            <w:r w:rsidRPr="00686D8E">
              <w:rPr>
                <w:rFonts w:ascii="Verdana" w:hAnsi="Verdana" w:cs="Arial"/>
                <w:lang w:eastAsia="es-ES"/>
              </w:rPr>
              <w:t xml:space="preserve"> </w:t>
            </w:r>
            <w:r>
              <w:rPr>
                <w:rFonts w:ascii="Verdana" w:hAnsi="Verdana" w:cs="Arial"/>
                <w:lang w:eastAsia="es-ES"/>
              </w:rPr>
              <w:t>d</w:t>
            </w:r>
            <w:r w:rsidRPr="00686D8E">
              <w:rPr>
                <w:rFonts w:ascii="Verdana" w:hAnsi="Verdana" w:cs="Arial"/>
                <w:lang w:eastAsia="es-ES"/>
              </w:rPr>
              <w:t>el convenio interadministrativo debe determinarse a partir de las estipulaciones pactadas, la naturaleza de las obligaciones asumidas y el estado de ejecución de los negocios jurídicos vinculados. En particular, debe verificarse si el convenio condicionó su liquidación a la terminación o liquidación previa de los instrumentos derivados, o si existen obligaciones pendientes que impidan establecer de manera definitiva el balance de su ejecución.</w:t>
            </w:r>
          </w:p>
          <w:p w14:paraId="6DBC751B" w14:textId="77777777" w:rsidR="00F065BB" w:rsidRDefault="00F065BB" w:rsidP="00BB1D31">
            <w:pPr>
              <w:spacing w:after="120" w:line="276" w:lineRule="auto"/>
              <w:ind w:firstLine="743"/>
              <w:jc w:val="both"/>
              <w:rPr>
                <w:rFonts w:ascii="Verdana" w:hAnsi="Verdana" w:cs="Arial"/>
                <w:lang w:eastAsia="es-ES"/>
              </w:rPr>
            </w:pPr>
            <w:r w:rsidRPr="00686D8E">
              <w:rPr>
                <w:rFonts w:ascii="Verdana" w:hAnsi="Verdana" w:cs="Arial"/>
                <w:lang w:eastAsia="es-ES"/>
              </w:rPr>
              <w:t>La existencia de controversias judiciales no impide, por sí sola, adelantar la liquidación del convenio</w:t>
            </w:r>
            <w:r>
              <w:rPr>
                <w:rFonts w:ascii="Verdana" w:hAnsi="Verdana" w:cs="Arial"/>
                <w:lang w:eastAsia="es-ES"/>
              </w:rPr>
              <w:t>, s</w:t>
            </w:r>
            <w:r w:rsidRPr="00686D8E">
              <w:rPr>
                <w:rFonts w:ascii="Verdana" w:hAnsi="Verdana" w:cs="Arial"/>
                <w:lang w:eastAsia="es-ES"/>
              </w:rPr>
              <w:t>in embargo, es necesario establecer si tales circunstancias afectan el cumplimiento de las obligaciones propias de este último, generan obligaciones pendientes entre las partes o tienen incidencia en el balance económico y financiero que debe reflejarse en la liquidación. En todo caso, la liquidación del convenio no extingue las obligaciones subsistentes ni sustituye las actuaciones que deban adelantarse respecto de cada negocio jurídico derivado, conforme al régimen que le resulte aplicable.</w:t>
            </w:r>
          </w:p>
          <w:p w14:paraId="71E57508" w14:textId="77777777" w:rsidR="00F065BB" w:rsidRDefault="00F065BB" w:rsidP="00BB1D31">
            <w:pPr>
              <w:spacing w:after="120" w:line="276" w:lineRule="auto"/>
              <w:ind w:firstLine="708"/>
              <w:jc w:val="both"/>
              <w:rPr>
                <w:rFonts w:ascii="Verdana" w:eastAsia="Times New Roman" w:hAnsi="Verdana" w:cs="Arial"/>
                <w:color w:val="000000"/>
              </w:rPr>
            </w:pPr>
            <w:r w:rsidRPr="00F977CA">
              <w:rPr>
                <w:rFonts w:ascii="Verdana" w:eastAsia="Times New Roman" w:hAnsi="Verdana" w:cs="Arial"/>
                <w:color w:val="000000"/>
              </w:rPr>
              <w:t xml:space="preserve">En materia presupuestal, los reconocimientos económicos que se efectúen con ocasión de la liquidación del convenio o de los contratos derivados deberán sujetarse al régimen aplicable a cada entidad y a la naturaleza de la obligación correspondiente. El principio de legalidad del gasto público exige que los compromisos y pagos cuenten con el respaldo presupuestal y cumplan las condiciones y procedimientos establecidos en el ordenamiento jurídico. Por tanto, deberán diferenciarse las obligaciones ciertas, determinadas y exigibles de aquellas cuya existencia, cuantía o exigibilidad depende de la resolución de una controversia judicial o administrativa. Esta distinción resulta relevante para determinar el tratamiento presupuestal procedente en cada caso, sin que la sola existencia </w:t>
            </w:r>
            <w:r w:rsidRPr="00F977CA">
              <w:rPr>
                <w:rFonts w:ascii="Verdana" w:eastAsia="Times New Roman" w:hAnsi="Verdana" w:cs="Arial"/>
                <w:color w:val="000000"/>
              </w:rPr>
              <w:lastRenderedPageBreak/>
              <w:t xml:space="preserve">de un </w:t>
            </w:r>
            <w:r>
              <w:rPr>
                <w:rFonts w:ascii="Verdana" w:eastAsia="Times New Roman" w:hAnsi="Verdana" w:cs="Arial"/>
                <w:color w:val="000000"/>
              </w:rPr>
              <w:t>proceso judicial</w:t>
            </w:r>
            <w:r w:rsidRPr="00F977CA">
              <w:rPr>
                <w:rFonts w:ascii="Verdana" w:eastAsia="Times New Roman" w:hAnsi="Verdana" w:cs="Arial"/>
                <w:color w:val="000000"/>
              </w:rPr>
              <w:t xml:space="preserve"> permita concluir que debe mantenerse indiscriminadamente la totalidad de los recursos del convenio sin liquidar</w:t>
            </w:r>
            <w:r>
              <w:rPr>
                <w:rFonts w:ascii="Verdana" w:eastAsia="Times New Roman" w:hAnsi="Verdana" w:cs="Arial"/>
                <w:color w:val="000000"/>
              </w:rPr>
              <w:t xml:space="preserve">. </w:t>
            </w:r>
          </w:p>
          <w:p w14:paraId="0AC7A739" w14:textId="77777777" w:rsidR="00F065BB" w:rsidRDefault="00F065BB" w:rsidP="00BB1D31">
            <w:pPr>
              <w:tabs>
                <w:tab w:val="left" w:pos="709"/>
              </w:tabs>
              <w:spacing w:after="120" w:line="276" w:lineRule="auto"/>
              <w:ind w:firstLine="709"/>
              <w:jc w:val="both"/>
              <w:rPr>
                <w:rFonts w:ascii="Verdana" w:eastAsia="Calibri" w:hAnsi="Verdana" w:cs="Arial"/>
                <w:bCs/>
                <w:color w:val="000000" w:themeColor="text1"/>
                <w:lang w:val="es-ES"/>
              </w:rPr>
            </w:pPr>
            <w:r>
              <w:rPr>
                <w:rFonts w:ascii="Verdana" w:eastAsia="Calibri" w:hAnsi="Verdana" w:cs="Arial"/>
                <w:bCs/>
                <w:color w:val="000000" w:themeColor="text1"/>
                <w:lang w:val="es-ES"/>
              </w:rPr>
              <w:t xml:space="preserve">En consecuencia, mientras el proceso judicial se encuentra en curso, no hay obligaciones ciertas y exigibles a cargo de la entidad, pues precisamente tales aspectos constituyen el objeto de la controversia sometida al conocimiento del juez. </w:t>
            </w:r>
            <w:r>
              <w:rPr>
                <w:rFonts w:ascii="Verdana" w:eastAsia="Calibri" w:hAnsi="Verdana" w:cs="Arial"/>
                <w:bCs/>
                <w:color w:val="000000" w:themeColor="text1"/>
              </w:rPr>
              <w:t xml:space="preserve">En coherencia con lo anterior, mientras las sumas discutidas permanezcan inciertas por estar sometidas al juez, su tratamiento presupuestal corresponde al de una obligación contingente —objeto de la provisión que prevean las normas sobre pasivos contingentes—. Por ello, la elección de la figura aplicable —reserva presupuestal, cuenta por pagar, pasivo exigible por vigencias expiradas o liberación de saldos— depende de la naturaleza y del estado jurídico de la respectiva obligación, conforme a las normas presupuestales aplicables a cada caso. </w:t>
            </w:r>
            <w:r>
              <w:rPr>
                <w:rFonts w:ascii="Verdana" w:eastAsia="Calibri" w:hAnsi="Verdana" w:cs="Arial"/>
                <w:bCs/>
                <w:color w:val="000000" w:themeColor="text1"/>
                <w:lang w:val="es-ES"/>
              </w:rPr>
              <w:t>Por consiguiente, la circunstancia de que el contrato derivado se encuentre sometido a un proceso judicial no implica, por sí misma, que la entidad no pueda realizar las actuaciones de gestión presupuestal que le correspondan conforme al régimen presupuestal aplicable.</w:t>
            </w:r>
          </w:p>
          <w:p w14:paraId="2866FE2A" w14:textId="77777777" w:rsidR="00F065BB" w:rsidRPr="00194F68" w:rsidRDefault="00F065BB" w:rsidP="00BB1D31">
            <w:pPr>
              <w:spacing w:after="120" w:line="276" w:lineRule="auto"/>
              <w:ind w:firstLine="708"/>
              <w:jc w:val="both"/>
              <w:rPr>
                <w:rFonts w:ascii="Verdana" w:eastAsia="Times New Roman" w:hAnsi="Verdana" w:cs="Arial"/>
                <w:color w:val="1A1A1A" w:themeColor="background1" w:themeShade="1A"/>
                <w:lang w:eastAsia="es-ES_tradnl"/>
              </w:rPr>
            </w:pPr>
            <w:r w:rsidRPr="00830EC9">
              <w:rPr>
                <w:rFonts w:ascii="Verdana" w:eastAsia="Times New Roman" w:hAnsi="Verdana" w:cs="Arial"/>
                <w:color w:val="1A1A1A" w:themeColor="background1" w:themeShade="1A"/>
                <w:lang w:eastAsia="es-ES_tradnl"/>
              </w:rPr>
              <w:t>En síntesis, la autonomía jurídica del convenio interadministrativo y de los contratos derivados exige analizar separadamente su liquidación, sin desconocer las estipulaciones que puedan vincularlas ni las obligaciones y contingencias pendientes. La procedencia de liquidar el convenio antes de que se resuelvan todas las controversias relacionadas con los contratos derivados deberá establecerse a partir de las condiciones particulares del negocio, mientras que el tratamiento de las eventuales condenas deberá determinarse conforme al régimen presupuestal aplicable, incluido el alcance que corresponda atribuir al artículo 273 del Decreto Distrital 645 de 2025</w:t>
            </w:r>
            <w:r>
              <w:rPr>
                <w:rFonts w:ascii="Verdana" w:eastAsia="Times New Roman" w:hAnsi="Verdana" w:cs="Arial"/>
                <w:color w:val="1A1A1A" w:themeColor="background1" w:themeShade="1A"/>
                <w:lang w:eastAsia="es-ES_tradnl"/>
              </w:rPr>
              <w:t xml:space="preserve"> respecto del caso concreto.</w:t>
            </w:r>
          </w:p>
        </w:tc>
      </w:tr>
    </w:tbl>
    <w:p w14:paraId="0ADE272A" w14:textId="77777777" w:rsidR="00F065BB" w:rsidRPr="00593A5F" w:rsidRDefault="00F065BB" w:rsidP="00F065BB">
      <w:pPr>
        <w:tabs>
          <w:tab w:val="left" w:pos="142"/>
          <w:tab w:val="left" w:pos="284"/>
        </w:tabs>
        <w:spacing w:after="0" w:line="276" w:lineRule="auto"/>
        <w:jc w:val="both"/>
        <w:rPr>
          <w:rFonts w:ascii="Verdana" w:eastAsia="Century Gothic" w:hAnsi="Verdana" w:cs="Century Gothic"/>
          <w:b/>
          <w:bCs/>
          <w:lang w:val="es-ES"/>
        </w:rPr>
      </w:pPr>
    </w:p>
    <w:bookmarkEnd w:id="1"/>
    <w:p w14:paraId="07913A4C" w14:textId="77777777" w:rsidR="00F065BB" w:rsidRPr="00593A5F" w:rsidRDefault="00F065BB" w:rsidP="00F065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9762663" w14:textId="77777777" w:rsidR="00F065BB" w:rsidRPr="00593A5F" w:rsidRDefault="00F065BB" w:rsidP="00F065BB">
      <w:pPr>
        <w:spacing w:after="0" w:line="276" w:lineRule="auto"/>
        <w:jc w:val="both"/>
        <w:rPr>
          <w:rFonts w:ascii="Verdana" w:eastAsia="Calibri" w:hAnsi="Verdana" w:cs="Arial"/>
          <w:color w:val="7030A0"/>
          <w:lang w:val="es-ES"/>
        </w:rPr>
      </w:pPr>
    </w:p>
    <w:p w14:paraId="74AB8751" w14:textId="77777777" w:rsidR="00F065BB" w:rsidRDefault="00F065BB" w:rsidP="00F065B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3732915" w14:textId="77777777" w:rsidR="00F065BB" w:rsidRPr="00415608" w:rsidRDefault="00F065BB" w:rsidP="00F065BB">
      <w:pPr>
        <w:spacing w:after="0" w:line="276" w:lineRule="auto"/>
        <w:jc w:val="both"/>
        <w:rPr>
          <w:rFonts w:ascii="Verdana" w:eastAsia="Calibri" w:hAnsi="Verdana" w:cs="Arial"/>
          <w:lang w:val="es-ES"/>
        </w:rPr>
      </w:pPr>
    </w:p>
    <w:p w14:paraId="23FBF1CF" w14:textId="77777777" w:rsidR="00F065BB" w:rsidRDefault="00F065BB" w:rsidP="00F065BB">
      <w:pPr>
        <w:spacing w:after="120" w:line="276" w:lineRule="auto"/>
        <w:jc w:val="both"/>
        <w:rPr>
          <w:rFonts w:ascii="Verdana" w:eastAsia="Times New Roman" w:hAnsi="Verdana" w:cs="Arial"/>
          <w:color w:val="000000"/>
          <w:lang w:eastAsia="es-CO"/>
        </w:rPr>
      </w:pPr>
      <w:r>
        <w:rPr>
          <w:rFonts w:ascii="Verdana" w:eastAsia="Arial MT" w:hAnsi="Verdana" w:cs="Arial"/>
          <w:lang w:eastAsia="es-ES" w:bidi="es-ES"/>
        </w:rPr>
        <w:t xml:space="preserve">i. </w:t>
      </w:r>
      <w:r>
        <w:rPr>
          <w:rFonts w:ascii="Verdana" w:eastAsia="Times New Roman" w:hAnsi="Verdana" w:cs="Arial"/>
          <w:color w:val="000000"/>
          <w:lang w:val="es-ES_tradnl" w:eastAsia="es-CO"/>
        </w:rPr>
        <w:t xml:space="preserve">La contratación Estatal constituye un instrumento mediante el cual las Entidades Públicas realizan el aprovisionamiento de sus bienes, obras y </w:t>
      </w:r>
      <w:r>
        <w:rPr>
          <w:rFonts w:ascii="Verdana" w:eastAsia="Times New Roman" w:hAnsi="Verdana" w:cs="Arial"/>
          <w:color w:val="000000"/>
          <w:lang w:val="es-ES_tradnl" w:eastAsia="es-CO"/>
        </w:rPr>
        <w:lastRenderedPageBreak/>
        <w:t>servicios, con el propósito de satisfacer las necesidades e intereses colectivos</w:t>
      </w:r>
      <w:r>
        <w:rPr>
          <w:vertAlign w:val="superscript"/>
          <w:lang w:eastAsia="es-CO"/>
        </w:rPr>
        <w:footnoteReference w:id="1"/>
      </w:r>
      <w:r>
        <w:rPr>
          <w:rFonts w:ascii="Verdana" w:eastAsia="Times New Roman" w:hAnsi="Verdana" w:cs="Arial"/>
          <w:color w:val="000000"/>
          <w:lang w:val="es-ES_tradnl" w:eastAsia="es-CO"/>
        </w:rPr>
        <w:t xml:space="preserve">. Para este propósito se sirve de la colaboración de los particulares o de otras entidades que integran la administración pública. </w:t>
      </w:r>
      <w:r>
        <w:rPr>
          <w:rFonts w:ascii="Verdana" w:eastAsia="Times New Roman" w:hAnsi="Verdana" w:cs="Arial"/>
          <w:color w:val="000000"/>
          <w:lang w:eastAsia="es-CO"/>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Pr>
          <w:vertAlign w:val="superscript"/>
          <w:lang w:eastAsia="es-CO"/>
        </w:rPr>
        <w:footnoteReference w:id="2"/>
      </w:r>
      <w:r>
        <w:rPr>
          <w:rFonts w:ascii="Verdana" w:eastAsia="Times New Roman" w:hAnsi="Verdana" w:cs="Arial"/>
          <w:color w:val="000000"/>
          <w:lang w:eastAsia="es-CO"/>
        </w:rPr>
        <w:t xml:space="preserve">. </w:t>
      </w:r>
    </w:p>
    <w:p w14:paraId="13784A53" w14:textId="77777777" w:rsidR="00F065BB" w:rsidRDefault="00F065BB" w:rsidP="00F065BB">
      <w:pPr>
        <w:spacing w:after="120" w:line="276" w:lineRule="auto"/>
        <w:ind w:firstLine="707"/>
        <w:jc w:val="both"/>
        <w:rPr>
          <w:rFonts w:ascii="Verdana" w:eastAsiaTheme="minorEastAsia" w:hAnsi="Verdana" w:cs="Arial"/>
          <w:lang w:eastAsia="es-CO"/>
        </w:rPr>
      </w:pPr>
      <w:r>
        <w:rPr>
          <w:rFonts w:ascii="Verdana" w:eastAsiaTheme="minorEastAsia" w:hAnsi="Verdana" w:cs="Arial"/>
          <w:lang w:eastAsia="es-CO"/>
        </w:rPr>
        <w:t>Si bien los contratos interadministrativos están previstos en la Ley 80 de 1993, en la Ley 1150 de 2007 y en el Decreto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08C80781" w14:textId="77777777" w:rsidR="00F065BB" w:rsidRDefault="00F065BB" w:rsidP="00F065BB">
      <w:pPr>
        <w:spacing w:after="120" w:line="276" w:lineRule="auto"/>
        <w:ind w:firstLine="707"/>
        <w:jc w:val="both"/>
        <w:rPr>
          <w:rFonts w:ascii="Verdana" w:eastAsiaTheme="minorEastAsia" w:hAnsi="Verdana" w:cs="Arial"/>
          <w:lang w:eastAsia="es-CO"/>
        </w:rPr>
      </w:pPr>
      <w:r>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Pr>
          <w:rFonts w:ascii="Verdana" w:eastAsiaTheme="minorEastAsia" w:hAnsi="Verdana" w:cs="Arial"/>
          <w:vertAlign w:val="superscript"/>
          <w:lang w:eastAsia="es-CO"/>
        </w:rPr>
        <w:footnoteReference w:id="3"/>
      </w:r>
      <w:r>
        <w:rPr>
          <w:rFonts w:ascii="Verdana" w:eastAsiaTheme="minorEastAsia" w:hAnsi="Verdana" w:cs="Arial"/>
          <w:lang w:eastAsia="es-CO"/>
        </w:rPr>
        <w:t>. Nótese que, en este caso, lo que cambia es la modalidad de selección y no la naturaleza de contrato</w:t>
      </w:r>
      <w:r>
        <w:rPr>
          <w:rFonts w:ascii="Verdana" w:eastAsiaTheme="minorEastAsia" w:hAnsi="Verdana" w:cs="Arial"/>
          <w:spacing w:val="-18"/>
          <w:lang w:eastAsia="es-CO"/>
        </w:rPr>
        <w:t xml:space="preserve"> </w:t>
      </w:r>
      <w:r>
        <w:rPr>
          <w:rFonts w:ascii="Verdana" w:eastAsiaTheme="minorEastAsia" w:hAnsi="Verdana" w:cs="Arial"/>
          <w:lang w:eastAsia="es-CO"/>
        </w:rPr>
        <w:t>interadministrativo.</w:t>
      </w:r>
    </w:p>
    <w:p w14:paraId="7CD49FEC" w14:textId="77777777" w:rsidR="00F065BB" w:rsidRDefault="00F065BB" w:rsidP="00F065BB">
      <w:pPr>
        <w:spacing w:after="12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La Corte Constitucional, en Sentencia C-671 de 2015, expresó que “Lo que hace interadministrativo a un contrato o convenio no es el procedimiento de selección aplicable, sino la calidad de los sujetos contratantes, esto es que las </w:t>
      </w:r>
      <w:r>
        <w:rPr>
          <w:rFonts w:ascii="Verdana" w:eastAsiaTheme="minorEastAsia" w:hAnsi="Verdana" w:cs="Arial"/>
          <w:lang w:eastAsia="es-CO"/>
        </w:rPr>
        <w:lastRenderedPageBreak/>
        <w:t>dos partes de la relación jurídica contractual formen parte de la administración pública”</w:t>
      </w:r>
      <w:r>
        <w:rPr>
          <w:rFonts w:ascii="Verdana" w:eastAsiaTheme="minorEastAsia" w:hAnsi="Verdana" w:cs="Arial"/>
          <w:vertAlign w:val="superscript"/>
          <w:lang w:eastAsia="es-CO"/>
        </w:rPr>
        <w:footnoteReference w:id="4"/>
      </w:r>
      <w:r>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04082C8E" w14:textId="77777777" w:rsidR="00F065BB" w:rsidRDefault="00F065BB" w:rsidP="00F065BB">
      <w:pPr>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Es decir, lo que hace que un contrato o convenio sea interadministrativo es la naturaleza de las partes, independiente del régimen jurídico aplicable. Sin embargo, en los últimos años se han venido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48A1F4F7" w14:textId="77777777" w:rsidR="00F065BB" w:rsidRDefault="00F065BB" w:rsidP="00F065BB">
      <w:pPr>
        <w:spacing w:after="0" w:line="276" w:lineRule="auto"/>
        <w:ind w:firstLine="709"/>
        <w:jc w:val="both"/>
        <w:rPr>
          <w:rFonts w:ascii="Verdana" w:eastAsiaTheme="minorEastAsia" w:hAnsi="Verdana" w:cs="Arial"/>
          <w:lang w:eastAsia="es-CO"/>
        </w:rPr>
      </w:pPr>
    </w:p>
    <w:p w14:paraId="083F761C" w14:textId="77777777" w:rsidR="00F065BB" w:rsidRDefault="00F065BB" w:rsidP="00F065BB">
      <w:pPr>
        <w:spacing w:after="0" w:line="240" w:lineRule="auto"/>
        <w:ind w:left="709" w:right="709"/>
        <w:jc w:val="both"/>
        <w:rPr>
          <w:rFonts w:ascii="Verdana" w:eastAsiaTheme="minorEastAsia" w:hAnsi="Verdana" w:cs="Arial"/>
          <w:sz w:val="20"/>
          <w:szCs w:val="20"/>
          <w:lang w:eastAsia="es-CO"/>
        </w:rPr>
      </w:pPr>
      <w:r>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05A2C380" w14:textId="77777777" w:rsidR="00F065BB" w:rsidRDefault="00F065BB" w:rsidP="00F065BB">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Pr>
          <w:rFonts w:ascii="Verdana" w:eastAsiaTheme="minorEastAsia" w:hAnsi="Verdana" w:cs="Arial"/>
          <w:sz w:val="20"/>
          <w:szCs w:val="20"/>
          <w:lang w:val="es-ES" w:eastAsia="es-CO"/>
        </w:rPr>
        <w:t xml:space="preserve">El objeto de los contratos lo constituyen obligaciones de contenido patrimonial y, por </w:t>
      </w:r>
      <w:r>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5032C93C" w14:textId="77777777" w:rsidR="00F065BB" w:rsidRDefault="00F065BB" w:rsidP="00F065BB">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475EE46E" w14:textId="77777777" w:rsidR="00F065BB" w:rsidRDefault="00F065BB" w:rsidP="00F065BB">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Pr>
          <w:rFonts w:ascii="Verdana" w:eastAsiaTheme="minorEastAsia" w:hAnsi="Verdana" w:cs="Arial"/>
          <w:sz w:val="20"/>
          <w:szCs w:val="20"/>
          <w:lang w:eastAsia="es-CO"/>
        </w:rPr>
        <w:t xml:space="preserve">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w:t>
      </w:r>
      <w:r>
        <w:rPr>
          <w:rFonts w:ascii="Verdana" w:eastAsiaTheme="minorEastAsia" w:hAnsi="Verdana" w:cs="Arial"/>
          <w:sz w:val="20"/>
          <w:szCs w:val="20"/>
          <w:lang w:eastAsia="es-CO"/>
        </w:rPr>
        <w:lastRenderedPageBreak/>
        <w:t>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Pr>
          <w:rFonts w:ascii="Verdana" w:eastAsiaTheme="minorEastAsia" w:hAnsi="Verdana" w:cs="Arial"/>
          <w:sz w:val="20"/>
          <w:szCs w:val="20"/>
          <w:vertAlign w:val="superscript"/>
          <w:lang w:eastAsia="es-CO"/>
        </w:rPr>
        <w:footnoteReference w:id="5"/>
      </w:r>
      <w:r>
        <w:rPr>
          <w:rFonts w:ascii="Verdana" w:eastAsiaTheme="minorEastAsia" w:hAnsi="Verdana" w:cs="Arial"/>
          <w:sz w:val="20"/>
          <w:szCs w:val="20"/>
          <w:lang w:eastAsia="es-CO"/>
        </w:rPr>
        <w:t>.</w:t>
      </w:r>
    </w:p>
    <w:p w14:paraId="1E6E1D70" w14:textId="77777777" w:rsidR="00F065BB" w:rsidRDefault="00F065BB" w:rsidP="00F065BB">
      <w:pPr>
        <w:spacing w:after="0" w:line="276" w:lineRule="auto"/>
        <w:ind w:right="709"/>
        <w:jc w:val="both"/>
        <w:rPr>
          <w:rFonts w:ascii="Verdana" w:eastAsia="Times New Roman" w:hAnsi="Verdana" w:cs="Arial"/>
          <w:lang w:eastAsia="es-ES_tradnl"/>
        </w:rPr>
      </w:pPr>
    </w:p>
    <w:p w14:paraId="016C247D" w14:textId="77777777" w:rsidR="00F065BB" w:rsidRDefault="00F065BB" w:rsidP="00F065BB">
      <w:pPr>
        <w:spacing w:after="120" w:line="276" w:lineRule="auto"/>
        <w:ind w:firstLine="709"/>
        <w:jc w:val="both"/>
        <w:rPr>
          <w:rFonts w:ascii="Verdana" w:eastAsiaTheme="minorEastAsia" w:hAnsi="Verdana" w:cs="Arial"/>
          <w:lang w:eastAsia="es-CO"/>
        </w:rPr>
      </w:pPr>
      <w:r>
        <w:rPr>
          <w:rFonts w:ascii="Verdana" w:eastAsiaTheme="minorEastAsia" w:hAnsi="Verdana" w:cs="Arial"/>
          <w:lang w:eastAsia="es-CO"/>
        </w:rPr>
        <w:t>El Consejo de Estado ha precisado que el convenio interadministrativo constituye un negocio jurídico de colaboración entre entidades públicas, orientado a articular capacidades, recursos y competencias institucionales para la consecución de fines comunes. Su esencia no radica en el intercambio de prestaciones propias del mercado, sino en la coordinación funcional y operativa entre organismos que comparten responsabilidades públicas y buscan optimizar el cumplimiento de sus objetivos misionales mediante actuaciones conjuntas.</w:t>
      </w:r>
    </w:p>
    <w:p w14:paraId="2CC077DF" w14:textId="77777777" w:rsidR="00F065BB" w:rsidRDefault="00F065BB" w:rsidP="00F065BB">
      <w:pPr>
        <w:spacing w:after="12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En contraste, el contrato interadministrativo se configura como un negocio jurídico con contenido prestacional, en el cual una entidad pública asume la posición de contratante y la otra la de contratista, generándose obligaciones recíprocas relacionadas con la entrega de bienes, la ejecución de obras o la prestación de servicios. A diferencia del convenio, aquí no predomina la cooperación horizontal, sino una relación de carácter sinalagmático que se rige por las reglas propias de la contratación estatal y exige contraprestaciones claramente definidas entre las partes. Al respecto, la doctrina expresa: </w:t>
      </w:r>
    </w:p>
    <w:p w14:paraId="6EC38325" w14:textId="77777777" w:rsidR="00F065BB" w:rsidRDefault="00F065BB" w:rsidP="00F065BB">
      <w:pPr>
        <w:spacing w:after="0" w:line="276" w:lineRule="auto"/>
        <w:ind w:firstLine="709"/>
        <w:jc w:val="both"/>
        <w:rPr>
          <w:rFonts w:ascii="Verdana" w:eastAsiaTheme="minorEastAsia" w:hAnsi="Verdana" w:cs="Arial"/>
          <w:lang w:eastAsia="es-CO"/>
        </w:rPr>
      </w:pPr>
    </w:p>
    <w:p w14:paraId="5D8B25AD" w14:textId="77777777" w:rsidR="00F065BB" w:rsidRDefault="00F065BB" w:rsidP="00F065BB">
      <w:pPr>
        <w:spacing w:after="0" w:line="240" w:lineRule="auto"/>
        <w:ind w:left="709" w:right="709"/>
        <w:jc w:val="both"/>
        <w:rPr>
          <w:rFonts w:ascii="Verdana" w:eastAsiaTheme="minorEastAsia" w:hAnsi="Verdana" w:cs="Arial"/>
          <w:sz w:val="20"/>
          <w:szCs w:val="20"/>
          <w:lang w:eastAsia="es-CO"/>
        </w:rPr>
      </w:pPr>
      <w:r>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3E31506A" w14:textId="77777777" w:rsidR="00F065BB" w:rsidRDefault="00F065BB" w:rsidP="00F065BB">
      <w:pPr>
        <w:spacing w:after="0" w:line="240" w:lineRule="auto"/>
        <w:ind w:left="709" w:right="709"/>
        <w:jc w:val="both"/>
        <w:rPr>
          <w:rFonts w:ascii="Verdana" w:eastAsiaTheme="minorEastAsia" w:hAnsi="Verdana" w:cs="Arial"/>
          <w:sz w:val="20"/>
          <w:szCs w:val="20"/>
          <w:lang w:eastAsia="es-CO"/>
        </w:rPr>
      </w:pPr>
      <w:r>
        <w:rPr>
          <w:rFonts w:ascii="Verdana" w:eastAsiaTheme="minorEastAsia" w:hAnsi="Verdana" w:cs="Arial"/>
          <w:sz w:val="20"/>
          <w:szCs w:val="20"/>
          <w:lang w:eastAsia="es-CO"/>
        </w:rPr>
        <w:t>[…]</w:t>
      </w:r>
    </w:p>
    <w:p w14:paraId="04E6C1F0" w14:textId="77777777" w:rsidR="00F065BB" w:rsidRDefault="00F065BB" w:rsidP="00F065BB">
      <w:pPr>
        <w:autoSpaceDE w:val="0"/>
        <w:autoSpaceDN w:val="0"/>
        <w:adjustRightInd w:val="0"/>
        <w:spacing w:after="0" w:line="240" w:lineRule="auto"/>
        <w:ind w:left="709" w:right="709"/>
        <w:jc w:val="both"/>
        <w:rPr>
          <w:rFonts w:ascii="Verdana" w:hAnsi="Verdana" w:cs="Weiss"/>
          <w:sz w:val="20"/>
          <w:szCs w:val="20"/>
        </w:rPr>
      </w:pPr>
      <w:r>
        <w:rPr>
          <w:rFonts w:ascii="Verdana" w:hAnsi="Verdana" w:cs="Weiss"/>
          <w:sz w:val="20"/>
          <w:szCs w:val="20"/>
        </w:rPr>
        <w:t xml:space="preserve">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w:t>
      </w:r>
      <w:r>
        <w:rPr>
          <w:rFonts w:ascii="Verdana" w:hAnsi="Verdana" w:cs="Weiss"/>
          <w:sz w:val="20"/>
          <w:szCs w:val="20"/>
        </w:rPr>
        <w:lastRenderedPageBreak/>
        <w:t>y el segundo, aunque persona pública, tiene intereses y está en un mercado de forma similar a como lo hace el particular”</w:t>
      </w:r>
      <w:r>
        <w:rPr>
          <w:rFonts w:ascii="Verdana" w:hAnsi="Verdana" w:cs="Weiss"/>
          <w:sz w:val="20"/>
          <w:szCs w:val="20"/>
          <w:vertAlign w:val="superscript"/>
        </w:rPr>
        <w:footnoteReference w:id="6"/>
      </w:r>
      <w:r>
        <w:rPr>
          <w:rFonts w:ascii="Verdana" w:hAnsi="Verdana" w:cs="Weiss"/>
          <w:sz w:val="20"/>
          <w:szCs w:val="20"/>
        </w:rPr>
        <w:t>.</w:t>
      </w:r>
    </w:p>
    <w:p w14:paraId="23AAB5FB" w14:textId="77777777" w:rsidR="00F065BB" w:rsidRDefault="00F065BB" w:rsidP="00F065BB">
      <w:pPr>
        <w:spacing w:after="120" w:line="276" w:lineRule="auto"/>
        <w:jc w:val="both"/>
        <w:rPr>
          <w:rFonts w:ascii="Verdana" w:eastAsiaTheme="minorEastAsia" w:hAnsi="Verdana" w:cs="Arial"/>
          <w:sz w:val="20"/>
          <w:szCs w:val="20"/>
          <w:lang w:eastAsia="es-CO"/>
        </w:rPr>
      </w:pPr>
    </w:p>
    <w:p w14:paraId="671434F3" w14:textId="77777777" w:rsidR="00F065BB" w:rsidRDefault="00F065BB" w:rsidP="00F065BB">
      <w:pPr>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Ahora bien, esta distinción conceptual entre contratos y convenios interadministrativos resulta relevante para precisar el ámbito de aplicación de las instituciones del EGCAP. Al respecto, el Consejo de Estado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Pr>
          <w:rFonts w:ascii="Verdana" w:eastAsiaTheme="minorEastAsia" w:hAnsi="Verdana" w:cs="Arial"/>
          <w:vertAlign w:val="superscript"/>
          <w:lang w:eastAsia="es-CO"/>
        </w:rPr>
        <w:footnoteReference w:id="7"/>
      </w:r>
      <w:r>
        <w:rPr>
          <w:rFonts w:ascii="Verdana" w:eastAsiaTheme="minorEastAsia" w:hAnsi="Verdana" w:cs="Arial"/>
          <w:lang w:eastAsia="es-CO"/>
        </w:rPr>
        <w:t xml:space="preserve">. De esta manera, el Consejo de Estado expresa:  </w:t>
      </w:r>
    </w:p>
    <w:p w14:paraId="0D403528" w14:textId="77777777" w:rsidR="00F065BB" w:rsidRDefault="00F065BB" w:rsidP="00F065BB">
      <w:pPr>
        <w:widowControl w:val="0"/>
        <w:autoSpaceDE w:val="0"/>
        <w:autoSpaceDN w:val="0"/>
        <w:spacing w:after="0" w:line="276" w:lineRule="auto"/>
        <w:jc w:val="both"/>
        <w:rPr>
          <w:rFonts w:ascii="Verdana" w:eastAsia="Arial MT" w:hAnsi="Verdana" w:cs="Arial MT"/>
        </w:rPr>
      </w:pPr>
    </w:p>
    <w:p w14:paraId="73440211" w14:textId="77777777" w:rsidR="00F065BB" w:rsidRDefault="00F065BB" w:rsidP="00F065BB">
      <w:pPr>
        <w:widowControl w:val="0"/>
        <w:autoSpaceDE w:val="0"/>
        <w:autoSpaceDN w:val="0"/>
        <w:spacing w:after="0" w:line="240" w:lineRule="auto"/>
        <w:ind w:left="709" w:right="709"/>
        <w:jc w:val="both"/>
        <w:rPr>
          <w:rFonts w:ascii="Verdana" w:eastAsia="Arial MT" w:hAnsi="Verdana" w:cs="Arial MT"/>
          <w:i/>
          <w:iCs/>
          <w:sz w:val="20"/>
          <w:szCs w:val="20"/>
        </w:rPr>
      </w:pPr>
      <w:r>
        <w:rPr>
          <w:rFonts w:ascii="Verdana" w:eastAsia="Arial MT" w:hAnsi="Verdana" w:cs="Arial MT"/>
          <w:i/>
          <w:iCs/>
          <w:sz w:val="20"/>
          <w:szCs w:val="20"/>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13102B68" w14:textId="77777777" w:rsidR="00F065BB" w:rsidRDefault="00F065BB" w:rsidP="00F065BB">
      <w:pPr>
        <w:widowControl w:val="0"/>
        <w:autoSpaceDE w:val="0"/>
        <w:autoSpaceDN w:val="0"/>
        <w:spacing w:after="0" w:line="240" w:lineRule="auto"/>
        <w:ind w:left="709" w:right="709"/>
        <w:jc w:val="both"/>
        <w:rPr>
          <w:rFonts w:ascii="Verdana" w:eastAsia="Arial MT" w:hAnsi="Verdana" w:cs="Arial MT"/>
          <w:sz w:val="20"/>
          <w:szCs w:val="20"/>
        </w:rPr>
      </w:pPr>
    </w:p>
    <w:p w14:paraId="6E5DF78A" w14:textId="77777777" w:rsidR="00F065BB" w:rsidRDefault="00F065BB" w:rsidP="00F065BB">
      <w:pPr>
        <w:widowControl w:val="0"/>
        <w:autoSpaceDE w:val="0"/>
        <w:autoSpaceDN w:val="0"/>
        <w:spacing w:after="0" w:line="240" w:lineRule="auto"/>
        <w:ind w:left="709" w:right="709"/>
        <w:jc w:val="both"/>
        <w:rPr>
          <w:rFonts w:ascii="Verdana" w:eastAsia="Arial MT" w:hAnsi="Verdana" w:cs="Arial MT"/>
          <w:i/>
          <w:iCs/>
          <w:sz w:val="20"/>
          <w:szCs w:val="20"/>
        </w:rPr>
      </w:pPr>
      <w:r>
        <w:rPr>
          <w:rFonts w:ascii="Verdana" w:eastAsia="Arial MT" w:hAnsi="Verdana" w:cs="Arial MT"/>
          <w:i/>
          <w:iCs/>
          <w:sz w:val="20"/>
          <w:szCs w:val="20"/>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25EE6345" w14:textId="77777777" w:rsidR="00F065BB" w:rsidRDefault="00F065BB" w:rsidP="00F065BB">
      <w:pPr>
        <w:widowControl w:val="0"/>
        <w:autoSpaceDE w:val="0"/>
        <w:autoSpaceDN w:val="0"/>
        <w:spacing w:after="0" w:line="240" w:lineRule="auto"/>
        <w:ind w:left="709" w:right="709"/>
        <w:jc w:val="both"/>
        <w:rPr>
          <w:rFonts w:ascii="Verdana" w:eastAsia="Arial MT" w:hAnsi="Verdana" w:cs="Arial MT"/>
          <w:sz w:val="20"/>
          <w:szCs w:val="20"/>
        </w:rPr>
      </w:pPr>
    </w:p>
    <w:p w14:paraId="4563048A" w14:textId="77777777" w:rsidR="00F065BB" w:rsidRDefault="00F065BB" w:rsidP="00F065BB">
      <w:pPr>
        <w:widowControl w:val="0"/>
        <w:autoSpaceDE w:val="0"/>
        <w:autoSpaceDN w:val="0"/>
        <w:spacing w:after="0" w:line="240" w:lineRule="auto"/>
        <w:ind w:left="709" w:right="709"/>
        <w:jc w:val="both"/>
        <w:rPr>
          <w:rFonts w:ascii="Verdana" w:eastAsia="Arial MT" w:hAnsi="Verdana" w:cs="Arial MT"/>
          <w:sz w:val="20"/>
          <w:szCs w:val="20"/>
          <w:lang w:val="es-ES"/>
        </w:rPr>
      </w:pPr>
      <w:r>
        <w:rPr>
          <w:rFonts w:ascii="Verdana" w:eastAsia="Arial MT" w:hAnsi="Verdana" w:cs="Arial MT"/>
          <w:i/>
          <w:iCs/>
          <w:sz w:val="20"/>
          <w:szCs w:val="20"/>
        </w:rPr>
        <w:lastRenderedPageBreak/>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Pr>
          <w:rFonts w:ascii="Verdana" w:eastAsia="Arial MT" w:hAnsi="Verdana" w:cs="Arial MT"/>
          <w:i/>
          <w:iCs/>
          <w:sz w:val="20"/>
          <w:szCs w:val="20"/>
          <w:vertAlign w:val="superscript"/>
        </w:rPr>
        <w:footnoteReference w:id="8"/>
      </w:r>
      <w:r>
        <w:rPr>
          <w:rFonts w:ascii="Verdana" w:eastAsia="Arial MT" w:hAnsi="Verdana" w:cs="Arial MT"/>
          <w:i/>
          <w:iCs/>
          <w:sz w:val="20"/>
          <w:szCs w:val="20"/>
        </w:rPr>
        <w:t>.</w:t>
      </w:r>
    </w:p>
    <w:p w14:paraId="02B1FE00" w14:textId="77777777" w:rsidR="00F065BB" w:rsidRDefault="00F065BB" w:rsidP="00F065BB">
      <w:pPr>
        <w:spacing w:after="120" w:line="276" w:lineRule="auto"/>
        <w:jc w:val="both"/>
        <w:rPr>
          <w:rFonts w:ascii="Verdana" w:eastAsia="Calibri" w:hAnsi="Verdana" w:cs="Arial"/>
          <w:color w:val="000000" w:themeColor="text1"/>
          <w:lang w:val="es-ES"/>
        </w:rPr>
      </w:pPr>
    </w:p>
    <w:p w14:paraId="0169EDA4" w14:textId="77777777" w:rsidR="00F065BB" w:rsidRDefault="00F065BB" w:rsidP="00F065BB">
      <w:pPr>
        <w:tabs>
          <w:tab w:val="left" w:pos="7851"/>
        </w:tabs>
        <w:spacing w:after="120" w:line="276" w:lineRule="auto"/>
        <w:ind w:firstLine="680"/>
        <w:jc w:val="both"/>
        <w:rPr>
          <w:rFonts w:ascii="Verdana" w:eastAsiaTheme="minorEastAsia" w:hAnsi="Verdana" w:cs="Arial"/>
          <w:lang w:eastAsia="es-CO"/>
        </w:rPr>
      </w:pPr>
      <w:r>
        <w:rPr>
          <w:rFonts w:ascii="Verdana" w:eastAsiaTheme="minorEastAsia" w:hAnsi="Verdana" w:cs="Arial"/>
          <w:lang w:eastAsia="es-CO"/>
        </w:rPr>
        <w:t>En virtud de ello, los convenios no se estructuran bajo una lógica de intercambio oneroso ni de selección de contratistas, sino bajo un esquema de cooperación institucional, lo que impide trasladar de manera automática las reglas del Estatuto General de Contratación de la Administración Pública. En consecuencia, los convenios interadministrativos no se someten, en principio, al régimen contractual previsto en la Ley 80 de 1993 y la Ley 1150 de 2007, pues su finalidad no es contratar bienes, obras o servicios con terceros, sino coordinar esfuerzos entre entidades públicas para el cumplimiento de funciones estatales. La aplicación del Estatuto General de Contratación solo procede de manera supletoria, en la medida en que exista una verdadera laguna o falta de regulación normativa y/o convencional. Mientras ello no ocurra, el convenio se rige por sus propias cláusulas y por los principios de colaboración, coordinación y eficiencia administrativa que orientan la actuación interinstitucional.</w:t>
      </w:r>
    </w:p>
    <w:p w14:paraId="57CE636D" w14:textId="77777777" w:rsidR="00F065BB" w:rsidRDefault="00F065BB" w:rsidP="00F065BB">
      <w:pPr>
        <w:tabs>
          <w:tab w:val="left" w:pos="7851"/>
        </w:tabs>
        <w:spacing w:after="120" w:line="276" w:lineRule="auto"/>
        <w:ind w:firstLine="680"/>
        <w:jc w:val="both"/>
        <w:rPr>
          <w:rFonts w:ascii="Verdana" w:eastAsiaTheme="minorEastAsia" w:hAnsi="Verdana" w:cs="Arial"/>
          <w:lang w:eastAsia="es-CO"/>
        </w:rPr>
      </w:pPr>
      <w:r>
        <w:rPr>
          <w:rFonts w:ascii="Verdana" w:eastAsiaTheme="minorEastAsia" w:hAnsi="Verdana" w:cs="Arial"/>
          <w:lang w:eastAsia="es-CO"/>
        </w:rPr>
        <w:t xml:space="preserve">Esta conclusión exige una precisión adicional, pues el artículo 32 de la Ley 80 de 1993 define como contratos estatales todos los actos jurídicos generadores de obligaciones que celebren las entidades estatales, definición dentro de la cual quedarían comprendidos los convenios interadministrativos suscritos por entidades sometidas al Estatuto. La supletoriedad predicada por la jurisprudencia no opera, sin embargo, de manera uniforme respecto de toda la regulación del EGCAP. Tratándose de normas que regulan aspectos instrumentales del negocio, la aplicación supletoria ante el vacío convencional resulta natural. En cambio, tratándose de disposiciones que atribuyen potestades unilaterales a una de las partes, su traslado automático al convenio interadministrativo es incompatible con la posición de igualdad en que se </w:t>
      </w:r>
      <w:r>
        <w:rPr>
          <w:rFonts w:ascii="Verdana" w:eastAsiaTheme="minorEastAsia" w:hAnsi="Verdana" w:cs="Arial"/>
          <w:lang w:eastAsia="es-CO"/>
        </w:rPr>
        <w:lastRenderedPageBreak/>
        <w:t xml:space="preserve">encuentran las entidades cooperantes, pues supondría reconocer a una de ellas una prerrogativa sobre la otra que la finalidad asociativa excluye. Por ello, el silencio del convenio sobre potestades unilaterales no configura una laguna que deba colmarse con las reglas del EGCAP, sino la expresión de un régimen paritario en el que tales prerrogativas no operan. De esta manera, la denominación de contrato o convenio interadministrativo obedece a que ambos extremos de la relación son entidades públicas, pero el régimen aplicable a cada institución depende del contenido obligacional del negocio. </w:t>
      </w:r>
    </w:p>
    <w:p w14:paraId="23C93BF0" w14:textId="77777777" w:rsidR="00F065BB" w:rsidRDefault="00F065BB" w:rsidP="00F065BB">
      <w:pPr>
        <w:tabs>
          <w:tab w:val="left" w:pos="7851"/>
        </w:tabs>
        <w:spacing w:after="120" w:line="276" w:lineRule="auto"/>
        <w:ind w:firstLine="680"/>
        <w:jc w:val="both"/>
        <w:rPr>
          <w:rFonts w:ascii="Verdana" w:eastAsiaTheme="minorEastAsia" w:hAnsi="Verdana" w:cs="Arial"/>
          <w:lang w:eastAsia="es-CO"/>
        </w:rPr>
      </w:pPr>
      <w:r>
        <w:rPr>
          <w:rFonts w:ascii="Verdana" w:eastAsiaTheme="minorEastAsia" w:hAnsi="Verdana" w:cs="Arial"/>
          <w:lang w:eastAsia="es-CO"/>
        </w:rPr>
        <w:t>A partir de la configuración del convenio interadministrativo como una institución autónoma e independiente, es posible que dentro de su objeto se incluya la finalidad de soportar la ejecución de contratos específicos como de obra pública, consultoría e interventoría a cargo de una de las partes. En tal caso, y por precisión jurídica, dicha parte puede ser denominada entidad cooperante ejecutora, en cuanto asume las obligaciones técnicas, operativas y administrativas necesarias para materializar dichos contratos en el marco de la cooperación interinstitucional. El convenio interadministrativo —al no estar sujeto al Estatuto General de Contratación de la Administración Pública— se rige por la autonomía de la voluntad de las partes, lo que implica que no le son aplicables los tipos contractuales ni las reglas del artículo 32 de la Ley 80 de 1993. Su contenido, alcance y obligaciones derivan de lo pactado por las entidades públicas participantes, quienes definen libremente las condiciones de cooperación, los aportes financieros, los mecanismos de seguimiento y las reglas de coordinación institucional.</w:t>
      </w:r>
    </w:p>
    <w:p w14:paraId="7A0D29C5" w14:textId="77777777" w:rsidR="00F065BB" w:rsidRDefault="00F065BB" w:rsidP="00F065BB">
      <w:pPr>
        <w:tabs>
          <w:tab w:val="left" w:pos="7851"/>
        </w:tabs>
        <w:spacing w:after="120" w:line="276" w:lineRule="auto"/>
        <w:ind w:firstLine="680"/>
        <w:jc w:val="both"/>
        <w:rPr>
          <w:rFonts w:ascii="Verdana" w:eastAsiaTheme="minorEastAsia" w:hAnsi="Verdana" w:cs="Arial"/>
          <w:lang w:val="es-ES_tradnl" w:eastAsia="es-CO"/>
        </w:rPr>
      </w:pPr>
      <w:r>
        <w:rPr>
          <w:rFonts w:ascii="Verdana" w:eastAsiaTheme="minorEastAsia" w:hAnsi="Verdana" w:cs="Arial"/>
          <w:lang w:eastAsia="es-CO"/>
        </w:rPr>
        <w:t xml:space="preserve">En tal sentido, es posible que en el marco del convenio interadministrativo se detallen los siguientes aspectos: i) los aportes en dinero o en especie de las entidades cooperantes, si es del caso; </w:t>
      </w:r>
      <w:proofErr w:type="spellStart"/>
      <w:r>
        <w:rPr>
          <w:rFonts w:ascii="Verdana" w:eastAsiaTheme="minorEastAsia" w:hAnsi="Verdana" w:cs="Arial"/>
          <w:lang w:eastAsia="es-CO"/>
        </w:rPr>
        <w:t>ii</w:t>
      </w:r>
      <w:proofErr w:type="spellEnd"/>
      <w:r>
        <w:rPr>
          <w:rFonts w:ascii="Verdana" w:eastAsiaTheme="minorEastAsia" w:hAnsi="Verdana" w:cs="Arial"/>
          <w:lang w:eastAsia="es-CO"/>
        </w:rPr>
        <w:t xml:space="preserve">) el valor del convenio; </w:t>
      </w:r>
      <w:proofErr w:type="spellStart"/>
      <w:r>
        <w:rPr>
          <w:rFonts w:ascii="Verdana" w:eastAsiaTheme="minorEastAsia" w:hAnsi="Verdana" w:cs="Arial"/>
          <w:lang w:eastAsia="es-CO"/>
        </w:rPr>
        <w:t>iii</w:t>
      </w:r>
      <w:proofErr w:type="spellEnd"/>
      <w:r>
        <w:rPr>
          <w:rFonts w:ascii="Verdana" w:eastAsiaTheme="minorEastAsia" w:hAnsi="Verdana" w:cs="Arial"/>
          <w:lang w:eastAsia="es-CO"/>
        </w:rPr>
        <w:t xml:space="preserve">) la entidad o entidades ejecutoras del convenio; </w:t>
      </w:r>
      <w:proofErr w:type="spellStart"/>
      <w:r>
        <w:rPr>
          <w:rFonts w:ascii="Verdana" w:eastAsiaTheme="minorEastAsia" w:hAnsi="Verdana" w:cs="Arial"/>
          <w:lang w:eastAsia="es-CO"/>
        </w:rPr>
        <w:t>iv</w:t>
      </w:r>
      <w:proofErr w:type="spellEnd"/>
      <w:r>
        <w:rPr>
          <w:rFonts w:ascii="Verdana" w:eastAsiaTheme="minorEastAsia" w:hAnsi="Verdana" w:cs="Arial"/>
          <w:lang w:eastAsia="es-CO"/>
        </w:rPr>
        <w:t xml:space="preserve">) los costos directos y costos administrativos propios del convenio, así como otras formas que se requieren para la ejecución del convenio. </w:t>
      </w:r>
      <w:r>
        <w:rPr>
          <w:rFonts w:ascii="Verdana" w:eastAsiaTheme="minorEastAsia" w:hAnsi="Verdana" w:cs="Arial"/>
          <w:lang w:val="es-ES_tradnl" w:eastAsia="es-CO"/>
        </w:rPr>
        <w:t xml:space="preserve">En esta línea, pueden estipularse convenios interadministrativos bajo la forma de una administración delegada sin el pacto de costos por concepto de honorarios, donde la entidad actúa como administradora y ejecutora del convenio, como lo explicó en su momento la Agencia en el Concepto 1152 del 23 de septiembre de 2025. </w:t>
      </w:r>
    </w:p>
    <w:p w14:paraId="6608649F" w14:textId="77777777" w:rsidR="00F065BB" w:rsidRDefault="00F065BB" w:rsidP="00F065BB">
      <w:pPr>
        <w:tabs>
          <w:tab w:val="left" w:pos="7851"/>
        </w:tabs>
        <w:spacing w:after="120" w:line="276" w:lineRule="auto"/>
        <w:ind w:firstLine="680"/>
        <w:jc w:val="both"/>
        <w:rPr>
          <w:rFonts w:ascii="Verdana" w:eastAsiaTheme="minorEastAsia" w:hAnsi="Verdana" w:cs="Arial"/>
          <w:lang w:eastAsia="es-CO"/>
        </w:rPr>
      </w:pPr>
      <w:r>
        <w:rPr>
          <w:rFonts w:ascii="Verdana" w:eastAsiaTheme="minorEastAsia" w:hAnsi="Verdana" w:cs="Arial"/>
          <w:lang w:eastAsia="es-CO"/>
        </w:rPr>
        <w:t xml:space="preserve">La entidad cooperante ejecutora puede celebrar diferentes contratos derivados para desarrollar el objeto soportado por el convenio </w:t>
      </w:r>
      <w:r>
        <w:rPr>
          <w:rFonts w:ascii="Verdana" w:eastAsiaTheme="minorEastAsia" w:hAnsi="Verdana" w:cs="Arial"/>
          <w:lang w:eastAsia="es-CO"/>
        </w:rPr>
        <w:lastRenderedPageBreak/>
        <w:t>interadministrativo, pero dicho contrato se rige por el régimen jurídico propio de la entidad contratante. Si la entidad está sometida al Estatuto General de Contratación, deberá aplicar sus principios, procedimientos, etapas y cláusulas obligatorias; si, por el contrario, es una entidad de régimen especial, su actuación se sujetará al régimen privado, sin perjuicio de la observancia de los principios de la función administrativa, la gestión fiscal, el régimen de inhabilidades e incompatibilidades y el deber de publicidad en SECOP II o la plataforma que haga sus veces, conforme al artículo 13 de la Ley 1150 de 2007</w:t>
      </w:r>
      <w:r>
        <w:rPr>
          <w:rStyle w:val="Refdenotaalpie"/>
          <w:rFonts w:ascii="Verdana" w:eastAsiaTheme="minorEastAsia" w:hAnsi="Verdana" w:cs="Arial"/>
          <w:lang w:eastAsia="es-CO"/>
        </w:rPr>
        <w:footnoteReference w:id="9"/>
      </w:r>
      <w:r>
        <w:rPr>
          <w:rFonts w:ascii="Verdana" w:eastAsiaTheme="minorEastAsia" w:hAnsi="Verdana" w:cs="Arial"/>
          <w:lang w:eastAsia="es-CO"/>
        </w:rPr>
        <w:t xml:space="preserve">. En ambos casos, dichos contratos </w:t>
      </w:r>
      <w:r w:rsidRPr="007B0913">
        <w:rPr>
          <w:rFonts w:ascii="Verdana" w:eastAsiaTheme="minorEastAsia" w:hAnsi="Verdana" w:cs="Arial"/>
          <w:lang w:eastAsia="es-CO"/>
        </w:rPr>
        <w:t>constituyen negocios jurídicos autónomos, con obligaciones</w:t>
      </w:r>
      <w:r>
        <w:rPr>
          <w:rFonts w:ascii="Verdana" w:eastAsiaTheme="minorEastAsia" w:hAnsi="Verdana" w:cs="Arial"/>
          <w:lang w:eastAsia="es-CO"/>
        </w:rPr>
        <w:t xml:space="preserve"> prestacionales precisas y un ciclo contractual regulado por normas imperativas.</w:t>
      </w:r>
    </w:p>
    <w:p w14:paraId="6B0923EA" w14:textId="77777777" w:rsidR="00F065BB" w:rsidRDefault="00F065BB" w:rsidP="00F065BB">
      <w:pPr>
        <w:tabs>
          <w:tab w:val="left" w:pos="7851"/>
        </w:tabs>
        <w:spacing w:after="120" w:line="276" w:lineRule="auto"/>
        <w:ind w:firstLine="680"/>
        <w:jc w:val="both"/>
        <w:rPr>
          <w:rFonts w:ascii="Verdana" w:eastAsiaTheme="minorEastAsia" w:hAnsi="Verdana" w:cs="Arial"/>
          <w:lang w:eastAsia="es-CO"/>
        </w:rPr>
      </w:pPr>
      <w:r>
        <w:rPr>
          <w:rFonts w:ascii="Verdana" w:eastAsiaTheme="minorEastAsia" w:hAnsi="Verdana" w:cs="Arial"/>
          <w:lang w:eastAsia="es-CO"/>
        </w:rPr>
        <w:t>Aunque el convenio interadministrativo pueda prever aportes financieros, condiciones de ejecución, mecanismos de seguimiento o compromisos de coordinación, tales estipulaciones no sustituyen ni modifican el régimen jurídico aplicable a los contratos derivados ni sus reglas sobre responsabilidad, supervisión, interventoría, modificación, terminación y liquidación. El convenio fija el marco de cooperación entre entidades públicas, mientras que el contrato desarrolla la ejecución material de la obra, consultoría o interventoría bajo el régimen contractual que corresponda. Se trata, por tanto, de instrumentos jurídicos diferenciados, unidos por su finalidad, pero regidos por lógicas normativas distintas que deben respetarse para garantizar coherencia y seguridad jurídica.</w:t>
      </w:r>
    </w:p>
    <w:p w14:paraId="58B3C762" w14:textId="77777777" w:rsidR="00F065BB" w:rsidRDefault="00F065BB" w:rsidP="00F065BB">
      <w:pPr>
        <w:tabs>
          <w:tab w:val="left" w:pos="7851"/>
        </w:tabs>
        <w:spacing w:after="120" w:line="276" w:lineRule="auto"/>
        <w:ind w:firstLine="680"/>
        <w:jc w:val="both"/>
        <w:rPr>
          <w:rFonts w:ascii="Verdana" w:eastAsiaTheme="minorEastAsia" w:hAnsi="Verdana" w:cs="Arial"/>
        </w:rPr>
      </w:pPr>
      <w:r>
        <w:rPr>
          <w:rFonts w:ascii="Verdana" w:eastAsiaTheme="minorEastAsia" w:hAnsi="Verdana" w:cs="Arial"/>
          <w:lang w:eastAsia="es-CO"/>
        </w:rPr>
        <w:t xml:space="preserve">En este sentido, la relación entre convenio y contrato debe entenderse como complementaria y funcional, nunca como una subordinación. El convenio </w:t>
      </w:r>
      <w:r>
        <w:rPr>
          <w:rFonts w:ascii="Verdana" w:eastAsiaTheme="minorEastAsia" w:hAnsi="Verdana" w:cs="Arial"/>
          <w:lang w:eastAsia="es-CO"/>
        </w:rPr>
        <w:lastRenderedPageBreak/>
        <w:t xml:space="preserve">interadministrativo —al no estar sujeto al Estatuto General de Contratación— se rige por la autonomía de la voluntad de las partes, de modo que sus cláusulas, su ejecución, su terminación, su liquidación y su cierre financiero dependen de lo pactado entre las entidades cooperantes. </w:t>
      </w:r>
      <w:r w:rsidRPr="007B0913">
        <w:rPr>
          <w:rFonts w:ascii="Verdana" w:eastAsiaTheme="minorEastAsia" w:hAnsi="Verdana" w:cs="Arial"/>
          <w:lang w:eastAsia="es-CO"/>
        </w:rPr>
        <w:t>Los contratos derivados, por su parte, deben cumplir su propio ciclo contractual</w:t>
      </w:r>
      <w:r w:rsidRPr="00714F30">
        <w:rPr>
          <w:rFonts w:ascii="Verdana" w:eastAsiaTheme="minorEastAsia" w:hAnsi="Verdana" w:cs="Arial"/>
          <w:lang w:eastAsia="es-CO"/>
        </w:rPr>
        <w:t xml:space="preserve"> </w:t>
      </w:r>
      <w:r>
        <w:rPr>
          <w:rFonts w:ascii="Verdana" w:eastAsiaTheme="minorEastAsia" w:hAnsi="Verdana" w:cs="Arial"/>
          <w:lang w:eastAsia="es-CO"/>
        </w:rPr>
        <w:t xml:space="preserve">conforme al régimen aplicable, sin que las estipulaciones del convenio puedan alterar su naturaleza, sus obligaciones o sus efectos jurídicos. </w:t>
      </w:r>
      <w:r>
        <w:rPr>
          <w:rFonts w:ascii="Verdana" w:eastAsiaTheme="minorEastAsia" w:hAnsi="Verdana" w:cs="Arial"/>
        </w:rPr>
        <w:t>En todo caso, es pertinente señalar que las contingencias que surjan durante la ejecución, terminación o liquidación del contrato derivado pueden repercutir en el cierre y liquidación del convenio interadministrativo. En efecto, cuando el convenio incorpora obligaciones de reporte, hitos de ejecución, condiciones de desembolso o reglas de cierre financiero vinculadas al avance o culminación del contrato derivado, cualquier variación contractual —retrasos, modificaciones, prórrogas, incumplimientos o ajustes presupuestales— puede incidir en el cumplimiento de las obligaciones interadministrativas.</w:t>
      </w:r>
    </w:p>
    <w:p w14:paraId="03F4F2B7" w14:textId="77777777" w:rsidR="00F065BB" w:rsidRDefault="00F065BB" w:rsidP="00F065BB">
      <w:pPr>
        <w:tabs>
          <w:tab w:val="left" w:pos="7851"/>
        </w:tabs>
        <w:spacing w:after="120" w:line="276" w:lineRule="auto"/>
        <w:ind w:firstLine="680"/>
        <w:jc w:val="both"/>
        <w:rPr>
          <w:rFonts w:ascii="Verdana" w:eastAsiaTheme="minorEastAsia" w:hAnsi="Verdana" w:cs="Arial"/>
          <w:lang w:eastAsia="es-CO"/>
        </w:rPr>
      </w:pPr>
      <w:r>
        <w:rPr>
          <w:rFonts w:ascii="Verdana" w:eastAsiaTheme="minorEastAsia" w:hAnsi="Verdana" w:cs="Arial"/>
          <w:lang w:eastAsia="es-CO"/>
        </w:rPr>
        <w:t xml:space="preserve">Por ello, la relación entre ambos instrumentos exige una adecuada articulación técnica y jurídica: aunque el convenio y el contrato son negocios autónomos, la voluntad de las partes puede generar dependencias funcionales que obligan a sincronizar sus etapas de ejecución y cierre. En tales eventos, las entidades deben prever mecanismos claros de coordinación, reporte y ajuste, de manera que las vicisitudes del contrato no paralicen o desfinancien el convenio, pero sí permitan adoptar las decisiones necesarias para garantizar la correcta administración de los recursos públicos comprometidos. Sobre esta base debe precisarse la improcedencia de la liquidación unilateral en los convenios interadministrativos. </w:t>
      </w:r>
    </w:p>
    <w:p w14:paraId="67101079" w14:textId="77777777" w:rsidR="00F065BB" w:rsidRPr="00904151" w:rsidRDefault="00F065BB" w:rsidP="00F065BB">
      <w:pPr>
        <w:tabs>
          <w:tab w:val="left" w:pos="7851"/>
        </w:tabs>
        <w:spacing w:after="120" w:line="276" w:lineRule="auto"/>
        <w:ind w:firstLine="680"/>
        <w:jc w:val="both"/>
        <w:rPr>
          <w:rFonts w:ascii="Verdana" w:eastAsiaTheme="minorEastAsia" w:hAnsi="Verdana" w:cs="Arial"/>
          <w:lang w:eastAsia="es-CO"/>
        </w:rPr>
      </w:pPr>
      <w:r>
        <w:rPr>
          <w:rFonts w:ascii="Verdana" w:eastAsiaTheme="minorEastAsia" w:hAnsi="Verdana" w:cs="Arial"/>
          <w:lang w:eastAsia="es-CO"/>
        </w:rPr>
        <w:t>Como se expuso, el silencio del convenio sobre potestades exorbitantes no configura una laguna que deba colmarse con el EGCAP, sino la expresión de un régimen paritario en el que ninguna de las entidades cooperantes puede imponer a la otra un corte de cuentas por acto administrativo. Por ello, y en línea con lo unificado en el Concepto C</w:t>
      </w:r>
      <w:r>
        <w:noBreakHyphen/>
      </w:r>
      <w:r>
        <w:rPr>
          <w:rFonts w:ascii="Verdana" w:eastAsiaTheme="minorEastAsia" w:hAnsi="Verdana" w:cs="Arial"/>
          <w:lang w:eastAsia="es-CO"/>
        </w:rPr>
        <w:t>605 del 27 de junio de 2025 y reiterado en el Concepto C</w:t>
      </w:r>
      <w:r>
        <w:noBreakHyphen/>
      </w:r>
      <w:r>
        <w:rPr>
          <w:rFonts w:ascii="Verdana" w:eastAsiaTheme="minorEastAsia" w:hAnsi="Verdana" w:cs="Arial"/>
          <w:lang w:eastAsia="es-CO"/>
        </w:rPr>
        <w:t xml:space="preserve">224 del 11 de marzo de 2026, el cierre financiero y la liquidación del convenio interadministrativo son, por regla general, actuaciones bilaterales que se rigen por lo pactado; la liquidación unilateral —propia de los contratos estatales sujetos a la Ley 80 de 1993— no se traslada automáticamente al convenio. Cosa distinta ocurre con el contrato derivado, cuya liquidación se rige </w:t>
      </w:r>
      <w:r>
        <w:rPr>
          <w:rFonts w:ascii="Verdana" w:eastAsiaTheme="minorEastAsia" w:hAnsi="Verdana" w:cs="Arial"/>
          <w:lang w:eastAsia="es-CO"/>
        </w:rPr>
        <w:lastRenderedPageBreak/>
        <w:t xml:space="preserve">por su propio régimen, según se explica a continuación. Esto, sin perjuicio de que en los convenios interadministrativos se estipule la liquidación unilateral, como se expresó en los precitados conceptos. </w:t>
      </w:r>
    </w:p>
    <w:p w14:paraId="6E54E26C" w14:textId="77777777" w:rsidR="00F065BB" w:rsidRDefault="00F065BB" w:rsidP="00F065BB">
      <w:pPr>
        <w:spacing w:after="0" w:line="276" w:lineRule="auto"/>
        <w:jc w:val="both"/>
        <w:rPr>
          <w:rFonts w:ascii="Verdana" w:eastAsia="Times New Roman" w:hAnsi="Verdana" w:cs="Arial"/>
          <w:color w:val="000000"/>
          <w:lang w:val="es-ES"/>
        </w:rPr>
      </w:pPr>
      <w:proofErr w:type="spellStart"/>
      <w:r>
        <w:rPr>
          <w:rFonts w:ascii="Verdana" w:hAnsi="Verdana"/>
          <w:lang w:val="es-ES" w:eastAsia="es-ES"/>
        </w:rPr>
        <w:t>ii</w:t>
      </w:r>
      <w:proofErr w:type="spellEnd"/>
      <w:r>
        <w:rPr>
          <w:rFonts w:ascii="Verdana" w:hAnsi="Verdana"/>
          <w:lang w:val="es-ES" w:eastAsia="es-ES"/>
        </w:rPr>
        <w:t xml:space="preserve">. </w:t>
      </w:r>
      <w:r>
        <w:rPr>
          <w:rFonts w:ascii="Verdana" w:eastAsia="Times New Roman" w:hAnsi="Verdana" w:cs="Arial"/>
          <w:color w:val="00000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Pr>
          <w:rFonts w:ascii="Verdana" w:eastAsia="Times New Roman" w:hAnsi="Verdana" w:cs="Arial"/>
          <w:color w:val="000000"/>
          <w:vertAlign w:val="superscript"/>
          <w:lang w:val="es-ES"/>
        </w:rPr>
        <w:footnoteReference w:id="10"/>
      </w:r>
      <w:r>
        <w:rPr>
          <w:rFonts w:ascii="Verdana" w:eastAsia="Times New Roman" w:hAnsi="Verdana" w:cs="Arial"/>
          <w:color w:val="000000"/>
          <w:lang w:val="es-ES"/>
        </w:rPr>
        <w:t>. En armonía con lo anterior, la doctrina ha definido la liquidación de la siguiente manera:</w:t>
      </w:r>
    </w:p>
    <w:p w14:paraId="497F3BB9" w14:textId="77777777" w:rsidR="00F065BB" w:rsidRDefault="00F065BB" w:rsidP="00F065BB">
      <w:pPr>
        <w:spacing w:after="0" w:line="276" w:lineRule="auto"/>
        <w:jc w:val="both"/>
        <w:rPr>
          <w:rFonts w:ascii="Verdana" w:eastAsia="Times New Roman" w:hAnsi="Verdana" w:cs="Arial"/>
          <w:color w:val="000000"/>
          <w:lang w:val="es-ES_tradnl"/>
        </w:rPr>
      </w:pPr>
    </w:p>
    <w:p w14:paraId="31231707" w14:textId="77777777" w:rsidR="00F065BB" w:rsidRDefault="00F065BB" w:rsidP="00F065BB">
      <w:pPr>
        <w:spacing w:after="0" w:line="240" w:lineRule="auto"/>
        <w:ind w:left="709" w:right="758"/>
        <w:jc w:val="both"/>
        <w:rPr>
          <w:rFonts w:ascii="Verdana" w:eastAsia="Times New Roman" w:hAnsi="Verdana" w:cs="Arial"/>
          <w:sz w:val="20"/>
          <w:szCs w:val="20"/>
          <w:lang w:val="es-MX"/>
        </w:rPr>
      </w:pPr>
      <w:r>
        <w:rPr>
          <w:rFonts w:ascii="Verdana" w:eastAsia="Times New Roman" w:hAnsi="Verdana" w:cs="Arial"/>
          <w:i/>
          <w:iCs/>
          <w:color w:val="000000"/>
          <w:sz w:val="20"/>
          <w:szCs w:val="20"/>
          <w:lang w:val="es-ES_tradnl"/>
        </w:rPr>
        <w:t>“</w:t>
      </w:r>
      <w:r>
        <w:rPr>
          <w:rFonts w:ascii="Verdana" w:eastAsia="Times New Roman" w:hAnsi="Verdana" w:cs="Arial"/>
          <w:sz w:val="20"/>
          <w:szCs w:val="20"/>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Pr>
          <w:rFonts w:ascii="Verdana" w:eastAsia="Times New Roman" w:hAnsi="Verdana" w:cs="Arial"/>
          <w:sz w:val="20"/>
          <w:szCs w:val="20"/>
          <w:lang w:val="es-MX"/>
        </w:rPr>
        <w:t>ii</w:t>
      </w:r>
      <w:proofErr w:type="spellEnd"/>
      <w:r>
        <w:rPr>
          <w:rFonts w:ascii="Verdana" w:eastAsia="Times New Roman" w:hAnsi="Verdana" w:cs="Arial"/>
          <w:sz w:val="20"/>
          <w:szCs w:val="20"/>
          <w:lang w:val="es-MX"/>
        </w:rPr>
        <w:t>) definir la situación jurídica de las partes, estableciendo si pueden constituirse o no a paz y salvo; lo que exige, en la práctica, que los negociantes dialoguen e intenten ponerse de acuerdo (aspecto subjetivo)”</w:t>
      </w:r>
      <w:r>
        <w:rPr>
          <w:rFonts w:ascii="Verdana" w:eastAsia="Times New Roman" w:hAnsi="Verdana" w:cs="Arial"/>
          <w:sz w:val="20"/>
          <w:szCs w:val="20"/>
          <w:vertAlign w:val="superscript"/>
          <w:lang w:val="es-MX"/>
        </w:rPr>
        <w:footnoteReference w:id="11"/>
      </w:r>
      <w:r>
        <w:rPr>
          <w:rFonts w:ascii="Verdana" w:eastAsia="Times New Roman" w:hAnsi="Verdana" w:cs="Arial"/>
          <w:sz w:val="20"/>
          <w:szCs w:val="20"/>
          <w:lang w:val="es-MX"/>
        </w:rPr>
        <w:t>.</w:t>
      </w:r>
    </w:p>
    <w:p w14:paraId="2A3733D2" w14:textId="77777777" w:rsidR="00F065BB" w:rsidRDefault="00F065BB" w:rsidP="00F065BB">
      <w:pPr>
        <w:spacing w:after="0" w:line="276" w:lineRule="auto"/>
        <w:jc w:val="both"/>
        <w:rPr>
          <w:rFonts w:ascii="Verdana" w:eastAsia="Times New Roman" w:hAnsi="Verdana" w:cs="Arial"/>
          <w:color w:val="000000"/>
          <w:sz w:val="20"/>
          <w:szCs w:val="20"/>
          <w:lang w:val="es-ES_tradnl"/>
        </w:rPr>
      </w:pPr>
    </w:p>
    <w:p w14:paraId="22CBD5AF" w14:textId="77777777" w:rsidR="00F065BB" w:rsidRDefault="00F065BB" w:rsidP="00F065BB">
      <w:pPr>
        <w:spacing w:after="120" w:line="276" w:lineRule="auto"/>
        <w:ind w:firstLine="709"/>
        <w:jc w:val="both"/>
        <w:rPr>
          <w:rFonts w:ascii="Verdana" w:eastAsia="Times New Roman" w:hAnsi="Verdana" w:cs="Arial"/>
          <w:color w:val="000000"/>
          <w:sz w:val="21"/>
          <w:szCs w:val="21"/>
          <w:lang w:val="es-ES_tradnl" w:eastAsia="es-ES_tradnl"/>
        </w:rPr>
      </w:pPr>
      <w:r>
        <w:rPr>
          <w:rFonts w:ascii="Verdana" w:eastAsia="Times New Roman" w:hAnsi="Verdana" w:cs="Arial"/>
          <w:color w:val="000000"/>
          <w:szCs w:val="24"/>
          <w:lang w:val="es-ES_tradnl" w:eastAsia="es-ES_tradnl"/>
        </w:rPr>
        <w:lastRenderedPageBreak/>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Pr>
          <w:rFonts w:ascii="Verdana" w:eastAsia="Times New Roman" w:hAnsi="Verdana" w:cs="Arial"/>
          <w:i/>
          <w:iCs/>
          <w:color w:val="000000"/>
          <w:szCs w:val="24"/>
          <w:lang w:val="es-ES_tradnl" w:eastAsia="es-ES_tradnl"/>
        </w:rPr>
        <w:t>liquidar</w:t>
      </w:r>
      <w:r>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Pr>
          <w:rFonts w:ascii="Verdana" w:eastAsia="Times New Roman" w:hAnsi="Verdana" w:cs="Arial"/>
          <w:i/>
          <w:iCs/>
          <w:color w:val="000000"/>
          <w:szCs w:val="24"/>
          <w:lang w:val="es-ES_tradnl" w:eastAsia="es-ES_tradnl"/>
        </w:rPr>
        <w:t>liquidación</w:t>
      </w:r>
      <w:r>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Pr>
          <w:rFonts w:ascii="Verdana" w:eastAsia="Times New Roman" w:hAnsi="Verdana" w:cs="Arial"/>
          <w:color w:val="000000"/>
          <w:szCs w:val="24"/>
          <w:vertAlign w:val="superscript"/>
          <w:lang w:val="es-ES_tradnl" w:eastAsia="es-ES_tradnl"/>
        </w:rPr>
        <w:footnoteReference w:id="12"/>
      </w:r>
      <w:r>
        <w:rPr>
          <w:rFonts w:ascii="Verdana" w:eastAsia="Times New Roman" w:hAnsi="Verdana" w:cs="Arial"/>
          <w:color w:val="000000"/>
          <w:szCs w:val="24"/>
          <w:lang w:val="es-ES_tradnl" w:eastAsia="es-ES_tradnl"/>
        </w:rPr>
        <w:t xml:space="preserve">. </w:t>
      </w:r>
    </w:p>
    <w:p w14:paraId="00D15E9D" w14:textId="77777777" w:rsidR="00F065BB" w:rsidRDefault="00F065BB" w:rsidP="00F065BB">
      <w:pPr>
        <w:spacing w:after="0" w:line="276" w:lineRule="auto"/>
        <w:ind w:firstLine="709"/>
        <w:jc w:val="both"/>
        <w:rPr>
          <w:rFonts w:ascii="Verdana" w:eastAsia="Times New Roman" w:hAnsi="Verdana" w:cs="Arial"/>
          <w:color w:val="000000"/>
          <w:lang w:val="es-ES_tradnl"/>
        </w:rPr>
      </w:pPr>
      <w:r>
        <w:rPr>
          <w:rFonts w:ascii="Verdana" w:eastAsia="Times New Roman" w:hAnsi="Verdana" w:cs="Arial"/>
          <w:color w:val="000000"/>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7B275DCF" w14:textId="77777777" w:rsidR="00F065BB" w:rsidRDefault="00F065BB" w:rsidP="00F065BB">
      <w:pPr>
        <w:spacing w:after="0" w:line="276" w:lineRule="auto"/>
        <w:ind w:firstLine="708"/>
        <w:jc w:val="both"/>
        <w:rPr>
          <w:rFonts w:ascii="Verdana" w:eastAsia="Times New Roman" w:hAnsi="Verdana" w:cs="Arial"/>
          <w:lang w:val="es-ES"/>
        </w:rPr>
      </w:pPr>
    </w:p>
    <w:p w14:paraId="3046D7EB" w14:textId="77777777" w:rsidR="00F065BB" w:rsidRDefault="00F065BB" w:rsidP="00F065BB">
      <w:pPr>
        <w:spacing w:after="0" w:line="240" w:lineRule="auto"/>
        <w:ind w:left="709" w:right="758"/>
        <w:jc w:val="both"/>
        <w:rPr>
          <w:rFonts w:ascii="Verdana" w:eastAsia="Times New Roman" w:hAnsi="Verdana" w:cs="Arial"/>
          <w:sz w:val="20"/>
          <w:szCs w:val="20"/>
          <w:lang w:val="es-MX"/>
        </w:rPr>
      </w:pPr>
      <w:r>
        <w:rPr>
          <w:rFonts w:ascii="Verdana" w:eastAsia="Times New Roman" w:hAnsi="Verdana" w:cs="Arial"/>
          <w:sz w:val="20"/>
          <w:szCs w:val="20"/>
          <w:lang w:val="es-ES"/>
        </w:rPr>
        <w:t>“</w:t>
      </w:r>
      <w:r>
        <w:rPr>
          <w:rFonts w:ascii="Verdana" w:eastAsia="Times New Roman" w:hAnsi="Verdana" w:cs="Arial"/>
          <w:sz w:val="20"/>
          <w:szCs w:val="20"/>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Pr>
          <w:rFonts w:ascii="Verdana" w:eastAsia="Times New Roman" w:hAnsi="Verdana" w:cs="Arial"/>
          <w:sz w:val="20"/>
          <w:szCs w:val="20"/>
          <w:vertAlign w:val="superscript"/>
          <w:lang w:val="es-MX"/>
        </w:rPr>
        <w:footnoteReference w:id="13"/>
      </w:r>
      <w:r>
        <w:rPr>
          <w:rFonts w:ascii="Verdana" w:eastAsia="Times New Roman" w:hAnsi="Verdana" w:cs="Arial"/>
          <w:sz w:val="20"/>
          <w:szCs w:val="20"/>
          <w:lang w:val="es-MX"/>
        </w:rPr>
        <w:t>.</w:t>
      </w:r>
    </w:p>
    <w:p w14:paraId="28D63235" w14:textId="77777777" w:rsidR="00F065BB" w:rsidRDefault="00F065BB" w:rsidP="00F065BB">
      <w:pPr>
        <w:spacing w:after="0" w:line="276" w:lineRule="auto"/>
        <w:ind w:left="709" w:right="758"/>
        <w:jc w:val="both"/>
        <w:rPr>
          <w:rFonts w:ascii="Verdana" w:eastAsia="Times New Roman" w:hAnsi="Verdana" w:cs="Arial"/>
          <w:sz w:val="20"/>
          <w:szCs w:val="20"/>
          <w:lang w:val="es-MX"/>
        </w:rPr>
      </w:pPr>
    </w:p>
    <w:p w14:paraId="3C50DAF2" w14:textId="77777777" w:rsidR="00F065BB" w:rsidRDefault="00F065BB" w:rsidP="00F065BB">
      <w:pPr>
        <w:spacing w:after="120" w:line="276" w:lineRule="auto"/>
        <w:ind w:firstLine="708"/>
        <w:jc w:val="both"/>
        <w:rPr>
          <w:rFonts w:ascii="Verdana" w:eastAsia="Times New Roman" w:hAnsi="Verdana" w:cs="Arial"/>
          <w:color w:val="000000"/>
          <w:lang w:val="es-ES_tradnl"/>
        </w:rPr>
      </w:pPr>
      <w:r>
        <w:rPr>
          <w:rFonts w:ascii="Verdana" w:eastAsia="Times New Roman" w:hAnsi="Verdana" w:cs="Arial"/>
          <w:color w:val="000000"/>
          <w:lang w:val="es-MX"/>
        </w:rPr>
        <w:t xml:space="preserve">De </w:t>
      </w:r>
      <w:r>
        <w:rPr>
          <w:rFonts w:ascii="Verdana" w:eastAsia="Times New Roman" w:hAnsi="Verdana" w:cs="Arial"/>
          <w:color w:val="000000"/>
          <w:lang w:val="es-ES_tradnl"/>
        </w:rPr>
        <w:t xml:space="preserve">acuerdo con el artículo 60 de la Ley 80 de 1993, los contratos de tracto sucesivo, aquellos cuyo cumplimiento o ejecución se prolongue en el tiempo y los demás que lo requieran “serán objeto de liquidación”. El mismo artículo </w:t>
      </w:r>
      <w:r>
        <w:rPr>
          <w:rFonts w:ascii="Verdana" w:eastAsia="Times New Roman" w:hAnsi="Verdana" w:cs="Arial"/>
          <w:color w:val="000000"/>
          <w:lang w:val="es-ES_tradnl"/>
        </w:rPr>
        <w:lastRenderedPageBreak/>
        <w:t>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Pr>
          <w:rFonts w:ascii="Verdana" w:eastAsia="Times New Roman" w:hAnsi="Verdana" w:cs="Arial"/>
          <w:color w:val="000000"/>
          <w:vertAlign w:val="superscript"/>
          <w:lang w:val="es-ES_tradnl"/>
        </w:rPr>
        <w:footnoteReference w:id="14"/>
      </w:r>
      <w:r>
        <w:rPr>
          <w:rFonts w:ascii="Verdana" w:eastAsia="Times New Roman" w:hAnsi="Verdana" w:cs="Arial"/>
          <w:color w:val="000000"/>
          <w:lang w:val="es-ES_tradnl"/>
        </w:rPr>
        <w:t xml:space="preserve">, así como la probabilidad de que puedan surgir diferencias durante la ejecución del contrato; sin perjuicio de que, como se indicó, todos los contratos estatales de </w:t>
      </w:r>
      <w:r>
        <w:rPr>
          <w:rFonts w:ascii="Verdana" w:eastAsia="Times New Roman" w:hAnsi="Verdana" w:cs="Arial"/>
          <w:i/>
          <w:iCs/>
          <w:color w:val="000000"/>
          <w:lang w:val="es-ES_tradnl"/>
        </w:rPr>
        <w:t>tracto sucesivo</w:t>
      </w:r>
      <w:r>
        <w:rPr>
          <w:rFonts w:ascii="Verdana" w:eastAsia="Times New Roman" w:hAnsi="Verdana" w:cs="Arial"/>
          <w:color w:val="000000"/>
          <w:lang w:val="es-ES_tradnl"/>
        </w:rPr>
        <w:t xml:space="preserve"> o aquellos cuya ejecución se prolongue en el tiempo siempre deban liquidarse, convirtiéndose en estos contratos en una cláusula de la naturaleza, conforme a la clasificación prevista en el Código Civil. </w:t>
      </w:r>
    </w:p>
    <w:p w14:paraId="04EC3887" w14:textId="77777777" w:rsidR="00F065BB" w:rsidRDefault="00F065BB" w:rsidP="00F065BB">
      <w:pPr>
        <w:spacing w:after="120" w:line="276" w:lineRule="auto"/>
        <w:ind w:firstLine="708"/>
        <w:jc w:val="both"/>
        <w:rPr>
          <w:rFonts w:ascii="Verdana" w:eastAsia="Times New Roman" w:hAnsi="Verdana" w:cs="Arial"/>
          <w:color w:val="000000"/>
        </w:rPr>
      </w:pPr>
      <w:r>
        <w:rPr>
          <w:rFonts w:ascii="Verdana" w:eastAsia="Times New Roman" w:hAnsi="Verdana" w:cs="Arial"/>
          <w:color w:val="000000"/>
        </w:rPr>
        <w:t>No obstante lo anterior, debe enfatizarse que las disposiciones del Estatuto General de Contratación de la Administración Pública son exigibles únicamente para las entidades sometidas a dicho régimen, y no para los convenios interadministrativos, cuya naturaleza jurídica se fundamenta en la autonomía de la voluntad de las partes. Por ello, las reglas sobre etapas contractuales, procedimientos de liquidación, cláusulas obligatorias o efectos propios de los contratos estatales no se trasladan automáticamente a los convenios.</w:t>
      </w:r>
    </w:p>
    <w:p w14:paraId="754158E0" w14:textId="77777777" w:rsidR="00F065BB" w:rsidRDefault="00F065BB" w:rsidP="00F065BB">
      <w:pPr>
        <w:spacing w:after="120" w:line="276" w:lineRule="auto"/>
        <w:ind w:firstLine="708"/>
        <w:jc w:val="both"/>
        <w:rPr>
          <w:rFonts w:ascii="Verdana" w:eastAsia="Times New Roman" w:hAnsi="Verdana" w:cs="Arial"/>
          <w:color w:val="000000"/>
          <w:lang w:val="es-ES"/>
        </w:rPr>
      </w:pPr>
      <w:r>
        <w:rPr>
          <w:rFonts w:ascii="Verdana" w:eastAsia="Times New Roman" w:hAnsi="Verdana" w:cs="Arial"/>
          <w:color w:val="000000"/>
        </w:rPr>
        <w:t xml:space="preserve">En particular, respecto de las Empresas Sociales del Estado </w:t>
      </w:r>
      <w:r w:rsidRPr="001522DF">
        <w:rPr>
          <w:rFonts w:ascii="Verdana" w:eastAsia="Times New Roman" w:hAnsi="Verdana" w:cs="Arial"/>
          <w:color w:val="000000"/>
          <w:lang w:val="es-MX"/>
        </w:rPr>
        <w:t>–ESE–</w:t>
      </w:r>
      <w:r w:rsidRPr="001522DF">
        <w:rPr>
          <w:rFonts w:ascii="Verdana" w:eastAsia="Times New Roman" w:hAnsi="Verdana" w:cs="Arial"/>
          <w:color w:val="000000"/>
          <w:lang w:val="es-ES"/>
        </w:rPr>
        <w:t xml:space="preserve"> </w:t>
      </w:r>
      <w:r>
        <w:rPr>
          <w:rFonts w:ascii="Verdana" w:eastAsia="Times New Roman" w:hAnsi="Verdana" w:cs="Arial"/>
          <w:color w:val="000000"/>
          <w:lang w:val="es-ES"/>
        </w:rPr>
        <w:t xml:space="preserve">es preciso señalar </w:t>
      </w:r>
      <w:r>
        <w:rPr>
          <w:rFonts w:ascii="Verdana" w:eastAsia="Times New Roman" w:hAnsi="Verdana" w:cs="Arial"/>
          <w:color w:val="000000"/>
        </w:rPr>
        <w:t xml:space="preserve">que </w:t>
      </w:r>
      <w:r w:rsidRPr="001522DF">
        <w:rPr>
          <w:rFonts w:ascii="Verdana" w:eastAsia="Times New Roman" w:hAnsi="Verdana" w:cs="Arial"/>
          <w:color w:val="000000"/>
        </w:rPr>
        <w:t xml:space="preserve">de conformidad con el numeral 6 del artículo 195 de la Ley 100 de 1993, </w:t>
      </w:r>
      <w:r>
        <w:rPr>
          <w:rFonts w:ascii="Verdana" w:eastAsia="Times New Roman" w:hAnsi="Verdana" w:cs="Arial"/>
          <w:color w:val="000000"/>
        </w:rPr>
        <w:t xml:space="preserve">estas cuentan con un </w:t>
      </w:r>
      <w:r w:rsidRPr="001522DF">
        <w:rPr>
          <w:rFonts w:ascii="Verdana" w:eastAsia="Times New Roman" w:hAnsi="Verdana" w:cs="Arial"/>
          <w:color w:val="000000"/>
        </w:rPr>
        <w:t xml:space="preserve">régimen de contratación de derecho privado, es decir, se rige por las disposiciones contenidas en el Código de Comercio y en el Código Civil, aplicables en lo que resulten pertinentes, salvo en las materias particularmente reguladas por el derecho público. </w:t>
      </w:r>
      <w:r w:rsidRPr="001522DF">
        <w:rPr>
          <w:rFonts w:ascii="Verdana" w:eastAsia="Times New Roman" w:hAnsi="Verdana" w:cs="Arial"/>
          <w:color w:val="000000"/>
          <w:lang w:val="es-ES"/>
        </w:rPr>
        <w:t xml:space="preserve">En consecuencia, </w:t>
      </w:r>
      <w:r w:rsidRPr="001522DF">
        <w:rPr>
          <w:rFonts w:ascii="Verdana" w:eastAsia="Times New Roman" w:hAnsi="Verdana" w:cs="Arial"/>
          <w:color w:val="000000"/>
          <w:lang w:val="es-MX"/>
        </w:rPr>
        <w:t>las –ESE–</w:t>
      </w:r>
      <w:r w:rsidRPr="001522DF">
        <w:rPr>
          <w:rFonts w:ascii="Verdana" w:eastAsia="Times New Roman" w:hAnsi="Verdana" w:cs="Arial"/>
          <w:color w:val="000000"/>
          <w:lang w:val="es-ES"/>
        </w:rPr>
        <w:t xml:space="preserve"> </w:t>
      </w:r>
      <w:r w:rsidRPr="001522DF">
        <w:rPr>
          <w:rFonts w:ascii="Verdana" w:eastAsia="Times New Roman" w:hAnsi="Verdana" w:cs="Arial"/>
          <w:color w:val="000000"/>
          <w:lang w:val="es-MX"/>
        </w:rPr>
        <w:t xml:space="preserve">no están sometidas al EGCAP ni a las normas que lo reglamentan o complementan, ya que, por disposición expresa de la norma transcrita, sus </w:t>
      </w:r>
      <w:r w:rsidRPr="001522DF">
        <w:rPr>
          <w:rFonts w:ascii="Verdana" w:eastAsia="Times New Roman" w:hAnsi="Verdana" w:cs="Arial"/>
          <w:color w:val="000000"/>
          <w:lang w:val="es-ES"/>
        </w:rPr>
        <w:t xml:space="preserve">contratos se rigen por el derecho privado. </w:t>
      </w:r>
    </w:p>
    <w:p w14:paraId="66FB6E4D" w14:textId="77777777" w:rsidR="00F065BB" w:rsidRPr="00982A5F" w:rsidRDefault="00F065BB" w:rsidP="00F065BB">
      <w:pPr>
        <w:spacing w:after="120" w:line="276" w:lineRule="auto"/>
        <w:ind w:firstLine="708"/>
        <w:jc w:val="both"/>
        <w:rPr>
          <w:rFonts w:ascii="Verdana" w:eastAsia="Times New Roman" w:hAnsi="Verdana" w:cs="Arial"/>
          <w:color w:val="000000"/>
        </w:rPr>
      </w:pPr>
      <w:r w:rsidRPr="00982A5F">
        <w:rPr>
          <w:rFonts w:ascii="Verdana" w:eastAsia="Times New Roman" w:hAnsi="Verdana" w:cs="Arial"/>
          <w:color w:val="000000"/>
        </w:rPr>
        <w:t xml:space="preserve">En este escenario, para determinar las condiciones en las que procede la </w:t>
      </w:r>
      <w:r>
        <w:rPr>
          <w:rFonts w:ascii="Verdana" w:eastAsia="Times New Roman" w:hAnsi="Verdana" w:cs="Arial"/>
          <w:color w:val="000000"/>
        </w:rPr>
        <w:t xml:space="preserve">reactivación, terminación </w:t>
      </w:r>
      <w:r w:rsidRPr="00982A5F">
        <w:rPr>
          <w:rFonts w:ascii="Verdana" w:eastAsia="Times New Roman" w:hAnsi="Verdana" w:cs="Arial"/>
          <w:color w:val="000000"/>
        </w:rPr>
        <w:t>y liquidación del convenio interadministrativo cuando los contratos derivados de su ejecución se encuentran sometidos a controversias</w:t>
      </w:r>
      <w:r>
        <w:rPr>
          <w:rFonts w:ascii="Verdana" w:eastAsia="Times New Roman" w:hAnsi="Verdana" w:cs="Arial"/>
          <w:color w:val="000000"/>
        </w:rPr>
        <w:t xml:space="preserve"> administrativas o</w:t>
      </w:r>
      <w:r w:rsidRPr="00982A5F">
        <w:rPr>
          <w:rFonts w:ascii="Verdana" w:eastAsia="Times New Roman" w:hAnsi="Verdana" w:cs="Arial"/>
          <w:color w:val="000000"/>
        </w:rPr>
        <w:t xml:space="preserve"> judiciales, es necesario distinguir el régimen jurídico aplicable a cada negocio, el alcance de las obligaciones asumidas por las partes y las </w:t>
      </w:r>
      <w:r w:rsidRPr="00982A5F">
        <w:rPr>
          <w:rFonts w:ascii="Verdana" w:eastAsia="Times New Roman" w:hAnsi="Verdana" w:cs="Arial"/>
          <w:color w:val="000000"/>
        </w:rPr>
        <w:lastRenderedPageBreak/>
        <w:t>reglas presupuestales que gobiernan las obligaciones económicas que puedan surgir de su ejecución.</w:t>
      </w:r>
    </w:p>
    <w:p w14:paraId="56C37396" w14:textId="77777777" w:rsidR="00F065BB" w:rsidRPr="00982A5F" w:rsidRDefault="00F065BB" w:rsidP="00F065BB">
      <w:pPr>
        <w:spacing w:after="120" w:line="276" w:lineRule="auto"/>
        <w:ind w:firstLine="708"/>
        <w:jc w:val="both"/>
        <w:rPr>
          <w:rFonts w:ascii="Verdana" w:eastAsia="Times New Roman" w:hAnsi="Verdana" w:cs="Arial"/>
          <w:color w:val="000000"/>
        </w:rPr>
      </w:pPr>
      <w:r>
        <w:rPr>
          <w:rFonts w:ascii="Verdana" w:eastAsia="Times New Roman" w:hAnsi="Verdana" w:cs="Arial"/>
          <w:color w:val="000000"/>
        </w:rPr>
        <w:t>De esta forma</w:t>
      </w:r>
      <w:r w:rsidRPr="00982A5F">
        <w:rPr>
          <w:rFonts w:ascii="Verdana" w:eastAsia="Times New Roman" w:hAnsi="Verdana" w:cs="Arial"/>
          <w:color w:val="000000"/>
        </w:rPr>
        <w:t>, teniendo en cuenta que las</w:t>
      </w:r>
      <w:r>
        <w:rPr>
          <w:rFonts w:ascii="Verdana" w:eastAsia="Times New Roman" w:hAnsi="Verdana" w:cs="Arial"/>
          <w:color w:val="000000"/>
        </w:rPr>
        <w:t xml:space="preserve"> </w:t>
      </w:r>
      <w:r w:rsidRPr="001522DF">
        <w:rPr>
          <w:rFonts w:ascii="Verdana" w:eastAsia="Times New Roman" w:hAnsi="Verdana" w:cs="Arial"/>
          <w:color w:val="000000"/>
          <w:lang w:val="es-MX"/>
        </w:rPr>
        <w:t>–ESE–</w:t>
      </w:r>
      <w:r>
        <w:rPr>
          <w:rFonts w:ascii="Verdana" w:eastAsia="Times New Roman" w:hAnsi="Verdana" w:cs="Arial"/>
          <w:color w:val="000000"/>
          <w:lang w:val="es-MX"/>
        </w:rPr>
        <w:t xml:space="preserve"> </w:t>
      </w:r>
      <w:r w:rsidRPr="00982A5F">
        <w:rPr>
          <w:rFonts w:ascii="Verdana" w:eastAsia="Times New Roman" w:hAnsi="Verdana" w:cs="Arial"/>
          <w:color w:val="000000"/>
        </w:rPr>
        <w:t>se encuentran sometidas a un régimen contractual de derecho privado, corresponde a las partes del convenio interadministrativo establecer expresamente las condiciones, procedimientos y efectos de su liquidación, con sujeción a</w:t>
      </w:r>
      <w:r>
        <w:rPr>
          <w:rFonts w:ascii="Verdana" w:eastAsia="Times New Roman" w:hAnsi="Verdana" w:cs="Arial"/>
          <w:color w:val="000000"/>
        </w:rPr>
        <w:t xml:space="preserve"> las normas</w:t>
      </w:r>
      <w:r w:rsidRPr="00982A5F">
        <w:rPr>
          <w:rFonts w:ascii="Verdana" w:eastAsia="Times New Roman" w:hAnsi="Verdana" w:cs="Arial"/>
          <w:color w:val="000000"/>
        </w:rPr>
        <w:t xml:space="preserve"> aplicable</w:t>
      </w:r>
      <w:r>
        <w:rPr>
          <w:rFonts w:ascii="Verdana" w:eastAsia="Times New Roman" w:hAnsi="Verdana" w:cs="Arial"/>
          <w:color w:val="000000"/>
        </w:rPr>
        <w:t>s</w:t>
      </w:r>
      <w:r w:rsidRPr="00982A5F">
        <w:rPr>
          <w:rFonts w:ascii="Verdana" w:eastAsia="Times New Roman" w:hAnsi="Verdana" w:cs="Arial"/>
          <w:color w:val="000000"/>
        </w:rPr>
        <w:t>. Para ello, podrán determinar los mecanismos de cierre financiero, verificación de aportes</w:t>
      </w:r>
      <w:r>
        <w:rPr>
          <w:rFonts w:ascii="Verdana" w:eastAsia="Times New Roman" w:hAnsi="Verdana" w:cs="Arial"/>
          <w:color w:val="000000"/>
        </w:rPr>
        <w:t>,</w:t>
      </w:r>
      <w:r w:rsidRPr="00982A5F">
        <w:rPr>
          <w:rFonts w:ascii="Verdana" w:eastAsia="Times New Roman" w:hAnsi="Verdana" w:cs="Arial"/>
          <w:color w:val="000000"/>
        </w:rPr>
        <w:t xml:space="preserve"> cumplimiento de compromisos y de los acuerdos alcanzados. En consecuencia, el alcance de la liquidación deberá establecerse a partir de las estipulaciones convenidas, sin perjuicio de las normas imperativas que resulten aplicables</w:t>
      </w:r>
      <w:r>
        <w:rPr>
          <w:rFonts w:ascii="Verdana" w:eastAsia="Times New Roman" w:hAnsi="Verdana" w:cs="Arial"/>
          <w:color w:val="000000"/>
        </w:rPr>
        <w:t>.</w:t>
      </w:r>
    </w:p>
    <w:p w14:paraId="233625C0" w14:textId="77777777" w:rsidR="00F065BB" w:rsidRDefault="00F065BB" w:rsidP="00F065BB">
      <w:pPr>
        <w:spacing w:after="120" w:line="276" w:lineRule="auto"/>
        <w:ind w:firstLine="708"/>
        <w:jc w:val="both"/>
        <w:rPr>
          <w:rFonts w:ascii="Verdana" w:eastAsia="Times New Roman" w:hAnsi="Verdana" w:cs="Arial"/>
          <w:color w:val="000000"/>
        </w:rPr>
      </w:pPr>
      <w:r w:rsidRPr="00982A5F">
        <w:rPr>
          <w:rFonts w:ascii="Verdana" w:eastAsia="Times New Roman" w:hAnsi="Verdana" w:cs="Arial"/>
          <w:color w:val="000000"/>
        </w:rPr>
        <w:t xml:space="preserve">Por su parte, </w:t>
      </w:r>
      <w:r>
        <w:rPr>
          <w:rFonts w:ascii="Verdana" w:eastAsia="Times New Roman" w:hAnsi="Verdana" w:cs="Arial"/>
          <w:color w:val="000000"/>
        </w:rPr>
        <w:t xml:space="preserve">como se explicó, </w:t>
      </w:r>
      <w:r w:rsidRPr="00982A5F">
        <w:rPr>
          <w:rFonts w:ascii="Verdana" w:eastAsia="Times New Roman" w:hAnsi="Verdana" w:cs="Arial"/>
          <w:color w:val="000000"/>
        </w:rPr>
        <w:t xml:space="preserve">los contratos derivados celebrados para ejecutar el convenio constituyen negocios jurídicos diferenciados, cuya ejecución, terminación y liquidación se rigen por el régimen contractual que les resulte aplicable. </w:t>
      </w:r>
      <w:r>
        <w:rPr>
          <w:rFonts w:ascii="Verdana" w:eastAsia="Times New Roman" w:hAnsi="Verdana" w:cs="Arial"/>
          <w:color w:val="000000"/>
        </w:rPr>
        <w:t>De esta forma, la liquidación del convenio y la liquidación de los contratos derivados son actuaciones distintas —con partes, régimen y finalidad diferentes— que no deben confundirse ni subordinarse la una a la otra. Las obligaciones causadas en el contrato —actas parciales, informes de avance, reconocimientos económicos, ajustes o revisiones derivadas de la ejecución— pueden y deben formalizarse conforme a su propio régimen jurídico, incluso si el convenio que lo soporta ha vencido.</w:t>
      </w:r>
    </w:p>
    <w:p w14:paraId="6F52EB92" w14:textId="77777777" w:rsidR="00F065BB" w:rsidRDefault="00F065BB" w:rsidP="00F065BB">
      <w:pPr>
        <w:spacing w:after="120" w:line="276" w:lineRule="auto"/>
        <w:ind w:firstLine="708"/>
        <w:jc w:val="both"/>
        <w:rPr>
          <w:rFonts w:ascii="Verdana" w:eastAsia="Times New Roman" w:hAnsi="Verdana" w:cs="Arial"/>
          <w:color w:val="000000"/>
        </w:rPr>
      </w:pPr>
      <w:r w:rsidRPr="00791F89">
        <w:rPr>
          <w:rFonts w:ascii="Verdana" w:eastAsia="Times New Roman" w:hAnsi="Verdana" w:cs="Arial"/>
          <w:color w:val="000000"/>
        </w:rPr>
        <w:t>No obstante, la autonomía jurídica de estos negocios no significa que la liquidación del convenio interadministrativo deba adelantarse necesariamente al margen de la situación de los contratos derivados. Para determinar la procedencia y las condiciones de aquella, resulta fundamental examinar lo estipulado por las partes respecto de la ejecución, terminación y liquidación de los contratos derivados, así como las obligaciones pendientes y los mecanismos previstos para el cierre del convenio. En particular, si las partes condicionaron expresamente su liquidación a la finalización o liquidación de los contratos derivados, deberá establecerse el alcance de esa estipulación y sus efectos, atendiendo al régimen jurídico aplicable. En cambio, si no existe tal condicionamiento, será necesario determinar si las obligaciones y compromisos propios del convenio pueden establecerse y formalizarse de manera independiente, sin desconocer las obligaciones pendientes ni las contingencias que puedan incidir en su cierre.</w:t>
      </w:r>
    </w:p>
    <w:p w14:paraId="5B24426A" w14:textId="77777777" w:rsidR="00F065BB" w:rsidRDefault="00F065BB" w:rsidP="00F065BB">
      <w:pPr>
        <w:spacing w:after="120" w:line="276" w:lineRule="auto"/>
        <w:ind w:firstLine="708"/>
        <w:jc w:val="both"/>
        <w:rPr>
          <w:rFonts w:ascii="Verdana" w:eastAsia="Times New Roman" w:hAnsi="Verdana" w:cs="Arial"/>
          <w:color w:val="000000"/>
        </w:rPr>
      </w:pPr>
      <w:r w:rsidRPr="00023768">
        <w:rPr>
          <w:rFonts w:ascii="Verdana" w:eastAsia="Times New Roman" w:hAnsi="Verdana" w:cs="Arial"/>
          <w:color w:val="000000"/>
        </w:rPr>
        <w:lastRenderedPageBreak/>
        <w:t>En ese contexto, la existencia de contratos derivados sometidos a</w:t>
      </w:r>
      <w:r>
        <w:rPr>
          <w:rFonts w:ascii="Verdana" w:eastAsia="Times New Roman" w:hAnsi="Verdana" w:cs="Arial"/>
          <w:color w:val="000000"/>
        </w:rPr>
        <w:t xml:space="preserve"> procesos judiciales </w:t>
      </w:r>
      <w:r w:rsidRPr="00023768">
        <w:rPr>
          <w:rFonts w:ascii="Verdana" w:eastAsia="Times New Roman" w:hAnsi="Verdana" w:cs="Arial"/>
          <w:color w:val="000000"/>
        </w:rPr>
        <w:t>no permite concluir, por sí sola, que resulte jurídicamente imposible adelantar las actuaciones necesarias para la liquidación del convenio interadministrativo</w:t>
      </w:r>
      <w:r>
        <w:rPr>
          <w:rFonts w:ascii="Verdana" w:eastAsia="Times New Roman" w:hAnsi="Verdana" w:cs="Arial"/>
          <w:color w:val="000000"/>
        </w:rPr>
        <w:t>, ya que l</w:t>
      </w:r>
      <w:r w:rsidRPr="00023768">
        <w:rPr>
          <w:rFonts w:ascii="Verdana" w:eastAsia="Times New Roman" w:hAnsi="Verdana" w:cs="Arial"/>
          <w:color w:val="000000"/>
        </w:rPr>
        <w:t xml:space="preserve">a viabilidad de estas actuaciones dependerá de las circunstancias </w:t>
      </w:r>
      <w:r>
        <w:rPr>
          <w:rFonts w:ascii="Verdana" w:eastAsia="Times New Roman" w:hAnsi="Verdana" w:cs="Arial"/>
          <w:color w:val="000000"/>
        </w:rPr>
        <w:t xml:space="preserve">concretas, </w:t>
      </w:r>
      <w:r w:rsidRPr="00023768">
        <w:rPr>
          <w:rFonts w:ascii="Verdana" w:eastAsia="Times New Roman" w:hAnsi="Verdana" w:cs="Arial"/>
          <w:color w:val="000000"/>
        </w:rPr>
        <w:t xml:space="preserve">de la posibilidad de continuar su </w:t>
      </w:r>
      <w:r>
        <w:rPr>
          <w:rFonts w:ascii="Verdana" w:eastAsia="Times New Roman" w:hAnsi="Verdana" w:cs="Arial"/>
          <w:color w:val="000000"/>
        </w:rPr>
        <w:t xml:space="preserve">ejecución, </w:t>
      </w:r>
      <w:r w:rsidRPr="00023768">
        <w:rPr>
          <w:rFonts w:ascii="Verdana" w:eastAsia="Times New Roman" w:hAnsi="Verdana" w:cs="Arial"/>
          <w:color w:val="000000"/>
        </w:rPr>
        <w:t>de las estipulaciones convenidas y del estado de las obligaciones pendientes. En todo caso, las entidades deberán evaluar si es posible efectuar el cierre material y financiero del convenio, determinar los compromisos efectivamente cumplidos y establecer las obligaciones ciertas a su cargo, sin anticipar el resultado de las controversias judiciales ni desconocer los efectos que estas puedan producir</w:t>
      </w:r>
      <w:r>
        <w:rPr>
          <w:rFonts w:ascii="Verdana" w:eastAsia="Times New Roman" w:hAnsi="Verdana" w:cs="Arial"/>
          <w:color w:val="000000"/>
        </w:rPr>
        <w:t xml:space="preserve"> y en dado caso, se deberán dejar todas las constancias correspondientes en la respectiva acta de liquidación.</w:t>
      </w:r>
    </w:p>
    <w:p w14:paraId="1914B873" w14:textId="77777777" w:rsidR="00F065BB" w:rsidRDefault="00F065BB" w:rsidP="00F065BB">
      <w:pPr>
        <w:spacing w:after="120" w:line="276" w:lineRule="auto"/>
        <w:ind w:firstLine="708"/>
        <w:jc w:val="both"/>
        <w:rPr>
          <w:rFonts w:ascii="Verdana" w:eastAsia="Times New Roman" w:hAnsi="Verdana" w:cs="Arial"/>
          <w:color w:val="000000"/>
        </w:rPr>
      </w:pPr>
      <w:r w:rsidRPr="007B0913">
        <w:rPr>
          <w:rFonts w:ascii="Verdana" w:eastAsia="Times New Roman" w:hAnsi="Verdana" w:cs="Arial"/>
          <w:color w:val="000000"/>
        </w:rPr>
        <w:t>Por lo demás, en tanto el convenio interadministrativo se gobierna por la autonomía de la voluntad, la suspensión, la reactivación y la terminación anticipada se rigen por lo pactado y no por las reglas que el Estatuto General prevé para los contratos estatales. La suspensión no extingue el vínculo ni las obligaciones ya causadas; únicamente detiene de manera temporal el cómputo del plazo mientras subsiste la causa que la originó, de modo que, superada esa causa o vencido el término de suspensión acordado, las partes reanudan la ejecución en los términos convenidos. A su turno, la imposibilidad definitiva de alcanzar el objeto común —esto es, su pérdida— habilita la terminación del convenio y su consiguiente cierre y liquidación, sin que ello extinga las obligaciones pendientes de reconocimiento conforme al régimen propio de cada negocio jurídico.</w:t>
      </w:r>
    </w:p>
    <w:p w14:paraId="4AF4C262" w14:textId="77777777" w:rsidR="00F065BB" w:rsidRDefault="00F065BB" w:rsidP="00F065BB">
      <w:pPr>
        <w:spacing w:after="120" w:line="276" w:lineRule="auto"/>
        <w:ind w:firstLine="708"/>
        <w:jc w:val="both"/>
        <w:rPr>
          <w:rFonts w:ascii="Verdana" w:eastAsia="Times New Roman" w:hAnsi="Verdana" w:cs="Arial"/>
          <w:color w:val="000000"/>
        </w:rPr>
      </w:pPr>
      <w:r w:rsidRPr="00F977CA">
        <w:rPr>
          <w:rFonts w:ascii="Verdana" w:eastAsia="Times New Roman" w:hAnsi="Verdana" w:cs="Arial"/>
          <w:color w:val="000000"/>
        </w:rPr>
        <w:t xml:space="preserve">En materia presupuestal, los reconocimientos económicos que se efectúen con ocasión de la liquidación del convenio o de los contratos derivados deberán sujetarse al régimen aplicable a cada entidad y a la naturaleza de la obligación correspondiente. El principio de legalidad del gasto público exige que los compromisos y pagos cuenten con el respaldo presupuestal y cumplan las condiciones y procedimientos establecidos en el ordenamiento jurídico. Por tanto, deberán diferenciarse las obligaciones ciertas, determinadas y exigibles de aquellas cuya existencia, cuantía o exigibilidad depende de la resolución de una controversia judicial o administrativa. Esta distinción resulta relevante para determinar el tratamiento presupuestal procedente en cada caso, sin que la sola existencia de un </w:t>
      </w:r>
      <w:r>
        <w:rPr>
          <w:rFonts w:ascii="Verdana" w:eastAsia="Times New Roman" w:hAnsi="Verdana" w:cs="Arial"/>
          <w:color w:val="000000"/>
        </w:rPr>
        <w:t>proceso judicial</w:t>
      </w:r>
      <w:r w:rsidRPr="00F977CA">
        <w:rPr>
          <w:rFonts w:ascii="Verdana" w:eastAsia="Times New Roman" w:hAnsi="Verdana" w:cs="Arial"/>
          <w:color w:val="000000"/>
        </w:rPr>
        <w:t xml:space="preserve"> permita concluir que debe mantenerse indiscriminadamente la totalidad de los recursos del convenio sin liquidar</w:t>
      </w:r>
      <w:r>
        <w:rPr>
          <w:rFonts w:ascii="Verdana" w:eastAsia="Times New Roman" w:hAnsi="Verdana" w:cs="Arial"/>
          <w:color w:val="000000"/>
        </w:rPr>
        <w:t xml:space="preserve">. </w:t>
      </w:r>
    </w:p>
    <w:p w14:paraId="2AD202B1" w14:textId="77777777" w:rsidR="00F065BB" w:rsidRDefault="00F065BB" w:rsidP="00F065BB">
      <w:pPr>
        <w:tabs>
          <w:tab w:val="left" w:pos="709"/>
        </w:tabs>
        <w:spacing w:after="120" w:line="276" w:lineRule="auto"/>
        <w:ind w:firstLine="709"/>
        <w:jc w:val="both"/>
        <w:rPr>
          <w:rFonts w:ascii="Verdana" w:eastAsia="Calibri" w:hAnsi="Verdana" w:cs="Arial"/>
          <w:bCs/>
          <w:color w:val="000000" w:themeColor="text1"/>
          <w:lang w:val="es-ES"/>
        </w:rPr>
      </w:pPr>
      <w:r>
        <w:rPr>
          <w:rFonts w:ascii="Verdana" w:eastAsia="Calibri" w:hAnsi="Verdana" w:cs="Arial"/>
          <w:bCs/>
          <w:color w:val="000000" w:themeColor="text1"/>
          <w:lang w:val="es-ES"/>
        </w:rPr>
        <w:lastRenderedPageBreak/>
        <w:t xml:space="preserve">En consecuencia, mientras el proceso judicial se encuentra en curso, no hay obligaciones ciertas y exigibles a cargo de la entidad, pues precisamente tales aspectos constituyen el objeto de la controversia sometida al conocimiento del juez. </w:t>
      </w:r>
      <w:r>
        <w:rPr>
          <w:rFonts w:ascii="Verdana" w:eastAsia="Calibri" w:hAnsi="Verdana" w:cs="Arial"/>
          <w:bCs/>
          <w:color w:val="000000" w:themeColor="text1"/>
        </w:rPr>
        <w:t xml:space="preserve">En coherencia con lo anterior, mientras las sumas discutidas permanezcan inciertas por estar sometidas al juez, su tratamiento presupuestal corresponde al de una obligación contingente —objeto de la provisión que prevean las normas sobre pasivos contingentes—. Por ello, la elección de la figura aplicable —reserva presupuestal, cuenta por pagar, pasivo exigible por vigencias expiradas o liberación de saldos— depende de la naturaleza y del estado jurídico de la respectiva obligación, conforme a las normas presupuestales aplicables a cada caso. </w:t>
      </w:r>
      <w:r>
        <w:rPr>
          <w:rFonts w:ascii="Verdana" w:eastAsia="Calibri" w:hAnsi="Verdana" w:cs="Arial"/>
          <w:bCs/>
          <w:color w:val="000000" w:themeColor="text1"/>
          <w:lang w:val="es-ES"/>
        </w:rPr>
        <w:t>Por consiguiente, la circunstancia de que el contrato derivado se encuentre sometido a un proceso judicial no implica, por sí misma, que la entidad no pueda realizar las actuaciones de gestión presupuestal que le correspondan conforme al régimen presupuestal aplicable.</w:t>
      </w:r>
    </w:p>
    <w:p w14:paraId="55BE1904" w14:textId="77777777" w:rsidR="00F065BB" w:rsidRPr="007B0913" w:rsidRDefault="00F065BB" w:rsidP="00F065BB">
      <w:pPr>
        <w:spacing w:after="120" w:line="276" w:lineRule="auto"/>
        <w:ind w:firstLine="708"/>
        <w:jc w:val="both"/>
        <w:rPr>
          <w:rFonts w:ascii="Verdana" w:eastAsia="Calibri" w:hAnsi="Verdana" w:cs="Arial"/>
          <w:bCs/>
          <w:color w:val="000000" w:themeColor="text1"/>
        </w:rPr>
      </w:pPr>
      <w:r w:rsidRPr="007B0913">
        <w:rPr>
          <w:rFonts w:ascii="Verdana" w:eastAsia="Times New Roman" w:hAnsi="Verdana" w:cs="Arial"/>
          <w:color w:val="000000"/>
        </w:rPr>
        <w:t>El tratamiento de las obligaciones contingentes originadas en litigios se inscribe, en el plano general, en el régimen de las obligaciones contingentes de las entidades estatales previsto en la Ley 448 de 1998 y sus normas reglamentarias, así como en el estatuto orgánico de presupuesto que resulte aplicable a la respectiva entidad. Con todo, la interpretación y la aplicación concreta del artículo 273 del Decreto Distrital 645 de 2025 —disposición de carácter presupuestal distrital— desbordan la competencia consultiva de esta Agencia, circunscrita a las normas generales en materia de compras y contratación pública. Por tanto, establecer si dicha norma impone mantener los recursos afectos al mismo rubro o proyecto de inversión que originó la obligación principal corresponde a las autoridades distritales competentes y, en lo pertinente, a los organismos de control.</w:t>
      </w:r>
    </w:p>
    <w:p w14:paraId="78D28AB0" w14:textId="77777777" w:rsidR="00F065BB" w:rsidRDefault="00F065BB" w:rsidP="00F065BB">
      <w:pPr>
        <w:spacing w:after="120" w:line="276" w:lineRule="auto"/>
        <w:ind w:firstLine="708"/>
        <w:jc w:val="both"/>
        <w:rPr>
          <w:rFonts w:ascii="Verdana" w:eastAsia="Times New Roman" w:hAnsi="Verdana" w:cs="Arial"/>
          <w:color w:val="1A1A1A" w:themeColor="background1" w:themeShade="1A"/>
          <w:lang w:eastAsia="es-ES_tradnl"/>
        </w:rPr>
      </w:pPr>
      <w:r w:rsidRPr="002564EB">
        <w:rPr>
          <w:rFonts w:ascii="Verdana" w:eastAsia="Times New Roman" w:hAnsi="Verdana" w:cs="Arial"/>
          <w:color w:val="1A1A1A" w:themeColor="background1" w:themeShade="1A"/>
          <w:lang w:eastAsia="es-ES_tradnl"/>
        </w:rPr>
        <w:t>En este contexto, el alcance y la aplicación del artículo 273 del Decreto Distrital 645 de 2025 deberán establecerse a partir de las circunstancias particulares de cada proyecto, la naturaleza de las obligaciones involucradas, la estructura del negocio jurídico y las condiciones en que se haya desarrollado su ejecución, incluidas las previsiones contractuales y presupuestales pertinentes. Lo anterior, sin perjuicio de que la eventual liquidación del convenio interadministrativo no exime a las entidades del cumplimiento de las obligaciones que se consoliden con posterioridad ni de la adopción de las medidas presupuestales que correspondan, de conformidad con el ordenamiento jurídico</w:t>
      </w:r>
      <w:r>
        <w:rPr>
          <w:rFonts w:ascii="Verdana" w:eastAsia="Times New Roman" w:hAnsi="Verdana" w:cs="Arial"/>
          <w:color w:val="1A1A1A" w:themeColor="background1" w:themeShade="1A"/>
          <w:lang w:eastAsia="es-ES_tradnl"/>
        </w:rPr>
        <w:t>. Asimismo, l</w:t>
      </w:r>
      <w:r w:rsidRPr="002C3593">
        <w:rPr>
          <w:rFonts w:ascii="Verdana" w:eastAsia="Times New Roman" w:hAnsi="Verdana" w:cs="Arial"/>
          <w:color w:val="1A1A1A" w:themeColor="background1" w:themeShade="1A"/>
          <w:lang w:eastAsia="es-ES_tradnl"/>
        </w:rPr>
        <w:t xml:space="preserve">a determinación de si las circunstancias particulares </w:t>
      </w:r>
      <w:r w:rsidRPr="002C3593">
        <w:rPr>
          <w:rFonts w:ascii="Verdana" w:eastAsia="Times New Roman" w:hAnsi="Verdana" w:cs="Arial"/>
          <w:color w:val="1A1A1A" w:themeColor="background1" w:themeShade="1A"/>
          <w:lang w:eastAsia="es-ES_tradnl"/>
        </w:rPr>
        <w:lastRenderedPageBreak/>
        <w:t>expuestas configuran un riesgo fiscal corresponde a las autoridades competentes, en el marco de sus atribuciones legales y a partir de la valoración de los hechos, las actuaciones adelantadas y sus eventuales efectos sobre los recursos públicos.</w:t>
      </w:r>
    </w:p>
    <w:p w14:paraId="401F72C8" w14:textId="77777777" w:rsidR="00F065BB" w:rsidRPr="00CC1D1C" w:rsidRDefault="00F065BB" w:rsidP="00F065BB">
      <w:pPr>
        <w:spacing w:after="120" w:line="276" w:lineRule="auto"/>
        <w:ind w:firstLine="708"/>
        <w:jc w:val="both"/>
        <w:rPr>
          <w:rFonts w:ascii="Verdana" w:eastAsia="Times New Roman" w:hAnsi="Verdana" w:cs="Arial"/>
          <w:color w:val="1A1A1A" w:themeColor="background1" w:themeShade="1A"/>
          <w:lang w:eastAsia="es-ES_tradnl"/>
        </w:rPr>
      </w:pPr>
      <w:r w:rsidRPr="00830EC9">
        <w:rPr>
          <w:rFonts w:ascii="Verdana" w:eastAsia="Times New Roman" w:hAnsi="Verdana" w:cs="Arial"/>
          <w:color w:val="1A1A1A" w:themeColor="background1" w:themeShade="1A"/>
          <w:lang w:eastAsia="es-ES_tradnl"/>
        </w:rPr>
        <w:t>En síntesis, la autonomía jurídica del convenio interadministrativo y de los contratos derivados exige analizar separadamente su liquidación, sin desconocer las estipulaciones que puedan vincularlas ni las obligaciones y contingencias pendientes. La procedencia de liquidar el convenio antes de que se resuelvan todas las controversias relacionadas con los contratos derivados deberá establecerse a partir de las condiciones particulares del negocio, mientras que el tratamiento de las eventuales condenas deberá determinarse conforme al régimen presupuestal aplicable, incluido el alcance que corresponda atribuir al artículo 273 del Decreto Distrital 645 de 2025</w:t>
      </w:r>
      <w:r>
        <w:rPr>
          <w:rFonts w:ascii="Verdana" w:eastAsia="Times New Roman" w:hAnsi="Verdana" w:cs="Arial"/>
          <w:color w:val="1A1A1A" w:themeColor="background1" w:themeShade="1A"/>
          <w:lang w:eastAsia="es-ES_tradnl"/>
        </w:rPr>
        <w:t xml:space="preserve"> respecto del caso concreto.</w:t>
      </w:r>
    </w:p>
    <w:p w14:paraId="11832B6A" w14:textId="77777777" w:rsidR="00F065BB" w:rsidRPr="00A47393" w:rsidRDefault="00F065BB" w:rsidP="00F065BB">
      <w:pPr>
        <w:tabs>
          <w:tab w:val="left" w:pos="709"/>
        </w:tabs>
        <w:spacing w:after="18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025434B" w14:textId="77777777" w:rsidR="00F065BB" w:rsidRPr="00185EE9" w:rsidRDefault="00F065BB" w:rsidP="00F065BB">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60938084" w14:textId="77777777" w:rsidR="00F065BB" w:rsidRPr="00182C89" w:rsidRDefault="00F065BB" w:rsidP="00F065BB">
      <w:pPr>
        <w:tabs>
          <w:tab w:val="left" w:pos="709"/>
        </w:tabs>
        <w:spacing w:after="0" w:line="276" w:lineRule="auto"/>
        <w:jc w:val="both"/>
        <w:rPr>
          <w:rFonts w:ascii="Verdana" w:eastAsia="Calibri" w:hAnsi="Verdana" w:cs="Arial"/>
          <w:color w:val="000000" w:themeColor="text1"/>
        </w:rPr>
      </w:pPr>
    </w:p>
    <w:p w14:paraId="15B633ED" w14:textId="77777777" w:rsidR="00F065BB" w:rsidRPr="00593A5F" w:rsidRDefault="00F065BB" w:rsidP="00F065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9F2DB20" w14:textId="77777777" w:rsidR="00F065BB" w:rsidRPr="00593A5F" w:rsidRDefault="00F065BB" w:rsidP="00F065B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065BB" w:rsidRPr="002407CE" w14:paraId="1F050C37" w14:textId="77777777" w:rsidTr="00BB1D31">
        <w:trPr>
          <w:trHeight w:val="56"/>
          <w:jc w:val="center"/>
        </w:trPr>
        <w:tc>
          <w:tcPr>
            <w:tcW w:w="8647" w:type="dxa"/>
          </w:tcPr>
          <w:p w14:paraId="44CD0DCD"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8C75F2">
              <w:rPr>
                <w:rFonts w:ascii="Verdana" w:eastAsia="Arial MT" w:hAnsi="Verdana" w:cs="Arial"/>
                <w:lang w:val="es-ES" w:eastAsia="es-ES" w:bidi="es-ES"/>
              </w:rPr>
              <w:lastRenderedPageBreak/>
              <w:t xml:space="preserve">Código Civil, artículo 1602. </w:t>
            </w:r>
          </w:p>
          <w:p w14:paraId="09974DA3"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7B0913">
              <w:rPr>
                <w:rFonts w:ascii="Verdana" w:eastAsia="Arial MT" w:hAnsi="Verdana" w:cs="Arial"/>
                <w:lang w:val="es-ES" w:eastAsia="es-ES" w:bidi="es-ES"/>
              </w:rPr>
              <w:t>Ley 80 de 1993, artículos 39, 41, 60 y 61.</w:t>
            </w:r>
            <w:r w:rsidRPr="008C75F2">
              <w:rPr>
                <w:rFonts w:ascii="Verdana" w:eastAsia="Arial MT" w:hAnsi="Verdana" w:cs="Arial"/>
                <w:lang w:val="es-ES" w:eastAsia="es-ES" w:bidi="es-ES"/>
              </w:rPr>
              <w:t xml:space="preserve"> </w:t>
            </w:r>
          </w:p>
          <w:p w14:paraId="0C8A29BB"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7B0913">
              <w:rPr>
                <w:rFonts w:ascii="Verdana" w:eastAsia="Arial MT" w:hAnsi="Verdana" w:cs="Arial"/>
                <w:lang w:val="es-ES" w:eastAsia="es-ES" w:bidi="es-ES"/>
              </w:rPr>
              <w:t xml:space="preserve">Ley 100 de 1993, artículo 195, numeral 6. </w:t>
            </w:r>
          </w:p>
          <w:p w14:paraId="2B6F914C"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7B0913">
              <w:rPr>
                <w:rFonts w:ascii="Verdana" w:eastAsia="Arial MT" w:hAnsi="Verdana" w:cs="Arial"/>
                <w:lang w:val="es-ES" w:eastAsia="es-ES" w:bidi="es-ES"/>
              </w:rPr>
              <w:t xml:space="preserve">Ley 448 de 1998. </w:t>
            </w:r>
          </w:p>
          <w:p w14:paraId="7225EA72"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8C75F2">
              <w:rPr>
                <w:rFonts w:ascii="Verdana" w:eastAsia="Arial MT" w:hAnsi="Verdana" w:cs="Arial"/>
                <w:lang w:eastAsia="es-ES" w:bidi="es-ES"/>
              </w:rPr>
              <w:t>Ley 489 de 1998, artículo 95.</w:t>
            </w:r>
          </w:p>
          <w:p w14:paraId="33A00F73"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8C75F2">
              <w:rPr>
                <w:rFonts w:ascii="Verdana" w:eastAsia="Arial MT" w:hAnsi="Verdana" w:cs="Arial"/>
                <w:lang w:val="es-ES" w:eastAsia="es-ES" w:bidi="es-ES"/>
              </w:rPr>
              <w:t xml:space="preserve">Ley 1150 de 2007, artículos 2, 11 y 13. </w:t>
            </w:r>
          </w:p>
          <w:p w14:paraId="1E7D8852"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7B0913">
              <w:rPr>
                <w:rFonts w:ascii="Verdana" w:eastAsia="Arial MT" w:hAnsi="Verdana" w:cs="Arial"/>
                <w:lang w:val="es-ES" w:eastAsia="es-ES" w:bidi="es-ES"/>
              </w:rPr>
              <w:t xml:space="preserve">Ley 2195 de 2022, artículo 53. </w:t>
            </w:r>
          </w:p>
          <w:p w14:paraId="50E36796"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7B0913">
              <w:rPr>
                <w:rFonts w:ascii="Verdana" w:eastAsia="Arial MT" w:hAnsi="Verdana" w:cs="Arial"/>
                <w:lang w:val="es-ES" w:eastAsia="es-ES" w:bidi="es-ES"/>
              </w:rPr>
              <w:t xml:space="preserve">Decreto 019 de 2012, artículo 217. </w:t>
            </w:r>
          </w:p>
          <w:p w14:paraId="3F09CF5E" w14:textId="77777777" w:rsidR="00F065BB" w:rsidRPr="008C75F2"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7B0913">
              <w:rPr>
                <w:rFonts w:ascii="Verdana" w:eastAsia="Arial MT" w:hAnsi="Verdana" w:cs="Arial"/>
                <w:lang w:val="es-ES" w:eastAsia="es-ES" w:bidi="es-ES"/>
              </w:rPr>
              <w:t xml:space="preserve">Decreto 1082 de 2015. </w:t>
            </w:r>
          </w:p>
          <w:p w14:paraId="766515DF" w14:textId="77777777" w:rsidR="00F065BB" w:rsidRPr="006A33FC" w:rsidRDefault="00F065BB" w:rsidP="00F065BB">
            <w:pPr>
              <w:widowControl w:val="0"/>
              <w:numPr>
                <w:ilvl w:val="0"/>
                <w:numId w:val="19"/>
              </w:numPr>
              <w:autoSpaceDE w:val="0"/>
              <w:autoSpaceDN w:val="0"/>
              <w:spacing w:before="120" w:after="120" w:line="276" w:lineRule="auto"/>
              <w:ind w:left="714" w:hanging="357"/>
              <w:jc w:val="both"/>
              <w:rPr>
                <w:rFonts w:ascii="Verdana" w:eastAsia="Arial MT" w:hAnsi="Verdana" w:cs="Arial"/>
                <w:lang w:val="es-ES" w:eastAsia="es-ES" w:bidi="es-ES"/>
              </w:rPr>
            </w:pPr>
            <w:r w:rsidRPr="007B0913">
              <w:rPr>
                <w:rFonts w:ascii="Verdana" w:eastAsia="Arial MT" w:hAnsi="Verdana" w:cs="Arial"/>
                <w:lang w:val="es-ES" w:eastAsia="es-ES" w:bidi="es-ES"/>
              </w:rPr>
              <w:t>Decreto Distrital 645 de 2025, artículo 273.</w:t>
            </w:r>
          </w:p>
        </w:tc>
      </w:tr>
    </w:tbl>
    <w:p w14:paraId="1FB26BBB" w14:textId="77777777" w:rsidR="00F065BB" w:rsidRPr="002407CE" w:rsidRDefault="00F065BB" w:rsidP="00F065BB">
      <w:pPr>
        <w:widowControl w:val="0"/>
        <w:autoSpaceDE w:val="0"/>
        <w:autoSpaceDN w:val="0"/>
        <w:spacing w:after="0" w:line="276" w:lineRule="auto"/>
        <w:jc w:val="both"/>
        <w:rPr>
          <w:rFonts w:ascii="Verdana" w:hAnsi="Verdana" w:cs="Arial"/>
        </w:rPr>
      </w:pPr>
    </w:p>
    <w:p w14:paraId="1ADB9EEE" w14:textId="77777777" w:rsidR="00F065BB" w:rsidRPr="00593A5F" w:rsidRDefault="00F065BB" w:rsidP="00F065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66CDA90" w14:textId="77777777" w:rsidR="00F065BB" w:rsidRPr="00593A5F" w:rsidRDefault="00F065BB" w:rsidP="00F065BB">
      <w:pPr>
        <w:widowControl w:val="0"/>
        <w:autoSpaceDE w:val="0"/>
        <w:autoSpaceDN w:val="0"/>
        <w:spacing w:after="0" w:line="276" w:lineRule="auto"/>
        <w:jc w:val="both"/>
        <w:rPr>
          <w:rFonts w:ascii="Verdana" w:hAnsi="Verdana" w:cs="Arial"/>
        </w:rPr>
      </w:pPr>
    </w:p>
    <w:p w14:paraId="4909B8CD" w14:textId="77777777" w:rsidR="00F065BB" w:rsidRPr="00D829B7" w:rsidRDefault="00F065BB" w:rsidP="00F065B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Pr>
          <w:rFonts w:ascii="Verdana" w:hAnsi="Verdana" w:cs="Arial"/>
          <w:lang w:eastAsia="es-ES_tradnl"/>
        </w:rPr>
        <w:t xml:space="preserve">La Agencia Nacional de Contratación Pública -Colombia Compra Eficiente- se ha referido previamente a la noción y características de los convenios y contratos interadministrativos en los conceptos </w:t>
      </w:r>
      <w:r>
        <w:rPr>
          <w:rFonts w:ascii="Verdana" w:eastAsia="Calibri" w:hAnsi="Verdana" w:cs="Arial"/>
          <w:color w:val="000000"/>
          <w:lang w:eastAsia="es-ES_tradnl"/>
        </w:rPr>
        <w:t>4201913000004536 del 27 de julio del 2019, C-023 del 13 de febrero del 2020, C-220 del 13 de abril del 2020, C-681 del 19 de noviembre del 2020, C-552 del 5 de octubre del 2021, C-387 del 15 de junio de 2022, C-562 del 7 de septiembre del 2022</w:t>
      </w:r>
      <w:r>
        <w:rPr>
          <w:rFonts w:ascii="Verdana" w:eastAsia="Calibri" w:hAnsi="Verdana" w:cs="Arial"/>
          <w:bCs/>
          <w:color w:val="000000"/>
          <w:lang w:eastAsia="es-ES_tradnl"/>
        </w:rPr>
        <w:t xml:space="preserve">, </w:t>
      </w:r>
      <w:r w:rsidRPr="007B0913">
        <w:rPr>
          <w:rFonts w:ascii="Verdana" w:eastAsia="Calibri" w:hAnsi="Verdana" w:cs="Arial"/>
          <w:bCs/>
          <w:color w:val="000000"/>
          <w:lang w:eastAsia="es-ES_tradnl"/>
        </w:rPr>
        <w:t>C-771 del 29 de diciembre de 2022 y C-114 del 4 de mayo de 2023</w:t>
      </w:r>
      <w:r w:rsidRPr="00B509CE">
        <w:rPr>
          <w:rFonts w:ascii="Verdana" w:eastAsia="Calibri" w:hAnsi="Verdana" w:cs="Arial"/>
          <w:shd w:val="clear" w:color="auto" w:fill="FFFFFF"/>
        </w:rPr>
        <w:t>.</w:t>
      </w:r>
      <w:r w:rsidRPr="00B509CE">
        <w:rPr>
          <w:rStyle w:val="normaltextrun"/>
          <w:rFonts w:ascii="Verdana" w:hAnsi="Verdana" w:cs="Arial"/>
          <w:shd w:val="clear" w:color="auto" w:fill="FFFFFF"/>
        </w:rPr>
        <w:t xml:space="preserve"> Estos y otros conceptos se encuentran disponibles para consulta en el Sistema de relatoría de la Agencia</w:t>
      </w:r>
      <w:r w:rsidRPr="00B509CE">
        <w:rPr>
          <w:rFonts w:ascii="Verdana" w:hAnsi="Verdana"/>
        </w:rPr>
        <w:t>, al cual puede accederse a través del siguiente enlace:</w:t>
      </w:r>
      <w:r>
        <w:rPr>
          <w:rFonts w:ascii="Verdana" w:hAnsi="Verdana" w:cs="Arial"/>
          <w:shd w:val="clear" w:color="auto" w:fill="FFFFFF"/>
        </w:rPr>
        <w:t xml:space="preserve"> </w:t>
      </w:r>
      <w:hyperlink r:id="rId13" w:history="1">
        <w:r>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5037F4B" w14:textId="77777777" w:rsidR="00F065BB" w:rsidRPr="00096788" w:rsidRDefault="00F065BB" w:rsidP="00F065BB">
      <w:pPr>
        <w:widowControl w:val="0"/>
        <w:autoSpaceDE w:val="0"/>
        <w:autoSpaceDN w:val="0"/>
        <w:spacing w:after="0" w:line="276" w:lineRule="auto"/>
        <w:jc w:val="both"/>
        <w:rPr>
          <w:rFonts w:ascii="Verdana" w:hAnsi="Verdana" w:cs="Arial"/>
          <w:color w:val="000000" w:themeColor="text1"/>
          <w:shd w:val="clear" w:color="auto" w:fill="FFFFFF"/>
        </w:rPr>
      </w:pPr>
    </w:p>
    <w:p w14:paraId="42372C86" w14:textId="77777777" w:rsidR="00F065BB" w:rsidRPr="00F42673" w:rsidRDefault="00F065BB" w:rsidP="00F065BB">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F42673">
        <w:rPr>
          <w:rFonts w:ascii="Verdana" w:eastAsia="Times New Roman" w:hAnsi="Verdana" w:cs="Times New Roman"/>
          <w:color w:val="000000"/>
          <w:lang w:eastAsia="es-MX"/>
        </w:rPr>
        <w:lastRenderedPageBreak/>
        <w:t>suficiencia y vigencia, y el procedimiento para hacerlas efectivas. Consúltala aquí: </w:t>
      </w:r>
      <w:hyperlink r:id="rId14"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59B3E712" w14:textId="77777777" w:rsidR="00F065BB" w:rsidRPr="00F42673" w:rsidRDefault="00F065BB" w:rsidP="00F065BB">
      <w:pPr>
        <w:spacing w:after="0" w:line="276" w:lineRule="auto"/>
        <w:jc w:val="both"/>
        <w:rPr>
          <w:rFonts w:ascii="Verdana" w:eastAsia="Times New Roman" w:hAnsi="Verdana" w:cs="Times New Roman"/>
          <w:color w:val="000000"/>
          <w:lang w:eastAsia="es-MX"/>
        </w:rPr>
      </w:pPr>
    </w:p>
    <w:p w14:paraId="65B487EF" w14:textId="77777777" w:rsidR="00F065BB" w:rsidRPr="00F42673" w:rsidRDefault="00F065BB" w:rsidP="00F065BB">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42673">
        <w:rPr>
          <w:rFonts w:ascii="Verdana" w:eastAsia="Times New Roman" w:hAnsi="Verdana" w:cs="Times New Roman"/>
          <w:b/>
          <w:bCs/>
          <w:color w:val="000000"/>
          <w:lang w:eastAsia="es-MX"/>
        </w:rPr>
        <w:t>Sistema Integral de Preferencias en favor de las personas con discapacidad</w:t>
      </w:r>
      <w:r w:rsidRPr="00F42673">
        <w:rPr>
          <w:rFonts w:ascii="Verdana" w:eastAsia="Times New Roman" w:hAnsi="Verdana" w:cs="Times New Roman"/>
          <w:color w:val="000000"/>
          <w:lang w:eastAsia="es-MX"/>
        </w:rPr>
        <w:t>, en cumplimiento del artículo 13 de la Ley Estatutaria 1618 de 2013. Para orientar su aplicación, esta Agencia expidió 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59CFD954" w14:textId="77777777" w:rsidR="00F065BB" w:rsidRPr="00F42673" w:rsidRDefault="00F065BB" w:rsidP="00F065BB">
      <w:pPr>
        <w:spacing w:after="0" w:line="276" w:lineRule="auto"/>
        <w:jc w:val="both"/>
        <w:rPr>
          <w:rFonts w:ascii="Verdana" w:eastAsia="Times New Roman" w:hAnsi="Verdana" w:cs="Times New Roman"/>
          <w:color w:val="000000"/>
          <w:lang w:eastAsia="es-MX"/>
        </w:rPr>
      </w:pPr>
    </w:p>
    <w:p w14:paraId="15D14EE0" w14:textId="77777777" w:rsidR="00F065BB" w:rsidRPr="00F42673" w:rsidRDefault="00F065BB" w:rsidP="00F065BB">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Circular Externa 002 del 5 de mayo de 2026,</w:t>
      </w:r>
      <w:r w:rsidRPr="00F42673">
        <w:rPr>
          <w:rFonts w:ascii="Verdana" w:eastAsia="Times New Roman" w:hAnsi="Verdana" w:cs="Times New Roman"/>
          <w:color w:val="000000"/>
          <w:lang w:eastAsia="es-MX"/>
        </w:rPr>
        <w:t>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19CB954F" w14:textId="77777777" w:rsidR="00F065BB" w:rsidRPr="00F42673" w:rsidRDefault="00F065BB" w:rsidP="00F065BB">
      <w:pPr>
        <w:spacing w:after="0" w:line="276" w:lineRule="auto"/>
        <w:jc w:val="both"/>
        <w:rPr>
          <w:rFonts w:ascii="Verdana" w:eastAsia="Times New Roman" w:hAnsi="Verdana" w:cs="Times New Roman"/>
          <w:color w:val="000000"/>
          <w:lang w:eastAsia="es-MX"/>
        </w:rPr>
      </w:pPr>
    </w:p>
    <w:p w14:paraId="322BB870" w14:textId="77777777" w:rsidR="00F065BB" w:rsidRPr="00797CA8" w:rsidRDefault="00F065BB" w:rsidP="00F065BB">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524F7821" w14:textId="77777777" w:rsidR="00F065BB" w:rsidRDefault="00F065BB" w:rsidP="00F065BB">
      <w:pPr>
        <w:shd w:val="clear" w:color="auto" w:fill="FFFFFF"/>
        <w:spacing w:after="0" w:line="276" w:lineRule="auto"/>
        <w:jc w:val="both"/>
        <w:rPr>
          <w:rFonts w:ascii="Verdana" w:hAnsi="Verdana"/>
          <w:color w:val="000000"/>
          <w:u w:val="single"/>
        </w:rPr>
      </w:pPr>
    </w:p>
    <w:p w14:paraId="4DC062DA" w14:textId="77777777" w:rsidR="00F065BB" w:rsidRPr="00116940" w:rsidRDefault="00F065BB" w:rsidP="00F065B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89D2F5E" w14:textId="77777777" w:rsidR="00F065BB" w:rsidRPr="00116940" w:rsidRDefault="00F065BB" w:rsidP="00F065BB">
      <w:pPr>
        <w:spacing w:after="0"/>
        <w:jc w:val="both"/>
        <w:rPr>
          <w:rFonts w:ascii="Verdana" w:hAnsi="Verdana"/>
        </w:rPr>
      </w:pPr>
    </w:p>
    <w:p w14:paraId="712F11BF" w14:textId="77777777" w:rsidR="00F065BB" w:rsidRPr="00116940" w:rsidRDefault="00F065BB" w:rsidP="00F065B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35C8BC1B" w14:textId="77777777" w:rsidR="00F065BB" w:rsidRPr="00116940" w:rsidRDefault="00F065BB" w:rsidP="00F065B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70E52B0D" w14:textId="77777777" w:rsidR="00F065BB" w:rsidRPr="00116940" w:rsidRDefault="00F065BB" w:rsidP="00F065B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22B18A5C" w14:textId="77777777" w:rsidR="00F065BB" w:rsidRPr="00116940" w:rsidRDefault="00F065BB" w:rsidP="00F065B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1015AFFC" w14:textId="77777777" w:rsidR="00F065BB" w:rsidRPr="00116940" w:rsidRDefault="00F065BB" w:rsidP="00F065BB">
      <w:pPr>
        <w:spacing w:after="0" w:line="240" w:lineRule="auto"/>
        <w:ind w:left="720"/>
        <w:jc w:val="both"/>
        <w:rPr>
          <w:rFonts w:ascii="Verdana" w:hAnsi="Verdana"/>
        </w:rPr>
      </w:pPr>
    </w:p>
    <w:p w14:paraId="2B0D11BE" w14:textId="77777777" w:rsidR="00F065BB" w:rsidRPr="00116940" w:rsidRDefault="00F065BB" w:rsidP="00F065B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F6E6C88" w14:textId="77777777" w:rsidR="00F065BB" w:rsidRPr="00116940" w:rsidRDefault="00F065BB" w:rsidP="00F065BB">
      <w:pPr>
        <w:spacing w:after="0" w:line="240" w:lineRule="auto"/>
        <w:rPr>
          <w:rFonts w:ascii="Verdana" w:hAnsi="Verdana"/>
        </w:rPr>
      </w:pPr>
    </w:p>
    <w:p w14:paraId="3A467453" w14:textId="77777777" w:rsidR="00F065BB" w:rsidRPr="00116940" w:rsidRDefault="00F065BB" w:rsidP="00F065B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BE9629A" w14:textId="77777777" w:rsidR="00F065BB" w:rsidRPr="00116940" w:rsidRDefault="00F065BB" w:rsidP="00F065BB">
      <w:pPr>
        <w:spacing w:after="0" w:line="240" w:lineRule="auto"/>
        <w:jc w:val="both"/>
        <w:rPr>
          <w:rFonts w:ascii="Verdana" w:hAnsi="Verdana"/>
        </w:rPr>
      </w:pPr>
    </w:p>
    <w:p w14:paraId="03788E9B" w14:textId="77777777" w:rsidR="00F065BB" w:rsidRPr="00116940" w:rsidRDefault="00F065BB" w:rsidP="00F065B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3038FEC" w14:textId="77777777" w:rsidR="00F065BB" w:rsidRPr="00116940" w:rsidRDefault="00F065BB" w:rsidP="00F065B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AB532BD" w14:textId="77777777" w:rsidR="00F065BB" w:rsidRPr="00116940" w:rsidRDefault="00F065BB" w:rsidP="00F065B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4686CFB" w14:textId="77777777" w:rsidR="00F065BB" w:rsidRPr="009C4035" w:rsidRDefault="00F065BB" w:rsidP="00F065BB">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5299774" w14:textId="77777777" w:rsidR="00F065BB" w:rsidRPr="00593A5F" w:rsidRDefault="00F065BB" w:rsidP="00F065B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7A3EE72" w14:textId="77777777" w:rsidR="00F065BB" w:rsidRPr="00593A5F" w:rsidRDefault="00F065BB" w:rsidP="00F065BB">
      <w:pPr>
        <w:widowControl w:val="0"/>
        <w:autoSpaceDE w:val="0"/>
        <w:autoSpaceDN w:val="0"/>
        <w:spacing w:after="0" w:line="276" w:lineRule="auto"/>
        <w:jc w:val="both"/>
        <w:rPr>
          <w:rFonts w:ascii="Verdana" w:hAnsi="Verdana" w:cs="Arial"/>
        </w:rPr>
      </w:pPr>
    </w:p>
    <w:p w14:paraId="56FF52D2" w14:textId="77777777" w:rsidR="00F065BB" w:rsidRPr="00593A5F" w:rsidRDefault="00F065BB" w:rsidP="00F065B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C19201A" w14:textId="1020FC0A" w:rsidR="00F065BB" w:rsidRPr="00593A5F" w:rsidRDefault="00B80FD2" w:rsidP="00F065BB">
      <w:pPr>
        <w:spacing w:line="276" w:lineRule="auto"/>
        <w:jc w:val="center"/>
        <w:rPr>
          <w:rFonts w:ascii="Verdana" w:hAnsi="Verdana" w:cs="Arial"/>
          <w:color w:val="000000"/>
          <w:lang w:val="es-ES_tradnl" w:eastAsia="es-CO"/>
        </w:rPr>
      </w:pPr>
      <w:r>
        <w:rPr>
          <w:noProof/>
        </w:rPr>
        <w:lastRenderedPageBreak/>
        <w:drawing>
          <wp:inline distT="0" distB="0" distL="0" distR="0" wp14:anchorId="5C71CC25" wp14:editId="14B1905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065BB" w:rsidRPr="002F7DE0" w14:paraId="37122332" w14:textId="77777777" w:rsidTr="00BB1D31">
        <w:trPr>
          <w:trHeight w:val="315"/>
        </w:trPr>
        <w:tc>
          <w:tcPr>
            <w:tcW w:w="893" w:type="dxa"/>
            <w:vAlign w:val="center"/>
            <w:hideMark/>
          </w:tcPr>
          <w:p w14:paraId="0AF148CF" w14:textId="77777777" w:rsidR="00F065BB" w:rsidRPr="002F7DE0" w:rsidRDefault="00F065BB" w:rsidP="00BB1D31">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582EBFD" w14:textId="77777777" w:rsidR="00F065BB" w:rsidRPr="002F7DE0" w:rsidRDefault="00F065BB" w:rsidP="00BB1D31">
            <w:pPr>
              <w:contextualSpacing/>
              <w:rPr>
                <w:rFonts w:ascii="Verdana" w:hAnsi="Verdana"/>
                <w:sz w:val="16"/>
                <w:szCs w:val="16"/>
              </w:rPr>
            </w:pPr>
            <w:r w:rsidRPr="002F7DE0">
              <w:rPr>
                <w:rFonts w:ascii="Verdana" w:hAnsi="Verdana"/>
                <w:sz w:val="16"/>
                <w:szCs w:val="16"/>
              </w:rPr>
              <w:t>Tatiana Baquero Iguarán</w:t>
            </w:r>
          </w:p>
          <w:p w14:paraId="6AA42AFD" w14:textId="77777777" w:rsidR="00F065BB" w:rsidRPr="002F7DE0" w:rsidRDefault="00F065BB" w:rsidP="00BB1D31">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F065BB" w:rsidRPr="002F7DE0" w14:paraId="1B45E077" w14:textId="77777777" w:rsidTr="00BB1D31">
        <w:trPr>
          <w:trHeight w:val="330"/>
        </w:trPr>
        <w:tc>
          <w:tcPr>
            <w:tcW w:w="893" w:type="dxa"/>
            <w:vAlign w:val="center"/>
            <w:hideMark/>
          </w:tcPr>
          <w:p w14:paraId="4DDD1599" w14:textId="77777777" w:rsidR="00F065BB" w:rsidRPr="002F7DE0" w:rsidRDefault="00F065BB" w:rsidP="00BB1D31">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925FA8" w14:textId="77777777" w:rsidR="00F065BB" w:rsidRPr="002F7DE0" w:rsidRDefault="00F065BB" w:rsidP="00BB1D31">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4B6C7809" w14:textId="77777777" w:rsidR="00F065BB" w:rsidRPr="002F7DE0" w:rsidRDefault="00F065BB" w:rsidP="00BB1D31">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F065BB" w:rsidRPr="002F7DE0" w14:paraId="6B9728B8" w14:textId="77777777" w:rsidTr="00BB1D31">
        <w:trPr>
          <w:trHeight w:val="300"/>
        </w:trPr>
        <w:tc>
          <w:tcPr>
            <w:tcW w:w="893" w:type="dxa"/>
            <w:vAlign w:val="center"/>
          </w:tcPr>
          <w:p w14:paraId="62C0FDFC" w14:textId="77777777" w:rsidR="00F065BB" w:rsidRPr="002F7DE0" w:rsidRDefault="00F065BB" w:rsidP="00BB1D31">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0DC94B3" w14:textId="77777777" w:rsidR="00F065BB" w:rsidRPr="002F7DE0" w:rsidRDefault="00F065BB" w:rsidP="00BB1D31">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 xml:space="preserve">Carolina Quintero </w:t>
            </w:r>
            <w:proofErr w:type="spellStart"/>
            <w:r w:rsidRPr="002F7DE0">
              <w:rPr>
                <w:rFonts w:ascii="Verdana" w:eastAsia="Calibri" w:hAnsi="Verdana" w:cs="Arial"/>
                <w:sz w:val="16"/>
                <w:szCs w:val="16"/>
                <w:lang w:val="pt-BR" w:eastAsia="es-ES"/>
              </w:rPr>
              <w:t>Gacharná</w:t>
            </w:r>
            <w:proofErr w:type="spellEnd"/>
          </w:p>
          <w:p w14:paraId="49415CEF" w14:textId="77777777" w:rsidR="00F065BB" w:rsidRPr="002F7DE0" w:rsidRDefault="00F065BB" w:rsidP="00BB1D31">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Subdirectora</w:t>
            </w:r>
            <w:r w:rsidRPr="002F7DE0">
              <w:rPr>
                <w:rFonts w:ascii="Verdana" w:eastAsia="Calibri" w:hAnsi="Verdana" w:cs="Arial"/>
                <w:sz w:val="16"/>
                <w:szCs w:val="16"/>
                <w:lang w:val="pt-BR" w:eastAsia="es-ES"/>
              </w:rPr>
              <w:t xml:space="preserve"> de Gestión </w:t>
            </w:r>
            <w:proofErr w:type="spellStart"/>
            <w:r w:rsidRPr="002F7DE0">
              <w:rPr>
                <w:rFonts w:ascii="Verdana" w:eastAsia="Calibri" w:hAnsi="Verdana" w:cs="Arial"/>
                <w:sz w:val="16"/>
                <w:szCs w:val="16"/>
                <w:lang w:val="pt-BR" w:eastAsia="es-ES"/>
              </w:rPr>
              <w:t>Contractual</w:t>
            </w:r>
            <w:proofErr w:type="spellEnd"/>
            <w:r w:rsidRPr="002F7DE0">
              <w:rPr>
                <w:rFonts w:ascii="Verdana" w:eastAsia="Calibri" w:hAnsi="Verdana" w:cs="Arial"/>
                <w:sz w:val="16"/>
                <w:szCs w:val="16"/>
                <w:lang w:val="pt-BR" w:eastAsia="es-ES"/>
              </w:rPr>
              <w:t xml:space="preserve"> ANCP – CCE</w:t>
            </w:r>
          </w:p>
        </w:tc>
      </w:tr>
    </w:tbl>
    <w:p w14:paraId="21020A44" w14:textId="77777777" w:rsidR="00F065BB" w:rsidRPr="002F7DE0" w:rsidRDefault="00F065BB" w:rsidP="00F065BB">
      <w:pPr>
        <w:spacing w:after="0" w:line="240" w:lineRule="auto"/>
        <w:jc w:val="both"/>
        <w:textAlignment w:val="baseline"/>
        <w:rPr>
          <w:rFonts w:ascii="Verdana" w:eastAsia="Verdana" w:hAnsi="Verdana" w:cs="Verdana"/>
          <w:lang w:eastAsia="es-CO"/>
        </w:rPr>
      </w:pPr>
    </w:p>
    <w:p w14:paraId="66508A13" w14:textId="77777777" w:rsidR="00F065BB" w:rsidRPr="002F7DE0" w:rsidRDefault="00F065BB" w:rsidP="00F065BB">
      <w:pPr>
        <w:spacing w:after="0" w:line="240" w:lineRule="auto"/>
        <w:jc w:val="both"/>
        <w:textAlignment w:val="baseline"/>
        <w:rPr>
          <w:rFonts w:ascii="Verdana" w:eastAsia="Verdana" w:hAnsi="Verdana" w:cs="Verdana"/>
          <w:lang w:eastAsia="es-CO"/>
        </w:rPr>
      </w:pPr>
    </w:p>
    <w:p w14:paraId="3ACDDDA9" w14:textId="38911FCD" w:rsidR="00F065BB" w:rsidRPr="003A69E3" w:rsidRDefault="00F065BB" w:rsidP="00F065BB">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06BD5F4F" w14:textId="77777777" w:rsidR="00F065BB" w:rsidRPr="003A69E3" w:rsidRDefault="00F065BB" w:rsidP="00F065BB"/>
    <w:p w14:paraId="29FE150B" w14:textId="77777777" w:rsidR="00F065BB" w:rsidRDefault="00F065BB" w:rsidP="00F065BB">
      <w:pPr>
        <w:jc w:val="both"/>
      </w:pPr>
    </w:p>
    <w:p w14:paraId="137A1B71" w14:textId="77777777" w:rsidR="00F065BB" w:rsidRPr="0012158F" w:rsidRDefault="00F065BB" w:rsidP="00F065BB"/>
    <w:p w14:paraId="4E7B8CBA" w14:textId="77777777" w:rsidR="00F065BB" w:rsidRPr="005C5F31" w:rsidRDefault="00F065BB" w:rsidP="00F065BB"/>
    <w:p w14:paraId="74D28AC4" w14:textId="77777777" w:rsidR="00F065BB" w:rsidRPr="00E60C35" w:rsidRDefault="00F065BB" w:rsidP="00F065BB"/>
    <w:p w14:paraId="4C22812E" w14:textId="77777777" w:rsidR="00F065BB" w:rsidRPr="001D55D8" w:rsidRDefault="00F065BB" w:rsidP="00F065BB"/>
    <w:p w14:paraId="6D84228C" w14:textId="77777777" w:rsidR="005C2BDA" w:rsidRPr="00F065BB" w:rsidRDefault="005C2BDA" w:rsidP="00F065BB"/>
    <w:sectPr w:rsidR="005C2BDA" w:rsidRPr="00F065BB"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7F3B" w14:textId="77777777" w:rsidR="001C42C3" w:rsidRDefault="001C42C3" w:rsidP="004A1847">
      <w:pPr>
        <w:spacing w:after="0" w:line="240" w:lineRule="auto"/>
      </w:pPr>
      <w:r>
        <w:separator/>
      </w:r>
    </w:p>
  </w:endnote>
  <w:endnote w:type="continuationSeparator" w:id="0">
    <w:p w14:paraId="3D85AC15" w14:textId="77777777" w:rsidR="001C42C3" w:rsidRDefault="001C42C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0EAFB" w14:textId="77777777" w:rsidR="001C42C3" w:rsidRDefault="001C42C3" w:rsidP="004A1847">
      <w:pPr>
        <w:spacing w:after="0" w:line="240" w:lineRule="auto"/>
      </w:pPr>
      <w:r>
        <w:separator/>
      </w:r>
    </w:p>
  </w:footnote>
  <w:footnote w:type="continuationSeparator" w:id="0">
    <w:p w14:paraId="33E3E9D7" w14:textId="77777777" w:rsidR="001C42C3" w:rsidRDefault="001C42C3" w:rsidP="004A1847">
      <w:pPr>
        <w:spacing w:after="0" w:line="240" w:lineRule="auto"/>
      </w:pPr>
      <w:r>
        <w:continuationSeparator/>
      </w:r>
    </w:p>
  </w:footnote>
  <w:footnote w:id="1">
    <w:p w14:paraId="33D35991" w14:textId="77777777" w:rsidR="00F065BB" w:rsidRDefault="00F065BB" w:rsidP="00F065BB">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rPr>
        <w:t xml:space="preserve"> Corte Constitucional, Sentencia C-449 de 1992, y Consejo de Estado, Sala de lo Contencioso Administrativo, Sección Tercera, Sentencia del 3 de diciembre de 2007, expedientes acumulados: (25206, 25409, 24524, 27834, 25410, 26105, 28244, 31447).</w:t>
      </w:r>
    </w:p>
  </w:footnote>
  <w:footnote w:id="2">
    <w:p w14:paraId="3984DC2B" w14:textId="77777777" w:rsidR="00F065BB" w:rsidRDefault="00F065BB" w:rsidP="00F065BB">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vertAlign w:val="superscript"/>
        </w:rPr>
        <w:t xml:space="preserve"> </w:t>
      </w:r>
      <w:r>
        <w:rPr>
          <w:rFonts w:ascii="Verdana" w:hAnsi="Verdana" w:cs="Arial"/>
          <w:sz w:val="16"/>
          <w:szCs w:val="16"/>
        </w:rPr>
        <w:t>DÁVILA VINUEZA. Luis Guillermo. Régimen jurídico de la contratación estatal. 3ª ed. Bogotá: Temis, 2016. p. 494.</w:t>
      </w:r>
    </w:p>
  </w:footnote>
  <w:footnote w:id="3">
    <w:p w14:paraId="38FF3570" w14:textId="77777777" w:rsidR="00F065BB" w:rsidRDefault="00F065BB" w:rsidP="00F065BB">
      <w:pPr>
        <w:spacing w:after="0" w:line="240" w:lineRule="auto"/>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Pr>
          <w:rFonts w:ascii="Verdana" w:hAnsi="Verdana" w:cs="Arial"/>
          <w:spacing w:val="-6"/>
          <w:sz w:val="16"/>
          <w:szCs w:val="16"/>
        </w:rPr>
        <w:t xml:space="preserve"> </w:t>
      </w:r>
      <w:r>
        <w:rPr>
          <w:rFonts w:ascii="Verdana" w:hAnsi="Verdana" w:cs="Arial"/>
          <w:sz w:val="16"/>
          <w:szCs w:val="16"/>
        </w:rPr>
        <w:t>artículo”.</w:t>
      </w:r>
    </w:p>
  </w:footnote>
  <w:footnote w:id="4">
    <w:p w14:paraId="31B1DF08" w14:textId="77777777" w:rsidR="00F065BB" w:rsidRDefault="00F065BB" w:rsidP="00F065B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lang w:val="pt-BR"/>
        </w:rPr>
        <w:t xml:space="preserve"> Corte Constitucional. </w:t>
      </w:r>
      <w:r w:rsidRPr="007B0913">
        <w:rPr>
          <w:rFonts w:ascii="Verdana" w:hAnsi="Verdana"/>
          <w:sz w:val="16"/>
          <w:szCs w:val="16"/>
          <w:lang w:val="pt-BR"/>
        </w:rPr>
        <w:t xml:space="preserve">Sentencia C-671 de 2015. </w:t>
      </w:r>
      <w:r w:rsidRPr="007B0913">
        <w:rPr>
          <w:rFonts w:ascii="Verdana" w:hAnsi="Verdana"/>
          <w:sz w:val="16"/>
          <w:szCs w:val="16"/>
        </w:rPr>
        <w:t xml:space="preserve">M.P. Alberto Rojas Ríos. </w:t>
      </w:r>
    </w:p>
  </w:footnote>
  <w:footnote w:id="5">
    <w:p w14:paraId="0FC60B7A" w14:textId="77777777" w:rsidR="00F065BB" w:rsidRDefault="00F065BB" w:rsidP="00F065BB">
      <w:pPr>
        <w:pStyle w:val="Textonotapie"/>
        <w:ind w:firstLine="708"/>
        <w:jc w:val="both"/>
        <w:rPr>
          <w:rFonts w:ascii="Verdana" w:hAnsi="Verdana"/>
          <w:bCs/>
          <w:sz w:val="16"/>
          <w:szCs w:val="16"/>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CO"/>
        </w:rPr>
        <w:t xml:space="preserve">Consejo de Estado. Sala de Consulta y Servicio Civil. Concepto no. 2257 del 26 de julio de 2016, C.P. Álvaro Namén Vargas; Consejo de Estado, Sección Tercera, Subsección A. Sentencia del 23 de junio de 2010. C.P. Mauricio Fajardo Gómez. Exp 17860; Sección Tercera. Auto del 4 de octubre de 2024. C.P. Fredy Ibarra Martínez. Exp </w:t>
      </w:r>
      <w:r>
        <w:rPr>
          <w:rFonts w:ascii="Verdana" w:hAnsi="Verdana"/>
          <w:bCs/>
          <w:sz w:val="16"/>
          <w:szCs w:val="16"/>
        </w:rPr>
        <w:t xml:space="preserve">70313. </w:t>
      </w:r>
    </w:p>
  </w:footnote>
  <w:footnote w:id="6">
    <w:p w14:paraId="3BB30B6E" w14:textId="77777777" w:rsidR="00F065BB" w:rsidRDefault="00F065BB" w:rsidP="00F065BB">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7">
    <w:p w14:paraId="5ECA5912" w14:textId="77777777" w:rsidR="00F065BB" w:rsidRDefault="00F065BB" w:rsidP="00F065B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Sección Tercera, Subsección A. Sentencia del 25 de mayo de 2025. C.P. María Adriana Marín Hernández. Exp. 70.504; Sección Tercera, Subsección A. Sentencia del 16 de agosto de 2022, C.P.: María Adriana Marín. Exp. 60434.</w:t>
      </w:r>
    </w:p>
  </w:footnote>
  <w:footnote w:id="8">
    <w:p w14:paraId="13C7E6C7" w14:textId="77777777" w:rsidR="00F065BB" w:rsidRDefault="00F065BB" w:rsidP="00F065BB">
      <w:pPr>
        <w:pStyle w:val="Textonotapie"/>
        <w:ind w:firstLine="708"/>
        <w:jc w:val="both"/>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CO"/>
        </w:rPr>
        <w:t xml:space="preserve">Consejo de Estado. Sección Tercera, Subsección A. Sentencia del 14 de junio de 2019, C.P.: Marta Nubia Velásquez Rico. Rad.: 25000-23-37-000-2010-02552-01 (AP); Sección Tercera, Subsección A. Sentencia del 25 de mayo de 2025. C.P. María Adriana Marín Hernández. Exp. 70.504. </w:t>
      </w:r>
    </w:p>
  </w:footnote>
  <w:footnote w:id="9">
    <w:p w14:paraId="76ED0E98" w14:textId="77777777" w:rsidR="00F065BB" w:rsidRDefault="00F065BB" w:rsidP="00F065BB">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w:t>
      </w:r>
      <w:bookmarkStart w:id="2" w:name="13"/>
      <w:r>
        <w:rPr>
          <w:rFonts w:ascii="Verdana" w:hAnsi="Verdana"/>
          <w:sz w:val="16"/>
          <w:szCs w:val="16"/>
          <w:lang w:val="es-CO"/>
        </w:rPr>
        <w:t>ARTÍCULO 13. PRINCIPIOS GENERALES DE LA ACTIVIDAD CONTRACTUAL PARA ENTIDADES NO SOMETIDAS AL ESTATUTO GENERAL DE CONTRATACIÓN DE LA ADMINISTRACIÓN PÚBLICA.</w:t>
      </w:r>
      <w:bookmarkEnd w:id="2"/>
      <w:r>
        <w:rPr>
          <w:rFonts w:ascii="Verdana" w:hAnsi="Verdana"/>
          <w:sz w:val="16"/>
          <w:szCs w:val="16"/>
          <w:lang w:val="es-CO"/>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 w:anchor="209" w:history="1">
        <w:r>
          <w:rPr>
            <w:rStyle w:val="Hipervnculo"/>
            <w:rFonts w:ascii="Verdana" w:hAnsi="Verdana"/>
            <w:color w:val="auto"/>
            <w:sz w:val="16"/>
            <w:szCs w:val="16"/>
            <w:lang w:val="es-CO"/>
          </w:rPr>
          <w:t>209</w:t>
        </w:r>
      </w:hyperlink>
      <w:r>
        <w:rPr>
          <w:rFonts w:ascii="Verdana" w:hAnsi="Verdana"/>
          <w:sz w:val="16"/>
          <w:szCs w:val="16"/>
          <w:lang w:val="es-CO"/>
        </w:rPr>
        <w:t> y </w:t>
      </w:r>
      <w:hyperlink r:id="rId2" w:anchor="267" w:history="1">
        <w:r>
          <w:rPr>
            <w:rStyle w:val="Hipervnculo"/>
            <w:rFonts w:ascii="Verdana" w:hAnsi="Verdana"/>
            <w:color w:val="auto"/>
            <w:sz w:val="16"/>
            <w:szCs w:val="16"/>
            <w:lang w:val="es-CO"/>
          </w:rPr>
          <w:t>267</w:t>
        </w:r>
      </w:hyperlink>
      <w:r>
        <w:rPr>
          <w:rFonts w:ascii="Verdana" w:hAnsi="Verdana"/>
          <w:sz w:val="16"/>
          <w:szCs w:val="16"/>
          <w:lang w:val="es-CO"/>
        </w:rPr>
        <w:t> de la Constitución Política, respectivamente según sea el caso y estarán sometidas al régimen de inhabilidades e incompatibilidades previsto legalmente para la contratación estatal.</w:t>
      </w:r>
    </w:p>
    <w:p w14:paraId="7F55E728" w14:textId="77777777" w:rsidR="00F065BB" w:rsidRDefault="00F065BB" w:rsidP="00F065BB">
      <w:pPr>
        <w:pStyle w:val="Textonotapie"/>
        <w:ind w:firstLine="708"/>
        <w:jc w:val="both"/>
        <w:rPr>
          <w:rFonts w:ascii="Verdana" w:hAnsi="Verdana"/>
          <w:sz w:val="16"/>
          <w:szCs w:val="16"/>
          <w:lang w:val="es-CO"/>
        </w:rPr>
      </w:pPr>
      <w:r>
        <w:rPr>
          <w:rFonts w:ascii="Verdana" w:hAnsi="Verdana"/>
          <w:sz w:val="16"/>
          <w:szCs w:val="16"/>
          <w:lang w:val="es-CO"/>
        </w:rPr>
        <w:t>&lt;Inciso adicionado por el artículo </w:t>
      </w:r>
      <w:hyperlink r:id="rId3" w:anchor="53" w:history="1">
        <w:r>
          <w:rPr>
            <w:rStyle w:val="Hipervnculo"/>
            <w:rFonts w:ascii="Verdana" w:hAnsi="Verdana"/>
            <w:color w:val="auto"/>
            <w:sz w:val="16"/>
            <w:szCs w:val="16"/>
            <w:lang w:val="es-CO"/>
          </w:rPr>
          <w:t>53</w:t>
        </w:r>
      </w:hyperlink>
      <w:r>
        <w:rPr>
          <w:rFonts w:ascii="Verdana" w:hAnsi="Verdana"/>
          <w:sz w:val="16"/>
          <w:szCs w:val="16"/>
          <w:lang w:val="es-CO"/>
        </w:rPr>
        <w:t> de la Ley 2195 de 2022. El nuevo texto es el siguiente:&gt;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poscontractual.</w:t>
      </w:r>
    </w:p>
    <w:p w14:paraId="1D91F92C" w14:textId="77777777" w:rsidR="00F065BB" w:rsidRDefault="00F065BB" w:rsidP="00F065BB">
      <w:pPr>
        <w:pStyle w:val="Textonotapie"/>
        <w:ind w:firstLine="708"/>
        <w:jc w:val="both"/>
        <w:rPr>
          <w:rFonts w:ascii="Verdana" w:hAnsi="Verdana"/>
          <w:sz w:val="16"/>
          <w:szCs w:val="16"/>
          <w:lang w:val="es-CO"/>
        </w:rPr>
      </w:pPr>
      <w:r>
        <w:rPr>
          <w:rFonts w:ascii="Verdana" w:hAnsi="Verdana"/>
          <w:sz w:val="16"/>
          <w:szCs w:val="16"/>
          <w:lang w:val="es-CO"/>
        </w:rPr>
        <w:t>&lt;Inciso adicionado por el artículo </w:t>
      </w:r>
      <w:hyperlink r:id="rId4" w:anchor="53" w:history="1">
        <w:r>
          <w:rPr>
            <w:rStyle w:val="Hipervnculo"/>
            <w:rFonts w:ascii="Verdana" w:hAnsi="Verdana"/>
            <w:color w:val="auto"/>
            <w:sz w:val="16"/>
            <w:szCs w:val="16"/>
            <w:lang w:val="es-CO"/>
          </w:rPr>
          <w:t>53</w:t>
        </w:r>
      </w:hyperlink>
      <w:r>
        <w:rPr>
          <w:rFonts w:ascii="Verdana" w:hAnsi="Verdana"/>
          <w:sz w:val="16"/>
          <w:szCs w:val="16"/>
          <w:lang w:val="es-CO"/>
        </w:rPr>
        <w:t> de la Ley 2195 de 2022. El nuevo texto es el siguiente:&gt; A partir de la entrada en vigencia de la presente ley, se establecerá un periodo de transición de seis (6) meses, para que las entidades den cumplimiento efectivo a lo aquí establecido.</w:t>
      </w:r>
    </w:p>
  </w:footnote>
  <w:footnote w:id="10">
    <w:p w14:paraId="0410C868" w14:textId="77777777" w:rsidR="00F065BB" w:rsidRDefault="00F065BB" w:rsidP="00F065BB">
      <w:pPr>
        <w:pStyle w:val="Textonotapie"/>
        <w:ind w:firstLine="708"/>
        <w:jc w:val="both"/>
        <w:rPr>
          <w:rFonts w:ascii="Verdana" w:hAnsi="Verdana"/>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Pr>
          <w:rFonts w:ascii="Verdana" w:hAnsi="Verdana" w:cs="Arial"/>
          <w:color w:val="000000"/>
          <w:sz w:val="16"/>
          <w:szCs w:val="16"/>
          <w:shd w:val="clear" w:color="auto" w:fill="FFFFFF"/>
        </w:rPr>
        <w:t>” (</w:t>
      </w:r>
      <w:r>
        <w:rPr>
          <w:rFonts w:ascii="Verdana" w:hAnsi="Verdana" w:cs="Arial"/>
          <w:color w:val="000000"/>
          <w:sz w:val="16"/>
          <w:szCs w:val="16"/>
        </w:rPr>
        <w:t>EXPOSITO, Juan Carlos. Forma y contenido del contrato estatal. Bogotá: Universidad Externado de Colombia, p. 89 y 90).</w:t>
      </w:r>
    </w:p>
  </w:footnote>
  <w:footnote w:id="11">
    <w:p w14:paraId="12E4F2D5" w14:textId="77777777" w:rsidR="00F065BB" w:rsidRDefault="00F065BB" w:rsidP="00F065BB">
      <w:pPr>
        <w:pStyle w:val="Textonotapie"/>
        <w:ind w:firstLine="708"/>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12">
    <w:p w14:paraId="74449FEE" w14:textId="77777777" w:rsidR="00F065BB" w:rsidRDefault="00F065BB" w:rsidP="00F065BB">
      <w:pPr>
        <w:spacing w:after="0" w:line="240" w:lineRule="auto"/>
        <w:ind w:firstLine="708"/>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Consejo de Estado. Sección Tercera. Subsección C. Sentencia del 20 de octubre de 2014, C.P: Enrique Gil Botero.</w:t>
      </w:r>
      <w:r>
        <w:rPr>
          <w:rFonts w:ascii="Verdana" w:hAnsi="Verdana"/>
          <w:sz w:val="16"/>
          <w:szCs w:val="16"/>
        </w:rPr>
        <w:t xml:space="preserve"> Exp. </w:t>
      </w:r>
      <w:r>
        <w:rPr>
          <w:rFonts w:ascii="Verdana" w:hAnsi="Verdana" w:cs="Arial"/>
          <w:color w:val="000000"/>
          <w:sz w:val="16"/>
          <w:szCs w:val="16"/>
        </w:rPr>
        <w:t>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13">
    <w:p w14:paraId="07B86367" w14:textId="77777777" w:rsidR="00F065BB" w:rsidRDefault="00F065BB" w:rsidP="00F065BB">
      <w:pPr>
        <w:pStyle w:val="Textonotapie"/>
        <w:ind w:firstLine="708"/>
        <w:jc w:val="both"/>
        <w:rPr>
          <w:rFonts w:ascii="Verdana" w:hAnsi="Verdana"/>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EXPÓSITO VÉLEZ, Juan Carlos. Forma y contenido del contrato estatal, p. 90.</w:t>
      </w:r>
    </w:p>
  </w:footnote>
  <w:footnote w:id="14">
    <w:p w14:paraId="47CA164C" w14:textId="77777777" w:rsidR="00F065BB" w:rsidRDefault="00F065BB" w:rsidP="00F065BB">
      <w:pPr>
        <w:pStyle w:val="Textonotapie"/>
        <w:ind w:firstLine="708"/>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Consejo de Estado, Sala de Consulta y Servicio Civil. Concepto de 6 de agosto de 2003. C.P. Augusto Trejos. Rad. No. 1453.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533ECAD0"/>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0C755D"/>
    <w:multiLevelType w:val="hybridMultilevel"/>
    <w:tmpl w:val="EEC2153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 w:numId="18" w16cid:durableId="10355481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1047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130"/>
    <w:rsid w:val="00015281"/>
    <w:rsid w:val="00016F78"/>
    <w:rsid w:val="00023768"/>
    <w:rsid w:val="00027D86"/>
    <w:rsid w:val="00030159"/>
    <w:rsid w:val="00033B7E"/>
    <w:rsid w:val="0003524F"/>
    <w:rsid w:val="00046945"/>
    <w:rsid w:val="00050A3A"/>
    <w:rsid w:val="000554E2"/>
    <w:rsid w:val="0006053E"/>
    <w:rsid w:val="00061B2A"/>
    <w:rsid w:val="0006393A"/>
    <w:rsid w:val="00072031"/>
    <w:rsid w:val="00072445"/>
    <w:rsid w:val="00082362"/>
    <w:rsid w:val="00094786"/>
    <w:rsid w:val="000A08DA"/>
    <w:rsid w:val="000A5B23"/>
    <w:rsid w:val="000A683E"/>
    <w:rsid w:val="000B19B9"/>
    <w:rsid w:val="000B2779"/>
    <w:rsid w:val="000B3425"/>
    <w:rsid w:val="000B6E05"/>
    <w:rsid w:val="000D0334"/>
    <w:rsid w:val="000D3BED"/>
    <w:rsid w:val="000D5181"/>
    <w:rsid w:val="000D5DA7"/>
    <w:rsid w:val="000F15E4"/>
    <w:rsid w:val="000F6486"/>
    <w:rsid w:val="000F64FB"/>
    <w:rsid w:val="00100F98"/>
    <w:rsid w:val="001027AE"/>
    <w:rsid w:val="00116940"/>
    <w:rsid w:val="0012158F"/>
    <w:rsid w:val="00125105"/>
    <w:rsid w:val="00127233"/>
    <w:rsid w:val="00127341"/>
    <w:rsid w:val="001329E2"/>
    <w:rsid w:val="00132E08"/>
    <w:rsid w:val="0013478A"/>
    <w:rsid w:val="001416DF"/>
    <w:rsid w:val="00144A2F"/>
    <w:rsid w:val="001522DF"/>
    <w:rsid w:val="00153607"/>
    <w:rsid w:val="0015699B"/>
    <w:rsid w:val="001572CC"/>
    <w:rsid w:val="00194F68"/>
    <w:rsid w:val="00197B05"/>
    <w:rsid w:val="001A33BF"/>
    <w:rsid w:val="001B2ABB"/>
    <w:rsid w:val="001B6A23"/>
    <w:rsid w:val="001C42C3"/>
    <w:rsid w:val="001D048F"/>
    <w:rsid w:val="001D0D7E"/>
    <w:rsid w:val="001D57BB"/>
    <w:rsid w:val="001E4177"/>
    <w:rsid w:val="001F0B24"/>
    <w:rsid w:val="001F0DD2"/>
    <w:rsid w:val="001F7DC6"/>
    <w:rsid w:val="00203BA7"/>
    <w:rsid w:val="00213896"/>
    <w:rsid w:val="0022400B"/>
    <w:rsid w:val="002421BB"/>
    <w:rsid w:val="00244F9A"/>
    <w:rsid w:val="002564EB"/>
    <w:rsid w:val="0025796E"/>
    <w:rsid w:val="00264C0B"/>
    <w:rsid w:val="00265E02"/>
    <w:rsid w:val="002707A2"/>
    <w:rsid w:val="00272BD9"/>
    <w:rsid w:val="0028562B"/>
    <w:rsid w:val="00287885"/>
    <w:rsid w:val="002951A0"/>
    <w:rsid w:val="002962BC"/>
    <w:rsid w:val="002A093D"/>
    <w:rsid w:val="002A0DD0"/>
    <w:rsid w:val="002A49AC"/>
    <w:rsid w:val="002A64FD"/>
    <w:rsid w:val="002B2446"/>
    <w:rsid w:val="002C3593"/>
    <w:rsid w:val="002C61A9"/>
    <w:rsid w:val="002C7A84"/>
    <w:rsid w:val="002D1175"/>
    <w:rsid w:val="002D52E7"/>
    <w:rsid w:val="002D7187"/>
    <w:rsid w:val="002E09FB"/>
    <w:rsid w:val="002E2BF8"/>
    <w:rsid w:val="002E4FD9"/>
    <w:rsid w:val="002E6460"/>
    <w:rsid w:val="002E7F0A"/>
    <w:rsid w:val="002F2FF7"/>
    <w:rsid w:val="0030595C"/>
    <w:rsid w:val="0030657A"/>
    <w:rsid w:val="00322A85"/>
    <w:rsid w:val="00324168"/>
    <w:rsid w:val="003251B4"/>
    <w:rsid w:val="003263C2"/>
    <w:rsid w:val="00330834"/>
    <w:rsid w:val="00336762"/>
    <w:rsid w:val="00341482"/>
    <w:rsid w:val="0034185C"/>
    <w:rsid w:val="00342F72"/>
    <w:rsid w:val="003448F4"/>
    <w:rsid w:val="00361383"/>
    <w:rsid w:val="003669A6"/>
    <w:rsid w:val="00374271"/>
    <w:rsid w:val="00374575"/>
    <w:rsid w:val="00374F20"/>
    <w:rsid w:val="00374F5E"/>
    <w:rsid w:val="0037571B"/>
    <w:rsid w:val="00377E3E"/>
    <w:rsid w:val="00383FAC"/>
    <w:rsid w:val="00384C4C"/>
    <w:rsid w:val="0038595D"/>
    <w:rsid w:val="003871FB"/>
    <w:rsid w:val="003A2CDC"/>
    <w:rsid w:val="003A4609"/>
    <w:rsid w:val="003A779E"/>
    <w:rsid w:val="003B0FEC"/>
    <w:rsid w:val="003D0F4D"/>
    <w:rsid w:val="003D5B0D"/>
    <w:rsid w:val="003E0499"/>
    <w:rsid w:val="003E0FC5"/>
    <w:rsid w:val="003E4B9F"/>
    <w:rsid w:val="003E4F80"/>
    <w:rsid w:val="003E6439"/>
    <w:rsid w:val="003F329F"/>
    <w:rsid w:val="003F359C"/>
    <w:rsid w:val="003F3941"/>
    <w:rsid w:val="003F5695"/>
    <w:rsid w:val="004013BB"/>
    <w:rsid w:val="004037CD"/>
    <w:rsid w:val="00406575"/>
    <w:rsid w:val="00414C74"/>
    <w:rsid w:val="0042722E"/>
    <w:rsid w:val="00435082"/>
    <w:rsid w:val="004352CD"/>
    <w:rsid w:val="0043694E"/>
    <w:rsid w:val="00437194"/>
    <w:rsid w:val="00442840"/>
    <w:rsid w:val="0044528D"/>
    <w:rsid w:val="00466E39"/>
    <w:rsid w:val="00482651"/>
    <w:rsid w:val="004912B6"/>
    <w:rsid w:val="00493C48"/>
    <w:rsid w:val="004A1847"/>
    <w:rsid w:val="004A305D"/>
    <w:rsid w:val="004B449C"/>
    <w:rsid w:val="004C0A84"/>
    <w:rsid w:val="004D1B00"/>
    <w:rsid w:val="004D61E2"/>
    <w:rsid w:val="004D6853"/>
    <w:rsid w:val="004E287D"/>
    <w:rsid w:val="004F21C4"/>
    <w:rsid w:val="004F685F"/>
    <w:rsid w:val="00506901"/>
    <w:rsid w:val="00506F1F"/>
    <w:rsid w:val="00552507"/>
    <w:rsid w:val="005560ED"/>
    <w:rsid w:val="005566E8"/>
    <w:rsid w:val="00561BBE"/>
    <w:rsid w:val="00574867"/>
    <w:rsid w:val="00576CDE"/>
    <w:rsid w:val="00580DB2"/>
    <w:rsid w:val="005841F9"/>
    <w:rsid w:val="005846CD"/>
    <w:rsid w:val="00585F99"/>
    <w:rsid w:val="00590689"/>
    <w:rsid w:val="00591460"/>
    <w:rsid w:val="005A04D2"/>
    <w:rsid w:val="005A65E0"/>
    <w:rsid w:val="005B4B71"/>
    <w:rsid w:val="005C03A1"/>
    <w:rsid w:val="005C0E49"/>
    <w:rsid w:val="005C2BDA"/>
    <w:rsid w:val="005C3777"/>
    <w:rsid w:val="005C5C8A"/>
    <w:rsid w:val="005C5CDC"/>
    <w:rsid w:val="005D476C"/>
    <w:rsid w:val="005D7A67"/>
    <w:rsid w:val="005E509D"/>
    <w:rsid w:val="005E54C0"/>
    <w:rsid w:val="0060534E"/>
    <w:rsid w:val="00614FA4"/>
    <w:rsid w:val="006158A1"/>
    <w:rsid w:val="006200BF"/>
    <w:rsid w:val="006219F8"/>
    <w:rsid w:val="00624EF2"/>
    <w:rsid w:val="00625C0B"/>
    <w:rsid w:val="00627530"/>
    <w:rsid w:val="006302F7"/>
    <w:rsid w:val="00640475"/>
    <w:rsid w:val="00642BED"/>
    <w:rsid w:val="00643B87"/>
    <w:rsid w:val="006469B7"/>
    <w:rsid w:val="00646B9F"/>
    <w:rsid w:val="00647A72"/>
    <w:rsid w:val="00651485"/>
    <w:rsid w:val="00652B1C"/>
    <w:rsid w:val="00657868"/>
    <w:rsid w:val="00661431"/>
    <w:rsid w:val="00665D20"/>
    <w:rsid w:val="00665D70"/>
    <w:rsid w:val="00667576"/>
    <w:rsid w:val="00674F60"/>
    <w:rsid w:val="00682CF8"/>
    <w:rsid w:val="00684320"/>
    <w:rsid w:val="00685025"/>
    <w:rsid w:val="00686D8E"/>
    <w:rsid w:val="006900D9"/>
    <w:rsid w:val="00690C95"/>
    <w:rsid w:val="006930AF"/>
    <w:rsid w:val="006A0856"/>
    <w:rsid w:val="006A1FE2"/>
    <w:rsid w:val="006A235E"/>
    <w:rsid w:val="006A33FC"/>
    <w:rsid w:val="006A7BA3"/>
    <w:rsid w:val="006B08AA"/>
    <w:rsid w:val="006B0984"/>
    <w:rsid w:val="006B5053"/>
    <w:rsid w:val="006B773F"/>
    <w:rsid w:val="006C18BB"/>
    <w:rsid w:val="006D1A5F"/>
    <w:rsid w:val="006F26C8"/>
    <w:rsid w:val="00706C16"/>
    <w:rsid w:val="00706F20"/>
    <w:rsid w:val="00707CC4"/>
    <w:rsid w:val="00710B9D"/>
    <w:rsid w:val="00716334"/>
    <w:rsid w:val="00717C7C"/>
    <w:rsid w:val="00717F6D"/>
    <w:rsid w:val="007265F0"/>
    <w:rsid w:val="007340C3"/>
    <w:rsid w:val="00751075"/>
    <w:rsid w:val="0075235A"/>
    <w:rsid w:val="007561BF"/>
    <w:rsid w:val="00756841"/>
    <w:rsid w:val="00762B63"/>
    <w:rsid w:val="007649AB"/>
    <w:rsid w:val="0076515A"/>
    <w:rsid w:val="00771D0C"/>
    <w:rsid w:val="0077627D"/>
    <w:rsid w:val="00776AED"/>
    <w:rsid w:val="00777350"/>
    <w:rsid w:val="007805A4"/>
    <w:rsid w:val="007833AC"/>
    <w:rsid w:val="0078457B"/>
    <w:rsid w:val="0078775D"/>
    <w:rsid w:val="00791F89"/>
    <w:rsid w:val="007A06DA"/>
    <w:rsid w:val="007A3455"/>
    <w:rsid w:val="007B268C"/>
    <w:rsid w:val="007B42E9"/>
    <w:rsid w:val="007B450D"/>
    <w:rsid w:val="007B7171"/>
    <w:rsid w:val="007C0C0F"/>
    <w:rsid w:val="007C3515"/>
    <w:rsid w:val="007C3A0A"/>
    <w:rsid w:val="007C3DC2"/>
    <w:rsid w:val="007D759E"/>
    <w:rsid w:val="007E5497"/>
    <w:rsid w:val="008061A4"/>
    <w:rsid w:val="00806F5F"/>
    <w:rsid w:val="00807EB3"/>
    <w:rsid w:val="00810097"/>
    <w:rsid w:val="00811C91"/>
    <w:rsid w:val="0081521D"/>
    <w:rsid w:val="00817A6D"/>
    <w:rsid w:val="00820278"/>
    <w:rsid w:val="00823536"/>
    <w:rsid w:val="008258C9"/>
    <w:rsid w:val="00827238"/>
    <w:rsid w:val="00830865"/>
    <w:rsid w:val="00830EC9"/>
    <w:rsid w:val="0083185C"/>
    <w:rsid w:val="0083322B"/>
    <w:rsid w:val="008408A6"/>
    <w:rsid w:val="008441CE"/>
    <w:rsid w:val="00844AE9"/>
    <w:rsid w:val="0085399D"/>
    <w:rsid w:val="00862622"/>
    <w:rsid w:val="00867F95"/>
    <w:rsid w:val="00882E62"/>
    <w:rsid w:val="008843B6"/>
    <w:rsid w:val="00891928"/>
    <w:rsid w:val="008A0E03"/>
    <w:rsid w:val="008A446D"/>
    <w:rsid w:val="008A5698"/>
    <w:rsid w:val="008B04A5"/>
    <w:rsid w:val="008B25F1"/>
    <w:rsid w:val="008B2D5F"/>
    <w:rsid w:val="008B4E39"/>
    <w:rsid w:val="008D180B"/>
    <w:rsid w:val="008D1DE6"/>
    <w:rsid w:val="008D2496"/>
    <w:rsid w:val="008D6E92"/>
    <w:rsid w:val="008E316F"/>
    <w:rsid w:val="008F0EA7"/>
    <w:rsid w:val="008F78E6"/>
    <w:rsid w:val="00902712"/>
    <w:rsid w:val="00904151"/>
    <w:rsid w:val="00911B70"/>
    <w:rsid w:val="00923EEF"/>
    <w:rsid w:val="009402D7"/>
    <w:rsid w:val="00940313"/>
    <w:rsid w:val="00940E8F"/>
    <w:rsid w:val="009419F9"/>
    <w:rsid w:val="00943102"/>
    <w:rsid w:val="00944520"/>
    <w:rsid w:val="00950951"/>
    <w:rsid w:val="009558CA"/>
    <w:rsid w:val="0095685E"/>
    <w:rsid w:val="00957813"/>
    <w:rsid w:val="00961B09"/>
    <w:rsid w:val="00965334"/>
    <w:rsid w:val="0096768E"/>
    <w:rsid w:val="0097093E"/>
    <w:rsid w:val="009824FE"/>
    <w:rsid w:val="00982A5F"/>
    <w:rsid w:val="009928A1"/>
    <w:rsid w:val="009966B5"/>
    <w:rsid w:val="009969A9"/>
    <w:rsid w:val="009A0DFA"/>
    <w:rsid w:val="009A1C6F"/>
    <w:rsid w:val="009A4AFA"/>
    <w:rsid w:val="009B2D26"/>
    <w:rsid w:val="009B31D1"/>
    <w:rsid w:val="009B6EFF"/>
    <w:rsid w:val="009C11EF"/>
    <w:rsid w:val="009C71FA"/>
    <w:rsid w:val="009C72E7"/>
    <w:rsid w:val="009C7F7E"/>
    <w:rsid w:val="009D23E4"/>
    <w:rsid w:val="009D3058"/>
    <w:rsid w:val="009E2678"/>
    <w:rsid w:val="009E354F"/>
    <w:rsid w:val="009F3A13"/>
    <w:rsid w:val="009F67E9"/>
    <w:rsid w:val="009F71E3"/>
    <w:rsid w:val="00A02330"/>
    <w:rsid w:val="00A122D3"/>
    <w:rsid w:val="00A14468"/>
    <w:rsid w:val="00A17F13"/>
    <w:rsid w:val="00A20739"/>
    <w:rsid w:val="00A2294E"/>
    <w:rsid w:val="00A23AF9"/>
    <w:rsid w:val="00A24370"/>
    <w:rsid w:val="00A25EB3"/>
    <w:rsid w:val="00A33C78"/>
    <w:rsid w:val="00A340C9"/>
    <w:rsid w:val="00A6364D"/>
    <w:rsid w:val="00A71689"/>
    <w:rsid w:val="00A83047"/>
    <w:rsid w:val="00A8485D"/>
    <w:rsid w:val="00A84B57"/>
    <w:rsid w:val="00A905A5"/>
    <w:rsid w:val="00A97C1B"/>
    <w:rsid w:val="00AA3138"/>
    <w:rsid w:val="00AA7FEC"/>
    <w:rsid w:val="00AB0ADB"/>
    <w:rsid w:val="00AB0CC3"/>
    <w:rsid w:val="00AB207D"/>
    <w:rsid w:val="00AB2FAE"/>
    <w:rsid w:val="00AB4C65"/>
    <w:rsid w:val="00AC0FC9"/>
    <w:rsid w:val="00AC1155"/>
    <w:rsid w:val="00AD79A5"/>
    <w:rsid w:val="00AE233F"/>
    <w:rsid w:val="00B00C0E"/>
    <w:rsid w:val="00B01B1A"/>
    <w:rsid w:val="00B0381D"/>
    <w:rsid w:val="00B050E3"/>
    <w:rsid w:val="00B25612"/>
    <w:rsid w:val="00B3310B"/>
    <w:rsid w:val="00B35A56"/>
    <w:rsid w:val="00B42C7F"/>
    <w:rsid w:val="00B44A47"/>
    <w:rsid w:val="00B72CD3"/>
    <w:rsid w:val="00B72FFF"/>
    <w:rsid w:val="00B80FD2"/>
    <w:rsid w:val="00B81F96"/>
    <w:rsid w:val="00B907A1"/>
    <w:rsid w:val="00B969A1"/>
    <w:rsid w:val="00BA2007"/>
    <w:rsid w:val="00BA2CEB"/>
    <w:rsid w:val="00BB2B72"/>
    <w:rsid w:val="00BB5608"/>
    <w:rsid w:val="00BB708F"/>
    <w:rsid w:val="00BC3D36"/>
    <w:rsid w:val="00BD54A6"/>
    <w:rsid w:val="00BD7F72"/>
    <w:rsid w:val="00BE01E2"/>
    <w:rsid w:val="00BE5A50"/>
    <w:rsid w:val="00BF12D1"/>
    <w:rsid w:val="00BF7425"/>
    <w:rsid w:val="00C0457C"/>
    <w:rsid w:val="00C04FB3"/>
    <w:rsid w:val="00C05296"/>
    <w:rsid w:val="00C11D8B"/>
    <w:rsid w:val="00C15139"/>
    <w:rsid w:val="00C20A44"/>
    <w:rsid w:val="00C31E72"/>
    <w:rsid w:val="00C32F67"/>
    <w:rsid w:val="00C330EB"/>
    <w:rsid w:val="00C37FCB"/>
    <w:rsid w:val="00C43CE0"/>
    <w:rsid w:val="00C50D69"/>
    <w:rsid w:val="00C5365C"/>
    <w:rsid w:val="00C543C8"/>
    <w:rsid w:val="00C54494"/>
    <w:rsid w:val="00C754BE"/>
    <w:rsid w:val="00C76B1C"/>
    <w:rsid w:val="00C8449D"/>
    <w:rsid w:val="00C84E25"/>
    <w:rsid w:val="00C925AC"/>
    <w:rsid w:val="00C9478A"/>
    <w:rsid w:val="00CA0221"/>
    <w:rsid w:val="00CA0715"/>
    <w:rsid w:val="00CB0A44"/>
    <w:rsid w:val="00CB0DEC"/>
    <w:rsid w:val="00CB1018"/>
    <w:rsid w:val="00CB109F"/>
    <w:rsid w:val="00CB6357"/>
    <w:rsid w:val="00CC16E7"/>
    <w:rsid w:val="00CC1B26"/>
    <w:rsid w:val="00CC1D1C"/>
    <w:rsid w:val="00CC623F"/>
    <w:rsid w:val="00CD6017"/>
    <w:rsid w:val="00CD6EE6"/>
    <w:rsid w:val="00CE1594"/>
    <w:rsid w:val="00CE4D12"/>
    <w:rsid w:val="00CE5A96"/>
    <w:rsid w:val="00CF4E22"/>
    <w:rsid w:val="00D03DAB"/>
    <w:rsid w:val="00D06D6C"/>
    <w:rsid w:val="00D07066"/>
    <w:rsid w:val="00D125A8"/>
    <w:rsid w:val="00D1453A"/>
    <w:rsid w:val="00D216DC"/>
    <w:rsid w:val="00D243F3"/>
    <w:rsid w:val="00D34A9E"/>
    <w:rsid w:val="00D361FD"/>
    <w:rsid w:val="00D423A2"/>
    <w:rsid w:val="00D44E26"/>
    <w:rsid w:val="00D520D8"/>
    <w:rsid w:val="00D5597D"/>
    <w:rsid w:val="00D57D72"/>
    <w:rsid w:val="00D613CD"/>
    <w:rsid w:val="00D63AC2"/>
    <w:rsid w:val="00D674B0"/>
    <w:rsid w:val="00D70825"/>
    <w:rsid w:val="00D7158F"/>
    <w:rsid w:val="00D7383B"/>
    <w:rsid w:val="00D7788A"/>
    <w:rsid w:val="00D8207B"/>
    <w:rsid w:val="00D829B7"/>
    <w:rsid w:val="00D937D8"/>
    <w:rsid w:val="00DA12DE"/>
    <w:rsid w:val="00DA231B"/>
    <w:rsid w:val="00DA45C6"/>
    <w:rsid w:val="00DB18CC"/>
    <w:rsid w:val="00DC0D86"/>
    <w:rsid w:val="00DC39FC"/>
    <w:rsid w:val="00DC6C3C"/>
    <w:rsid w:val="00DD00A0"/>
    <w:rsid w:val="00DD4037"/>
    <w:rsid w:val="00DD7811"/>
    <w:rsid w:val="00DE0BE9"/>
    <w:rsid w:val="00DE0EEB"/>
    <w:rsid w:val="00DF42AB"/>
    <w:rsid w:val="00DF5254"/>
    <w:rsid w:val="00E02524"/>
    <w:rsid w:val="00E0578C"/>
    <w:rsid w:val="00E11E13"/>
    <w:rsid w:val="00E16408"/>
    <w:rsid w:val="00E20894"/>
    <w:rsid w:val="00E22523"/>
    <w:rsid w:val="00E22DA2"/>
    <w:rsid w:val="00E245AB"/>
    <w:rsid w:val="00E25C52"/>
    <w:rsid w:val="00E2764C"/>
    <w:rsid w:val="00E27F2E"/>
    <w:rsid w:val="00E333A1"/>
    <w:rsid w:val="00E33729"/>
    <w:rsid w:val="00E374C4"/>
    <w:rsid w:val="00E376DC"/>
    <w:rsid w:val="00E50AFE"/>
    <w:rsid w:val="00E60C35"/>
    <w:rsid w:val="00E71451"/>
    <w:rsid w:val="00E75C92"/>
    <w:rsid w:val="00E76813"/>
    <w:rsid w:val="00E771DC"/>
    <w:rsid w:val="00E84EB2"/>
    <w:rsid w:val="00E8772A"/>
    <w:rsid w:val="00E90F6B"/>
    <w:rsid w:val="00E918A7"/>
    <w:rsid w:val="00E92C27"/>
    <w:rsid w:val="00EA0E3D"/>
    <w:rsid w:val="00EA47D6"/>
    <w:rsid w:val="00EB4784"/>
    <w:rsid w:val="00EC38A7"/>
    <w:rsid w:val="00EC3EFA"/>
    <w:rsid w:val="00ED2358"/>
    <w:rsid w:val="00ED350D"/>
    <w:rsid w:val="00EE1AA8"/>
    <w:rsid w:val="00EE5E74"/>
    <w:rsid w:val="00EE60F5"/>
    <w:rsid w:val="00EF1705"/>
    <w:rsid w:val="00F00F8A"/>
    <w:rsid w:val="00F065BB"/>
    <w:rsid w:val="00F163F5"/>
    <w:rsid w:val="00F1761C"/>
    <w:rsid w:val="00F22B80"/>
    <w:rsid w:val="00F23FEA"/>
    <w:rsid w:val="00F27750"/>
    <w:rsid w:val="00F30475"/>
    <w:rsid w:val="00F31EDC"/>
    <w:rsid w:val="00F351B9"/>
    <w:rsid w:val="00F358F5"/>
    <w:rsid w:val="00F462B3"/>
    <w:rsid w:val="00F5664F"/>
    <w:rsid w:val="00F62990"/>
    <w:rsid w:val="00F63BE3"/>
    <w:rsid w:val="00F666C4"/>
    <w:rsid w:val="00F76AFC"/>
    <w:rsid w:val="00F81B7A"/>
    <w:rsid w:val="00F83C5D"/>
    <w:rsid w:val="00F8516F"/>
    <w:rsid w:val="00F9565A"/>
    <w:rsid w:val="00F977CA"/>
    <w:rsid w:val="00FA47C0"/>
    <w:rsid w:val="00FB2A49"/>
    <w:rsid w:val="00FB5DD1"/>
    <w:rsid w:val="00FC2B5D"/>
    <w:rsid w:val="00FC3F93"/>
    <w:rsid w:val="00FC7E09"/>
    <w:rsid w:val="00FD7303"/>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47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A313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A3138"/>
    <w:rPr>
      <w:rFonts w:ascii="Geomanist Light" w:hAnsi="Geomanist Light"/>
      <w:lang w:val="es-ES"/>
    </w:rPr>
  </w:style>
  <w:style w:type="character" w:customStyle="1" w:styleId="s15">
    <w:name w:val="s15"/>
    <w:basedOn w:val="Fuentedeprrafopredeter"/>
    <w:rsid w:val="00AA3138"/>
  </w:style>
  <w:style w:type="character" w:customStyle="1" w:styleId="baj">
    <w:name w:val="b_aj"/>
    <w:basedOn w:val="Fuentedeprrafopredeter"/>
    <w:rsid w:val="00AA3138"/>
  </w:style>
  <w:style w:type="character" w:styleId="nfasis">
    <w:name w:val="Emphasis"/>
    <w:basedOn w:val="Fuentedeprrafopredeter"/>
    <w:uiPriority w:val="20"/>
    <w:qFormat/>
    <w:rsid w:val="007510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notificacionesjudiciales@subredcentrooriente.gov.co"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195_2022_pr001.html" TargetMode="External"/><Relationship Id="rId2" Type="http://schemas.openxmlformats.org/officeDocument/2006/relationships/hyperlink" Target="http://www.secretariasenado.gov.co/senado/basedoc/constitucion_politica_1991_pr009.html" TargetMode="External"/><Relationship Id="rId1" Type="http://schemas.openxmlformats.org/officeDocument/2006/relationships/hyperlink" Target="http://www.secretariasenado.gov.co/senado/basedoc/constitucion_politica_1991_pr006.html" TargetMode="External"/><Relationship Id="rId4" Type="http://schemas.openxmlformats.org/officeDocument/2006/relationships/hyperlink" Target="http://www.secretariasenado.gov.co/senado/basedoc/ley_2195_2022_pr00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B4416-2263-4F9C-AFEE-EA19E0050D53}">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B546DA5-07D4-45FC-A3AF-D0193AC42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27</Pages>
  <Words>9616</Words>
  <Characters>52891</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2026-10-15T15:34:00Z</dcterms:created>
  <dcterms:modified xsi:type="dcterms:W3CDTF">2026-10-15T16:37:00Z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