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368B4" w:rsidR="000368B4" w:rsidP="000368B4" w:rsidRDefault="000368B4" w14:paraId="77BEEFA5" w14:textId="77777777">
      <w:pPr>
        <w:spacing w:after="0" w:line="240" w:lineRule="auto"/>
        <w:jc w:val="both"/>
        <w:rPr>
          <w:rFonts w:ascii="Verdana" w:hAnsi="Verdana" w:eastAsia="Calibri" w:cs="Arial"/>
          <w:b/>
          <w:lang w:val="es-ES_tradnl"/>
        </w:rPr>
      </w:pPr>
      <w:r w:rsidRPr="000368B4">
        <w:rPr>
          <w:rFonts w:ascii="Verdana" w:hAnsi="Verdana" w:eastAsia="Calibri" w:cs="Arial"/>
          <w:b/>
          <w:lang w:val="es-ES_tradnl"/>
        </w:rPr>
        <w:t>FACTORES DE DESEMPATE – Características – Límites</w:t>
      </w:r>
    </w:p>
    <w:p w:rsidRPr="000368B4" w:rsidR="000368B4" w:rsidP="000368B4" w:rsidRDefault="000368B4" w14:paraId="72FC7623" w14:textId="77777777">
      <w:pPr>
        <w:spacing w:after="0" w:line="240" w:lineRule="auto"/>
        <w:jc w:val="both"/>
        <w:rPr>
          <w:rFonts w:ascii="Verdana" w:hAnsi="Verdana" w:cs="Arial"/>
          <w:noProof/>
          <w:highlight w:val="yellow"/>
          <w:lang w:val="es-ES_tradnl"/>
        </w:rPr>
      </w:pPr>
    </w:p>
    <w:p w:rsidRPr="000368B4" w:rsidR="000368B4" w:rsidP="1184C853" w:rsidRDefault="000368B4" w14:paraId="5A4D1DD1" w14:textId="77777777">
      <w:pPr>
        <w:spacing w:after="0" w:line="240" w:lineRule="auto"/>
        <w:jc w:val="both"/>
        <w:rPr>
          <w:rFonts w:ascii="Verdana" w:hAnsi="Verdana" w:eastAsia="Calibri" w:cs="Arial"/>
          <w:sz w:val="20"/>
          <w:szCs w:val="20"/>
          <w:lang w:val="es-ES"/>
        </w:rPr>
      </w:pPr>
      <w:r w:rsidRPr="1184C853" w:rsidR="000368B4">
        <w:rPr>
          <w:rFonts w:ascii="Verdana" w:hAnsi="Verdana" w:eastAsia="Calibri" w:cs="Arial"/>
          <w:sz w:val="20"/>
          <w:szCs w:val="20"/>
          <w:lang w:val="es-ES"/>
        </w:rPr>
        <w:t xml:space="preserve">Dado que la selección objetiva es uno de los principios medulares de la contratación estatal, la escogencia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habilitación y calificación que establezcan las entidades en los pliegos de condiciones o sus </w:t>
      </w:r>
      <w:r w:rsidRPr="1184C853" w:rsidR="000368B4">
        <w:rPr>
          <w:rFonts w:ascii="Verdana" w:hAnsi="Verdana" w:eastAsia="Calibri" w:cs="Arial"/>
          <w:sz w:val="20"/>
          <w:szCs w:val="20"/>
          <w:lang w:val="es-ES"/>
        </w:rPr>
        <w:t>equivalentes,</w:t>
      </w:r>
      <w:r w:rsidRPr="1184C853" w:rsidR="000368B4">
        <w:rPr>
          <w:rFonts w:ascii="Verdana" w:hAnsi="Verdana" w:eastAsia="Calibri" w:cs="Arial"/>
          <w:sz w:val="20"/>
          <w:szCs w:val="20"/>
          <w:lang w:val="es-ES"/>
        </w:rPr>
        <w:t xml:space="preserve"> tendrán en cuenta criterios como la experiencia y la capacidad jurídica, financiera y de organización, entre otros elementos que garanticen la escogencia de la mejor opción de negocio para la entidad estatal.</w:t>
      </w:r>
    </w:p>
    <w:p w:rsidRPr="000368B4" w:rsidR="000368B4" w:rsidP="000368B4" w:rsidRDefault="000368B4" w14:paraId="5B7DB391" w14:textId="77777777">
      <w:pPr>
        <w:spacing w:after="0" w:line="240" w:lineRule="auto"/>
        <w:jc w:val="both"/>
        <w:rPr>
          <w:rFonts w:ascii="Verdana" w:hAnsi="Verdana" w:eastAsia="Calibri" w:cs="Arial"/>
          <w:b/>
          <w:highlight w:val="yellow"/>
          <w:lang w:val="es-ES_tradnl"/>
        </w:rPr>
      </w:pPr>
    </w:p>
    <w:p w:rsidRPr="000368B4" w:rsidR="000368B4" w:rsidP="000368B4" w:rsidRDefault="000368B4" w14:paraId="005E96F3" w14:textId="77777777">
      <w:pPr>
        <w:spacing w:after="0" w:line="240" w:lineRule="auto"/>
        <w:jc w:val="both"/>
        <w:rPr>
          <w:rFonts w:ascii="Verdana" w:hAnsi="Verdana" w:eastAsia="Calibri" w:cs="Arial"/>
          <w:b/>
          <w:lang w:val="es-ES_tradnl"/>
        </w:rPr>
      </w:pPr>
      <w:r w:rsidRPr="000368B4">
        <w:rPr>
          <w:rFonts w:ascii="Verdana" w:hAnsi="Verdana" w:eastAsia="Calibri" w:cs="Arial"/>
          <w:b/>
          <w:lang w:val="es-ES_tradnl"/>
        </w:rPr>
        <w:t>LEY DE EMPRENDIMIENTO – Ley 2069 de 2020 – Reglamentación – Decreto 1860 de 2021 – Vigencia</w:t>
      </w:r>
    </w:p>
    <w:p w:rsidRPr="000368B4" w:rsidR="000368B4" w:rsidP="000368B4" w:rsidRDefault="000368B4" w14:paraId="47D19084" w14:textId="77777777">
      <w:pPr>
        <w:spacing w:after="0" w:line="240" w:lineRule="auto"/>
        <w:jc w:val="both"/>
        <w:rPr>
          <w:rFonts w:ascii="Verdana" w:hAnsi="Verdana" w:eastAsia="Calibri" w:cs="Arial"/>
          <w:b/>
          <w:highlight w:val="yellow"/>
          <w:lang w:val="es-ES_tradnl"/>
        </w:rPr>
      </w:pPr>
    </w:p>
    <w:p w:rsidRPr="000368B4" w:rsidR="000368B4" w:rsidP="000368B4" w:rsidRDefault="000368B4" w14:paraId="4DA1E02F" w14:textId="77777777">
      <w:pPr>
        <w:spacing w:after="0" w:line="240" w:lineRule="auto"/>
        <w:jc w:val="both"/>
        <w:rPr>
          <w:rFonts w:ascii="Verdana" w:hAnsi="Verdana" w:eastAsia="Calibri" w:cs="Arial"/>
          <w:bCs/>
          <w:sz w:val="20"/>
          <w:szCs w:val="20"/>
          <w:lang w:val="es-ES_tradnl"/>
        </w:rPr>
      </w:pPr>
      <w:r w:rsidRPr="000368B4">
        <w:rPr>
          <w:rFonts w:ascii="Verdana" w:hAnsi="Verdana" w:eastAsia="Calibri" w:cs="Arial"/>
          <w:bCs/>
          <w:sz w:val="20"/>
          <w:szCs w:val="20"/>
          <w:lang w:val="es-ES_tradnl"/>
        </w:rPr>
        <w:t>[…] el pasado 24 de diciembre, el gobierno nacional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p>
    <w:p w:rsidRPr="000368B4" w:rsidR="000368B4" w:rsidP="000368B4" w:rsidRDefault="000368B4" w14:paraId="56225732" w14:textId="77777777">
      <w:pPr>
        <w:spacing w:after="0" w:line="240" w:lineRule="auto"/>
        <w:jc w:val="both"/>
        <w:rPr>
          <w:rFonts w:ascii="Verdana" w:hAnsi="Verdana" w:eastAsia="Calibri" w:cs="Arial"/>
          <w:b/>
          <w:lang w:val="es-ES_tradnl"/>
        </w:rPr>
      </w:pPr>
    </w:p>
    <w:p w:rsidRPr="000368B4" w:rsidR="000368B4" w:rsidP="1184C853" w:rsidRDefault="000368B4" w14:paraId="7E77F71F" w14:textId="77777777">
      <w:pPr>
        <w:spacing w:after="0" w:line="240" w:lineRule="auto"/>
        <w:jc w:val="both"/>
        <w:rPr>
          <w:rFonts w:ascii="Verdana" w:hAnsi="Verdana" w:eastAsia="Calibri" w:cs="Arial"/>
          <w:b w:val="1"/>
          <w:bCs w:val="1"/>
          <w:lang w:val="es-ES"/>
        </w:rPr>
      </w:pPr>
      <w:r w:rsidRPr="1184C853" w:rsidR="000368B4">
        <w:rPr>
          <w:rFonts w:ascii="Verdana" w:hAnsi="Verdana" w:eastAsia="Calibri" w:cs="Arial"/>
          <w:b w:val="1"/>
          <w:bCs w:val="1"/>
          <w:lang w:val="es-ES"/>
        </w:rPr>
        <w:t xml:space="preserve">FACTORES DE DESEMPATE – Personas mayores – Alcance – </w:t>
      </w:r>
      <w:r w:rsidRPr="1184C853" w:rsidR="000368B4">
        <w:rPr>
          <w:rFonts w:ascii="Verdana" w:hAnsi="Verdana" w:eastAsia="Calibri" w:cs="Arial"/>
          <w:b w:val="1"/>
          <w:bCs w:val="1"/>
          <w:lang w:val="es-ES"/>
        </w:rPr>
        <w:t>Prepensionados</w:t>
      </w:r>
      <w:r w:rsidRPr="1184C853" w:rsidR="000368B4">
        <w:rPr>
          <w:rFonts w:ascii="Verdana" w:hAnsi="Verdana" w:eastAsia="Calibri" w:cs="Arial"/>
          <w:b w:val="1"/>
          <w:bCs w:val="1"/>
          <w:lang w:val="es-ES"/>
        </w:rPr>
        <w:t xml:space="preserve"> – Exclusión</w:t>
      </w:r>
    </w:p>
    <w:p w:rsidRPr="000368B4" w:rsidR="000368B4" w:rsidP="000368B4" w:rsidRDefault="000368B4" w14:paraId="5B5057EC" w14:textId="77777777">
      <w:pPr>
        <w:spacing w:after="0" w:line="240" w:lineRule="auto"/>
        <w:jc w:val="both"/>
        <w:rPr>
          <w:rFonts w:ascii="Verdana" w:hAnsi="Verdana" w:cs="Arial"/>
          <w:highlight w:val="yellow"/>
          <w:lang w:val="es-ES_tradnl"/>
        </w:rPr>
      </w:pPr>
    </w:p>
    <w:p w:rsidRPr="000368B4" w:rsidR="000368B4" w:rsidP="1184C853" w:rsidRDefault="000368B4" w14:paraId="3449D5B9" w14:textId="77777777">
      <w:pPr>
        <w:spacing w:after="0" w:line="240" w:lineRule="auto"/>
        <w:jc w:val="both"/>
        <w:rPr>
          <w:rFonts w:ascii="Verdana" w:hAnsi="Verdana" w:eastAsia="Calibri" w:cs="Arial"/>
          <w:sz w:val="20"/>
          <w:szCs w:val="20"/>
          <w:lang w:val="es-ES"/>
        </w:rPr>
      </w:pPr>
      <w:r w:rsidRPr="1184C853" w:rsidR="000368B4">
        <w:rPr>
          <w:rFonts w:ascii="Verdana" w:hAnsi="Verdana" w:eastAsia="Calibri" w:cs="Arial"/>
          <w:sz w:val="20"/>
          <w:szCs w:val="20"/>
          <w:lang w:val="es-ES"/>
        </w:rPr>
        <w:t xml:space="preserve">De acuerdo con la interpretación general del artículo 34.4 de la Ley de Emprendimiento, cuando el legislador alude al concepto de “personas mayores” que no sean beneficiarias de la pensión de vejez, familiar o de sobrevivencia y que hayan cumplido la edad para obtenerla, una posible interpretación es entender que la norma se refiere al “adulto mayor”. Este concepto lo define el artículo 3 de la Ley 1251 de 2008 –“Por la cual se dictan normas tendientes a procurar la protección, promoción y defensa de los derechos de los adultos mayores”– como “[…] aquella persona que cuenta con sesenta (60) </w:t>
      </w:r>
      <w:r w:rsidRPr="1184C853" w:rsidR="000368B4">
        <w:rPr>
          <w:rFonts w:ascii="Verdana" w:hAnsi="Verdana" w:eastAsia="Calibri" w:cs="Arial"/>
          <w:sz w:val="20"/>
          <w:szCs w:val="20"/>
          <w:lang w:val="es-ES"/>
        </w:rPr>
        <w:t>años de edad</w:t>
      </w:r>
      <w:r w:rsidRPr="1184C853" w:rsidR="000368B4">
        <w:rPr>
          <w:rFonts w:ascii="Verdana" w:hAnsi="Verdana" w:eastAsia="Calibri" w:cs="Arial"/>
          <w:sz w:val="20"/>
          <w:szCs w:val="20"/>
          <w:lang w:val="es-ES"/>
        </w:rPr>
        <w:t xml:space="preserve"> o más”, lo cual se puede acreditar con el documento de identidad correspondiente. En todo caso, también es posible entender que esta causal aplica a todas las personas que –en el rango de edad correspondiente a cada género– no han alcanzado la pensión, interpretación que está más ajustada al principio de favorabilidad y que, como se expresará, se acogió en la reglamentación realizada por el Decreto 1860 de 2021. </w:t>
      </w:r>
    </w:p>
    <w:p w:rsidRPr="000368B4" w:rsidR="000368B4" w:rsidP="000368B4" w:rsidRDefault="000368B4" w14:paraId="0F98DDA5" w14:textId="77777777">
      <w:pPr>
        <w:spacing w:after="0" w:line="240" w:lineRule="auto"/>
        <w:jc w:val="both"/>
        <w:rPr>
          <w:rFonts w:ascii="Verdana" w:hAnsi="Verdana" w:eastAsia="Calibri" w:cs="Arial"/>
          <w:sz w:val="20"/>
          <w:szCs w:val="20"/>
          <w:lang w:val="es-ES_tradnl"/>
        </w:rPr>
      </w:pPr>
    </w:p>
    <w:p w:rsidRPr="000368B4" w:rsidR="000368B4" w:rsidP="1184C853" w:rsidRDefault="000368B4" w14:paraId="767BC8B2" w14:textId="77777777">
      <w:pPr>
        <w:spacing w:after="0" w:line="240" w:lineRule="auto"/>
        <w:jc w:val="both"/>
        <w:rPr>
          <w:rFonts w:ascii="Verdana" w:hAnsi="Verdana" w:eastAsia="Calibri" w:cs="Arial"/>
          <w:sz w:val="20"/>
          <w:szCs w:val="20"/>
          <w:lang w:val="es-ES"/>
        </w:rPr>
      </w:pPr>
      <w:r w:rsidRPr="1184C853" w:rsidR="000368B4">
        <w:rPr>
          <w:rFonts w:ascii="Verdana" w:hAnsi="Verdana" w:eastAsia="Calibri" w:cs="Arial"/>
          <w:sz w:val="20"/>
          <w:szCs w:val="20"/>
          <w:lang w:val="es-ES"/>
        </w:rPr>
        <w:t xml:space="preserve">Sin embargo, de la literalidad de la norma no se desprende la aplicación de este factor de desempate a los </w:t>
      </w:r>
      <w:r w:rsidRPr="1184C853" w:rsidR="000368B4">
        <w:rPr>
          <w:rFonts w:ascii="Verdana" w:hAnsi="Verdana" w:eastAsia="Calibri" w:cs="Arial"/>
          <w:sz w:val="20"/>
          <w:szCs w:val="20"/>
          <w:lang w:val="es-ES"/>
        </w:rPr>
        <w:t>prepensionados</w:t>
      </w:r>
      <w:r w:rsidRPr="1184C853" w:rsidR="000368B4">
        <w:rPr>
          <w:rFonts w:ascii="Verdana" w:hAnsi="Verdana" w:eastAsia="Calibri" w:cs="Arial"/>
          <w:sz w:val="20"/>
          <w:szCs w:val="20"/>
          <w:lang w:val="es-ES"/>
        </w:rPr>
        <w:t>, por lo que no son destinatarios de este incentivo. El numeral dice que en dicho evento la regla de desempate se aplica a favor del “[…] oferente que acredite la vinculación en mayor proporción de personas mayores que no sean beneficiarios de la pensión de vejez, familiar o de sobrevivencia y que hayan cumplido el requisito de edad de pensión establecido en la Ley”.</w:t>
      </w:r>
    </w:p>
    <w:p w:rsidRPr="000368B4" w:rsidR="000368B4" w:rsidP="000368B4" w:rsidRDefault="000368B4" w14:paraId="05CF58FE" w14:textId="77777777">
      <w:pPr>
        <w:spacing w:after="0" w:line="240" w:lineRule="auto"/>
        <w:jc w:val="both"/>
        <w:rPr>
          <w:rFonts w:ascii="Verdana" w:hAnsi="Verdana" w:eastAsia="Calibri" w:cs="Arial"/>
          <w:sz w:val="20"/>
          <w:szCs w:val="20"/>
          <w:lang w:val="es-ES_tradnl"/>
        </w:rPr>
      </w:pPr>
    </w:p>
    <w:p w:rsidRPr="000368B4" w:rsidR="000368B4" w:rsidP="1184C853" w:rsidRDefault="000368B4" w14:paraId="7E95B35B" w14:textId="77777777">
      <w:pPr>
        <w:spacing w:after="0" w:line="240" w:lineRule="auto"/>
        <w:jc w:val="both"/>
        <w:rPr>
          <w:rFonts w:ascii="Verdana" w:hAnsi="Verdana" w:eastAsia="Calibri" w:cs="Arial"/>
          <w:sz w:val="20"/>
          <w:szCs w:val="20"/>
          <w:lang w:val="es-ES"/>
        </w:rPr>
      </w:pPr>
      <w:r w:rsidRPr="1184C853" w:rsidR="000368B4">
        <w:rPr>
          <w:rFonts w:ascii="Verdana" w:hAnsi="Verdana" w:eastAsia="Calibri" w:cs="Arial"/>
          <w:sz w:val="20"/>
          <w:szCs w:val="20"/>
          <w:lang w:val="es-ES"/>
        </w:rPr>
        <w:t xml:space="preserve">Del numeral 4 del artículo 2.2.1.2.4.2.17 del Decreto 1082 de 2015 tampoco se refiere a los </w:t>
      </w:r>
      <w:r w:rsidRPr="1184C853" w:rsidR="000368B4">
        <w:rPr>
          <w:rFonts w:ascii="Verdana" w:hAnsi="Verdana" w:eastAsia="Calibri" w:cs="Arial"/>
          <w:sz w:val="20"/>
          <w:szCs w:val="20"/>
          <w:lang w:val="es-ES"/>
        </w:rPr>
        <w:t>prepensionados</w:t>
      </w:r>
      <w:r w:rsidRPr="1184C853" w:rsidR="000368B4">
        <w:rPr>
          <w:rFonts w:ascii="Verdana" w:hAnsi="Verdana" w:eastAsia="Calibri" w:cs="Arial"/>
          <w:sz w:val="20"/>
          <w:szCs w:val="20"/>
          <w:lang w:val="es-ES"/>
        </w:rPr>
        <w:t xml:space="preserve"> como sujetos del criterio de desempate. De conformidad con lo anterior, la reglamentación actual, expresamente, señala que se preferirá la propuesta del oferente que acredite la vinculación en mayor proporción de personas mayores que no sean beneficiarias de la pensión de vejez, familiar o de sobrevivencia y que hayan cumplido el requisito de edad de pensión establecido en la ley, para lo cual deberán presentar los siguientes documentos: i) un certificado mediante el cual, el representante legal de la persona jurídica o el revisor fiscal, acredite bajo gravedad de juramento las personas vinculadas a la nómina y el número de trabajadores que no son beneficiarios de la pensión de vejez, familiar o de sobrevivencia, </w:t>
      </w:r>
      <w:r w:rsidRPr="1184C853" w:rsidR="000368B4">
        <w:rPr>
          <w:rFonts w:ascii="Verdana" w:hAnsi="Verdana" w:eastAsia="Calibri" w:cs="Arial"/>
          <w:sz w:val="20"/>
          <w:szCs w:val="20"/>
          <w:lang w:val="es-ES"/>
        </w:rPr>
        <w:t>ii</w:t>
      </w:r>
      <w:r w:rsidRPr="1184C853" w:rsidR="000368B4">
        <w:rPr>
          <w:rFonts w:ascii="Verdana" w:hAnsi="Verdana" w:eastAsia="Calibri" w:cs="Arial"/>
          <w:sz w:val="20"/>
          <w:szCs w:val="20"/>
          <w:lang w:val="es-ES"/>
        </w:rPr>
        <w:t xml:space="preserve">) un certificado mediante el cual, cada uno de los trabajadores sujetos a la condición prevista en el numeral, acredite bajo gravedad de juramento que no es beneficiario de pensión de vejez, familiar o sobrevivencia, y que cumple la edad de pensión; y </w:t>
      </w:r>
      <w:r w:rsidRPr="1184C853" w:rsidR="000368B4">
        <w:rPr>
          <w:rFonts w:ascii="Verdana" w:hAnsi="Verdana" w:eastAsia="Calibri" w:cs="Arial"/>
          <w:sz w:val="20"/>
          <w:szCs w:val="20"/>
          <w:lang w:val="es-ES"/>
        </w:rPr>
        <w:t>iii</w:t>
      </w:r>
      <w:r w:rsidRPr="1184C853" w:rsidR="000368B4">
        <w:rPr>
          <w:rFonts w:ascii="Verdana" w:hAnsi="Verdana" w:eastAsia="Calibri" w:cs="Arial"/>
          <w:sz w:val="20"/>
          <w:szCs w:val="20"/>
          <w:lang w:val="es-ES"/>
        </w:rPr>
        <w:t xml:space="preserve">) además, el documento de identificación del trabajador que lo firma.  </w:t>
      </w:r>
    </w:p>
    <w:p w:rsidRPr="00B22E10" w:rsidR="000368B4" w:rsidP="000368B4" w:rsidRDefault="000368B4" w14:paraId="500E94E8" w14:textId="77777777">
      <w:pPr>
        <w:spacing w:after="0"/>
        <w:rPr>
          <w:rFonts w:ascii="Century Gothic" w:hAnsi="Century Gothic" w:eastAsia="Geomanist Light" w:cs="Arial"/>
          <w:color w:val="201F1E"/>
          <w:lang w:val="es-ES_tradnl"/>
        </w:rPr>
      </w:pPr>
    </w:p>
    <w:p w:rsidRPr="000368B4" w:rsidR="000368B4" w:rsidP="000C7F61" w:rsidRDefault="000368B4" w14:paraId="59E7857D" w14:textId="77777777">
      <w:pPr>
        <w:spacing w:after="0" w:line="240" w:lineRule="auto"/>
        <w:contextualSpacing/>
        <w:rPr>
          <w:rFonts w:ascii="Verdana" w:hAnsi="Verdana" w:eastAsia="Calibri" w:cs="Arial"/>
          <w:lang w:val="es-ES_tradnl"/>
        </w:rPr>
      </w:pPr>
    </w:p>
    <w:p w:rsidR="000368B4" w:rsidP="000C7F61" w:rsidRDefault="000368B4" w14:paraId="5116D984" w14:textId="77777777">
      <w:pPr>
        <w:spacing w:after="0" w:line="240" w:lineRule="auto"/>
        <w:contextualSpacing/>
        <w:rPr>
          <w:rFonts w:ascii="Verdana" w:hAnsi="Verdana" w:eastAsia="Calibri" w:cs="Arial"/>
        </w:rPr>
      </w:pPr>
    </w:p>
    <w:p w:rsidR="000368B4" w:rsidP="000C7F61" w:rsidRDefault="000368B4" w14:paraId="3C78EDC8" w14:textId="77777777">
      <w:pPr>
        <w:spacing w:after="0" w:line="240" w:lineRule="auto"/>
        <w:contextualSpacing/>
        <w:rPr>
          <w:rFonts w:ascii="Verdana" w:hAnsi="Verdana" w:eastAsia="Calibri" w:cs="Arial"/>
        </w:rPr>
      </w:pPr>
    </w:p>
    <w:p w:rsidR="000368B4" w:rsidP="000C7F61" w:rsidRDefault="000368B4" w14:paraId="6B29A8C5" w14:textId="77777777">
      <w:pPr>
        <w:spacing w:after="0" w:line="240" w:lineRule="auto"/>
        <w:contextualSpacing/>
        <w:rPr>
          <w:rFonts w:ascii="Verdana" w:hAnsi="Verdana" w:eastAsia="Calibri" w:cs="Arial"/>
        </w:rPr>
      </w:pPr>
    </w:p>
    <w:p w:rsidR="000368B4" w:rsidP="000C7F61" w:rsidRDefault="000368B4" w14:paraId="042EE64D" w14:textId="77777777">
      <w:pPr>
        <w:spacing w:after="0" w:line="240" w:lineRule="auto"/>
        <w:contextualSpacing/>
        <w:rPr>
          <w:rFonts w:ascii="Verdana" w:hAnsi="Verdana" w:eastAsia="Calibri" w:cs="Arial"/>
        </w:rPr>
      </w:pPr>
    </w:p>
    <w:p w:rsidR="000368B4" w:rsidP="000C7F61" w:rsidRDefault="000368B4" w14:paraId="11160FDF" w14:textId="77777777">
      <w:pPr>
        <w:spacing w:after="0" w:line="240" w:lineRule="auto"/>
        <w:contextualSpacing/>
        <w:rPr>
          <w:rFonts w:ascii="Verdana" w:hAnsi="Verdana" w:eastAsia="Calibri" w:cs="Arial"/>
        </w:rPr>
      </w:pPr>
    </w:p>
    <w:p w:rsidR="000368B4" w:rsidP="000C7F61" w:rsidRDefault="000368B4" w14:paraId="392649A9" w14:textId="77777777">
      <w:pPr>
        <w:spacing w:after="0" w:line="240" w:lineRule="auto"/>
        <w:contextualSpacing/>
        <w:rPr>
          <w:rFonts w:ascii="Verdana" w:hAnsi="Verdana" w:eastAsia="Calibri" w:cs="Arial"/>
        </w:rPr>
      </w:pPr>
    </w:p>
    <w:p w:rsidR="000368B4" w:rsidP="000C7F61" w:rsidRDefault="000368B4" w14:paraId="38D384CB" w14:textId="77777777">
      <w:pPr>
        <w:spacing w:after="0" w:line="240" w:lineRule="auto"/>
        <w:contextualSpacing/>
        <w:rPr>
          <w:rFonts w:ascii="Verdana" w:hAnsi="Verdana" w:eastAsia="Calibri" w:cs="Arial"/>
        </w:rPr>
      </w:pPr>
    </w:p>
    <w:p w:rsidR="000368B4" w:rsidP="000C7F61" w:rsidRDefault="000368B4" w14:paraId="287AA2D9" w14:textId="77777777">
      <w:pPr>
        <w:spacing w:after="0" w:line="240" w:lineRule="auto"/>
        <w:contextualSpacing/>
        <w:rPr>
          <w:rFonts w:ascii="Verdana" w:hAnsi="Verdana" w:eastAsia="Calibri" w:cs="Arial"/>
        </w:rPr>
      </w:pPr>
    </w:p>
    <w:p w:rsidR="000368B4" w:rsidP="000C7F61" w:rsidRDefault="000368B4" w14:paraId="62EF78E4" w14:textId="77777777">
      <w:pPr>
        <w:spacing w:after="0" w:line="240" w:lineRule="auto"/>
        <w:contextualSpacing/>
        <w:rPr>
          <w:rFonts w:ascii="Verdana" w:hAnsi="Verdana" w:eastAsia="Calibri" w:cs="Arial"/>
        </w:rPr>
      </w:pPr>
    </w:p>
    <w:p w:rsidR="000368B4" w:rsidP="000C7F61" w:rsidRDefault="000368B4" w14:paraId="7C300716" w14:textId="77777777">
      <w:pPr>
        <w:spacing w:after="0" w:line="240" w:lineRule="auto"/>
        <w:contextualSpacing/>
        <w:rPr>
          <w:rFonts w:ascii="Verdana" w:hAnsi="Verdana" w:eastAsia="Calibri" w:cs="Arial"/>
        </w:rPr>
      </w:pPr>
    </w:p>
    <w:p w:rsidR="000368B4" w:rsidP="000C7F61" w:rsidRDefault="000368B4" w14:paraId="089068B7" w14:textId="77777777">
      <w:pPr>
        <w:spacing w:after="0" w:line="240" w:lineRule="auto"/>
        <w:contextualSpacing/>
        <w:rPr>
          <w:rFonts w:ascii="Verdana" w:hAnsi="Verdana" w:eastAsia="Calibri" w:cs="Arial"/>
        </w:rPr>
      </w:pPr>
    </w:p>
    <w:p w:rsidR="000368B4" w:rsidP="000C7F61" w:rsidRDefault="000368B4" w14:paraId="5A6620BD" w14:textId="77777777">
      <w:pPr>
        <w:spacing w:after="0" w:line="240" w:lineRule="auto"/>
        <w:contextualSpacing/>
        <w:rPr>
          <w:rFonts w:ascii="Verdana" w:hAnsi="Verdana" w:eastAsia="Calibri" w:cs="Arial"/>
        </w:rPr>
      </w:pPr>
    </w:p>
    <w:p w:rsidR="000368B4" w:rsidP="000C7F61" w:rsidRDefault="000368B4" w14:paraId="547D86E8" w14:textId="77777777">
      <w:pPr>
        <w:spacing w:after="0" w:line="240" w:lineRule="auto"/>
        <w:contextualSpacing/>
        <w:rPr>
          <w:rFonts w:ascii="Verdana" w:hAnsi="Verdana" w:eastAsia="Calibri" w:cs="Arial"/>
        </w:rPr>
      </w:pPr>
    </w:p>
    <w:p w:rsidR="000368B4" w:rsidP="000C7F61" w:rsidRDefault="000368B4" w14:paraId="08C13946" w14:textId="77777777">
      <w:pPr>
        <w:spacing w:after="0" w:line="240" w:lineRule="auto"/>
        <w:contextualSpacing/>
        <w:rPr>
          <w:rFonts w:ascii="Verdana" w:hAnsi="Verdana" w:eastAsia="Calibri" w:cs="Arial"/>
        </w:rPr>
      </w:pPr>
    </w:p>
    <w:p w:rsidR="000368B4" w:rsidP="000C7F61" w:rsidRDefault="000368B4" w14:paraId="66F05C8A" w14:textId="77777777">
      <w:pPr>
        <w:spacing w:after="0" w:line="240" w:lineRule="auto"/>
        <w:contextualSpacing/>
        <w:rPr>
          <w:rFonts w:ascii="Verdana" w:hAnsi="Verdana" w:eastAsia="Calibri" w:cs="Arial"/>
        </w:rPr>
      </w:pPr>
    </w:p>
    <w:p w:rsidR="000368B4" w:rsidP="000C7F61" w:rsidRDefault="000368B4" w14:paraId="5B7BA437" w14:textId="77777777">
      <w:pPr>
        <w:spacing w:after="0" w:line="240" w:lineRule="auto"/>
        <w:contextualSpacing/>
        <w:rPr>
          <w:rFonts w:ascii="Verdana" w:hAnsi="Verdana" w:eastAsia="Calibri" w:cs="Arial"/>
        </w:rPr>
      </w:pPr>
    </w:p>
    <w:p w:rsidR="000368B4" w:rsidP="000C7F61" w:rsidRDefault="000368B4" w14:paraId="0ADD6F2C" w14:textId="77777777">
      <w:pPr>
        <w:spacing w:after="0" w:line="240" w:lineRule="auto"/>
        <w:contextualSpacing/>
        <w:rPr>
          <w:rFonts w:ascii="Verdana" w:hAnsi="Verdana" w:eastAsia="Calibri" w:cs="Arial"/>
        </w:rPr>
      </w:pPr>
    </w:p>
    <w:p w:rsidR="000368B4" w:rsidP="000C7F61" w:rsidRDefault="000368B4" w14:paraId="22E69CF9" w14:textId="77777777">
      <w:pPr>
        <w:spacing w:after="0" w:line="240" w:lineRule="auto"/>
        <w:contextualSpacing/>
        <w:rPr>
          <w:rFonts w:ascii="Verdana" w:hAnsi="Verdana" w:eastAsia="Calibri" w:cs="Arial"/>
        </w:rPr>
      </w:pPr>
    </w:p>
    <w:p w:rsidR="000368B4" w:rsidP="000C7F61" w:rsidRDefault="000368B4" w14:paraId="7543B2E8" w14:textId="77777777">
      <w:pPr>
        <w:spacing w:after="0" w:line="240" w:lineRule="auto"/>
        <w:contextualSpacing/>
        <w:rPr>
          <w:rFonts w:ascii="Verdana" w:hAnsi="Verdana" w:eastAsia="Calibri" w:cs="Arial"/>
        </w:rPr>
      </w:pPr>
    </w:p>
    <w:p w:rsidR="000368B4" w:rsidP="000C7F61" w:rsidRDefault="000368B4" w14:paraId="49DA6F47" w14:textId="77777777">
      <w:pPr>
        <w:spacing w:after="0" w:line="240" w:lineRule="auto"/>
        <w:contextualSpacing/>
        <w:rPr>
          <w:rFonts w:ascii="Verdana" w:hAnsi="Verdana" w:eastAsia="Calibri" w:cs="Arial"/>
        </w:rPr>
      </w:pPr>
    </w:p>
    <w:p w:rsidRPr="002310F7" w:rsidR="000C7F61" w:rsidP="000C7F61" w:rsidRDefault="006F6994" w14:paraId="1CA07B1F" w14:textId="28C287A4">
      <w:pPr>
        <w:spacing w:after="0" w:line="240" w:lineRule="auto"/>
        <w:contextualSpacing/>
        <w:rPr>
          <w:rFonts w:ascii="Verdana" w:hAnsi="Verdana" w:eastAsia="Calibri" w:cs="Arial"/>
        </w:rPr>
      </w:pPr>
      <w:r w:rsidRPr="006F6994">
        <w:rPr>
          <w:rFonts w:ascii="Verdana" w:hAnsi="Verdana" w:eastAsia="Calibri" w:cs="Arial"/>
        </w:rPr>
        <w:t xml:space="preserve">Bogotá D.C, 23 </w:t>
      </w:r>
      <w:r>
        <w:rPr>
          <w:rFonts w:ascii="Verdana" w:hAnsi="Verdana" w:eastAsia="Calibri" w:cs="Arial"/>
        </w:rPr>
        <w:t>o</w:t>
      </w:r>
      <w:r w:rsidRPr="006F6994">
        <w:rPr>
          <w:rFonts w:ascii="Verdana" w:hAnsi="Verdana" w:eastAsia="Calibri" w:cs="Arial"/>
        </w:rPr>
        <w:t>ctubre 2026</w:t>
      </w:r>
      <w:r>
        <w:rPr>
          <w:rFonts w:ascii="Verdana" w:hAnsi="Verdana" w:eastAsia="Calibri" w:cs="Arial"/>
        </w:rPr>
        <w:t xml:space="preserve"> </w:t>
      </w:r>
    </w:p>
    <w:p w:rsidR="000C7F61" w:rsidP="000C7F61" w:rsidRDefault="00220C6D" w14:paraId="40E20677" w14:textId="5444501D">
      <w:pPr>
        <w:spacing w:after="0" w:line="240" w:lineRule="auto"/>
        <w:jc w:val="both"/>
        <w:rPr>
          <w:rFonts w:ascii="Verdana" w:hAnsi="Verdana" w:eastAsia="Calibri" w:cs="Arial"/>
          <w:lang w:eastAsia="es-ES"/>
        </w:rPr>
      </w:pPr>
      <w:bookmarkStart w:name="_Hlk197462763" w:id="0"/>
      <w:bookmarkStart w:name="_Hlk197529996" w:id="1"/>
      <w:r w:rsidRPr="00220C6D">
        <w:rPr>
          <w:rFonts w:ascii="Verdana" w:hAnsi="Verdana" w:eastAsia="Calibri" w:cs="Arial"/>
          <w:lang w:eastAsia="es-ES"/>
        </w:rPr>
        <w:drawing>
          <wp:anchor distT="0" distB="0" distL="114300" distR="114300" simplePos="0" relativeHeight="251658240" behindDoc="1" locked="0" layoutInCell="1" allowOverlap="1" wp14:anchorId="4AF48682" wp14:editId="0F856085">
            <wp:simplePos x="0" y="0"/>
            <wp:positionH relativeFrom="column">
              <wp:posOffset>3535777</wp:posOffset>
            </wp:positionH>
            <wp:positionV relativeFrom="paragraph">
              <wp:posOffset>114300</wp:posOffset>
            </wp:positionV>
            <wp:extent cx="2514600" cy="676275"/>
            <wp:effectExtent l="0" t="0" r="0" b="9525"/>
            <wp:wrapTight wrapText="bothSides">
              <wp:wrapPolygon edited="0">
                <wp:start x="0" y="0"/>
                <wp:lineTo x="0" y="21296"/>
                <wp:lineTo x="21436" y="21296"/>
                <wp:lineTo x="21436" y="0"/>
                <wp:lineTo x="0" y="0"/>
              </wp:wrapPolygon>
            </wp:wrapTight>
            <wp:docPr id="19659993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999355" name=""/>
                    <pic:cNvPicPr/>
                  </pic:nvPicPr>
                  <pic:blipFill>
                    <a:blip r:embed="rId7">
                      <a:extLst>
                        <a:ext uri="{28A0092B-C50C-407E-A947-70E740481C1C}">
                          <a14:useLocalDpi xmlns:a14="http://schemas.microsoft.com/office/drawing/2010/main" val="0"/>
                        </a:ext>
                      </a:extLst>
                    </a:blip>
                    <a:stretch>
                      <a:fillRect/>
                    </a:stretch>
                  </pic:blipFill>
                  <pic:spPr>
                    <a:xfrm>
                      <a:off x="0" y="0"/>
                      <a:ext cx="2514600" cy="676275"/>
                    </a:xfrm>
                    <a:prstGeom prst="rect">
                      <a:avLst/>
                    </a:prstGeom>
                  </pic:spPr>
                </pic:pic>
              </a:graphicData>
            </a:graphic>
          </wp:anchor>
        </w:drawing>
      </w:r>
    </w:p>
    <w:p w:rsidR="000C7F61" w:rsidP="000C7F61" w:rsidRDefault="000C7F61" w14:paraId="6FE6AFD9" w14:textId="7792F06A">
      <w:pPr>
        <w:spacing w:after="0" w:line="240" w:lineRule="auto"/>
        <w:jc w:val="both"/>
        <w:rPr>
          <w:rFonts w:ascii="Verdana" w:hAnsi="Verdana" w:eastAsia="Calibri" w:cs="Arial"/>
          <w:lang w:eastAsia="es-ES"/>
        </w:rPr>
      </w:pPr>
    </w:p>
    <w:p w:rsidRPr="005850BE" w:rsidR="000C7F61" w:rsidP="000C7F61" w:rsidRDefault="000C7F61" w14:paraId="3A1EDEB8" w14:textId="77777777">
      <w:pPr>
        <w:spacing w:after="0" w:line="240" w:lineRule="auto"/>
        <w:jc w:val="both"/>
        <w:rPr>
          <w:rFonts w:ascii="Verdana" w:hAnsi="Verdana" w:eastAsia="Calibri" w:cs="Arial"/>
          <w:lang w:eastAsia="es-ES"/>
        </w:rPr>
      </w:pPr>
      <w:r w:rsidRPr="005850BE">
        <w:rPr>
          <w:rFonts w:ascii="Verdana" w:hAnsi="Verdana" w:eastAsia="Calibri" w:cs="Arial"/>
          <w:lang w:eastAsia="es-ES"/>
        </w:rPr>
        <w:t>Señor</w:t>
      </w:r>
      <w:r>
        <w:rPr>
          <w:rFonts w:ascii="Verdana" w:hAnsi="Verdana" w:eastAsia="Calibri" w:cs="Arial"/>
          <w:lang w:eastAsia="es-ES"/>
        </w:rPr>
        <w:t>a</w:t>
      </w:r>
    </w:p>
    <w:p w:rsidRPr="005850BE" w:rsidR="000C7F61" w:rsidP="000C7F61" w:rsidRDefault="000C7F61" w14:paraId="4D530A5E" w14:textId="77777777">
      <w:pPr>
        <w:spacing w:after="0" w:line="240" w:lineRule="auto"/>
        <w:jc w:val="both"/>
        <w:rPr>
          <w:rFonts w:ascii="Verdana" w:hAnsi="Verdana" w:eastAsia="Calibri" w:cs="Arial"/>
          <w:b/>
          <w:lang w:eastAsia="es-ES_tradnl"/>
        </w:rPr>
      </w:pPr>
      <w:r w:rsidRPr="005850BE">
        <w:rPr>
          <w:rFonts w:ascii="Verdana" w:hAnsi="Verdana" w:eastAsia="Calibri" w:cs="Arial"/>
          <w:b/>
          <w:lang w:eastAsia="es-ES_tradnl"/>
        </w:rPr>
        <w:t xml:space="preserve">Linda Esmeralda Perdomo Sabogal </w:t>
      </w:r>
    </w:p>
    <w:p w:rsidRPr="005850BE" w:rsidR="000C7F61" w:rsidP="000C7F61" w:rsidRDefault="000C7F61" w14:paraId="05C1839B" w14:textId="77777777">
      <w:pPr>
        <w:spacing w:after="0" w:line="240" w:lineRule="auto"/>
        <w:jc w:val="both"/>
        <w:rPr>
          <w:rFonts w:ascii="Verdana" w:hAnsi="Verdana" w:eastAsia="Calibri" w:cs="Arial"/>
          <w:bCs/>
          <w:lang w:eastAsia="es-ES_tradnl"/>
        </w:rPr>
      </w:pPr>
      <w:proofErr w:type="spellStart"/>
      <w:r w:rsidRPr="005850BE">
        <w:rPr>
          <w:rFonts w:ascii="Verdana" w:hAnsi="Verdana" w:eastAsia="Calibri" w:cs="Arial"/>
          <w:bCs/>
          <w:lang w:eastAsia="es-ES_tradnl"/>
        </w:rPr>
        <w:t>Unikapital</w:t>
      </w:r>
      <w:proofErr w:type="spellEnd"/>
      <w:r w:rsidRPr="005850BE">
        <w:rPr>
          <w:rFonts w:ascii="Verdana" w:hAnsi="Verdana" w:eastAsia="Calibri" w:cs="Arial"/>
          <w:bCs/>
          <w:lang w:eastAsia="es-ES_tradnl"/>
        </w:rPr>
        <w:t xml:space="preserve"> Consorcio</w:t>
      </w:r>
    </w:p>
    <w:p w:rsidRPr="005850BE" w:rsidR="000C7F61" w:rsidP="000C7F61" w:rsidRDefault="000C7F61" w14:paraId="6BE28169" w14:textId="77777777">
      <w:pPr>
        <w:spacing w:after="0" w:line="240" w:lineRule="auto"/>
        <w:jc w:val="both"/>
        <w:rPr>
          <w:rFonts w:ascii="Verdana" w:hAnsi="Verdana" w:eastAsia="Calibri" w:cs="Arial"/>
          <w:b/>
          <w:highlight w:val="yellow"/>
          <w:lang w:eastAsia="es-ES_tradnl"/>
        </w:rPr>
      </w:pPr>
      <w:hyperlink w:history="1" r:id="rId8">
        <w:r w:rsidRPr="005850BE">
          <w:rPr>
            <w:rStyle w:val="Hipervnculo"/>
            <w:rFonts w:ascii="Verdana" w:hAnsi="Verdana" w:eastAsia="Calibri" w:cs="Arial"/>
            <w:b/>
            <w:lang w:eastAsia="es-ES_tradnl"/>
          </w:rPr>
          <w:t>acuerdomarcokapital25@gmail.com</w:t>
        </w:r>
      </w:hyperlink>
      <w:r w:rsidRPr="005850BE">
        <w:rPr>
          <w:rFonts w:ascii="Verdana" w:hAnsi="Verdana" w:eastAsia="Calibri" w:cs="Arial"/>
          <w:b/>
          <w:lang w:eastAsia="es-ES_tradnl"/>
        </w:rPr>
        <w:t xml:space="preserve"> </w:t>
      </w:r>
    </w:p>
    <w:p w:rsidRPr="005850BE" w:rsidR="000C7F61" w:rsidP="000C7F61" w:rsidRDefault="000C7F61" w14:paraId="6B8B8A82" w14:textId="77777777">
      <w:pPr>
        <w:spacing w:after="0" w:line="240" w:lineRule="auto"/>
        <w:jc w:val="both"/>
        <w:rPr>
          <w:rFonts w:ascii="Verdana" w:hAnsi="Verdana" w:eastAsia="Calibri" w:cs="Arial"/>
          <w:bCs/>
          <w:lang w:eastAsia="es-ES_tradnl"/>
        </w:rPr>
      </w:pPr>
      <w:r w:rsidRPr="005850BE">
        <w:rPr>
          <w:rFonts w:ascii="Verdana" w:hAnsi="Verdana" w:eastAsia="Calibri" w:cs="Arial"/>
          <w:bCs/>
          <w:lang w:eastAsia="es-ES_tradnl"/>
        </w:rPr>
        <w:t xml:space="preserve">Ciudad </w:t>
      </w:r>
    </w:p>
    <w:p w:rsidR="000C7F61" w:rsidP="000C7F61" w:rsidRDefault="000C7F61" w14:paraId="634D96AF" w14:textId="77777777">
      <w:pPr>
        <w:spacing w:after="0" w:line="240" w:lineRule="auto"/>
        <w:jc w:val="both"/>
        <w:rPr>
          <w:rFonts w:ascii="Verdana" w:hAnsi="Verdana"/>
          <w:lang w:val="it-CH"/>
        </w:rPr>
      </w:pPr>
    </w:p>
    <w:p w:rsidRPr="005B4C57" w:rsidR="000C7F61" w:rsidP="000C7F61" w:rsidRDefault="000C7F61" w14:paraId="329AA259" w14:textId="77777777">
      <w:pPr>
        <w:spacing w:after="0" w:line="240" w:lineRule="auto"/>
        <w:jc w:val="both"/>
        <w:rPr>
          <w:rFonts w:ascii="Verdana" w:hAnsi="Verdana" w:eastAsia="Calibri" w:cs="Arial"/>
          <w:b/>
          <w:bCs/>
          <w:color w:val="000000"/>
          <w:lang w:val="it-CH"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3119"/>
        <w:gridCol w:w="5670"/>
      </w:tblGrid>
      <w:tr w:rsidRPr="002842E0" w:rsidR="000C7F61" w:rsidTr="00285FA3" w14:paraId="4D47AD80" w14:textId="77777777">
        <w:trPr>
          <w:trHeight w:val="162"/>
        </w:trPr>
        <w:tc>
          <w:tcPr>
            <w:tcW w:w="3119" w:type="dxa"/>
          </w:tcPr>
          <w:p w:rsidRPr="005B4C57" w:rsidR="000C7F61" w:rsidP="00285FA3" w:rsidRDefault="000C7F61" w14:paraId="715303F3" w14:textId="77777777">
            <w:pPr>
              <w:jc w:val="both"/>
              <w:rPr>
                <w:rFonts w:ascii="Verdana" w:hAnsi="Verdana" w:eastAsia="Calibri" w:cs="Arial"/>
                <w:b/>
                <w:bCs/>
                <w:color w:val="7030A0"/>
                <w:lang w:val="it-CH" w:eastAsia="es-ES_tradnl"/>
              </w:rPr>
            </w:pPr>
          </w:p>
        </w:tc>
        <w:tc>
          <w:tcPr>
            <w:tcW w:w="5670" w:type="dxa"/>
          </w:tcPr>
          <w:p w:rsidRPr="00801462" w:rsidR="000C7F61" w:rsidP="00285FA3" w:rsidRDefault="000C7F61" w14:paraId="18CB7665" w14:textId="77777777">
            <w:pPr>
              <w:jc w:val="both"/>
              <w:rPr>
                <w:rFonts w:ascii="Verdana" w:hAnsi="Verdana" w:eastAsia="Calibri" w:cs="Arial"/>
                <w:b/>
                <w:bCs/>
                <w:lang w:eastAsia="es-ES"/>
              </w:rPr>
            </w:pPr>
            <w:r w:rsidRPr="00596158">
              <w:rPr>
                <w:rFonts w:ascii="Verdana" w:hAnsi="Verdana" w:eastAsia="Calibri" w:cs="Arial"/>
                <w:b/>
                <w:bCs/>
                <w:lang w:eastAsia="es-ES"/>
              </w:rPr>
              <w:t>Concepto C- 1</w:t>
            </w:r>
            <w:r>
              <w:rPr>
                <w:rFonts w:ascii="Verdana" w:hAnsi="Verdana" w:eastAsia="Calibri" w:cs="Arial"/>
                <w:b/>
                <w:bCs/>
                <w:lang w:eastAsia="es-ES"/>
              </w:rPr>
              <w:t>444</w:t>
            </w:r>
            <w:r w:rsidRPr="00596158">
              <w:rPr>
                <w:rFonts w:ascii="Verdana" w:hAnsi="Verdana" w:eastAsia="Calibri" w:cs="Arial"/>
                <w:b/>
                <w:bCs/>
                <w:lang w:eastAsia="es-ES"/>
              </w:rPr>
              <w:t xml:space="preserve"> de 202</w:t>
            </w:r>
            <w:r>
              <w:rPr>
                <w:rFonts w:ascii="Verdana" w:hAnsi="Verdana" w:eastAsia="Calibri" w:cs="Arial"/>
                <w:b/>
                <w:bCs/>
                <w:lang w:eastAsia="es-ES"/>
              </w:rPr>
              <w:t>6</w:t>
            </w:r>
          </w:p>
          <w:p w:rsidRPr="00801462" w:rsidR="000C7F61" w:rsidP="00285FA3" w:rsidRDefault="000C7F61" w14:paraId="5089B092" w14:textId="77777777">
            <w:pPr>
              <w:jc w:val="both"/>
              <w:rPr>
                <w:rFonts w:ascii="Verdana" w:hAnsi="Verdana" w:eastAsia="Calibri" w:cs="Arial"/>
                <w:b/>
                <w:bCs/>
                <w:color w:val="7030A0"/>
                <w:lang w:eastAsia="es-ES"/>
              </w:rPr>
            </w:pPr>
          </w:p>
        </w:tc>
      </w:tr>
      <w:tr w:rsidRPr="002842E0" w:rsidR="000C7F61" w:rsidTr="00285FA3" w14:paraId="361B8908" w14:textId="77777777">
        <w:trPr>
          <w:trHeight w:val="884"/>
        </w:trPr>
        <w:tc>
          <w:tcPr>
            <w:tcW w:w="3119" w:type="dxa"/>
          </w:tcPr>
          <w:p w:rsidRPr="00D062C0" w:rsidR="000C7F61" w:rsidP="00285FA3" w:rsidRDefault="000C7F61" w14:paraId="51D7E6E2" w14:textId="77777777">
            <w:pPr>
              <w:jc w:val="both"/>
              <w:rPr>
                <w:rFonts w:ascii="Verdana" w:hAnsi="Verdana" w:eastAsia="Calibri" w:cs="Arial"/>
                <w:color w:val="000000"/>
                <w:lang w:eastAsia="es-ES_tradnl"/>
              </w:rPr>
            </w:pPr>
            <w:r w:rsidRPr="00D062C0">
              <w:rPr>
                <w:rFonts w:ascii="Verdana" w:hAnsi="Verdana" w:eastAsia="Calibri" w:cs="Arial"/>
                <w:b/>
                <w:color w:val="000000"/>
                <w:lang w:eastAsia="es-ES_tradnl"/>
              </w:rPr>
              <w:t>Temas:</w:t>
            </w:r>
            <w:r w:rsidRPr="00D062C0">
              <w:rPr>
                <w:rFonts w:ascii="Verdana" w:hAnsi="Verdana" w:eastAsia="Calibri" w:cs="Arial"/>
                <w:color w:val="000000"/>
                <w:lang w:eastAsia="es-ES_tradnl"/>
              </w:rPr>
              <w:t xml:space="preserve">                   </w:t>
            </w:r>
          </w:p>
        </w:tc>
        <w:tc>
          <w:tcPr>
            <w:tcW w:w="5670" w:type="dxa"/>
          </w:tcPr>
          <w:p w:rsidRPr="00D062C0" w:rsidR="000C7F61" w:rsidP="00285FA3" w:rsidRDefault="000C7F61" w14:paraId="62C14EB5" w14:textId="77777777">
            <w:pPr>
              <w:jc w:val="both"/>
              <w:rPr>
                <w:rFonts w:ascii="Verdana" w:hAnsi="Verdana" w:eastAsia="Times New Roman" w:cs="Arial"/>
                <w:bCs/>
                <w:lang w:eastAsia="es-CO"/>
              </w:rPr>
            </w:pPr>
            <w:r w:rsidRPr="00D062C0">
              <w:rPr>
                <w:rFonts w:ascii="Verdana" w:hAnsi="Verdana" w:eastAsia="Calibri" w:cs="Arial"/>
                <w:lang w:val="es-MX" w:eastAsia="es-ES_tradnl"/>
              </w:rPr>
              <w:t xml:space="preserve">FACTORES DE DESEMPATE – Características – Límites / LEY DE EMPRENDIMIENTO – Ley 2069 de 2020 – Reglamentación – Decreto 1860 de 2021 – Vigencia / FACTORES DE DESEMPATE – Personas mayores – Alcance – </w:t>
            </w:r>
            <w:proofErr w:type="spellStart"/>
            <w:r w:rsidRPr="00D062C0">
              <w:rPr>
                <w:rFonts w:ascii="Verdana" w:hAnsi="Verdana" w:eastAsia="Calibri" w:cs="Arial"/>
                <w:lang w:val="es-MX" w:eastAsia="es-ES_tradnl"/>
              </w:rPr>
              <w:t>Prepensionados</w:t>
            </w:r>
            <w:proofErr w:type="spellEnd"/>
            <w:r w:rsidRPr="00D062C0">
              <w:rPr>
                <w:rFonts w:ascii="Verdana" w:hAnsi="Verdana" w:eastAsia="Calibri" w:cs="Arial"/>
                <w:lang w:val="es-MX" w:eastAsia="es-ES_tradnl"/>
              </w:rPr>
              <w:t xml:space="preserve"> – Exclusión    </w:t>
            </w:r>
          </w:p>
          <w:p w:rsidRPr="00D062C0" w:rsidR="000C7F61" w:rsidP="00285FA3" w:rsidRDefault="000C7F61" w14:paraId="2CF55118" w14:textId="77777777">
            <w:pPr>
              <w:jc w:val="both"/>
              <w:rPr>
                <w:rFonts w:ascii="Verdana" w:hAnsi="Verdana" w:cs="Arial" w:eastAsiaTheme="minorEastAsia"/>
                <w:color w:val="000000" w:themeColor="text1"/>
              </w:rPr>
            </w:pPr>
          </w:p>
          <w:p w:rsidRPr="00D062C0" w:rsidR="000C7F61" w:rsidP="00285FA3" w:rsidRDefault="000C7F61" w14:paraId="5A34C94E" w14:textId="77777777">
            <w:pPr>
              <w:jc w:val="both"/>
              <w:rPr>
                <w:rFonts w:ascii="Verdana" w:hAnsi="Verdana" w:eastAsia="Calibri" w:cs="Arial"/>
                <w:lang w:val="es-ES_tradnl" w:eastAsia="es-ES"/>
              </w:rPr>
            </w:pPr>
          </w:p>
        </w:tc>
      </w:tr>
      <w:tr w:rsidRPr="00596158" w:rsidR="000C7F61" w:rsidTr="00285FA3" w14:paraId="3ED91F69" w14:textId="77777777">
        <w:tc>
          <w:tcPr>
            <w:tcW w:w="3119" w:type="dxa"/>
          </w:tcPr>
          <w:p w:rsidRPr="00EB42FF" w:rsidR="000C7F61" w:rsidP="00285FA3" w:rsidRDefault="000C7F61" w14:paraId="5964CD9F" w14:textId="77777777">
            <w:pPr>
              <w:jc w:val="both"/>
              <w:rPr>
                <w:rFonts w:ascii="Verdana" w:hAnsi="Verdana" w:eastAsia="Calibri" w:cs="Arial"/>
                <w:b/>
                <w:lang w:eastAsia="es-ES_tradnl"/>
              </w:rPr>
            </w:pPr>
            <w:r w:rsidRPr="00EB42FF">
              <w:rPr>
                <w:rFonts w:ascii="Verdana" w:hAnsi="Verdana" w:eastAsia="Calibri" w:cs="Arial"/>
                <w:b/>
                <w:lang w:eastAsia="es-ES_tradnl"/>
              </w:rPr>
              <w:t>Radicación:</w:t>
            </w:r>
            <w:r w:rsidRPr="00EB42FF">
              <w:rPr>
                <w:rFonts w:ascii="Verdana" w:hAnsi="Verdana" w:eastAsia="Calibri" w:cs="Arial"/>
                <w:lang w:eastAsia="es-ES_tradnl"/>
              </w:rPr>
              <w:t xml:space="preserve">               </w:t>
            </w:r>
          </w:p>
        </w:tc>
        <w:tc>
          <w:tcPr>
            <w:tcW w:w="5670" w:type="dxa"/>
          </w:tcPr>
          <w:p w:rsidRPr="00B00313" w:rsidR="000C7F61" w:rsidP="00285FA3" w:rsidRDefault="000C7F61" w14:paraId="0B31452D" w14:textId="77777777">
            <w:pPr>
              <w:jc w:val="both"/>
              <w:rPr>
                <w:rFonts w:ascii="Verdana" w:hAnsi="Verdana" w:eastAsia="Calibri" w:cs="Arial"/>
                <w:lang w:eastAsia="es-ES_tradnl"/>
              </w:rPr>
            </w:pPr>
            <w:r w:rsidRPr="00B00313">
              <w:rPr>
                <w:rFonts w:ascii="Verdana" w:hAnsi="Verdana" w:eastAsia="Calibri" w:cs="Arial"/>
                <w:lang w:eastAsia="es-ES_tradnl"/>
              </w:rPr>
              <w:t xml:space="preserve">Respuesta a consulta con radicado </w:t>
            </w:r>
            <w:r w:rsidRPr="00B00313">
              <w:rPr>
                <w:rFonts w:ascii="Verdana" w:hAnsi="Verdana"/>
                <w:color w:val="242424"/>
              </w:rPr>
              <w:t>1_2026_09_14_012234</w:t>
            </w:r>
          </w:p>
          <w:p w:rsidRPr="00EB42FF" w:rsidR="000C7F61" w:rsidP="00285FA3" w:rsidRDefault="000C7F61" w14:paraId="7C377ED9" w14:textId="77777777">
            <w:pPr>
              <w:jc w:val="both"/>
              <w:rPr>
                <w:rFonts w:ascii="Verdana" w:hAnsi="Verdana" w:eastAsia="Calibri" w:cs="Arial"/>
                <w:lang w:eastAsia="es-ES_tradnl"/>
              </w:rPr>
            </w:pPr>
          </w:p>
          <w:p w:rsidRPr="00EB42FF" w:rsidR="000C7F61" w:rsidP="00285FA3" w:rsidRDefault="000C7F61" w14:paraId="780A512D" w14:textId="77777777">
            <w:pPr>
              <w:jc w:val="both"/>
              <w:rPr>
                <w:rFonts w:ascii="Verdana" w:hAnsi="Verdana" w:eastAsia="Calibri" w:cs="Arial"/>
                <w:lang w:eastAsia="es-ES_tradnl"/>
              </w:rPr>
            </w:pPr>
          </w:p>
        </w:tc>
      </w:tr>
    </w:tbl>
    <w:p w:rsidRPr="008E4F36" w:rsidR="000C7F61" w:rsidP="000C7F61" w:rsidRDefault="000C7F61" w14:paraId="2A96E6EC" w14:textId="77777777">
      <w:pPr>
        <w:spacing w:after="0" w:line="276" w:lineRule="auto"/>
        <w:jc w:val="both"/>
        <w:rPr>
          <w:rFonts w:ascii="Verdana" w:hAnsi="Verdana" w:eastAsia="Calibri" w:cs="Arial"/>
          <w:lang w:eastAsia="es-ES"/>
        </w:rPr>
      </w:pPr>
      <w:r w:rsidRPr="00596158">
        <w:rPr>
          <w:rFonts w:ascii="Verdana" w:hAnsi="Verdana" w:eastAsia="Calibri" w:cs="Arial"/>
          <w:lang w:eastAsia="es-ES"/>
        </w:rPr>
        <w:t>Estimad</w:t>
      </w:r>
      <w:r>
        <w:rPr>
          <w:rFonts w:ascii="Verdana" w:hAnsi="Verdana" w:eastAsia="Calibri" w:cs="Arial"/>
          <w:lang w:eastAsia="es-ES"/>
        </w:rPr>
        <w:t>a Señora Perdomo</w:t>
      </w:r>
      <w:r w:rsidRPr="00596158">
        <w:rPr>
          <w:rFonts w:ascii="Verdana" w:hAnsi="Verdana" w:eastAsia="Calibri" w:cs="Arial"/>
          <w:lang w:eastAsia="es-ES"/>
        </w:rPr>
        <w:t>:</w:t>
      </w:r>
      <w:r w:rsidRPr="008E4F36">
        <w:rPr>
          <w:rFonts w:ascii="Verdana" w:hAnsi="Verdana" w:eastAsia="Calibri" w:cs="Arial"/>
          <w:lang w:eastAsia="es-ES"/>
        </w:rPr>
        <w:t xml:space="preserve"> </w:t>
      </w:r>
    </w:p>
    <w:p w:rsidR="000C7F61" w:rsidP="000C7F61" w:rsidRDefault="000C7F61" w14:paraId="7A25B529" w14:textId="77777777">
      <w:pPr>
        <w:tabs>
          <w:tab w:val="left" w:pos="3768"/>
        </w:tabs>
        <w:spacing w:after="0" w:line="240" w:lineRule="auto"/>
        <w:jc w:val="both"/>
        <w:rPr>
          <w:rFonts w:ascii="Verdana" w:hAnsi="Verdana" w:eastAsia="Calibri" w:cs="Arial"/>
          <w:lang w:eastAsia="es-ES"/>
        </w:rPr>
      </w:pPr>
    </w:p>
    <w:p w:rsidRPr="008E4F36" w:rsidR="000C7F61" w:rsidP="000C7F61" w:rsidRDefault="000C7F61" w14:paraId="13A3E666" w14:textId="77777777">
      <w:pPr>
        <w:tabs>
          <w:tab w:val="left" w:pos="3768"/>
        </w:tabs>
        <w:spacing w:after="0" w:line="276" w:lineRule="auto"/>
        <w:jc w:val="both"/>
        <w:rPr>
          <w:rFonts w:ascii="Verdana" w:hAnsi="Verdana" w:eastAsia="Calibri" w:cs="Arial"/>
          <w:lang w:eastAsia="es-ES"/>
        </w:rPr>
      </w:pPr>
      <w:r w:rsidRPr="000F2158">
        <w:rPr>
          <w:rFonts w:ascii="Verdana" w:hAnsi="Verdana" w:eastAsia="Calibri" w:cs="Arial"/>
          <w:lang w:eastAsia="es-ES"/>
        </w:rPr>
        <w:t xml:space="preserve">En ejercicio de la competencia otorgada por los artículos 3, numeral 5º, y 11, numeral 8º, del Decreto Ley 4170 de 2011, así como lo establecido en la Resolución </w:t>
      </w:r>
      <w:r>
        <w:rPr>
          <w:rFonts w:ascii="Verdana" w:hAnsi="Verdana" w:eastAsia="Calibri" w:cs="Arial"/>
          <w:lang w:eastAsia="es-ES"/>
        </w:rPr>
        <w:t>469 de 2025</w:t>
      </w:r>
      <w:r w:rsidRPr="000F2158">
        <w:rPr>
          <w:rFonts w:ascii="Verdana" w:hAnsi="Verdana" w:eastAsia="Calibri" w:cs="Arial"/>
          <w:lang w:eastAsia="es-ES"/>
        </w:rPr>
        <w:t xml:space="preserve"> expedida por esta Entidad, la Agencia Nacional de Contratación Pública – Colombia Compra Eficiente– responde su solicitud de consulta de fecha </w:t>
      </w:r>
      <w:r>
        <w:rPr>
          <w:rFonts w:ascii="Verdana" w:hAnsi="Verdana" w:eastAsia="Calibri" w:cs="Arial"/>
          <w:lang w:eastAsia="es-ES"/>
        </w:rPr>
        <w:t>14</w:t>
      </w:r>
      <w:r w:rsidRPr="00596158">
        <w:rPr>
          <w:rFonts w:ascii="Verdana" w:hAnsi="Verdana" w:eastAsia="Calibri" w:cs="Arial"/>
          <w:lang w:eastAsia="es-ES"/>
        </w:rPr>
        <w:t xml:space="preserve"> de</w:t>
      </w:r>
      <w:r>
        <w:rPr>
          <w:rFonts w:ascii="Verdana" w:hAnsi="Verdana" w:eastAsia="Calibri" w:cs="Arial"/>
          <w:lang w:eastAsia="es-ES"/>
        </w:rPr>
        <w:t xml:space="preserve"> septiembre </w:t>
      </w:r>
      <w:r w:rsidRPr="00596158">
        <w:rPr>
          <w:rFonts w:ascii="Verdana" w:hAnsi="Verdana" w:eastAsia="Calibri" w:cs="Arial"/>
          <w:lang w:eastAsia="es-ES"/>
        </w:rPr>
        <w:t>de 202</w:t>
      </w:r>
      <w:r>
        <w:rPr>
          <w:rFonts w:ascii="Verdana" w:hAnsi="Verdana" w:eastAsia="Calibri" w:cs="Arial"/>
          <w:lang w:eastAsia="es-ES"/>
        </w:rPr>
        <w:t>6</w:t>
      </w:r>
      <w:r w:rsidRPr="00596158">
        <w:rPr>
          <w:rFonts w:ascii="Verdana" w:hAnsi="Verdana" w:eastAsia="Calibri" w:cs="Arial"/>
          <w:lang w:eastAsia="es-ES"/>
        </w:rPr>
        <w:t>,</w:t>
      </w:r>
      <w:r w:rsidRPr="000F2158">
        <w:rPr>
          <w:rFonts w:ascii="Verdana" w:hAnsi="Verdana" w:eastAsia="Calibri" w:cs="Arial"/>
          <w:lang w:eastAsia="es-ES"/>
        </w:rPr>
        <w:t xml:space="preserve"> en la cual manifiesta lo siguiente:</w:t>
      </w:r>
    </w:p>
    <w:p w:rsidRPr="008E4F36" w:rsidR="000C7F61" w:rsidP="000C7F61" w:rsidRDefault="000C7F61" w14:paraId="11CA9E51" w14:textId="77777777">
      <w:pPr>
        <w:pStyle w:val="Prrafodelista"/>
        <w:tabs>
          <w:tab w:val="left" w:pos="142"/>
          <w:tab w:val="left" w:pos="284"/>
        </w:tabs>
        <w:spacing w:after="0" w:line="276" w:lineRule="auto"/>
        <w:ind w:left="142"/>
        <w:contextualSpacing w:val="0"/>
        <w:jc w:val="both"/>
        <w:rPr>
          <w:rFonts w:ascii="Verdana" w:hAnsi="Verdana" w:eastAsia="Century Gothic" w:cs="Century Gothic"/>
          <w:b/>
          <w:bCs/>
          <w:i/>
          <w:iCs/>
          <w:sz w:val="20"/>
          <w:szCs w:val="20"/>
        </w:rPr>
      </w:pPr>
    </w:p>
    <w:p w:rsidR="000C7F61" w:rsidP="000C7F61" w:rsidRDefault="000C7F61" w14:paraId="252832F0" w14:textId="77777777">
      <w:pPr>
        <w:spacing w:after="0" w:line="240" w:lineRule="auto"/>
        <w:ind w:left="709" w:right="709"/>
        <w:jc w:val="both"/>
        <w:rPr>
          <w:rFonts w:ascii="Verdana" w:hAnsi="Verdana" w:eastAsia="Century Gothic" w:cs="Century Gothic"/>
          <w:sz w:val="20"/>
          <w:szCs w:val="20"/>
        </w:rPr>
      </w:pPr>
      <w:bookmarkStart w:name="_Hlk192699624" w:id="2"/>
      <w:bookmarkStart w:name="_Hlk199394899" w:id="3"/>
      <w:r>
        <w:rPr>
          <w:rFonts w:ascii="Verdana" w:hAnsi="Verdana" w:eastAsia="Century Gothic" w:cs="Century Gothic"/>
          <w:sz w:val="20"/>
          <w:szCs w:val="20"/>
        </w:rPr>
        <w:t>“</w:t>
      </w:r>
      <w:bookmarkEnd w:id="2"/>
      <w:bookmarkEnd w:id="3"/>
      <w:proofErr w:type="gramStart"/>
      <w:r>
        <w:rPr>
          <w:rFonts w:ascii="Verdana" w:hAnsi="Verdana" w:eastAsia="Century Gothic" w:cs="Century Gothic"/>
          <w:sz w:val="20"/>
          <w:szCs w:val="20"/>
        </w:rPr>
        <w:t>1.</w:t>
      </w:r>
      <w:r w:rsidRPr="005A7D4B">
        <w:rPr>
          <w:rFonts w:ascii="Verdana" w:hAnsi="Verdana" w:eastAsia="Century Gothic" w:cs="Century Gothic"/>
          <w:sz w:val="20"/>
          <w:szCs w:val="20"/>
        </w:rPr>
        <w:t>Que</w:t>
      </w:r>
      <w:proofErr w:type="gramEnd"/>
      <w:r w:rsidRPr="005A7D4B">
        <w:rPr>
          <w:rFonts w:ascii="Verdana" w:hAnsi="Verdana" w:eastAsia="Century Gothic" w:cs="Century Gothic"/>
          <w:sz w:val="20"/>
          <w:szCs w:val="20"/>
        </w:rPr>
        <w:t xml:space="preserve"> se emita concepto jurídico sobre la correcta interpretación del numeral 4 del artículo 2.2.1.2.4.2.17 del Decreto 1082 de 2015, adicionado por el Decreto 1860 de 2021. </w:t>
      </w:r>
    </w:p>
    <w:p w:rsidRPr="005A7D4B" w:rsidR="000C7F61" w:rsidP="000C7F61" w:rsidRDefault="000C7F61" w14:paraId="1236ECCB" w14:textId="77777777">
      <w:pPr>
        <w:spacing w:after="0" w:line="240" w:lineRule="auto"/>
        <w:ind w:left="709" w:right="709"/>
        <w:jc w:val="both"/>
        <w:rPr>
          <w:rFonts w:ascii="Verdana" w:hAnsi="Verdana" w:eastAsia="Century Gothic" w:cs="Century Gothic"/>
          <w:sz w:val="20"/>
          <w:szCs w:val="20"/>
        </w:rPr>
      </w:pPr>
    </w:p>
    <w:p w:rsidR="000C7F61" w:rsidP="000C7F61" w:rsidRDefault="000C7F61" w14:paraId="6026E5C9" w14:textId="77777777">
      <w:pPr>
        <w:spacing w:after="0" w:line="240" w:lineRule="auto"/>
        <w:ind w:left="709" w:right="709"/>
        <w:jc w:val="both"/>
        <w:rPr>
          <w:rFonts w:ascii="Verdana" w:hAnsi="Verdana" w:eastAsia="Century Gothic" w:cs="Century Gothic"/>
          <w:sz w:val="20"/>
          <w:szCs w:val="20"/>
        </w:rPr>
      </w:pPr>
      <w:r w:rsidRPr="005A7D4B">
        <w:rPr>
          <w:rFonts w:ascii="Verdana" w:hAnsi="Verdana" w:eastAsia="Century Gothic" w:cs="Century Gothic"/>
          <w:sz w:val="20"/>
          <w:szCs w:val="20"/>
        </w:rPr>
        <w:t xml:space="preserve">2. Que se indique expresamente si la expresión </w:t>
      </w:r>
      <w:r w:rsidRPr="005A7D4B">
        <w:rPr>
          <w:rFonts w:ascii="Verdana" w:hAnsi="Verdana" w:eastAsia="Century Gothic" w:cs="Century Gothic"/>
          <w:b/>
          <w:bCs/>
          <w:sz w:val="20"/>
          <w:szCs w:val="20"/>
        </w:rPr>
        <w:t xml:space="preserve">"mayor proporción" </w:t>
      </w:r>
      <w:r w:rsidRPr="005A7D4B">
        <w:rPr>
          <w:rFonts w:ascii="Verdana" w:hAnsi="Verdana" w:eastAsia="Century Gothic" w:cs="Century Gothic"/>
          <w:sz w:val="20"/>
          <w:szCs w:val="20"/>
        </w:rPr>
        <w:t xml:space="preserve">debe entenderse como un porcentaje calculado frente al total de trabajadores vinculados por cada oferente, independientemente del número absoluto de trabajadores que conformen su planta de personal. </w:t>
      </w:r>
    </w:p>
    <w:p w:rsidRPr="009B4725" w:rsidR="000C7F61" w:rsidP="000C7F61" w:rsidRDefault="000C7F61" w14:paraId="4F4A3925" w14:textId="77777777">
      <w:pPr>
        <w:spacing w:after="0" w:line="240" w:lineRule="auto"/>
        <w:ind w:left="709" w:right="709"/>
        <w:jc w:val="both"/>
        <w:rPr>
          <w:rFonts w:ascii="Verdana" w:hAnsi="Verdana" w:eastAsia="Century Gothic" w:cs="Century Gothic"/>
          <w:sz w:val="20"/>
          <w:szCs w:val="20"/>
        </w:rPr>
      </w:pPr>
    </w:p>
    <w:p w:rsidR="000C7F61" w:rsidP="000C7F61" w:rsidRDefault="000C7F61" w14:paraId="6D7F1435" w14:textId="77777777">
      <w:pPr>
        <w:spacing w:after="0" w:line="240" w:lineRule="auto"/>
        <w:ind w:left="709" w:right="709"/>
        <w:jc w:val="both"/>
        <w:rPr>
          <w:rFonts w:ascii="Verdana" w:hAnsi="Verdana" w:eastAsia="Century Gothic" w:cs="Century Gothic"/>
          <w:sz w:val="20"/>
          <w:szCs w:val="20"/>
        </w:rPr>
      </w:pPr>
      <w:r w:rsidRPr="009B4725">
        <w:rPr>
          <w:rFonts w:ascii="Verdana" w:hAnsi="Verdana" w:eastAsia="Century Gothic" w:cs="Century Gothic"/>
          <w:sz w:val="20"/>
          <w:szCs w:val="20"/>
        </w:rPr>
        <w:t xml:space="preserve">3. Que se precise si, cuando dos oferentes acreditan exactamente el mismo porcentaje (por ejemplo, 100%), el criterio de desempate debe </w:t>
      </w:r>
      <w:r w:rsidRPr="009B4725">
        <w:rPr>
          <w:rFonts w:ascii="Verdana" w:hAnsi="Verdana" w:eastAsia="Century Gothic" w:cs="Century Gothic"/>
          <w:sz w:val="20"/>
          <w:szCs w:val="20"/>
        </w:rPr>
        <w:t xml:space="preserve">considerarse agotado sin generar preferencia entre ellos, aun cuando uno tenga una planta de personal numéricamente superior. </w:t>
      </w:r>
    </w:p>
    <w:p w:rsidRPr="009B4725" w:rsidR="000C7F61" w:rsidP="000C7F61" w:rsidRDefault="000C7F61" w14:paraId="3F37384E" w14:textId="77777777">
      <w:pPr>
        <w:spacing w:after="0" w:line="240" w:lineRule="auto"/>
        <w:ind w:left="709" w:right="709"/>
        <w:jc w:val="both"/>
        <w:rPr>
          <w:rFonts w:ascii="Verdana" w:hAnsi="Verdana" w:eastAsia="Century Gothic" w:cs="Century Gothic"/>
          <w:sz w:val="20"/>
          <w:szCs w:val="20"/>
        </w:rPr>
      </w:pPr>
    </w:p>
    <w:p w:rsidR="000C7F61" w:rsidP="000C7F61" w:rsidRDefault="000C7F61" w14:paraId="4477D656" w14:textId="77777777">
      <w:pPr>
        <w:spacing w:after="0" w:line="240" w:lineRule="auto"/>
        <w:ind w:left="709" w:right="709"/>
        <w:jc w:val="both"/>
        <w:rPr>
          <w:rFonts w:ascii="Verdana" w:hAnsi="Verdana" w:eastAsia="Century Gothic" w:cs="Century Gothic"/>
          <w:sz w:val="20"/>
          <w:szCs w:val="20"/>
        </w:rPr>
      </w:pPr>
      <w:r w:rsidRPr="009B4725">
        <w:rPr>
          <w:rFonts w:ascii="Verdana" w:hAnsi="Verdana" w:eastAsia="Century Gothic" w:cs="Century Gothic"/>
          <w:sz w:val="20"/>
          <w:szCs w:val="20"/>
        </w:rPr>
        <w:t>4. Que se indique si resulta jurídicamente procedente que una entidad estatal otorgue preferencia al oferente que tenga un mayor número absoluto de trabajadores que cumplen la condición prevista en el numeral 4, cuando ambos acreditan la misma proporción porcentual.</w:t>
      </w:r>
    </w:p>
    <w:p w:rsidRPr="009B4725" w:rsidR="000C7F61" w:rsidP="000C7F61" w:rsidRDefault="000C7F61" w14:paraId="44667E74" w14:textId="77777777">
      <w:pPr>
        <w:spacing w:after="0" w:line="240" w:lineRule="auto"/>
        <w:ind w:left="709" w:right="709"/>
        <w:jc w:val="both"/>
        <w:rPr>
          <w:rFonts w:ascii="Verdana" w:hAnsi="Verdana" w:eastAsia="Century Gothic" w:cs="Century Gothic"/>
          <w:sz w:val="20"/>
          <w:szCs w:val="20"/>
        </w:rPr>
      </w:pPr>
      <w:r w:rsidRPr="009B4725">
        <w:rPr>
          <w:rFonts w:ascii="Verdana" w:hAnsi="Verdana" w:eastAsia="Century Gothic" w:cs="Century Gothic"/>
          <w:sz w:val="20"/>
          <w:szCs w:val="20"/>
        </w:rPr>
        <w:t xml:space="preserve"> </w:t>
      </w:r>
    </w:p>
    <w:p w:rsidR="000C7F61" w:rsidP="000C7F61" w:rsidRDefault="000C7F61" w14:paraId="2B0E007C" w14:textId="77777777">
      <w:pPr>
        <w:spacing w:after="0" w:line="240" w:lineRule="auto"/>
        <w:ind w:left="709" w:right="709"/>
        <w:jc w:val="both"/>
        <w:rPr>
          <w:rFonts w:ascii="Verdana" w:hAnsi="Verdana" w:eastAsia="Century Gothic" w:cs="Century Gothic"/>
          <w:sz w:val="20"/>
          <w:szCs w:val="20"/>
        </w:rPr>
      </w:pPr>
      <w:r w:rsidRPr="009B4725">
        <w:rPr>
          <w:rFonts w:ascii="Verdana" w:hAnsi="Verdana" w:eastAsia="Century Gothic" w:cs="Century Gothic"/>
          <w:sz w:val="20"/>
          <w:szCs w:val="20"/>
        </w:rPr>
        <w:t>5. Que, de considerarlo pertinente, Colombia Compra Eficiente emita orientaciones o lineamientos dirigidos a las entidades estatales para promover una aplicación uniforme de este criterio de desempate, evitando interpretaciones que puedan afectar los principios de igualdad, selección objetiva y libre concurrencia.</w:t>
      </w:r>
    </w:p>
    <w:p w:rsidR="000C7F61" w:rsidP="000C7F61" w:rsidRDefault="000C7F61" w14:paraId="53354E71" w14:textId="77777777">
      <w:pPr>
        <w:spacing w:after="0" w:line="240" w:lineRule="auto"/>
        <w:ind w:left="709" w:right="709"/>
        <w:jc w:val="both"/>
        <w:rPr>
          <w:rFonts w:ascii="Verdana" w:hAnsi="Verdana" w:eastAsia="Century Gothic" w:cs="Century Gothic"/>
          <w:sz w:val="20"/>
          <w:szCs w:val="20"/>
        </w:rPr>
      </w:pPr>
    </w:p>
    <w:p w:rsidRPr="00B3072D" w:rsidR="000C7F61" w:rsidP="000C7F61" w:rsidRDefault="000C7F61" w14:paraId="3F0F2423" w14:textId="77777777">
      <w:pPr>
        <w:spacing w:after="0" w:line="240" w:lineRule="auto"/>
        <w:ind w:left="709" w:right="709"/>
        <w:jc w:val="both"/>
        <w:rPr>
          <w:rFonts w:ascii="Verdana" w:hAnsi="Verdana" w:eastAsia="Century Gothic" w:cs="Century Gothic"/>
          <w:sz w:val="20"/>
          <w:szCs w:val="20"/>
        </w:rPr>
      </w:pPr>
      <w:r w:rsidRPr="00B3072D">
        <w:rPr>
          <w:rFonts w:ascii="Verdana" w:hAnsi="Verdana" w:eastAsia="Century Gothic" w:cs="Century Gothic"/>
          <w:sz w:val="20"/>
          <w:szCs w:val="20"/>
        </w:rPr>
        <w:t xml:space="preserve">La correcta interpretación de este criterio resulta determinante para garantizar la seguridad jurídica en los procesos de selección y asegurar que las acciones afirmativas previstas en el Decreto 1860 de 2021 se apliquen conforme a su finalidad y al tenor literal de la norma. </w:t>
      </w:r>
    </w:p>
    <w:p w:rsidRPr="009B4725" w:rsidR="000C7F61" w:rsidP="000C7F61" w:rsidRDefault="000C7F61" w14:paraId="42EA1973" w14:textId="77777777">
      <w:pPr>
        <w:spacing w:after="0" w:line="240" w:lineRule="auto"/>
        <w:ind w:left="709" w:right="709"/>
        <w:jc w:val="both"/>
        <w:rPr>
          <w:rFonts w:ascii="Verdana" w:hAnsi="Verdana" w:eastAsia="Century Gothic" w:cs="Century Gothic"/>
          <w:sz w:val="20"/>
          <w:szCs w:val="20"/>
        </w:rPr>
      </w:pPr>
      <w:r w:rsidRPr="00B3072D">
        <w:rPr>
          <w:rFonts w:ascii="Verdana" w:hAnsi="Verdana" w:eastAsia="Century Gothic" w:cs="Century Gothic"/>
          <w:sz w:val="20"/>
          <w:szCs w:val="20"/>
        </w:rPr>
        <w:t>Agradezco la atención prestada y quedo atento a la respuesta dentro de los términos establecidos por la Ley 1755 de 2015.</w:t>
      </w:r>
      <w:r>
        <w:rPr>
          <w:rFonts w:ascii="Verdana" w:hAnsi="Verdana" w:eastAsia="Century Gothic" w:cs="Century Gothic"/>
          <w:sz w:val="20"/>
          <w:szCs w:val="20"/>
        </w:rPr>
        <w:t>”</w:t>
      </w:r>
    </w:p>
    <w:p w:rsidRPr="008E4F36" w:rsidR="000C7F61" w:rsidP="000C7F61" w:rsidRDefault="000C7F61" w14:paraId="29DF163D" w14:textId="77777777">
      <w:pPr>
        <w:spacing w:after="0" w:line="276" w:lineRule="auto"/>
        <w:ind w:right="709"/>
        <w:jc w:val="both"/>
        <w:rPr>
          <w:rFonts w:ascii="Verdana" w:hAnsi="Verdana"/>
          <w:sz w:val="20"/>
          <w:szCs w:val="20"/>
        </w:rPr>
      </w:pPr>
    </w:p>
    <w:p w:rsidR="000C7F61" w:rsidP="000C7F61" w:rsidRDefault="000C7F61" w14:paraId="6E64E43F" w14:textId="77777777">
      <w:pPr>
        <w:spacing w:after="120" w:line="276" w:lineRule="auto"/>
        <w:ind w:firstLine="709"/>
        <w:jc w:val="both"/>
        <w:rPr>
          <w:rFonts w:ascii="Verdana" w:hAnsi="Verdana" w:eastAsia="Calibri" w:cs="Arial"/>
          <w:color w:val="000000"/>
          <w:szCs w:val="24"/>
          <w:lang w:eastAsia="es-ES_tradnl"/>
        </w:rPr>
      </w:pPr>
      <w:r w:rsidRPr="008E4F36">
        <w:rPr>
          <w:rFonts w:ascii="Verdana" w:hAnsi="Verdana" w:eastAsia="Calibri"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rsidRPr="00054383" w:rsidR="000C7F61" w:rsidP="000C7F61" w:rsidRDefault="000C7F61" w14:paraId="2F9526AB" w14:textId="77777777">
      <w:pPr>
        <w:spacing w:after="0" w:line="276" w:lineRule="auto"/>
        <w:ind w:firstLine="709"/>
        <w:jc w:val="both"/>
        <w:rPr>
          <w:rFonts w:ascii="Verdana" w:hAnsi="Verdana" w:eastAsia="Calibri" w:cs="Arial"/>
          <w:color w:val="000000"/>
          <w:szCs w:val="24"/>
          <w:lang w:eastAsia="es-ES_tradnl"/>
        </w:rPr>
      </w:pPr>
      <w:r w:rsidRPr="008E4F36">
        <w:rPr>
          <w:rFonts w:ascii="Verdana" w:hAnsi="Verdana" w:eastAsia="Calibri"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hAnsi="Verdana" w:eastAsia="Calibri" w:cs="Arial"/>
          <w:color w:val="000000"/>
          <w:lang w:eastAsia="es-ES"/>
        </w:rPr>
        <w:t xml:space="preserve">con </w:t>
      </w:r>
      <w:r>
        <w:rPr>
          <w:rFonts w:ascii="Verdana" w:hAnsi="Verdana" w:eastAsia="Calibri" w:cs="Arial"/>
          <w:color w:val="000000"/>
          <w:lang w:eastAsia="es-ES"/>
        </w:rPr>
        <w:t xml:space="preserve">el </w:t>
      </w:r>
      <w:r w:rsidRPr="002975A0">
        <w:rPr>
          <w:rFonts w:ascii="Verdana" w:hAnsi="Verdana" w:eastAsia="Calibri" w:cs="Arial"/>
          <w:color w:val="000000"/>
          <w:lang w:eastAsia="es-ES"/>
        </w:rPr>
        <w:t>problema jurídico de su consulta.</w:t>
      </w:r>
      <w:r w:rsidRPr="008E4F36">
        <w:rPr>
          <w:rFonts w:ascii="Verdana" w:hAnsi="Verdana" w:eastAsia="Calibri" w:cs="Arial"/>
          <w:color w:val="000000"/>
          <w:lang w:eastAsia="es-ES"/>
        </w:rPr>
        <w:t xml:space="preserve">  </w:t>
      </w:r>
    </w:p>
    <w:p w:rsidRPr="008E4F36" w:rsidR="000C7F61" w:rsidP="000C7F61" w:rsidRDefault="000C7F61" w14:paraId="07F9499D" w14:textId="77777777">
      <w:pPr>
        <w:spacing w:after="0" w:line="276" w:lineRule="auto"/>
        <w:ind w:firstLine="709"/>
        <w:jc w:val="both"/>
        <w:rPr>
          <w:rFonts w:ascii="Verdana" w:hAnsi="Verdana" w:eastAsia="Calibri" w:cs="Arial"/>
          <w:color w:val="000000"/>
          <w:lang w:eastAsia="es-ES"/>
        </w:rPr>
      </w:pPr>
    </w:p>
    <w:p w:rsidR="000C7F61" w:rsidP="000C7F61" w:rsidRDefault="000C7F61" w14:paraId="0189B733" w14:textId="77777777">
      <w:pPr>
        <w:pStyle w:val="Prrafodelista"/>
        <w:numPr>
          <w:ilvl w:val="0"/>
          <w:numId w:val="2"/>
        </w:numPr>
        <w:tabs>
          <w:tab w:val="left" w:pos="142"/>
          <w:tab w:val="left" w:pos="284"/>
        </w:tabs>
        <w:spacing w:after="0" w:line="276" w:lineRule="auto"/>
        <w:ind w:left="0" w:firstLine="0"/>
        <w:contextualSpacing w:val="0"/>
        <w:jc w:val="both"/>
        <w:rPr>
          <w:rFonts w:ascii="Verdana" w:hAnsi="Verdana" w:eastAsia="Century Gothic" w:cs="Century Gothic"/>
          <w:b/>
          <w:bCs/>
        </w:rPr>
      </w:pPr>
      <w:r w:rsidRPr="008E4F36">
        <w:rPr>
          <w:rFonts w:ascii="Verdana" w:hAnsi="Verdana" w:eastAsia="Century Gothic" w:cs="Century Gothic"/>
          <w:b/>
          <w:bCs/>
        </w:rPr>
        <w:t>Problema planteado:</w:t>
      </w:r>
    </w:p>
    <w:p w:rsidR="000C7F61" w:rsidP="000C7F61" w:rsidRDefault="000C7F61" w14:paraId="1B45C49F" w14:textId="77777777">
      <w:pPr>
        <w:pStyle w:val="NormalWeb"/>
        <w:spacing w:before="0" w:beforeAutospacing="0" w:after="0" w:afterAutospacing="0" w:line="276" w:lineRule="auto"/>
        <w:jc w:val="both"/>
        <w:rPr>
          <w:rFonts w:ascii="Verdana" w:hAnsi="Verdana" w:eastAsia="Calibri" w:cs="Arial"/>
          <w:color w:val="000000"/>
          <w:sz w:val="22"/>
          <w:szCs w:val="22"/>
          <w:lang w:eastAsia="es-ES"/>
        </w:rPr>
      </w:pPr>
    </w:p>
    <w:p w:rsidR="000C7F61" w:rsidP="000C7F61" w:rsidRDefault="000C7F61" w14:paraId="5E94B7DE" w14:textId="77777777">
      <w:pPr>
        <w:pStyle w:val="NormalWeb"/>
        <w:spacing w:before="0" w:beforeAutospacing="0" w:after="0" w:afterAutospacing="0" w:line="276" w:lineRule="auto"/>
        <w:jc w:val="both"/>
        <w:rPr>
          <w:rFonts w:ascii="Verdana" w:hAnsi="Verdana" w:eastAsia="Calibri" w:cs="Arial"/>
          <w:color w:val="000000"/>
          <w:sz w:val="22"/>
          <w:szCs w:val="22"/>
          <w:lang w:eastAsia="es-ES"/>
        </w:rPr>
      </w:pPr>
      <w:r w:rsidRPr="007E330B">
        <w:rPr>
          <w:rFonts w:ascii="Verdana" w:hAnsi="Verdana" w:eastAsia="Calibri" w:cs="Arial"/>
          <w:color w:val="000000"/>
          <w:sz w:val="22"/>
          <w:szCs w:val="22"/>
          <w:lang w:eastAsia="es-ES"/>
        </w:rPr>
        <w:t>De acuerdo con el contenido de su solicitud, esta Agencia resolverá el siguiente problema jurídico:</w:t>
      </w:r>
      <w:r w:rsidRPr="00C734B6">
        <w:rPr>
          <w:rFonts w:ascii="Verdana" w:hAnsi="Verdana" w:eastAsia="Calibri" w:cs="Arial"/>
          <w:color w:val="000000"/>
          <w:sz w:val="22"/>
          <w:szCs w:val="22"/>
          <w:lang w:eastAsia="es-ES"/>
        </w:rPr>
        <w:t xml:space="preserve"> </w:t>
      </w:r>
      <w:r w:rsidRPr="00AD217C">
        <w:rPr>
          <w:rFonts w:ascii="Verdana" w:hAnsi="Verdana" w:eastAsia="Calibri" w:cs="Arial"/>
          <w:b/>
          <w:bCs/>
          <w:color w:val="000000"/>
          <w:sz w:val="22"/>
          <w:szCs w:val="22"/>
          <w:lang w:eastAsia="es-ES"/>
        </w:rPr>
        <w:t>i)</w:t>
      </w:r>
      <w:r w:rsidRPr="000B7525">
        <w:rPr>
          <w:rFonts w:ascii="Verdana" w:hAnsi="Verdana" w:eastAsia="Calibri" w:cs="Arial"/>
          <w:color w:val="000000"/>
          <w:sz w:val="22"/>
          <w:szCs w:val="22"/>
          <w:lang w:eastAsia="es-ES"/>
        </w:rPr>
        <w:t>¿</w:t>
      </w:r>
      <w:r w:rsidRPr="002216E6">
        <w:t xml:space="preserve"> </w:t>
      </w:r>
      <w:r w:rsidRPr="002216E6">
        <w:rPr>
          <w:rFonts w:ascii="Verdana" w:hAnsi="Verdana" w:eastAsia="Calibri" w:cs="Arial"/>
          <w:color w:val="000000"/>
          <w:sz w:val="22"/>
          <w:szCs w:val="22"/>
          <w:lang w:eastAsia="es-ES"/>
        </w:rPr>
        <w:t>¿Cómo debe interpretarse la expresión “mayor proporción” prevista en el numeral 4 del artículo 2.2.1.2.4.2.17 del Decreto 1082 de 2015 y cuál es la base respecto de la cual debe efectuarse dicha comparación?</w:t>
      </w:r>
      <w:r w:rsidRPr="000B7525">
        <w:rPr>
          <w:rFonts w:ascii="Verdana" w:hAnsi="Verdana" w:eastAsia="Calibri" w:cs="Arial"/>
          <w:color w:val="000000"/>
          <w:sz w:val="22"/>
          <w:szCs w:val="22"/>
          <w:lang w:eastAsia="es-ES"/>
        </w:rPr>
        <w:t>?</w:t>
      </w:r>
      <w:r>
        <w:rPr>
          <w:rFonts w:ascii="Verdana" w:hAnsi="Verdana" w:eastAsia="Calibri" w:cs="Arial"/>
          <w:color w:val="000000"/>
          <w:sz w:val="22"/>
          <w:szCs w:val="22"/>
          <w:lang w:eastAsia="es-ES"/>
        </w:rPr>
        <w:t xml:space="preserve"> </w:t>
      </w:r>
      <w:proofErr w:type="spellStart"/>
      <w:r w:rsidRPr="00D50A6C">
        <w:rPr>
          <w:rFonts w:ascii="Verdana" w:hAnsi="Verdana" w:eastAsia="Calibri" w:cs="Arial"/>
          <w:b/>
          <w:bCs/>
          <w:color w:val="000000"/>
          <w:sz w:val="22"/>
          <w:szCs w:val="22"/>
          <w:lang w:eastAsia="es-ES"/>
        </w:rPr>
        <w:t>ii</w:t>
      </w:r>
      <w:proofErr w:type="spellEnd"/>
      <w:r w:rsidRPr="00D50A6C">
        <w:rPr>
          <w:rFonts w:ascii="Verdana" w:hAnsi="Verdana" w:eastAsia="Calibri" w:cs="Arial"/>
          <w:b/>
          <w:bCs/>
          <w:color w:val="000000"/>
          <w:sz w:val="22"/>
          <w:szCs w:val="22"/>
          <w:lang w:eastAsia="es-ES"/>
        </w:rPr>
        <w:t>)</w:t>
      </w:r>
      <w:r w:rsidRPr="00944730">
        <w:rPr>
          <w:rFonts w:asciiTheme="minorHAnsi" w:hAnsiTheme="minorHAnsi" w:eastAsiaTheme="minorHAnsi" w:cstheme="minorBidi"/>
          <w:sz w:val="22"/>
          <w:szCs w:val="22"/>
          <w:lang w:eastAsia="en-US"/>
        </w:rPr>
        <w:t xml:space="preserve"> </w:t>
      </w:r>
      <w:r w:rsidRPr="00944730">
        <w:rPr>
          <w:rFonts w:ascii="Verdana" w:hAnsi="Verdana" w:eastAsia="Calibri" w:cs="Arial"/>
          <w:color w:val="000000"/>
          <w:sz w:val="22"/>
          <w:szCs w:val="22"/>
          <w:lang w:eastAsia="es-ES"/>
        </w:rPr>
        <w:t>¿Cómo debe aplicarse el criterio de desempate cuando dos o más oferentes acreditan la misma proporción porcentual de trabajadores que cumplen la condición prevista en el numeral 4 del artículo 2.2.1.2.4.2.17 del Decreto 1082 de 2015, en particular, si resulta procedente otorgar preferencia al oferente que cuente con un mayor número absoluto de dichos trabajadores?</w:t>
      </w:r>
      <w:r>
        <w:rPr>
          <w:rFonts w:ascii="Verdana" w:hAnsi="Verdana" w:eastAsia="Calibri" w:cs="Arial"/>
          <w:color w:val="000000"/>
          <w:sz w:val="22"/>
          <w:szCs w:val="22"/>
          <w:lang w:eastAsia="es-ES"/>
        </w:rPr>
        <w:t xml:space="preserve"> </w:t>
      </w:r>
    </w:p>
    <w:p w:rsidRPr="00772009" w:rsidR="000C7F61" w:rsidP="000C7F61" w:rsidRDefault="000C7F61" w14:paraId="0A5E9628" w14:textId="77777777">
      <w:pPr>
        <w:pStyle w:val="NormalWeb"/>
        <w:spacing w:before="0" w:beforeAutospacing="0" w:after="0" w:afterAutospacing="0" w:line="276" w:lineRule="auto"/>
        <w:jc w:val="both"/>
        <w:rPr>
          <w:sz w:val="22"/>
          <w:szCs w:val="22"/>
        </w:rPr>
      </w:pPr>
    </w:p>
    <w:p w:rsidRPr="008E4F36" w:rsidR="000C7F61" w:rsidP="000C7F61" w:rsidRDefault="000C7F61" w14:paraId="69B337DF" w14:textId="77777777">
      <w:pPr>
        <w:spacing w:after="0" w:line="276" w:lineRule="auto"/>
        <w:jc w:val="both"/>
        <w:rPr>
          <w:rFonts w:ascii="Verdana" w:hAnsi="Verdana" w:eastAsia="Century Gothic" w:cs="Century Gothic"/>
          <w:b/>
          <w:bCs/>
        </w:rPr>
      </w:pPr>
      <w:r w:rsidRPr="008E4F36">
        <w:rPr>
          <w:rFonts w:ascii="Verdana" w:hAnsi="Verdana" w:eastAsia="Century Gothic" w:cs="Century Gothic"/>
          <w:b/>
          <w:bCs/>
        </w:rPr>
        <w:t>2. Respuesta:</w:t>
      </w:r>
    </w:p>
    <w:p w:rsidRPr="008E4F36" w:rsidR="000C7F61" w:rsidP="000C7F61" w:rsidRDefault="000C7F61" w14:paraId="1B7360D2" w14:textId="77777777">
      <w:pPr>
        <w:tabs>
          <w:tab w:val="left" w:pos="142"/>
          <w:tab w:val="left" w:pos="284"/>
        </w:tabs>
        <w:spacing w:after="0" w:line="276" w:lineRule="auto"/>
        <w:jc w:val="both"/>
        <w:rPr>
          <w:rFonts w:ascii="Verdana" w:hAnsi="Verdana" w:eastAsia="Century Gothic" w:cs="Century Gothic"/>
          <w:b/>
          <w:bCs/>
        </w:rPr>
      </w:pPr>
    </w:p>
    <w:tbl>
      <w:tblPr>
        <w:tblStyle w:val="Tablaconcuadrcula"/>
        <w:tblW w:w="0" w:type="auto"/>
        <w:tblLook w:val="04A0" w:firstRow="1" w:lastRow="0" w:firstColumn="1" w:lastColumn="0" w:noHBand="0" w:noVBand="1"/>
      </w:tblPr>
      <w:tblGrid>
        <w:gridCol w:w="8828"/>
      </w:tblGrid>
      <w:tr w:rsidRPr="008E4F36" w:rsidR="000C7F61" w:rsidTr="00285FA3" w14:paraId="73505058" w14:textId="77777777">
        <w:tc>
          <w:tcPr>
            <w:tcW w:w="8828" w:type="dxa"/>
          </w:tcPr>
          <w:p w:rsidRPr="00AD217C" w:rsidR="000C7F61" w:rsidP="00285FA3" w:rsidRDefault="000C7F61" w14:paraId="345626F7" w14:textId="77777777">
            <w:pPr>
              <w:spacing w:after="120" w:line="276" w:lineRule="auto"/>
              <w:jc w:val="both"/>
              <w:rPr>
                <w:rFonts w:ascii="Verdana" w:hAnsi="Verdana" w:eastAsia="Arial" w:cs="Arial"/>
              </w:rPr>
            </w:pPr>
            <w:r w:rsidRPr="00AD217C">
              <w:rPr>
                <w:rFonts w:ascii="Verdana" w:hAnsi="Verdana" w:eastAsia="Arial" w:cs="Arial"/>
                <w:b/>
                <w:bCs/>
              </w:rPr>
              <w:t>i.</w:t>
            </w:r>
            <w:r>
              <w:rPr>
                <w:rFonts w:ascii="Verdana" w:hAnsi="Verdana" w:eastAsia="Arial" w:cs="Arial"/>
                <w:b/>
                <w:bCs/>
              </w:rPr>
              <w:t xml:space="preserve"> </w:t>
            </w:r>
            <w:r w:rsidRPr="00AD217C">
              <w:rPr>
                <w:rFonts w:ascii="Verdana" w:hAnsi="Verdana" w:eastAsia="Arial" w:cs="Arial"/>
              </w:rPr>
              <w:t>De conformidad con el numeral 4 del artículo 2.2.1.2.4.2.17 del Decreto 1082 de 2015, adicionado por el Decreto 1860 de 2021, la expresión «mayor proporción» debe interpretarse como una relación porcentual entre el número de trabajadores vinculados que cumplen las condiciones previstas en la norma y el número total de trabajadores de la planta de personal del oferente. En consecuencia, este factor de desempate no se determina a partir del número absoluto de personas mayores vinculadas, sino del porcentaje que estas representan respecto del total de trabajadores de cada oferente.</w:t>
            </w:r>
          </w:p>
          <w:p w:rsidR="000C7F61" w:rsidP="00285FA3" w:rsidRDefault="000C7F61" w14:paraId="6821A0ED" w14:textId="77777777">
            <w:pPr>
              <w:spacing w:after="120" w:line="276" w:lineRule="auto"/>
              <w:ind w:firstLine="709"/>
              <w:jc w:val="both"/>
              <w:rPr>
                <w:rFonts w:ascii="Verdana" w:hAnsi="Verdana" w:eastAsia="Arial" w:cs="Arial"/>
              </w:rPr>
            </w:pPr>
            <w:r w:rsidRPr="00AD217C">
              <w:rPr>
                <w:rFonts w:ascii="Verdana" w:hAnsi="Verdana" w:eastAsia="Arial" w:cs="Arial"/>
              </w:rPr>
              <w:t xml:space="preserve">Para establecer dicha proporción, </w:t>
            </w:r>
            <w:r>
              <w:rPr>
                <w:rFonts w:ascii="Verdana" w:hAnsi="Verdana" w:eastAsia="Arial" w:cs="Arial"/>
              </w:rPr>
              <w:t>l</w:t>
            </w:r>
            <w:r w:rsidRPr="00FA0B7D">
              <w:rPr>
                <w:rFonts w:ascii="Verdana" w:hAnsi="Verdana" w:eastAsia="Arial" w:cs="Arial"/>
              </w:rPr>
              <w:t>a comparación debe efectuarse tomando como referencia el número de trabajadores que cumplen las condiciones previstas en el numeral frente al número total de trabajadores vinculados a la planta de personal del oferente. En consecuencia, la preferencia corresponde al oferente que acredite la mayor proporción porcentual y no al que tenga, en términos absolutos, un mayor número de trabajadores en dicha condición</w:t>
            </w:r>
            <w:r w:rsidRPr="00AD217C">
              <w:rPr>
                <w:rFonts w:ascii="Verdana" w:hAnsi="Verdana" w:eastAsia="Arial" w:cs="Arial"/>
              </w:rPr>
              <w:t>. Tratándose de proponentes plurales, la proporción se determina considerando la sumatoria de los trabajadores vinculados a la planta de personal de todos sus integrantes, de conformidad con la disposición reglamentaria. En todo caso, los trabajadores computables deben cumplir las condiciones de edad, no ser beneficiarios de las pensiones señaladas en la norma y satisfacer los requisitos de vinculación y acreditación allí establecidos.</w:t>
            </w:r>
          </w:p>
          <w:p w:rsidRPr="0010362C" w:rsidR="000C7F61" w:rsidP="00285FA3" w:rsidRDefault="000C7F61" w14:paraId="6D27A413" w14:textId="77777777">
            <w:pPr>
              <w:spacing w:after="120" w:line="276" w:lineRule="auto"/>
              <w:jc w:val="both"/>
              <w:rPr>
                <w:rFonts w:ascii="Verdana" w:hAnsi="Verdana" w:eastAsia="Arial" w:cs="Arial"/>
              </w:rPr>
            </w:pPr>
            <w:proofErr w:type="spellStart"/>
            <w:r w:rsidRPr="0010362C">
              <w:rPr>
                <w:rFonts w:ascii="Verdana" w:hAnsi="Verdana" w:eastAsia="Arial" w:cs="Arial"/>
                <w:b/>
                <w:bCs/>
              </w:rPr>
              <w:t>ii</w:t>
            </w:r>
            <w:proofErr w:type="spellEnd"/>
            <w:r w:rsidRPr="0010362C">
              <w:rPr>
                <w:rFonts w:ascii="Verdana" w:hAnsi="Verdana" w:eastAsia="Arial" w:cs="Arial"/>
                <w:b/>
                <w:bCs/>
              </w:rPr>
              <w:t>.</w:t>
            </w:r>
            <w:r w:rsidRPr="0010362C">
              <w:rPr>
                <w:rFonts w:ascii="Times New Roman" w:hAnsi="Times New Roman" w:eastAsia="Times New Roman" w:cs="Times New Roman"/>
                <w:sz w:val="24"/>
                <w:szCs w:val="24"/>
                <w:lang w:eastAsia="es-CO"/>
              </w:rPr>
              <w:t xml:space="preserve"> </w:t>
            </w:r>
            <w:r w:rsidRPr="0010362C">
              <w:rPr>
                <w:rFonts w:ascii="Verdana" w:hAnsi="Verdana" w:eastAsia="Arial" w:cs="Arial"/>
              </w:rPr>
              <w:t xml:space="preserve">Cuando dos o más oferentes acrediten la misma proporción porcentual de trabajadores que cumplen las condiciones previstas en el numeral 4 del </w:t>
            </w:r>
            <w:r w:rsidRPr="0010362C">
              <w:rPr>
                <w:rFonts w:ascii="Verdana" w:hAnsi="Verdana" w:eastAsia="Arial" w:cs="Arial"/>
              </w:rPr>
              <w:t xml:space="preserve">artículo 2.2.1.2.4.2.17 del Decreto 1082 de 2015, no resulta procedente otorgar preferencia a aquel que cuente con un mayor número absoluto de dichos trabajadores, pues tal interpretación desnaturalizaría el criterio establecido por el reglamento, que expresamente determina la </w:t>
            </w:r>
            <w:r>
              <w:rPr>
                <w:rFonts w:ascii="Verdana" w:hAnsi="Verdana" w:eastAsia="Arial" w:cs="Arial"/>
              </w:rPr>
              <w:t>“</w:t>
            </w:r>
            <w:r w:rsidRPr="0010362C">
              <w:rPr>
                <w:rFonts w:ascii="Verdana" w:hAnsi="Verdana" w:eastAsia="Arial" w:cs="Arial"/>
              </w:rPr>
              <w:t>mayor proporción</w:t>
            </w:r>
            <w:r>
              <w:rPr>
                <w:rFonts w:ascii="Verdana" w:hAnsi="Verdana" w:eastAsia="Arial" w:cs="Arial"/>
              </w:rPr>
              <w:t>”</w:t>
            </w:r>
            <w:r w:rsidRPr="0010362C">
              <w:rPr>
                <w:rFonts w:ascii="Verdana" w:hAnsi="Verdana" w:eastAsia="Arial" w:cs="Arial"/>
              </w:rPr>
              <w:t xml:space="preserve"> en relación con el número total de trabajadores vinculados a la planta de personal de cada oferente. Por tanto, si los porcentajes son iguales, el número absoluto de trabajadores que reúnen las condiciones legales no constituye, por sí solo, un factor adicional que permita resolver el empate.</w:t>
            </w:r>
          </w:p>
          <w:p w:rsidR="000C7F61" w:rsidP="00285FA3" w:rsidRDefault="000C7F61" w14:paraId="24CE5009" w14:textId="77777777">
            <w:pPr>
              <w:spacing w:after="120" w:line="276" w:lineRule="auto"/>
              <w:ind w:firstLine="709"/>
              <w:jc w:val="both"/>
              <w:rPr>
                <w:rFonts w:ascii="Verdana" w:hAnsi="Verdana" w:eastAsia="Arial" w:cs="Arial"/>
              </w:rPr>
            </w:pPr>
            <w:r w:rsidRPr="0010362C">
              <w:rPr>
                <w:rFonts w:ascii="Verdana" w:hAnsi="Verdana" w:eastAsia="Arial" w:cs="Arial"/>
              </w:rPr>
              <w:t>En consecuencia, la entidad estatal deberá continuar aplicando, de manera sucesiva y excluyente, los demás criterios de desempate previstos en el artículo 35 de la Ley 2069 de 2020, reglamentados en el artículo 2.2.1.2.4.2.17 del Decreto 1082 de 2015, respetando el orden establecido en la norma y los compromisos internacionales vigentes. Esta interpretación se fundamenta en que los factores de desempate son reglados y no pueden ser sustituidos por criterios adicionales definidos discrecionalmente por la entidad contratante.</w:t>
            </w:r>
          </w:p>
          <w:p w:rsidR="000C7F61" w:rsidP="00285FA3" w:rsidRDefault="000C7F61" w14:paraId="19E128BD" w14:textId="77777777">
            <w:pPr>
              <w:spacing w:after="120" w:line="276" w:lineRule="auto"/>
              <w:ind w:firstLine="709"/>
              <w:jc w:val="both"/>
              <w:rPr>
                <w:rFonts w:ascii="Verdana" w:hAnsi="Verdana" w:eastAsia="Arial" w:cs="Arial"/>
              </w:rPr>
            </w:pPr>
            <w:r>
              <w:rPr>
                <w:rFonts w:ascii="Verdana" w:hAnsi="Verdana" w:eastAsia="Arial" w:cs="Arial"/>
              </w:rPr>
              <w:t>Es decir, s</w:t>
            </w:r>
            <w:r w:rsidRPr="006C7F31">
              <w:rPr>
                <w:rFonts w:ascii="Verdana" w:hAnsi="Verdana" w:eastAsia="Arial" w:cs="Arial"/>
              </w:rPr>
              <w:t>i dos o más oferentes acreditan la misma proporción, el numeral 4 no permite establecer una preferencia entre ellos con fundamento en el número absoluto de trabajadores que cumplen la condición. En tal evento, debe entenderse agotado este criterio respecto de dichos oferentes y continuar con el criterio de desempate siguiente, en el orden sucesivo y excluyente previsto en el artículo 35 de la Ley 2069 de 2020 y su reglamentación.</w:t>
            </w:r>
          </w:p>
          <w:p w:rsidRPr="001940E6" w:rsidR="000C7F61" w:rsidP="00285FA3" w:rsidRDefault="000C7F61" w14:paraId="6DE4885D" w14:textId="77777777">
            <w:pPr>
              <w:spacing w:after="120" w:line="276" w:lineRule="auto"/>
              <w:ind w:firstLine="709"/>
              <w:jc w:val="both"/>
              <w:rPr>
                <w:rFonts w:ascii="Verdana" w:hAnsi="Verdana" w:eastAsia="Arial" w:cs="Arial"/>
              </w:rPr>
            </w:pPr>
            <w:r>
              <w:rPr>
                <w:rFonts w:ascii="Verdana" w:hAnsi="Verdana" w:eastAsia="Arial" w:cs="Arial"/>
              </w:rPr>
              <w:t xml:space="preserve">Finalmente, </w:t>
            </w:r>
            <w:r w:rsidRPr="00E910D3">
              <w:rPr>
                <w:rFonts w:ascii="Verdana" w:hAnsi="Verdana" w:eastAsia="Arial" w:cs="Arial"/>
              </w:rPr>
              <w:t>De conformidad con las funciones asignadas a la Agencia Nacional de Contratación Pública – Colombia Compra Eficiente, en virtud del Decreto Ley 4170 de 2011, esta entidad no tiene competencia para brindar asesorías ni emitir pronunciamientos dirigidos a resolver situaciones particulares o adoptar decisiones en casos concretos. En ese sentido, corresponde a cada entidad estatal, en el marco de sus competencias, autonomía y responsabilidad, analizar las circunstancias particulares de sus procesos de contratación y determinar la aplicación de las disposiciones normativas pertinentes, con observancia de los principios que rigen la contratación pública y de las reglas previstas en los documentos del proceso.</w:t>
            </w:r>
            <w:r>
              <w:rPr>
                <w:rFonts w:ascii="Verdana" w:hAnsi="Verdana" w:eastAsia="Arial" w:cs="Arial"/>
              </w:rPr>
              <w:t xml:space="preserve"> </w:t>
            </w:r>
          </w:p>
        </w:tc>
      </w:tr>
    </w:tbl>
    <w:p w:rsidR="000C7F61" w:rsidP="000C7F61" w:rsidRDefault="000C7F61" w14:paraId="6B2723D9" w14:textId="77777777">
      <w:pPr>
        <w:tabs>
          <w:tab w:val="left" w:pos="142"/>
          <w:tab w:val="left" w:pos="284"/>
        </w:tabs>
        <w:spacing w:after="0" w:line="276" w:lineRule="auto"/>
        <w:jc w:val="both"/>
        <w:rPr>
          <w:rFonts w:ascii="Verdana" w:hAnsi="Verdana" w:eastAsia="Century Gothic" w:cs="Century Gothic"/>
          <w:b/>
          <w:bCs/>
        </w:rPr>
      </w:pPr>
    </w:p>
    <w:p w:rsidRPr="008E4F36" w:rsidR="000C7F61" w:rsidP="000C7F61" w:rsidRDefault="000C7F61" w14:paraId="57971A9D" w14:textId="77777777">
      <w:pPr>
        <w:tabs>
          <w:tab w:val="left" w:pos="142"/>
          <w:tab w:val="left" w:pos="284"/>
        </w:tabs>
        <w:spacing w:after="0" w:line="276" w:lineRule="auto"/>
        <w:jc w:val="both"/>
        <w:rPr>
          <w:rFonts w:ascii="Verdana" w:hAnsi="Verdana" w:eastAsia="Century Gothic" w:cs="Century Gothic"/>
          <w:b/>
          <w:bCs/>
        </w:rPr>
      </w:pPr>
      <w:r w:rsidRPr="008E4F36">
        <w:rPr>
          <w:rFonts w:ascii="Verdana" w:hAnsi="Verdana" w:eastAsia="Century Gothic" w:cs="Century Gothic"/>
          <w:b/>
          <w:bCs/>
        </w:rPr>
        <w:t>3. Razones de la respuesta:</w:t>
      </w:r>
    </w:p>
    <w:p w:rsidR="000C7F61" w:rsidP="000C7F61" w:rsidRDefault="000C7F61" w14:paraId="5AE4F0B2" w14:textId="77777777">
      <w:pPr>
        <w:pStyle w:val="Prrafodelista"/>
        <w:tabs>
          <w:tab w:val="left" w:pos="142"/>
          <w:tab w:val="left" w:pos="284"/>
        </w:tabs>
        <w:spacing w:after="0" w:line="276" w:lineRule="auto"/>
        <w:ind w:left="0"/>
        <w:contextualSpacing w:val="0"/>
        <w:jc w:val="both"/>
        <w:rPr>
          <w:rFonts w:ascii="Verdana" w:hAnsi="Verdana" w:eastAsia="Calibri" w:cs="Arial"/>
        </w:rPr>
      </w:pPr>
    </w:p>
    <w:p w:rsidRPr="00F54450" w:rsidR="000C7F61" w:rsidP="000C7F61" w:rsidRDefault="000C7F61" w14:paraId="1BF2B994" w14:textId="77777777">
      <w:pPr>
        <w:tabs>
          <w:tab w:val="left" w:pos="142"/>
          <w:tab w:val="left" w:pos="284"/>
        </w:tabs>
        <w:spacing w:after="0" w:line="276" w:lineRule="auto"/>
        <w:jc w:val="both"/>
        <w:rPr>
          <w:rFonts w:ascii="Verdana" w:hAnsi="Verdana" w:eastAsia="Calibri" w:cs="Arial"/>
        </w:rPr>
      </w:pPr>
      <w:r w:rsidRPr="00F54450">
        <w:rPr>
          <w:rFonts w:ascii="Verdana" w:hAnsi="Verdana" w:eastAsia="Calibri" w:cs="Arial"/>
        </w:rPr>
        <w:t xml:space="preserve">Lo anterior se sustenta en las siguientes consideraciones: </w:t>
      </w:r>
    </w:p>
    <w:p w:rsidR="000C7F61" w:rsidP="000C7F61" w:rsidRDefault="000C7F61" w14:paraId="49C61F3C" w14:textId="77777777">
      <w:pPr>
        <w:tabs>
          <w:tab w:val="left" w:pos="426"/>
        </w:tabs>
        <w:spacing w:after="0" w:line="276" w:lineRule="auto"/>
        <w:jc w:val="both"/>
        <w:rPr>
          <w:rFonts w:ascii="Verdana" w:hAnsi="Verdana" w:eastAsia="Aptos" w:cs="Arial"/>
          <w:bCs/>
          <w:color w:val="000000"/>
        </w:rPr>
      </w:pPr>
      <w:bookmarkStart w:name="_Hlk204856061" w:id="4"/>
      <w:bookmarkStart w:name="_Hlk78820161" w:id="5"/>
      <w:bookmarkStart w:name="_Hlk204854194" w:id="6"/>
    </w:p>
    <w:p w:rsidRPr="00FB662C" w:rsidR="000C7F61" w:rsidP="000C7F61" w:rsidRDefault="000C7F61" w14:paraId="50A90AAD" w14:textId="77777777">
      <w:pPr>
        <w:spacing w:after="120" w:line="276" w:lineRule="auto"/>
        <w:jc w:val="both"/>
        <w:rPr>
          <w:rFonts w:ascii="Verdana" w:hAnsi="Verdana" w:eastAsia="Calibri" w:cs="Arial"/>
          <w:lang w:val="es-ES_tradnl"/>
        </w:rPr>
      </w:pPr>
      <w:r w:rsidRPr="00D50A6C">
        <w:rPr>
          <w:rFonts w:ascii="Verdana" w:hAnsi="Verdana" w:eastAsia="Aptos" w:cs="Arial"/>
          <w:b/>
          <w:color w:val="000000"/>
        </w:rPr>
        <w:t>i.</w:t>
      </w:r>
      <w:r w:rsidRPr="00FB662C">
        <w:rPr>
          <w:rFonts w:ascii="Verdana" w:hAnsi="Verdana" w:eastAsia="Aptos" w:cs="Arial"/>
          <w:bCs/>
          <w:color w:val="000000"/>
        </w:rPr>
        <w:t xml:space="preserve"> </w:t>
      </w:r>
      <w:r w:rsidRPr="00FB662C">
        <w:rPr>
          <w:rFonts w:ascii="Verdana" w:hAnsi="Verdana" w:eastAsia="Calibri" w:cs="Arial"/>
          <w:lang w:val="es-ES_tradnl"/>
        </w:rPr>
        <w:t>Dado que la selección objetiva es uno de los principios medulares de la contratación estatal, la escogencia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habilitación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rsidRPr="00FB662C" w:rsidR="000C7F61" w:rsidP="000C7F61" w:rsidRDefault="000C7F61" w14:paraId="000B6C70" w14:textId="77777777">
      <w:pPr>
        <w:spacing w:after="120" w:line="276" w:lineRule="auto"/>
        <w:ind w:firstLine="709"/>
        <w:jc w:val="both"/>
        <w:rPr>
          <w:rFonts w:ascii="Verdana" w:hAnsi="Verdana" w:eastAsia="Calibri" w:cs="Arial"/>
          <w:lang w:val="es-ES"/>
        </w:rPr>
      </w:pPr>
      <w:r w:rsidRPr="00FB662C">
        <w:rPr>
          <w:rFonts w:ascii="Verdana" w:hAnsi="Verdana" w:eastAsia="Calibri" w:cs="Arial"/>
          <w:lang w:val="es-ES"/>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los mismos.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contractual. </w:t>
      </w:r>
    </w:p>
    <w:p w:rsidRPr="00FB662C" w:rsidR="000C7F61" w:rsidP="000C7F61" w:rsidRDefault="000C7F61" w14:paraId="514BB324" w14:textId="77777777">
      <w:pPr>
        <w:spacing w:after="120" w:line="276" w:lineRule="auto"/>
        <w:ind w:firstLine="709"/>
        <w:jc w:val="both"/>
        <w:rPr>
          <w:rFonts w:ascii="Verdana" w:hAnsi="Verdana" w:eastAsia="Calibri" w:cs="Arial"/>
          <w:lang w:val="es-ES"/>
        </w:rPr>
      </w:pPr>
      <w:bookmarkStart w:name="_Hlk81487365" w:id="7"/>
      <w:r w:rsidRPr="1F9DC3DB">
        <w:rPr>
          <w:rFonts w:ascii="Verdana" w:hAnsi="Verdana" w:eastAsia="Calibri" w:cs="Arial"/>
          <w:lang w:val="es-ES"/>
        </w:rPr>
        <w:t xml:space="preserve">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w:t>
      </w:r>
      <w:r w:rsidRPr="1F9DC3DB">
        <w:rPr>
          <w:rFonts w:ascii="Verdana" w:hAnsi="Verdana" w:eastAsia="Calibri" w:cs="Arial"/>
          <w:lang w:val="es-ES"/>
        </w:rPr>
        <w:t>esta materia, entre los que se encuentra el artículo 35 de la Ley 2069 de 2020. La jurisprudencia comparte la idea de que los criterios de desempate deben estar establecidos de antemano y constituyen un límite a la discrecionalidad administrativa en los procedimientos de selección</w:t>
      </w:r>
      <w:r w:rsidRPr="1F9DC3DB">
        <w:rPr>
          <w:rStyle w:val="Refdenotaalpie"/>
          <w:rFonts w:ascii="Verdana" w:hAnsi="Verdana" w:eastAsia="Calibri" w:cs="Arial"/>
          <w:lang w:val="es-ES"/>
        </w:rPr>
        <w:footnoteReference w:id="1"/>
      </w:r>
      <w:r w:rsidRPr="1F9DC3DB">
        <w:rPr>
          <w:rFonts w:ascii="Verdana" w:hAnsi="Verdana" w:eastAsia="Calibri" w:cs="Arial"/>
          <w:lang w:val="es-ES"/>
        </w:rPr>
        <w:t xml:space="preserve">. </w:t>
      </w:r>
    </w:p>
    <w:p w:rsidR="000C7F61" w:rsidP="000C7F61" w:rsidRDefault="000C7F61" w14:paraId="60245D98" w14:textId="77777777">
      <w:pPr>
        <w:spacing w:after="0" w:line="276" w:lineRule="auto"/>
        <w:ind w:firstLine="709"/>
        <w:jc w:val="both"/>
        <w:rPr>
          <w:rFonts w:ascii="Verdana" w:hAnsi="Verdana" w:cs="Arial"/>
          <w:lang w:val="es-ES" w:eastAsia="es-CO"/>
        </w:rPr>
      </w:pPr>
      <w:r w:rsidRPr="00FB662C">
        <w:rPr>
          <w:rFonts w:ascii="Verdana" w:hAnsi="Verdana" w:eastAsia="Calibri" w:cs="Arial"/>
          <w:lang w:val="es-ES_tradnl"/>
        </w:rPr>
        <w:t>En tal sentido, la Corte Constitucional explica que cuando la ley establece factores de desempate obligatorios, las entidades estatales no pueden </w:t>
      </w:r>
      <w:proofErr w:type="spellStart"/>
      <w:r w:rsidRPr="00FB662C">
        <w:rPr>
          <w:rFonts w:ascii="Verdana" w:hAnsi="Verdana" w:eastAsia="Calibri" w:cs="Arial"/>
          <w:lang w:val="es-ES_tradnl"/>
        </w:rPr>
        <w:t>inaplicarlos</w:t>
      </w:r>
      <w:proofErr w:type="spellEnd"/>
      <w:r w:rsidRPr="00FB662C">
        <w:rPr>
          <w:rFonts w:ascii="Verdana" w:hAnsi="Verdana" w:eastAsia="Calibri" w:cs="Arial"/>
          <w:lang w:val="es-ES_tradnl"/>
        </w:rPr>
        <w:t>, porque ello podría vulnerar el principio de igualdad, especialmente, cuando algunos de estos criterios surgen como acciones afirmativas para ciertos sectores de la población</w:t>
      </w:r>
      <w:r w:rsidRPr="00FB662C">
        <w:rPr>
          <w:rStyle w:val="Refdenotaalpie"/>
          <w:rFonts w:ascii="Verdana" w:hAnsi="Verdana" w:eastAsia="Calibri" w:cs="Arial"/>
          <w:lang w:val="es-ES_tradnl"/>
        </w:rPr>
        <w:footnoteReference w:id="2"/>
      </w:r>
      <w:r w:rsidRPr="00FB662C">
        <w:rPr>
          <w:rFonts w:ascii="Verdana" w:hAnsi="Verdana" w:eastAsia="Calibri" w:cs="Arial"/>
          <w:lang w:val="es-ES_tradnl"/>
        </w:rPr>
        <w:t xml:space="preserve">. </w:t>
      </w:r>
      <w:bookmarkEnd w:id="7"/>
      <w:r w:rsidRPr="00FB662C">
        <w:rPr>
          <w:rFonts w:ascii="Verdana" w:hAnsi="Verdana" w:eastAsia="Calibri" w:cs="Arial"/>
          <w:lang w:val="es-ES_tradnl"/>
        </w:rPr>
        <w:t>Ahora bien, en cumplimiento de los principios de reciprocidad y de </w:t>
      </w:r>
      <w:r w:rsidRPr="00FB662C">
        <w:rPr>
          <w:rFonts w:ascii="Verdana" w:hAnsi="Verdana" w:eastAsia="Calibri" w:cs="Arial"/>
          <w:i/>
          <w:iCs/>
          <w:lang w:val="es-ES_tradnl"/>
        </w:rPr>
        <w:t>pacta sunt </w:t>
      </w:r>
      <w:proofErr w:type="spellStart"/>
      <w:r w:rsidRPr="00FB662C">
        <w:rPr>
          <w:rFonts w:ascii="Verdana" w:hAnsi="Verdana" w:eastAsia="Calibri" w:cs="Arial"/>
          <w:i/>
          <w:iCs/>
          <w:lang w:val="es-ES_tradnl"/>
        </w:rPr>
        <w:t>servanda</w:t>
      </w:r>
      <w:proofErr w:type="spellEnd"/>
      <w:r w:rsidRPr="00FB662C">
        <w:rPr>
          <w:rFonts w:ascii="Verdana" w:hAnsi="Verdana" w:eastAsia="Calibri" w:cs="Arial"/>
          <w:lang w:val="es-ES_tradnl"/>
        </w:rPr>
        <w:t>,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w:t>
      </w:r>
      <w:r w:rsidRPr="00FB662C">
        <w:rPr>
          <w:rFonts w:ascii="Verdana" w:hAnsi="Verdana" w:cs="Arial"/>
          <w:lang w:val="es-ES" w:eastAsia="es-CO"/>
        </w:rPr>
        <w:t>”.</w:t>
      </w:r>
    </w:p>
    <w:p w:rsidR="000C7F61" w:rsidP="000C7F61" w:rsidRDefault="000C7F61" w14:paraId="6E277ECF" w14:textId="77777777">
      <w:pPr>
        <w:spacing w:after="0" w:line="276" w:lineRule="auto"/>
        <w:ind w:firstLine="709"/>
        <w:jc w:val="both"/>
        <w:rPr>
          <w:rFonts w:ascii="Verdana" w:hAnsi="Verdana" w:cs="Arial"/>
          <w:lang w:val="es-ES" w:eastAsia="es-CO"/>
        </w:rPr>
      </w:pPr>
    </w:p>
    <w:p w:rsidRPr="00113A19" w:rsidR="000C7F61" w:rsidP="000C7F61" w:rsidRDefault="000C7F61" w14:paraId="7C38CF4B" w14:textId="77777777">
      <w:pPr>
        <w:spacing w:after="120" w:line="276" w:lineRule="auto"/>
        <w:jc w:val="both"/>
        <w:rPr>
          <w:rFonts w:ascii="Verdana" w:hAnsi="Verdana" w:eastAsia="Calibri" w:cs="Arial"/>
          <w:lang w:val="es-ES_tradnl"/>
        </w:rPr>
      </w:pPr>
      <w:proofErr w:type="spellStart"/>
      <w:r w:rsidRPr="00D50A6C">
        <w:rPr>
          <w:rFonts w:ascii="Verdana" w:hAnsi="Verdana" w:cs="Arial"/>
          <w:b/>
          <w:bCs/>
          <w:lang w:val="es-ES" w:eastAsia="es-CO"/>
        </w:rPr>
        <w:t>ii</w:t>
      </w:r>
      <w:proofErr w:type="spellEnd"/>
      <w:r w:rsidRPr="00D50A6C">
        <w:rPr>
          <w:rFonts w:ascii="Verdana" w:hAnsi="Verdana" w:cs="Arial"/>
          <w:b/>
          <w:bCs/>
          <w:lang w:val="es-ES" w:eastAsia="es-CO"/>
        </w:rPr>
        <w:t>.</w:t>
      </w:r>
      <w:r w:rsidRPr="00113A19">
        <w:rPr>
          <w:rFonts w:ascii="Verdana" w:hAnsi="Verdana" w:cs="Arial"/>
          <w:lang w:val="es-ES" w:eastAsia="es-CO"/>
        </w:rPr>
        <w:t xml:space="preserve"> </w:t>
      </w:r>
      <w:r w:rsidRPr="00113A19">
        <w:rPr>
          <w:rFonts w:ascii="Verdana" w:hAnsi="Verdana" w:eastAsia="Calibri" w:cs="Arial"/>
          <w:lang w:val="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expidiera el decreto correspondiente que permitiera la cumplida ejecución de esta Ley, tal como aconteció con el Decreto 1860 de 2021, al cual se hará referencia más adelante.</w:t>
      </w:r>
    </w:p>
    <w:p w:rsidRPr="00113A19" w:rsidR="000C7F61" w:rsidP="000C7F61" w:rsidRDefault="000C7F61" w14:paraId="2A757971" w14:textId="77777777">
      <w:pPr>
        <w:spacing w:after="120" w:line="276" w:lineRule="auto"/>
        <w:ind w:firstLine="709"/>
        <w:jc w:val="both"/>
        <w:rPr>
          <w:rFonts w:ascii="Verdana" w:hAnsi="Verdana" w:eastAsia="Calibri" w:cs="Arial"/>
          <w:lang w:val="es-ES"/>
        </w:rPr>
      </w:pPr>
      <w:r w:rsidRPr="00113A19">
        <w:rPr>
          <w:rFonts w:ascii="Verdana" w:hAnsi="Verdana" w:eastAsia="Calibri" w:cs="Arial"/>
          <w:lang w:val="es-ES"/>
        </w:rPr>
        <w:t xml:space="preserve">En cuanto al contenido de la Ley 2069 de 2020,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113A19">
        <w:rPr>
          <w:rFonts w:ascii="Verdana" w:hAnsi="Verdana" w:eastAsia="Calibri" w:cs="Arial"/>
          <w:lang w:val="es-ES"/>
        </w:rPr>
        <w:t>de acuerdo a</w:t>
      </w:r>
      <w:proofErr w:type="gramEnd"/>
      <w:r w:rsidRPr="00113A19">
        <w:rPr>
          <w:rFonts w:ascii="Verdana" w:hAnsi="Verdana" w:eastAsia="Calibri" w:cs="Arial"/>
          <w:lang w:val="es-ES"/>
        </w:rPr>
        <w:t xml:space="preserve"> las realidades socioeconómicas de cada región”. En desarrollo de esta finalidad, </w:t>
      </w:r>
      <w:r w:rsidRPr="00113A19">
        <w:rPr>
          <w:rFonts w:ascii="Verdana" w:hAnsi="Verdana" w:eastAsia="Calibri" w:cs="Arial"/>
          <w:lang w:val="es-ES"/>
        </w:rPr>
        <w:t>se establecen medidas de apoyo para las micro, pequeñas y medianas empresas –</w:t>
      </w:r>
      <w:proofErr w:type="spellStart"/>
      <w:r w:rsidRPr="00113A19">
        <w:rPr>
          <w:rFonts w:ascii="Verdana" w:hAnsi="Verdana" w:eastAsia="Calibri" w:cs="Arial"/>
          <w:lang w:val="es-ES"/>
        </w:rPr>
        <w:t>mipymes</w:t>
      </w:r>
      <w:proofErr w:type="spellEnd"/>
      <w:r w:rsidRPr="00113A19">
        <w:rPr>
          <w:rFonts w:ascii="Verdana" w:hAnsi="Verdana" w:eastAsia="Calibri" w:cs="Arial"/>
          <w:lang w:val="es-ES"/>
        </w:rPr>
        <w:t>–, mediante la racionalización y simplificación de los trámites y tarifas</w:t>
      </w:r>
      <w:r w:rsidRPr="00113A19">
        <w:rPr>
          <w:rStyle w:val="Refdenotaalpie"/>
          <w:rFonts w:ascii="Verdana" w:hAnsi="Verdana" w:eastAsia="Calibri" w:cs="Arial"/>
          <w:lang w:val="es-ES"/>
        </w:rPr>
        <w:footnoteReference w:id="3"/>
      </w:r>
      <w:r w:rsidRPr="00113A19">
        <w:rPr>
          <w:rFonts w:ascii="Verdana" w:hAnsi="Verdana" w:eastAsia="Calibri" w:cs="Arial"/>
          <w:lang w:val="es-ES"/>
        </w:rPr>
        <w:t>, así como incentivos a favor de aquellas dentro del sistema de compras y contratación pública</w:t>
      </w:r>
      <w:r w:rsidRPr="00113A19">
        <w:rPr>
          <w:rStyle w:val="Refdenotaalpie"/>
          <w:rFonts w:ascii="Verdana" w:hAnsi="Verdana" w:eastAsia="Calibri" w:cs="Arial"/>
          <w:lang w:val="es-ES"/>
        </w:rPr>
        <w:footnoteReference w:id="4"/>
      </w:r>
      <w:r w:rsidRPr="00113A19">
        <w:rPr>
          <w:rFonts w:ascii="Verdana" w:hAnsi="Verdana" w:eastAsia="Calibri" w:cs="Arial"/>
          <w:lang w:val="es-ES"/>
        </w:rPr>
        <w:t>. También se consagran mecanismos de acceso al financiamiento</w:t>
      </w:r>
      <w:r w:rsidRPr="00113A19">
        <w:rPr>
          <w:rStyle w:val="Refdenotaalpie"/>
          <w:rFonts w:ascii="Verdana" w:hAnsi="Verdana" w:eastAsia="Calibri" w:cs="Arial"/>
          <w:lang w:val="es-ES"/>
        </w:rPr>
        <w:footnoteReference w:id="5"/>
      </w:r>
      <w:r w:rsidRPr="00113A19">
        <w:rPr>
          <w:rFonts w:ascii="Verdana" w:hAnsi="Verdana" w:eastAsia="Calibri" w:cs="Arial"/>
          <w:lang w:val="es-ES"/>
        </w:rPr>
        <w:t>, se unifican las fuentes de emprendimiento y de desarrollo empresarial, para fortalecer y promover los distintos sectores de la economía</w:t>
      </w:r>
      <w:r w:rsidRPr="00113A19">
        <w:rPr>
          <w:rStyle w:val="Refdenotaalpie"/>
          <w:rFonts w:ascii="Verdana" w:hAnsi="Verdana" w:eastAsia="Calibri" w:cs="Arial"/>
          <w:lang w:val="es-ES"/>
        </w:rPr>
        <w:footnoteReference w:id="6"/>
      </w:r>
      <w:r w:rsidRPr="00113A19">
        <w:rPr>
          <w:rFonts w:ascii="Verdana" w:hAnsi="Verdana" w:eastAsia="Calibri" w:cs="Arial"/>
          <w:lang w:val="es-ES"/>
        </w:rPr>
        <w:t xml:space="preserve"> y se prevén medidas de educación para el emprendimiento y la innovación</w:t>
      </w:r>
      <w:r w:rsidRPr="00113A19">
        <w:rPr>
          <w:rStyle w:val="Refdenotaalpie"/>
          <w:rFonts w:ascii="Verdana" w:hAnsi="Verdana" w:eastAsia="Calibri" w:cs="Arial"/>
          <w:lang w:val="es-ES"/>
        </w:rPr>
        <w:footnoteReference w:id="7"/>
      </w:r>
      <w:r w:rsidRPr="00113A19">
        <w:rPr>
          <w:rFonts w:ascii="Verdana" w:hAnsi="Verdana" w:eastAsia="Calibri" w:cs="Arial"/>
          <w:lang w:val="es-ES"/>
        </w:rPr>
        <w:t>.</w:t>
      </w:r>
    </w:p>
    <w:p w:rsidRPr="00113A19" w:rsidR="000C7F61" w:rsidP="000C7F61" w:rsidRDefault="000C7F61" w14:paraId="77C0AE00" w14:textId="77777777">
      <w:pPr>
        <w:spacing w:after="120" w:line="276" w:lineRule="auto"/>
        <w:ind w:firstLine="709"/>
        <w:jc w:val="both"/>
        <w:rPr>
          <w:rFonts w:ascii="Verdana" w:hAnsi="Verdana" w:eastAsia="Calibri" w:cs="Arial"/>
          <w:lang w:val="es-ES"/>
        </w:rPr>
      </w:pPr>
      <w:r w:rsidRPr="00113A19">
        <w:rPr>
          <w:rFonts w:ascii="Verdana" w:hAnsi="Verdana" w:eastAsia="Calibri" w:cs="Arial"/>
          <w:lang w:val="es-ES"/>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113A19">
        <w:rPr>
          <w:rFonts w:ascii="Verdana" w:hAnsi="Verdana" w:eastAsia="Calibri" w:cs="Arial"/>
          <w:lang w:val="es-ES"/>
        </w:rPr>
        <w:t>mipymes</w:t>
      </w:r>
      <w:proofErr w:type="spellEnd"/>
      <w:r w:rsidRPr="00113A19">
        <w:rPr>
          <w:rFonts w:ascii="Verdana" w:hAnsi="Verdana" w:eastAsia="Calibri" w:cs="Arial"/>
          <w:lang w:val="es-ES"/>
        </w:rPr>
        <w:t xml:space="preserve"> en el procedimiento de mínima cuantía, </w:t>
      </w:r>
      <w:proofErr w:type="spellStart"/>
      <w:r w:rsidRPr="00113A19">
        <w:rPr>
          <w:rFonts w:ascii="Verdana" w:hAnsi="Verdana" w:eastAsia="Calibri" w:cs="Arial"/>
          <w:lang w:val="es-ES"/>
        </w:rPr>
        <w:t>ii</w:t>
      </w:r>
      <w:proofErr w:type="spellEnd"/>
      <w:r w:rsidRPr="00113A19">
        <w:rPr>
          <w:rFonts w:ascii="Verdana" w:hAnsi="Verdana" w:eastAsia="Calibri" w:cs="Arial"/>
          <w:lang w:val="es-ES"/>
        </w:rPr>
        <w:t xml:space="preserve">) criterios diferenciales para </w:t>
      </w:r>
      <w:proofErr w:type="spellStart"/>
      <w:r w:rsidRPr="00113A19">
        <w:rPr>
          <w:rFonts w:ascii="Verdana" w:hAnsi="Verdana" w:eastAsia="Calibri" w:cs="Arial"/>
          <w:lang w:val="es-ES"/>
        </w:rPr>
        <w:t>mipymes</w:t>
      </w:r>
      <w:proofErr w:type="spellEnd"/>
      <w:r w:rsidRPr="00113A19">
        <w:rPr>
          <w:rFonts w:ascii="Verdana" w:hAnsi="Verdana" w:eastAsia="Calibri" w:cs="Arial"/>
          <w:lang w:val="es-ES"/>
        </w:rPr>
        <w:t xml:space="preserve"> en el sistema de compras públicas, </w:t>
      </w:r>
      <w:proofErr w:type="spellStart"/>
      <w:r w:rsidRPr="00113A19">
        <w:rPr>
          <w:rFonts w:ascii="Verdana" w:hAnsi="Verdana" w:eastAsia="Calibri" w:cs="Arial"/>
          <w:lang w:val="es-ES"/>
        </w:rPr>
        <w:t>iii</w:t>
      </w:r>
      <w:proofErr w:type="spellEnd"/>
      <w:r w:rsidRPr="00113A19">
        <w:rPr>
          <w:rFonts w:ascii="Verdana" w:hAnsi="Verdana" w:eastAsia="Calibri" w:cs="Arial"/>
          <w:lang w:val="es-ES"/>
        </w:rPr>
        <w:t xml:space="preserve">) criterios diferenciales para emprendimientos y empresas de mujeres en el sistema de compras públicas, </w:t>
      </w:r>
      <w:proofErr w:type="spellStart"/>
      <w:r w:rsidRPr="00113A19">
        <w:rPr>
          <w:rFonts w:ascii="Verdana" w:hAnsi="Verdana" w:eastAsia="Calibri" w:cs="Arial"/>
          <w:lang w:val="es-ES"/>
        </w:rPr>
        <w:t>iv</w:t>
      </w:r>
      <w:proofErr w:type="spellEnd"/>
      <w:r w:rsidRPr="00113A19">
        <w:rPr>
          <w:rFonts w:ascii="Verdana" w:hAnsi="Verdana" w:eastAsia="Calibri" w:cs="Arial"/>
          <w:lang w:val="es-ES"/>
        </w:rPr>
        <w:t xml:space="preserve">) promoción del acceso de las </w:t>
      </w:r>
      <w:proofErr w:type="spellStart"/>
      <w:r w:rsidRPr="00113A19">
        <w:rPr>
          <w:rFonts w:ascii="Verdana" w:hAnsi="Verdana" w:eastAsia="Calibri" w:cs="Arial"/>
          <w:lang w:val="es-ES"/>
        </w:rPr>
        <w:t>mipymes</w:t>
      </w:r>
      <w:proofErr w:type="spellEnd"/>
      <w:r w:rsidRPr="00113A19">
        <w:rPr>
          <w:rFonts w:ascii="Verdana" w:hAnsi="Verdana" w:eastAsia="Calibri" w:cs="Arial"/>
          <w:lang w:val="es-ES"/>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continuación, se estudiará el contenido y alcance de dicha norma.  </w:t>
      </w:r>
    </w:p>
    <w:p w:rsidRPr="00113A19" w:rsidR="000C7F61" w:rsidP="000C7F61" w:rsidRDefault="000C7F61" w14:paraId="35E040EB" w14:textId="77777777">
      <w:pPr>
        <w:spacing w:after="120" w:line="276" w:lineRule="auto"/>
        <w:jc w:val="both"/>
        <w:rPr>
          <w:rFonts w:ascii="Verdana" w:hAnsi="Verdana" w:eastAsia="Calibri" w:cs="Arial"/>
          <w:lang w:val="es-ES"/>
        </w:rPr>
      </w:pPr>
      <w:r w:rsidRPr="00113A19">
        <w:rPr>
          <w:rFonts w:ascii="Verdana" w:hAnsi="Verdana" w:eastAsia="Calibri" w:cs="Arial"/>
          <w:lang w:val="es-ES_tradnl"/>
        </w:rPr>
        <w:tab/>
      </w:r>
      <w:r w:rsidRPr="00113A19">
        <w:rPr>
          <w:rFonts w:ascii="Verdana" w:hAnsi="Verdana" w:eastAsia="Calibri" w:cs="Arial"/>
          <w:lang w:val="es-ES"/>
        </w:rPr>
        <w:t xml:space="preserve">El artículo 35 de la Ley 2069 de 2020 modifica la regulación de los factores de desempate en la contratación estatal. Al respecto, pese a que el parágrafo 3 dispone que el Gobierno nacional podrá regular los supuestos en que concurran dos o más factores de desempate, se considera que el artículo 35 de la Ley 2069 de 2020 goza de aplicación directa desde la fecha de su promulgación, es decir, no requería de una reglamentación previa como presupuesto para su eficacia. Esta precisión reviste de importancia, porque algunos enunciados normativos de la ley bajo análisis establecen un mandato de reglamentación, dirigido al gobierno nacional, como condición para aplicar lo dispuesto en ella. </w:t>
      </w:r>
    </w:p>
    <w:p w:rsidRPr="00113A19" w:rsidR="000C7F61" w:rsidP="000C7F61" w:rsidRDefault="000C7F61" w14:paraId="77274837" w14:textId="77777777">
      <w:pPr>
        <w:spacing w:after="120" w:line="276" w:lineRule="auto"/>
        <w:ind w:firstLine="709"/>
        <w:jc w:val="both"/>
        <w:rPr>
          <w:rFonts w:ascii="Verdana" w:hAnsi="Verdana" w:eastAsia="Calibri" w:cs="Arial"/>
          <w:lang w:val="es-ES"/>
        </w:rPr>
      </w:pPr>
      <w:r w:rsidRPr="00113A19">
        <w:rPr>
          <w:rFonts w:ascii="Verdana" w:hAnsi="Verdana" w:eastAsia="Calibri" w:cs="Arial"/>
          <w:lang w:val="es-ES"/>
        </w:rPr>
        <w:t xml:space="preserve">Por ejemplo, en lo que a las compras públicas se refiere, el parágrafo primero del artículo 30, que alude a la participación de </w:t>
      </w:r>
      <w:proofErr w:type="spellStart"/>
      <w:r w:rsidRPr="00113A19">
        <w:rPr>
          <w:rFonts w:ascii="Verdana" w:hAnsi="Verdana" w:eastAsia="Calibri" w:cs="Arial"/>
          <w:lang w:val="es-ES"/>
        </w:rPr>
        <w:t>mipymes</w:t>
      </w:r>
      <w:proofErr w:type="spellEnd"/>
      <w:r w:rsidRPr="00113A19">
        <w:rPr>
          <w:rFonts w:ascii="Verdana" w:hAnsi="Verdana" w:eastAsia="Calibri" w:cs="Arial"/>
          <w:lang w:val="es-ES"/>
        </w:rPr>
        <w:t xml:space="preserve"> en procedimientos de mínima cuantía, establece que “Las particularidades del procedimiento aquí previsto, así como la posibilidad que tengan las entidades de realizar estas adquisiciones a </w:t>
      </w:r>
      <w:proofErr w:type="spellStart"/>
      <w:r w:rsidRPr="00113A19">
        <w:rPr>
          <w:rFonts w:ascii="Verdana" w:hAnsi="Verdana" w:eastAsia="Calibri" w:cs="Arial"/>
          <w:lang w:val="es-ES"/>
        </w:rPr>
        <w:t>Mipymes</w:t>
      </w:r>
      <w:proofErr w:type="spellEnd"/>
      <w:r w:rsidRPr="00113A19">
        <w:rPr>
          <w:rFonts w:ascii="Verdana" w:hAnsi="Verdana" w:eastAsia="Calibri" w:cs="Arial"/>
          <w:lang w:val="es-ES"/>
        </w:rPr>
        <w:t xml:space="preserve">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rsidRPr="00113A19" w:rsidR="000C7F61" w:rsidP="000C7F61" w:rsidRDefault="000C7F61" w14:paraId="390A65CF" w14:textId="77777777">
      <w:pPr>
        <w:spacing w:after="120" w:line="276" w:lineRule="auto"/>
        <w:ind w:firstLine="709"/>
        <w:jc w:val="both"/>
        <w:rPr>
          <w:rFonts w:ascii="Verdana" w:hAnsi="Verdana" w:eastAsia="Calibri" w:cs="Arial"/>
          <w:lang w:val="es-ES"/>
        </w:rPr>
      </w:pPr>
      <w:r w:rsidRPr="00113A19">
        <w:rPr>
          <w:rFonts w:ascii="Verdana" w:hAnsi="Verdana" w:eastAsia="Calibri" w:cs="Arial"/>
          <w:lang w:val="es-ES"/>
        </w:rPr>
        <w:t xml:space="preserve">Lo mismo no sucede con el artículo 35. En efecto, </w:t>
      </w:r>
      <w:r w:rsidRPr="00113A19">
        <w:rPr>
          <w:rFonts w:ascii="Verdana" w:hAnsi="Verdana" w:cs="Arial"/>
          <w:lang w:val="es-ES"/>
        </w:rPr>
        <w:t xml:space="preserve">si bien los factores de desempate regulados en el artículo 35 deben aplicarse “[…] 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sin perjuicio de la competencia general prevista en el artículo 189.11 de Constitución Política de 1991, este parágrafo le asigna potestad reglamentaria al gobierno nacional para definir factores que permitan desempatar las ofertas en aquellos casos en que varios oferentes reúnan al tiempo dos o más de los factores previstos en el artículo 35. </w:t>
      </w:r>
      <w:r w:rsidRPr="00113A19">
        <w:rPr>
          <w:rFonts w:ascii="Verdana" w:hAnsi="Verdana" w:eastAsia="Calibri" w:cs="Arial"/>
          <w:lang w:val="es-ES"/>
        </w:rPr>
        <w:t xml:space="preserve">  </w:t>
      </w:r>
    </w:p>
    <w:p w:rsidRPr="00113A19" w:rsidR="000C7F61" w:rsidP="000C7F61" w:rsidRDefault="000C7F61" w14:paraId="5EF08B8A" w14:textId="77777777">
      <w:pPr>
        <w:spacing w:after="120" w:line="276" w:lineRule="auto"/>
        <w:jc w:val="both"/>
        <w:rPr>
          <w:rFonts w:ascii="Verdana" w:hAnsi="Verdana" w:eastAsia="Calibri" w:cs="Arial"/>
          <w:lang w:val="es-ES_tradnl"/>
        </w:rPr>
      </w:pPr>
      <w:r w:rsidRPr="00113A19">
        <w:rPr>
          <w:rFonts w:ascii="Verdana" w:hAnsi="Verdana" w:eastAsia="Calibri" w:cs="Arial"/>
          <w:b/>
          <w:bCs/>
          <w:lang w:val="es-ES_tradnl"/>
        </w:rPr>
        <w:tab/>
      </w:r>
      <w:r w:rsidRPr="00113A19">
        <w:rPr>
          <w:rFonts w:ascii="Verdana" w:hAnsi="Verdana" w:eastAsia="Calibri" w:cs="Arial"/>
          <w:lang w:val="es-ES_tradnl"/>
        </w:rPr>
        <w:t>Lo explicado en los párrafos precedentes es importante, porque el 24 de diciembre de 2021, el gobierno nacional expidió el Decreto 1860,</w:t>
      </w:r>
      <w:r w:rsidRPr="00113A19">
        <w:rPr>
          <w:rFonts w:ascii="Verdana" w:hAnsi="Verdana"/>
        </w:rPr>
        <w:t xml:space="preserve"> </w:t>
      </w:r>
      <w:r w:rsidRPr="00113A19">
        <w:rPr>
          <w:rFonts w:ascii="Verdana" w:hAnsi="Verdana" w:eastAsia="Calibri" w:cs="Arial"/>
          <w:lang w:val="es-ES_tradnl"/>
        </w:rPr>
        <w:t xml:space="preserve">“Por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w:t>
      </w:r>
      <w:r w:rsidRPr="00113A19">
        <w:rPr>
          <w:rFonts w:ascii="Verdana" w:hAnsi="Verdana" w:eastAsia="Calibri" w:cs="Arial"/>
          <w:lang w:val="es-ES_tradnl"/>
        </w:rPr>
        <w:t>requeridas para aplicar estas disposiciones, tal como indica el artículo 1 del Decreto 1860 de 2021</w:t>
      </w:r>
      <w:r w:rsidRPr="00113A19">
        <w:rPr>
          <w:rStyle w:val="Refdenotaalpie"/>
          <w:rFonts w:ascii="Verdana" w:hAnsi="Verdana" w:eastAsia="Calibri" w:cs="Arial"/>
          <w:lang w:val="es-ES_tradnl"/>
        </w:rPr>
        <w:footnoteReference w:id="8"/>
      </w:r>
      <w:r w:rsidRPr="00113A19">
        <w:rPr>
          <w:rFonts w:ascii="Verdana" w:hAnsi="Verdana" w:eastAsia="Calibri" w:cs="Arial"/>
          <w:lang w:val="es-ES_tradnl"/>
        </w:rPr>
        <w:t xml:space="preserve">.  </w:t>
      </w:r>
    </w:p>
    <w:p w:rsidRPr="00113A19" w:rsidR="000C7F61" w:rsidP="000C7F61" w:rsidRDefault="000C7F61" w14:paraId="4D262910" w14:textId="77777777">
      <w:pPr>
        <w:spacing w:after="120" w:line="276" w:lineRule="auto"/>
        <w:jc w:val="both"/>
        <w:rPr>
          <w:rFonts w:ascii="Verdana" w:hAnsi="Verdana" w:cs="Arial"/>
        </w:rPr>
      </w:pPr>
      <w:r w:rsidRPr="00113A19">
        <w:rPr>
          <w:rFonts w:ascii="Verdana" w:hAnsi="Verdana" w:eastAsia="Calibri" w:cs="Arial"/>
          <w:lang w:val="es-ES_tradnl"/>
        </w:rPr>
        <w:tab/>
      </w:r>
      <w:r w:rsidRPr="00113A19">
        <w:rPr>
          <w:rFonts w:ascii="Verdana" w:hAnsi="Verdana" w:eastAsia="Calibri" w:cs="Arial"/>
          <w:lang w:val="es-ES_tradnl"/>
        </w:rPr>
        <w:t>En lo relativo al artículo 35 de la Ley 2069 de 2020, el artículo 3 del Decreto 1860 de 2021 adiciona el artículo 2.2.1.2.4.2.17. a la Subsección 2 de la Sección 4 del Capítulo 2 del Título 1 de la Parte 2 del Libro 2 del Decreto 1082 de 2015</w:t>
      </w:r>
      <w:r w:rsidRPr="00113A19">
        <w:rPr>
          <w:rFonts w:ascii="Verdana" w:hAnsi="Verdana" w:cs="Arial"/>
          <w:lang w:eastAsia="es-CO"/>
        </w:rPr>
        <w:t xml:space="preserve">, el cual reglamenta los factores de desempate del artículo 35 </w:t>
      </w:r>
      <w:proofErr w:type="spellStart"/>
      <w:r w:rsidRPr="00113A19">
        <w:rPr>
          <w:rFonts w:ascii="Verdana" w:hAnsi="Verdana" w:cs="Arial"/>
          <w:i/>
          <w:iCs/>
          <w:lang w:eastAsia="es-CO"/>
        </w:rPr>
        <w:t>ibídem</w:t>
      </w:r>
      <w:proofErr w:type="spellEnd"/>
      <w:r w:rsidRPr="00113A19">
        <w:rPr>
          <w:rFonts w:ascii="Verdana" w:hAnsi="Verdana" w:cs="Arial"/>
          <w:lang w:eastAsia="es-CO"/>
        </w:rPr>
        <w:t xml:space="preserve">, estableciendo los medios de acreditación de cada uno de los supuestos de hecho en función de los cuales operan. </w:t>
      </w:r>
      <w:r w:rsidRPr="00113A19">
        <w:rPr>
          <w:rFonts w:ascii="Verdana" w:hAnsi="Verdana" w:cs="Arial"/>
        </w:rPr>
        <w:t xml:space="preserve">De otra parte, el artículo 7 del Decreto recientemente expedido modificó el contenido del artículo 2.2.1.2.4.2.8 </w:t>
      </w:r>
      <w:r w:rsidRPr="00113A19">
        <w:rPr>
          <w:rFonts w:ascii="Verdana" w:hAnsi="Verdana" w:cs="Arial"/>
          <w:shd w:val="clear" w:color="auto" w:fill="FFFFFF"/>
        </w:rPr>
        <w:t xml:space="preserve">de la Subsección 2 de la Sección 4 del Capítulo 2 del Título 1 de la Parte 2 del Libro 2 del Decreto 1082 de 2015, alusivo al sistema de preferencias en favor de las personas con discapacidad. </w:t>
      </w:r>
      <w:r w:rsidRPr="00113A19">
        <w:rPr>
          <w:rFonts w:ascii="Verdana" w:hAnsi="Verdana" w:cs="Arial"/>
        </w:rPr>
        <w:t>La modificación realizada reemplazó la referencia al artículo 2.2.1.1.2.2.9 del Decreto 1082 de 2015, que anteriormente reglamentaba los factores de desempate, por una remisión al artículo 35 de la Ley 2069 de 2020 y el artículo 2.2.1.2.4.2.17 del Decreto 1082 de 2015, disposiciones por las que ahora se rigen los criterios de desempate.</w:t>
      </w:r>
    </w:p>
    <w:p w:rsidR="000C7F61" w:rsidP="000C7F61" w:rsidRDefault="000C7F61" w14:paraId="4C023549" w14:textId="77777777">
      <w:pPr>
        <w:spacing w:after="0" w:line="276" w:lineRule="auto"/>
        <w:jc w:val="both"/>
        <w:rPr>
          <w:rFonts w:ascii="Verdana" w:hAnsi="Verdana" w:cs="Arial"/>
          <w:lang w:eastAsia="es-CO"/>
        </w:rPr>
      </w:pPr>
      <w:r w:rsidRPr="00113A19">
        <w:rPr>
          <w:rFonts w:ascii="Verdana" w:hAnsi="Verdana" w:cs="Arial"/>
          <w:lang w:eastAsia="es-CO"/>
        </w:rPr>
        <w:tab/>
      </w:r>
      <w:r w:rsidRPr="00113A19">
        <w:rPr>
          <w:rFonts w:ascii="Verdana" w:hAnsi="Verdana" w:cs="Arial"/>
          <w:lang w:eastAsia="es-CO"/>
        </w:rPr>
        <w:t>Por último, debe precisarse que la vigencia del Decreto 1860 de 2021 es regulada por su artículo 8, el cual establece que “Las disposiciones contenidas en el presente Decreto se aplicarán a los procedimientos de selección cuya invitación, aviso de convocatoria o documento equivalente se publique a los tres (3) meses contados a partir de su expedición”. De acuerdo con esto, habiéndose expedido el referido decreto el 24 de diciembre de 2021, la aplicación de su contenido deberá comenzar una vez transcurridos tres (3) meses contados a partir de entonces, en los procesos cuyos avisos de convocatorias, invitaciones o documentos equivalentes se publiquen con posterioridad a dicho término</w:t>
      </w:r>
      <w:r w:rsidRPr="00113A19">
        <w:rPr>
          <w:rStyle w:val="Refdenotaalpie"/>
          <w:rFonts w:ascii="Verdana" w:hAnsi="Verdana" w:cs="Arial"/>
          <w:lang w:eastAsia="es-CO"/>
        </w:rPr>
        <w:footnoteReference w:id="9"/>
      </w:r>
      <w:r w:rsidRPr="00113A19">
        <w:rPr>
          <w:rFonts w:ascii="Verdana" w:hAnsi="Verdana" w:cs="Arial"/>
          <w:lang w:eastAsia="es-CO"/>
        </w:rPr>
        <w:t xml:space="preserve">. </w:t>
      </w:r>
    </w:p>
    <w:p w:rsidR="000C7F61" w:rsidP="000C7F61" w:rsidRDefault="000C7F61" w14:paraId="0BC30FA2" w14:textId="77777777">
      <w:pPr>
        <w:spacing w:after="0" w:line="276" w:lineRule="auto"/>
        <w:jc w:val="both"/>
        <w:rPr>
          <w:rFonts w:ascii="Verdana" w:hAnsi="Verdana" w:cs="Arial"/>
          <w:lang w:eastAsia="es-CO"/>
        </w:rPr>
      </w:pPr>
    </w:p>
    <w:p w:rsidRPr="002837AB" w:rsidR="000C7F61" w:rsidP="000C7F61" w:rsidRDefault="000C7F61" w14:paraId="553B72B9" w14:textId="77777777">
      <w:pPr>
        <w:tabs>
          <w:tab w:val="left" w:pos="6551"/>
        </w:tabs>
        <w:spacing w:after="120" w:line="276" w:lineRule="auto"/>
        <w:jc w:val="both"/>
        <w:rPr>
          <w:rFonts w:ascii="Verdana" w:hAnsi="Verdana" w:eastAsia="Calibri" w:cs="Arial"/>
          <w:color w:val="000000" w:themeColor="text1"/>
          <w:lang w:val="es-ES_tradnl"/>
        </w:rPr>
      </w:pPr>
      <w:proofErr w:type="spellStart"/>
      <w:r w:rsidRPr="00D50A6C">
        <w:rPr>
          <w:rFonts w:ascii="Verdana" w:hAnsi="Verdana" w:cs="Arial"/>
          <w:b/>
          <w:bCs/>
          <w:lang w:eastAsia="es-CO"/>
        </w:rPr>
        <w:t>iii</w:t>
      </w:r>
      <w:proofErr w:type="spellEnd"/>
      <w:r w:rsidRPr="00D50A6C">
        <w:rPr>
          <w:rFonts w:ascii="Verdana" w:hAnsi="Verdana" w:cs="Arial"/>
          <w:b/>
          <w:bCs/>
          <w:lang w:eastAsia="es-CO"/>
        </w:rPr>
        <w:t>.</w:t>
      </w:r>
      <w:r w:rsidRPr="002837AB">
        <w:rPr>
          <w:rFonts w:ascii="Verdana" w:hAnsi="Verdana" w:cs="Arial"/>
          <w:lang w:eastAsia="es-CO"/>
        </w:rPr>
        <w:t xml:space="preserve"> </w:t>
      </w:r>
      <w:r w:rsidRPr="002837AB">
        <w:rPr>
          <w:rFonts w:ascii="Verdana" w:hAnsi="Verdana" w:eastAsia="Calibri" w:cs="Arial"/>
          <w:bCs/>
          <w:lang w:val="es-ES_tradnl"/>
        </w:rPr>
        <w:t xml:space="preserve">Con respecto al numeral 4 del artículo </w:t>
      </w:r>
      <w:r w:rsidRPr="002837AB">
        <w:rPr>
          <w:rFonts w:ascii="Verdana" w:hAnsi="Verdana" w:eastAsia="Calibri" w:cs="Arial"/>
          <w:color w:val="000000" w:themeColor="text1"/>
          <w:lang w:val="es-ES_tradnl"/>
        </w:rPr>
        <w:t>2.2.1.2.4.2.17 del Decreto 1082 de 2015 adicionado por el</w:t>
      </w:r>
      <w:r w:rsidRPr="002837AB">
        <w:rPr>
          <w:rFonts w:ascii="Verdana" w:hAnsi="Verdana" w:eastAsia="Calibri" w:cs="Arial"/>
          <w:bCs/>
          <w:color w:val="000000" w:themeColor="text1"/>
          <w:lang w:val="es-ES_tradnl"/>
        </w:rPr>
        <w:t xml:space="preserve"> artículo 3 del Decreto 1860 de 2021 </w:t>
      </w:r>
      <w:r w:rsidRPr="002837AB">
        <w:rPr>
          <w:rFonts w:ascii="Verdana" w:hAnsi="Verdana" w:eastAsia="Calibri" w:cs="Arial"/>
          <w:color w:val="000000" w:themeColor="text1"/>
          <w:lang w:val="es-ES_tradnl"/>
        </w:rPr>
        <w:t xml:space="preserve">que reglamenta el numeral 4 </w:t>
      </w:r>
      <w:r w:rsidRPr="002837AB">
        <w:rPr>
          <w:rFonts w:ascii="Verdana" w:hAnsi="Verdana" w:eastAsia="Calibri" w:cs="Arial"/>
          <w:bCs/>
          <w:lang w:val="es-ES_tradnl"/>
        </w:rPr>
        <w:t>del artículo 35 de la Ley 2069 de 2020, se</w:t>
      </w:r>
      <w:r w:rsidRPr="002837AB">
        <w:rPr>
          <w:rFonts w:ascii="Verdana" w:hAnsi="Verdana" w:eastAsia="Calibri" w:cs="Arial"/>
          <w:bCs/>
          <w:color w:val="000000" w:themeColor="text1"/>
          <w:lang w:val="es-ES_tradnl"/>
        </w:rPr>
        <w:t xml:space="preserve"> señalarán las consideraciones que esta Agencia en su momento expresó, en relación con la acreditación de este factor de desempate, previo a la expedición del Decreto 1860 de 2021, para, posteriormente, indicar cuál es el alcance que la norma reglamentaria brinda al referido factor de desempate. </w:t>
      </w:r>
    </w:p>
    <w:p w:rsidRPr="002837AB" w:rsidR="000C7F61" w:rsidP="000C7F61" w:rsidRDefault="000C7F61" w14:paraId="64ACF7E0" w14:textId="77777777">
      <w:pPr>
        <w:tabs>
          <w:tab w:val="left" w:pos="6551"/>
        </w:tabs>
        <w:spacing w:after="120" w:line="276" w:lineRule="auto"/>
        <w:ind w:firstLine="709"/>
        <w:jc w:val="both"/>
        <w:rPr>
          <w:rFonts w:ascii="Verdana" w:hAnsi="Verdana" w:eastAsia="Calibri" w:cs="Arial"/>
          <w:color w:val="000000" w:themeColor="text1"/>
          <w:lang w:val="es-ES"/>
        </w:rPr>
      </w:pPr>
      <w:bookmarkStart w:name="_Hlk93049677" w:id="8"/>
      <w:r w:rsidRPr="002837AB">
        <w:rPr>
          <w:rFonts w:ascii="Verdana" w:hAnsi="Verdana" w:eastAsia="Calibri" w:cs="Arial"/>
          <w:color w:val="000000" w:themeColor="text1"/>
          <w:lang w:val="es-ES"/>
        </w:rPr>
        <w:t xml:space="preserve">En relación con lo previsto en el numeral </w:t>
      </w:r>
      <w:r w:rsidRPr="002837AB">
        <w:rPr>
          <w:rFonts w:ascii="Verdana" w:hAnsi="Verdana" w:eastAsia="Calibri" w:cs="Arial"/>
          <w:i/>
          <w:iCs/>
          <w:color w:val="000000" w:themeColor="text1"/>
          <w:lang w:val="es-ES"/>
        </w:rPr>
        <w:t>ibidem</w:t>
      </w:r>
      <w:r w:rsidRPr="002837AB">
        <w:rPr>
          <w:rFonts w:ascii="Verdana" w:hAnsi="Verdana" w:eastAsia="Calibri" w:cs="Arial"/>
          <w:color w:val="000000" w:themeColor="text1"/>
          <w:lang w:val="es-ES"/>
        </w:rPr>
        <w:t xml:space="preserve">, cuando el legislador alude al concepto de “personas mayores” que no sean beneficiarias de la pensión de vejez, familiar o de sobrevivencia y que hayan cumplido la edad para obtenerla, una posible interpretación es entender que la norma se refiere al “adulto mayor”. Este concepto lo define el artículo 3 de la Ley 1251 de 2008 –“Por la cual se dictan normas tendientes a procurar la protección, promoción y defensa de los derechos de los adultos mayores”– como “[…] aquella persona que cuenta con sesenta (60) </w:t>
      </w:r>
      <w:proofErr w:type="gramStart"/>
      <w:r w:rsidRPr="002837AB">
        <w:rPr>
          <w:rFonts w:ascii="Verdana" w:hAnsi="Verdana" w:eastAsia="Calibri" w:cs="Arial"/>
          <w:color w:val="000000" w:themeColor="text1"/>
          <w:lang w:val="es-ES"/>
        </w:rPr>
        <w:t>años de edad</w:t>
      </w:r>
      <w:proofErr w:type="gramEnd"/>
      <w:r w:rsidRPr="002837AB">
        <w:rPr>
          <w:rFonts w:ascii="Verdana" w:hAnsi="Verdana" w:eastAsia="Calibri" w:cs="Arial"/>
          <w:color w:val="000000" w:themeColor="text1"/>
          <w:lang w:val="es-ES"/>
        </w:rPr>
        <w:t xml:space="preserve"> o más”, lo cual se puede acreditar con el documento de identidad correspondiente. En todo caso, también es posible entender que esta causal aplica a todas las personas que –en el rango de edad correspondiente a cada género– no han alcanzado la pensión, interpretación que está más ajustada al principio de favorabilidad y que, como se expresará, se acogió en la reglamentación realizada por el Decreto 1860 de 2021. Sin embargo, de la literalidad de la norma no se desprende la aplicación de este factor de desempate a los </w:t>
      </w:r>
      <w:proofErr w:type="spellStart"/>
      <w:r w:rsidRPr="002837AB">
        <w:rPr>
          <w:rFonts w:ascii="Verdana" w:hAnsi="Verdana" w:eastAsia="Calibri" w:cs="Arial"/>
          <w:color w:val="000000" w:themeColor="text1"/>
          <w:lang w:val="es-ES"/>
        </w:rPr>
        <w:t>prepensionados</w:t>
      </w:r>
      <w:proofErr w:type="spellEnd"/>
      <w:r w:rsidRPr="002837AB">
        <w:rPr>
          <w:rFonts w:ascii="Verdana" w:hAnsi="Verdana" w:eastAsia="Calibri" w:cs="Arial"/>
          <w:color w:val="000000" w:themeColor="text1"/>
          <w:lang w:val="es-ES"/>
        </w:rPr>
        <w:t>, por lo que no son destinatarios de este incentivo.</w:t>
      </w:r>
    </w:p>
    <w:p w:rsidRPr="002837AB" w:rsidR="000C7F61" w:rsidP="000C7F61" w:rsidRDefault="000C7F61" w14:paraId="5AAE2FF4" w14:textId="77777777">
      <w:pPr>
        <w:tabs>
          <w:tab w:val="left" w:pos="6551"/>
        </w:tabs>
        <w:spacing w:after="120" w:line="276" w:lineRule="auto"/>
        <w:ind w:firstLine="709"/>
        <w:jc w:val="both"/>
        <w:rPr>
          <w:rFonts w:ascii="Verdana" w:hAnsi="Verdana" w:cs="Arial"/>
          <w:color w:val="000000" w:themeColor="text1"/>
          <w:lang w:val="es-ES_tradnl"/>
        </w:rPr>
      </w:pPr>
      <w:r w:rsidRPr="002837AB">
        <w:rPr>
          <w:rFonts w:ascii="Verdana" w:hAnsi="Verdana" w:cs="Arial"/>
          <w:color w:val="000000" w:themeColor="text1"/>
          <w:lang w:val="es-ES_tradnl"/>
        </w:rPr>
        <w:t xml:space="preserve">El numeral dice que en dicho evento la regla de desempate se aplica a favor del “[…] oferente que acredite la vinculación en </w:t>
      </w:r>
      <w:r w:rsidRPr="002837AB">
        <w:rPr>
          <w:rFonts w:ascii="Verdana" w:hAnsi="Verdana" w:cs="Arial"/>
          <w:i/>
          <w:iCs/>
          <w:color w:val="000000" w:themeColor="text1"/>
          <w:lang w:val="es-ES_tradnl"/>
        </w:rPr>
        <w:t>mayor proporción</w:t>
      </w:r>
      <w:r w:rsidRPr="002837AB">
        <w:rPr>
          <w:rFonts w:ascii="Verdana" w:hAnsi="Verdana" w:cs="Arial"/>
          <w:color w:val="000000" w:themeColor="text1"/>
          <w:lang w:val="es-ES_tradnl"/>
        </w:rPr>
        <w:t xml:space="preserve"> de personas mayores que no sean beneficiarios de la pensión de vejez, familiar o </w:t>
      </w:r>
      <w:r w:rsidRPr="002837AB">
        <w:rPr>
          <w:rFonts w:ascii="Verdana" w:hAnsi="Verdana" w:cs="Arial"/>
          <w:color w:val="000000" w:themeColor="text1"/>
          <w:lang w:val="es-ES_tradnl"/>
        </w:rPr>
        <w:t>de sobrevivencia y que hayan cumplido el requisito de edad de pensión establecido en la Ley” (Énfasis fuera de texto). 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w:t>
      </w:r>
      <w:bookmarkEnd w:id="8"/>
      <w:r w:rsidRPr="002837AB">
        <w:rPr>
          <w:rFonts w:ascii="Verdana" w:hAnsi="Verdana" w:cs="Arial"/>
          <w:color w:val="000000" w:themeColor="text1"/>
          <w:lang w:val="es-ES_tradnl"/>
        </w:rPr>
        <w:t xml:space="preserve">”. </w:t>
      </w:r>
    </w:p>
    <w:p w:rsidRPr="002837AB" w:rsidR="000C7F61" w:rsidP="000C7F61" w:rsidRDefault="000C7F61" w14:paraId="67728CD6" w14:textId="77777777">
      <w:pPr>
        <w:tabs>
          <w:tab w:val="left" w:pos="6551"/>
        </w:tabs>
        <w:spacing w:after="120" w:line="276" w:lineRule="auto"/>
        <w:ind w:firstLine="709"/>
        <w:jc w:val="both"/>
        <w:rPr>
          <w:rFonts w:ascii="Verdana" w:hAnsi="Verdana" w:cs="Arial"/>
          <w:color w:val="000000" w:themeColor="text1"/>
          <w:lang w:val="es-ES"/>
        </w:rPr>
      </w:pPr>
      <w:r w:rsidRPr="002837AB">
        <w:rPr>
          <w:rFonts w:ascii="Verdana" w:hAnsi="Verdana" w:cs="Arial"/>
          <w:color w:val="000000" w:themeColor="text1"/>
          <w:lang w:val="es-ES"/>
        </w:rPr>
        <w:t xml:space="preserve">Teniendo en cuenta que el numeral no distingue tipos de oferente, dicho criterio de desempate, a juicio de la Agencia, se debía aplicar también a proponentes plurales. En este caso el proponente plural debía acreditar la proporción de personas mayores vinculadas a aquel y que además “no sean beneficiarios de la pensión de vejez, familiar o de sobrevivencia y que hayan cumplido el requisito de edad de pensión establecido en la Ley”, para beneficiarse del factor de desempate. La norma guarda silencio sobre la acreditación de la condición que da lugar al factor de desempate. Por tanto, esta Agencia consideraba que, mientras el Decreto 1860 de 2021 no </w:t>
      </w:r>
      <w:proofErr w:type="gramStart"/>
      <w:r w:rsidRPr="002837AB">
        <w:rPr>
          <w:rFonts w:ascii="Verdana" w:hAnsi="Verdana" w:cs="Arial"/>
          <w:color w:val="000000" w:themeColor="text1"/>
          <w:lang w:val="es-ES"/>
        </w:rPr>
        <w:t>entrara en vigencia</w:t>
      </w:r>
      <w:proofErr w:type="gramEnd"/>
      <w:r w:rsidRPr="002837AB">
        <w:rPr>
          <w:rFonts w:ascii="Verdana" w:hAnsi="Verdana" w:cs="Arial"/>
          <w:color w:val="000000" w:themeColor="text1"/>
          <w:lang w:val="es-ES"/>
        </w:rPr>
        <w:t>, existía libertad probatoria sobre el tema. En consecuencia, la entidad contratante podía determinar en el pliego de condiciones o documento equivalente cuál sería el medio para evidenciar la vinculación de las personas mayores por parte del oferente.</w:t>
      </w:r>
    </w:p>
    <w:p w:rsidRPr="002837AB" w:rsidR="000C7F61" w:rsidP="000C7F61" w:rsidRDefault="000C7F61" w14:paraId="3091EED8" w14:textId="77777777">
      <w:pPr>
        <w:tabs>
          <w:tab w:val="left" w:pos="6551"/>
        </w:tabs>
        <w:spacing w:after="120" w:line="276" w:lineRule="auto"/>
        <w:ind w:firstLine="709"/>
        <w:jc w:val="both"/>
        <w:rPr>
          <w:rFonts w:ascii="Verdana" w:hAnsi="Verdana" w:cs="Arial"/>
          <w:color w:val="000000" w:themeColor="text1"/>
          <w:lang w:val="es-ES"/>
        </w:rPr>
      </w:pPr>
      <w:r w:rsidRPr="002837AB">
        <w:rPr>
          <w:rFonts w:ascii="Verdana" w:hAnsi="Verdana" w:cs="Arial"/>
          <w:color w:val="000000" w:themeColor="text1"/>
          <w:lang w:val="es-ES"/>
        </w:rPr>
        <w:t xml:space="preserve">Paralelamente, como lo indicó la Agencia en los conceptos </w:t>
      </w:r>
      <w:r w:rsidRPr="002837AB">
        <w:rPr>
          <w:rFonts w:ascii="Verdana" w:hAnsi="Verdana" w:eastAsia="Calibri" w:cs="Arial"/>
          <w:color w:val="000000" w:themeColor="text1"/>
          <w:lang w:val="es-ES"/>
        </w:rPr>
        <w:t xml:space="preserve">C-206 del 3 de mayo de 2021 y C-487 del 3 de agosto de 2021, </w:t>
      </w:r>
      <w:r w:rsidRPr="002837AB">
        <w:rPr>
          <w:rFonts w:ascii="Verdana" w:hAnsi="Verdana" w:cs="Arial"/>
          <w:color w:val="000000" w:themeColor="text1"/>
          <w:lang w:val="es-ES"/>
        </w:rPr>
        <w:t xml:space="preserve">el numeral 4 del artículo 35 de la Ley 2069 de 2020 exige que la vinculación de personas mayores sea de carácter laboral –es decir, a través de un contrato de trabajo–, por lo cual Colombia Compra Eficiente consideraba que no resultaría procedente, para efectos de acreditar el factor de desempate, la vinculación de dichas personas a través de otros tipos contractuales, como, por ejemplo, el contrato de prestación de servicios. Para estos efectos, la palabra “vinculación” debía entenderse en concordancia con el parágrafo 2 de la norma en comento, el cual dispone que “Para los criterios enunciados que involucren la </w:t>
      </w:r>
      <w:r w:rsidRPr="002837AB">
        <w:rPr>
          <w:rFonts w:ascii="Verdana" w:hAnsi="Verdana" w:cs="Arial"/>
          <w:i/>
          <w:iCs/>
          <w:color w:val="000000" w:themeColor="text1"/>
          <w:lang w:val="es-ES"/>
        </w:rPr>
        <w:t>vinculación de capital humano</w:t>
      </w:r>
      <w:r w:rsidRPr="002837AB">
        <w:rPr>
          <w:rFonts w:ascii="Verdana" w:hAnsi="Verdana" w:cs="Arial"/>
          <w:color w:val="000000" w:themeColor="text1"/>
          <w:lang w:val="es-ES"/>
        </w:rPr>
        <w:t xml:space="preserve">, el oferente deberá acreditar una antigüedad igual o mayor a un año. Para los casos de constitución inferior a un año </w:t>
      </w:r>
      <w:r w:rsidRPr="002837AB">
        <w:rPr>
          <w:rFonts w:ascii="Verdana" w:hAnsi="Verdana" w:cs="Arial"/>
          <w:i/>
          <w:iCs/>
          <w:color w:val="000000" w:themeColor="text1"/>
          <w:lang w:val="es-ES"/>
        </w:rPr>
        <w:t>se tendrá en cuenta a aquellos trabajadores</w:t>
      </w:r>
      <w:r w:rsidRPr="002837AB">
        <w:rPr>
          <w:rFonts w:ascii="Verdana" w:hAnsi="Verdana" w:cs="Arial"/>
          <w:color w:val="000000" w:themeColor="text1"/>
          <w:lang w:val="es-ES"/>
        </w:rPr>
        <w:t xml:space="preserve"> que hayan estado vinculados desde el momento de constitución de </w:t>
      </w:r>
      <w:proofErr w:type="gramStart"/>
      <w:r w:rsidRPr="002837AB">
        <w:rPr>
          <w:rFonts w:ascii="Verdana" w:hAnsi="Verdana" w:cs="Arial"/>
          <w:color w:val="000000" w:themeColor="text1"/>
          <w:lang w:val="es-ES"/>
        </w:rPr>
        <w:t>la misma</w:t>
      </w:r>
      <w:proofErr w:type="gramEnd"/>
      <w:r w:rsidRPr="002837AB">
        <w:rPr>
          <w:rFonts w:ascii="Verdana" w:hAnsi="Verdana" w:cs="Arial"/>
          <w:color w:val="000000" w:themeColor="text1"/>
          <w:lang w:val="es-ES"/>
        </w:rPr>
        <w:t xml:space="preserve">” (Énfasis fuera de texto). Como se observa, la norma se refiere a la vinculación de trabajadores, lo cual excluye la posibilidad de acreditar el factor de desempate mediante contratistas de prestación de servicios.  </w:t>
      </w:r>
    </w:p>
    <w:p w:rsidRPr="002837AB" w:rsidR="000C7F61" w:rsidP="000C7F61" w:rsidRDefault="000C7F61" w14:paraId="6984AD08" w14:textId="77777777">
      <w:pPr>
        <w:tabs>
          <w:tab w:val="left" w:pos="6551"/>
        </w:tabs>
        <w:spacing w:after="120" w:line="276" w:lineRule="auto"/>
        <w:ind w:firstLine="709"/>
        <w:jc w:val="both"/>
        <w:rPr>
          <w:rFonts w:ascii="Verdana" w:hAnsi="Verdana" w:cs="Arial"/>
          <w:color w:val="000000" w:themeColor="text1"/>
          <w:lang w:val="es-ES_tradnl"/>
        </w:rPr>
      </w:pPr>
      <w:r w:rsidRPr="002837AB">
        <w:rPr>
          <w:rFonts w:ascii="Verdana" w:hAnsi="Verdana" w:cs="Arial"/>
          <w:color w:val="000000" w:themeColor="text1"/>
          <w:lang w:val="es-ES_tradnl"/>
        </w:rPr>
        <w:t xml:space="preserve">Por otra parte, el parágrafo segundo del artículo 35 de la Ley 2069 de 2020 no efectúa distinción alguna acerca de la modalidad de vinculación laboral. Solo exige que el capital humano esté vinculado laboralmente al oferente con una antigüedad igual o mayor a un año, salvo que la constitución del oferente sea inferior a un año, pues en este caso los trabajadores deben estar vinculados desde dicha constitución. </w:t>
      </w:r>
    </w:p>
    <w:p w:rsidRPr="002837AB" w:rsidR="000C7F61" w:rsidP="000C7F61" w:rsidRDefault="000C7F61" w14:paraId="21EF0092" w14:textId="77777777">
      <w:pPr>
        <w:spacing w:after="120" w:line="276" w:lineRule="auto"/>
        <w:ind w:firstLine="709"/>
        <w:jc w:val="both"/>
        <w:rPr>
          <w:rFonts w:ascii="Verdana" w:hAnsi="Verdana" w:cs="Arial"/>
          <w:lang w:val="es-ES_tradnl"/>
        </w:rPr>
      </w:pPr>
      <w:r w:rsidRPr="002837AB">
        <w:rPr>
          <w:rFonts w:ascii="Verdana" w:hAnsi="Verdana" w:cs="Arial"/>
          <w:color w:val="000000" w:themeColor="text1"/>
          <w:lang w:val="es-ES_tradnl"/>
        </w:rPr>
        <w:t xml:space="preserve">Además, como se señaló en el concepto C-390 de 2021, </w:t>
      </w:r>
      <w:r w:rsidRPr="002837AB">
        <w:rPr>
          <w:rFonts w:ascii="Verdana" w:hAnsi="Verdana" w:cs="Arial"/>
          <w:lang w:val="es-ES_tradnl"/>
        </w:rPr>
        <w:t>es necesario tener en cuenta que 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en el artículo 29 ibidem, también prescribe que “Las palabras técnicas de toda ciencia o arte se tomarán en el sentido que les den los que profesan la misma ciencia o arte; a menos que aparezca claramente que se han formado en sentido diverso”.</w:t>
      </w:r>
    </w:p>
    <w:p w:rsidRPr="002837AB" w:rsidR="000C7F61" w:rsidP="000C7F61" w:rsidRDefault="000C7F61" w14:paraId="68F5B3C2" w14:textId="77777777">
      <w:pPr>
        <w:spacing w:after="120" w:line="276" w:lineRule="auto"/>
        <w:ind w:firstLine="709"/>
        <w:jc w:val="both"/>
        <w:rPr>
          <w:rFonts w:ascii="Verdana" w:hAnsi="Verdana" w:cs="Arial"/>
          <w:lang w:val="es-ES_tradnl"/>
        </w:rPr>
      </w:pPr>
      <w:r w:rsidRPr="002837AB">
        <w:rPr>
          <w:rFonts w:ascii="Verdana" w:hAnsi="Verdana" w:cs="Arial"/>
          <w:lang w:val="es-ES_tradnl"/>
        </w:rPr>
        <w:t>Conforme a la definición del Diccionario de la RAE, la palabra “proporción” es la “Igualdad de dos razones”. Esta expresión tiene una definición propia en el campo de las matemáticas, pues alude a una relación o razón constante entre diferentes magnitudes que se vayan a medir. Por esta razón, la “[…] mayor proporción de personas mayores que no sean beneficiarios de la pensión de vejez, familiar o de sobrevivencia y que hayan cumplido el requisito de edad de pensión establecido en la Ley” no corresponde a un valor absoluto, sino relativo.</w:t>
      </w:r>
    </w:p>
    <w:p w:rsidRPr="002837AB" w:rsidR="000C7F61" w:rsidP="000C7F61" w:rsidRDefault="000C7F61" w14:paraId="34FE07B2" w14:textId="77777777">
      <w:pPr>
        <w:spacing w:after="0" w:line="276" w:lineRule="auto"/>
        <w:ind w:firstLine="709"/>
        <w:jc w:val="both"/>
        <w:rPr>
          <w:rFonts w:ascii="Verdana" w:hAnsi="Verdana" w:cs="Arial"/>
          <w:lang w:val="es-ES_tradnl"/>
        </w:rPr>
      </w:pPr>
      <w:r w:rsidRPr="002837AB">
        <w:rPr>
          <w:rFonts w:ascii="Verdana" w:hAnsi="Verdana" w:cs="Arial"/>
          <w:lang w:val="es-ES_tradnl"/>
        </w:rPr>
        <w:t xml:space="preserve">El factor de desempate del artículo 35.4 de la Ley 2069 de 2020 </w:t>
      </w:r>
      <w:r w:rsidRPr="002837AB">
        <w:rPr>
          <w:rFonts w:ascii="Verdana" w:hAnsi="Verdana" w:cs="Arial"/>
          <w:i/>
          <w:iCs/>
          <w:lang w:val="es-ES_tradnl"/>
        </w:rPr>
        <w:t>no</w:t>
      </w:r>
      <w:r w:rsidRPr="002837AB">
        <w:rPr>
          <w:rFonts w:ascii="Verdana" w:hAnsi="Verdana" w:cs="Arial"/>
          <w:lang w:val="es-ES_tradnl"/>
        </w:rPr>
        <w:t xml:space="preserve"> se refiere a la vinculación en </w:t>
      </w:r>
      <w:r w:rsidRPr="002837AB">
        <w:rPr>
          <w:rFonts w:ascii="Verdana" w:hAnsi="Verdana" w:cs="Arial"/>
          <w:i/>
          <w:iCs/>
          <w:lang w:val="es-ES_tradnl"/>
        </w:rPr>
        <w:t>mayor cantidad</w:t>
      </w:r>
      <w:r w:rsidRPr="002837AB">
        <w:rPr>
          <w:rFonts w:ascii="Verdana" w:hAnsi="Verdana" w:cs="Arial"/>
          <w:lang w:val="es-ES_tradnl"/>
        </w:rPr>
        <w:t xml:space="preserve"> de personas mayores. En este caso, bastaría comparar el número de personas vinculadas entre cada uno de los proponentes empatados, adjudicando el contrato a aquel que más tenga. Sin embargo, esta interpretación no es posible en la medida que la norma se refiere a la </w:t>
      </w:r>
      <w:bookmarkStart w:name="_Hlk72758821" w:id="9"/>
      <w:r w:rsidRPr="002837AB">
        <w:rPr>
          <w:rFonts w:ascii="Verdana" w:hAnsi="Verdana" w:cs="Arial"/>
          <w:lang w:val="es-ES_tradnl"/>
        </w:rPr>
        <w:t>“vinculación en mayor proporción”</w:t>
      </w:r>
      <w:bookmarkEnd w:id="9"/>
      <w:r w:rsidRPr="002837AB">
        <w:rPr>
          <w:rFonts w:ascii="Verdana" w:hAnsi="Verdana" w:cs="Arial"/>
          <w:lang w:val="es-ES_tradnl"/>
        </w:rPr>
        <w:t xml:space="preserve">, es decir el número de personas vinculadas en relación con la planta de personal de los oferentes. </w:t>
      </w:r>
      <w:r w:rsidRPr="002837AB">
        <w:rPr>
          <w:rFonts w:ascii="Verdana" w:hAnsi="Verdana" w:eastAsia="Calibri" w:cs="Arial"/>
          <w:bCs/>
          <w:color w:val="000000" w:themeColor="text1"/>
          <w:lang w:val="es-ES_tradnl"/>
        </w:rPr>
        <w:t xml:space="preserve">Lo expuesto se ratifica en el artículo 3 del Decreto reglamentario 1860 de 2021, que adicionó el artículo </w:t>
      </w:r>
      <w:r w:rsidRPr="002837AB">
        <w:rPr>
          <w:rFonts w:ascii="Verdana" w:hAnsi="Verdana" w:eastAsia="Calibri" w:cs="Arial"/>
          <w:color w:val="000000" w:themeColor="text1"/>
          <w:lang w:val="es-ES_tradnl"/>
        </w:rPr>
        <w:t xml:space="preserve">2.2.1.2.4.2.17 al Decreto 1082 de 2015, cuyo numeral 4 desarrolla el factor de desempate que se está analizando: </w:t>
      </w:r>
    </w:p>
    <w:p w:rsidRPr="002837AB" w:rsidR="000C7F61" w:rsidP="000C7F61" w:rsidRDefault="000C7F61" w14:paraId="107A18ED" w14:textId="77777777">
      <w:pPr>
        <w:tabs>
          <w:tab w:val="left" w:pos="0"/>
        </w:tabs>
        <w:spacing w:after="0" w:line="276" w:lineRule="auto"/>
        <w:ind w:firstLine="709"/>
        <w:jc w:val="both"/>
        <w:rPr>
          <w:rFonts w:ascii="Verdana" w:hAnsi="Verdana" w:eastAsia="Calibri" w:cs="Arial"/>
          <w:bCs/>
          <w:lang w:val="es-ES_tradnl"/>
        </w:rPr>
      </w:pPr>
    </w:p>
    <w:p w:rsidRPr="00D50A6C" w:rsidR="000C7F61" w:rsidP="000C7F61" w:rsidRDefault="000C7F61" w14:paraId="371AE6BC" w14:textId="77777777">
      <w:pPr>
        <w:pStyle w:val="NormalWeb"/>
        <w:shd w:val="clear" w:color="auto" w:fill="FFFFFF"/>
        <w:spacing w:before="0" w:beforeAutospacing="0" w:after="120" w:afterAutospacing="0"/>
        <w:ind w:left="709" w:right="709"/>
        <w:jc w:val="both"/>
        <w:rPr>
          <w:rFonts w:ascii="Verdana" w:hAnsi="Verdana" w:cs="Arial"/>
          <w:sz w:val="20"/>
          <w:szCs w:val="20"/>
        </w:rPr>
      </w:pPr>
      <w:r w:rsidRPr="00D50A6C">
        <w:rPr>
          <w:rFonts w:ascii="Verdana" w:hAnsi="Verdana" w:cs="Arial"/>
          <w:sz w:val="20"/>
          <w:szCs w:val="20"/>
        </w:rPr>
        <w:t xml:space="preserve">“4. Preferir la propuesta presentada por el oferente que acredite la vinculación en mayor proporción de personas mayores que no sean beneficiarias de la pensión de vejez, familiar o de sobrevivencia y que hayan cumplido el requisito de edad de pensión establecido en la ley, para </w:t>
      </w:r>
      <w:r w:rsidRPr="00D50A6C">
        <w:rPr>
          <w:rFonts w:ascii="Verdana" w:hAnsi="Verdana" w:cs="Arial"/>
          <w:sz w:val="20"/>
          <w:szCs w:val="20"/>
        </w:rPr>
        <w:t>ello, la persona natural, el representante legal de la persona jurídica o el revisor fiscal, según corresponda, entregará un certificado, en el que se acredite, bajo la gravedad de juramento, las personas vinculadas en su nómina y el número de trabajadores que no son beneficiarios de la pensión de vejez, familiar o de sobrevivencia y que cumplieron el requisito de edad de pensión. Solo se tendrá en cuenta la vinculación de aquellas personas que se encuentren en las condiciones descritas y que hayan estado vinculadas con una anterioridad igual o mayor a un (1) año contado a partir de la fecha del cierre del proceso. Para los casos de constitución inferior a un (1) año, se tendrá en cuenta a aquellos que hayan estado vinculados desde el momento de la constitución de la persona jurídica.</w:t>
      </w:r>
    </w:p>
    <w:p w:rsidRPr="00D50A6C" w:rsidR="000C7F61" w:rsidP="000C7F61" w:rsidRDefault="000C7F61" w14:paraId="1E127B56" w14:textId="77777777">
      <w:pPr>
        <w:pStyle w:val="NormalWeb"/>
        <w:shd w:val="clear" w:color="auto" w:fill="FFFFFF"/>
        <w:spacing w:before="0" w:beforeAutospacing="0" w:after="120" w:afterAutospacing="0"/>
        <w:ind w:left="709" w:right="709"/>
        <w:jc w:val="both"/>
        <w:rPr>
          <w:rFonts w:ascii="Verdana" w:hAnsi="Verdana" w:cs="Arial"/>
          <w:sz w:val="20"/>
          <w:szCs w:val="20"/>
        </w:rPr>
      </w:pPr>
      <w:r w:rsidRPr="00D50A6C">
        <w:rPr>
          <w:rFonts w:ascii="Verdana" w:hAnsi="Verdana" w:cs="Arial"/>
          <w:sz w:val="20"/>
          <w:szCs w:val="20"/>
        </w:rPr>
        <w:t>El tiempo de vinculación en la planta referida, de que trata el inciso anterior, se acreditará con el certificado de aportes a seguridad social del último año o del tiempo de constitución de la persona jurídica, cuando su conformación es inferior a un (1) año, en el que se demuestren los pagos realizados por el empleador.</w:t>
      </w:r>
    </w:p>
    <w:p w:rsidRPr="00D50A6C" w:rsidR="000C7F61" w:rsidP="000C7F61" w:rsidRDefault="000C7F61" w14:paraId="46125F32" w14:textId="77777777">
      <w:pPr>
        <w:pStyle w:val="NormalWeb"/>
        <w:shd w:val="clear" w:color="auto" w:fill="FFFFFF"/>
        <w:spacing w:before="0" w:beforeAutospacing="0" w:after="120" w:afterAutospacing="0"/>
        <w:ind w:left="709" w:right="709"/>
        <w:jc w:val="both"/>
        <w:rPr>
          <w:rFonts w:ascii="Verdana" w:hAnsi="Verdana" w:cs="Arial"/>
          <w:sz w:val="20"/>
          <w:szCs w:val="20"/>
        </w:rPr>
      </w:pPr>
      <w:r w:rsidRPr="00D50A6C">
        <w:rPr>
          <w:rFonts w:ascii="Verdana" w:hAnsi="Verdana" w:cs="Arial"/>
          <w:sz w:val="20"/>
          <w:szCs w:val="20"/>
        </w:rPr>
        <w:t>En el caso de los proponentes plurales, su representante legal acreditará el número de trabajadores vinculados que son personas mayores no beneficiarias de la pensión de vejez, familiar o de sobrevivencia, y que cumplieron el requisito de edad de pensión establecido en la ley, de todos los integrantes del proponente. Las personas enunciadas anteriormente podrán estar vinculadas a cualquiera de sus integrantes.</w:t>
      </w:r>
    </w:p>
    <w:p w:rsidRPr="00D50A6C" w:rsidR="000C7F61" w:rsidP="000C7F61" w:rsidRDefault="000C7F61" w14:paraId="49DAC98B" w14:textId="77777777">
      <w:pPr>
        <w:pStyle w:val="NormalWeb"/>
        <w:shd w:val="clear" w:color="auto" w:fill="FFFFFF"/>
        <w:spacing w:before="0" w:beforeAutospacing="0" w:after="120" w:afterAutospacing="0"/>
        <w:ind w:left="709" w:right="709"/>
        <w:jc w:val="both"/>
        <w:rPr>
          <w:rFonts w:ascii="Verdana" w:hAnsi="Verdana" w:cs="Arial"/>
          <w:sz w:val="20"/>
          <w:szCs w:val="20"/>
        </w:rPr>
      </w:pPr>
      <w:r w:rsidRPr="00D50A6C">
        <w:rPr>
          <w:rFonts w:ascii="Verdana" w:hAnsi="Verdana" w:cs="Arial"/>
          <w:sz w:val="20"/>
          <w:szCs w:val="20"/>
        </w:rPr>
        <w:t>En cualquiera de los dos supuestos anteriores, para el otorgamiento del criterio de desempate, cada uno de los trabajadores que cumpla las condiciones previstas por la ley, allegará un certificado, mediante el cual acredita, bajo la gravedad de juramento, que no es beneficiario de pensión de vejez, familiar o sobrevivencia, y cumple la edad de pensión; además, se deberá allegar el documento de identificación del trabajador que lo firma.</w:t>
      </w:r>
    </w:p>
    <w:p w:rsidRPr="00D50A6C" w:rsidR="000C7F61" w:rsidP="000C7F61" w:rsidRDefault="000C7F61" w14:paraId="6972C52A" w14:textId="77777777">
      <w:pPr>
        <w:shd w:val="clear" w:color="auto" w:fill="FFFFFF"/>
        <w:spacing w:after="0" w:line="240" w:lineRule="auto"/>
        <w:ind w:left="709" w:right="709"/>
        <w:jc w:val="both"/>
        <w:rPr>
          <w:rFonts w:ascii="Verdana" w:hAnsi="Verdana" w:eastAsia="Calibri" w:cs="Arial"/>
          <w:sz w:val="20"/>
          <w:szCs w:val="20"/>
          <w:lang w:val="es-ES_tradnl"/>
        </w:rPr>
      </w:pPr>
      <w:r w:rsidRPr="00D50A6C">
        <w:rPr>
          <w:rFonts w:ascii="Verdana" w:hAnsi="Verdana" w:cs="Arial"/>
          <w:i/>
          <w:iCs/>
          <w:sz w:val="20"/>
          <w:szCs w:val="20"/>
        </w:rPr>
        <w:t xml:space="preserve">La mayor proporción </w:t>
      </w:r>
      <w:bookmarkStart w:name="_Hlk102656704" w:id="10"/>
      <w:r w:rsidRPr="00D50A6C">
        <w:rPr>
          <w:rFonts w:ascii="Verdana" w:hAnsi="Verdana" w:cs="Arial"/>
          <w:i/>
          <w:iCs/>
          <w:sz w:val="20"/>
          <w:szCs w:val="20"/>
        </w:rPr>
        <w:t>se definirá en relación con el número total de trabajadores vinculados en la planta de personal, por lo que se preferirá al oferente que acredite un porcentaje mayor</w:t>
      </w:r>
      <w:bookmarkEnd w:id="10"/>
      <w:r w:rsidRPr="00D50A6C">
        <w:rPr>
          <w:rFonts w:ascii="Verdana" w:hAnsi="Verdana" w:cs="Arial"/>
          <w:i/>
          <w:iCs/>
          <w:sz w:val="20"/>
          <w:szCs w:val="20"/>
        </w:rPr>
        <w:t>. En el caso de proponentes plurales, la mayor proporción se definirá con la sumatoria de trabajadores vinculados en la planta de personal de cada uno de sus integrantes</w:t>
      </w:r>
      <w:r w:rsidRPr="00D50A6C">
        <w:rPr>
          <w:rFonts w:ascii="Verdana" w:hAnsi="Verdana" w:cs="Arial"/>
          <w:sz w:val="20"/>
          <w:szCs w:val="20"/>
        </w:rPr>
        <w:t>”.</w:t>
      </w:r>
      <w:r w:rsidRPr="00D50A6C">
        <w:rPr>
          <w:rFonts w:ascii="Verdana" w:hAnsi="Verdana" w:eastAsia="Calibri" w:cs="Arial"/>
          <w:sz w:val="20"/>
          <w:szCs w:val="20"/>
          <w:lang w:val="es-ES_tradnl"/>
        </w:rPr>
        <w:t xml:space="preserve"> (Énfasis fuera de texto)</w:t>
      </w:r>
    </w:p>
    <w:p w:rsidRPr="002837AB" w:rsidR="000C7F61" w:rsidP="000C7F61" w:rsidRDefault="000C7F61" w14:paraId="7302DD22" w14:textId="77777777">
      <w:pPr>
        <w:tabs>
          <w:tab w:val="left" w:pos="0"/>
        </w:tabs>
        <w:spacing w:after="0" w:line="276" w:lineRule="auto"/>
        <w:ind w:firstLine="709"/>
        <w:jc w:val="both"/>
        <w:rPr>
          <w:rFonts w:ascii="Verdana" w:hAnsi="Verdana" w:eastAsia="Calibri" w:cs="Arial"/>
          <w:bCs/>
          <w:lang w:val="es-ES_tradnl"/>
        </w:rPr>
      </w:pPr>
    </w:p>
    <w:p w:rsidRPr="002837AB" w:rsidR="000C7F61" w:rsidP="000C7F61" w:rsidRDefault="000C7F61" w14:paraId="4FEA4B60" w14:textId="77777777">
      <w:pPr>
        <w:spacing w:after="120" w:line="276" w:lineRule="auto"/>
        <w:ind w:firstLine="709"/>
        <w:jc w:val="both"/>
        <w:rPr>
          <w:rFonts w:ascii="Verdana" w:hAnsi="Verdana" w:eastAsia="Calibri" w:cs="Arial"/>
          <w:lang w:val="es-ES"/>
        </w:rPr>
      </w:pPr>
      <w:r w:rsidRPr="002837AB">
        <w:rPr>
          <w:rFonts w:ascii="Verdana" w:hAnsi="Verdana" w:eastAsia="Calibri" w:cs="Arial"/>
          <w:lang w:val="es-ES"/>
        </w:rPr>
        <w:t xml:space="preserve">Como se observa, tampoco se refiere a los </w:t>
      </w:r>
      <w:proofErr w:type="spellStart"/>
      <w:r w:rsidRPr="002837AB">
        <w:rPr>
          <w:rFonts w:ascii="Verdana" w:hAnsi="Verdana" w:eastAsia="Calibri" w:cs="Arial"/>
          <w:lang w:val="es-ES"/>
        </w:rPr>
        <w:t>prepensionados</w:t>
      </w:r>
      <w:proofErr w:type="spellEnd"/>
      <w:r w:rsidRPr="002837AB">
        <w:rPr>
          <w:rFonts w:ascii="Verdana" w:hAnsi="Verdana" w:eastAsia="Calibri" w:cs="Arial"/>
          <w:lang w:val="es-ES"/>
        </w:rPr>
        <w:t xml:space="preserve"> como sujetos del criterio de desempate. De conformidad con lo anterior, la reglamentación actual, expresamente, señala que se preferirá la propuesta del oferente que acredite la vinculación en mayor proporción de personas mayores que no sean beneficiarias de la pensión de vejez, familiar o de sobrevivencia y que hayan cumplido el requisito de edad de pensión establecido en la ley, para lo cual </w:t>
      </w:r>
      <w:r w:rsidRPr="002837AB">
        <w:rPr>
          <w:rFonts w:ascii="Verdana" w:hAnsi="Verdana" w:eastAsia="Calibri" w:cs="Arial"/>
          <w:lang w:val="es-ES"/>
        </w:rPr>
        <w:t xml:space="preserve">deberán presentar los siguientes documentos: i) un certificado mediante el cual, el representante legal de la persona jurídica o el revisor fiscal, acredite bajo gravedad de juramento las personas vinculadas a la nómina y el número de trabajadores que no son beneficiarios de la pensión de vejez, familiar o de sobrevivencia, </w:t>
      </w:r>
      <w:proofErr w:type="spellStart"/>
      <w:r w:rsidRPr="002837AB">
        <w:rPr>
          <w:rFonts w:ascii="Verdana" w:hAnsi="Verdana" w:eastAsia="Calibri" w:cs="Arial"/>
          <w:lang w:val="es-ES"/>
        </w:rPr>
        <w:t>ii</w:t>
      </w:r>
      <w:proofErr w:type="spellEnd"/>
      <w:r w:rsidRPr="002837AB">
        <w:rPr>
          <w:rFonts w:ascii="Verdana" w:hAnsi="Verdana" w:eastAsia="Calibri" w:cs="Arial"/>
          <w:lang w:val="es-ES"/>
        </w:rPr>
        <w:t xml:space="preserve">) un certificado mediante el cual, cada uno de los trabajadores sujetos a la condición prevista en el numeral, acredite bajo gravedad de juramento que no es beneficiario de pensión de vejez, familiar o sobrevivencia, y que cumple la edad de pensión; y </w:t>
      </w:r>
      <w:proofErr w:type="spellStart"/>
      <w:r w:rsidRPr="002837AB">
        <w:rPr>
          <w:rFonts w:ascii="Verdana" w:hAnsi="Verdana" w:eastAsia="Calibri" w:cs="Arial"/>
          <w:lang w:val="es-ES"/>
        </w:rPr>
        <w:t>iii</w:t>
      </w:r>
      <w:proofErr w:type="spellEnd"/>
      <w:r w:rsidRPr="002837AB">
        <w:rPr>
          <w:rFonts w:ascii="Verdana" w:hAnsi="Verdana" w:eastAsia="Calibri" w:cs="Arial"/>
          <w:lang w:val="es-ES"/>
        </w:rPr>
        <w:t>) además, el documento de identificación del trabajador que lo firma.</w:t>
      </w:r>
    </w:p>
    <w:p w:rsidRPr="002837AB" w:rsidR="000C7F61" w:rsidP="000C7F61" w:rsidRDefault="000C7F61" w14:paraId="6A5A7C9C" w14:textId="77777777">
      <w:pPr>
        <w:tabs>
          <w:tab w:val="left" w:pos="0"/>
        </w:tabs>
        <w:spacing w:after="120" w:line="276" w:lineRule="auto"/>
        <w:ind w:firstLine="709"/>
        <w:jc w:val="both"/>
        <w:rPr>
          <w:rFonts w:ascii="Verdana" w:hAnsi="Verdana" w:eastAsia="Calibri" w:cs="Arial"/>
          <w:lang w:val="es-ES"/>
        </w:rPr>
      </w:pPr>
      <w:r w:rsidRPr="1F9DC3DB">
        <w:rPr>
          <w:rFonts w:ascii="Verdana" w:hAnsi="Verdana" w:eastAsia="Calibri" w:cs="Arial"/>
          <w:lang w:val="es-ES"/>
        </w:rPr>
        <w:t xml:space="preserve">Según la norma citada, se estipula que la vinculación de estas personas se tendrá en cuenta si han estado vinculadas con anterioridad a un año desde la fecha de cierre del proceso y que para el caso de las personas jurídicas nuevas o con constitución inferior a un año, se tendrá en cuenta que hayan estado vinculadas desde el momento de constitución de la persona jurídica. De otro lado, para el caso de los proponentes plurales, se establece que las personas referenciadas podrán estar vinculadas a cualquiera de los integrantes de la estructura plural. </w:t>
      </w:r>
    </w:p>
    <w:p w:rsidRPr="00305EE0" w:rsidR="000C7F61" w:rsidP="000C7F61" w:rsidRDefault="000C7F61" w14:paraId="2C6B6B9A" w14:textId="77777777">
      <w:pPr>
        <w:widowControl w:val="0"/>
        <w:autoSpaceDE w:val="0"/>
        <w:autoSpaceDN w:val="0"/>
        <w:spacing w:after="120" w:line="276" w:lineRule="auto"/>
        <w:ind w:firstLine="709"/>
        <w:jc w:val="both"/>
        <w:rPr>
          <w:rFonts w:ascii="Verdana" w:hAnsi="Verdana" w:eastAsia="Calibri" w:cs="Arial"/>
          <w:color w:val="000000" w:themeColor="text1"/>
        </w:rPr>
      </w:pPr>
      <w:r>
        <w:rPr>
          <w:rFonts w:ascii="Verdana" w:hAnsi="Verdana" w:eastAsia="Calibri" w:cs="Arial"/>
          <w:color w:val="000000" w:themeColor="text1"/>
        </w:rPr>
        <w:t xml:space="preserve">Finalmente, se precisa que esta Agencia </w:t>
      </w:r>
      <w:r w:rsidRPr="00554A4D">
        <w:rPr>
          <w:rFonts w:ascii="Verdana" w:hAnsi="Verdana" w:eastAsia="Calibri" w:cs="Arial"/>
          <w:color w:val="000000" w:themeColor="text1"/>
        </w:rPr>
        <w:t>no puede definir un</w:t>
      </w:r>
      <w:r w:rsidRPr="00554A4D">
        <w:t xml:space="preserve"> </w:t>
      </w:r>
      <w:r w:rsidRPr="00554A4D">
        <w:rPr>
          <w:rFonts w:ascii="Verdana" w:hAnsi="Verdana" w:eastAsia="Calibri" w:cs="Arial"/>
          <w:color w:val="000000" w:themeColor="text1"/>
        </w:rPr>
        <w:t xml:space="preserve">criterio universal y absoluto por vía consultiva,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la solución de estos temas corresponde a la entidad de adoptar la decisión correspondiente y, en caso de conflicto, a las autoridades judiciales, fiscales y disciplinarias. De esta manera, corresponderá a cada contratante definir la viabilidad técnica, jurídica y financiera de </w:t>
      </w:r>
      <w:r>
        <w:rPr>
          <w:rFonts w:ascii="Verdana" w:hAnsi="Verdana" w:eastAsia="Calibri" w:cs="Arial"/>
          <w:color w:val="000000" w:themeColor="text1"/>
        </w:rPr>
        <w:t xml:space="preserve">establecer un proceso de contratación por lotes, así como determinar la forma en la que estos grupos se estructuran atendiendo a las normas que regulan el sector objeto del contrato. </w:t>
      </w:r>
    </w:p>
    <w:bookmarkEnd w:id="4"/>
    <w:bookmarkEnd w:id="5"/>
    <w:p w:rsidRPr="001F283D" w:rsidR="000C7F61" w:rsidP="000C7F61" w:rsidRDefault="000C7F61" w14:paraId="300BC13F" w14:textId="77777777">
      <w:pPr>
        <w:tabs>
          <w:tab w:val="left" w:pos="142"/>
          <w:tab w:val="left" w:pos="284"/>
        </w:tabs>
        <w:spacing w:after="0" w:line="276" w:lineRule="auto"/>
        <w:rPr>
          <w:rFonts w:ascii="Verdana" w:hAnsi="Verdana" w:eastAsia="Century Gothic" w:cs="Century Gothic"/>
          <w:b/>
          <w:bCs/>
        </w:rPr>
      </w:pPr>
      <w:r>
        <w:rPr>
          <w:rFonts w:ascii="Verdana" w:hAnsi="Verdana" w:eastAsia="Century Gothic" w:cs="Century Gothic"/>
          <w:b/>
          <w:bCs/>
        </w:rPr>
        <w:t xml:space="preserve">4. </w:t>
      </w:r>
      <w:r w:rsidRPr="001F283D">
        <w:rPr>
          <w:rFonts w:ascii="Verdana" w:hAnsi="Verdana" w:eastAsia="Century Gothic" w:cs="Century Gothic"/>
          <w:b/>
          <w:bCs/>
        </w:rPr>
        <w:t>Referencias normativas:</w:t>
      </w:r>
    </w:p>
    <w:bookmarkEnd w:id="6"/>
    <w:p w:rsidRPr="00593A5F" w:rsidR="000C7F61" w:rsidP="000C7F61" w:rsidRDefault="000C7F61" w14:paraId="4E01609B" w14:textId="7777777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2407CE" w:rsidR="000C7F61" w:rsidTr="00285FA3" w14:paraId="5D2BFABC" w14:textId="77777777">
        <w:trPr>
          <w:trHeight w:val="870"/>
          <w:jc w:val="center"/>
        </w:trPr>
        <w:tc>
          <w:tcPr>
            <w:tcW w:w="8647" w:type="dxa"/>
          </w:tcPr>
          <w:p w:rsidRPr="00E4641D" w:rsidR="000C7F61" w:rsidP="00285FA3" w:rsidRDefault="000C7F61" w14:paraId="25E40888" w14:textId="77777777">
            <w:pPr>
              <w:pStyle w:val="Prrafodelista"/>
              <w:numPr>
                <w:ilvl w:val="0"/>
                <w:numId w:val="3"/>
              </w:numPr>
              <w:spacing w:line="276" w:lineRule="auto"/>
              <w:contextualSpacing w:val="0"/>
              <w:jc w:val="both"/>
              <w:rPr>
                <w:rFonts w:ascii="Verdana" w:hAnsi="Verdana"/>
              </w:rPr>
            </w:pPr>
            <w:r w:rsidRPr="00E4641D">
              <w:rPr>
                <w:rFonts w:ascii="Verdana" w:hAnsi="Verdana" w:eastAsia="Calibri" w:cs="Arial"/>
                <w:lang w:val="es-ES_tradnl"/>
              </w:rPr>
              <w:t xml:space="preserve">Ley 2069 de 2020: Numeral 6 del artículo 35. </w:t>
            </w:r>
          </w:p>
          <w:p w:rsidRPr="00B50D62" w:rsidR="000C7F61" w:rsidP="00285FA3" w:rsidRDefault="000C7F61" w14:paraId="3828044D" w14:textId="77777777">
            <w:pPr>
              <w:pStyle w:val="Prrafodelista"/>
              <w:numPr>
                <w:ilvl w:val="0"/>
                <w:numId w:val="3"/>
              </w:numPr>
              <w:spacing w:line="276" w:lineRule="auto"/>
              <w:jc w:val="both"/>
              <w:rPr>
                <w:rFonts w:ascii="Verdana" w:hAnsi="Verdana" w:cs="Arial"/>
                <w:bCs/>
              </w:rPr>
            </w:pPr>
            <w:r w:rsidRPr="00B50D62">
              <w:rPr>
                <w:rFonts w:ascii="Verdana" w:hAnsi="Verdana" w:cs="Arial"/>
                <w:bCs/>
              </w:rPr>
              <w:t>Ley 1251 de 2008: artículo 3.</w:t>
            </w:r>
          </w:p>
          <w:p w:rsidRPr="00B50D62" w:rsidR="000C7F61" w:rsidP="00285FA3" w:rsidRDefault="000C7F61" w14:paraId="7239CEF8" w14:textId="77777777">
            <w:pPr>
              <w:pStyle w:val="Prrafodelista"/>
              <w:numPr>
                <w:ilvl w:val="0"/>
                <w:numId w:val="3"/>
              </w:numPr>
              <w:spacing w:line="276" w:lineRule="auto"/>
              <w:jc w:val="both"/>
              <w:rPr>
                <w:rFonts w:ascii="Verdana" w:hAnsi="Verdana" w:cs="Arial"/>
                <w:bCs/>
              </w:rPr>
            </w:pPr>
            <w:r w:rsidRPr="00B50D62">
              <w:rPr>
                <w:rFonts w:ascii="Verdana" w:hAnsi="Verdana" w:cs="Arial"/>
                <w:bCs/>
              </w:rPr>
              <w:t>Decreto Ley 4170 de 2011: artículos 3, 11, 12 y 13.</w:t>
            </w:r>
          </w:p>
          <w:p w:rsidRPr="00B50D62" w:rsidR="000C7F61" w:rsidP="00285FA3" w:rsidRDefault="000C7F61" w14:paraId="2EC5E77F" w14:textId="77777777">
            <w:pPr>
              <w:pStyle w:val="Prrafodelista"/>
              <w:numPr>
                <w:ilvl w:val="0"/>
                <w:numId w:val="3"/>
              </w:numPr>
              <w:spacing w:line="276" w:lineRule="auto"/>
              <w:contextualSpacing w:val="0"/>
              <w:jc w:val="both"/>
              <w:rPr>
                <w:rFonts w:ascii="Verdana" w:hAnsi="Verdana" w:cs="Arial"/>
                <w:bCs/>
                <w:lang w:val="es-ES_tradnl"/>
              </w:rPr>
            </w:pPr>
            <w:r w:rsidRPr="00B50D62">
              <w:rPr>
                <w:rFonts w:ascii="Verdana" w:hAnsi="Verdana" w:cs="Arial"/>
                <w:bCs/>
              </w:rPr>
              <w:t>Decreto 1082 de 2015: artículo 2.2.1.2.4.2.17.</w:t>
            </w:r>
          </w:p>
          <w:p w:rsidRPr="00432FDA" w:rsidR="000C7F61" w:rsidP="00285FA3" w:rsidRDefault="000C7F61" w14:paraId="794EC016" w14:textId="77777777">
            <w:pPr>
              <w:pStyle w:val="Prrafodelista"/>
              <w:numPr>
                <w:ilvl w:val="0"/>
                <w:numId w:val="3"/>
              </w:numPr>
              <w:spacing w:line="276" w:lineRule="auto"/>
              <w:contextualSpacing w:val="0"/>
              <w:jc w:val="both"/>
              <w:rPr>
                <w:rFonts w:ascii="Verdana" w:hAnsi="Verdana" w:cs="Arial"/>
                <w:bCs/>
                <w:lang w:val="es-ES_tradnl"/>
              </w:rPr>
            </w:pPr>
            <w:r w:rsidRPr="00B50D62">
              <w:rPr>
                <w:rFonts w:ascii="Verdana" w:hAnsi="Verdana" w:cs="Arial"/>
                <w:bCs/>
              </w:rPr>
              <w:t>Decreto 1860 de 2021: artículos 3 y 8.</w:t>
            </w:r>
            <w:r>
              <w:rPr>
                <w:rFonts w:ascii="Verdana" w:hAnsi="Verdana" w:cs="Arial"/>
                <w:bCs/>
              </w:rPr>
              <w:t xml:space="preserve"> </w:t>
            </w:r>
          </w:p>
        </w:tc>
      </w:tr>
    </w:tbl>
    <w:p w:rsidRPr="00277E26" w:rsidR="000C7F61" w:rsidP="000C7F61" w:rsidRDefault="000C7F61" w14:paraId="7B3EEA1E" w14:textId="77777777">
      <w:pPr>
        <w:widowControl w:val="0"/>
        <w:autoSpaceDE w:val="0"/>
        <w:autoSpaceDN w:val="0"/>
        <w:spacing w:after="0" w:line="276" w:lineRule="auto"/>
        <w:jc w:val="both"/>
        <w:rPr>
          <w:rFonts w:ascii="Verdana" w:hAnsi="Verdana" w:cs="Arial"/>
        </w:rPr>
      </w:pPr>
    </w:p>
    <w:p w:rsidRPr="001F283D" w:rsidR="000C7F61" w:rsidP="000C7F61" w:rsidRDefault="000C7F61" w14:paraId="37A86959" w14:textId="77777777">
      <w:pPr>
        <w:tabs>
          <w:tab w:val="left" w:pos="142"/>
          <w:tab w:val="left" w:pos="284"/>
        </w:tabs>
        <w:spacing w:after="0" w:line="276" w:lineRule="auto"/>
        <w:jc w:val="both"/>
        <w:rPr>
          <w:rFonts w:ascii="Verdana" w:hAnsi="Verdana" w:eastAsia="Century Gothic" w:cs="Century Gothic"/>
          <w:b/>
          <w:bCs/>
        </w:rPr>
      </w:pPr>
      <w:r>
        <w:rPr>
          <w:rFonts w:ascii="Verdana" w:hAnsi="Verdana" w:eastAsia="Century Gothic" w:cs="Century Gothic"/>
          <w:b/>
          <w:bCs/>
        </w:rPr>
        <w:t xml:space="preserve">5. </w:t>
      </w:r>
      <w:r w:rsidRPr="001F283D">
        <w:rPr>
          <w:rFonts w:ascii="Verdana" w:hAnsi="Verdana" w:eastAsia="Century Gothic" w:cs="Century Gothic"/>
          <w:b/>
          <w:bCs/>
        </w:rPr>
        <w:t>Doctrina de la Agencia Nacional de Contratación Pública:</w:t>
      </w:r>
    </w:p>
    <w:p w:rsidR="000C7F61" w:rsidP="000C7F61" w:rsidRDefault="000C7F61" w14:paraId="52DE5D43" w14:textId="77777777">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rsidRPr="00316377" w:rsidR="000C7F61" w:rsidP="000C7F61" w:rsidRDefault="000C7F61" w14:paraId="37ACBCB1" w14:textId="77777777">
      <w:pPr>
        <w:widowControl w:val="0"/>
        <w:autoSpaceDE w:val="0"/>
        <w:autoSpaceDN w:val="0"/>
        <w:spacing w:after="0" w:line="276" w:lineRule="auto"/>
        <w:jc w:val="both"/>
        <w:rPr>
          <w:rStyle w:val="normaltextrun"/>
          <w:rFonts w:ascii="Verdana" w:hAnsi="Verdana" w:cs="Arial"/>
          <w:shd w:val="clear" w:color="auto" w:fill="FFFFFF"/>
        </w:rPr>
      </w:pPr>
      <w:r w:rsidRPr="00316377">
        <w:rPr>
          <w:rFonts w:ascii="Verdana" w:hAnsi="Verdana" w:eastAsia="Calibri" w:cs="Arial"/>
          <w:lang w:val="es-ES_tradnl"/>
        </w:rPr>
        <w:t>La Agencia Nacional de Contratación Pública – Colombia Compra Eficiente se pronunció, en términos generales, sobre los factores de desempate en los procedimientos de contratación estatal, en los conceptos C-285 del 4 de mayo de 2020, C-481 del 27 de julio de 2020, C-514 y C-535 del 26 de agosto de 2020 y C-556 del 31 de agosto de 2020. De igual manera, estudió los factores de desempate del artículo 35 de la Ley 2069 de 2020 en los conceptos: C-026 del 4 de febrero de 2021,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C-199 del 13 de abril de 2022, C-317 del 16 de mayo de 2022, C-541 del 26 de agosto de 2022,C-117 del 02 de agosto de 2024, entre otros</w:t>
      </w:r>
      <w:r w:rsidRPr="00316377">
        <w:rPr>
          <w:rStyle w:val="normaltextrun"/>
          <w:rFonts w:ascii="Verdana" w:hAnsi="Verdana" w:cs="Arial"/>
          <w:shd w:val="clear" w:color="auto" w:fill="FFFFFF"/>
          <w:lang w:val="es-ES"/>
        </w:rPr>
        <w:t>. Es</w:t>
      </w:r>
      <w:r w:rsidRPr="00316377">
        <w:rPr>
          <w:rFonts w:ascii="Verdana" w:hAnsi="Verdana"/>
        </w:rPr>
        <w:t>tos y otros conceptos se encuentran disponibles para consulta en el Sistema de relatoría de la Agencia, al cual se puede acceder a través del siguiente enlace:</w:t>
      </w:r>
      <w:r w:rsidRPr="00316377">
        <w:rPr>
          <w:rStyle w:val="normaltextrun"/>
          <w:rFonts w:ascii="Verdana" w:hAnsi="Verdana" w:cs="Arial"/>
          <w:shd w:val="clear" w:color="auto" w:fill="FFFFFF"/>
          <w:lang w:val="es-ES"/>
        </w:rPr>
        <w:t xml:space="preserve"> </w:t>
      </w:r>
      <w:hyperlink w:history="1" r:id="rId9">
        <w:r w:rsidRPr="00316377">
          <w:rPr>
            <w:rStyle w:val="Hipervnculo"/>
            <w:rFonts w:ascii="Verdana" w:hAnsi="Verdana" w:cs="Arial"/>
            <w:color w:val="auto"/>
            <w:shd w:val="clear" w:color="auto" w:fill="FFFFFF"/>
            <w:lang w:val="es-ES"/>
          </w:rPr>
          <w:t>https://relatoria.colombiacompra.gov.co/busqueda/conceptos</w:t>
        </w:r>
      </w:hyperlink>
    </w:p>
    <w:p w:rsidRPr="00900D7D" w:rsidR="000C7F61" w:rsidP="000C7F61" w:rsidRDefault="000C7F61" w14:paraId="78CF949C" w14:textId="77777777">
      <w:pPr>
        <w:widowControl w:val="0"/>
        <w:autoSpaceDE w:val="0"/>
        <w:autoSpaceDN w:val="0"/>
        <w:spacing w:after="0" w:line="276" w:lineRule="auto"/>
        <w:jc w:val="both"/>
        <w:rPr>
          <w:rFonts w:ascii="Verdana" w:hAnsi="Verdana" w:eastAsia="Calibri" w:cs="Arial"/>
          <w:color w:val="000000" w:themeColor="text1"/>
          <w:lang w:eastAsia="es-ES_tradnl"/>
        </w:rPr>
      </w:pPr>
    </w:p>
    <w:p w:rsidRPr="00237766" w:rsidR="000C7F61" w:rsidP="000C7F61" w:rsidRDefault="000C7F61" w14:paraId="4E851B5C" w14:textId="77777777">
      <w:pPr>
        <w:spacing w:after="0" w:line="276" w:lineRule="auto"/>
        <w:jc w:val="both"/>
        <w:rPr>
          <w:rFonts w:ascii="Verdana" w:hAnsi="Verdana" w:eastAsia="Calibri" w:cs="Times New Roman"/>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rsidRPr="008E4F36" w:rsidR="000C7F61" w:rsidP="000C7F61" w:rsidRDefault="000C7F61" w14:paraId="63776778" w14:textId="77777777">
      <w:pPr>
        <w:pStyle w:val="Prrafodelista"/>
        <w:numPr>
          <w:ilvl w:val="0"/>
          <w:numId w:val="1"/>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rsidRPr="008E4F36" w:rsidR="000C7F61" w:rsidP="000C7F61" w:rsidRDefault="000C7F61" w14:paraId="76C958A2" w14:textId="77777777">
      <w:pPr>
        <w:pStyle w:val="Prrafodelista"/>
        <w:numPr>
          <w:ilvl w:val="0"/>
          <w:numId w:val="1"/>
        </w:numPr>
        <w:spacing w:after="0" w:line="276" w:lineRule="auto"/>
        <w:contextualSpacing w:val="0"/>
        <w:jc w:val="both"/>
        <w:rPr>
          <w:rFonts w:ascii="Verdana" w:hAnsi="Verdana"/>
        </w:rPr>
      </w:pPr>
      <w:r w:rsidRPr="008E4F36">
        <w:rPr>
          <w:rFonts w:ascii="Verdana" w:hAnsi="Verdana"/>
        </w:rPr>
        <w:t>Línea en Bogotá (Mesa de servicio): +57 601 7456788</w:t>
      </w:r>
    </w:p>
    <w:p w:rsidRPr="008E4F36" w:rsidR="000C7F61" w:rsidP="000C7F61" w:rsidRDefault="000C7F61" w14:paraId="255A2A3A" w14:textId="77777777">
      <w:pPr>
        <w:pStyle w:val="Prrafodelista"/>
        <w:numPr>
          <w:ilvl w:val="0"/>
          <w:numId w:val="1"/>
        </w:numPr>
        <w:spacing w:after="0" w:line="276" w:lineRule="auto"/>
        <w:contextualSpacing w:val="0"/>
        <w:jc w:val="both"/>
        <w:rPr>
          <w:rFonts w:ascii="Verdana" w:hAnsi="Verdana"/>
        </w:rPr>
      </w:pPr>
      <w:r w:rsidRPr="008E4F36">
        <w:rPr>
          <w:rFonts w:ascii="Verdana" w:hAnsi="Verdana"/>
        </w:rPr>
        <w:t>Línea de servicio y atención al ciudadano: +57 601 7956600</w:t>
      </w:r>
    </w:p>
    <w:p w:rsidRPr="008E4F36" w:rsidR="000C7F61" w:rsidP="000C7F61" w:rsidRDefault="000C7F61" w14:paraId="0F12B1CA" w14:textId="77777777">
      <w:pPr>
        <w:pStyle w:val="Prrafodelista"/>
        <w:numPr>
          <w:ilvl w:val="0"/>
          <w:numId w:val="1"/>
        </w:numPr>
        <w:spacing w:after="0" w:line="276" w:lineRule="auto"/>
        <w:contextualSpacing w:val="0"/>
        <w:jc w:val="both"/>
        <w:rPr>
          <w:rFonts w:ascii="Verdana" w:hAnsi="Verdana"/>
        </w:rPr>
      </w:pPr>
      <w:r w:rsidRPr="008E4F36">
        <w:rPr>
          <w:rFonts w:ascii="Verdana" w:hAnsi="Verdana"/>
        </w:rPr>
        <w:t xml:space="preserve">Página web: </w:t>
      </w:r>
      <w:hyperlink w:history="1" r:id="rId10">
        <w:r w:rsidRPr="008E4F36">
          <w:rPr>
            <w:rStyle w:val="Hipervnculo"/>
            <w:rFonts w:ascii="Verdana" w:hAnsi="Verdana"/>
          </w:rPr>
          <w:t>www.colombiacompra.gov.co</w:t>
        </w:r>
      </w:hyperlink>
    </w:p>
    <w:p w:rsidRPr="008E4F36" w:rsidR="000C7F61" w:rsidP="000C7F61" w:rsidRDefault="000C7F61" w14:paraId="5B3B4722" w14:textId="77777777">
      <w:pPr>
        <w:spacing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rsidRPr="008E4F36" w:rsidR="000C7F61" w:rsidP="000C7F61" w:rsidRDefault="000C7F61" w14:paraId="0C24B866" w14:textId="77777777">
      <w:pPr>
        <w:spacing w:after="0" w:line="276" w:lineRule="auto"/>
        <w:jc w:val="both"/>
        <w:rPr>
          <w:rFonts w:ascii="Verdana" w:hAnsi="Verdana"/>
        </w:rPr>
      </w:pPr>
    </w:p>
    <w:p w:rsidRPr="008E4F36" w:rsidR="000C7F61" w:rsidP="000C7F61" w:rsidRDefault="000C7F61" w14:paraId="77C2DABF" w14:textId="77777777">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rsidRPr="008E4F36" w:rsidR="000C7F61" w:rsidP="000C7F61" w:rsidRDefault="000C7F61" w14:paraId="094ECC59" w14:textId="77777777">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rsidRPr="008E4F36" w:rsidR="000C7F61" w:rsidP="000C7F61" w:rsidRDefault="000C7F61" w14:paraId="2F0228A8" w14:textId="77777777">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rsidR="000C7F61" w:rsidP="000C7F61" w:rsidRDefault="000C7F61" w14:paraId="00DE82F6" w14:textId="77777777">
      <w:pPr>
        <w:spacing w:after="0" w:line="276" w:lineRule="auto"/>
        <w:jc w:val="both"/>
        <w:rPr>
          <w:rFonts w:ascii="Verdana" w:hAnsi="Verdana"/>
        </w:rPr>
      </w:pPr>
    </w:p>
    <w:p w:rsidRPr="00FB6C33" w:rsidR="000C7F61" w:rsidP="000C7F61" w:rsidRDefault="000C7F61" w14:paraId="7352C73E" w14:textId="77777777">
      <w:pPr>
        <w:spacing w:after="0" w:line="276" w:lineRule="auto"/>
        <w:jc w:val="both"/>
        <w:rPr>
          <w:rFonts w:ascii="Verdana" w:hAnsi="Verdana"/>
        </w:rPr>
      </w:pPr>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rsidRPr="008E4F36" w:rsidR="000C7F61" w:rsidP="000C7F61" w:rsidRDefault="000C7F61" w14:paraId="49B29859" w14:textId="77777777">
      <w:pPr>
        <w:spacing w:after="0" w:line="276" w:lineRule="auto"/>
        <w:jc w:val="both"/>
        <w:rPr>
          <w:rFonts w:ascii="Verdana" w:hAnsi="Verdana" w:eastAsia="Calibri" w:cs="Times New Roman"/>
        </w:rPr>
      </w:pPr>
    </w:p>
    <w:p w:rsidR="000C7F61" w:rsidP="000C7F61" w:rsidRDefault="000C7F61" w14:paraId="638B7941" w14:textId="77777777">
      <w:pPr>
        <w:spacing w:after="0" w:line="276" w:lineRule="auto"/>
        <w:jc w:val="both"/>
        <w:rPr>
          <w:rFonts w:ascii="Verdana" w:hAnsi="Verdana" w:eastAsia="Calibri" w:cs="Times New Roman"/>
        </w:rPr>
      </w:pPr>
      <w:r w:rsidRPr="008E4F36">
        <w:rPr>
          <w:rFonts w:ascii="Verdana" w:hAnsi="Verdana" w:eastAsia="Calibri" w:cs="Times New Roman"/>
        </w:rPr>
        <w:t>Atentamente,</w:t>
      </w:r>
    </w:p>
    <w:p w:rsidR="000C7F61" w:rsidP="000C7F61" w:rsidRDefault="000C7F61" w14:paraId="78B7942B" w14:textId="77777777">
      <w:pPr>
        <w:spacing w:after="0" w:line="256" w:lineRule="auto"/>
        <w:jc w:val="both"/>
        <w:rPr>
          <w:rFonts w:ascii="Verdana" w:hAnsi="Verdana" w:eastAsia="Calibri" w:cs="Times New Roman"/>
        </w:rPr>
      </w:pPr>
    </w:p>
    <w:bookmarkEnd w:id="0"/>
    <w:bookmarkEnd w:id="1"/>
    <w:p w:rsidR="000C7F61" w:rsidP="000C7F61" w:rsidRDefault="00753027" w14:paraId="2F0B54FC" w14:textId="0914C797">
      <w:pPr>
        <w:spacing w:after="0"/>
        <w:rPr>
          <w:rFonts w:ascii="Verdana" w:hAnsi="Verdana"/>
        </w:rPr>
      </w:pPr>
      <w:r>
        <w:rPr>
          <w:rFonts w:ascii="Verdana" w:hAnsi="Verdana"/>
          <w:noProof/>
          <w14:ligatures w14:val="standardContextual"/>
        </w:rPr>
        <w:drawing>
          <wp:anchor distT="0" distB="0" distL="114300" distR="114300" simplePos="0" relativeHeight="251660288" behindDoc="1" locked="0" layoutInCell="1" allowOverlap="1" wp14:anchorId="2DD2B038" wp14:editId="7E190A2E">
            <wp:simplePos x="0" y="0"/>
            <wp:positionH relativeFrom="column">
              <wp:posOffset>1327638</wp:posOffset>
            </wp:positionH>
            <wp:positionV relativeFrom="paragraph">
              <wp:posOffset>184150</wp:posOffset>
            </wp:positionV>
            <wp:extent cx="2947670" cy="1097280"/>
            <wp:effectExtent l="0" t="0" r="5080" b="7620"/>
            <wp:wrapTight wrapText="bothSides">
              <wp:wrapPolygon edited="0">
                <wp:start x="0" y="0"/>
                <wp:lineTo x="0" y="21375"/>
                <wp:lineTo x="21498" y="21375"/>
                <wp:lineTo x="21498" y="0"/>
                <wp:lineTo x="0" y="0"/>
              </wp:wrapPolygon>
            </wp:wrapTight>
            <wp:docPr id="14515603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560380" name="Imagen 1451560380"/>
                    <pic:cNvPicPr/>
                  </pic:nvPicPr>
                  <pic:blipFill>
                    <a:blip r:embed="rId11">
                      <a:extLst>
                        <a:ext uri="{28A0092B-C50C-407E-A947-70E740481C1C}">
                          <a14:useLocalDpi xmlns:a14="http://schemas.microsoft.com/office/drawing/2010/main" val="0"/>
                        </a:ext>
                      </a:extLst>
                    </a:blip>
                    <a:stretch>
                      <a:fillRect/>
                    </a:stretch>
                  </pic:blipFill>
                  <pic:spPr>
                    <a:xfrm>
                      <a:off x="0" y="0"/>
                      <a:ext cx="2947670" cy="1097280"/>
                    </a:xfrm>
                    <a:prstGeom prst="rect">
                      <a:avLst/>
                    </a:prstGeom>
                  </pic:spPr>
                </pic:pic>
              </a:graphicData>
            </a:graphic>
            <wp14:sizeRelH relativeFrom="margin">
              <wp14:pctWidth>0</wp14:pctWidth>
            </wp14:sizeRelH>
            <wp14:sizeRelV relativeFrom="margin">
              <wp14:pctHeight>0</wp14:pctHeight>
            </wp14:sizeRelV>
          </wp:anchor>
        </w:drawing>
      </w:r>
    </w:p>
    <w:p w:rsidR="000C7F61" w:rsidP="000C7F61" w:rsidRDefault="000C7F61" w14:paraId="60C80E94" w14:textId="6CF188AA">
      <w:pPr>
        <w:spacing w:after="0"/>
        <w:rPr>
          <w:rFonts w:ascii="Verdana" w:hAnsi="Verdana"/>
        </w:rPr>
      </w:pP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2423D6" w:rsidR="000C7F61" w:rsidTr="00285FA3" w14:paraId="4F58FBA5" w14:textId="77777777">
        <w:trPr>
          <w:trHeight w:val="315"/>
        </w:trPr>
        <w:tc>
          <w:tcPr>
            <w:tcW w:w="893" w:type="dxa"/>
            <w:vAlign w:val="center"/>
            <w:hideMark/>
          </w:tcPr>
          <w:p w:rsidRPr="002423D6" w:rsidR="000C7F61" w:rsidP="00285FA3" w:rsidRDefault="000C7F61" w14:paraId="75E42518" w14:textId="77777777">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color="7F7F7F" w:themeColor="text1" w:themeTint="80" w:sz="4" w:space="0"/>
              <w:right w:val="nil"/>
            </w:tcBorders>
            <w:vAlign w:val="center"/>
            <w:hideMark/>
          </w:tcPr>
          <w:p w:rsidRPr="002423D6" w:rsidR="000C7F61" w:rsidP="00285FA3" w:rsidRDefault="000C7F61" w14:paraId="4C70080C" w14:textId="77777777">
            <w:pPr>
              <w:contextualSpacing/>
              <w:rPr>
                <w:rFonts w:ascii="Verdana" w:hAnsi="Verdana" w:eastAsia="Arial" w:cs="Arial"/>
                <w:color w:val="000000" w:themeColor="text1"/>
                <w:sz w:val="16"/>
                <w:szCs w:val="16"/>
              </w:rPr>
            </w:pPr>
            <w:r>
              <w:rPr>
                <w:rFonts w:ascii="Verdana" w:hAnsi="Verdana" w:eastAsia="Arial" w:cs="Arial"/>
                <w:color w:val="000000" w:themeColor="text1"/>
                <w:sz w:val="16"/>
                <w:szCs w:val="16"/>
              </w:rPr>
              <w:t xml:space="preserve">Andreina Cerpa Muñoz  </w:t>
            </w:r>
            <w:r w:rsidRPr="002423D6">
              <w:rPr>
                <w:rFonts w:ascii="Verdana" w:hAnsi="Verdana" w:eastAsia="Arial" w:cs="Arial"/>
                <w:color w:val="000000" w:themeColor="text1"/>
                <w:sz w:val="16"/>
                <w:szCs w:val="16"/>
              </w:rPr>
              <w:t xml:space="preserve"> </w:t>
            </w:r>
          </w:p>
          <w:p w:rsidRPr="002423D6" w:rsidR="000C7F61" w:rsidP="00285FA3" w:rsidRDefault="000C7F61" w14:paraId="00F197CB" w14:textId="77777777">
            <w:pPr>
              <w:contextualSpacing/>
              <w:rPr>
                <w:rFonts w:ascii="Verdana" w:hAnsi="Verdana" w:eastAsia="Arial" w:cs="Arial"/>
                <w:color w:val="000000" w:themeColor="text1"/>
                <w:sz w:val="16"/>
                <w:szCs w:val="16"/>
              </w:rPr>
            </w:pPr>
            <w:r w:rsidRPr="002423D6">
              <w:rPr>
                <w:rStyle w:val="normaltextrun"/>
                <w:rFonts w:ascii="Verdana" w:hAnsi="Verdana" w:eastAsia="Arial" w:cs="Arial"/>
                <w:color w:val="000000" w:themeColor="text1"/>
                <w:sz w:val="16"/>
                <w:szCs w:val="16"/>
              </w:rPr>
              <w:t>Analista T2-02 de la Subdirección de Gestión Contractual</w:t>
            </w:r>
          </w:p>
        </w:tc>
      </w:tr>
      <w:tr w:rsidRPr="002423D6" w:rsidR="000C7F61" w:rsidTr="00285FA3" w14:paraId="564ACB84" w14:textId="77777777">
        <w:trPr>
          <w:trHeight w:val="330"/>
        </w:trPr>
        <w:tc>
          <w:tcPr>
            <w:tcW w:w="893" w:type="dxa"/>
            <w:vAlign w:val="center"/>
            <w:hideMark/>
          </w:tcPr>
          <w:p w:rsidRPr="002423D6" w:rsidR="000C7F61" w:rsidP="00285FA3" w:rsidRDefault="000C7F61" w14:paraId="23BACBED" w14:textId="77777777">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2423D6" w:rsidR="000C7F61" w:rsidP="00285FA3" w:rsidRDefault="000C7F61" w14:paraId="502E0004" w14:textId="77777777">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 xml:space="preserve">Adriana Katherine López Rodríguez </w:t>
            </w:r>
          </w:p>
          <w:p w:rsidRPr="002423D6" w:rsidR="000C7F61" w:rsidP="00285FA3" w:rsidRDefault="000C7F61" w14:paraId="0FC366C8" w14:textId="77777777">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Pr="002423D6" w:rsidR="000C7F61" w:rsidTr="00285FA3" w14:paraId="2B3D2010" w14:textId="77777777">
        <w:trPr>
          <w:trHeight w:val="300"/>
        </w:trPr>
        <w:tc>
          <w:tcPr>
            <w:tcW w:w="893" w:type="dxa"/>
            <w:vAlign w:val="center"/>
          </w:tcPr>
          <w:p w:rsidRPr="002423D6" w:rsidR="000C7F61" w:rsidP="00285FA3" w:rsidRDefault="000C7F61" w14:paraId="0E6E5E06" w14:textId="77777777">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2423D6" w:rsidR="000C7F61" w:rsidP="00285FA3" w:rsidRDefault="000C7F61" w14:paraId="3B19C234" w14:textId="77777777">
            <w:pPr>
              <w:contextualSpacing/>
              <w:rPr>
                <w:rFonts w:ascii="Verdana" w:hAnsi="Verdana" w:eastAsia="Calibri" w:cs="Arial"/>
                <w:color w:val="000000" w:themeColor="text1"/>
                <w:sz w:val="16"/>
                <w:szCs w:val="16"/>
                <w:lang w:val="pt-BR" w:eastAsia="es-ES"/>
              </w:rPr>
            </w:pPr>
            <w:r>
              <w:rPr>
                <w:rFonts w:ascii="Verdana" w:hAnsi="Verdana" w:eastAsia="Calibri" w:cs="Arial"/>
                <w:color w:val="000000" w:themeColor="text1"/>
                <w:sz w:val="16"/>
                <w:szCs w:val="16"/>
                <w:lang w:val="pt-BR" w:eastAsia="es-ES"/>
              </w:rPr>
              <w:t xml:space="preserve">William Javier Murcia </w:t>
            </w:r>
            <w:proofErr w:type="spellStart"/>
            <w:r>
              <w:rPr>
                <w:rFonts w:ascii="Verdana" w:hAnsi="Verdana" w:eastAsia="Calibri" w:cs="Arial"/>
                <w:color w:val="000000" w:themeColor="text1"/>
                <w:sz w:val="16"/>
                <w:szCs w:val="16"/>
                <w:lang w:val="pt-BR" w:eastAsia="es-ES"/>
              </w:rPr>
              <w:t>Acevedo</w:t>
            </w:r>
            <w:proofErr w:type="spellEnd"/>
          </w:p>
          <w:p w:rsidRPr="002423D6" w:rsidR="000C7F61" w:rsidP="00285FA3" w:rsidRDefault="000C7F61" w14:paraId="663C1D4E" w14:textId="77777777">
            <w:pPr>
              <w:contextualSpacing/>
              <w:rPr>
                <w:rFonts w:ascii="Verdana" w:hAnsi="Verdana" w:eastAsia="Calibri" w:cs="Arial"/>
                <w:color w:val="000000" w:themeColor="text1"/>
                <w:sz w:val="16"/>
                <w:szCs w:val="16"/>
                <w:lang w:val="pt-BR" w:eastAsia="es-ES"/>
              </w:rPr>
            </w:pPr>
            <w:r w:rsidRPr="002423D6">
              <w:rPr>
                <w:rFonts w:ascii="Verdana" w:hAnsi="Verdana" w:eastAsia="Calibri" w:cs="Arial"/>
                <w:color w:val="000000" w:themeColor="text1"/>
                <w:sz w:val="16"/>
                <w:szCs w:val="16"/>
                <w:lang w:eastAsia="es-ES"/>
              </w:rPr>
              <w:t>Subdirectora</w:t>
            </w:r>
            <w:r w:rsidRPr="002423D6">
              <w:rPr>
                <w:rFonts w:ascii="Verdana" w:hAnsi="Verdana" w:eastAsia="Calibri" w:cs="Arial"/>
                <w:color w:val="000000" w:themeColor="text1"/>
                <w:sz w:val="16"/>
                <w:szCs w:val="16"/>
                <w:lang w:val="pt-BR" w:eastAsia="es-ES"/>
              </w:rPr>
              <w:t xml:space="preserve"> de Gestión </w:t>
            </w:r>
            <w:proofErr w:type="spellStart"/>
            <w:r w:rsidRPr="002423D6">
              <w:rPr>
                <w:rFonts w:ascii="Verdana" w:hAnsi="Verdana" w:eastAsia="Calibri" w:cs="Arial"/>
                <w:color w:val="000000" w:themeColor="text1"/>
                <w:sz w:val="16"/>
                <w:szCs w:val="16"/>
                <w:lang w:val="pt-BR" w:eastAsia="es-ES"/>
              </w:rPr>
              <w:t>Contractual</w:t>
            </w:r>
            <w:proofErr w:type="spellEnd"/>
            <w:r w:rsidRPr="002423D6">
              <w:rPr>
                <w:rFonts w:ascii="Verdana" w:hAnsi="Verdana" w:eastAsia="Calibri" w:cs="Arial"/>
                <w:color w:val="000000" w:themeColor="text1"/>
                <w:sz w:val="16"/>
                <w:szCs w:val="16"/>
                <w:lang w:val="pt-BR" w:eastAsia="es-ES"/>
              </w:rPr>
              <w:t xml:space="preserve"> </w:t>
            </w:r>
            <w:r>
              <w:rPr>
                <w:rFonts w:ascii="Verdana" w:hAnsi="Verdana" w:eastAsia="Calibri" w:cs="Arial"/>
                <w:color w:val="000000" w:themeColor="text1"/>
                <w:sz w:val="16"/>
                <w:szCs w:val="16"/>
                <w:lang w:val="pt-BR" w:eastAsia="es-ES"/>
              </w:rPr>
              <w:t>(E)</w:t>
            </w:r>
            <w:r w:rsidRPr="002423D6">
              <w:rPr>
                <w:rFonts w:ascii="Verdana" w:hAnsi="Verdana" w:eastAsia="Calibri" w:cs="Arial"/>
                <w:color w:val="000000" w:themeColor="text1"/>
                <w:sz w:val="16"/>
                <w:szCs w:val="16"/>
                <w:lang w:val="pt-BR" w:eastAsia="es-ES"/>
              </w:rPr>
              <w:t>ANCP – CCE</w:t>
            </w:r>
          </w:p>
        </w:tc>
      </w:tr>
    </w:tbl>
    <w:p w:rsidRPr="0069505A" w:rsidR="000C7F61" w:rsidP="000C7F61" w:rsidRDefault="000C7F61" w14:paraId="6303E0C6" w14:textId="77777777"/>
    <w:p w:rsidRPr="006C6A36" w:rsidR="000C7F61" w:rsidP="000C7F61" w:rsidRDefault="000C7F61" w14:paraId="26D2F967" w14:textId="77777777"/>
    <w:p w:rsidRPr="00BF1BFD" w:rsidR="000C7F61" w:rsidP="000C7F61" w:rsidRDefault="000C7F61" w14:paraId="06B6A65C" w14:textId="77777777"/>
    <w:p w:rsidRPr="000C7F61" w:rsidR="000F5A42" w:rsidP="000C7F61" w:rsidRDefault="000F5A42" w14:paraId="7AC09FC1" w14:textId="77777777"/>
    <w:sectPr w:rsidRPr="000C7F61" w:rsidR="000F5A42" w:rsidSect="007F40B2">
      <w:headerReference w:type="default" r:id="rId12"/>
      <w:footerReference w:type="default" r:id="rId13"/>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35D8E" w:rsidP="007F40B2" w:rsidRDefault="00C35D8E" w14:paraId="3A69D929" w14:textId="77777777">
      <w:pPr>
        <w:spacing w:after="0" w:line="240" w:lineRule="auto"/>
      </w:pPr>
      <w:r>
        <w:separator/>
      </w:r>
    </w:p>
  </w:endnote>
  <w:endnote w:type="continuationSeparator" w:id="0">
    <w:p w:rsidR="00C35D8E" w:rsidP="007F40B2" w:rsidRDefault="00C35D8E" w14:paraId="2B222FD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0B2" w:rsidRDefault="007F40B2" w14:paraId="57D9730E" w14:textId="77777777">
    <w:pPr>
      <w:pStyle w:val="Piedepgina"/>
    </w:pPr>
  </w:p>
  <w:p w:rsidRPr="00174B77" w:rsidR="007F40B2" w:rsidP="00D520D8" w:rsidRDefault="007F40B2" w14:paraId="4C1FB6DA"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7F40B2" w:rsidP="00D520D8" w:rsidRDefault="007F40B2" w14:paraId="77B6B012"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7F40B2" w:rsidP="00D520D8" w:rsidRDefault="007F40B2" w14:paraId="368D8B71" w14:textId="77777777">
    <w:pPr>
      <w:spacing w:after="0"/>
      <w:jc w:val="both"/>
      <w:rPr>
        <w:rFonts w:ascii="Verdana" w:hAnsi="Verdana"/>
        <w:sz w:val="18"/>
        <w:szCs w:val="18"/>
      </w:rPr>
    </w:pPr>
    <w:r w:rsidRPr="00E41027">
      <w:rPr>
        <w:rFonts w:ascii="Verdana" w:hAnsi="Verdana"/>
        <w:sz w:val="18"/>
        <w:szCs w:val="18"/>
      </w:rPr>
      <w:t>Mesa de servicio: (+57) 601 7456788</w:t>
    </w:r>
  </w:p>
  <w:p w:rsidR="007F40B2" w:rsidP="356CEDFD" w:rsidRDefault="007F40B2" w14:paraId="6F2B2CEA" w14:textId="77777777">
    <w:pPr>
      <w:pBdr>
        <w:top w:val="nil"/>
        <w:left w:val="nil"/>
        <w:bottom w:val="nil"/>
        <w:right w:val="nil"/>
        <w:between w:val="nil"/>
      </w:pBdr>
      <w:tabs>
        <w:tab w:val="center" w:pos="4419"/>
        <w:tab w:val="right" w:pos="8838"/>
        <w:tab w:val="center" w:pos="5400"/>
      </w:tabs>
      <w:spacing w:after="0"/>
      <w:jc w:val="right"/>
    </w:pPr>
    <w:r w:rsidRPr="356CEDFD">
      <w:rPr>
        <w:rFonts w:ascii="Century Gothic" w:hAnsi="Century Gothic" w:eastAsia="Geo" w:cs="Geo"/>
        <w:b/>
        <w:bCs/>
        <w:color w:val="000000" w:themeColor="text1"/>
        <w:sz w:val="16"/>
        <w:szCs w:val="16"/>
        <w:lang w:eastAsia="es-CO"/>
      </w:rPr>
      <w:t xml:space="preserve">Código: </w:t>
    </w:r>
    <w:r w:rsidRPr="356CEDFD">
      <w:rPr>
        <w:rFonts w:ascii="Century Gothic" w:hAnsi="Century Gothic" w:eastAsia="Geo" w:cs="Geo"/>
        <w:color w:val="000000" w:themeColor="text1"/>
        <w:sz w:val="16"/>
        <w:szCs w:val="16"/>
        <w:lang w:eastAsia="es-CO"/>
      </w:rPr>
      <w:t xml:space="preserve">CCE-REC-FM-17 </w:t>
    </w:r>
    <w:r w:rsidRPr="356CEDFD">
      <w:rPr>
        <w:rFonts w:ascii="Century Gothic" w:hAnsi="Century Gothic" w:eastAsia="Geo" w:cs="Geo"/>
        <w:b/>
        <w:bCs/>
        <w:color w:val="000000" w:themeColor="text1"/>
        <w:sz w:val="16"/>
        <w:szCs w:val="16"/>
        <w:lang w:eastAsia="es-CO"/>
      </w:rPr>
      <w:t>V</w:t>
    </w:r>
    <w:r w:rsidRPr="356CEDFD">
      <w:rPr>
        <w:rFonts w:ascii="Century Gothic" w:hAnsi="Century Gothic" w:eastAsia="Arial Nova" w:cs="Arial Nova"/>
        <w:b/>
        <w:bCs/>
        <w:color w:val="000000" w:themeColor="text1"/>
        <w:sz w:val="16"/>
        <w:szCs w:val="16"/>
        <w:lang w:eastAsia="es-CO"/>
      </w:rPr>
      <w:t xml:space="preserve">: </w:t>
    </w:r>
    <w:r w:rsidRPr="356CEDFD">
      <w:rPr>
        <w:rFonts w:ascii="Century Gothic" w:hAnsi="Century Gothic" w:eastAsia="Geo"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35D8E" w:rsidP="007F40B2" w:rsidRDefault="00C35D8E" w14:paraId="5A02FAC8" w14:textId="77777777">
      <w:pPr>
        <w:spacing w:after="0" w:line="240" w:lineRule="auto"/>
      </w:pPr>
      <w:r>
        <w:separator/>
      </w:r>
    </w:p>
  </w:footnote>
  <w:footnote w:type="continuationSeparator" w:id="0">
    <w:p w:rsidR="00C35D8E" w:rsidP="007F40B2" w:rsidRDefault="00C35D8E" w14:paraId="3E237B5F" w14:textId="77777777">
      <w:pPr>
        <w:spacing w:after="0" w:line="240" w:lineRule="auto"/>
      </w:pPr>
      <w:r>
        <w:continuationSeparator/>
      </w:r>
    </w:p>
  </w:footnote>
  <w:footnote w:id="1">
    <w:p w:rsidRPr="00C96FA1" w:rsidR="000C7F61" w:rsidP="000C7F61" w:rsidRDefault="000C7F61" w14:paraId="08B09236" w14:textId="77777777">
      <w:pPr>
        <w:pStyle w:val="Textonotapie"/>
        <w:ind w:firstLine="709"/>
        <w:jc w:val="both"/>
        <w:rPr>
          <w:rFonts w:ascii="Century Gothic" w:hAnsi="Century Gothic" w:cs="Arial"/>
          <w:sz w:val="16"/>
          <w:szCs w:val="16"/>
        </w:rPr>
      </w:pPr>
      <w:r w:rsidRPr="00C96FA1">
        <w:rPr>
          <w:rStyle w:val="Refdenotaalpie"/>
          <w:rFonts w:ascii="Century Gothic" w:hAnsi="Century Gothic" w:cs="Arial"/>
          <w:sz w:val="16"/>
          <w:szCs w:val="16"/>
        </w:rPr>
        <w:footnoteRef/>
      </w:r>
      <w:r w:rsidRPr="00C96FA1">
        <w:rPr>
          <w:rFonts w:ascii="Century Gothic" w:hAnsi="Century Gothic" w:cs="Arial"/>
          <w:sz w:val="16"/>
          <w:szCs w:val="16"/>
        </w:rPr>
        <w:t xml:space="preserve"> </w:t>
      </w:r>
      <w:r w:rsidRPr="00C96FA1">
        <w:rPr>
          <w:rFonts w:ascii="Century Gothic" w:hAnsi="Century Gothic" w:cs="Arial"/>
          <w:sz w:val="16"/>
          <w:szCs w:val="16"/>
          <w:lang w:val="es-ES"/>
        </w:rPr>
        <w:t>Consejo de Estado. Sección Tercera. Sentencia del 29 de octubre de 2.015. Consejera Ponente: Stella Conto Díaz Del Castillo. Expediente: 31.918.</w:t>
      </w:r>
    </w:p>
  </w:footnote>
  <w:footnote w:id="2">
    <w:p w:rsidRPr="002E3364" w:rsidR="000C7F61" w:rsidP="000C7F61" w:rsidRDefault="000C7F61" w14:paraId="23B130F4" w14:textId="77777777">
      <w:pPr>
        <w:pStyle w:val="Textonotapie"/>
        <w:ind w:firstLine="709"/>
        <w:jc w:val="both"/>
        <w:rPr>
          <w:rFonts w:ascii="Verdana" w:hAnsi="Verdana"/>
          <w:sz w:val="16"/>
          <w:szCs w:val="16"/>
        </w:rPr>
      </w:pPr>
      <w:r w:rsidRPr="002E3364">
        <w:rPr>
          <w:rStyle w:val="Refdenotaalpie"/>
          <w:rFonts w:ascii="Verdana" w:hAnsi="Verdana"/>
          <w:sz w:val="16"/>
          <w:szCs w:val="16"/>
        </w:rPr>
        <w:footnoteRef/>
      </w:r>
      <w:r w:rsidRPr="002E3364">
        <w:rPr>
          <w:rFonts w:ascii="Verdana" w:hAnsi="Verdana"/>
          <w:sz w:val="16"/>
          <w:szCs w:val="16"/>
        </w:rPr>
        <w:t xml:space="preserve"> </w:t>
      </w:r>
      <w:r w:rsidRPr="002E3364">
        <w:rPr>
          <w:rFonts w:ascii="Verdana" w:hAnsi="Verdana" w:cs="Arial"/>
          <w:sz w:val="16"/>
          <w:szCs w:val="16"/>
          <w:lang w:val="es-ES"/>
        </w:rPr>
        <w:t>Corte Constitucional. Sentencia T-684A del 14 de septiembre de 2011. Magistrado Ponente: Mauricio González Cuervo.</w:t>
      </w:r>
    </w:p>
  </w:footnote>
  <w:footnote w:id="3">
    <w:p w:rsidRPr="002E3364" w:rsidR="000C7F61" w:rsidP="000C7F61" w:rsidRDefault="000C7F61" w14:paraId="5FAFCB7E" w14:textId="77777777">
      <w:pPr>
        <w:pStyle w:val="Textonotapie"/>
        <w:ind w:firstLine="709"/>
        <w:jc w:val="both"/>
        <w:rPr>
          <w:rFonts w:ascii="Verdana" w:hAnsi="Verdana" w:cs="Arial"/>
          <w:sz w:val="16"/>
          <w:szCs w:val="16"/>
          <w:lang w:val="es-ES"/>
        </w:rPr>
      </w:pPr>
      <w:r w:rsidRPr="002E3364">
        <w:rPr>
          <w:rStyle w:val="Refdenotaalpie"/>
          <w:rFonts w:ascii="Verdana" w:hAnsi="Verdana" w:cs="Arial"/>
          <w:sz w:val="16"/>
          <w:szCs w:val="16"/>
        </w:rPr>
        <w:footnoteRef/>
      </w:r>
      <w:r w:rsidRPr="002E3364">
        <w:rPr>
          <w:rFonts w:ascii="Verdana" w:hAnsi="Verdana" w:cs="Arial"/>
          <w:sz w:val="16"/>
          <w:szCs w:val="16"/>
        </w:rPr>
        <w:t xml:space="preserve"> </w:t>
      </w:r>
      <w:r w:rsidRPr="002E3364">
        <w:rPr>
          <w:rFonts w:ascii="Verdana" w:hAnsi="Verdana" w:cs="Arial"/>
          <w:sz w:val="16"/>
          <w:szCs w:val="16"/>
          <w:lang w:val="es-ES"/>
        </w:rPr>
        <w:t>Artículos 2 al 29.</w:t>
      </w:r>
    </w:p>
  </w:footnote>
  <w:footnote w:id="4">
    <w:p w:rsidRPr="002E3364" w:rsidR="000C7F61" w:rsidP="000C7F61" w:rsidRDefault="000C7F61" w14:paraId="761E8C38" w14:textId="77777777">
      <w:pPr>
        <w:pStyle w:val="Textonotapie"/>
        <w:ind w:firstLine="709"/>
        <w:jc w:val="both"/>
        <w:rPr>
          <w:rFonts w:ascii="Verdana" w:hAnsi="Verdana" w:cs="Arial"/>
          <w:sz w:val="16"/>
          <w:szCs w:val="16"/>
          <w:lang w:val="es-ES"/>
        </w:rPr>
      </w:pPr>
      <w:r w:rsidRPr="002E3364">
        <w:rPr>
          <w:rStyle w:val="Refdenotaalpie"/>
          <w:rFonts w:ascii="Verdana" w:hAnsi="Verdana" w:cs="Arial"/>
          <w:sz w:val="16"/>
          <w:szCs w:val="16"/>
        </w:rPr>
        <w:footnoteRef/>
      </w:r>
      <w:r w:rsidRPr="002E3364">
        <w:rPr>
          <w:rFonts w:ascii="Verdana" w:hAnsi="Verdana" w:cs="Arial"/>
          <w:sz w:val="16"/>
          <w:szCs w:val="16"/>
        </w:rPr>
        <w:t xml:space="preserve"> </w:t>
      </w:r>
      <w:r w:rsidRPr="002E3364">
        <w:rPr>
          <w:rFonts w:ascii="Verdana" w:hAnsi="Verdana" w:cs="Arial"/>
          <w:sz w:val="16"/>
          <w:szCs w:val="16"/>
          <w:lang w:val="es-ES"/>
        </w:rPr>
        <w:t>Artículos 30 al 36.</w:t>
      </w:r>
    </w:p>
  </w:footnote>
  <w:footnote w:id="5">
    <w:p w:rsidRPr="00C96FA1" w:rsidR="000C7F61" w:rsidP="000C7F61" w:rsidRDefault="000C7F61" w14:paraId="0CF62C52" w14:textId="77777777">
      <w:pPr>
        <w:pStyle w:val="Textonotapie"/>
        <w:ind w:firstLine="709"/>
        <w:jc w:val="both"/>
        <w:rPr>
          <w:rFonts w:ascii="Century Gothic" w:hAnsi="Century Gothic" w:cs="Arial"/>
          <w:sz w:val="16"/>
          <w:szCs w:val="16"/>
          <w:lang w:val="es-ES"/>
        </w:rPr>
      </w:pPr>
      <w:r w:rsidRPr="002E3364">
        <w:rPr>
          <w:rStyle w:val="Refdenotaalpie"/>
          <w:rFonts w:ascii="Verdana" w:hAnsi="Verdana" w:cs="Arial"/>
          <w:sz w:val="16"/>
          <w:szCs w:val="16"/>
        </w:rPr>
        <w:footnoteRef/>
      </w:r>
      <w:r w:rsidRPr="002E3364">
        <w:rPr>
          <w:rFonts w:ascii="Verdana" w:hAnsi="Verdana" w:cs="Arial"/>
          <w:sz w:val="16"/>
          <w:szCs w:val="16"/>
        </w:rPr>
        <w:t xml:space="preserve"> </w:t>
      </w:r>
      <w:r w:rsidRPr="002E3364">
        <w:rPr>
          <w:rFonts w:ascii="Verdana" w:hAnsi="Verdana" w:cs="Arial"/>
          <w:sz w:val="16"/>
          <w:szCs w:val="16"/>
          <w:lang w:val="es-ES"/>
        </w:rPr>
        <w:t>Artículos 37 al 45.</w:t>
      </w:r>
    </w:p>
  </w:footnote>
  <w:footnote w:id="6">
    <w:p w:rsidRPr="002E3364" w:rsidR="000C7F61" w:rsidP="000C7F61" w:rsidRDefault="000C7F61" w14:paraId="5B0EEF86" w14:textId="77777777">
      <w:pPr>
        <w:pStyle w:val="Textonotapie"/>
        <w:ind w:firstLine="709"/>
        <w:jc w:val="both"/>
        <w:rPr>
          <w:rFonts w:ascii="Verdana" w:hAnsi="Verdana" w:cs="Arial"/>
          <w:sz w:val="16"/>
          <w:szCs w:val="16"/>
          <w:lang w:val="es-ES"/>
        </w:rPr>
      </w:pPr>
      <w:r w:rsidRPr="002E3364">
        <w:rPr>
          <w:rStyle w:val="Refdenotaalpie"/>
          <w:rFonts w:ascii="Verdana" w:hAnsi="Verdana" w:cs="Arial"/>
          <w:sz w:val="16"/>
          <w:szCs w:val="16"/>
        </w:rPr>
        <w:footnoteRef/>
      </w:r>
      <w:r w:rsidRPr="002E3364">
        <w:rPr>
          <w:rFonts w:ascii="Verdana" w:hAnsi="Verdana" w:cs="Arial"/>
          <w:sz w:val="16"/>
          <w:szCs w:val="16"/>
        </w:rPr>
        <w:t xml:space="preserve"> </w:t>
      </w:r>
      <w:r w:rsidRPr="002E3364">
        <w:rPr>
          <w:rFonts w:ascii="Verdana" w:hAnsi="Verdana" w:cs="Arial"/>
          <w:sz w:val="16"/>
          <w:szCs w:val="16"/>
          <w:lang w:val="es-ES"/>
        </w:rPr>
        <w:t>Artículos 46 al 73.</w:t>
      </w:r>
    </w:p>
  </w:footnote>
  <w:footnote w:id="7">
    <w:p w:rsidRPr="00C96FA1" w:rsidR="000C7F61" w:rsidP="000C7F61" w:rsidRDefault="000C7F61" w14:paraId="6707C82F" w14:textId="77777777">
      <w:pPr>
        <w:pStyle w:val="Textonotapie"/>
        <w:ind w:firstLine="709"/>
        <w:jc w:val="both"/>
        <w:rPr>
          <w:rFonts w:ascii="Century Gothic" w:hAnsi="Century Gothic" w:cs="Arial"/>
          <w:sz w:val="16"/>
          <w:szCs w:val="16"/>
          <w:lang w:val="es-ES"/>
        </w:rPr>
      </w:pPr>
      <w:r w:rsidRPr="002E3364">
        <w:rPr>
          <w:rStyle w:val="Refdenotaalpie"/>
          <w:rFonts w:ascii="Verdana" w:hAnsi="Verdana" w:cs="Arial"/>
          <w:sz w:val="16"/>
          <w:szCs w:val="16"/>
        </w:rPr>
        <w:footnoteRef/>
      </w:r>
      <w:r w:rsidRPr="002E3364">
        <w:rPr>
          <w:rFonts w:ascii="Verdana" w:hAnsi="Verdana" w:cs="Arial"/>
          <w:sz w:val="16"/>
          <w:szCs w:val="16"/>
        </w:rPr>
        <w:t xml:space="preserve"> </w:t>
      </w:r>
      <w:r w:rsidRPr="002E3364">
        <w:rPr>
          <w:rFonts w:ascii="Verdana" w:hAnsi="Verdana" w:cs="Arial"/>
          <w:sz w:val="16"/>
          <w:szCs w:val="16"/>
          <w:lang w:val="es-ES"/>
        </w:rPr>
        <w:t>Artículos 74 al 83.</w:t>
      </w:r>
    </w:p>
  </w:footnote>
  <w:footnote w:id="8">
    <w:p w:rsidRPr="00316377" w:rsidR="000C7F61" w:rsidP="000C7F61" w:rsidRDefault="000C7F61" w14:paraId="3097B17B" w14:textId="77777777">
      <w:pPr>
        <w:pStyle w:val="Textonotapie"/>
        <w:ind w:firstLine="708"/>
        <w:jc w:val="both"/>
        <w:rPr>
          <w:rFonts w:ascii="Verdana" w:hAnsi="Verdana" w:cs="Arial"/>
          <w:sz w:val="16"/>
          <w:szCs w:val="16"/>
        </w:rPr>
      </w:pPr>
      <w:r w:rsidRPr="00316377">
        <w:rPr>
          <w:rStyle w:val="Refdenotaalpie"/>
          <w:rFonts w:ascii="Verdana" w:hAnsi="Verdana" w:cs="Arial"/>
          <w:sz w:val="16"/>
          <w:szCs w:val="16"/>
        </w:rPr>
        <w:footnoteRef/>
      </w:r>
      <w:r w:rsidRPr="00316377">
        <w:rPr>
          <w:rFonts w:ascii="Verdana" w:hAnsi="Verdana" w:cs="Arial"/>
          <w:sz w:val="16"/>
          <w:szCs w:val="16"/>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9">
    <w:p w:rsidRPr="006921FF" w:rsidR="000C7F61" w:rsidP="000C7F61" w:rsidRDefault="000C7F61" w14:paraId="46807F92" w14:textId="77777777">
      <w:pPr>
        <w:pStyle w:val="NormalWeb"/>
        <w:shd w:val="clear" w:color="auto" w:fill="FFFFFF"/>
        <w:spacing w:before="0" w:beforeAutospacing="0" w:after="0" w:afterAutospacing="0"/>
        <w:ind w:firstLine="709"/>
        <w:jc w:val="both"/>
        <w:rPr>
          <w:rFonts w:ascii="Verdana" w:hAnsi="Verdana" w:cs="Arial"/>
          <w:sz w:val="16"/>
          <w:szCs w:val="16"/>
        </w:rPr>
      </w:pPr>
      <w:r w:rsidRPr="006921FF">
        <w:rPr>
          <w:rStyle w:val="Refdenotaalpie"/>
          <w:rFonts w:ascii="Verdana" w:hAnsi="Verdana" w:cs="Arial"/>
          <w:sz w:val="16"/>
          <w:szCs w:val="16"/>
        </w:rPr>
        <w:footnoteRef/>
      </w:r>
      <w:r w:rsidRPr="006921FF">
        <w:rPr>
          <w:rFonts w:ascii="Verdana" w:hAnsi="Verdana" w:cs="Arial"/>
          <w:sz w:val="16"/>
          <w:szCs w:val="16"/>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r w:rsidRPr="006921FF">
        <w:rPr>
          <w:rFonts w:ascii="Verdana" w:hAnsi="Verdana" w:cs="Arial" w:eastAsiaTheme="majorEastAsia"/>
          <w:sz w:val="16"/>
          <w:szCs w:val="16"/>
        </w:rPr>
        <w:t>5 </w:t>
      </w:r>
      <w:r w:rsidRPr="006921FF">
        <w:rPr>
          <w:rFonts w:ascii="Verdana" w:hAnsi="Verdana" w:cs="Arial"/>
          <w:sz w:val="16"/>
          <w:szCs w:val="16"/>
        </w:rPr>
        <w:t>de la Sección 1 del Capítulo 2 del Título 1 de la Parte 2 del Libro 2, así como los artículos </w:t>
      </w:r>
      <w:r w:rsidRPr="006921FF">
        <w:rPr>
          <w:rFonts w:ascii="Verdana" w:hAnsi="Verdana" w:cs="Arial" w:eastAsiaTheme="majorEastAsia"/>
          <w:sz w:val="16"/>
          <w:szCs w:val="16"/>
        </w:rPr>
        <w:t>2.2.1.2.4.2.2</w:t>
      </w:r>
      <w:r w:rsidRPr="006921FF">
        <w:rPr>
          <w:rFonts w:ascii="Verdana" w:hAnsi="Verdana" w:cs="Arial"/>
          <w:sz w:val="16"/>
          <w:szCs w:val="16"/>
        </w:rPr>
        <w:t>., </w:t>
      </w:r>
      <w:r w:rsidRPr="006921FF">
        <w:rPr>
          <w:rFonts w:ascii="Verdana" w:hAnsi="Verdana" w:cs="Arial" w:eastAsiaTheme="majorEastAsia"/>
          <w:sz w:val="16"/>
          <w:szCs w:val="16"/>
        </w:rPr>
        <w:t>2.2.1.2.4.2.3</w:t>
      </w:r>
      <w:r w:rsidRPr="006921FF">
        <w:rPr>
          <w:rFonts w:ascii="Verdana" w:hAnsi="Verdana" w:cs="Arial"/>
          <w:sz w:val="16"/>
          <w:szCs w:val="16"/>
        </w:rPr>
        <w:t>., </w:t>
      </w:r>
      <w:r w:rsidRPr="006921FF">
        <w:rPr>
          <w:rFonts w:ascii="Verdana" w:hAnsi="Verdana" w:cs="Arial" w:eastAsiaTheme="majorEastAsia"/>
          <w:sz w:val="16"/>
          <w:szCs w:val="16"/>
        </w:rPr>
        <w:t>2.2.1.2.4.2.4</w:t>
      </w:r>
      <w:r w:rsidRPr="006921FF">
        <w:rPr>
          <w:rFonts w:ascii="Verdana" w:hAnsi="Verdana" w:cs="Arial"/>
          <w:sz w:val="16"/>
          <w:szCs w:val="16"/>
        </w:rPr>
        <w:t>., </w:t>
      </w:r>
      <w:r w:rsidRPr="006921FF">
        <w:rPr>
          <w:rFonts w:ascii="Verdana" w:hAnsi="Verdana" w:cs="Arial" w:eastAsiaTheme="majorEastAsia"/>
          <w:sz w:val="16"/>
          <w:szCs w:val="16"/>
        </w:rPr>
        <w:t>2.2.1.2.1.2.2</w:t>
      </w:r>
      <w:r w:rsidRPr="006921FF">
        <w:rPr>
          <w:rFonts w:ascii="Verdana" w:hAnsi="Verdana" w:cs="Arial"/>
          <w:sz w:val="16"/>
          <w:szCs w:val="16"/>
        </w:rPr>
        <w:t xml:space="preserve"> y </w:t>
      </w:r>
      <w:r w:rsidRPr="006921FF">
        <w:rPr>
          <w:rFonts w:ascii="Verdana" w:hAnsi="Verdana" w:cs="Arial" w:eastAsiaTheme="majorEastAsia"/>
          <w:sz w:val="16"/>
          <w:szCs w:val="16"/>
        </w:rPr>
        <w:t>2.2.1.2.4.2.8</w:t>
      </w:r>
      <w:r w:rsidRPr="006921FF">
        <w:rPr>
          <w:rFonts w:ascii="Verdana" w:hAnsi="Verdana" w:cs="Arial"/>
          <w:sz w:val="16"/>
          <w:szCs w:val="16"/>
        </w:rPr>
        <w:t>.; adiciona los artículos </w:t>
      </w:r>
      <w:r w:rsidRPr="006921FF">
        <w:rPr>
          <w:rFonts w:ascii="Verdana" w:hAnsi="Verdana" w:cs="Arial" w:eastAsiaTheme="majorEastAsia"/>
          <w:sz w:val="16"/>
          <w:szCs w:val="16"/>
        </w:rPr>
        <w:t>2.2.1.2.4.2.14</w:t>
      </w:r>
      <w:r w:rsidRPr="006921FF">
        <w:rPr>
          <w:rFonts w:ascii="Verdana" w:hAnsi="Verdana" w:cs="Arial"/>
          <w:sz w:val="16"/>
          <w:szCs w:val="16"/>
        </w:rPr>
        <w:t>., </w:t>
      </w:r>
      <w:r w:rsidRPr="006921FF">
        <w:rPr>
          <w:rFonts w:ascii="Verdana" w:hAnsi="Verdana" w:cs="Arial" w:eastAsiaTheme="majorEastAsia"/>
          <w:sz w:val="16"/>
          <w:szCs w:val="16"/>
        </w:rPr>
        <w:t>2.2.1.2.4.2.15</w:t>
      </w:r>
      <w:r w:rsidRPr="006921FF">
        <w:rPr>
          <w:rFonts w:ascii="Verdana" w:hAnsi="Verdana" w:cs="Arial"/>
          <w:sz w:val="16"/>
          <w:szCs w:val="16"/>
        </w:rPr>
        <w:t>., </w:t>
      </w:r>
      <w:r w:rsidRPr="006921FF">
        <w:rPr>
          <w:rFonts w:ascii="Verdana" w:hAnsi="Verdana" w:cs="Arial" w:eastAsiaTheme="majorEastAsia"/>
          <w:sz w:val="16"/>
          <w:szCs w:val="16"/>
        </w:rPr>
        <w:t>2.2.1.2.4.2.16</w:t>
      </w:r>
      <w:r w:rsidRPr="006921FF">
        <w:rPr>
          <w:rFonts w:ascii="Verdana" w:hAnsi="Verdana" w:cs="Arial"/>
          <w:sz w:val="16"/>
          <w:szCs w:val="16"/>
        </w:rPr>
        <w:t>., </w:t>
      </w:r>
      <w:r w:rsidRPr="006921FF">
        <w:rPr>
          <w:rFonts w:ascii="Verdana" w:hAnsi="Verdana" w:cs="Arial" w:eastAsiaTheme="majorEastAsia"/>
          <w:sz w:val="16"/>
          <w:szCs w:val="16"/>
        </w:rPr>
        <w:t xml:space="preserve">2.2.1.2.4.2.17. </w:t>
      </w:r>
      <w:r w:rsidRPr="006921FF">
        <w:rPr>
          <w:rFonts w:ascii="Verdana" w:hAnsi="Verdana" w:cs="Arial"/>
          <w:sz w:val="16"/>
          <w:szCs w:val="16"/>
        </w:rPr>
        <w:t>y </w:t>
      </w:r>
      <w:r w:rsidRPr="006921FF">
        <w:rPr>
          <w:rFonts w:ascii="Verdana" w:hAnsi="Verdana" w:cs="Arial" w:eastAsiaTheme="majorEastAsia"/>
          <w:sz w:val="16"/>
          <w:szCs w:val="16"/>
        </w:rPr>
        <w:t>2.2.1.2.4.2.18</w:t>
      </w:r>
      <w:r w:rsidRPr="006921FF">
        <w:rPr>
          <w:rFonts w:ascii="Verdana" w:hAnsi="Verdana" w:cs="Arial"/>
          <w:sz w:val="16"/>
          <w:szCs w:val="16"/>
        </w:rPr>
        <w:t>.; adiciona un </w:t>
      </w:r>
      <w:r w:rsidRPr="006921FF">
        <w:rPr>
          <w:rFonts w:ascii="Verdana" w:hAnsi="Verdana" w:cs="Arial" w:eastAsiaTheme="majorEastAsia"/>
          <w:sz w:val="16"/>
          <w:szCs w:val="16"/>
        </w:rPr>
        <w:t>parágrafo </w:t>
      </w:r>
      <w:r w:rsidRPr="006921FF">
        <w:rPr>
          <w:rFonts w:ascii="Verdana" w:hAnsi="Verdana" w:cs="Arial"/>
          <w:sz w:val="16"/>
          <w:szCs w:val="16"/>
        </w:rPr>
        <w:t>al artículo </w:t>
      </w:r>
      <w:r w:rsidRPr="006921FF">
        <w:rPr>
          <w:rFonts w:ascii="Verdana" w:hAnsi="Verdana" w:cs="Arial" w:eastAsiaTheme="majorEastAsia"/>
          <w:sz w:val="16"/>
          <w:szCs w:val="16"/>
        </w:rPr>
        <w:t>2.2.1.2.3.1.9</w:t>
      </w:r>
      <w:r w:rsidRPr="006921FF">
        <w:rPr>
          <w:rFonts w:ascii="Verdana" w:hAnsi="Verdana" w:cs="Arial"/>
          <w:sz w:val="16"/>
          <w:szCs w:val="16"/>
        </w:rPr>
        <w:t>; y deroga el artículo </w:t>
      </w:r>
      <w:r w:rsidRPr="006921FF">
        <w:rPr>
          <w:rFonts w:ascii="Verdana" w:hAnsi="Verdana" w:cs="Arial" w:eastAsiaTheme="majorEastAsia"/>
          <w:sz w:val="16"/>
          <w:szCs w:val="16"/>
        </w:rPr>
        <w:t>2.2.1.1.2.2.9</w:t>
      </w:r>
      <w:r w:rsidRPr="006921FF">
        <w:rPr>
          <w:rFonts w:ascii="Verdana" w:hAnsi="Verdana" w:cs="Arial"/>
          <w:sz w:val="16"/>
          <w:szCs w:val="16"/>
        </w:rPr>
        <w:t>. del Decreto 1082 de 2015, Único Reglamentario del Sector Administrativo de Planeación Nacional.</w:t>
      </w:r>
    </w:p>
    <w:p w:rsidRPr="006921FF" w:rsidR="000C7F61" w:rsidP="000C7F61" w:rsidRDefault="000C7F61" w14:paraId="4AAACD3E" w14:textId="77777777">
      <w:pPr>
        <w:pStyle w:val="NormalWeb"/>
        <w:shd w:val="clear" w:color="auto" w:fill="FFFFFF"/>
        <w:spacing w:before="0" w:beforeAutospacing="0" w:after="0" w:afterAutospacing="0"/>
        <w:jc w:val="both"/>
        <w:rPr>
          <w:rFonts w:ascii="Verdana" w:hAnsi="Verdana" w:cs="Arial"/>
          <w:sz w:val="16"/>
          <w:szCs w:val="16"/>
        </w:rPr>
      </w:pPr>
      <w:r w:rsidRPr="006921FF">
        <w:rPr>
          <w:rFonts w:ascii="Verdana" w:hAnsi="Verdana" w:cs="Arial"/>
          <w:b/>
          <w:bCs/>
          <w:sz w:val="16"/>
          <w:szCs w:val="16"/>
        </w:rPr>
        <w:t> </w:t>
      </w:r>
      <w:r w:rsidRPr="006921FF">
        <w:rPr>
          <w:rFonts w:ascii="Verdana" w:hAnsi="Verdana" w:cs="Arial"/>
          <w:b/>
          <w:bCs/>
          <w:sz w:val="16"/>
          <w:szCs w:val="16"/>
        </w:rPr>
        <w:tab/>
      </w:r>
      <w:r w:rsidRPr="006921FF">
        <w:rPr>
          <w:rFonts w:ascii="Verdana" w:hAnsi="Verdana" w:cs="Arial"/>
          <w:sz w:val="16"/>
          <w:szCs w:val="16"/>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rsidRPr="00C96FA1" w:rsidR="000C7F61" w:rsidP="000C7F61" w:rsidRDefault="000C7F61" w14:paraId="1590AF20" w14:textId="77777777">
      <w:pPr>
        <w:pStyle w:val="NormalWeb"/>
        <w:shd w:val="clear" w:color="auto" w:fill="FFFFFF"/>
        <w:spacing w:before="0" w:beforeAutospacing="0" w:after="0" w:afterAutospacing="0"/>
        <w:jc w:val="both"/>
        <w:rPr>
          <w:rFonts w:ascii="Century Gothic" w:hAnsi="Century Gothic" w:cs="Arial"/>
          <w:sz w:val="16"/>
          <w:szCs w:val="16"/>
        </w:rPr>
      </w:pPr>
      <w:r w:rsidRPr="006921FF">
        <w:rPr>
          <w:rFonts w:ascii="Verdana" w:hAnsi="Verdana" w:cs="Arial"/>
          <w:sz w:val="16"/>
          <w:szCs w:val="16"/>
        </w:rPr>
        <w:t> </w:t>
      </w:r>
      <w:r w:rsidRPr="006921FF">
        <w:rPr>
          <w:rFonts w:ascii="Verdana" w:hAnsi="Verdana" w:cs="Arial"/>
          <w:sz w:val="16"/>
          <w:szCs w:val="16"/>
        </w:rPr>
        <w:tab/>
      </w:r>
      <w:r w:rsidRPr="006921FF">
        <w:rPr>
          <w:rFonts w:ascii="Verdana" w:hAnsi="Verdana" w:cs="Arial"/>
          <w:sz w:val="16"/>
          <w:szCs w:val="16"/>
        </w:rPr>
        <w:t>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F40B2" w:rsidP="00844AE9" w:rsidRDefault="007F40B2" w14:paraId="42F3D4C7" w14:textId="77777777">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E2CBE51" wp14:editId="458E19E5">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77843264" wp14:editId="258E1C1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F40B2" w:rsidRDefault="007F40B2" w14:paraId="1F36C0FE" w14:textId="77777777">
    <w:pPr>
      <w:pStyle w:val="Encabezado"/>
    </w:pPr>
  </w:p>
  <w:p w:rsidRPr="004A305D" w:rsidR="007F40B2" w:rsidP="00B01B1A" w:rsidRDefault="007F40B2" w14:paraId="12969CEE" w14:textId="77777777">
    <w:pPr>
      <w:spacing w:after="0" w:line="120" w:lineRule="auto"/>
      <w:rPr>
        <w:rFonts w:ascii="Century Gothic" w:hAnsi="Century Gothic" w:eastAsia="Geo" w:cs="Geo"/>
        <w:sz w:val="16"/>
        <w:szCs w:val="16"/>
        <w:lang w:eastAsia="es-CO"/>
      </w:rPr>
    </w:pPr>
  </w:p>
  <w:p w:rsidR="007F40B2" w:rsidP="00844AE9" w:rsidRDefault="007F40B2" w14:paraId="370F02F8" w14:textId="77777777">
    <w:pPr>
      <w:spacing w:after="0" w:line="240" w:lineRule="auto"/>
      <w:rPr>
        <w:rFonts w:ascii="Verdana" w:hAnsi="Verdana"/>
        <w:sz w:val="24"/>
        <w:szCs w:val="24"/>
      </w:rPr>
    </w:pPr>
  </w:p>
  <w:p w:rsidRPr="00C925AC" w:rsidR="007F40B2" w:rsidP="00844AE9" w:rsidRDefault="007F40B2" w14:paraId="55F1B9E3" w14:textId="77777777">
    <w:pPr>
      <w:spacing w:after="0" w:line="240" w:lineRule="auto"/>
      <w:rPr>
        <w:rFonts w:ascii="Verdana" w:hAnsi="Verdana"/>
        <w:sz w:val="24"/>
        <w:szCs w:val="24"/>
      </w:rPr>
    </w:pPr>
  </w:p>
  <w:p w:rsidRPr="00C925AC" w:rsidR="007F40B2" w:rsidP="000D5DA7" w:rsidRDefault="007F40B2" w14:paraId="3575127B" w14:textId="7777777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FC66FF0"/>
    <w:multiLevelType w:val="hybridMultilevel"/>
    <w:tmpl w:val="B22CF5E2"/>
    <w:lvl w:ilvl="0" w:tplc="DD28CF4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3" w15:restartNumberingAfterBreak="0">
    <w:nsid w:val="636C03B0"/>
    <w:multiLevelType w:val="hybridMultilevel"/>
    <w:tmpl w:val="53AC8484"/>
    <w:lvl w:ilvl="0" w:tplc="1F14B5D2">
      <w:start w:val="1"/>
      <w:numFmt w:val="bullet"/>
      <w:lvlText w:val="·"/>
      <w:lvlJc w:val="left"/>
      <w:pPr>
        <w:ind w:left="785" w:hanging="360"/>
      </w:pPr>
      <w:rPr>
        <w:rFonts w:hint="default" w:ascii="Symbol" w:hAnsi="Symbol"/>
        <w:color w:val="auto"/>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num w:numId="1" w16cid:durableId="1021395840">
    <w:abstractNumId w:val="3"/>
  </w:num>
  <w:num w:numId="2" w16cid:durableId="1178156914">
    <w:abstractNumId w:val="0"/>
  </w:num>
  <w:num w:numId="3" w16cid:durableId="679089576">
    <w:abstractNumId w:val="2"/>
  </w:num>
  <w:num w:numId="4" w16cid:durableId="26346618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8"/>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0B2"/>
    <w:rsid w:val="000368B4"/>
    <w:rsid w:val="000B7525"/>
    <w:rsid w:val="000C7F61"/>
    <w:rsid w:val="000E7E9E"/>
    <w:rsid w:val="000F5A42"/>
    <w:rsid w:val="0010362C"/>
    <w:rsid w:val="00113A19"/>
    <w:rsid w:val="00141004"/>
    <w:rsid w:val="00170CF0"/>
    <w:rsid w:val="00220C6D"/>
    <w:rsid w:val="002837AB"/>
    <w:rsid w:val="002E3364"/>
    <w:rsid w:val="00305EE0"/>
    <w:rsid w:val="00316377"/>
    <w:rsid w:val="003F7EFD"/>
    <w:rsid w:val="00432FDA"/>
    <w:rsid w:val="00451002"/>
    <w:rsid w:val="005850BE"/>
    <w:rsid w:val="005A7D4B"/>
    <w:rsid w:val="006111A8"/>
    <w:rsid w:val="006921FF"/>
    <w:rsid w:val="006F6994"/>
    <w:rsid w:val="00753027"/>
    <w:rsid w:val="007A00DF"/>
    <w:rsid w:val="007F40B2"/>
    <w:rsid w:val="0087357D"/>
    <w:rsid w:val="008A1B1F"/>
    <w:rsid w:val="008B0822"/>
    <w:rsid w:val="00944730"/>
    <w:rsid w:val="009A51F2"/>
    <w:rsid w:val="009B4725"/>
    <w:rsid w:val="00A12218"/>
    <w:rsid w:val="00A43214"/>
    <w:rsid w:val="00A815E4"/>
    <w:rsid w:val="00A90678"/>
    <w:rsid w:val="00AD217C"/>
    <w:rsid w:val="00AF1764"/>
    <w:rsid w:val="00B00313"/>
    <w:rsid w:val="00B0730E"/>
    <w:rsid w:val="00B3072D"/>
    <w:rsid w:val="00B50D62"/>
    <w:rsid w:val="00BA7285"/>
    <w:rsid w:val="00C35D8E"/>
    <w:rsid w:val="00C734B6"/>
    <w:rsid w:val="00D062C0"/>
    <w:rsid w:val="00D17F77"/>
    <w:rsid w:val="00D566AF"/>
    <w:rsid w:val="00DF4F2B"/>
    <w:rsid w:val="00E224AD"/>
    <w:rsid w:val="00E52696"/>
    <w:rsid w:val="00E910D3"/>
    <w:rsid w:val="00F51FC5"/>
    <w:rsid w:val="00FB662C"/>
    <w:rsid w:val="1184C85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46C95"/>
  <w15:chartTrackingRefBased/>
  <w15:docId w15:val="{8DAA939B-D28D-4BB3-99CD-3E82B82E10D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F40B2"/>
    <w:rPr>
      <w:kern w:val="0"/>
      <w14:ligatures w14:val="none"/>
    </w:rPr>
  </w:style>
  <w:style w:type="paragraph" w:styleId="Ttulo1">
    <w:name w:val="heading 1"/>
    <w:basedOn w:val="Normal"/>
    <w:next w:val="Normal"/>
    <w:link w:val="Ttulo1Car"/>
    <w:uiPriority w:val="9"/>
    <w:qFormat/>
    <w:rsid w:val="007F40B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F40B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F40B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F40B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F40B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F40B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F40B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F40B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F40B2"/>
    <w:pPr>
      <w:keepNext/>
      <w:keepLines/>
      <w:spacing w:after="0"/>
      <w:outlineLvl w:val="8"/>
    </w:pPr>
    <w:rPr>
      <w:rFonts w:eastAsiaTheme="majorEastAsia" w:cstheme="majorBidi"/>
      <w:color w:val="272727" w:themeColor="text1" w:themeTint="D8"/>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7F40B2"/>
    <w:rPr>
      <w:rFonts w:asciiTheme="majorHAnsi" w:hAnsiTheme="majorHAnsi" w:eastAsiaTheme="majorEastAsia" w:cstheme="majorBidi"/>
      <w:color w:val="0F4761" w:themeColor="accent1" w:themeShade="BF"/>
      <w:sz w:val="40"/>
      <w:szCs w:val="40"/>
    </w:rPr>
  </w:style>
  <w:style w:type="character" w:styleId="Ttulo2Car" w:customStyle="1">
    <w:name w:val="Título 2 Car"/>
    <w:basedOn w:val="Fuentedeprrafopredeter"/>
    <w:link w:val="Ttulo2"/>
    <w:uiPriority w:val="9"/>
    <w:semiHidden/>
    <w:rsid w:val="007F40B2"/>
    <w:rPr>
      <w:rFonts w:asciiTheme="majorHAnsi" w:hAnsiTheme="majorHAnsi" w:eastAsiaTheme="majorEastAsia" w:cstheme="majorBidi"/>
      <w:color w:val="0F4761" w:themeColor="accent1" w:themeShade="BF"/>
      <w:sz w:val="32"/>
      <w:szCs w:val="32"/>
    </w:rPr>
  </w:style>
  <w:style w:type="character" w:styleId="Ttulo3Car" w:customStyle="1">
    <w:name w:val="Título 3 Car"/>
    <w:basedOn w:val="Fuentedeprrafopredeter"/>
    <w:link w:val="Ttulo3"/>
    <w:uiPriority w:val="9"/>
    <w:semiHidden/>
    <w:rsid w:val="007F40B2"/>
    <w:rPr>
      <w:rFonts w:eastAsiaTheme="majorEastAsia" w:cstheme="majorBidi"/>
      <w:color w:val="0F4761" w:themeColor="accent1" w:themeShade="BF"/>
      <w:sz w:val="28"/>
      <w:szCs w:val="28"/>
    </w:rPr>
  </w:style>
  <w:style w:type="character" w:styleId="Ttulo4Car" w:customStyle="1">
    <w:name w:val="Título 4 Car"/>
    <w:basedOn w:val="Fuentedeprrafopredeter"/>
    <w:link w:val="Ttulo4"/>
    <w:uiPriority w:val="9"/>
    <w:semiHidden/>
    <w:rsid w:val="007F40B2"/>
    <w:rPr>
      <w:rFonts w:eastAsiaTheme="majorEastAsia" w:cstheme="majorBidi"/>
      <w:i/>
      <w:iCs/>
      <w:color w:val="0F4761" w:themeColor="accent1" w:themeShade="BF"/>
    </w:rPr>
  </w:style>
  <w:style w:type="character" w:styleId="Ttulo5Car" w:customStyle="1">
    <w:name w:val="Título 5 Car"/>
    <w:basedOn w:val="Fuentedeprrafopredeter"/>
    <w:link w:val="Ttulo5"/>
    <w:uiPriority w:val="9"/>
    <w:semiHidden/>
    <w:rsid w:val="007F40B2"/>
    <w:rPr>
      <w:rFonts w:eastAsiaTheme="majorEastAsia" w:cstheme="majorBidi"/>
      <w:color w:val="0F4761" w:themeColor="accent1" w:themeShade="BF"/>
    </w:rPr>
  </w:style>
  <w:style w:type="character" w:styleId="Ttulo6Car" w:customStyle="1">
    <w:name w:val="Título 6 Car"/>
    <w:basedOn w:val="Fuentedeprrafopredeter"/>
    <w:link w:val="Ttulo6"/>
    <w:uiPriority w:val="9"/>
    <w:semiHidden/>
    <w:rsid w:val="007F40B2"/>
    <w:rPr>
      <w:rFonts w:eastAsiaTheme="majorEastAsia" w:cstheme="majorBidi"/>
      <w:i/>
      <w:iCs/>
      <w:color w:val="595959" w:themeColor="text1" w:themeTint="A6"/>
    </w:rPr>
  </w:style>
  <w:style w:type="character" w:styleId="Ttulo7Car" w:customStyle="1">
    <w:name w:val="Título 7 Car"/>
    <w:basedOn w:val="Fuentedeprrafopredeter"/>
    <w:link w:val="Ttulo7"/>
    <w:uiPriority w:val="9"/>
    <w:semiHidden/>
    <w:rsid w:val="007F40B2"/>
    <w:rPr>
      <w:rFonts w:eastAsiaTheme="majorEastAsia" w:cstheme="majorBidi"/>
      <w:color w:val="595959" w:themeColor="text1" w:themeTint="A6"/>
    </w:rPr>
  </w:style>
  <w:style w:type="character" w:styleId="Ttulo8Car" w:customStyle="1">
    <w:name w:val="Título 8 Car"/>
    <w:basedOn w:val="Fuentedeprrafopredeter"/>
    <w:link w:val="Ttulo8"/>
    <w:uiPriority w:val="9"/>
    <w:semiHidden/>
    <w:rsid w:val="007F40B2"/>
    <w:rPr>
      <w:rFonts w:eastAsiaTheme="majorEastAsia" w:cstheme="majorBidi"/>
      <w:i/>
      <w:iCs/>
      <w:color w:val="272727" w:themeColor="text1" w:themeTint="D8"/>
    </w:rPr>
  </w:style>
  <w:style w:type="character" w:styleId="Ttulo9Car" w:customStyle="1">
    <w:name w:val="Título 9 Car"/>
    <w:basedOn w:val="Fuentedeprrafopredeter"/>
    <w:link w:val="Ttulo9"/>
    <w:uiPriority w:val="9"/>
    <w:semiHidden/>
    <w:rsid w:val="007F40B2"/>
    <w:rPr>
      <w:rFonts w:eastAsiaTheme="majorEastAsia" w:cstheme="majorBidi"/>
      <w:color w:val="272727" w:themeColor="text1" w:themeTint="D8"/>
    </w:rPr>
  </w:style>
  <w:style w:type="paragraph" w:styleId="Ttulo">
    <w:name w:val="Title"/>
    <w:basedOn w:val="Normal"/>
    <w:next w:val="Normal"/>
    <w:link w:val="TtuloCar"/>
    <w:uiPriority w:val="10"/>
    <w:qFormat/>
    <w:rsid w:val="007F40B2"/>
    <w:pPr>
      <w:spacing w:after="80" w:line="240" w:lineRule="auto"/>
      <w:contextualSpacing/>
    </w:pPr>
    <w:rPr>
      <w:rFonts w:asciiTheme="majorHAnsi" w:hAnsiTheme="majorHAnsi" w:eastAsiaTheme="majorEastAsia" w:cstheme="majorBidi"/>
      <w:spacing w:val="-10"/>
      <w:kern w:val="28"/>
      <w:sz w:val="56"/>
      <w:szCs w:val="56"/>
    </w:rPr>
  </w:style>
  <w:style w:type="character" w:styleId="TtuloCar" w:customStyle="1">
    <w:name w:val="Título Car"/>
    <w:basedOn w:val="Fuentedeprrafopredeter"/>
    <w:link w:val="Ttulo"/>
    <w:uiPriority w:val="10"/>
    <w:rsid w:val="007F40B2"/>
    <w:rPr>
      <w:rFonts w:asciiTheme="majorHAnsi" w:hAnsiTheme="majorHAnsi" w:eastAsiaTheme="majorEastAsia" w:cstheme="majorBidi"/>
      <w:spacing w:val="-10"/>
      <w:kern w:val="28"/>
      <w:sz w:val="56"/>
      <w:szCs w:val="56"/>
    </w:rPr>
  </w:style>
  <w:style w:type="paragraph" w:styleId="Subttulo">
    <w:name w:val="Subtitle"/>
    <w:basedOn w:val="Normal"/>
    <w:next w:val="Normal"/>
    <w:link w:val="SubttuloCar"/>
    <w:uiPriority w:val="11"/>
    <w:qFormat/>
    <w:rsid w:val="007F40B2"/>
    <w:pPr>
      <w:numPr>
        <w:ilvl w:val="1"/>
      </w:numPr>
    </w:pPr>
    <w:rPr>
      <w:rFonts w:eastAsiaTheme="majorEastAsia" w:cstheme="majorBidi"/>
      <w:color w:val="595959" w:themeColor="text1" w:themeTint="A6"/>
      <w:spacing w:val="15"/>
      <w:sz w:val="28"/>
      <w:szCs w:val="28"/>
    </w:rPr>
  </w:style>
  <w:style w:type="character" w:styleId="SubttuloCar" w:customStyle="1">
    <w:name w:val="Subtítulo Car"/>
    <w:basedOn w:val="Fuentedeprrafopredeter"/>
    <w:link w:val="Subttulo"/>
    <w:uiPriority w:val="11"/>
    <w:rsid w:val="007F40B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F40B2"/>
    <w:pPr>
      <w:spacing w:before="160"/>
      <w:jc w:val="center"/>
    </w:pPr>
    <w:rPr>
      <w:i/>
      <w:iCs/>
      <w:color w:val="404040" w:themeColor="text1" w:themeTint="BF"/>
    </w:rPr>
  </w:style>
  <w:style w:type="character" w:styleId="CitaCar" w:customStyle="1">
    <w:name w:val="Cita Car"/>
    <w:basedOn w:val="Fuentedeprrafopredeter"/>
    <w:link w:val="Cita"/>
    <w:uiPriority w:val="29"/>
    <w:rsid w:val="007F40B2"/>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7F40B2"/>
    <w:pPr>
      <w:ind w:left="720"/>
      <w:contextualSpacing/>
    </w:pPr>
  </w:style>
  <w:style w:type="character" w:styleId="nfasisintenso">
    <w:name w:val="Intense Emphasis"/>
    <w:basedOn w:val="Fuentedeprrafopredeter"/>
    <w:uiPriority w:val="21"/>
    <w:qFormat/>
    <w:rsid w:val="007F40B2"/>
    <w:rPr>
      <w:i/>
      <w:iCs/>
      <w:color w:val="0F4761" w:themeColor="accent1" w:themeShade="BF"/>
    </w:rPr>
  </w:style>
  <w:style w:type="paragraph" w:styleId="Citadestacada">
    <w:name w:val="Intense Quote"/>
    <w:basedOn w:val="Normal"/>
    <w:next w:val="Normal"/>
    <w:link w:val="CitadestacadaCar"/>
    <w:uiPriority w:val="30"/>
    <w:qFormat/>
    <w:rsid w:val="007F40B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destacadaCar" w:customStyle="1">
    <w:name w:val="Cita destacada Car"/>
    <w:basedOn w:val="Fuentedeprrafopredeter"/>
    <w:link w:val="Citadestacada"/>
    <w:uiPriority w:val="30"/>
    <w:rsid w:val="007F40B2"/>
    <w:rPr>
      <w:i/>
      <w:iCs/>
      <w:color w:val="0F4761" w:themeColor="accent1" w:themeShade="BF"/>
    </w:rPr>
  </w:style>
  <w:style w:type="character" w:styleId="Referenciaintensa">
    <w:name w:val="Intense Reference"/>
    <w:basedOn w:val="Fuentedeprrafopredeter"/>
    <w:uiPriority w:val="32"/>
    <w:qFormat/>
    <w:rsid w:val="007F40B2"/>
    <w:rPr>
      <w:b/>
      <w:bCs/>
      <w:smallCaps/>
      <w:color w:val="0F4761" w:themeColor="accent1" w:themeShade="BF"/>
      <w:spacing w:val="5"/>
    </w:rPr>
  </w:style>
  <w:style w:type="paragraph" w:styleId="Encabezado">
    <w:name w:val="header"/>
    <w:basedOn w:val="Normal"/>
    <w:link w:val="EncabezadoCar"/>
    <w:uiPriority w:val="99"/>
    <w:unhideWhenUsed/>
    <w:rsid w:val="007F40B2"/>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F40B2"/>
    <w:rPr>
      <w:kern w:val="0"/>
      <w14:ligatures w14:val="none"/>
    </w:rPr>
  </w:style>
  <w:style w:type="paragraph" w:styleId="Piedepgina">
    <w:name w:val="footer"/>
    <w:basedOn w:val="Normal"/>
    <w:link w:val="PiedepginaCar"/>
    <w:uiPriority w:val="99"/>
    <w:unhideWhenUsed/>
    <w:rsid w:val="007F40B2"/>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F40B2"/>
    <w:rPr>
      <w:kern w:val="0"/>
      <w14:ligatures w14:val="none"/>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F40B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7F40B2"/>
    <w:pPr>
      <w:spacing w:after="0" w:line="240" w:lineRule="auto"/>
    </w:pPr>
    <w:rPr>
      <w:kern w:val="2"/>
      <w:sz w:val="20"/>
      <w:szCs w:val="20"/>
      <w:lang w:val="es-MX"/>
      <w14:ligatures w14:val="standardContextual"/>
    </w:rPr>
  </w:style>
  <w:style w:type="character" w:styleId="TextonotapieCar1" w:customStyle="1">
    <w:name w:val="Texto nota pie Car1"/>
    <w:basedOn w:val="Fuentedeprrafopredeter"/>
    <w:uiPriority w:val="99"/>
    <w:semiHidden/>
    <w:rsid w:val="007F40B2"/>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7F40B2"/>
    <w:rPr>
      <w:vertAlign w:val="superscript"/>
    </w:rPr>
  </w:style>
  <w:style w:type="character" w:styleId="normaltextrun" w:customStyle="1">
    <w:name w:val="normaltextrun"/>
    <w:basedOn w:val="Fuentedeprrafopredeter"/>
    <w:rsid w:val="007F40B2"/>
  </w:style>
  <w:style w:type="table" w:styleId="Tablaconcuadrcula">
    <w:name w:val="Table Grid"/>
    <w:basedOn w:val="Tablanormal"/>
    <w:uiPriority w:val="39"/>
    <w:qFormat/>
    <w:rsid w:val="007F40B2"/>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7F40B2"/>
    <w:rPr>
      <w:color w:val="0000FF"/>
      <w:u w:val="single"/>
    </w:rPr>
  </w:style>
  <w:style w:type="paragraph" w:styleId="paragraph" w:customStyle="1">
    <w:name w:val="paragraph"/>
    <w:basedOn w:val="Normal"/>
    <w:rsid w:val="007F40B2"/>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eop" w:customStyle="1">
    <w:name w:val="eop"/>
    <w:basedOn w:val="Fuentedeprrafopredeter"/>
    <w:rsid w:val="007F40B2"/>
  </w:style>
  <w:style w:type="paragraph" w:styleId="NormalWeb">
    <w:name w:val="Normal (Web)"/>
    <w:basedOn w:val="Normal"/>
    <w:link w:val="NormalWebCar"/>
    <w:uiPriority w:val="99"/>
    <w:unhideWhenUsed/>
    <w:rsid w:val="007F40B2"/>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Appelnotedebasde" w:customStyle="1">
    <w:name w:val="Appel note de bas de..."/>
    <w:basedOn w:val="Normal"/>
    <w:link w:val="Refdenotaalpie"/>
    <w:uiPriority w:val="99"/>
    <w:rsid w:val="007F40B2"/>
    <w:pPr>
      <w:spacing w:line="240" w:lineRule="exact"/>
    </w:pPr>
    <w:rPr>
      <w:kern w:val="2"/>
      <w:vertAlign w:val="superscript"/>
      <w14:ligatures w14:val="standardContextual"/>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F40B2"/>
  </w:style>
  <w:style w:type="character" w:styleId="NormalWebCar" w:customStyle="1">
    <w:name w:val="Normal (Web) Car"/>
    <w:link w:val="NormalWeb"/>
    <w:uiPriority w:val="99"/>
    <w:locked/>
    <w:rsid w:val="007F40B2"/>
    <w:rPr>
      <w:rFonts w:ascii="Times New Roman" w:hAnsi="Times New Roman" w:eastAsia="Times New Roman" w:cs="Times New Roman"/>
      <w:kern w:val="0"/>
      <w:sz w:val="24"/>
      <w:szCs w:val="24"/>
      <w:lang w:eastAsia="es-CO"/>
      <w14:ligatures w14:val="none"/>
    </w:rPr>
  </w:style>
  <w:style w:type="character" w:styleId="Mencinsinresolver">
    <w:name w:val="Unresolved Mention"/>
    <w:basedOn w:val="Fuentedeprrafopredeter"/>
    <w:uiPriority w:val="99"/>
    <w:semiHidden/>
    <w:unhideWhenUsed/>
    <w:rsid w:val="00E224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acuerdomarcokapital25@gmail.com" TargetMode="External" Id="rId8" /><Relationship Type="http://schemas.openxmlformats.org/officeDocument/2006/relationships/footer" Target="footer1.xml" Id="rId13" /><Relationship Type="http://schemas.openxmlformats.org/officeDocument/2006/relationships/customXml" Target="../customXml/item3.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header" Target="header1.xml" Id="rId12" /><Relationship Type="http://schemas.openxmlformats.org/officeDocument/2006/relationships/customXml" Target="../customXml/item2.xml" Id="rId17" /><Relationship Type="http://schemas.openxmlformats.org/officeDocument/2006/relationships/styles" Target="styles.xml" Id="rId2" /><Relationship Type="http://schemas.openxmlformats.org/officeDocument/2006/relationships/customXml" Target="../customXml/item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2.png"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hyperlink" Target="http://www.colombiacompra.gov.co" TargetMode="External" Id="rId10" /><Relationship Type="http://schemas.openxmlformats.org/officeDocument/2006/relationships/webSettings" Target="webSettings.xml" Id="rId4" /><Relationship Type="http://schemas.openxmlformats.org/officeDocument/2006/relationships/hyperlink" Target="https://relatoria.colombiacompra.gov.co/busqueda/conceptos" TargetMode="Externa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64FBD2-7A17-4C25-9ED2-785B1C618278}"/>
</file>

<file path=customXml/itemProps2.xml><?xml version="1.0" encoding="utf-8"?>
<ds:datastoreItem xmlns:ds="http://schemas.openxmlformats.org/officeDocument/2006/customXml" ds:itemID="{C3CC5B3E-82D9-4D8E-83C3-DCEF22E0D83C}"/>
</file>

<file path=customXml/itemProps3.xml><?xml version="1.0" encoding="utf-8"?>
<ds:datastoreItem xmlns:ds="http://schemas.openxmlformats.org/officeDocument/2006/customXml" ds:itemID="{1E404F31-C4DF-4202-A033-61A0803EDC41}"/>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44</cp:revision>
  <dcterms:created xsi:type="dcterms:W3CDTF">2026-10-21T21:48:00Z</dcterms:created>
  <dcterms:modified xsi:type="dcterms:W3CDTF">2026-10-23T21:30:45Z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