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357CE9" w14:textId="77777777" w:rsidR="00C63ADB" w:rsidRDefault="00C63ADB" w:rsidP="00C63ADB">
      <w:pPr>
        <w:jc w:val="both"/>
        <w:rPr>
          <w:rFonts w:ascii="Verdana" w:eastAsia="Times New Roman" w:hAnsi="Verdana" w:cs="Arial"/>
          <w:b/>
          <w:bCs/>
          <w:lang w:eastAsia="es-ES_tradnl"/>
        </w:rPr>
      </w:pPr>
      <w:bookmarkStart w:id="0" w:name="_Hlk214366482"/>
      <w:bookmarkStart w:id="1" w:name="_Hlk143780582"/>
      <w:r w:rsidRPr="00B34683">
        <w:rPr>
          <w:rFonts w:ascii="Verdana" w:hAnsi="Verdana" w:cs="Arial"/>
          <w:b/>
          <w:bCs/>
          <w:color w:val="000000" w:themeColor="text1"/>
        </w:rPr>
        <w:t xml:space="preserve">CONTRATO DE PRESTACIÓN DE SERVICIOS </w:t>
      </w:r>
      <w:r w:rsidRPr="00B34683">
        <w:rPr>
          <w:rFonts w:ascii="Verdana" w:eastAsia="Times New Roman" w:hAnsi="Verdana" w:cs="Arial"/>
          <w:b/>
          <w:bCs/>
          <w:lang w:eastAsia="es-ES_tradnl"/>
        </w:rPr>
        <w:t>– Naturaleza</w:t>
      </w:r>
    </w:p>
    <w:p w14:paraId="0005CA1E" w14:textId="77777777" w:rsidR="00C63ADB" w:rsidRDefault="00C63ADB" w:rsidP="00C63ADB">
      <w:pPr>
        <w:spacing w:after="0" w:line="240" w:lineRule="auto"/>
        <w:jc w:val="both"/>
        <w:rPr>
          <w:rFonts w:ascii="Verdana" w:eastAsia="Calibri" w:hAnsi="Verdana" w:cs="Arial"/>
          <w:color w:val="000000"/>
          <w:lang w:val="es-ES_tradnl"/>
        </w:rPr>
      </w:pPr>
      <w:r w:rsidRPr="00B34683">
        <w:rPr>
          <w:rFonts w:ascii="Verdana" w:eastAsia="Calibri" w:hAnsi="Verdana" w:cs="Arial"/>
          <w:color w:val="000000"/>
          <w:sz w:val="20"/>
          <w:szCs w:val="20"/>
          <w:lang w:val="es-ES_tradnl"/>
        </w:rPr>
        <w:t>El contrato de prestación de servicios es uno de los tipos contractuales consagrados en el Estatuto General de Contratación de la Administración Pública – en adelante EGCAP</w:t>
      </w:r>
      <w:r>
        <w:rPr>
          <w:rFonts w:ascii="Verdana" w:eastAsia="Calibri" w:hAnsi="Verdana" w:cs="Arial"/>
          <w:color w:val="000000"/>
          <w:sz w:val="20"/>
          <w:szCs w:val="20"/>
          <w:lang w:val="es-ES_tradnl"/>
        </w:rPr>
        <w:t>-</w:t>
      </w:r>
      <w:r w:rsidRPr="00B34683">
        <w:rPr>
          <w:rFonts w:ascii="Verdana" w:eastAsia="Calibri" w:hAnsi="Verdana" w:cs="Arial"/>
          <w:color w:val="000000"/>
          <w:sz w:val="20"/>
          <w:szCs w:val="20"/>
          <w:lang w:val="es-ES_tradnl"/>
        </w:rPr>
        <w:t>, que pueden celebrar las entidades estatales […] Se trata de un contrato típico, ya que se encuentra definido en la ley y, por tanto, en las condiciones descritas en los artículos 13, 32 y 40 del EGCAP, su regulación desplaza las reglas del arrendamiento de servicios inmateriales de que tratan los artículos 2063 y siguientes del Código Civil</w:t>
      </w:r>
      <w:r w:rsidRPr="00884819">
        <w:rPr>
          <w:rFonts w:ascii="Verdana" w:eastAsia="Calibri" w:hAnsi="Verdana" w:cs="Arial"/>
          <w:color w:val="000000"/>
          <w:lang w:val="es-ES_tradnl"/>
        </w:rPr>
        <w:t xml:space="preserve">. </w:t>
      </w:r>
    </w:p>
    <w:p w14:paraId="7927A1B5" w14:textId="77777777" w:rsidR="00C63ADB" w:rsidRDefault="00C63ADB" w:rsidP="00C63ADB">
      <w:pPr>
        <w:spacing w:after="0" w:line="240" w:lineRule="auto"/>
        <w:jc w:val="both"/>
        <w:rPr>
          <w:rFonts w:ascii="Verdana" w:eastAsia="Calibri" w:hAnsi="Verdana" w:cs="Arial"/>
          <w:color w:val="000000"/>
          <w:lang w:val="es-ES_tradnl"/>
        </w:rPr>
      </w:pPr>
    </w:p>
    <w:p w14:paraId="0073A188" w14:textId="77777777" w:rsidR="00C63ADB" w:rsidRDefault="00C63ADB" w:rsidP="00C63ADB">
      <w:pPr>
        <w:spacing w:after="0" w:line="240" w:lineRule="auto"/>
        <w:jc w:val="both"/>
        <w:rPr>
          <w:rFonts w:ascii="Verdana" w:eastAsia="Calibri" w:hAnsi="Verdana" w:cs="Arial"/>
          <w:color w:val="000000"/>
        </w:rPr>
      </w:pPr>
      <w:r w:rsidRPr="00B34683">
        <w:rPr>
          <w:rFonts w:ascii="Verdana" w:eastAsia="Times New Roman" w:hAnsi="Verdana" w:cs="Arial"/>
          <w:b/>
          <w:bCs/>
          <w:lang w:eastAsia="es-ES_tradnl"/>
        </w:rPr>
        <w:t xml:space="preserve">PLANEACIÓN CONTRACTUAL – Alcance </w:t>
      </w:r>
    </w:p>
    <w:p w14:paraId="6F089AB9" w14:textId="77777777" w:rsidR="00C63ADB" w:rsidRDefault="00C63ADB" w:rsidP="00C63ADB">
      <w:pPr>
        <w:spacing w:after="0" w:line="240" w:lineRule="auto"/>
        <w:jc w:val="both"/>
        <w:rPr>
          <w:rFonts w:ascii="Verdana" w:eastAsia="Calibri" w:hAnsi="Verdana" w:cs="Arial"/>
          <w:color w:val="000000"/>
        </w:rPr>
      </w:pPr>
    </w:p>
    <w:p w14:paraId="38248D84" w14:textId="77777777" w:rsidR="00C63ADB" w:rsidRDefault="00C63ADB" w:rsidP="00C63ADB">
      <w:pPr>
        <w:spacing w:after="0" w:line="240" w:lineRule="auto"/>
        <w:jc w:val="both"/>
        <w:rPr>
          <w:rFonts w:ascii="Verdana" w:eastAsia="Calibri" w:hAnsi="Verdana" w:cs="Arial"/>
          <w:bCs/>
          <w:sz w:val="20"/>
          <w:szCs w:val="20"/>
          <w:lang w:val="es-ES_tradnl"/>
        </w:rPr>
      </w:pPr>
      <w:r w:rsidRPr="00B34683">
        <w:rPr>
          <w:rFonts w:ascii="Verdana" w:eastAsia="Calibri" w:hAnsi="Verdana" w:cs="Arial"/>
          <w:bCs/>
          <w:sz w:val="20"/>
          <w:szCs w:val="20"/>
          <w:lang w:val="es-ES_tradnl"/>
        </w:rPr>
        <w:t>[…] la planeación contractual es una herramienta de gerencia pública, la cual exige estructurar el proceso contractual dedicando tiempo y esfuerzos para elaborar estudios previos, con el fin de determinar la necesidad que pretende satisfacer y cuál es la mejor manera de hacerlo, consultando el tipo de bienes y servicios que ofrece el mercado y cuáles son sus características, especificaciones, precios, costos, riesgos, garantías, disponibilidad, oferentes, etc., que conlleven a una diligente escogencia de la mejor oferta para beneficiar los intereses y fines públicos inmersos en la contratación de las entidades estatales.</w:t>
      </w:r>
    </w:p>
    <w:p w14:paraId="6D55CBF4" w14:textId="77777777" w:rsidR="00C63ADB" w:rsidRDefault="00C63ADB" w:rsidP="00C63ADB">
      <w:pPr>
        <w:spacing w:after="0" w:line="240" w:lineRule="auto"/>
        <w:jc w:val="both"/>
        <w:rPr>
          <w:rFonts w:ascii="Verdana" w:eastAsia="Calibri" w:hAnsi="Verdana" w:cs="Arial"/>
          <w:color w:val="000000"/>
          <w:sz w:val="20"/>
          <w:szCs w:val="20"/>
          <w:lang w:val="es-ES_tradnl"/>
        </w:rPr>
      </w:pPr>
    </w:p>
    <w:p w14:paraId="0F7E4907" w14:textId="77777777" w:rsidR="00C63ADB" w:rsidRPr="00B34683" w:rsidRDefault="00C63ADB" w:rsidP="00C63ADB">
      <w:pPr>
        <w:spacing w:after="0" w:line="240" w:lineRule="auto"/>
        <w:jc w:val="both"/>
        <w:rPr>
          <w:rFonts w:ascii="Verdana" w:eastAsia="Calibri" w:hAnsi="Verdana" w:cs="Arial"/>
          <w:color w:val="000000"/>
          <w:sz w:val="20"/>
          <w:szCs w:val="20"/>
          <w:lang w:val="es-ES_tradnl"/>
        </w:rPr>
      </w:pPr>
      <w:r w:rsidRPr="00B34683">
        <w:rPr>
          <w:rFonts w:ascii="Verdana" w:eastAsia="Calibri" w:hAnsi="Verdana" w:cs="Arial"/>
          <w:color w:val="000000"/>
          <w:sz w:val="20"/>
          <w:szCs w:val="20"/>
          <w:lang w:val="es-ES_tradnl"/>
        </w:rPr>
        <w:t>El EGCAP contiene disposiciones que demandan de las entidades estatales el deber de realizar planeación en la etapa precontractual, para que los procesos de contratación satisfagan las necesidades de la Administración, cumplan sus fines, logren la continua y eficiente prestación de los servicios públicos y permitan la efectividad de los derechos e intereses de los administrados que colaboran en la consecución</w:t>
      </w:r>
      <w:r>
        <w:rPr>
          <w:rFonts w:ascii="Verdana" w:eastAsia="Calibri" w:hAnsi="Verdana" w:cs="Arial"/>
          <w:color w:val="000000"/>
          <w:sz w:val="20"/>
          <w:szCs w:val="20"/>
          <w:lang w:val="es-ES_tradnl"/>
        </w:rPr>
        <w:t>.</w:t>
      </w:r>
    </w:p>
    <w:p w14:paraId="7AC44EE8" w14:textId="77777777" w:rsidR="00C63ADB" w:rsidRDefault="00C63ADB" w:rsidP="00C63ADB">
      <w:pPr>
        <w:spacing w:after="0" w:line="240" w:lineRule="auto"/>
        <w:jc w:val="both"/>
        <w:rPr>
          <w:rFonts w:ascii="Verdana" w:eastAsia="Times New Roman" w:hAnsi="Verdana" w:cs="Arial"/>
          <w:b/>
          <w:bCs/>
          <w:lang w:eastAsia="es-ES_tradnl"/>
        </w:rPr>
      </w:pPr>
    </w:p>
    <w:p w14:paraId="5814116B" w14:textId="77777777" w:rsidR="00C63ADB" w:rsidRDefault="00C63ADB" w:rsidP="00C63ADB">
      <w:pPr>
        <w:jc w:val="both"/>
        <w:rPr>
          <w:rFonts w:ascii="Verdana" w:eastAsia="Times New Roman" w:hAnsi="Verdana" w:cs="Arial"/>
          <w:b/>
          <w:bCs/>
          <w:lang w:eastAsia="es-ES_tradnl"/>
        </w:rPr>
      </w:pPr>
      <w:r w:rsidRPr="00B34683">
        <w:rPr>
          <w:rFonts w:ascii="Verdana" w:eastAsia="Times New Roman" w:hAnsi="Verdana" w:cs="Arial"/>
          <w:b/>
          <w:bCs/>
          <w:lang w:eastAsia="es-ES_tradnl"/>
        </w:rPr>
        <w:t xml:space="preserve">ESTUDIOS PREVIOS – Alcance </w:t>
      </w:r>
    </w:p>
    <w:p w14:paraId="14ED0885" w14:textId="77777777" w:rsidR="00C63ADB" w:rsidRPr="00151FDE" w:rsidRDefault="00C63ADB" w:rsidP="00C63ADB">
      <w:pPr>
        <w:spacing w:after="0" w:line="240" w:lineRule="auto"/>
        <w:ind w:right="51"/>
        <w:jc w:val="both"/>
        <w:rPr>
          <w:rFonts w:ascii="Verdana" w:hAnsi="Verdana" w:cs="Arial"/>
          <w:sz w:val="20"/>
          <w:szCs w:val="20"/>
          <w:lang w:val="es-MX"/>
        </w:rPr>
      </w:pPr>
      <w:r w:rsidRPr="00151FDE">
        <w:rPr>
          <w:rFonts w:ascii="Verdana" w:hAnsi="Verdana" w:cs="Arial"/>
          <w:sz w:val="20"/>
          <w:szCs w:val="20"/>
          <w:lang w:val="es-MX"/>
        </w:rPr>
        <w:t>[…] los estudios y documentos previos son el soporte para elaborar el proyecto de pliegos, los pliegos de condiciones, y el contrato”, por lo que deben publicarse en la etapa precontractual y sirven de motivación para los documentos expedidos unilateralmente por la entidad estatal tales como el acto administrativo de apertura, los pliegos de condiciones y el acto de adjudicación, entre otros. En ese sentido, los estudios y documentos previos son necesarios antes de la celebración del contrato, pues fundamentan las condiciones que la Entidad Estatal exige en sus procesos de contratación. Sin embargo, luego de la suscripción del contrato la entidad no debe actuar unilateralmente, sino que debe respetar la buena fe contractual y proceder de acuerdo con lo pactado.</w:t>
      </w:r>
    </w:p>
    <w:p w14:paraId="646C9734" w14:textId="77777777" w:rsidR="00C63ADB" w:rsidRPr="00151FDE" w:rsidRDefault="00C63ADB" w:rsidP="00C63ADB">
      <w:pPr>
        <w:spacing w:after="0" w:line="240" w:lineRule="auto"/>
        <w:jc w:val="both"/>
        <w:rPr>
          <w:rFonts w:ascii="Verdana" w:eastAsia="Times New Roman" w:hAnsi="Verdana" w:cs="Arial"/>
          <w:b/>
          <w:bCs/>
          <w:lang w:val="es-MX" w:eastAsia="es-ES_tradnl"/>
        </w:rPr>
      </w:pPr>
    </w:p>
    <w:p w14:paraId="34F18B45" w14:textId="77777777" w:rsidR="00C63ADB" w:rsidRDefault="00C63ADB" w:rsidP="00C63ADB">
      <w:pPr>
        <w:jc w:val="both"/>
        <w:rPr>
          <w:rFonts w:ascii="Verdana" w:eastAsia="Times New Roman" w:hAnsi="Verdana" w:cs="Arial"/>
          <w:b/>
          <w:bCs/>
          <w:lang w:eastAsia="es-ES_tradnl"/>
        </w:rPr>
      </w:pPr>
      <w:r w:rsidRPr="00B34683">
        <w:rPr>
          <w:rFonts w:ascii="Verdana" w:eastAsia="Times New Roman" w:hAnsi="Verdana" w:cs="Arial"/>
          <w:b/>
          <w:bCs/>
          <w:lang w:eastAsia="es-ES_tradnl"/>
        </w:rPr>
        <w:t xml:space="preserve">ESTUDIOS DEL SECTOR – Identificación aspectos de mercado </w:t>
      </w:r>
    </w:p>
    <w:p w14:paraId="3178A6B1" w14:textId="77777777" w:rsidR="00C63ADB" w:rsidRDefault="00C63ADB" w:rsidP="00C63ADB">
      <w:pPr>
        <w:spacing w:after="0" w:line="240" w:lineRule="auto"/>
        <w:jc w:val="both"/>
        <w:rPr>
          <w:rFonts w:ascii="Verdana" w:eastAsia="Calibri" w:hAnsi="Verdana" w:cs="Arial"/>
          <w:sz w:val="20"/>
          <w:szCs w:val="20"/>
          <w:lang w:val="es-ES"/>
        </w:rPr>
      </w:pPr>
      <w:r>
        <w:rPr>
          <w:rFonts w:ascii="Verdana" w:eastAsia="Calibri" w:hAnsi="Verdana" w:cs="Arial"/>
          <w:sz w:val="20"/>
          <w:szCs w:val="20"/>
          <w:lang w:val="es-ES"/>
        </w:rPr>
        <w:t xml:space="preserve">[…] </w:t>
      </w:r>
      <w:r w:rsidRPr="00151FDE">
        <w:rPr>
          <w:rFonts w:ascii="Verdana" w:eastAsia="Calibri" w:hAnsi="Verdana" w:cs="Arial"/>
          <w:sz w:val="20"/>
          <w:szCs w:val="20"/>
          <w:lang w:val="es-ES"/>
        </w:rPr>
        <w:t xml:space="preserve">es necesario el estudio del mercado y el análisis del sector económico y de los oferentes, actividad de planeación previa que sirve para identificar aspectos concretos del mercado que pueden afectar el proceso de selección o las condiciones del negocio a realizar a través del proceso de contratación de bienes, obras o servicios. En este sentido, el artículo 2.2.1.1.1.6.1 del Decreto 1082 de 2015 dispone lo siguiente: “La </w:t>
      </w:r>
      <w:r w:rsidRPr="00151FDE">
        <w:rPr>
          <w:rFonts w:ascii="Verdana" w:eastAsia="Calibri" w:hAnsi="Verdana" w:cs="Arial"/>
          <w:sz w:val="20"/>
          <w:szCs w:val="20"/>
          <w:lang w:val="es-ES"/>
        </w:rPr>
        <w:lastRenderedPageBreak/>
        <w:t>Entidad Estatal debe hacer, durante la etapa de planeación, el análisis necesario para conocer el sector relativo al objeto del Proceso de Contratación desde la perspectiva legal, comercial, financiera, organizacional, técnica, y de análisis de Riesgo. La Entidad Estatal debe dejar constancia de este análisis en los Documentos del Proceso”.</w:t>
      </w:r>
    </w:p>
    <w:p w14:paraId="7C9F98DB" w14:textId="77777777" w:rsidR="00C63ADB" w:rsidRDefault="00C63ADB" w:rsidP="00C63ADB">
      <w:pPr>
        <w:spacing w:after="0" w:line="240" w:lineRule="auto"/>
        <w:jc w:val="both"/>
        <w:rPr>
          <w:rFonts w:ascii="Verdana" w:eastAsia="Calibri" w:hAnsi="Verdana" w:cs="Arial"/>
          <w:sz w:val="20"/>
          <w:szCs w:val="20"/>
          <w:lang w:val="es-ES"/>
        </w:rPr>
      </w:pPr>
    </w:p>
    <w:p w14:paraId="11B8117B" w14:textId="77777777" w:rsidR="00C63ADB" w:rsidRDefault="00C63ADB" w:rsidP="00C63ADB">
      <w:pPr>
        <w:spacing w:after="0" w:line="240" w:lineRule="auto"/>
        <w:jc w:val="both"/>
        <w:rPr>
          <w:rFonts w:ascii="Verdana" w:eastAsia="Calibri" w:hAnsi="Verdana" w:cs="Arial"/>
          <w:sz w:val="20"/>
          <w:szCs w:val="20"/>
          <w:lang w:val="es-ES"/>
        </w:rPr>
      </w:pPr>
      <w:r w:rsidRPr="00151FDE">
        <w:rPr>
          <w:rFonts w:ascii="Verdana" w:eastAsia="Calibri" w:hAnsi="Verdana" w:cs="Arial"/>
          <w:sz w:val="20"/>
          <w:szCs w:val="20"/>
          <w:lang w:val="es-ES"/>
        </w:rPr>
        <w:t>De acuerdo con la norma citada, la entidad debe realizar el análisis necesario para conocer el sector relativo al objeto del proceso de contratación, sin que sea relevante la modalidad de selección. Hacer un análisis desde la perspectiva legal implica la revisión de la regulación vigente para el mercado dentro del que se encuentra el objeto del contrato. La perspectiva comercial hace referencia a analizar quiénes pueden ofrecer el bien o servicio que se quiere contratar, cuáles son sus condiciones, si tienen condiciones especiales que sean relevantes para determinar los requisitos habilitantes, entre otros. Desde una perspectiva financiera, el análisis conlleva una revisión de las características financieras que se presentan dentro del mercado del bien o servicio, como por ejemplo el índice de endeudamiento que tienen las empresas o personas naturales que ofrecen dicho bien o servicio. Con la perspectiva organizacional se pretende que la entidad estatal entienda cómo están organizados internamente los posibles oferentes y de qué manera realizan sus negocios y operaciones.</w:t>
      </w:r>
    </w:p>
    <w:p w14:paraId="5D836257" w14:textId="77777777" w:rsidR="00C63ADB" w:rsidRDefault="00C63ADB" w:rsidP="00C63ADB">
      <w:pPr>
        <w:spacing w:after="0" w:line="240" w:lineRule="auto"/>
        <w:jc w:val="both"/>
        <w:rPr>
          <w:rFonts w:ascii="Verdana" w:eastAsia="Calibri" w:hAnsi="Verdana" w:cs="Arial"/>
          <w:sz w:val="20"/>
          <w:szCs w:val="20"/>
          <w:lang w:val="es-ES_tradnl"/>
        </w:rPr>
      </w:pPr>
    </w:p>
    <w:p w14:paraId="14608876" w14:textId="77777777" w:rsidR="00C63ADB" w:rsidRPr="00151FDE" w:rsidRDefault="00C63ADB" w:rsidP="00C63ADB">
      <w:pPr>
        <w:spacing w:after="0" w:line="240" w:lineRule="auto"/>
        <w:jc w:val="both"/>
        <w:rPr>
          <w:rFonts w:ascii="Verdana" w:eastAsia="Calibri" w:hAnsi="Verdana" w:cs="Arial"/>
          <w:sz w:val="20"/>
          <w:szCs w:val="20"/>
          <w:lang w:val="es-ES_tradnl"/>
        </w:rPr>
      </w:pPr>
      <w:r w:rsidRPr="00151FDE">
        <w:rPr>
          <w:rFonts w:ascii="Verdana" w:eastAsia="Calibri" w:hAnsi="Verdana" w:cs="Arial"/>
          <w:sz w:val="20"/>
          <w:szCs w:val="20"/>
          <w:lang w:val="es-ES_tradnl"/>
        </w:rPr>
        <w:t>Para negociar de manera adecuada, es necesario conocer la estructura de los posibles contratistas, pues permite identificar la forma en la que suplirá los requerimientos de la entidad. El análisis del sector debe tener en cuenta el objeto del proceso de contratación, las condiciones del bien o servicio y las ventajas que representa para la Administración contratar el bien o servicio con el contratista. En este último punto, el análisis del sector permite sustentar la decisión de realizar un proceso de contratación desde el punto de vista de la eficiencia, eficacia y economía.</w:t>
      </w:r>
    </w:p>
    <w:p w14:paraId="565FDD13" w14:textId="77777777" w:rsidR="00C63ADB" w:rsidRPr="00151FDE" w:rsidRDefault="00C63ADB" w:rsidP="00C63ADB">
      <w:pPr>
        <w:spacing w:after="0" w:line="240" w:lineRule="auto"/>
        <w:jc w:val="both"/>
        <w:rPr>
          <w:rFonts w:ascii="Verdana" w:eastAsia="Times New Roman" w:hAnsi="Verdana" w:cs="Arial"/>
          <w:b/>
          <w:bCs/>
          <w:lang w:val="es-ES" w:eastAsia="es-ES_tradnl"/>
        </w:rPr>
      </w:pPr>
    </w:p>
    <w:p w14:paraId="36B1034F" w14:textId="77777777" w:rsidR="00C63ADB" w:rsidRDefault="00C63ADB" w:rsidP="00C63ADB">
      <w:pPr>
        <w:jc w:val="both"/>
        <w:rPr>
          <w:rFonts w:ascii="Verdana" w:eastAsia="Times New Roman" w:hAnsi="Verdana" w:cs="Arial"/>
          <w:b/>
          <w:bCs/>
          <w:lang w:eastAsia="es-ES_tradnl"/>
        </w:rPr>
      </w:pPr>
      <w:r w:rsidRPr="00B34683">
        <w:rPr>
          <w:rFonts w:ascii="Verdana" w:eastAsia="Times New Roman" w:hAnsi="Verdana" w:cs="Arial"/>
          <w:b/>
          <w:bCs/>
          <w:lang w:eastAsia="es-ES_tradnl"/>
        </w:rPr>
        <w:t xml:space="preserve">ESTUDIOS DEL SECTOR – Contratación directa </w:t>
      </w:r>
    </w:p>
    <w:p w14:paraId="3FD8CCA2" w14:textId="77777777" w:rsidR="00C63ADB" w:rsidRPr="00151FDE" w:rsidRDefault="00C63ADB" w:rsidP="00C63ADB">
      <w:pPr>
        <w:spacing w:after="0" w:line="240" w:lineRule="auto"/>
        <w:jc w:val="both"/>
        <w:rPr>
          <w:rFonts w:ascii="Verdana" w:eastAsia="Times New Roman" w:hAnsi="Verdana" w:cs="Arial"/>
          <w:sz w:val="20"/>
          <w:szCs w:val="20"/>
          <w:lang w:eastAsia="es-ES_tradnl"/>
        </w:rPr>
      </w:pPr>
      <w:r w:rsidRPr="00151FDE">
        <w:rPr>
          <w:rFonts w:ascii="Verdana" w:eastAsia="Times New Roman" w:hAnsi="Verdana" w:cs="Arial"/>
          <w:sz w:val="20"/>
          <w:szCs w:val="20"/>
          <w:lang w:eastAsia="es-ES_tradnl"/>
        </w:rPr>
        <w:t xml:space="preserve">Si bien los estudios del sector son de gran relevancia en los procesos de contratación donde existe pluralidad de oferentes, nada obsta para que se elaboren allí donde no existiría competencia. Para estos efectos, la guía mencionada en el precedente explica que “En la contratación directa, el estudio del sector debe tener en cuenta el objeto del Proceso de Contratación, particularmente las condiciones del contrato, como los plazos y formas de entrega y de pago. El estudio del sector debe permitir a la Entidad Estatal sustentar su decisión de hacer una contratación directa, la elección del proveedor y la forma en que se pacta el contrato desde el punto de vista de la eficiencia, eficacia y economía. La Entidad Estatal debe consignar en los Documentos del Proceso, bien sea en los estudios previos o en la información de soporte de </w:t>
      </w:r>
      <w:proofErr w:type="gramStart"/>
      <w:r w:rsidRPr="00151FDE">
        <w:rPr>
          <w:rFonts w:ascii="Verdana" w:eastAsia="Times New Roman" w:hAnsi="Verdana" w:cs="Arial"/>
          <w:sz w:val="20"/>
          <w:szCs w:val="20"/>
          <w:lang w:eastAsia="es-ES_tradnl"/>
        </w:rPr>
        <w:t>los mismos</w:t>
      </w:r>
      <w:proofErr w:type="gramEnd"/>
      <w:r w:rsidRPr="00151FDE">
        <w:rPr>
          <w:rFonts w:ascii="Verdana" w:eastAsia="Times New Roman" w:hAnsi="Verdana" w:cs="Arial"/>
          <w:sz w:val="20"/>
          <w:szCs w:val="20"/>
          <w:lang w:eastAsia="es-ES_tradnl"/>
        </w:rPr>
        <w:t>, los aspectos de que trata el artículo 2.2.1.1.1.6.1 del Decreto 1082 de 2015 (…)”.</w:t>
      </w:r>
    </w:p>
    <w:p w14:paraId="7B2F4202" w14:textId="77777777" w:rsidR="00C63ADB" w:rsidRPr="00B34683" w:rsidRDefault="00C63ADB" w:rsidP="00C63ADB">
      <w:pPr>
        <w:spacing w:after="0" w:line="240" w:lineRule="auto"/>
        <w:jc w:val="both"/>
        <w:rPr>
          <w:rFonts w:ascii="Verdana" w:eastAsia="Times New Roman" w:hAnsi="Verdana" w:cs="Arial"/>
          <w:b/>
          <w:bCs/>
          <w:lang w:eastAsia="es-ES_tradnl"/>
        </w:rPr>
      </w:pPr>
    </w:p>
    <w:p w14:paraId="5F043ACA" w14:textId="77777777" w:rsidR="00C63ADB" w:rsidRPr="00B7568C" w:rsidRDefault="00C63ADB" w:rsidP="00C63ADB">
      <w:pPr>
        <w:spacing w:after="0" w:line="240" w:lineRule="auto"/>
        <w:jc w:val="both"/>
        <w:rPr>
          <w:rFonts w:ascii="Verdana" w:eastAsia="Times New Roman" w:hAnsi="Verdana" w:cs="Arial"/>
          <w:b/>
          <w:bCs/>
          <w:lang w:eastAsia="es-ES_tradnl"/>
        </w:rPr>
      </w:pPr>
      <w:r w:rsidRPr="00B7568C">
        <w:rPr>
          <w:rFonts w:ascii="Verdana" w:eastAsia="Times New Roman" w:hAnsi="Verdana" w:cs="Arial"/>
          <w:b/>
          <w:bCs/>
          <w:lang w:eastAsia="es-ES_tradnl"/>
        </w:rPr>
        <w:t>RIESGOS ‒ Normativa ‒ Artículo 4 de la Ley 1150 de 2007 ‒ Ámbito de aplicación</w:t>
      </w:r>
    </w:p>
    <w:p w14:paraId="40503F29" w14:textId="77777777" w:rsidR="00C63ADB" w:rsidRDefault="00C63ADB" w:rsidP="00C63ADB">
      <w:pPr>
        <w:spacing w:after="0" w:line="240" w:lineRule="auto"/>
        <w:jc w:val="both"/>
        <w:rPr>
          <w:rFonts w:ascii="Verdana" w:eastAsia="Times New Roman" w:hAnsi="Verdana" w:cs="Arial"/>
          <w:b/>
          <w:bCs/>
          <w:lang w:eastAsia="es-ES_tradnl"/>
        </w:rPr>
      </w:pPr>
    </w:p>
    <w:p w14:paraId="6193D153" w14:textId="77777777" w:rsidR="00C63ADB" w:rsidRPr="00B7568C" w:rsidRDefault="00C63ADB" w:rsidP="00C63ADB">
      <w:pPr>
        <w:spacing w:after="0" w:line="240" w:lineRule="auto"/>
        <w:jc w:val="both"/>
        <w:rPr>
          <w:rFonts w:ascii="Verdana" w:eastAsia="Times New Roman" w:hAnsi="Verdana" w:cs="Times New Roman"/>
          <w:sz w:val="20"/>
          <w:szCs w:val="20"/>
        </w:rPr>
      </w:pPr>
      <w:r w:rsidRPr="00B7568C">
        <w:rPr>
          <w:rFonts w:ascii="Verdana" w:eastAsia="Times New Roman" w:hAnsi="Verdana" w:cs="Times New Roman"/>
          <w:sz w:val="20"/>
          <w:szCs w:val="20"/>
        </w:rPr>
        <w:t xml:space="preserve">Con la expedición de la Ley 1150 de 2007 se propendió porque, durante la planeación de los procesos de contratación, las entidades estatales estimaran de forma anticipada </w:t>
      </w:r>
      <w:r w:rsidRPr="00B7568C">
        <w:rPr>
          <w:rFonts w:ascii="Verdana" w:eastAsia="Times New Roman" w:hAnsi="Verdana" w:cs="Times New Roman"/>
          <w:sz w:val="20"/>
          <w:szCs w:val="20"/>
        </w:rPr>
        <w:lastRenderedPageBreak/>
        <w:t>las posibles eventualidades que puedan generarse durante la ejecución del contrato. Así, el artículo 4 de dicha ley obliga a las entidades estatales a estimar, tipificar y asignar los riesgos previsibles involucrados en la contratación dentro de los pliegos de condiciones o sus equivalentes, y a señalar, en las licitaciones públicas, el momento en el que, con anterioridad a la presentación de las ofertas, los oferentes y la entidad revisarán la asignación de riesgos con el fin de establecer su distribución definitiva. Por su parte, el numeral 6 del artículo 2.2.1.1.2.1.1 del Decreto 1082 de 2015 reiteró esta obligación al exigir que los estudios y documentos previos contengan el análisis de riesgo y la forma de mitigarlo</w:t>
      </w:r>
    </w:p>
    <w:p w14:paraId="7ED2374A" w14:textId="77777777" w:rsidR="00C63ADB" w:rsidRPr="00B7568C" w:rsidRDefault="00C63ADB" w:rsidP="00C63ADB">
      <w:pPr>
        <w:spacing w:after="0" w:line="240" w:lineRule="auto"/>
        <w:jc w:val="both"/>
        <w:rPr>
          <w:rFonts w:ascii="Verdana" w:eastAsia="Times New Roman" w:hAnsi="Verdana" w:cs="Arial"/>
          <w:lang w:eastAsia="es-ES_tradnl"/>
        </w:rPr>
      </w:pPr>
    </w:p>
    <w:p w14:paraId="619FFF6D" w14:textId="77777777" w:rsidR="00C63ADB" w:rsidRPr="00B7568C" w:rsidRDefault="00C63ADB" w:rsidP="00C63ADB">
      <w:pPr>
        <w:spacing w:after="0" w:line="240" w:lineRule="auto"/>
        <w:jc w:val="both"/>
        <w:rPr>
          <w:rFonts w:ascii="Verdana" w:eastAsia="Calibri" w:hAnsi="Verdana" w:cs="Arial"/>
          <w:b/>
          <w:bCs/>
          <w:lang w:eastAsia="es-ES"/>
        </w:rPr>
      </w:pPr>
      <w:r w:rsidRPr="00B7568C">
        <w:rPr>
          <w:rFonts w:ascii="Verdana" w:hAnsi="Verdana" w:cs="Arial"/>
          <w:b/>
          <w:bCs/>
          <w:color w:val="000000"/>
          <w:lang w:val="es-ES"/>
        </w:rPr>
        <w:t>IDONEIDAD Y EXPERIENCIA – Deber de verificación – Alcance</w:t>
      </w:r>
    </w:p>
    <w:p w14:paraId="5216E804" w14:textId="77777777" w:rsidR="00C63ADB" w:rsidRDefault="00C63ADB" w:rsidP="00C63ADB">
      <w:pPr>
        <w:spacing w:after="0" w:line="240" w:lineRule="auto"/>
        <w:jc w:val="both"/>
        <w:rPr>
          <w:rFonts w:ascii="Verdana" w:eastAsia="Calibri" w:hAnsi="Verdana" w:cs="Arial"/>
          <w:lang w:eastAsia="es-ES"/>
        </w:rPr>
      </w:pPr>
    </w:p>
    <w:p w14:paraId="53CFBF1D" w14:textId="77777777" w:rsidR="00C63ADB" w:rsidRPr="00B7568C" w:rsidRDefault="00C63ADB" w:rsidP="00C63ADB">
      <w:pPr>
        <w:spacing w:after="0" w:line="240" w:lineRule="auto"/>
        <w:jc w:val="both"/>
        <w:rPr>
          <w:rFonts w:ascii="Verdana" w:eastAsia="Calibri" w:hAnsi="Verdana" w:cs="Arial"/>
          <w:sz w:val="20"/>
          <w:szCs w:val="20"/>
          <w:lang w:eastAsia="es-ES"/>
        </w:rPr>
      </w:pPr>
      <w:r w:rsidRPr="00B7568C">
        <w:rPr>
          <w:rFonts w:ascii="Verdana" w:hAnsi="Verdana" w:cs="Arial"/>
          <w:bCs/>
          <w:sz w:val="20"/>
          <w:lang w:val="es-ES_tradnl" w:eastAsia="es-ES_tradnl"/>
        </w:rPr>
        <w:t>La verificación de la idoneidad merece una precisión adicional. Esta Subdirección ha señalado que la idoneidad “hace referencia a la condición o cualidad que debe acreditar una persona […] a fin de verificar si cuenta con la capacidad para ejecutar el objeto del contrato”, y que se trata de “un requisito plasmado en un concepto jurídicamente indeterminado que es necesario dotar de contenido en cada caso concreto”</w:t>
      </w:r>
    </w:p>
    <w:p w14:paraId="63E39752" w14:textId="77777777" w:rsidR="00C63ADB" w:rsidRDefault="00C63ADB" w:rsidP="00C63ADB">
      <w:pPr>
        <w:spacing w:after="0" w:line="240" w:lineRule="auto"/>
        <w:jc w:val="both"/>
        <w:rPr>
          <w:rFonts w:ascii="Verdana" w:eastAsia="Calibri" w:hAnsi="Verdana" w:cs="Arial"/>
          <w:lang w:eastAsia="es-ES"/>
        </w:rPr>
      </w:pPr>
    </w:p>
    <w:p w14:paraId="2D311230" w14:textId="77777777" w:rsidR="00C63ADB" w:rsidRDefault="00C63ADB" w:rsidP="00C63ADB">
      <w:pPr>
        <w:spacing w:after="0" w:line="240" w:lineRule="auto"/>
        <w:jc w:val="both"/>
        <w:rPr>
          <w:rFonts w:ascii="Verdana" w:eastAsia="Calibri" w:hAnsi="Verdana" w:cs="Arial"/>
          <w:lang w:eastAsia="es-ES"/>
        </w:rPr>
      </w:pPr>
    </w:p>
    <w:p w14:paraId="4E937668" w14:textId="77777777" w:rsidR="00C63ADB" w:rsidRDefault="00C63ADB" w:rsidP="00C63ADB">
      <w:pPr>
        <w:spacing w:after="0" w:line="240" w:lineRule="auto"/>
        <w:jc w:val="both"/>
        <w:rPr>
          <w:rFonts w:ascii="Verdana" w:eastAsia="Calibri" w:hAnsi="Verdana" w:cs="Arial"/>
          <w:lang w:eastAsia="es-ES"/>
        </w:rPr>
      </w:pPr>
    </w:p>
    <w:p w14:paraId="0A324BC0" w14:textId="77777777" w:rsidR="00C63ADB" w:rsidRDefault="00C63ADB" w:rsidP="00C63ADB">
      <w:pPr>
        <w:spacing w:after="0" w:line="240" w:lineRule="auto"/>
        <w:jc w:val="both"/>
        <w:rPr>
          <w:rFonts w:ascii="Verdana" w:eastAsia="Calibri" w:hAnsi="Verdana" w:cs="Arial"/>
          <w:lang w:eastAsia="es-ES"/>
        </w:rPr>
      </w:pPr>
    </w:p>
    <w:p w14:paraId="4690C1AB" w14:textId="77777777" w:rsidR="00C63ADB" w:rsidRDefault="00C63ADB" w:rsidP="00C63ADB">
      <w:pPr>
        <w:spacing w:after="0" w:line="240" w:lineRule="auto"/>
        <w:jc w:val="both"/>
        <w:rPr>
          <w:rFonts w:ascii="Verdana" w:eastAsia="Calibri" w:hAnsi="Verdana" w:cs="Arial"/>
          <w:lang w:eastAsia="es-ES"/>
        </w:rPr>
      </w:pPr>
    </w:p>
    <w:p w14:paraId="3A628A73" w14:textId="77777777" w:rsidR="00C63ADB" w:rsidRDefault="00C63ADB" w:rsidP="00C63ADB">
      <w:pPr>
        <w:spacing w:after="0" w:line="240" w:lineRule="auto"/>
        <w:jc w:val="both"/>
        <w:rPr>
          <w:rFonts w:ascii="Verdana" w:eastAsia="Calibri" w:hAnsi="Verdana" w:cs="Arial"/>
          <w:lang w:eastAsia="es-ES"/>
        </w:rPr>
      </w:pPr>
    </w:p>
    <w:p w14:paraId="716622A2" w14:textId="77777777" w:rsidR="00C63ADB" w:rsidRDefault="00C63ADB" w:rsidP="00C63ADB">
      <w:pPr>
        <w:spacing w:after="0" w:line="240" w:lineRule="auto"/>
        <w:jc w:val="both"/>
        <w:rPr>
          <w:rFonts w:ascii="Verdana" w:eastAsia="Calibri" w:hAnsi="Verdana" w:cs="Arial"/>
          <w:lang w:eastAsia="es-ES"/>
        </w:rPr>
      </w:pPr>
    </w:p>
    <w:p w14:paraId="764B9E47" w14:textId="77777777" w:rsidR="00C63ADB" w:rsidRDefault="00C63ADB" w:rsidP="00C63ADB">
      <w:pPr>
        <w:spacing w:after="0" w:line="240" w:lineRule="auto"/>
        <w:jc w:val="both"/>
        <w:rPr>
          <w:rFonts w:ascii="Verdana" w:eastAsia="Calibri" w:hAnsi="Verdana" w:cs="Arial"/>
          <w:lang w:eastAsia="es-ES"/>
        </w:rPr>
      </w:pPr>
    </w:p>
    <w:p w14:paraId="4E040CB1" w14:textId="77777777" w:rsidR="00C63ADB" w:rsidRDefault="00C63ADB" w:rsidP="00C63ADB">
      <w:pPr>
        <w:spacing w:after="0" w:line="240" w:lineRule="auto"/>
        <w:jc w:val="both"/>
        <w:rPr>
          <w:rFonts w:ascii="Verdana" w:eastAsia="Calibri" w:hAnsi="Verdana" w:cs="Arial"/>
          <w:lang w:eastAsia="es-ES"/>
        </w:rPr>
      </w:pPr>
    </w:p>
    <w:p w14:paraId="0C67C8BB" w14:textId="77777777" w:rsidR="00C63ADB" w:rsidRDefault="00C63ADB" w:rsidP="00C63ADB">
      <w:pPr>
        <w:spacing w:after="0" w:line="240" w:lineRule="auto"/>
        <w:jc w:val="both"/>
        <w:rPr>
          <w:rFonts w:ascii="Verdana" w:eastAsia="Calibri" w:hAnsi="Verdana" w:cs="Arial"/>
          <w:lang w:eastAsia="es-ES"/>
        </w:rPr>
      </w:pPr>
    </w:p>
    <w:p w14:paraId="048C6D07" w14:textId="77777777" w:rsidR="00C63ADB" w:rsidRDefault="00C63ADB" w:rsidP="00C63ADB">
      <w:pPr>
        <w:spacing w:after="0" w:line="240" w:lineRule="auto"/>
        <w:jc w:val="both"/>
        <w:rPr>
          <w:rFonts w:ascii="Verdana" w:eastAsia="Calibri" w:hAnsi="Verdana" w:cs="Arial"/>
          <w:lang w:eastAsia="es-ES"/>
        </w:rPr>
      </w:pPr>
    </w:p>
    <w:p w14:paraId="1A3F56C6" w14:textId="77777777" w:rsidR="00C63ADB" w:rsidRDefault="00C63ADB" w:rsidP="00C63ADB">
      <w:pPr>
        <w:spacing w:after="0" w:line="240" w:lineRule="auto"/>
        <w:jc w:val="both"/>
        <w:rPr>
          <w:rFonts w:ascii="Verdana" w:eastAsia="Calibri" w:hAnsi="Verdana" w:cs="Arial"/>
          <w:lang w:eastAsia="es-ES"/>
        </w:rPr>
      </w:pPr>
    </w:p>
    <w:p w14:paraId="0AF0AA5F" w14:textId="77777777" w:rsidR="00C63ADB" w:rsidRDefault="00C63ADB" w:rsidP="00C63ADB">
      <w:pPr>
        <w:spacing w:after="0" w:line="240" w:lineRule="auto"/>
        <w:jc w:val="both"/>
        <w:rPr>
          <w:rFonts w:ascii="Verdana" w:eastAsia="Calibri" w:hAnsi="Verdana" w:cs="Arial"/>
          <w:lang w:eastAsia="es-ES"/>
        </w:rPr>
      </w:pPr>
    </w:p>
    <w:p w14:paraId="4DC4BA14" w14:textId="77777777" w:rsidR="00C63ADB" w:rsidRDefault="00C63ADB" w:rsidP="00C63ADB">
      <w:pPr>
        <w:spacing w:after="0" w:line="240" w:lineRule="auto"/>
        <w:jc w:val="both"/>
        <w:rPr>
          <w:rFonts w:ascii="Verdana" w:eastAsia="Calibri" w:hAnsi="Verdana" w:cs="Arial"/>
          <w:lang w:eastAsia="es-ES"/>
        </w:rPr>
      </w:pPr>
    </w:p>
    <w:p w14:paraId="0F237A9E" w14:textId="77777777" w:rsidR="00C63ADB" w:rsidRDefault="00C63ADB" w:rsidP="00C63ADB">
      <w:pPr>
        <w:spacing w:after="0" w:line="240" w:lineRule="auto"/>
        <w:jc w:val="both"/>
        <w:rPr>
          <w:rFonts w:ascii="Verdana" w:eastAsia="Calibri" w:hAnsi="Verdana" w:cs="Arial"/>
          <w:lang w:eastAsia="es-ES"/>
        </w:rPr>
      </w:pPr>
    </w:p>
    <w:p w14:paraId="5F23C1B5" w14:textId="77777777" w:rsidR="00C63ADB" w:rsidRDefault="00C63ADB" w:rsidP="00C63ADB">
      <w:pPr>
        <w:spacing w:after="0" w:line="240" w:lineRule="auto"/>
        <w:jc w:val="both"/>
        <w:rPr>
          <w:rFonts w:ascii="Verdana" w:eastAsia="Calibri" w:hAnsi="Verdana" w:cs="Arial"/>
          <w:lang w:eastAsia="es-ES"/>
        </w:rPr>
      </w:pPr>
    </w:p>
    <w:p w14:paraId="79CB3370" w14:textId="77777777" w:rsidR="00C63ADB" w:rsidRDefault="00C63ADB" w:rsidP="00C63ADB">
      <w:pPr>
        <w:spacing w:after="0" w:line="240" w:lineRule="auto"/>
        <w:jc w:val="both"/>
        <w:rPr>
          <w:rFonts w:ascii="Verdana" w:eastAsia="Calibri" w:hAnsi="Verdana" w:cs="Arial"/>
          <w:lang w:eastAsia="es-ES"/>
        </w:rPr>
      </w:pPr>
    </w:p>
    <w:p w14:paraId="0381451B" w14:textId="77777777" w:rsidR="00C63ADB" w:rsidRDefault="00C63ADB" w:rsidP="00C63ADB">
      <w:pPr>
        <w:spacing w:after="0" w:line="240" w:lineRule="auto"/>
        <w:jc w:val="both"/>
        <w:rPr>
          <w:rFonts w:ascii="Verdana" w:eastAsia="Calibri" w:hAnsi="Verdana" w:cs="Arial"/>
          <w:lang w:eastAsia="es-ES"/>
        </w:rPr>
      </w:pPr>
    </w:p>
    <w:p w14:paraId="1144C233" w14:textId="77777777" w:rsidR="00C63ADB" w:rsidRDefault="00C63ADB" w:rsidP="00C63ADB">
      <w:pPr>
        <w:spacing w:after="0" w:line="240" w:lineRule="auto"/>
        <w:jc w:val="both"/>
        <w:rPr>
          <w:rFonts w:ascii="Verdana" w:eastAsia="Calibri" w:hAnsi="Verdana" w:cs="Arial"/>
          <w:lang w:eastAsia="es-ES"/>
        </w:rPr>
      </w:pPr>
    </w:p>
    <w:p w14:paraId="15DAEA82" w14:textId="77777777" w:rsidR="00C63ADB" w:rsidRDefault="00C63ADB" w:rsidP="00C63ADB">
      <w:pPr>
        <w:spacing w:after="0" w:line="240" w:lineRule="auto"/>
        <w:jc w:val="both"/>
        <w:rPr>
          <w:rFonts w:ascii="Verdana" w:eastAsia="Calibri" w:hAnsi="Verdana" w:cs="Arial"/>
          <w:lang w:eastAsia="es-ES"/>
        </w:rPr>
      </w:pPr>
    </w:p>
    <w:p w14:paraId="0A6337C0" w14:textId="77777777" w:rsidR="00C63ADB" w:rsidRDefault="00C63ADB" w:rsidP="00C63ADB">
      <w:pPr>
        <w:spacing w:after="0" w:line="240" w:lineRule="auto"/>
        <w:jc w:val="both"/>
        <w:rPr>
          <w:rFonts w:ascii="Verdana" w:eastAsia="Calibri" w:hAnsi="Verdana" w:cs="Arial"/>
          <w:lang w:eastAsia="es-ES"/>
        </w:rPr>
      </w:pPr>
    </w:p>
    <w:p w14:paraId="1B5E6EE9" w14:textId="77777777" w:rsidR="00C63ADB" w:rsidRDefault="00C63ADB" w:rsidP="00C63ADB">
      <w:pPr>
        <w:spacing w:after="0" w:line="240" w:lineRule="auto"/>
        <w:jc w:val="both"/>
        <w:rPr>
          <w:rFonts w:ascii="Verdana" w:eastAsia="Calibri" w:hAnsi="Verdana" w:cs="Arial"/>
          <w:lang w:eastAsia="es-ES"/>
        </w:rPr>
      </w:pPr>
    </w:p>
    <w:p w14:paraId="10D18FED" w14:textId="77777777" w:rsidR="00C63ADB" w:rsidRDefault="00C63ADB" w:rsidP="00C63ADB">
      <w:pPr>
        <w:spacing w:after="0" w:line="240" w:lineRule="auto"/>
        <w:jc w:val="both"/>
        <w:rPr>
          <w:rFonts w:ascii="Verdana" w:eastAsia="Calibri" w:hAnsi="Verdana" w:cs="Arial"/>
          <w:lang w:eastAsia="es-ES"/>
        </w:rPr>
      </w:pPr>
    </w:p>
    <w:p w14:paraId="528B422D" w14:textId="77777777" w:rsidR="00C63ADB" w:rsidRDefault="00C63ADB" w:rsidP="00C63ADB">
      <w:pPr>
        <w:spacing w:after="0" w:line="240" w:lineRule="auto"/>
        <w:jc w:val="both"/>
        <w:rPr>
          <w:rFonts w:ascii="Verdana" w:eastAsia="Calibri" w:hAnsi="Verdana" w:cs="Arial"/>
          <w:lang w:eastAsia="es-ES"/>
        </w:rPr>
      </w:pPr>
    </w:p>
    <w:p w14:paraId="43769256" w14:textId="77777777" w:rsidR="00C63ADB" w:rsidRDefault="00C63ADB" w:rsidP="00C63ADB">
      <w:pPr>
        <w:spacing w:after="0" w:line="240" w:lineRule="auto"/>
        <w:jc w:val="both"/>
        <w:rPr>
          <w:rFonts w:ascii="Verdana" w:eastAsia="Calibri" w:hAnsi="Verdana" w:cs="Arial"/>
          <w:lang w:eastAsia="es-ES"/>
        </w:rPr>
      </w:pPr>
    </w:p>
    <w:p w14:paraId="36D8CCDA" w14:textId="77777777" w:rsidR="00C63ADB" w:rsidRDefault="00C63ADB" w:rsidP="00C63ADB">
      <w:pPr>
        <w:spacing w:after="0" w:line="240" w:lineRule="auto"/>
        <w:jc w:val="both"/>
        <w:rPr>
          <w:rFonts w:ascii="Verdana" w:eastAsia="Calibri" w:hAnsi="Verdana" w:cs="Arial"/>
          <w:lang w:eastAsia="es-ES"/>
        </w:rPr>
      </w:pPr>
    </w:p>
    <w:p w14:paraId="36379858" w14:textId="1A6BC85F" w:rsidR="00C63ADB" w:rsidRPr="007E27D9" w:rsidRDefault="00C63ADB" w:rsidP="00C63ADB">
      <w:pPr>
        <w:spacing w:after="0" w:line="240" w:lineRule="auto"/>
        <w:jc w:val="both"/>
        <w:rPr>
          <w:rFonts w:ascii="Verdana" w:eastAsia="Calibri" w:hAnsi="Verdana" w:cs="Arial"/>
          <w:lang w:eastAsia="es-ES"/>
        </w:rPr>
      </w:pPr>
      <w:r w:rsidRPr="007E27D9">
        <w:rPr>
          <w:rFonts w:ascii="Verdana" w:eastAsia="Calibri" w:hAnsi="Verdana" w:cs="Arial"/>
          <w:lang w:eastAsia="es-ES"/>
        </w:rPr>
        <w:lastRenderedPageBreak/>
        <w:t xml:space="preserve">Bogotá D.C. </w:t>
      </w:r>
      <w:r w:rsidR="00EB18B5">
        <w:rPr>
          <w:rFonts w:ascii="Verdana" w:eastAsia="Calibri" w:hAnsi="Verdana" w:cs="Arial"/>
          <w:lang w:eastAsia="es-ES"/>
        </w:rPr>
        <w:t>22 octubre 2026</w:t>
      </w:r>
    </w:p>
    <w:p w14:paraId="0DDC36F2" w14:textId="77777777" w:rsidR="00C63ADB" w:rsidRDefault="00C63ADB" w:rsidP="00C63ADB">
      <w:pPr>
        <w:spacing w:after="0" w:line="240" w:lineRule="auto"/>
        <w:jc w:val="right"/>
        <w:rPr>
          <w:rFonts w:ascii="Verdana" w:eastAsia="Calibri" w:hAnsi="Verdana" w:cs="Arial"/>
          <w:lang w:eastAsia="es-ES"/>
        </w:rPr>
      </w:pPr>
    </w:p>
    <w:p w14:paraId="5434A69F" w14:textId="71E191B2" w:rsidR="00C63ADB" w:rsidRPr="00A22FB7" w:rsidRDefault="00EB18B5" w:rsidP="00C63ADB">
      <w:pPr>
        <w:spacing w:after="0" w:line="240" w:lineRule="auto"/>
        <w:jc w:val="both"/>
        <w:rPr>
          <w:rFonts w:ascii="Verdana" w:eastAsia="Calibri" w:hAnsi="Verdana" w:cs="Arial"/>
          <w:lang w:eastAsia="es-ES"/>
        </w:rPr>
      </w:pPr>
      <w:r w:rsidRPr="00EB18B5">
        <w:rPr>
          <w:rFonts w:ascii="Verdana" w:eastAsia="Calibri" w:hAnsi="Verdana" w:cs="Arial"/>
          <w:b/>
          <w:bCs/>
          <w:noProof/>
          <w:lang w:eastAsia="es-ES"/>
        </w:rPr>
        <w:drawing>
          <wp:anchor distT="0" distB="0" distL="114300" distR="114300" simplePos="0" relativeHeight="251658240" behindDoc="1" locked="0" layoutInCell="1" allowOverlap="1" wp14:anchorId="66AE6D4F" wp14:editId="0FDA279A">
            <wp:simplePos x="0" y="0"/>
            <wp:positionH relativeFrom="margin">
              <wp:align>right</wp:align>
            </wp:positionH>
            <wp:positionV relativeFrom="paragraph">
              <wp:posOffset>8890</wp:posOffset>
            </wp:positionV>
            <wp:extent cx="2286000" cy="633095"/>
            <wp:effectExtent l="0" t="0" r="0" b="0"/>
            <wp:wrapTight wrapText="bothSides">
              <wp:wrapPolygon edited="0">
                <wp:start x="0" y="0"/>
                <wp:lineTo x="0" y="20798"/>
                <wp:lineTo x="21420" y="20798"/>
                <wp:lineTo x="21420" y="0"/>
                <wp:lineTo x="0" y="0"/>
              </wp:wrapPolygon>
            </wp:wrapTight>
            <wp:docPr id="30577773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0" cy="633095"/>
                    </a:xfrm>
                    <a:prstGeom prst="rect">
                      <a:avLst/>
                    </a:prstGeom>
                    <a:noFill/>
                    <a:ln>
                      <a:noFill/>
                    </a:ln>
                  </pic:spPr>
                </pic:pic>
              </a:graphicData>
            </a:graphic>
          </wp:anchor>
        </w:drawing>
      </w:r>
      <w:r w:rsidR="00C63ADB" w:rsidRPr="00A22FB7">
        <w:rPr>
          <w:rFonts w:ascii="Verdana" w:eastAsia="Calibri" w:hAnsi="Verdana" w:cs="Arial"/>
          <w:lang w:eastAsia="es-ES"/>
        </w:rPr>
        <w:t>Señora</w:t>
      </w:r>
    </w:p>
    <w:p w14:paraId="02E91142" w14:textId="63F61070" w:rsidR="00C63ADB" w:rsidRPr="00C30D6B" w:rsidRDefault="00C63ADB" w:rsidP="00C63ADB">
      <w:pPr>
        <w:spacing w:after="0" w:line="240" w:lineRule="auto"/>
        <w:jc w:val="both"/>
        <w:rPr>
          <w:rFonts w:ascii="Verdana" w:eastAsia="Calibri" w:hAnsi="Verdana" w:cs="Arial"/>
          <w:b/>
          <w:bCs/>
          <w:lang w:eastAsia="es-ES"/>
        </w:rPr>
      </w:pPr>
      <w:r>
        <w:rPr>
          <w:rFonts w:ascii="Verdana" w:eastAsia="Calibri" w:hAnsi="Verdana" w:cs="Arial"/>
          <w:b/>
          <w:bCs/>
          <w:lang w:eastAsia="es-ES"/>
        </w:rPr>
        <w:t>Estefany Ricaurte</w:t>
      </w:r>
    </w:p>
    <w:p w14:paraId="4247CF3E" w14:textId="77777777" w:rsidR="00C63ADB" w:rsidRPr="004501D9" w:rsidRDefault="00C63ADB" w:rsidP="00C63ADB">
      <w:pPr>
        <w:spacing w:after="0" w:line="240" w:lineRule="auto"/>
        <w:jc w:val="both"/>
        <w:rPr>
          <w:rFonts w:ascii="Verdana" w:hAnsi="Verdana"/>
        </w:rPr>
      </w:pPr>
      <w:hyperlink r:id="rId8" w:history="1">
        <w:r w:rsidRPr="004501D9">
          <w:rPr>
            <w:rStyle w:val="Hipervnculo"/>
            <w:rFonts w:ascii="Verdana" w:hAnsi="Verdana"/>
          </w:rPr>
          <w:t>estefaniiyricaurt@gmail.com</w:t>
        </w:r>
      </w:hyperlink>
    </w:p>
    <w:p w14:paraId="57E65531" w14:textId="77777777" w:rsidR="00C63ADB" w:rsidRPr="006B2A88" w:rsidRDefault="00C63ADB" w:rsidP="00C63ADB">
      <w:pPr>
        <w:spacing w:after="0" w:line="240" w:lineRule="auto"/>
        <w:jc w:val="both"/>
        <w:rPr>
          <w:rFonts w:ascii="Verdana" w:hAnsi="Verdana"/>
          <w:b/>
          <w:bCs/>
        </w:rPr>
      </w:pPr>
      <w:r>
        <w:rPr>
          <w:rFonts w:ascii="Verdana" w:hAnsi="Verdana"/>
        </w:rPr>
        <w:t xml:space="preserve">Ciudad </w:t>
      </w:r>
    </w:p>
    <w:p w14:paraId="3A5F1736" w14:textId="77777777" w:rsidR="00C63ADB" w:rsidRPr="00863416" w:rsidRDefault="00C63ADB" w:rsidP="00C63ADB">
      <w:pPr>
        <w:spacing w:after="0" w:line="240" w:lineRule="auto"/>
        <w:jc w:val="both"/>
        <w:rPr>
          <w:rFonts w:ascii="Verdana" w:hAnsi="Verdana"/>
        </w:rPr>
      </w:pPr>
    </w:p>
    <w:p w14:paraId="6D0A475C" w14:textId="77777777" w:rsidR="00C63ADB" w:rsidRPr="00863416" w:rsidRDefault="00C63ADB" w:rsidP="00C63ADB">
      <w:pPr>
        <w:spacing w:after="0" w:line="240" w:lineRule="auto"/>
        <w:jc w:val="both"/>
        <w:rPr>
          <w:rFonts w:ascii="Verdana" w:eastAsia="Calibri" w:hAnsi="Verdana" w:cs="Arial"/>
          <w:b/>
          <w:bCs/>
          <w:color w:val="000000"/>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670"/>
      </w:tblGrid>
      <w:tr w:rsidR="00C63ADB" w:rsidRPr="005644FE" w14:paraId="25736BE9" w14:textId="77777777" w:rsidTr="002E0FA8">
        <w:trPr>
          <w:trHeight w:val="162"/>
        </w:trPr>
        <w:tc>
          <w:tcPr>
            <w:tcW w:w="3119" w:type="dxa"/>
          </w:tcPr>
          <w:p w14:paraId="3E607EF8" w14:textId="77777777" w:rsidR="00C63ADB" w:rsidRPr="00863416" w:rsidRDefault="00C63ADB" w:rsidP="002E0FA8">
            <w:pPr>
              <w:jc w:val="both"/>
              <w:rPr>
                <w:rFonts w:ascii="Verdana" w:eastAsia="Calibri" w:hAnsi="Verdana" w:cs="Arial"/>
                <w:b/>
                <w:bCs/>
                <w:color w:val="7030A0"/>
                <w:lang w:eastAsia="es-ES_tradnl"/>
              </w:rPr>
            </w:pPr>
          </w:p>
        </w:tc>
        <w:tc>
          <w:tcPr>
            <w:tcW w:w="5670" w:type="dxa"/>
          </w:tcPr>
          <w:p w14:paraId="16F3D553" w14:textId="77777777" w:rsidR="00C63ADB" w:rsidRPr="005644FE" w:rsidRDefault="00C63ADB" w:rsidP="002E0FA8">
            <w:pPr>
              <w:jc w:val="both"/>
              <w:rPr>
                <w:rFonts w:ascii="Verdana" w:eastAsia="Calibri" w:hAnsi="Verdana" w:cs="Arial"/>
                <w:b/>
                <w:bCs/>
                <w:lang w:eastAsia="es-ES"/>
              </w:rPr>
            </w:pPr>
            <w:r w:rsidRPr="005644FE">
              <w:rPr>
                <w:rFonts w:ascii="Verdana" w:eastAsia="Calibri" w:hAnsi="Verdana" w:cs="Arial"/>
                <w:b/>
                <w:bCs/>
                <w:lang w:eastAsia="es-ES"/>
              </w:rPr>
              <w:t>Concepto C</w:t>
            </w:r>
            <w:r w:rsidRPr="00205473">
              <w:rPr>
                <w:rFonts w:ascii="Verdana" w:eastAsia="Calibri" w:hAnsi="Verdana" w:cs="Arial"/>
                <w:b/>
                <w:bCs/>
                <w:lang w:eastAsia="es-ES"/>
              </w:rPr>
              <w:t>-</w:t>
            </w:r>
            <w:r>
              <w:rPr>
                <w:rFonts w:ascii="Verdana" w:eastAsia="Calibri" w:hAnsi="Verdana" w:cs="Arial"/>
                <w:b/>
                <w:bCs/>
                <w:lang w:eastAsia="es-ES"/>
              </w:rPr>
              <w:t>1445 de 2026</w:t>
            </w:r>
          </w:p>
          <w:p w14:paraId="234B93D7" w14:textId="77777777" w:rsidR="00C63ADB" w:rsidRPr="005644FE" w:rsidRDefault="00C63ADB" w:rsidP="002E0FA8">
            <w:pPr>
              <w:jc w:val="both"/>
              <w:rPr>
                <w:rFonts w:ascii="Verdana" w:eastAsia="Calibri" w:hAnsi="Verdana" w:cs="Arial"/>
                <w:b/>
                <w:bCs/>
                <w:color w:val="7030A0"/>
                <w:lang w:eastAsia="es-ES"/>
              </w:rPr>
            </w:pPr>
          </w:p>
        </w:tc>
      </w:tr>
      <w:tr w:rsidR="00C63ADB" w:rsidRPr="005644FE" w14:paraId="6F310810" w14:textId="77777777" w:rsidTr="002E0FA8">
        <w:trPr>
          <w:trHeight w:val="884"/>
        </w:trPr>
        <w:tc>
          <w:tcPr>
            <w:tcW w:w="3119" w:type="dxa"/>
          </w:tcPr>
          <w:p w14:paraId="57FF8416" w14:textId="77777777" w:rsidR="00C63ADB" w:rsidRPr="005644FE" w:rsidRDefault="00C63ADB" w:rsidP="002E0FA8">
            <w:pPr>
              <w:jc w:val="both"/>
              <w:rPr>
                <w:rFonts w:ascii="Verdana" w:eastAsia="Calibri" w:hAnsi="Verdana" w:cs="Arial"/>
                <w:color w:val="000000"/>
                <w:lang w:eastAsia="es-ES_tradnl"/>
              </w:rPr>
            </w:pPr>
            <w:r w:rsidRPr="005644FE">
              <w:rPr>
                <w:rFonts w:ascii="Verdana" w:eastAsia="Calibri" w:hAnsi="Verdana" w:cs="Arial"/>
                <w:b/>
                <w:color w:val="000000"/>
                <w:lang w:eastAsia="es-ES_tradnl"/>
              </w:rPr>
              <w:t>Temas:</w:t>
            </w:r>
            <w:r w:rsidRPr="005644FE">
              <w:rPr>
                <w:rFonts w:ascii="Verdana" w:eastAsia="Calibri" w:hAnsi="Verdana" w:cs="Arial"/>
                <w:color w:val="000000"/>
                <w:lang w:eastAsia="es-ES_tradnl"/>
              </w:rPr>
              <w:t xml:space="preserve">                   </w:t>
            </w:r>
          </w:p>
        </w:tc>
        <w:tc>
          <w:tcPr>
            <w:tcW w:w="5670" w:type="dxa"/>
          </w:tcPr>
          <w:p w14:paraId="007B33E9" w14:textId="77777777" w:rsidR="00C63ADB" w:rsidRDefault="00C63ADB" w:rsidP="002E0FA8">
            <w:pPr>
              <w:spacing w:line="276" w:lineRule="auto"/>
              <w:jc w:val="both"/>
              <w:rPr>
                <w:rFonts w:ascii="Verdana" w:eastAsia="Times New Roman" w:hAnsi="Verdana" w:cs="Arial"/>
                <w:lang w:eastAsia="es-ES_tradnl"/>
              </w:rPr>
            </w:pPr>
            <w:r>
              <w:rPr>
                <w:rFonts w:ascii="Verdana" w:hAnsi="Verdana" w:cs="Arial"/>
                <w:color w:val="000000" w:themeColor="text1"/>
              </w:rPr>
              <w:t xml:space="preserve">CONTRATO DE PRESTACIÓN DE SERVICIOS </w:t>
            </w:r>
            <w:r>
              <w:rPr>
                <w:rFonts w:ascii="Verdana" w:eastAsia="Times New Roman" w:hAnsi="Verdana" w:cs="Arial"/>
                <w:lang w:eastAsia="es-ES_tradnl"/>
              </w:rPr>
              <w:t xml:space="preserve">– Naturaleza / PLANEACIÓN CONTRACTUAL – Alcance / ESTUDIOS PREVIOS – Alcance / ESTUDIOS DEL SECTOR – Identificación aspectos de mercado / ESTUDIOS DEL SECTOR – Contratación directa / </w:t>
            </w:r>
            <w:r w:rsidRPr="005451A8">
              <w:rPr>
                <w:rFonts w:ascii="Verdana" w:eastAsia="Times New Roman" w:hAnsi="Verdana" w:cs="Arial"/>
                <w:lang w:eastAsia="es-ES_tradnl"/>
              </w:rPr>
              <w:t>RIESGOS ‒ Normativa ‒ Artículo 4 de la Ley 1150 de 2007 ‒ Ámbito de aplicación</w:t>
            </w:r>
            <w:r>
              <w:rPr>
                <w:rFonts w:ascii="Verdana" w:eastAsia="Times New Roman" w:hAnsi="Verdana" w:cs="Arial"/>
                <w:lang w:eastAsia="es-ES_tradnl"/>
              </w:rPr>
              <w:t xml:space="preserve"> / </w:t>
            </w:r>
            <w:r w:rsidRPr="002F7F4D">
              <w:rPr>
                <w:rFonts w:ascii="Verdana" w:hAnsi="Verdana" w:cs="Arial"/>
                <w:bCs/>
                <w:color w:val="000000"/>
                <w:lang w:val="es-ES"/>
              </w:rPr>
              <w:t>IDONEIDAD Y EXPERIENCIA – Deber de verificación – Alcance</w:t>
            </w:r>
          </w:p>
          <w:p w14:paraId="1183250C" w14:textId="77777777" w:rsidR="00C63ADB" w:rsidRPr="00E65C5F" w:rsidRDefault="00C63ADB" w:rsidP="002E0FA8">
            <w:pPr>
              <w:spacing w:line="276" w:lineRule="auto"/>
              <w:jc w:val="both"/>
              <w:rPr>
                <w:rFonts w:ascii="Verdana" w:hAnsi="Verdana" w:cs="Arial"/>
                <w:color w:val="000000" w:themeColor="text1"/>
              </w:rPr>
            </w:pPr>
          </w:p>
        </w:tc>
      </w:tr>
      <w:tr w:rsidR="00C63ADB" w:rsidRPr="005644FE" w14:paraId="644E2CCA" w14:textId="77777777" w:rsidTr="002E0FA8">
        <w:tc>
          <w:tcPr>
            <w:tcW w:w="3119" w:type="dxa"/>
          </w:tcPr>
          <w:p w14:paraId="470F36D3" w14:textId="77777777" w:rsidR="00C63ADB" w:rsidRPr="005644FE" w:rsidRDefault="00C63ADB" w:rsidP="002E0FA8">
            <w:pPr>
              <w:jc w:val="both"/>
              <w:rPr>
                <w:rFonts w:ascii="Verdana" w:eastAsia="Calibri" w:hAnsi="Verdana" w:cs="Arial"/>
                <w:b/>
                <w:lang w:eastAsia="es-ES_tradnl"/>
              </w:rPr>
            </w:pPr>
            <w:r w:rsidRPr="005644FE">
              <w:rPr>
                <w:rFonts w:ascii="Verdana" w:eastAsia="Calibri" w:hAnsi="Verdana" w:cs="Arial"/>
                <w:b/>
                <w:lang w:eastAsia="es-ES_tradnl"/>
              </w:rPr>
              <w:t>Radicación:</w:t>
            </w:r>
            <w:r w:rsidRPr="005644FE">
              <w:rPr>
                <w:rFonts w:ascii="Verdana" w:eastAsia="Calibri" w:hAnsi="Verdana" w:cs="Arial"/>
                <w:lang w:eastAsia="es-ES_tradnl"/>
              </w:rPr>
              <w:t xml:space="preserve">               </w:t>
            </w:r>
          </w:p>
        </w:tc>
        <w:tc>
          <w:tcPr>
            <w:tcW w:w="5670" w:type="dxa"/>
          </w:tcPr>
          <w:p w14:paraId="2DB71931" w14:textId="77777777" w:rsidR="00C63ADB" w:rsidRPr="00F04657" w:rsidRDefault="00C63ADB" w:rsidP="002E0FA8">
            <w:pPr>
              <w:jc w:val="both"/>
              <w:rPr>
                <w:rFonts w:ascii="Verdana" w:eastAsia="Calibri" w:hAnsi="Verdana" w:cs="Arial"/>
                <w:lang w:eastAsia="es-ES_tradnl"/>
              </w:rPr>
            </w:pPr>
            <w:r w:rsidRPr="005644FE">
              <w:rPr>
                <w:rFonts w:ascii="Verdana" w:eastAsia="Calibri" w:hAnsi="Verdana" w:cs="Arial"/>
                <w:lang w:eastAsia="es-ES_tradnl"/>
              </w:rPr>
              <w:t>Respuesta a consulta con radicado</w:t>
            </w:r>
            <w:r>
              <w:rPr>
                <w:rFonts w:ascii="Verdana" w:eastAsia="Calibri" w:hAnsi="Verdana" w:cs="Arial"/>
                <w:lang w:eastAsia="es-ES_tradnl"/>
              </w:rPr>
              <w:t xml:space="preserve"> </w:t>
            </w:r>
            <w:r w:rsidRPr="004501D9">
              <w:rPr>
                <w:rFonts w:ascii="Verdana" w:eastAsia="Calibri" w:hAnsi="Verdana" w:cs="Arial"/>
                <w:lang w:eastAsia="es-ES_tradnl"/>
              </w:rPr>
              <w:t>1_2026_09_14_012237</w:t>
            </w:r>
          </w:p>
        </w:tc>
      </w:tr>
    </w:tbl>
    <w:p w14:paraId="26191FDF" w14:textId="77777777" w:rsidR="00C63ADB" w:rsidRPr="005644FE" w:rsidRDefault="00C63ADB" w:rsidP="00C63ADB">
      <w:pPr>
        <w:spacing w:after="0" w:line="276" w:lineRule="auto"/>
        <w:jc w:val="both"/>
        <w:rPr>
          <w:rFonts w:ascii="Verdana" w:eastAsia="Calibri" w:hAnsi="Verdana" w:cs="Arial"/>
          <w:lang w:eastAsia="es-ES_tradnl"/>
        </w:rPr>
      </w:pPr>
    </w:p>
    <w:p w14:paraId="2CE8635D" w14:textId="77777777" w:rsidR="00C63ADB" w:rsidRPr="005644FE" w:rsidRDefault="00C63ADB" w:rsidP="00C63ADB">
      <w:pPr>
        <w:spacing w:after="0" w:line="276" w:lineRule="auto"/>
        <w:jc w:val="both"/>
        <w:rPr>
          <w:rFonts w:ascii="Verdana" w:eastAsia="Calibri" w:hAnsi="Verdana" w:cs="Arial"/>
          <w:lang w:eastAsia="es-ES"/>
        </w:rPr>
      </w:pPr>
      <w:r>
        <w:rPr>
          <w:rFonts w:ascii="Verdana" w:eastAsia="Calibri" w:hAnsi="Verdana" w:cs="Arial"/>
          <w:lang w:eastAsia="es-ES"/>
        </w:rPr>
        <w:t xml:space="preserve">Estimada señora Estefany: </w:t>
      </w:r>
    </w:p>
    <w:p w14:paraId="6A38A6D9" w14:textId="77777777" w:rsidR="00C63ADB" w:rsidRPr="00E02524" w:rsidRDefault="00C63ADB" w:rsidP="00C63ADB">
      <w:pPr>
        <w:spacing w:after="0" w:line="276" w:lineRule="auto"/>
        <w:jc w:val="both"/>
        <w:rPr>
          <w:rFonts w:ascii="Verdana" w:hAnsi="Verdana"/>
          <w:lang w:val="es-MX"/>
        </w:rPr>
      </w:pPr>
    </w:p>
    <w:p w14:paraId="1A65B84A" w14:textId="77777777" w:rsidR="00C63ADB" w:rsidRDefault="00C63ADB" w:rsidP="00C63ADB">
      <w:pPr>
        <w:spacing w:after="0" w:line="276" w:lineRule="auto"/>
        <w:jc w:val="both"/>
        <w:rPr>
          <w:rFonts w:ascii="Verdana" w:eastAsia="Calibri" w:hAnsi="Verdana" w:cs="Arial"/>
          <w:lang w:eastAsia="es-ES"/>
        </w:rPr>
      </w:pPr>
      <w:r w:rsidRPr="00E02524">
        <w:rPr>
          <w:rFonts w:ascii="Verdana" w:hAnsi="Verdana"/>
        </w:rPr>
        <w:t xml:space="preserve">La Agencia Nacional de Contratación Pública – Colombia Compra Eficiente –, en ejercicio de las competencias otorgadas </w:t>
      </w:r>
      <w:r w:rsidRPr="005644FE">
        <w:rPr>
          <w:rFonts w:ascii="Verdana" w:eastAsia="Calibri" w:hAnsi="Verdana" w:cs="Arial"/>
          <w:lang w:eastAsia="es-ES"/>
        </w:rPr>
        <w:t>por los artículos 3, numeral 5º, y 11, numeral 8º, del Decreto Ley 4170 de 2011</w:t>
      </w:r>
      <w:r>
        <w:rPr>
          <w:rFonts w:ascii="Verdana" w:eastAsia="Calibri" w:hAnsi="Verdana" w:cs="Arial"/>
          <w:lang w:eastAsia="es-ES"/>
        </w:rPr>
        <w:t>,</w:t>
      </w:r>
      <w:r w:rsidRPr="00595C9B">
        <w:rPr>
          <w:rFonts w:ascii="Verdana" w:hAnsi="Verdana" w:cs="Arial"/>
        </w:rPr>
        <w:t xml:space="preserve"> </w:t>
      </w:r>
      <w:r w:rsidRPr="005644FE">
        <w:rPr>
          <w:rFonts w:ascii="Verdana" w:hAnsi="Verdana" w:cs="Arial"/>
        </w:rPr>
        <w:t>así como lo establecido en el artículo 4 de la Resolución 1707 de 2018 expedida por esta Entidad</w:t>
      </w:r>
      <w:r w:rsidRPr="00E02524">
        <w:rPr>
          <w:rFonts w:ascii="Verdana" w:hAnsi="Verdana"/>
        </w:rPr>
        <w:t xml:space="preserve"> y</w:t>
      </w:r>
      <w:r>
        <w:rPr>
          <w:rFonts w:ascii="Verdana" w:hAnsi="Verdana"/>
        </w:rPr>
        <w:t>,</w:t>
      </w:r>
      <w:r w:rsidRPr="00E02524">
        <w:rPr>
          <w:rFonts w:ascii="Verdana" w:hAnsi="Verdana"/>
        </w:rPr>
        <w:t xml:space="preserve"> de conformidad con las modalidades del derecho de petición contempladas en la Ley 1755 de 2015</w:t>
      </w:r>
      <w:r>
        <w:rPr>
          <w:rFonts w:ascii="Verdana" w:hAnsi="Verdana"/>
        </w:rPr>
        <w:t xml:space="preserve"> y en </w:t>
      </w:r>
      <w:r w:rsidRPr="00E02524">
        <w:rPr>
          <w:rFonts w:ascii="Verdana" w:hAnsi="Verdana"/>
        </w:rPr>
        <w:t xml:space="preserve">la resolución </w:t>
      </w:r>
      <w:proofErr w:type="spellStart"/>
      <w:r w:rsidRPr="00E02524">
        <w:rPr>
          <w:rFonts w:ascii="Verdana" w:eastAsia="Times New Roman" w:hAnsi="Verdana" w:cs="Segoe UI"/>
          <w:lang w:eastAsia="es-CO"/>
        </w:rPr>
        <w:t>N°</w:t>
      </w:r>
      <w:proofErr w:type="spellEnd"/>
      <w:r w:rsidRPr="00E02524">
        <w:rPr>
          <w:rFonts w:ascii="Verdana" w:eastAsia="Times New Roman" w:hAnsi="Verdana" w:cs="Segoe UI"/>
          <w:lang w:eastAsia="es-CO"/>
        </w:rPr>
        <w:t xml:space="preserve"> 469 del 2025 </w:t>
      </w:r>
      <w:r w:rsidRPr="00E02524">
        <w:rPr>
          <w:rFonts w:ascii="Verdana" w:hAnsi="Verdana"/>
        </w:rPr>
        <w:t xml:space="preserve">expedida por esta Agencia, </w:t>
      </w:r>
      <w:r w:rsidRPr="005644FE">
        <w:rPr>
          <w:rFonts w:ascii="Verdana" w:eastAsia="Calibri" w:hAnsi="Verdana" w:cs="Arial"/>
          <w:lang w:eastAsia="es-ES"/>
        </w:rPr>
        <w:t xml:space="preserve">responde su solicitud de consulta de fecha </w:t>
      </w:r>
      <w:r>
        <w:rPr>
          <w:rFonts w:ascii="Verdana" w:eastAsia="Calibri" w:hAnsi="Verdana" w:cs="Arial"/>
          <w:lang w:eastAsia="es-ES"/>
        </w:rPr>
        <w:t xml:space="preserve">13 de septiembre de 2026, </w:t>
      </w:r>
      <w:r w:rsidRPr="005644FE">
        <w:rPr>
          <w:rFonts w:ascii="Verdana" w:eastAsia="Calibri" w:hAnsi="Verdana" w:cs="Arial"/>
          <w:lang w:eastAsia="es-ES"/>
        </w:rPr>
        <w:t>en la cual manifiesta lo siguiente:</w:t>
      </w:r>
    </w:p>
    <w:p w14:paraId="4B5BA01C" w14:textId="77777777" w:rsidR="00C63ADB" w:rsidRDefault="00C63ADB" w:rsidP="00C63ADB">
      <w:pPr>
        <w:spacing w:after="0" w:line="276" w:lineRule="auto"/>
        <w:jc w:val="both"/>
        <w:rPr>
          <w:rFonts w:ascii="Verdana" w:hAnsi="Verdana"/>
        </w:rPr>
      </w:pPr>
    </w:p>
    <w:p w14:paraId="151A38FA" w14:textId="77777777" w:rsidR="00C63ADB" w:rsidRDefault="00C63ADB" w:rsidP="00C63ADB">
      <w:pPr>
        <w:spacing w:after="0" w:line="240" w:lineRule="auto"/>
        <w:ind w:left="709" w:right="709"/>
        <w:jc w:val="both"/>
        <w:rPr>
          <w:rFonts w:ascii="Verdana" w:hAnsi="Verdana"/>
          <w:sz w:val="20"/>
          <w:szCs w:val="20"/>
        </w:rPr>
      </w:pPr>
      <w:r w:rsidRPr="00FC1BE4">
        <w:rPr>
          <w:rFonts w:ascii="Verdana" w:hAnsi="Verdana"/>
          <w:sz w:val="20"/>
          <w:szCs w:val="20"/>
        </w:rPr>
        <w:t xml:space="preserve">“(…) </w:t>
      </w:r>
    </w:p>
    <w:p w14:paraId="2A088A64" w14:textId="77777777" w:rsidR="00C63ADB" w:rsidRPr="00ED3C17" w:rsidRDefault="00C63ADB" w:rsidP="00C63ADB">
      <w:pPr>
        <w:spacing w:after="0" w:line="240" w:lineRule="auto"/>
        <w:ind w:left="709" w:right="709"/>
        <w:jc w:val="both"/>
        <w:rPr>
          <w:rFonts w:ascii="Verdana" w:hAnsi="Verdana"/>
          <w:sz w:val="20"/>
          <w:szCs w:val="20"/>
        </w:rPr>
      </w:pPr>
      <w:r w:rsidRPr="00ED3C17">
        <w:rPr>
          <w:rFonts w:ascii="Verdana" w:hAnsi="Verdana"/>
          <w:sz w:val="20"/>
          <w:szCs w:val="20"/>
        </w:rPr>
        <w:t xml:space="preserve">1. Cuando se hacen estudios previos de contratación directa para la prestación de servicios de persona </w:t>
      </w:r>
      <w:r w:rsidRPr="00ED3C17">
        <w:rPr>
          <w:rFonts w:ascii="Verdana" w:hAnsi="Verdana"/>
          <w:b/>
          <w:bCs/>
          <w:sz w:val="20"/>
          <w:szCs w:val="20"/>
        </w:rPr>
        <w:t>natural,</w:t>
      </w:r>
      <w:r w:rsidRPr="00ED3C17">
        <w:rPr>
          <w:rFonts w:ascii="Verdana" w:hAnsi="Verdana"/>
          <w:sz w:val="20"/>
          <w:szCs w:val="20"/>
        </w:rPr>
        <w:t xml:space="preserve"> ¿estos deben tener obligatoriamente la sección de estudio de mercado y la matriz riesgos?</w:t>
      </w:r>
    </w:p>
    <w:p w14:paraId="24B1E151" w14:textId="77777777" w:rsidR="00C63ADB" w:rsidRPr="00ED3C17" w:rsidRDefault="00C63ADB" w:rsidP="00C63ADB">
      <w:pPr>
        <w:spacing w:after="0" w:line="240" w:lineRule="auto"/>
        <w:ind w:left="709" w:right="709"/>
        <w:jc w:val="both"/>
        <w:rPr>
          <w:rFonts w:ascii="Verdana" w:hAnsi="Verdana"/>
          <w:sz w:val="20"/>
          <w:szCs w:val="20"/>
        </w:rPr>
      </w:pPr>
      <w:r w:rsidRPr="00ED3C17">
        <w:rPr>
          <w:rFonts w:ascii="Verdana" w:hAnsi="Verdana"/>
          <w:sz w:val="20"/>
          <w:szCs w:val="20"/>
        </w:rPr>
        <w:lastRenderedPageBreak/>
        <w:t xml:space="preserve">2.  Cuando se hacen estudios previos de contratación directa para la prestación de servicios de persona </w:t>
      </w:r>
      <w:r w:rsidRPr="00ED3C17">
        <w:rPr>
          <w:rFonts w:ascii="Verdana" w:hAnsi="Verdana"/>
          <w:b/>
          <w:bCs/>
          <w:sz w:val="20"/>
          <w:szCs w:val="20"/>
        </w:rPr>
        <w:t>jurídica</w:t>
      </w:r>
      <w:r w:rsidRPr="00ED3C17">
        <w:rPr>
          <w:rFonts w:ascii="Verdana" w:hAnsi="Verdana"/>
          <w:sz w:val="20"/>
          <w:szCs w:val="20"/>
        </w:rPr>
        <w:t>, ¿estos deben tener obligatoriamente la sección de estudio de mercado y la matriz riesgos?</w:t>
      </w:r>
    </w:p>
    <w:p w14:paraId="571DA2BC" w14:textId="77777777" w:rsidR="00C63ADB" w:rsidRPr="00ED3C17" w:rsidRDefault="00C63ADB" w:rsidP="00C63ADB">
      <w:pPr>
        <w:spacing w:after="0" w:line="240" w:lineRule="auto"/>
        <w:ind w:left="709" w:right="709"/>
        <w:jc w:val="both"/>
        <w:rPr>
          <w:rFonts w:ascii="Verdana" w:hAnsi="Verdana"/>
          <w:sz w:val="20"/>
          <w:szCs w:val="20"/>
        </w:rPr>
      </w:pPr>
      <w:r w:rsidRPr="00ED3C17">
        <w:rPr>
          <w:rFonts w:ascii="Verdana" w:hAnsi="Verdana"/>
          <w:sz w:val="20"/>
          <w:szCs w:val="20"/>
        </w:rPr>
        <w:t xml:space="preserve">3. ¿Están </w:t>
      </w:r>
      <w:proofErr w:type="spellStart"/>
      <w:r w:rsidRPr="00ED3C17">
        <w:rPr>
          <w:rFonts w:ascii="Verdana" w:hAnsi="Verdana"/>
          <w:sz w:val="20"/>
          <w:szCs w:val="20"/>
        </w:rPr>
        <w:t>pre-establecidas</w:t>
      </w:r>
      <w:proofErr w:type="spellEnd"/>
      <w:r w:rsidRPr="00ED3C17">
        <w:rPr>
          <w:rFonts w:ascii="Verdana" w:hAnsi="Verdana"/>
          <w:sz w:val="20"/>
          <w:szCs w:val="20"/>
        </w:rPr>
        <w:t xml:space="preserve"> por parte de la ley o de ustedes las variables que deben contener las matrices de riesgos? o ¿Dichas variables son potestativas de las entidades?</w:t>
      </w:r>
    </w:p>
    <w:p w14:paraId="26F8FCFC" w14:textId="77777777" w:rsidR="00C63ADB" w:rsidRPr="00ED3C17" w:rsidRDefault="00C63ADB" w:rsidP="00C63ADB">
      <w:pPr>
        <w:spacing w:after="0" w:line="240" w:lineRule="auto"/>
        <w:ind w:left="709" w:right="709"/>
        <w:jc w:val="both"/>
        <w:rPr>
          <w:rFonts w:ascii="Verdana" w:hAnsi="Verdana"/>
          <w:sz w:val="20"/>
          <w:szCs w:val="20"/>
        </w:rPr>
      </w:pPr>
      <w:r w:rsidRPr="00ED3C17">
        <w:rPr>
          <w:rFonts w:ascii="Verdana" w:hAnsi="Verdana"/>
          <w:sz w:val="20"/>
          <w:szCs w:val="20"/>
        </w:rPr>
        <w:t xml:space="preserve">4. Cuando el artículo 2° de la Ley 1150 de 2007 y el artículo 2.2.1.2.1.4.9 del Decreto 1082 de 2015, dice acerca de los contratos de prestación de servicios: </w:t>
      </w:r>
      <w:r w:rsidRPr="00ED3C17">
        <w:rPr>
          <w:rFonts w:ascii="Verdana" w:hAnsi="Verdana"/>
          <w:i/>
          <w:iCs/>
          <w:sz w:val="20"/>
          <w:szCs w:val="20"/>
        </w:rPr>
        <w:t xml:space="preserve">"los cuales indican que se podrá contratar directamente con persona natural o jurídica, que esté en capacidad de ejecutar el objeto del contrato, siempre y cuando la entidad estatal verifique la idoneidad o experiencia requerida y relacionada con el área de que se trate. </w:t>
      </w:r>
      <w:r w:rsidRPr="00ED3C17">
        <w:rPr>
          <w:rFonts w:ascii="Verdana" w:hAnsi="Verdana"/>
          <w:b/>
          <w:bCs/>
          <w:i/>
          <w:iCs/>
          <w:sz w:val="20"/>
          <w:szCs w:val="20"/>
        </w:rPr>
        <w:t>En este caso, no es necesario que la entidad estatal haya obtenido previamente varias ofertas, de lo cual el ordenador del gasto debe dejar constancia escrita".</w:t>
      </w:r>
      <w:r w:rsidRPr="00ED3C17">
        <w:rPr>
          <w:rFonts w:ascii="Verdana" w:hAnsi="Verdana"/>
          <w:b/>
          <w:bCs/>
          <w:sz w:val="20"/>
          <w:szCs w:val="20"/>
        </w:rPr>
        <w:t> </w:t>
      </w:r>
      <w:r w:rsidRPr="00ED3C17">
        <w:rPr>
          <w:rFonts w:ascii="Verdana" w:hAnsi="Verdana"/>
          <w:sz w:val="20"/>
          <w:szCs w:val="20"/>
        </w:rPr>
        <w:t>  </w:t>
      </w:r>
    </w:p>
    <w:p w14:paraId="390E1E99" w14:textId="77777777" w:rsidR="00C63ADB" w:rsidRPr="00ED3C17" w:rsidRDefault="00C63ADB" w:rsidP="00C63ADB">
      <w:pPr>
        <w:spacing w:after="0" w:line="240" w:lineRule="auto"/>
        <w:ind w:left="709" w:right="709"/>
        <w:jc w:val="both"/>
        <w:rPr>
          <w:rFonts w:ascii="Verdana" w:hAnsi="Verdana"/>
          <w:sz w:val="20"/>
          <w:szCs w:val="20"/>
        </w:rPr>
      </w:pPr>
      <w:r w:rsidRPr="00ED3C17">
        <w:rPr>
          <w:rFonts w:ascii="Verdana" w:hAnsi="Verdana"/>
          <w:sz w:val="20"/>
          <w:szCs w:val="20"/>
        </w:rPr>
        <w:t xml:space="preserve">Dicha constancia debe ser tipo certificación que posteriormente se deje como anexo al estudio previo, </w:t>
      </w:r>
      <w:proofErr w:type="spellStart"/>
      <w:r w:rsidRPr="00ED3C17">
        <w:rPr>
          <w:rFonts w:ascii="Verdana" w:hAnsi="Verdana"/>
          <w:sz w:val="20"/>
          <w:szCs w:val="20"/>
        </w:rPr>
        <w:t>ó</w:t>
      </w:r>
      <w:proofErr w:type="spellEnd"/>
      <w:r w:rsidRPr="00ED3C17">
        <w:rPr>
          <w:rFonts w:ascii="Verdana" w:hAnsi="Verdana"/>
          <w:sz w:val="20"/>
          <w:szCs w:val="20"/>
        </w:rPr>
        <w:t xml:space="preserve"> puede dejarse escrito dentro del estudio previo.</w:t>
      </w:r>
    </w:p>
    <w:p w14:paraId="6DB89F42" w14:textId="77777777" w:rsidR="00C63ADB" w:rsidRPr="00594153" w:rsidRDefault="00C63ADB" w:rsidP="00C63ADB">
      <w:pPr>
        <w:spacing w:after="0" w:line="240" w:lineRule="auto"/>
        <w:ind w:left="709" w:right="709"/>
        <w:jc w:val="both"/>
        <w:rPr>
          <w:rFonts w:ascii="Verdana" w:hAnsi="Verdana"/>
          <w:sz w:val="20"/>
          <w:szCs w:val="20"/>
        </w:rPr>
      </w:pPr>
      <w:r w:rsidRPr="00FC1BE4">
        <w:rPr>
          <w:rFonts w:ascii="Verdana" w:hAnsi="Verdana"/>
          <w:sz w:val="20"/>
          <w:szCs w:val="20"/>
        </w:rPr>
        <w:t>(…)”.</w:t>
      </w:r>
    </w:p>
    <w:p w14:paraId="5EC29259" w14:textId="77777777" w:rsidR="00C63ADB" w:rsidRPr="00BF6219" w:rsidRDefault="00C63ADB" w:rsidP="00C63ADB">
      <w:pPr>
        <w:spacing w:after="0" w:line="276" w:lineRule="auto"/>
        <w:ind w:left="567" w:right="758"/>
        <w:jc w:val="both"/>
        <w:rPr>
          <w:rFonts w:ascii="Verdana" w:hAnsi="Verdana"/>
        </w:rPr>
      </w:pPr>
    </w:p>
    <w:p w14:paraId="69754568" w14:textId="77777777" w:rsidR="00C63ADB" w:rsidRPr="00F64722" w:rsidRDefault="00C63ADB" w:rsidP="00C63ADB">
      <w:pPr>
        <w:spacing w:after="120" w:line="276" w:lineRule="auto"/>
        <w:ind w:firstLine="709"/>
        <w:jc w:val="both"/>
        <w:rPr>
          <w:rFonts w:ascii="Verdana" w:eastAsia="Calibri" w:hAnsi="Verdana" w:cs="Arial"/>
          <w:color w:val="000000"/>
          <w:szCs w:val="24"/>
          <w:lang w:eastAsia="es-ES_tradnl"/>
        </w:rPr>
      </w:pPr>
      <w:r w:rsidRPr="005644FE">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w:t>
      </w:r>
      <w:r w:rsidRPr="00F64722">
        <w:rPr>
          <w:rFonts w:ascii="Verdana" w:eastAsia="Calibri" w:hAnsi="Verdana" w:cs="Arial"/>
          <w:color w:val="000000"/>
          <w:lang w:eastAsia="es-ES"/>
        </w:rPr>
        <w:t xml:space="preserve">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52F4A842" w14:textId="77777777" w:rsidR="00C63ADB" w:rsidRDefault="00C63ADB" w:rsidP="00C63ADB">
      <w:pPr>
        <w:spacing w:after="0" w:line="276" w:lineRule="auto"/>
        <w:ind w:firstLine="709"/>
        <w:jc w:val="both"/>
        <w:rPr>
          <w:rFonts w:ascii="Verdana" w:eastAsia="Calibri" w:hAnsi="Verdana" w:cs="Arial"/>
          <w:lang w:eastAsia="es-ES"/>
        </w:rPr>
      </w:pPr>
      <w:r w:rsidRPr="00F64722">
        <w:rPr>
          <w:rFonts w:ascii="Verdana" w:eastAsia="Calibri" w:hAnsi="Verdana" w:cs="Arial"/>
          <w:color w:val="000000"/>
          <w:lang w:eastAsia="es-ES"/>
        </w:rPr>
        <w:t>Conforme lo expuesto, en aras de garantizar el derecho fundamental de petición, se resolverá su petición dentro de los límites de la referida competencia consultiva, esto es, haciendo abstracción del caso particular y concreto señalado en su petición, pero señalando algunas consideraciones sobre las normas generales relacionadas a</w:t>
      </w:r>
      <w:r>
        <w:rPr>
          <w:rFonts w:ascii="Verdana" w:eastAsia="Calibri" w:hAnsi="Verdana" w:cs="Arial"/>
          <w:color w:val="000000"/>
          <w:lang w:eastAsia="es-ES"/>
        </w:rPr>
        <w:t xml:space="preserve">l problema </w:t>
      </w:r>
      <w:r w:rsidRPr="00F64722">
        <w:rPr>
          <w:rFonts w:ascii="Verdana" w:eastAsia="Calibri" w:hAnsi="Verdana" w:cs="Arial"/>
          <w:color w:val="000000"/>
          <w:lang w:eastAsia="es-ES"/>
        </w:rPr>
        <w:t>jurídico de su consulta.</w:t>
      </w:r>
      <w:r w:rsidRPr="00F64722">
        <w:rPr>
          <w:rFonts w:ascii="Verdana" w:eastAsia="Calibri" w:hAnsi="Verdana" w:cs="Arial"/>
          <w:lang w:eastAsia="es-ES"/>
        </w:rPr>
        <w:t xml:space="preserve">  </w:t>
      </w:r>
    </w:p>
    <w:p w14:paraId="0EE7C106" w14:textId="77777777" w:rsidR="00C63ADB" w:rsidRPr="00F64722" w:rsidRDefault="00C63ADB" w:rsidP="00C63ADB">
      <w:pPr>
        <w:spacing w:after="0" w:line="276" w:lineRule="auto"/>
        <w:ind w:firstLine="709"/>
        <w:jc w:val="both"/>
        <w:rPr>
          <w:rFonts w:ascii="Verdana" w:eastAsia="Calibri" w:hAnsi="Verdana" w:cs="Arial"/>
          <w:lang w:eastAsia="es-ES"/>
        </w:rPr>
      </w:pPr>
    </w:p>
    <w:p w14:paraId="6BE4BCDF" w14:textId="77777777" w:rsidR="00C63ADB" w:rsidRPr="00F64722" w:rsidRDefault="00C63ADB" w:rsidP="00C63ADB">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F64722">
        <w:rPr>
          <w:rFonts w:ascii="Verdana" w:eastAsia="Century Gothic" w:hAnsi="Verdana" w:cs="Century Gothic"/>
          <w:b/>
          <w:bCs/>
        </w:rPr>
        <w:t>Problema planteado:</w:t>
      </w:r>
    </w:p>
    <w:p w14:paraId="412EB1F8" w14:textId="77777777" w:rsidR="00C63ADB" w:rsidRPr="00F64722" w:rsidRDefault="00C63ADB" w:rsidP="00C63ADB">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376E53C8" w14:textId="77777777" w:rsidR="00C63ADB" w:rsidRDefault="00C63ADB" w:rsidP="00C63ADB">
      <w:pPr>
        <w:spacing w:after="0" w:line="276" w:lineRule="auto"/>
        <w:jc w:val="both"/>
        <w:rPr>
          <w:rFonts w:ascii="Verdana" w:eastAsia="Calibri" w:hAnsi="Verdana" w:cs="Arial"/>
          <w:color w:val="000000"/>
          <w:lang w:eastAsia="es-ES"/>
        </w:rPr>
      </w:pPr>
      <w:r w:rsidRPr="00005FE3">
        <w:rPr>
          <w:rFonts w:ascii="Verdana" w:eastAsia="Calibri" w:hAnsi="Verdana" w:cs="Arial"/>
          <w:color w:val="000000"/>
          <w:lang w:eastAsia="es-ES"/>
        </w:rPr>
        <w:lastRenderedPageBreak/>
        <w:t xml:space="preserve">De acuerdo con el contenido de su solicitud, esta Agencia resolverá </w:t>
      </w:r>
      <w:r>
        <w:rPr>
          <w:rFonts w:ascii="Verdana" w:eastAsia="Calibri" w:hAnsi="Verdana" w:cs="Arial"/>
          <w:color w:val="000000"/>
          <w:lang w:eastAsia="es-ES"/>
        </w:rPr>
        <w:t>el siguiente problema jurídico: ¿Cuáles son los requisitos de planeación y justificación que deben observar las entidades estatales en la celebración de contratos de prestación de servicios mediante contratación directa y, específicamente, qué análisis o verificaciones deben constar en los estudios previos respecto del estudio del sector o del mercado, la matriz de riesgos y la acreditación de la idoneidad del futuro contratista y la constancia relativa a la no necesidad de obtener varias ofertas?</w:t>
      </w:r>
    </w:p>
    <w:p w14:paraId="1E90ED96" w14:textId="77777777" w:rsidR="00C63ADB" w:rsidRDefault="00C63ADB" w:rsidP="00C63ADB">
      <w:pPr>
        <w:spacing w:after="0" w:line="276" w:lineRule="auto"/>
        <w:jc w:val="both"/>
        <w:rPr>
          <w:rFonts w:ascii="Verdana" w:eastAsia="Calibri" w:hAnsi="Verdana" w:cs="Arial"/>
          <w:color w:val="000000"/>
          <w:lang w:eastAsia="es-ES"/>
        </w:rPr>
      </w:pPr>
    </w:p>
    <w:p w14:paraId="38F7435F" w14:textId="77777777" w:rsidR="00C63ADB" w:rsidRPr="00B33011" w:rsidRDefault="00C63ADB" w:rsidP="00C63ADB">
      <w:pPr>
        <w:spacing w:after="0" w:line="276" w:lineRule="auto"/>
        <w:jc w:val="both"/>
        <w:rPr>
          <w:rFonts w:ascii="Verdana" w:eastAsia="Century Gothic" w:hAnsi="Verdana" w:cs="Century Gothic"/>
          <w:b/>
          <w:bCs/>
        </w:rPr>
      </w:pPr>
      <w:r w:rsidRPr="00B33011">
        <w:rPr>
          <w:rFonts w:ascii="Verdana" w:eastAsia="Century Gothic" w:hAnsi="Verdana" w:cs="Century Gothic"/>
          <w:b/>
          <w:bCs/>
        </w:rPr>
        <w:t>2. Respuesta:</w:t>
      </w:r>
    </w:p>
    <w:p w14:paraId="00E06FFA" w14:textId="77777777" w:rsidR="00C63ADB" w:rsidRPr="005644FE" w:rsidRDefault="00C63ADB" w:rsidP="00C63ADB">
      <w:pPr>
        <w:spacing w:after="0" w:line="276" w:lineRule="auto"/>
        <w:jc w:val="both"/>
        <w:rPr>
          <w:rFonts w:ascii="Verdana" w:eastAsia="Century Gothic" w:hAnsi="Verdana" w:cs="Century Gothic"/>
          <w:b/>
          <w:bCs/>
        </w:rPr>
      </w:pPr>
    </w:p>
    <w:tbl>
      <w:tblPr>
        <w:tblStyle w:val="Tablaconcuadrcula"/>
        <w:tblW w:w="0" w:type="auto"/>
        <w:tblLook w:val="04A0" w:firstRow="1" w:lastRow="0" w:firstColumn="1" w:lastColumn="0" w:noHBand="0" w:noVBand="1"/>
      </w:tblPr>
      <w:tblGrid>
        <w:gridCol w:w="8828"/>
      </w:tblGrid>
      <w:tr w:rsidR="00C63ADB" w:rsidRPr="005644FE" w14:paraId="75FA736B" w14:textId="77777777" w:rsidTr="002E0FA8">
        <w:tc>
          <w:tcPr>
            <w:tcW w:w="8828" w:type="dxa"/>
          </w:tcPr>
          <w:p w14:paraId="3D3482D7" w14:textId="77777777" w:rsidR="00C63ADB" w:rsidRDefault="00C63ADB" w:rsidP="002E0FA8">
            <w:pPr>
              <w:spacing w:after="120" w:line="276" w:lineRule="auto"/>
              <w:jc w:val="both"/>
              <w:rPr>
                <w:rFonts w:ascii="Verdana" w:eastAsia="Calibri" w:hAnsi="Verdana" w:cs="Arial"/>
                <w:color w:val="000000"/>
                <w:lang w:val="es-ES_tradnl"/>
              </w:rPr>
            </w:pPr>
            <w:r w:rsidRPr="00884819">
              <w:rPr>
                <w:rFonts w:ascii="Verdana" w:eastAsia="Calibri" w:hAnsi="Verdana" w:cs="Arial"/>
                <w:color w:val="000000"/>
                <w:lang w:val="es-ES_tradnl"/>
              </w:rPr>
              <w:t>El contrato de prestación de servicios es uno de los tipos contractuales consagrados en el Estatuto General de Contratación de la Administración Pública, que pueden celebrar las entidades estatales</w:t>
            </w:r>
            <w:r>
              <w:rPr>
                <w:rFonts w:ascii="Verdana" w:eastAsia="Calibri" w:hAnsi="Verdana" w:cs="Arial"/>
                <w:color w:val="000000"/>
                <w:lang w:val="es-ES_tradnl"/>
              </w:rPr>
              <w:t xml:space="preserve"> a través</w:t>
            </w:r>
            <w:r w:rsidRPr="00884819">
              <w:rPr>
                <w:rFonts w:ascii="Verdana" w:eastAsia="Calibri" w:hAnsi="Verdana" w:cs="Arial"/>
                <w:color w:val="000000"/>
                <w:lang w:val="es-ES_tradnl"/>
              </w:rPr>
              <w:t xml:space="preserve"> de la modalidad de la contratación directa.</w:t>
            </w:r>
          </w:p>
          <w:p w14:paraId="228C54B7" w14:textId="77777777" w:rsidR="00C63ADB" w:rsidRPr="004E70F9" w:rsidRDefault="00C63ADB" w:rsidP="002E0FA8">
            <w:pPr>
              <w:spacing w:after="120" w:line="276" w:lineRule="auto"/>
              <w:ind w:firstLine="709"/>
              <w:jc w:val="both"/>
              <w:rPr>
                <w:rFonts w:ascii="Verdana" w:eastAsia="Calibri" w:hAnsi="Verdana" w:cs="Arial"/>
                <w:lang w:val="es-ES_tradnl"/>
              </w:rPr>
            </w:pPr>
            <w:r w:rsidRPr="005F752D">
              <w:rPr>
                <w:rFonts w:ascii="Verdana" w:eastAsia="Calibri" w:hAnsi="Verdana" w:cs="Arial"/>
                <w:bCs/>
                <w:lang w:val="es-ES_tradnl"/>
              </w:rPr>
              <w:t>Ahora bien, teniendo en cuenta su consulta</w:t>
            </w:r>
            <w:r>
              <w:rPr>
                <w:rFonts w:ascii="Verdana" w:eastAsia="Calibri" w:hAnsi="Verdana" w:cs="Arial"/>
                <w:bCs/>
                <w:lang w:val="es-ES_tradnl"/>
              </w:rPr>
              <w:t>, debe advertirse que l</w:t>
            </w:r>
            <w:r w:rsidRPr="00627B03">
              <w:rPr>
                <w:rFonts w:ascii="Verdana" w:eastAsia="Calibri" w:hAnsi="Verdana" w:cs="Arial"/>
                <w:bCs/>
                <w:lang w:val="es-ES_tradnl"/>
              </w:rPr>
              <w:t>a planeación contractual es una herramienta de gerencia pública, la cual exige estructurar el proceso contractual dedicando tiempo y esfuerzos para elaborar estudios previos, con el fin de determinar la necesidad que pretende satisfacer y cuál es la mejor manera de hacerlo, consultando el tipo de bienes y servicios que ofrece el mercado</w:t>
            </w:r>
            <w:r w:rsidRPr="005F752D">
              <w:rPr>
                <w:rFonts w:ascii="Verdana" w:eastAsia="Calibri" w:hAnsi="Verdana" w:cs="Arial"/>
                <w:bCs/>
                <w:lang w:val="es-ES_tradnl"/>
              </w:rPr>
              <w:t xml:space="preserve">, así como </w:t>
            </w:r>
            <w:r w:rsidRPr="00627B03">
              <w:rPr>
                <w:rFonts w:ascii="Verdana" w:eastAsia="Calibri" w:hAnsi="Verdana" w:cs="Arial"/>
                <w:bCs/>
                <w:lang w:val="es-ES_tradnl"/>
              </w:rPr>
              <w:t xml:space="preserve">sus características, especificaciones, precios, costos, riesgos, garantías, disponibilidad, </w:t>
            </w:r>
            <w:r w:rsidRPr="005F752D">
              <w:rPr>
                <w:rFonts w:ascii="Verdana" w:eastAsia="Calibri" w:hAnsi="Verdana" w:cs="Arial"/>
                <w:bCs/>
                <w:lang w:val="es-ES_tradnl"/>
              </w:rPr>
              <w:t xml:space="preserve">y potenciales </w:t>
            </w:r>
            <w:r w:rsidRPr="00627B03">
              <w:rPr>
                <w:rFonts w:ascii="Verdana" w:eastAsia="Calibri" w:hAnsi="Verdana" w:cs="Arial"/>
                <w:bCs/>
                <w:lang w:val="es-ES_tradnl"/>
              </w:rPr>
              <w:t xml:space="preserve">oferentes, etc., </w:t>
            </w:r>
            <w:r w:rsidRPr="005F752D">
              <w:rPr>
                <w:rFonts w:ascii="Verdana" w:eastAsia="Calibri" w:hAnsi="Verdana" w:cs="Arial"/>
                <w:bCs/>
                <w:lang w:val="es-ES_tradnl"/>
              </w:rPr>
              <w:t>de manera que se favorezca el cumplimiento de los fines estatales y la adecuada gestión de los recursos públicos.</w:t>
            </w:r>
          </w:p>
          <w:p w14:paraId="7C9AB0EA" w14:textId="77777777" w:rsidR="00C63ADB" w:rsidRPr="005F752D" w:rsidRDefault="00C63ADB" w:rsidP="002E0FA8">
            <w:pPr>
              <w:spacing w:after="120" w:line="276" w:lineRule="auto"/>
              <w:ind w:firstLine="709"/>
              <w:jc w:val="both"/>
              <w:rPr>
                <w:rFonts w:ascii="Verdana" w:hAnsi="Verdana" w:cs="Arial"/>
                <w:lang w:val="es-MX"/>
              </w:rPr>
            </w:pPr>
            <w:r w:rsidRPr="00B97C74">
              <w:rPr>
                <w:rFonts w:ascii="Verdana" w:hAnsi="Verdana" w:cs="Arial"/>
                <w:lang w:val="es-MX"/>
              </w:rPr>
              <w:t xml:space="preserve">En ese sentido, los estudios y documentos previos </w:t>
            </w:r>
            <w:r w:rsidRPr="005F752D">
              <w:rPr>
                <w:rFonts w:ascii="Verdana" w:hAnsi="Verdana" w:cs="Arial"/>
                <w:lang w:val="es-MX"/>
              </w:rPr>
              <w:t>constituyen el soporte de la contratación y son necesarios antes</w:t>
            </w:r>
            <w:r w:rsidRPr="00B97C74">
              <w:rPr>
                <w:rFonts w:ascii="Verdana" w:hAnsi="Verdana" w:cs="Arial"/>
                <w:lang w:val="es-MX"/>
              </w:rPr>
              <w:t xml:space="preserve"> de la celebración del contrato, pues fundamentan las condiciones </w:t>
            </w:r>
            <w:r w:rsidRPr="005F752D">
              <w:rPr>
                <w:rFonts w:ascii="Verdana" w:hAnsi="Verdana" w:cs="Arial"/>
                <w:lang w:val="es-MX"/>
              </w:rPr>
              <w:t xml:space="preserve">técnicas, </w:t>
            </w:r>
            <w:proofErr w:type="spellStart"/>
            <w:r w:rsidRPr="005F752D">
              <w:rPr>
                <w:rFonts w:ascii="Verdana" w:hAnsi="Verdana" w:cs="Arial"/>
                <w:lang w:val="es-MX"/>
              </w:rPr>
              <w:t>juridicas</w:t>
            </w:r>
            <w:proofErr w:type="spellEnd"/>
            <w:r w:rsidRPr="005F752D">
              <w:rPr>
                <w:rFonts w:ascii="Verdana" w:hAnsi="Verdana" w:cs="Arial"/>
                <w:lang w:val="es-MX"/>
              </w:rPr>
              <w:t xml:space="preserve"> y financieras que justifican la necesidad de </w:t>
            </w:r>
            <w:proofErr w:type="gramStart"/>
            <w:r w:rsidRPr="005F752D">
              <w:rPr>
                <w:rFonts w:ascii="Verdana" w:hAnsi="Verdana" w:cs="Arial"/>
                <w:lang w:val="es-MX"/>
              </w:rPr>
              <w:t>las contratación</w:t>
            </w:r>
            <w:proofErr w:type="gramEnd"/>
            <w:r w:rsidRPr="005F752D">
              <w:rPr>
                <w:rFonts w:ascii="Verdana" w:hAnsi="Verdana" w:cs="Arial"/>
                <w:lang w:val="es-MX"/>
              </w:rPr>
              <w:t xml:space="preserve"> y la forma de satisfacerla. </w:t>
            </w:r>
          </w:p>
          <w:p w14:paraId="5582094D" w14:textId="77777777" w:rsidR="00C63ADB" w:rsidRPr="005F752D" w:rsidRDefault="00C63ADB" w:rsidP="002E0FA8">
            <w:pPr>
              <w:spacing w:after="120" w:line="276" w:lineRule="auto"/>
              <w:ind w:firstLine="709"/>
              <w:jc w:val="both"/>
              <w:rPr>
                <w:rFonts w:ascii="Verdana" w:hAnsi="Verdana" w:cs="Segoe UI"/>
              </w:rPr>
            </w:pPr>
            <w:r w:rsidRPr="004E70F9">
              <w:rPr>
                <w:rFonts w:ascii="Verdana" w:hAnsi="Verdana" w:cs="Segoe UI"/>
              </w:rPr>
              <w:t xml:space="preserve">Para cumplir este objetivo, las entidades estatales deben realizar el análisis del sector económico relativo al objeto contractual. En efecto, el artículo 2.2.1.1.1.6.1 del Decreto 1082 de 2015 dispone que la entidad debe adelantar durante la etapa de planeación el análisis necesario para conocer el sector desde la perspectiva legal, comercial, financiera, organizacional, técnica y de riesgos, dejando constancia de ello en los documentos del proceso. Esta obligación resulta aplicable con independencia de la modalidad de selección </w:t>
            </w:r>
            <w:r w:rsidRPr="004E70F9">
              <w:rPr>
                <w:rFonts w:ascii="Verdana" w:hAnsi="Verdana" w:cs="Segoe UI"/>
              </w:rPr>
              <w:lastRenderedPageBreak/>
              <w:t>utilizada, incluyendo la contratación directa y los contratos de prestación de servicios.</w:t>
            </w:r>
          </w:p>
          <w:p w14:paraId="78ABB865" w14:textId="77777777" w:rsidR="00C63ADB" w:rsidRPr="004E70F9" w:rsidRDefault="00C63ADB" w:rsidP="002E0FA8">
            <w:pPr>
              <w:spacing w:after="120" w:line="276" w:lineRule="auto"/>
              <w:ind w:firstLine="709"/>
              <w:jc w:val="both"/>
              <w:rPr>
                <w:rFonts w:ascii="Verdana" w:hAnsi="Verdana" w:cs="Segoe UI"/>
              </w:rPr>
            </w:pPr>
            <w:r w:rsidRPr="004E70F9">
              <w:rPr>
                <w:rFonts w:ascii="Verdana" w:hAnsi="Verdana" w:cs="Segoe UI"/>
              </w:rPr>
              <w:t>Ahora bien, el análisis del sector no exige necesariamente la elaboración de un documento autónomo denominado “estudio de mercado”. Lo relevante es que la entidad adelante las actividades de planeación necesarias para comprender el comportamiento del sector correspondiente y justificar adecuadamente el valor estimado del contrato, para lo cual podrá acudir, entre otros mecanismos, a consultas del mercado, información histórica de contrataciones anteriores, estudios especializados, análisis de precios o cotizaciones, según las características del objeto contractual.</w:t>
            </w:r>
          </w:p>
          <w:p w14:paraId="6ECDEA55" w14:textId="77777777" w:rsidR="00C63ADB" w:rsidRPr="004E70F9" w:rsidRDefault="00C63ADB" w:rsidP="002E0FA8">
            <w:pPr>
              <w:spacing w:after="120" w:line="276" w:lineRule="auto"/>
              <w:ind w:firstLine="709"/>
              <w:jc w:val="both"/>
              <w:rPr>
                <w:rFonts w:ascii="Verdana" w:hAnsi="Verdana" w:cs="Segoe UI"/>
              </w:rPr>
            </w:pPr>
            <w:r w:rsidRPr="7B4F50DD">
              <w:rPr>
                <w:rFonts w:ascii="Verdana" w:eastAsia="Calibri" w:hAnsi="Verdana" w:cs="Arial"/>
                <w:lang w:val="es-ES"/>
              </w:rPr>
              <w:t xml:space="preserve">Si bien los estudios del sector son de gran relevancia en los procesos de contratación donde existe pluralidad de oferentes, </w:t>
            </w:r>
            <w:r w:rsidRPr="005F752D">
              <w:rPr>
                <w:rFonts w:ascii="Verdana" w:eastAsia="Calibri" w:hAnsi="Verdana" w:cs="Arial"/>
                <w:lang w:val="es-ES"/>
              </w:rPr>
              <w:t>también se exige que</w:t>
            </w:r>
            <w:r w:rsidRPr="7B4F50DD">
              <w:rPr>
                <w:rFonts w:ascii="Verdana" w:eastAsia="Calibri" w:hAnsi="Verdana" w:cs="Arial"/>
                <w:lang w:val="es-ES"/>
              </w:rPr>
              <w:t xml:space="preserve"> se elaboren </w:t>
            </w:r>
            <w:r w:rsidRPr="005F752D">
              <w:rPr>
                <w:rFonts w:ascii="Verdana" w:eastAsia="Calibri" w:hAnsi="Verdana" w:cs="Arial"/>
                <w:lang w:val="es-ES"/>
              </w:rPr>
              <w:t xml:space="preserve">en aquellos procesos </w:t>
            </w:r>
            <w:r w:rsidRPr="7B4F50DD">
              <w:rPr>
                <w:rFonts w:ascii="Verdana" w:eastAsia="Calibri" w:hAnsi="Verdana" w:cs="Arial"/>
                <w:lang w:val="es-ES"/>
              </w:rPr>
              <w:t xml:space="preserve">donde no existiría competencia. </w:t>
            </w:r>
            <w:r w:rsidRPr="004E70F9">
              <w:rPr>
                <w:rFonts w:ascii="Verdana" w:hAnsi="Verdana" w:cs="Segoe UI"/>
              </w:rPr>
              <w:t>Por el contrario, en estos eventos permiten sustentar la necesidad de acudir a dicha modalidad, justificar la selección del contratista y demostrar que las condiciones contractuales resultan razonables desde la perspectiva de la eficiencia, eficacia y economía. La propia Agencia Nacional de Contratación Pública – Colombia Compra Eficiente ha señalado que, tratándose de contratación directa, la entidad debe consignar en los documentos del proceso los aspectos contemplados en el artículo 2.2.1.1.1.6.1 del Decreto 1082 de 2015.</w:t>
            </w:r>
          </w:p>
          <w:p w14:paraId="6CA3B197" w14:textId="77777777" w:rsidR="00C63ADB" w:rsidRPr="004E70F9" w:rsidRDefault="00C63ADB" w:rsidP="002E0FA8">
            <w:pPr>
              <w:spacing w:after="120" w:line="276" w:lineRule="auto"/>
              <w:ind w:firstLine="709"/>
              <w:jc w:val="both"/>
              <w:rPr>
                <w:rFonts w:ascii="Verdana" w:hAnsi="Verdana" w:cs="Segoe UI"/>
              </w:rPr>
            </w:pPr>
            <w:r w:rsidRPr="004E70F9">
              <w:rPr>
                <w:rFonts w:ascii="Verdana" w:hAnsi="Verdana" w:cs="Segoe UI"/>
              </w:rPr>
              <w:t xml:space="preserve">Por otra parte, tratándose específicamente de contratos de prestación de servicios, el artículo 2.2.1.2.1.4.9 del Decreto 1082 de 2015 exige que la entidad estatal verifique la idoneidad o experiencia requerida y relacionada con el área de que se trate. En consecuencia, la entidad debe establecer en los estudios previos los parámetros mínimos que permitan acreditar dicha idoneidad o experiencia y justificar por qué la persona natural o jurídica seleccionada cuenta con las competencias necesarias para ejecutar adecuadamente el objeto contractual. Estos requisitos deben ser proporcionales a la naturaleza y alcance del contrato por celebrar. </w:t>
            </w:r>
          </w:p>
          <w:p w14:paraId="5EE0F1A7" w14:textId="77777777" w:rsidR="00C63ADB" w:rsidRPr="004E70F9" w:rsidRDefault="00C63ADB" w:rsidP="002E0FA8">
            <w:pPr>
              <w:pStyle w:val="NormalWeb"/>
              <w:spacing w:before="0" w:beforeAutospacing="0" w:after="120" w:afterAutospacing="0" w:line="276" w:lineRule="auto"/>
              <w:ind w:firstLine="709"/>
              <w:jc w:val="both"/>
              <w:rPr>
                <w:rFonts w:ascii="Verdana" w:hAnsi="Verdana" w:cs="Segoe UI"/>
                <w:sz w:val="22"/>
                <w:szCs w:val="22"/>
              </w:rPr>
            </w:pPr>
            <w:r w:rsidRPr="004E70F9">
              <w:rPr>
                <w:rFonts w:ascii="Verdana" w:hAnsi="Verdana" w:cs="Segoe UI"/>
                <w:sz w:val="22"/>
                <w:szCs w:val="22"/>
              </w:rPr>
              <w:t xml:space="preserve">Las anteriores exigencias resultan aplicables tanto cuando la contratación directa se celebra con una persona natural como cuando se celebra con una persona jurídica, pues en ambos casos la entidad debe elaborar los estudios previos correspondientes, adelantar el análisis del sector, </w:t>
            </w:r>
            <w:r w:rsidRPr="004E70F9">
              <w:rPr>
                <w:rFonts w:ascii="Verdana" w:hAnsi="Verdana" w:cs="Segoe UI"/>
                <w:sz w:val="22"/>
                <w:szCs w:val="22"/>
              </w:rPr>
              <w:lastRenderedPageBreak/>
              <w:t xml:space="preserve">verificar la idoneidad o experiencia requerida y justificar el valor estimado del contrato. </w:t>
            </w:r>
            <w:hyperlink r:id="rId9" w:history="1">
              <w:r w:rsidRPr="004E70F9">
                <w:rPr>
                  <w:rStyle w:val="Hipervnculo"/>
                  <w:rFonts w:ascii="Verdana" w:hAnsi="Verdana" w:cs="Segoe UI"/>
                  <w:sz w:val="22"/>
                  <w:szCs w:val="22"/>
                </w:rPr>
                <w:t>[</w:t>
              </w:r>
              <w:proofErr w:type="spellStart"/>
              <w:proofErr w:type="gramStart"/>
              <w:r w:rsidRPr="004E70F9">
                <w:rPr>
                  <w:rStyle w:val="Hipervnculo"/>
                  <w:rFonts w:ascii="Verdana" w:hAnsi="Verdana" w:cs="Segoe UI"/>
                  <w:sz w:val="22"/>
                  <w:szCs w:val="22"/>
                </w:rPr>
                <w:t>relatoria</w:t>
              </w:r>
              <w:proofErr w:type="spellEnd"/>
              <w:r w:rsidRPr="004E70F9">
                <w:rPr>
                  <w:rStyle w:val="Hipervnculo"/>
                  <w:rFonts w:ascii="Verdana" w:hAnsi="Verdana" w:cs="Segoe UI"/>
                  <w:sz w:val="22"/>
                  <w:szCs w:val="22"/>
                </w:rPr>
                <w:t>....</w:t>
              </w:r>
              <w:proofErr w:type="gramEnd"/>
              <w:r w:rsidRPr="004E70F9">
                <w:rPr>
                  <w:rStyle w:val="Hipervnculo"/>
                  <w:rFonts w:ascii="Verdana" w:hAnsi="Verdana" w:cs="Segoe UI"/>
                  <w:sz w:val="22"/>
                  <w:szCs w:val="22"/>
                </w:rPr>
                <w:t>pra.gov.co]</w:t>
              </w:r>
            </w:hyperlink>
            <w:r w:rsidRPr="004E70F9">
              <w:rPr>
                <w:rFonts w:ascii="Verdana" w:hAnsi="Verdana" w:cs="Segoe UI"/>
                <w:sz w:val="22"/>
                <w:szCs w:val="22"/>
              </w:rPr>
              <w:t xml:space="preserve">, </w:t>
            </w:r>
            <w:hyperlink r:id="rId10" w:history="1">
              <w:r w:rsidRPr="004E70F9">
                <w:rPr>
                  <w:rStyle w:val="Hipervnculo"/>
                  <w:rFonts w:ascii="Verdana" w:hAnsi="Verdana" w:cs="Segoe UI"/>
                  <w:sz w:val="22"/>
                  <w:szCs w:val="22"/>
                </w:rPr>
                <w:t>[</w:t>
              </w:r>
              <w:proofErr w:type="spellStart"/>
              <w:proofErr w:type="gramStart"/>
              <w:r w:rsidRPr="004E70F9">
                <w:rPr>
                  <w:rStyle w:val="Hipervnculo"/>
                  <w:rFonts w:ascii="Verdana" w:hAnsi="Verdana" w:cs="Segoe UI"/>
                  <w:sz w:val="22"/>
                  <w:szCs w:val="22"/>
                </w:rPr>
                <w:t>relatoria</w:t>
              </w:r>
              <w:proofErr w:type="spellEnd"/>
              <w:r w:rsidRPr="004E70F9">
                <w:rPr>
                  <w:rStyle w:val="Hipervnculo"/>
                  <w:rFonts w:ascii="Verdana" w:hAnsi="Verdana" w:cs="Segoe UI"/>
                  <w:sz w:val="22"/>
                  <w:szCs w:val="22"/>
                </w:rPr>
                <w:t>....</w:t>
              </w:r>
              <w:proofErr w:type="gramEnd"/>
              <w:r w:rsidRPr="004E70F9">
                <w:rPr>
                  <w:rStyle w:val="Hipervnculo"/>
                  <w:rFonts w:ascii="Verdana" w:hAnsi="Verdana" w:cs="Segoe UI"/>
                  <w:sz w:val="22"/>
                  <w:szCs w:val="22"/>
                </w:rPr>
                <w:t>pra.gov.co]</w:t>
              </w:r>
            </w:hyperlink>
          </w:p>
          <w:p w14:paraId="76A380FC" w14:textId="77777777" w:rsidR="00C63ADB" w:rsidRPr="004E70F9" w:rsidRDefault="00C63ADB" w:rsidP="002E0FA8">
            <w:pPr>
              <w:pStyle w:val="NormalWeb"/>
              <w:spacing w:before="0" w:beforeAutospacing="0" w:after="120" w:afterAutospacing="0" w:line="276" w:lineRule="auto"/>
              <w:ind w:firstLine="709"/>
              <w:jc w:val="both"/>
              <w:rPr>
                <w:rFonts w:ascii="Verdana" w:hAnsi="Verdana" w:cs="Segoe UI"/>
                <w:sz w:val="22"/>
                <w:szCs w:val="22"/>
              </w:rPr>
            </w:pPr>
            <w:r w:rsidRPr="004E70F9">
              <w:rPr>
                <w:rFonts w:ascii="Verdana" w:hAnsi="Verdana" w:cs="Segoe UI"/>
                <w:sz w:val="22"/>
                <w:szCs w:val="22"/>
              </w:rPr>
              <w:t xml:space="preserve">Ahora bien, respecto de la administración de riesgos, es importante mencionar que la Ley 1150 de 2007 estableció la obligación de identificar, estimar, tipificar y asignar los riesgos previsibles involucrados en la contratación estatal. En consecuencia, las entidades deben analizar los riesgos asociados al contrato y dejar constancia de dicho análisis dentro de los documentos del proceso. Sin embargo, la normativa vigente no impone para los contratos de prestación de servicios un formato único o una matriz de riesgos predeterminada. Lo relevante es que exista una identificación y asignación razonable de los riesgos previsibles atendiendo las características del negocio jurídico correspondiente. </w:t>
            </w:r>
          </w:p>
          <w:p w14:paraId="79984445" w14:textId="77777777" w:rsidR="00C63ADB" w:rsidRPr="004E70F9" w:rsidRDefault="00C63ADB" w:rsidP="002E0FA8">
            <w:pPr>
              <w:pStyle w:val="NormalWeb"/>
              <w:spacing w:before="0" w:beforeAutospacing="0" w:after="120" w:afterAutospacing="0" w:line="276" w:lineRule="auto"/>
              <w:ind w:firstLine="709"/>
              <w:jc w:val="both"/>
              <w:rPr>
                <w:rFonts w:ascii="Verdana" w:hAnsi="Verdana" w:cs="Segoe UI"/>
                <w:sz w:val="22"/>
                <w:szCs w:val="22"/>
              </w:rPr>
            </w:pPr>
            <w:r w:rsidRPr="004E70F9">
              <w:rPr>
                <w:rFonts w:ascii="Verdana" w:hAnsi="Verdana" w:cs="Segoe UI"/>
                <w:sz w:val="22"/>
                <w:szCs w:val="22"/>
              </w:rPr>
              <w:t xml:space="preserve">Finalmente, en relación con la regla prevista en el artículo 2.2.1.2.1.4.9 del Decreto 1082 de 2015, según la cual en los contratos de prestación de servicios no es necesario que la entidad estatal haya obtenido previamente varias ofertas, debe señalarse que la norma exige que el ordenador del gasto deje constancia escrita de dicha circunstancia. No obstante, el ordenamiento jurídico no establece un formato específico para ello. En consecuencia, la constancia puede incorporarse dentro de los estudios previos o reposar en un documento independiente que haga parte de los soportes del proceso, siempre que quede debidamente documentada y permita evidenciar el cumplimiento de la exigencia reglamentaria. </w:t>
            </w:r>
          </w:p>
          <w:p w14:paraId="61800DAA" w14:textId="77777777" w:rsidR="00C63ADB" w:rsidRPr="004E70F9" w:rsidRDefault="00C63ADB" w:rsidP="002E0FA8">
            <w:pPr>
              <w:pStyle w:val="NormalWeb"/>
              <w:spacing w:before="0" w:beforeAutospacing="0" w:after="120" w:afterAutospacing="0" w:line="276" w:lineRule="auto"/>
              <w:ind w:firstLine="709"/>
              <w:jc w:val="both"/>
              <w:rPr>
                <w:rFonts w:ascii="Verdana" w:hAnsi="Verdana" w:cs="Segoe UI"/>
                <w:sz w:val="22"/>
                <w:szCs w:val="22"/>
              </w:rPr>
            </w:pPr>
            <w:r w:rsidRPr="004E70F9">
              <w:rPr>
                <w:rFonts w:ascii="Verdana" w:hAnsi="Verdana" w:cs="Segoe UI"/>
                <w:sz w:val="22"/>
                <w:szCs w:val="22"/>
              </w:rPr>
              <w:t>En síntesis, en los contratos de prestación de servicios celebrados mediante contratación directa la entidad estatal debe adelantar las actividades de planeación exigidas por el Decreto 1082 de 2015, incluyendo el análisis del sector, la identificación y asignación de riesgos previsibles y la verificación de la idoneidad o experiencia del futuro contratista. Estas obligaciones son aplicables tanto cuando el contratista sea una persona natural como cuando sea una persona jurídica. Asimismo, aunque no es necesario obtener varias ofertas, la entidad debe dejar constancia escrita de dicha circunstancia dentro de los documentos que integran el proceso contractual.</w:t>
            </w:r>
          </w:p>
          <w:p w14:paraId="089923AE" w14:textId="77777777" w:rsidR="00C63ADB" w:rsidRPr="00D076E5" w:rsidRDefault="00C63ADB" w:rsidP="002E0FA8">
            <w:pPr>
              <w:spacing w:after="120" w:line="276" w:lineRule="auto"/>
              <w:ind w:firstLine="709"/>
              <w:jc w:val="both"/>
              <w:rPr>
                <w:rFonts w:ascii="Verdana" w:eastAsia="Times New Roman" w:hAnsi="Verdana" w:cs="Arial"/>
                <w:color w:val="000000" w:themeColor="text1"/>
                <w:lang w:eastAsia="es-CO"/>
              </w:rPr>
            </w:pPr>
            <w:r w:rsidRPr="00FC6F34">
              <w:rPr>
                <w:rFonts w:ascii="Verdana" w:eastAsia="Arial" w:hAnsi="Verdana" w:cs="Arial"/>
                <w:color w:val="000000" w:themeColor="text1"/>
                <w:lang w:val="es-ES"/>
              </w:rPr>
              <w:t xml:space="preserve">Finalmente, es importante advertir que </w:t>
            </w:r>
            <w:r w:rsidRPr="00FC6F34">
              <w:rPr>
                <w:rFonts w:ascii="Verdana" w:eastAsia="Times New Roman" w:hAnsi="Verdana" w:cs="Arial"/>
                <w:lang w:val="es-ES"/>
              </w:rPr>
              <w:t xml:space="preserve">compete a cada </w:t>
            </w:r>
            <w:r>
              <w:rPr>
                <w:rFonts w:ascii="Verdana" w:eastAsia="Times New Roman" w:hAnsi="Verdana" w:cs="Arial"/>
                <w:lang w:val="es-ES"/>
              </w:rPr>
              <w:t>E</w:t>
            </w:r>
            <w:r w:rsidRPr="00FC6F34">
              <w:rPr>
                <w:rFonts w:ascii="Verdana" w:eastAsia="Times New Roman" w:hAnsi="Verdana" w:cs="Arial"/>
                <w:lang w:val="es-ES"/>
              </w:rPr>
              <w:t xml:space="preserve">ntidad </w:t>
            </w:r>
            <w:r>
              <w:rPr>
                <w:rFonts w:ascii="Verdana" w:eastAsia="Times New Roman" w:hAnsi="Verdana" w:cs="Arial"/>
                <w:lang w:val="es-ES"/>
              </w:rPr>
              <w:t>E</w:t>
            </w:r>
            <w:r w:rsidRPr="00FC6F34">
              <w:rPr>
                <w:rFonts w:ascii="Verdana" w:eastAsia="Times New Roman" w:hAnsi="Verdana" w:cs="Arial"/>
                <w:lang w:val="es-ES"/>
              </w:rPr>
              <w:t xml:space="preserve">statal que considera celebrar un contrato específico definir </w:t>
            </w:r>
            <w:r>
              <w:rPr>
                <w:rFonts w:ascii="Verdana" w:eastAsia="Times New Roman" w:hAnsi="Verdana" w:cs="Arial"/>
                <w:lang w:val="es-ES"/>
              </w:rPr>
              <w:t>cómo adelantará el procedimiento correspondiente</w:t>
            </w:r>
            <w:r w:rsidRPr="00FC6F34">
              <w:rPr>
                <w:rFonts w:ascii="Verdana" w:eastAsia="Times New Roman" w:hAnsi="Verdana" w:cs="Arial"/>
                <w:lang w:val="es-ES"/>
              </w:rPr>
              <w:t xml:space="preserve">. </w:t>
            </w:r>
            <w:r w:rsidRPr="00FC6F34">
              <w:rPr>
                <w:rFonts w:ascii="Verdana" w:eastAsia="Times New Roman" w:hAnsi="Verdana" w:cs="Arial"/>
                <w:color w:val="000000" w:themeColor="text1"/>
                <w:lang w:val="es-ES" w:eastAsia="es-ES"/>
              </w:rPr>
              <w:t xml:space="preserve">Dentro de este marco, la entidad contratante definirá en cada caso concreto lo relacionado con el tema objeto de consulta. </w:t>
            </w:r>
            <w:r w:rsidRPr="00FC6F34">
              <w:rPr>
                <w:rFonts w:ascii="Verdana" w:eastAsia="Times New Roman" w:hAnsi="Verdana" w:cs="Arial"/>
                <w:color w:val="000000" w:themeColor="text1"/>
                <w:lang w:val="es-ES" w:eastAsia="es-ES"/>
              </w:rPr>
              <w:lastRenderedPageBreak/>
              <w:t>Al tratarse de un análisis que debe realizarse a un asunto particular y concreto,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establecerá la forma de adelantar su gestión contractual, sin que sea atribución de la Agencia Nacional de Contratación Pública - Colombia Compra Eficiente validarla.</w:t>
            </w:r>
          </w:p>
        </w:tc>
      </w:tr>
    </w:tbl>
    <w:p w14:paraId="242ACC54" w14:textId="77777777" w:rsidR="00C63ADB" w:rsidRDefault="00C63ADB" w:rsidP="00C63ADB">
      <w:pPr>
        <w:tabs>
          <w:tab w:val="left" w:pos="142"/>
          <w:tab w:val="left" w:pos="284"/>
        </w:tabs>
        <w:spacing w:after="0" w:line="276" w:lineRule="auto"/>
        <w:jc w:val="both"/>
        <w:rPr>
          <w:rFonts w:ascii="Verdana" w:eastAsia="Century Gothic" w:hAnsi="Verdana" w:cs="Century Gothic"/>
          <w:b/>
          <w:bCs/>
        </w:rPr>
      </w:pPr>
    </w:p>
    <w:p w14:paraId="18ED811E" w14:textId="77777777" w:rsidR="00C63ADB" w:rsidRPr="005644FE" w:rsidRDefault="00C63ADB" w:rsidP="00C63ADB">
      <w:pPr>
        <w:tabs>
          <w:tab w:val="left" w:pos="142"/>
          <w:tab w:val="left" w:pos="284"/>
        </w:tabs>
        <w:spacing w:after="0" w:line="276" w:lineRule="auto"/>
        <w:jc w:val="both"/>
        <w:rPr>
          <w:rFonts w:ascii="Verdana" w:eastAsia="Century Gothic" w:hAnsi="Verdana" w:cs="Century Gothic"/>
          <w:b/>
          <w:bCs/>
        </w:rPr>
      </w:pPr>
      <w:r w:rsidRPr="005644FE">
        <w:rPr>
          <w:rFonts w:ascii="Verdana" w:eastAsia="Century Gothic" w:hAnsi="Verdana" w:cs="Century Gothic"/>
          <w:b/>
          <w:bCs/>
        </w:rPr>
        <w:t>3. Razones de la respuesta:</w:t>
      </w:r>
    </w:p>
    <w:p w14:paraId="6A7F2421" w14:textId="77777777" w:rsidR="00C63ADB" w:rsidRPr="005644FE" w:rsidRDefault="00C63ADB" w:rsidP="00C63ADB">
      <w:pPr>
        <w:pStyle w:val="Prrafodelista"/>
        <w:tabs>
          <w:tab w:val="left" w:pos="142"/>
          <w:tab w:val="left" w:pos="284"/>
        </w:tabs>
        <w:spacing w:after="0" w:line="276" w:lineRule="auto"/>
        <w:ind w:left="0"/>
        <w:contextualSpacing w:val="0"/>
        <w:jc w:val="both"/>
        <w:rPr>
          <w:rFonts w:ascii="Verdana" w:eastAsia="Calibri" w:hAnsi="Verdana" w:cs="Arial"/>
        </w:rPr>
      </w:pPr>
    </w:p>
    <w:p w14:paraId="2A99E3BA" w14:textId="77777777" w:rsidR="00C63ADB" w:rsidRDefault="00C63ADB" w:rsidP="00C63ADB">
      <w:pPr>
        <w:tabs>
          <w:tab w:val="left" w:pos="142"/>
          <w:tab w:val="left" w:pos="284"/>
          <w:tab w:val="left" w:pos="6975"/>
        </w:tabs>
        <w:spacing w:after="0" w:line="276" w:lineRule="auto"/>
        <w:jc w:val="both"/>
        <w:rPr>
          <w:rFonts w:ascii="Verdana" w:eastAsia="Calibri" w:hAnsi="Verdana" w:cs="Arial"/>
        </w:rPr>
      </w:pPr>
      <w:r w:rsidRPr="005644FE">
        <w:rPr>
          <w:rFonts w:ascii="Verdana" w:eastAsia="Calibri" w:hAnsi="Verdana" w:cs="Arial"/>
        </w:rPr>
        <w:t>Lo anterior se sustenta en las siguientes consideraciones:</w:t>
      </w:r>
      <w:r>
        <w:rPr>
          <w:rFonts w:ascii="Verdana" w:eastAsia="Calibri" w:hAnsi="Verdana" w:cs="Arial"/>
        </w:rPr>
        <w:tab/>
      </w:r>
    </w:p>
    <w:p w14:paraId="6CC212F6" w14:textId="77777777" w:rsidR="00C63ADB" w:rsidRDefault="00C63ADB" w:rsidP="00C63ADB">
      <w:pPr>
        <w:tabs>
          <w:tab w:val="left" w:pos="142"/>
          <w:tab w:val="left" w:pos="284"/>
          <w:tab w:val="left" w:pos="6975"/>
        </w:tabs>
        <w:spacing w:after="0" w:line="276" w:lineRule="auto"/>
        <w:jc w:val="both"/>
        <w:rPr>
          <w:rFonts w:ascii="Verdana" w:eastAsia="Calibri" w:hAnsi="Verdana" w:cs="Arial"/>
        </w:rPr>
      </w:pPr>
    </w:p>
    <w:p w14:paraId="6C5E50A4" w14:textId="77777777" w:rsidR="00C63ADB" w:rsidRDefault="00C63ADB" w:rsidP="00C63ADB">
      <w:pPr>
        <w:spacing w:after="120" w:line="276" w:lineRule="auto"/>
        <w:jc w:val="both"/>
        <w:rPr>
          <w:rFonts w:ascii="Verdana" w:eastAsia="Calibri" w:hAnsi="Verdana" w:cs="Arial"/>
          <w:color w:val="000000"/>
          <w:lang w:val="es-ES_tradnl"/>
        </w:rPr>
      </w:pPr>
      <w:r>
        <w:rPr>
          <w:rFonts w:ascii="Verdana" w:eastAsia="Calibri" w:hAnsi="Verdana" w:cs="Arial"/>
          <w:color w:val="000000"/>
          <w:lang w:val="es-ES_tradnl"/>
        </w:rPr>
        <w:t xml:space="preserve">i) </w:t>
      </w:r>
      <w:r w:rsidRPr="00884819">
        <w:rPr>
          <w:rFonts w:ascii="Verdana" w:eastAsia="Calibri" w:hAnsi="Verdana" w:cs="Arial"/>
          <w:color w:val="000000"/>
          <w:lang w:val="es-ES_tradnl"/>
        </w:rPr>
        <w:t>El contrato de prestación de servicios es uno de los tipos contractuales consagrados en el Estatuto General de Contratación de la Administración Pública</w:t>
      </w:r>
      <w:r>
        <w:rPr>
          <w:rFonts w:ascii="Verdana" w:eastAsia="Calibri" w:hAnsi="Verdana" w:cs="Arial"/>
          <w:color w:val="000000"/>
          <w:lang w:val="es-ES_tradnl"/>
        </w:rPr>
        <w:t xml:space="preserve"> – en adelante EGCAP -</w:t>
      </w:r>
      <w:r w:rsidRPr="00884819">
        <w:rPr>
          <w:rFonts w:ascii="Verdana" w:eastAsia="Calibri" w:hAnsi="Verdana" w:cs="Arial"/>
          <w:color w:val="000000"/>
          <w:lang w:val="es-ES_tradnl"/>
        </w:rPr>
        <w:t xml:space="preserve">, que pueden celebrar las entidades estatales. Históricamente, dicha tipología se encontraba regulada en el artículo 138 del Decreto Ley 150 del 1976 y en el artículo 163 del Decreto Ley 222 de 1983. Se trata de un contrato típico, ya que se encuentra definido en la ley y, por tanto, en las condiciones descritas en los artículos 13, 32 y 40 del EGCAP, su regulación desplaza las reglas del arrendamiento de servicios inmateriales de que tratan los artículos 2063 y siguientes del Código Civil. </w:t>
      </w:r>
    </w:p>
    <w:p w14:paraId="7948855B" w14:textId="77777777" w:rsidR="00C63ADB" w:rsidRDefault="00C63ADB" w:rsidP="00C63ADB">
      <w:pPr>
        <w:spacing w:after="0" w:line="276" w:lineRule="auto"/>
        <w:ind w:firstLine="708"/>
        <w:jc w:val="both"/>
        <w:rPr>
          <w:rFonts w:ascii="Verdana" w:eastAsia="Calibri" w:hAnsi="Verdana" w:cs="Arial"/>
          <w:color w:val="000000"/>
          <w:lang w:val="es-ES_tradnl"/>
        </w:rPr>
      </w:pPr>
      <w:r w:rsidRPr="00884819">
        <w:rPr>
          <w:rFonts w:ascii="Verdana" w:eastAsia="Calibri" w:hAnsi="Verdana" w:cs="Arial"/>
          <w:color w:val="000000"/>
          <w:lang w:val="es-ES_tradnl"/>
        </w:rPr>
        <w:t xml:space="preserve">Actualmente, </w:t>
      </w:r>
      <w:r>
        <w:rPr>
          <w:rFonts w:ascii="Verdana" w:eastAsia="Calibri" w:hAnsi="Verdana" w:cs="Arial"/>
          <w:color w:val="000000"/>
          <w:lang w:val="es-ES_tradnl"/>
        </w:rPr>
        <w:t xml:space="preserve">dicho contrato se encuentra consagrado en </w:t>
      </w:r>
      <w:r w:rsidRPr="00884819">
        <w:rPr>
          <w:rFonts w:ascii="Verdana" w:eastAsia="Calibri" w:hAnsi="Verdana" w:cs="Arial"/>
          <w:color w:val="000000"/>
          <w:lang w:val="es-ES_tradnl"/>
        </w:rPr>
        <w:t xml:space="preserve">el artículo 32, numeral 3º, de la Ley 80 de 1993, </w:t>
      </w:r>
      <w:r>
        <w:rPr>
          <w:rFonts w:ascii="Verdana" w:eastAsia="Calibri" w:hAnsi="Verdana" w:cs="Arial"/>
          <w:color w:val="000000"/>
          <w:lang w:val="es-ES_tradnl"/>
        </w:rPr>
        <w:t xml:space="preserve">el cual </w:t>
      </w:r>
      <w:r w:rsidRPr="00884819">
        <w:rPr>
          <w:rFonts w:ascii="Verdana" w:eastAsia="Calibri" w:hAnsi="Verdana" w:cs="Arial"/>
          <w:color w:val="000000"/>
          <w:lang w:val="es-ES_tradnl"/>
        </w:rPr>
        <w:t>establece:</w:t>
      </w:r>
    </w:p>
    <w:p w14:paraId="6E30F5E8" w14:textId="77777777" w:rsidR="00C63ADB" w:rsidRPr="00884819" w:rsidRDefault="00C63ADB" w:rsidP="00C63ADB">
      <w:pPr>
        <w:spacing w:after="0" w:line="276" w:lineRule="auto"/>
        <w:jc w:val="both"/>
        <w:rPr>
          <w:rFonts w:ascii="Verdana" w:eastAsia="Calibri" w:hAnsi="Verdana" w:cs="Arial"/>
          <w:color w:val="000000"/>
          <w:lang w:val="es-ES_tradnl"/>
        </w:rPr>
      </w:pPr>
    </w:p>
    <w:p w14:paraId="6756BD3D" w14:textId="77777777" w:rsidR="00C63ADB" w:rsidRPr="00692C00" w:rsidRDefault="00C63ADB" w:rsidP="00C63ADB">
      <w:pPr>
        <w:spacing w:after="0" w:line="240" w:lineRule="auto"/>
        <w:ind w:left="709" w:right="709"/>
        <w:jc w:val="both"/>
        <w:rPr>
          <w:rFonts w:ascii="Verdana" w:eastAsia="Calibri" w:hAnsi="Verdana" w:cs="Arial"/>
          <w:color w:val="000000"/>
          <w:sz w:val="20"/>
          <w:szCs w:val="20"/>
          <w:lang w:val="es-ES_tradnl"/>
        </w:rPr>
      </w:pPr>
      <w:r w:rsidRPr="00692C00">
        <w:rPr>
          <w:rFonts w:ascii="Verdana" w:eastAsia="Calibri" w:hAnsi="Verdana" w:cs="Arial"/>
          <w:color w:val="000000"/>
          <w:sz w:val="20"/>
          <w:szCs w:val="20"/>
          <w:lang w:val="es-ES_tradnl"/>
        </w:rPr>
        <w:t>“Son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w:t>
      </w:r>
    </w:p>
    <w:p w14:paraId="05A6C606" w14:textId="77777777" w:rsidR="00C63ADB" w:rsidRDefault="00C63ADB" w:rsidP="00C63ADB">
      <w:pPr>
        <w:spacing w:after="0" w:line="240" w:lineRule="auto"/>
        <w:ind w:left="709" w:right="709"/>
        <w:jc w:val="both"/>
        <w:rPr>
          <w:rFonts w:ascii="Verdana" w:eastAsia="Calibri" w:hAnsi="Verdana" w:cs="Arial"/>
          <w:color w:val="000000"/>
          <w:sz w:val="20"/>
          <w:szCs w:val="20"/>
          <w:lang w:val="es-ES_tradnl"/>
        </w:rPr>
      </w:pPr>
    </w:p>
    <w:p w14:paraId="6A078721" w14:textId="77777777" w:rsidR="00C63ADB" w:rsidRPr="00884819" w:rsidRDefault="00C63ADB" w:rsidP="00C63ADB">
      <w:pPr>
        <w:spacing w:after="0" w:line="240" w:lineRule="auto"/>
        <w:ind w:left="709" w:right="709"/>
        <w:jc w:val="both"/>
        <w:rPr>
          <w:rFonts w:ascii="Verdana" w:eastAsia="Calibri" w:hAnsi="Verdana" w:cs="Arial"/>
          <w:color w:val="000000"/>
          <w:sz w:val="21"/>
          <w:szCs w:val="21"/>
          <w:lang w:val="es-ES_tradnl"/>
        </w:rPr>
      </w:pPr>
      <w:r w:rsidRPr="00692C00">
        <w:rPr>
          <w:rFonts w:ascii="Verdana" w:eastAsia="Calibri" w:hAnsi="Verdana" w:cs="Arial"/>
          <w:color w:val="000000"/>
          <w:sz w:val="20"/>
          <w:szCs w:val="20"/>
          <w:lang w:val="es-ES_tradnl"/>
        </w:rPr>
        <w:t>En ningún caso estos contratos generan relación laboral ni prestaciones sociales y se celebrarán por el término estrictamente indispensable”.</w:t>
      </w:r>
    </w:p>
    <w:p w14:paraId="3DD7EA9C" w14:textId="77777777" w:rsidR="00C63ADB" w:rsidRPr="00884819" w:rsidRDefault="00C63ADB" w:rsidP="00C63ADB">
      <w:pPr>
        <w:tabs>
          <w:tab w:val="left" w:pos="284"/>
        </w:tabs>
        <w:spacing w:after="0" w:line="276" w:lineRule="auto"/>
        <w:contextualSpacing/>
        <w:jc w:val="both"/>
        <w:rPr>
          <w:rFonts w:ascii="Verdana" w:eastAsia="Calibri" w:hAnsi="Verdana" w:cs="Arial"/>
          <w:b/>
          <w:color w:val="000000"/>
          <w:lang w:val="es-ES_tradnl"/>
        </w:rPr>
      </w:pPr>
    </w:p>
    <w:p w14:paraId="1F50328C" w14:textId="77777777" w:rsidR="00C63ADB" w:rsidRDefault="00C63ADB" w:rsidP="00C63ADB">
      <w:pPr>
        <w:spacing w:after="0" w:line="276" w:lineRule="auto"/>
        <w:ind w:firstLine="709"/>
        <w:jc w:val="both"/>
        <w:rPr>
          <w:rFonts w:ascii="Verdana" w:eastAsia="Calibri" w:hAnsi="Verdana" w:cs="Arial"/>
          <w:color w:val="000000"/>
          <w:lang w:val="es-ES_tradnl"/>
        </w:rPr>
      </w:pPr>
      <w:r>
        <w:rPr>
          <w:rFonts w:ascii="Verdana" w:eastAsia="Calibri" w:hAnsi="Verdana" w:cs="Arial"/>
          <w:color w:val="000000"/>
          <w:lang w:val="es-ES_tradnl"/>
        </w:rPr>
        <w:t>L</w:t>
      </w:r>
      <w:r w:rsidRPr="00884819">
        <w:rPr>
          <w:rFonts w:ascii="Verdana" w:eastAsia="Calibri" w:hAnsi="Verdana" w:cs="Arial"/>
          <w:color w:val="000000"/>
          <w:lang w:val="es-ES_tradnl"/>
        </w:rPr>
        <w:t>a celebración de dicho contrato se realiza a través de la modalidad de la contratación directa. Así lo prevé el artículo 2, numeral 4º, literal h), de la Ley 1150 de 2007, que dispone:</w:t>
      </w:r>
    </w:p>
    <w:p w14:paraId="62AFF076" w14:textId="77777777" w:rsidR="00C63ADB" w:rsidRPr="00884819" w:rsidRDefault="00C63ADB" w:rsidP="00C63ADB">
      <w:pPr>
        <w:spacing w:after="0" w:line="276" w:lineRule="auto"/>
        <w:ind w:firstLine="709"/>
        <w:jc w:val="both"/>
        <w:rPr>
          <w:rFonts w:ascii="Verdana" w:eastAsia="Calibri" w:hAnsi="Verdana" w:cs="Arial"/>
          <w:color w:val="000000"/>
          <w:lang w:val="es-ES_tradnl"/>
        </w:rPr>
      </w:pPr>
    </w:p>
    <w:p w14:paraId="12A8C346" w14:textId="77777777" w:rsidR="00C63ADB" w:rsidRDefault="00C63ADB" w:rsidP="00C63ADB">
      <w:pPr>
        <w:spacing w:after="0" w:line="240" w:lineRule="auto"/>
        <w:ind w:left="709" w:right="709"/>
        <w:jc w:val="both"/>
        <w:rPr>
          <w:rFonts w:ascii="Verdana" w:eastAsia="Calibri" w:hAnsi="Verdana" w:cs="Arial"/>
          <w:color w:val="000000"/>
          <w:sz w:val="20"/>
          <w:szCs w:val="20"/>
          <w:lang w:val="es-ES_tradnl"/>
        </w:rPr>
      </w:pPr>
      <w:r>
        <w:rPr>
          <w:rFonts w:ascii="Verdana" w:eastAsia="Calibri" w:hAnsi="Verdana" w:cs="Arial"/>
          <w:color w:val="000000"/>
          <w:sz w:val="20"/>
          <w:szCs w:val="20"/>
          <w:lang w:val="es-ES_tradnl"/>
        </w:rPr>
        <w:t>“(…)</w:t>
      </w:r>
    </w:p>
    <w:p w14:paraId="6F581730" w14:textId="77777777" w:rsidR="00C63ADB" w:rsidRPr="00692C00" w:rsidRDefault="00C63ADB" w:rsidP="00C63ADB">
      <w:pPr>
        <w:spacing w:after="0" w:line="240" w:lineRule="auto"/>
        <w:ind w:left="709" w:right="709"/>
        <w:jc w:val="both"/>
        <w:rPr>
          <w:rFonts w:ascii="Verdana" w:eastAsia="Calibri" w:hAnsi="Verdana" w:cs="Arial"/>
          <w:color w:val="000000"/>
          <w:sz w:val="20"/>
          <w:szCs w:val="20"/>
          <w:lang w:val="es-ES_tradnl"/>
        </w:rPr>
      </w:pPr>
    </w:p>
    <w:p w14:paraId="217E8693" w14:textId="77777777" w:rsidR="00C63ADB" w:rsidRPr="00692C00" w:rsidRDefault="00C63ADB" w:rsidP="00C63ADB">
      <w:pPr>
        <w:spacing w:after="0" w:line="240" w:lineRule="auto"/>
        <w:ind w:left="709" w:right="709"/>
        <w:jc w:val="both"/>
        <w:rPr>
          <w:rFonts w:ascii="Verdana" w:eastAsia="Calibri" w:hAnsi="Verdana" w:cs="Arial"/>
          <w:color w:val="000000"/>
          <w:sz w:val="20"/>
          <w:szCs w:val="20"/>
          <w:lang w:val="es-ES"/>
        </w:rPr>
      </w:pPr>
      <w:r w:rsidRPr="00692C00">
        <w:rPr>
          <w:rFonts w:ascii="Verdana" w:eastAsia="Calibri" w:hAnsi="Verdana" w:cs="Arial"/>
          <w:color w:val="000000" w:themeColor="text1"/>
          <w:sz w:val="20"/>
          <w:szCs w:val="20"/>
          <w:lang w:val="es-ES"/>
        </w:rPr>
        <w:t>Contratación directa. La modalidad de selección de contratación directa solamente procederá en los siguientes casos:</w:t>
      </w:r>
    </w:p>
    <w:p w14:paraId="0DFD6BE1" w14:textId="77777777" w:rsidR="00C63ADB" w:rsidRDefault="00C63ADB" w:rsidP="00C63ADB">
      <w:pPr>
        <w:spacing w:after="0" w:line="240" w:lineRule="auto"/>
        <w:ind w:left="709" w:right="709"/>
        <w:jc w:val="both"/>
        <w:rPr>
          <w:rFonts w:ascii="Verdana" w:eastAsia="Calibri" w:hAnsi="Verdana" w:cs="Arial"/>
          <w:color w:val="000000"/>
          <w:sz w:val="20"/>
          <w:szCs w:val="20"/>
          <w:lang w:val="es-ES_tradnl"/>
        </w:rPr>
      </w:pPr>
    </w:p>
    <w:p w14:paraId="4E204C3D" w14:textId="77777777" w:rsidR="00C63ADB" w:rsidRDefault="00C63ADB" w:rsidP="00C63ADB">
      <w:pPr>
        <w:spacing w:after="0" w:line="240" w:lineRule="auto"/>
        <w:ind w:left="709" w:right="709"/>
        <w:jc w:val="both"/>
        <w:rPr>
          <w:rFonts w:ascii="Verdana" w:eastAsia="Calibri" w:hAnsi="Verdana" w:cs="Arial"/>
          <w:color w:val="000000"/>
          <w:sz w:val="20"/>
          <w:szCs w:val="20"/>
          <w:lang w:val="es-ES_tradnl"/>
        </w:rPr>
      </w:pPr>
      <w:r>
        <w:rPr>
          <w:rFonts w:ascii="Verdana" w:eastAsia="Calibri" w:hAnsi="Verdana" w:cs="Arial"/>
          <w:color w:val="000000"/>
          <w:sz w:val="20"/>
          <w:szCs w:val="20"/>
          <w:lang w:val="es-ES_tradnl"/>
        </w:rPr>
        <w:t>(…)</w:t>
      </w:r>
    </w:p>
    <w:p w14:paraId="48198E29" w14:textId="77777777" w:rsidR="00C63ADB" w:rsidRPr="00692C00" w:rsidRDefault="00C63ADB" w:rsidP="00C63ADB">
      <w:pPr>
        <w:spacing w:after="0" w:line="240" w:lineRule="auto"/>
        <w:ind w:left="709" w:right="709"/>
        <w:jc w:val="both"/>
        <w:rPr>
          <w:rFonts w:ascii="Verdana" w:eastAsia="Calibri" w:hAnsi="Verdana" w:cs="Arial"/>
          <w:color w:val="000000"/>
          <w:sz w:val="20"/>
          <w:szCs w:val="20"/>
          <w:lang w:val="es-ES_tradnl"/>
        </w:rPr>
      </w:pPr>
    </w:p>
    <w:p w14:paraId="176F981C" w14:textId="77777777" w:rsidR="00C63ADB" w:rsidRDefault="00C63ADB" w:rsidP="00C63ADB">
      <w:pPr>
        <w:spacing w:after="0" w:line="240" w:lineRule="auto"/>
        <w:ind w:left="709" w:right="709"/>
        <w:jc w:val="both"/>
        <w:rPr>
          <w:rFonts w:ascii="Verdana" w:eastAsia="Calibri" w:hAnsi="Verdana" w:cs="Arial"/>
          <w:color w:val="000000"/>
          <w:sz w:val="20"/>
          <w:szCs w:val="20"/>
          <w:lang w:val="es-ES_tradnl"/>
        </w:rPr>
      </w:pPr>
      <w:r w:rsidRPr="00692C00">
        <w:rPr>
          <w:rFonts w:ascii="Verdana" w:eastAsia="Calibri" w:hAnsi="Verdana" w:cs="Arial"/>
          <w:color w:val="000000"/>
          <w:sz w:val="20"/>
          <w:szCs w:val="20"/>
          <w:lang w:val="es-ES_tradnl"/>
        </w:rPr>
        <w:t>h) Para la prestación de servicios profesionales y de apoyo a la gestión, o para la ejecución de trabajos artísticos que sólo puedan encomendarse a determinadas personas naturales”.</w:t>
      </w:r>
    </w:p>
    <w:p w14:paraId="2F2B1C27" w14:textId="77777777" w:rsidR="00C63ADB" w:rsidRDefault="00C63ADB" w:rsidP="00C63ADB">
      <w:pPr>
        <w:spacing w:after="0" w:line="276" w:lineRule="auto"/>
        <w:ind w:left="709" w:right="616"/>
        <w:jc w:val="both"/>
        <w:rPr>
          <w:rFonts w:ascii="Verdana" w:eastAsia="Calibri" w:hAnsi="Verdana" w:cs="Arial"/>
          <w:color w:val="000000"/>
          <w:lang w:val="es-ES_tradnl"/>
        </w:rPr>
      </w:pPr>
    </w:p>
    <w:p w14:paraId="23E3BD91" w14:textId="77777777" w:rsidR="00C63ADB" w:rsidRPr="00E00F9B" w:rsidRDefault="00C63ADB" w:rsidP="00C63ADB">
      <w:pPr>
        <w:tabs>
          <w:tab w:val="left" w:pos="0"/>
        </w:tabs>
        <w:spacing w:after="0" w:line="276" w:lineRule="auto"/>
        <w:jc w:val="both"/>
        <w:rPr>
          <w:rFonts w:ascii="Verdana" w:hAnsi="Verdana" w:cs="Arial"/>
          <w:noProof/>
          <w:lang w:val="es-ES_tradnl"/>
        </w:rPr>
      </w:pPr>
      <w:r>
        <w:rPr>
          <w:rFonts w:ascii="Verdana" w:hAnsi="Verdana" w:cs="Arial"/>
          <w:noProof/>
          <w:lang w:val="es-ES_tradnl"/>
        </w:rPr>
        <w:tab/>
      </w:r>
      <w:r w:rsidRPr="00E00F9B">
        <w:rPr>
          <w:rFonts w:ascii="Verdana" w:hAnsi="Verdana" w:cs="Arial"/>
          <w:noProof/>
          <w:lang w:val="es-ES_tradnl"/>
        </w:rPr>
        <w:t>El Decreto 1082 de 2015 en el artículo 2.2.1.2.1.4.9. reglamenta la contratación directa para los contratos de servicios profesionales y de apoyo a la gestión, o para la ejecución de trabajos artísticos que solo puedan encomendarse a determinadas personas naturales, en los siguientes términos:</w:t>
      </w:r>
    </w:p>
    <w:p w14:paraId="72EC1C65" w14:textId="77777777" w:rsidR="00C63ADB" w:rsidRPr="00E00F9B" w:rsidRDefault="00C63ADB" w:rsidP="00C63ADB">
      <w:pPr>
        <w:tabs>
          <w:tab w:val="left" w:pos="0"/>
        </w:tabs>
        <w:spacing w:after="0" w:line="276" w:lineRule="auto"/>
        <w:jc w:val="both"/>
        <w:rPr>
          <w:rFonts w:ascii="Verdana" w:hAnsi="Verdana" w:cs="Arial"/>
          <w:noProof/>
          <w:lang w:val="es-ES_tradnl"/>
        </w:rPr>
      </w:pPr>
    </w:p>
    <w:p w14:paraId="670A3BC9" w14:textId="77777777" w:rsidR="00C63ADB" w:rsidRPr="00E00F9B" w:rsidRDefault="00C63ADB" w:rsidP="00C63ADB">
      <w:pPr>
        <w:spacing w:after="0" w:line="240" w:lineRule="auto"/>
        <w:ind w:left="709" w:right="709"/>
        <w:contextualSpacing/>
        <w:jc w:val="both"/>
        <w:rPr>
          <w:rFonts w:ascii="Verdana" w:hAnsi="Verdana" w:cs="Arial"/>
          <w:sz w:val="20"/>
          <w:szCs w:val="20"/>
          <w:lang w:val="es-MX"/>
        </w:rPr>
      </w:pPr>
      <w:r w:rsidRPr="00E00F9B">
        <w:rPr>
          <w:rFonts w:ascii="Verdana" w:eastAsia="Yu Gothic UI Semibold" w:hAnsi="Verdana" w:cs="Arial"/>
          <w:iCs/>
          <w:sz w:val="20"/>
          <w:szCs w:val="20"/>
          <w:lang w:eastAsia="es-MX"/>
        </w:rPr>
        <w:t>“</w:t>
      </w:r>
      <w:r w:rsidRPr="00E00F9B">
        <w:rPr>
          <w:rFonts w:ascii="Verdana" w:hAnsi="Verdana" w:cs="Arial"/>
          <w:sz w:val="20"/>
          <w:szCs w:val="20"/>
          <w:lang w:val="es-MX"/>
        </w:rPr>
        <w:t>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0EA479D8" w14:textId="77777777" w:rsidR="00C63ADB" w:rsidRPr="00E00F9B" w:rsidRDefault="00C63ADB" w:rsidP="00C63ADB">
      <w:pPr>
        <w:spacing w:after="0" w:line="240" w:lineRule="auto"/>
        <w:ind w:left="709" w:right="709"/>
        <w:contextualSpacing/>
        <w:jc w:val="both"/>
        <w:rPr>
          <w:rFonts w:ascii="Verdana" w:hAnsi="Verdana" w:cs="Arial"/>
          <w:sz w:val="20"/>
          <w:szCs w:val="20"/>
        </w:rPr>
      </w:pPr>
    </w:p>
    <w:p w14:paraId="56E3158E" w14:textId="77777777" w:rsidR="00C63ADB" w:rsidRPr="00E00F9B" w:rsidRDefault="00C63ADB" w:rsidP="00C63ADB">
      <w:pPr>
        <w:pStyle w:val="Prrafodelista"/>
        <w:spacing w:after="0" w:line="240" w:lineRule="auto"/>
        <w:ind w:left="709" w:right="709"/>
        <w:jc w:val="both"/>
        <w:rPr>
          <w:rFonts w:ascii="Verdana" w:hAnsi="Verdana" w:cs="Arial"/>
          <w:sz w:val="20"/>
          <w:szCs w:val="20"/>
          <w:lang w:val="es-MX"/>
        </w:rPr>
      </w:pPr>
      <w:r w:rsidRPr="00E00F9B">
        <w:rPr>
          <w:rFonts w:ascii="Verdana" w:hAnsi="Verdana" w:cs="Arial"/>
          <w:sz w:val="20"/>
          <w:szCs w:val="20"/>
          <w:lang w:val="es-MX"/>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60BECA5E" w14:textId="77777777" w:rsidR="00C63ADB" w:rsidRPr="00E00F9B" w:rsidRDefault="00C63ADB" w:rsidP="00C63ADB">
      <w:pPr>
        <w:pStyle w:val="Prrafodelista"/>
        <w:spacing w:after="0" w:line="240" w:lineRule="auto"/>
        <w:ind w:left="709" w:right="709"/>
        <w:jc w:val="both"/>
        <w:rPr>
          <w:rFonts w:ascii="Verdana" w:hAnsi="Verdana" w:cs="Arial"/>
          <w:sz w:val="20"/>
          <w:szCs w:val="20"/>
          <w:lang w:val="es-MX"/>
        </w:rPr>
      </w:pPr>
    </w:p>
    <w:p w14:paraId="12665390" w14:textId="77777777" w:rsidR="00C63ADB" w:rsidRPr="00E00F9B" w:rsidRDefault="00C63ADB" w:rsidP="00C63ADB">
      <w:pPr>
        <w:pStyle w:val="Prrafodelista"/>
        <w:spacing w:after="0" w:line="240" w:lineRule="auto"/>
        <w:ind w:left="709" w:right="709"/>
        <w:jc w:val="both"/>
        <w:rPr>
          <w:rFonts w:ascii="Verdana" w:hAnsi="Verdana" w:cs="Arial"/>
          <w:sz w:val="20"/>
          <w:szCs w:val="20"/>
          <w:lang w:val="es-MX"/>
        </w:rPr>
      </w:pPr>
      <w:r w:rsidRPr="00E00F9B">
        <w:rPr>
          <w:rFonts w:ascii="Verdana" w:hAnsi="Verdana" w:cs="Arial"/>
          <w:sz w:val="20"/>
          <w:szCs w:val="20"/>
          <w:lang w:val="es-MX"/>
        </w:rPr>
        <w:t>La Entidad Estatal, para la contratación de trabajos artísticos que solamente puedan en</w:t>
      </w:r>
      <w:r w:rsidRPr="00E00F9B">
        <w:rPr>
          <w:rFonts w:ascii="Verdana" w:hAnsi="Verdana" w:cs="Arial"/>
          <w:sz w:val="20"/>
          <w:szCs w:val="20"/>
          <w:lang w:val="es-MX"/>
        </w:rPr>
        <w:softHyphen/>
        <w:t>comendarse a determinadas personas naturales, debe justificar esta situación en los estudios y documentos previos</w:t>
      </w:r>
      <w:r w:rsidRPr="00E00F9B">
        <w:rPr>
          <w:rFonts w:ascii="Verdana" w:eastAsia="Yu Gothic UI Semibold" w:hAnsi="Verdana" w:cs="Arial"/>
          <w:iCs/>
          <w:sz w:val="20"/>
          <w:szCs w:val="20"/>
          <w:lang w:eastAsia="es-MX"/>
        </w:rPr>
        <w:t>”</w:t>
      </w:r>
      <w:r w:rsidRPr="00E00F9B">
        <w:rPr>
          <w:rFonts w:ascii="Verdana" w:hAnsi="Verdana" w:cs="Arial"/>
          <w:sz w:val="20"/>
          <w:szCs w:val="20"/>
          <w:lang w:val="es-MX"/>
        </w:rPr>
        <w:t>.</w:t>
      </w:r>
    </w:p>
    <w:p w14:paraId="7AA085DD" w14:textId="77777777" w:rsidR="00C63ADB" w:rsidRDefault="00C63ADB" w:rsidP="00C63ADB">
      <w:pPr>
        <w:tabs>
          <w:tab w:val="left" w:pos="0"/>
        </w:tabs>
        <w:spacing w:after="0" w:line="276" w:lineRule="auto"/>
        <w:jc w:val="both"/>
        <w:rPr>
          <w:rFonts w:ascii="Verdana" w:hAnsi="Verdana" w:cs="Arial"/>
          <w:color w:val="000000" w:themeColor="text1"/>
          <w:lang w:val="es-ES_tradnl"/>
        </w:rPr>
      </w:pPr>
      <w:r w:rsidRPr="00E00F9B">
        <w:rPr>
          <w:rFonts w:ascii="Verdana" w:hAnsi="Verdana" w:cs="Arial"/>
          <w:color w:val="000000" w:themeColor="text1"/>
          <w:lang w:val="es-ES_tradnl"/>
        </w:rPr>
        <w:tab/>
      </w:r>
    </w:p>
    <w:p w14:paraId="7B3C6538" w14:textId="77777777" w:rsidR="00C63ADB" w:rsidRPr="00E00F9B" w:rsidRDefault="00C63ADB" w:rsidP="00C63ADB">
      <w:pPr>
        <w:tabs>
          <w:tab w:val="left" w:pos="0"/>
        </w:tabs>
        <w:spacing w:after="120" w:line="276" w:lineRule="auto"/>
        <w:jc w:val="both"/>
        <w:rPr>
          <w:rFonts w:ascii="Verdana" w:hAnsi="Verdana" w:cs="Arial"/>
          <w:color w:val="000000" w:themeColor="text1"/>
          <w:lang w:val="es-ES_tradnl"/>
        </w:rPr>
      </w:pPr>
      <w:r>
        <w:rPr>
          <w:rFonts w:ascii="Verdana" w:hAnsi="Verdana" w:cs="Arial"/>
          <w:color w:val="000000" w:themeColor="text1"/>
          <w:lang w:val="es-ES_tradnl"/>
        </w:rPr>
        <w:tab/>
      </w:r>
      <w:r w:rsidRPr="00E00F9B">
        <w:rPr>
          <w:rFonts w:ascii="Verdana" w:hAnsi="Verdana" w:cs="Arial"/>
          <w:color w:val="000000" w:themeColor="text1"/>
          <w:lang w:val="es-ES_tradnl"/>
        </w:rPr>
        <w:t>A partir de las disposiciones citadas, así como la Sentencia de Unificación Jurisprudencial del 9 de septiembre de 2021, proferida por el Consejo de Estado</w:t>
      </w:r>
      <w:r w:rsidRPr="00E00F9B">
        <w:rPr>
          <w:rFonts w:ascii="Verdana" w:hAnsi="Verdana"/>
          <w:bCs/>
          <w:vertAlign w:val="superscript"/>
        </w:rPr>
        <w:footnoteReference w:id="1"/>
      </w:r>
      <w:r w:rsidRPr="00E00F9B">
        <w:rPr>
          <w:rFonts w:ascii="Verdana" w:hAnsi="Verdana" w:cs="Arial"/>
          <w:color w:val="000000" w:themeColor="text1"/>
          <w:lang w:val="es-ES_tradnl"/>
        </w:rPr>
        <w:t>, es posible señalar las siguientes características del contrato de prestación de servicios</w:t>
      </w:r>
      <w:r w:rsidRPr="00E00F9B">
        <w:rPr>
          <w:rFonts w:ascii="Verdana" w:hAnsi="Verdana" w:cs="Arial"/>
          <w:noProof/>
          <w:lang w:val="es-ES_tradnl"/>
        </w:rPr>
        <w:t>:</w:t>
      </w:r>
    </w:p>
    <w:p w14:paraId="570411F3" w14:textId="77777777" w:rsidR="00C63ADB" w:rsidRPr="00E00F9B" w:rsidRDefault="00C63ADB" w:rsidP="00C63ADB">
      <w:pPr>
        <w:tabs>
          <w:tab w:val="left" w:pos="0"/>
        </w:tabs>
        <w:spacing w:after="120" w:line="276" w:lineRule="auto"/>
        <w:jc w:val="both"/>
        <w:rPr>
          <w:rFonts w:ascii="Verdana" w:hAnsi="Verdana" w:cs="Arial"/>
          <w:noProof/>
          <w:lang w:val="es-ES_tradnl"/>
        </w:rPr>
      </w:pPr>
      <w:r w:rsidRPr="00E00F9B">
        <w:rPr>
          <w:rFonts w:ascii="Verdana" w:hAnsi="Verdana" w:cs="Arial"/>
          <w:noProof/>
          <w:lang w:val="es-ES_tradnl"/>
        </w:rPr>
        <w:lastRenderedPageBreak/>
        <w:tab/>
      </w:r>
      <w:bookmarkStart w:id="2" w:name="_Hlk174438751"/>
      <w:r w:rsidRPr="00E00F9B">
        <w:rPr>
          <w:rFonts w:ascii="Verdana" w:hAnsi="Verdana" w:cs="Arial"/>
          <w:noProof/>
          <w:lang w:val="es-ES_tradnl"/>
        </w:rPr>
        <w:t>i)Solo puede celebrarse para realizar “actividades relacionadas con la administración o funcionamiento de la entidad”, es decir, que hagan parte de su giro ordinario o quehacer cotidiano</w:t>
      </w:r>
      <w:r w:rsidRPr="00E00F9B">
        <w:rPr>
          <w:rFonts w:ascii="Verdana" w:hAnsi="Verdana"/>
          <w:noProof/>
          <w:vertAlign w:val="superscript"/>
          <w:lang w:val="es-ES_tradnl"/>
        </w:rPr>
        <w:footnoteReference w:id="2"/>
      </w:r>
      <w:r w:rsidRPr="00E00F9B">
        <w:rPr>
          <w:rFonts w:ascii="Verdana" w:hAnsi="Verdana" w:cs="Arial"/>
          <w:noProof/>
          <w:lang w:val="es-ES_tradnl"/>
        </w:rPr>
        <w:t>.</w:t>
      </w:r>
    </w:p>
    <w:p w14:paraId="523173D0" w14:textId="77777777" w:rsidR="00C63ADB" w:rsidRPr="00E00F9B" w:rsidRDefault="00C63ADB" w:rsidP="00C63ADB">
      <w:pPr>
        <w:tabs>
          <w:tab w:val="left" w:pos="0"/>
        </w:tabs>
        <w:spacing w:after="120" w:line="276" w:lineRule="auto"/>
        <w:jc w:val="both"/>
        <w:rPr>
          <w:rFonts w:ascii="Verdana" w:hAnsi="Verdana" w:cs="Arial"/>
          <w:color w:val="000000" w:themeColor="text1"/>
          <w:lang w:val="es-ES_tradnl"/>
        </w:rPr>
      </w:pPr>
      <w:r w:rsidRPr="00E00F9B">
        <w:rPr>
          <w:rFonts w:ascii="Verdana" w:hAnsi="Verdana" w:cs="Arial"/>
          <w:noProof/>
          <w:lang w:val="es-ES_tradnl"/>
        </w:rPr>
        <w:tab/>
        <w:t xml:space="preserve">ii) Respecto del tipo de personas que pueden ser contratadas, admite que se suscriba con personas naturales o jurídicas. Sin embargo, cuando se celebre con personas naturales la entidad estatal debe justificar, en los estudios previos, que las actividades “no puedan realizarse con personal de planta o requieran conocimientos especializados”. </w:t>
      </w:r>
    </w:p>
    <w:p w14:paraId="4E34D8EA" w14:textId="77777777" w:rsidR="00C63ADB" w:rsidRPr="00E00F9B" w:rsidRDefault="00C63ADB" w:rsidP="00C63ADB">
      <w:pPr>
        <w:tabs>
          <w:tab w:val="left" w:pos="0"/>
        </w:tabs>
        <w:spacing w:after="120" w:line="276" w:lineRule="auto"/>
        <w:jc w:val="both"/>
        <w:rPr>
          <w:rFonts w:ascii="Verdana" w:hAnsi="Verdana" w:cs="Arial"/>
          <w:color w:val="000000" w:themeColor="text1"/>
          <w:lang w:val="es-ES_tradnl"/>
        </w:rPr>
      </w:pPr>
      <w:r w:rsidRPr="00E00F9B">
        <w:rPr>
          <w:rFonts w:ascii="Verdana" w:hAnsi="Verdana" w:cs="Arial"/>
          <w:noProof/>
          <w:lang w:val="es-ES_tradnl"/>
        </w:rPr>
        <w:tab/>
        <w:t xml:space="preserve">iii) Si bien se celebran para obtener la prestación personal de un servicio, se diferencian del contrato de trabajo en que quien celebra el contrato de prestación de servicios debe mantener autonomía e independencia en la ejecución de la labor, lo que significa que no debe existir </w:t>
      </w:r>
      <w:r w:rsidRPr="00E00F9B">
        <w:rPr>
          <w:rFonts w:ascii="Verdana" w:hAnsi="Verdana" w:cs="Arial"/>
          <w:i/>
          <w:noProof/>
          <w:lang w:val="es-ES_tradnl"/>
        </w:rPr>
        <w:t xml:space="preserve">subordinación </w:t>
      </w:r>
      <w:r w:rsidRPr="00E00F9B">
        <w:rPr>
          <w:rFonts w:ascii="Verdana" w:hAnsi="Verdana" w:cs="Arial"/>
          <w:iCs/>
          <w:noProof/>
          <w:lang w:val="es-ES_tradnl"/>
        </w:rPr>
        <w:t>ni</w:t>
      </w:r>
      <w:r w:rsidRPr="00E00F9B">
        <w:rPr>
          <w:rFonts w:ascii="Verdana" w:hAnsi="Verdana" w:cs="Arial"/>
          <w:i/>
          <w:noProof/>
          <w:lang w:val="es-ES_tradnl"/>
        </w:rPr>
        <w:t xml:space="preserve"> dependencia</w:t>
      </w:r>
      <w:r w:rsidRPr="00E00F9B">
        <w:rPr>
          <w:rFonts w:ascii="Verdana" w:hAnsi="Verdana" w:cs="Arial"/>
          <w:iCs/>
          <w:noProof/>
          <w:lang w:val="es-ES_tradnl"/>
        </w:rPr>
        <w:t>,</w:t>
      </w:r>
      <w:r w:rsidRPr="00E00F9B">
        <w:rPr>
          <w:rFonts w:ascii="Verdana" w:hAnsi="Verdana" w:cs="Arial"/>
          <w:noProof/>
          <w:lang w:val="es-ES_tradnl"/>
        </w:rPr>
        <w:t xml:space="preserve"> que es uno de los elementos constitutivos del vínculo laboral</w:t>
      </w:r>
      <w:r w:rsidRPr="00E00F9B">
        <w:rPr>
          <w:rFonts w:ascii="Verdana" w:hAnsi="Verdana"/>
          <w:noProof/>
          <w:vertAlign w:val="superscript"/>
          <w:lang w:val="es-ES_tradnl"/>
        </w:rPr>
        <w:footnoteReference w:id="3"/>
      </w:r>
      <w:r w:rsidRPr="00E00F9B">
        <w:rPr>
          <w:rFonts w:ascii="Verdana" w:hAnsi="Verdana" w:cs="Arial"/>
          <w:noProof/>
          <w:lang w:val="es-ES_tradnl"/>
        </w:rPr>
        <w:t xml:space="preserve">. Por eso, el artículo 32, numeral 3º, de la Ley 80 de 1993 establece que “En ningún caso estos contratos generan relación laboral ni prestaciones sociales”. Este inciso, más que un enunciado que aluda al “ser”, se refiere al “deber ser”, pues debe interpretarse en el sentido de que los contratos de prestación de servicios profesionales </w:t>
      </w:r>
      <w:r w:rsidRPr="00E00F9B">
        <w:rPr>
          <w:rFonts w:ascii="Verdana" w:hAnsi="Verdana" w:cs="Arial"/>
          <w:i/>
          <w:noProof/>
          <w:lang w:val="es-ES_tradnl"/>
        </w:rPr>
        <w:t>no pueden</w:t>
      </w:r>
      <w:r w:rsidRPr="00E00F9B">
        <w:rPr>
          <w:rFonts w:ascii="Verdana" w:hAnsi="Verdana" w:cs="Arial"/>
          <w:noProof/>
          <w:lang w:val="es-ES_tradnl"/>
        </w:rPr>
        <w:t xml:space="preserve"> generar relación laboral, ni dar lugar a que las entidades estatales paguen por su cuenta los aportes al Sistema de Seguridad Social Integral del contratista. Tal como se indicó, no puede existir subordinación y dependencia; entonces, la relación laboral está proscrita y el contratista es quien, como “trabajador independiente” –como lo califican las normas de la</w:t>
      </w:r>
      <w:r>
        <w:rPr>
          <w:rFonts w:ascii="Verdana" w:hAnsi="Verdana" w:cs="Arial"/>
          <w:noProof/>
          <w:lang w:val="es-ES_tradnl"/>
        </w:rPr>
        <w:t xml:space="preserve"> </w:t>
      </w:r>
      <w:r w:rsidRPr="00E00F9B">
        <w:rPr>
          <w:rFonts w:ascii="Verdana" w:hAnsi="Verdana" w:cs="Arial"/>
          <w:noProof/>
          <w:lang w:val="es-ES_tradnl"/>
        </w:rPr>
        <w:t>seguridad social– debe cotizar por su cuenta y riesgo al Sistema de Seguridad Social Integral</w:t>
      </w:r>
      <w:r w:rsidRPr="00E00F9B">
        <w:rPr>
          <w:rFonts w:ascii="Verdana" w:hAnsi="Verdana"/>
          <w:noProof/>
          <w:vertAlign w:val="superscript"/>
          <w:lang w:val="es-ES_tradnl"/>
        </w:rPr>
        <w:footnoteReference w:id="4"/>
      </w:r>
      <w:r w:rsidRPr="00E00F9B">
        <w:rPr>
          <w:rFonts w:ascii="Verdana" w:hAnsi="Verdana" w:cs="Arial"/>
          <w:noProof/>
          <w:lang w:val="es-ES_tradnl"/>
        </w:rPr>
        <w:t xml:space="preserve">. </w:t>
      </w:r>
    </w:p>
    <w:p w14:paraId="5C72677E" w14:textId="77777777" w:rsidR="00C63ADB" w:rsidRPr="00E00F9B" w:rsidRDefault="00C63ADB" w:rsidP="00C63ADB">
      <w:pPr>
        <w:tabs>
          <w:tab w:val="left" w:pos="0"/>
        </w:tabs>
        <w:spacing w:after="120" w:line="276" w:lineRule="auto"/>
        <w:jc w:val="both"/>
        <w:rPr>
          <w:rFonts w:ascii="Verdana" w:hAnsi="Verdana" w:cs="Arial"/>
          <w:color w:val="000000" w:themeColor="text1"/>
          <w:lang w:val="es-ES_tradnl"/>
        </w:rPr>
      </w:pPr>
      <w:r w:rsidRPr="00E00F9B">
        <w:rPr>
          <w:rFonts w:ascii="Verdana" w:hAnsi="Verdana" w:cs="Arial"/>
          <w:noProof/>
          <w:lang w:val="es-ES_tradnl"/>
        </w:rPr>
        <w:lastRenderedPageBreak/>
        <w:tab/>
        <w:t xml:space="preserve">iv) Deben ser temporales. La mencionada Sentencia de Unificacion Jurisprudencial del Consejo de Estado, frente a la duración del contrato de prestación de servicios señaló que solo puede celebrarse por un “término estrictamente indispensable”. En ese entendido, unificó el sentido y alcance del término estrictamente indispensable como “aquel que aparece expresamente estipulado en la minuta del contrato de prestación de servicios, que de </w:t>
      </w:r>
      <w:r w:rsidRPr="00E00F9B">
        <w:rPr>
          <w:rFonts w:ascii="Verdana" w:hAnsi="Verdana" w:cs="Arial"/>
          <w:lang w:val="es-ES_tradnl"/>
        </w:rPr>
        <w:t xml:space="preserve">acuerdo con </w:t>
      </w:r>
      <w:r w:rsidRPr="00E00F9B">
        <w:rPr>
          <w:rFonts w:ascii="Verdana" w:hAnsi="Verdana" w:cs="Arial"/>
          <w:noProof/>
          <w:lang w:val="es-ES_tradnl"/>
        </w:rPr>
        <w:t>los razonamientos contenidos en los estudios previos, representa el lapso durante el cual se espera que el contratista cumpla a cabalidad el objeto del contrato y las obligaciones que de él se derivan, sin perjuicio de las prórrogas excepcionales que puedan acordarse para garantizar su cumplimiento”.</w:t>
      </w:r>
    </w:p>
    <w:p w14:paraId="2BF9287D" w14:textId="77777777" w:rsidR="00C63ADB" w:rsidRPr="00E00F9B" w:rsidRDefault="00C63ADB" w:rsidP="00C63ADB">
      <w:pPr>
        <w:tabs>
          <w:tab w:val="left" w:pos="0"/>
        </w:tabs>
        <w:spacing w:after="120" w:line="276" w:lineRule="auto"/>
        <w:jc w:val="both"/>
        <w:rPr>
          <w:rFonts w:ascii="Verdana" w:hAnsi="Verdana" w:cs="Arial"/>
          <w:noProof/>
          <w:lang w:val="es-ES_tradnl"/>
        </w:rPr>
      </w:pPr>
      <w:r w:rsidRPr="00E00F9B">
        <w:rPr>
          <w:rFonts w:ascii="Verdana" w:hAnsi="Verdana" w:cs="Arial"/>
          <w:lang w:val="es-MX"/>
        </w:rPr>
        <w:tab/>
        <w:t xml:space="preserve">De igual manera, señaló que “no cabe su empleo para la cobertura indefinida de necesidades permanentes o recurrentes”. </w:t>
      </w:r>
      <w:r w:rsidRPr="00E00F9B">
        <w:rPr>
          <w:rFonts w:ascii="Verdana" w:hAnsi="Verdana" w:cs="Arial"/>
          <w:noProof/>
          <w:lang w:val="es-ES_tradnl"/>
        </w:rPr>
        <w:t>En sentido similar se manifestó la Corte Constitucional en la sentencia C-154 de 1997, expresando que:</w:t>
      </w:r>
    </w:p>
    <w:p w14:paraId="1093037A" w14:textId="77777777" w:rsidR="00C63ADB" w:rsidRPr="00E00F9B" w:rsidRDefault="00C63ADB" w:rsidP="00C63ADB">
      <w:pPr>
        <w:tabs>
          <w:tab w:val="left" w:pos="0"/>
        </w:tabs>
        <w:spacing w:after="0" w:line="240" w:lineRule="auto"/>
        <w:ind w:left="709" w:right="709"/>
        <w:jc w:val="both"/>
        <w:rPr>
          <w:rFonts w:ascii="Verdana" w:hAnsi="Verdana" w:cs="Arial"/>
          <w:noProof/>
          <w:sz w:val="20"/>
          <w:szCs w:val="20"/>
          <w:lang w:val="es-ES_tradnl"/>
        </w:rPr>
      </w:pPr>
      <w:r w:rsidRPr="00E00F9B">
        <w:rPr>
          <w:rFonts w:ascii="Verdana" w:eastAsia="Yu Gothic UI Semibold" w:hAnsi="Verdana" w:cs="Arial"/>
          <w:iCs/>
          <w:sz w:val="20"/>
          <w:szCs w:val="20"/>
          <w:lang w:eastAsia="es-MX"/>
        </w:rPr>
        <w:t>“</w:t>
      </w:r>
      <w:r w:rsidRPr="00E00F9B">
        <w:rPr>
          <w:rFonts w:ascii="Verdana" w:hAnsi="Verdana" w:cs="Arial"/>
          <w:noProof/>
          <w:sz w:val="20"/>
          <w:szCs w:val="20"/>
          <w:lang w:val="es-ES_tradnl"/>
        </w:rPr>
        <w:t>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empleo público quede contemplado en la respectiva planta y previstos sus emolumentos en el presupuesto correspondiente”</w:t>
      </w:r>
      <w:r w:rsidRPr="00E00F9B">
        <w:rPr>
          <w:rFonts w:ascii="Verdana" w:hAnsi="Verdana"/>
          <w:noProof/>
          <w:sz w:val="20"/>
          <w:szCs w:val="20"/>
          <w:vertAlign w:val="superscript"/>
          <w:lang w:val="es-ES_tradnl"/>
        </w:rPr>
        <w:footnoteReference w:id="5"/>
      </w:r>
      <w:r w:rsidRPr="00E00F9B">
        <w:rPr>
          <w:rFonts w:ascii="Verdana" w:hAnsi="Verdana" w:cs="Arial"/>
          <w:noProof/>
          <w:sz w:val="20"/>
          <w:szCs w:val="20"/>
          <w:lang w:val="es-ES_tradnl"/>
        </w:rPr>
        <w:t>.</w:t>
      </w:r>
    </w:p>
    <w:p w14:paraId="72F91E68" w14:textId="77777777" w:rsidR="00C63ADB" w:rsidRPr="00E00F9B" w:rsidRDefault="00C63ADB" w:rsidP="00C63ADB">
      <w:pPr>
        <w:pStyle w:val="Prrafodelista"/>
        <w:tabs>
          <w:tab w:val="left" w:pos="0"/>
        </w:tabs>
        <w:spacing w:after="0" w:line="276" w:lineRule="auto"/>
        <w:ind w:left="1440"/>
        <w:jc w:val="both"/>
        <w:rPr>
          <w:rFonts w:ascii="Verdana" w:hAnsi="Verdana" w:cs="Arial"/>
          <w:noProof/>
          <w:lang w:val="es-ES_tradnl"/>
        </w:rPr>
      </w:pPr>
    </w:p>
    <w:p w14:paraId="5A1079BC" w14:textId="77777777" w:rsidR="00C63ADB" w:rsidRPr="00E00F9B" w:rsidRDefault="00C63ADB" w:rsidP="00C63ADB">
      <w:pPr>
        <w:tabs>
          <w:tab w:val="left" w:pos="0"/>
        </w:tabs>
        <w:spacing w:after="120" w:line="276" w:lineRule="auto"/>
        <w:jc w:val="both"/>
        <w:rPr>
          <w:rFonts w:ascii="Verdana" w:eastAsia="Calibri" w:hAnsi="Verdana" w:cs="Arial"/>
          <w:color w:val="000000" w:themeColor="text1"/>
          <w:lang w:val="es-ES_tradnl"/>
        </w:rPr>
      </w:pPr>
      <w:r w:rsidRPr="00E00F9B">
        <w:rPr>
          <w:rFonts w:ascii="Verdana" w:hAnsi="Verdana" w:cs="Arial"/>
          <w:noProof/>
          <w:lang w:val="es-ES_tradnl"/>
        </w:rPr>
        <w:tab/>
        <w:t xml:space="preserve">v) Se celebran a través de la modalidad de contratación directa, independientemente de la cuantía y del tipo de servicio profesional, siempre que su objeto no sea la consultoría. Esto por cuanto, como lo indicó el Consejo de Estado en otra Sentencia de Unificación Jurisprudencial del año 2013, si bien en </w:t>
      </w:r>
      <w:r w:rsidRPr="00E00F9B">
        <w:rPr>
          <w:rFonts w:ascii="Verdana" w:hAnsi="Verdana" w:cs="Arial"/>
          <w:noProof/>
          <w:lang w:val="es-ES_tradnl"/>
        </w:rPr>
        <w:lastRenderedPageBreak/>
        <w:t>ambos existe un componente intelectual y profesional, el objeto del contrato de consultoría es especial y debe celebrarse, por regla general, mediante un concurso de méritos</w:t>
      </w:r>
      <w:r w:rsidRPr="00E00F9B">
        <w:rPr>
          <w:rFonts w:ascii="Verdana" w:hAnsi="Verdana"/>
          <w:noProof/>
          <w:vertAlign w:val="superscript"/>
          <w:lang w:val="es-ES_tradnl"/>
        </w:rPr>
        <w:footnoteReference w:id="6"/>
      </w:r>
      <w:r w:rsidRPr="00E00F9B">
        <w:rPr>
          <w:rFonts w:ascii="Verdana" w:hAnsi="Verdana" w:cs="Arial"/>
          <w:noProof/>
          <w:lang w:val="es-ES_tradnl"/>
        </w:rPr>
        <w:t>. Esto también se deriva d</w:t>
      </w:r>
      <w:r w:rsidRPr="00E00F9B">
        <w:rPr>
          <w:rFonts w:ascii="Verdana" w:eastAsia="Calibri" w:hAnsi="Verdana" w:cs="Arial"/>
          <w:color w:val="000000" w:themeColor="text1"/>
          <w:lang w:val="es-ES_tradnl"/>
        </w:rPr>
        <w:t>el artículo 2, numeral 4º, literal h) de la Ley 1150 de 2007, al señalar que procede la contratación directa para la prestación de servicios profesionales y de apoyo a la gestión o para la ejecución de trabajos artísticos que solo pueden encomendarse a determinadas personas.</w:t>
      </w:r>
    </w:p>
    <w:p w14:paraId="451B082C" w14:textId="77777777" w:rsidR="00C63ADB" w:rsidRPr="00E00F9B" w:rsidRDefault="00C63ADB" w:rsidP="00C63ADB">
      <w:pPr>
        <w:tabs>
          <w:tab w:val="left" w:pos="0"/>
        </w:tabs>
        <w:spacing w:after="120" w:line="276" w:lineRule="auto"/>
        <w:jc w:val="both"/>
        <w:rPr>
          <w:rFonts w:ascii="Verdana" w:hAnsi="Verdana" w:cs="Arial"/>
          <w:color w:val="000000" w:themeColor="text1"/>
          <w:lang w:val="es-ES_tradnl"/>
        </w:rPr>
      </w:pPr>
      <w:r w:rsidRPr="00E00F9B">
        <w:rPr>
          <w:rFonts w:ascii="Verdana" w:hAnsi="Verdana" w:cs="Arial"/>
          <w:noProof/>
          <w:lang w:val="es-ES_tradnl"/>
        </w:rPr>
        <w:tab/>
        <w:t>vi) Para su celebración no se requiere expedir un acto administrativo de justificación de la contratación directa</w:t>
      </w:r>
      <w:r w:rsidRPr="00E00F9B">
        <w:rPr>
          <w:rFonts w:ascii="Verdana" w:hAnsi="Verdana"/>
          <w:noProof/>
          <w:vertAlign w:val="superscript"/>
          <w:lang w:val="es-ES_tradnl"/>
        </w:rPr>
        <w:footnoteReference w:id="7"/>
      </w:r>
      <w:r w:rsidRPr="00E00F9B">
        <w:rPr>
          <w:rFonts w:ascii="Verdana" w:hAnsi="Verdana" w:cs="Arial"/>
          <w:noProof/>
          <w:lang w:val="es-ES_tradnl"/>
        </w:rPr>
        <w:t>.</w:t>
      </w:r>
    </w:p>
    <w:p w14:paraId="391568E2" w14:textId="77777777" w:rsidR="00C63ADB" w:rsidRPr="00E00F9B" w:rsidRDefault="00C63ADB" w:rsidP="00C63ADB">
      <w:pPr>
        <w:tabs>
          <w:tab w:val="left" w:pos="0"/>
        </w:tabs>
        <w:spacing w:after="120" w:line="276" w:lineRule="auto"/>
        <w:jc w:val="both"/>
        <w:rPr>
          <w:rFonts w:ascii="Verdana" w:hAnsi="Verdana" w:cs="Arial"/>
          <w:color w:val="000000" w:themeColor="text1"/>
          <w:lang w:val="es-ES_tradnl"/>
        </w:rPr>
      </w:pPr>
      <w:r w:rsidRPr="00E00F9B">
        <w:rPr>
          <w:rFonts w:ascii="Verdana" w:hAnsi="Verdana" w:cs="Arial"/>
          <w:noProof/>
          <w:lang w:val="es-ES_tradnl"/>
        </w:rPr>
        <w:tab/>
        <w:t>vii) El contrato admite la inclusión de cláusulas excepcionales. En los contratos de prestación de servicios se puede pactar la caducidad, la modificación, interpretación o terminación unilateral, como acuerdos o elementos accidentales, así que para ejercer estas exorbitancias deben incluirse expresamente, porque no se entienden pactadas como cláusula de la naturaleza. Así se infiere del artículo 14, numeral 2º, de la Ley 80 de 1993</w:t>
      </w:r>
      <w:r w:rsidRPr="00E00F9B">
        <w:rPr>
          <w:rFonts w:ascii="Verdana" w:hAnsi="Verdana"/>
          <w:noProof/>
          <w:vertAlign w:val="superscript"/>
          <w:lang w:val="es-ES_tradnl"/>
        </w:rPr>
        <w:footnoteReference w:id="8"/>
      </w:r>
      <w:r w:rsidRPr="00E00F9B">
        <w:rPr>
          <w:rFonts w:ascii="Verdana" w:hAnsi="Verdana" w:cs="Arial"/>
          <w:noProof/>
          <w:lang w:val="es-ES_tradnl"/>
        </w:rPr>
        <w:t>.</w:t>
      </w:r>
    </w:p>
    <w:p w14:paraId="05658B55" w14:textId="77777777" w:rsidR="00C63ADB" w:rsidRPr="00E00F9B" w:rsidRDefault="00C63ADB" w:rsidP="00C63ADB">
      <w:pPr>
        <w:tabs>
          <w:tab w:val="left" w:pos="0"/>
        </w:tabs>
        <w:spacing w:after="120" w:line="276" w:lineRule="auto"/>
        <w:jc w:val="both"/>
        <w:rPr>
          <w:rFonts w:ascii="Verdana" w:hAnsi="Verdana" w:cs="Arial"/>
          <w:color w:val="000000" w:themeColor="text1"/>
          <w:lang w:val="es-ES_tradnl"/>
        </w:rPr>
      </w:pPr>
      <w:r w:rsidRPr="00E00F9B">
        <w:rPr>
          <w:rFonts w:ascii="Verdana" w:hAnsi="Verdana" w:cs="Arial"/>
          <w:noProof/>
          <w:lang w:val="es-ES_tradnl"/>
        </w:rPr>
        <w:lastRenderedPageBreak/>
        <w:tab/>
        <w:t>viii) No es obligatoria la liquidación de estos contratos, como lo establece el artículo 217 del Decreto 019 de 2012, que modificó el artículo 60 de la Ley 80 de 1993</w:t>
      </w:r>
      <w:r w:rsidRPr="00E00F9B">
        <w:rPr>
          <w:rFonts w:ascii="Verdana" w:hAnsi="Verdana"/>
          <w:noProof/>
          <w:vertAlign w:val="superscript"/>
          <w:lang w:val="es-ES_tradnl"/>
        </w:rPr>
        <w:footnoteReference w:id="9"/>
      </w:r>
      <w:r w:rsidRPr="00E00F9B">
        <w:rPr>
          <w:rFonts w:ascii="Verdana" w:hAnsi="Verdana" w:cs="Arial"/>
          <w:noProof/>
          <w:lang w:val="es-ES_tradnl"/>
        </w:rPr>
        <w:t>.</w:t>
      </w:r>
    </w:p>
    <w:p w14:paraId="239EFE91" w14:textId="77777777" w:rsidR="00C63ADB" w:rsidRPr="00E00F9B" w:rsidRDefault="00C63ADB" w:rsidP="00C63ADB">
      <w:pPr>
        <w:tabs>
          <w:tab w:val="left" w:pos="0"/>
        </w:tabs>
        <w:spacing w:after="0" w:line="276" w:lineRule="auto"/>
        <w:jc w:val="both"/>
        <w:rPr>
          <w:rFonts w:ascii="Verdana" w:hAnsi="Verdana" w:cs="Arial"/>
          <w:noProof/>
          <w:lang w:val="es-ES_tradnl"/>
        </w:rPr>
      </w:pPr>
      <w:r w:rsidRPr="00E00F9B">
        <w:rPr>
          <w:rFonts w:ascii="Verdana" w:hAnsi="Verdana" w:cs="Arial"/>
          <w:noProof/>
          <w:lang w:val="es-ES_tradnl"/>
        </w:rPr>
        <w:t xml:space="preserve"> </w:t>
      </w:r>
      <w:r w:rsidRPr="00E00F9B">
        <w:rPr>
          <w:rFonts w:ascii="Verdana" w:hAnsi="Verdana" w:cs="Arial"/>
          <w:noProof/>
          <w:lang w:val="es-ES_tradnl"/>
        </w:rPr>
        <w:tab/>
        <w:t>ix) Para su celebración el contratista no requiere estar inscrito en el Registro Único de Proponentes –en adelante RUP–, como lo señala el artículo 6 de la Ley 1150 de 2007</w:t>
      </w:r>
      <w:r w:rsidRPr="00E00F9B">
        <w:rPr>
          <w:rFonts w:ascii="Verdana" w:hAnsi="Verdana"/>
          <w:noProof/>
          <w:vertAlign w:val="superscript"/>
          <w:lang w:val="es-ES_tradnl"/>
        </w:rPr>
        <w:footnoteReference w:id="10"/>
      </w:r>
      <w:r w:rsidRPr="00E00F9B">
        <w:rPr>
          <w:rFonts w:ascii="Verdana" w:hAnsi="Verdana" w:cs="Arial"/>
          <w:noProof/>
          <w:lang w:val="es-ES_tradnl"/>
        </w:rPr>
        <w:t>.</w:t>
      </w:r>
      <w:bookmarkEnd w:id="2"/>
    </w:p>
    <w:p w14:paraId="2598CD7B" w14:textId="77777777" w:rsidR="00C63ADB" w:rsidRPr="004E70F9" w:rsidRDefault="00C63ADB" w:rsidP="00C63ADB">
      <w:pPr>
        <w:spacing w:after="0" w:line="276" w:lineRule="auto"/>
        <w:ind w:left="709" w:right="616"/>
        <w:jc w:val="both"/>
        <w:rPr>
          <w:rFonts w:ascii="Verdana" w:eastAsia="Calibri" w:hAnsi="Verdana" w:cs="Arial"/>
          <w:color w:val="000000"/>
          <w:lang w:val="es-ES_tradnl"/>
        </w:rPr>
      </w:pPr>
    </w:p>
    <w:p w14:paraId="720FA220" w14:textId="77777777" w:rsidR="00C63ADB" w:rsidRPr="00627B03" w:rsidRDefault="00C63ADB" w:rsidP="00C63ADB">
      <w:pPr>
        <w:spacing w:after="120" w:line="276" w:lineRule="auto"/>
        <w:jc w:val="both"/>
        <w:rPr>
          <w:rFonts w:ascii="Verdana" w:hAnsi="Verdana"/>
        </w:rPr>
      </w:pPr>
      <w:proofErr w:type="spellStart"/>
      <w:r>
        <w:rPr>
          <w:rFonts w:ascii="Verdana" w:eastAsia="Calibri" w:hAnsi="Verdana" w:cs="Arial"/>
          <w:bCs/>
          <w:lang w:val="es-ES_tradnl"/>
        </w:rPr>
        <w:t>ii</w:t>
      </w:r>
      <w:proofErr w:type="spellEnd"/>
      <w:r>
        <w:rPr>
          <w:rFonts w:ascii="Verdana" w:eastAsia="Calibri" w:hAnsi="Verdana" w:cs="Arial"/>
          <w:bCs/>
          <w:lang w:val="es-ES_tradnl"/>
        </w:rPr>
        <w:t>) Ahora bien, en atención a su consulta debe advertirse que l</w:t>
      </w:r>
      <w:r w:rsidRPr="00627B03">
        <w:rPr>
          <w:rFonts w:ascii="Verdana" w:eastAsia="Calibri" w:hAnsi="Verdana" w:cs="Arial"/>
          <w:bCs/>
          <w:lang w:val="es-ES_tradnl"/>
        </w:rPr>
        <w:t>a planeación contractual es una herramienta de gerencia pública, la cual exige estructurar el proceso contractual dedicando tiempo y esfuerzos para elaborar estudios previos, con el fin de determinar la necesidad que pretende satisfacer y cuál es la mejor manera de hacerlo, consultando el tipo de bienes y servicios que ofrece el mercado y cuáles son sus características, especificaciones, precios, costos, riesgos, garantías, disponibilidad, oferentes, etc., que conlleven a una diligente escogencia de la mejor oferta para beneficiar los intereses y fines públicos inmersos en la contratación de las entidades estatales</w:t>
      </w:r>
      <w:r w:rsidRPr="00627B03">
        <w:rPr>
          <w:rFonts w:ascii="Verdana" w:eastAsia="Calibri" w:hAnsi="Verdana" w:cs="Arial"/>
          <w:bCs/>
          <w:sz w:val="21"/>
          <w:szCs w:val="21"/>
          <w:lang w:val="es-ES_tradnl"/>
        </w:rPr>
        <w:t>.</w:t>
      </w:r>
    </w:p>
    <w:p w14:paraId="5CCB998A" w14:textId="77777777" w:rsidR="00C63ADB" w:rsidRPr="00627B03" w:rsidRDefault="00C63ADB" w:rsidP="00C63ADB">
      <w:pPr>
        <w:pStyle w:val="Sinespaciado"/>
        <w:spacing w:before="120" w:line="276" w:lineRule="auto"/>
        <w:ind w:firstLine="708"/>
        <w:jc w:val="both"/>
        <w:rPr>
          <w:rFonts w:ascii="Verdana" w:hAnsi="Verdana" w:cs="Arial"/>
          <w:bCs/>
          <w:sz w:val="22"/>
          <w:lang w:val="es-ES"/>
        </w:rPr>
      </w:pPr>
      <w:r w:rsidRPr="00627B03">
        <w:rPr>
          <w:rFonts w:ascii="Verdana" w:hAnsi="Verdana" w:cs="Arial"/>
          <w:bCs/>
          <w:sz w:val="22"/>
        </w:rPr>
        <w:t xml:space="preserve">El </w:t>
      </w:r>
      <w:r>
        <w:rPr>
          <w:rFonts w:ascii="Verdana" w:hAnsi="Verdana" w:cs="Arial"/>
          <w:bCs/>
          <w:sz w:val="22"/>
        </w:rPr>
        <w:t>EGCAP</w:t>
      </w:r>
      <w:r w:rsidRPr="00627B03">
        <w:rPr>
          <w:rFonts w:ascii="Verdana" w:hAnsi="Verdana" w:cs="Arial"/>
          <w:bCs/>
          <w:sz w:val="22"/>
        </w:rPr>
        <w:t xml:space="preserve"> contiene disposiciones que demandan de las entidades estatales el deber de realizar planeación en la etapa precontractual, para que los procesos de contratación satisfagan las necesidades de la Administración, cumplan sus fines, logren la continua y eficiente prestación de los servicios públicos y permitan la efectividad de los derechos e intereses de los administrados que </w:t>
      </w:r>
      <w:r w:rsidRPr="00627B03">
        <w:rPr>
          <w:rFonts w:ascii="Verdana" w:hAnsi="Verdana" w:cs="Arial"/>
          <w:bCs/>
          <w:sz w:val="22"/>
        </w:rPr>
        <w:lastRenderedPageBreak/>
        <w:t xml:space="preserve">colaboran en la consecución. En relación con el valor del futuro contrato y su correlativo respaldo presupuestal, se tienen, por ejemplo, las siguientes reglas derivadas de la aplicación del principio de economía previsto en el artículo 25 de la Ley 80 de 1993: </w:t>
      </w:r>
    </w:p>
    <w:p w14:paraId="09CE1CFA" w14:textId="77777777" w:rsidR="00C63ADB" w:rsidRPr="00627B03" w:rsidRDefault="00C63ADB" w:rsidP="00C63ADB">
      <w:pPr>
        <w:pStyle w:val="Sinespaciado"/>
        <w:spacing w:line="276" w:lineRule="auto"/>
        <w:jc w:val="both"/>
        <w:rPr>
          <w:rFonts w:ascii="Verdana" w:hAnsi="Verdana" w:cs="Arial"/>
          <w:bCs/>
          <w:sz w:val="22"/>
          <w:lang w:val="es-ES"/>
        </w:rPr>
      </w:pPr>
    </w:p>
    <w:p w14:paraId="433A4E21" w14:textId="77777777" w:rsidR="00C63ADB" w:rsidRPr="000B037E" w:rsidRDefault="00C63ADB" w:rsidP="00C63ADB">
      <w:pPr>
        <w:pStyle w:val="Sinespaciado"/>
        <w:ind w:left="709" w:right="709"/>
        <w:jc w:val="both"/>
        <w:rPr>
          <w:rFonts w:ascii="Verdana" w:hAnsi="Verdana" w:cs="Arial"/>
          <w:sz w:val="20"/>
          <w:szCs w:val="20"/>
        </w:rPr>
      </w:pPr>
      <w:r w:rsidRPr="000B037E">
        <w:rPr>
          <w:rFonts w:ascii="Verdana" w:hAnsi="Verdana" w:cs="Arial"/>
          <w:sz w:val="20"/>
          <w:szCs w:val="20"/>
        </w:rPr>
        <w:t>“7o. La conveniencia o inconveniencia del objeto a contratar y las autorizaciones y aprobaciones para ello, se analizarán o impartirán con antelación al inicio del proceso de selección del contratista o al de la firma del contrato, según el caso.</w:t>
      </w:r>
    </w:p>
    <w:p w14:paraId="2ED42161" w14:textId="77777777" w:rsidR="00C63ADB" w:rsidRPr="000B037E" w:rsidRDefault="00C63ADB" w:rsidP="00C63ADB">
      <w:pPr>
        <w:pStyle w:val="Sinespaciado"/>
        <w:ind w:left="709" w:right="709"/>
        <w:jc w:val="both"/>
        <w:rPr>
          <w:rFonts w:ascii="Verdana" w:hAnsi="Verdana" w:cs="Arial"/>
          <w:sz w:val="20"/>
          <w:szCs w:val="20"/>
        </w:rPr>
      </w:pPr>
      <w:r w:rsidRPr="000B037E">
        <w:rPr>
          <w:rFonts w:ascii="Verdana" w:hAnsi="Verdana" w:cs="Arial"/>
          <w:sz w:val="20"/>
          <w:szCs w:val="20"/>
        </w:rPr>
        <w:t>[…]</w:t>
      </w:r>
    </w:p>
    <w:p w14:paraId="1B115477" w14:textId="77777777" w:rsidR="00C63ADB" w:rsidRDefault="00C63ADB" w:rsidP="00C63ADB">
      <w:pPr>
        <w:pStyle w:val="Sinespaciado"/>
        <w:ind w:left="709" w:right="709"/>
        <w:jc w:val="both"/>
        <w:rPr>
          <w:rFonts w:ascii="Verdana" w:hAnsi="Verdana" w:cs="Arial"/>
          <w:sz w:val="20"/>
          <w:szCs w:val="20"/>
        </w:rPr>
      </w:pPr>
    </w:p>
    <w:p w14:paraId="02E224FD" w14:textId="77777777" w:rsidR="00C63ADB" w:rsidRPr="000B037E" w:rsidRDefault="00C63ADB" w:rsidP="00C63ADB">
      <w:pPr>
        <w:pStyle w:val="Sinespaciado"/>
        <w:ind w:left="709" w:right="709"/>
        <w:jc w:val="both"/>
        <w:rPr>
          <w:rFonts w:ascii="Verdana" w:hAnsi="Verdana" w:cs="Arial"/>
          <w:sz w:val="20"/>
          <w:szCs w:val="20"/>
        </w:rPr>
      </w:pPr>
      <w:r w:rsidRPr="000B037E">
        <w:rPr>
          <w:rFonts w:ascii="Verdana" w:hAnsi="Verdana" w:cs="Arial"/>
          <w:sz w:val="20"/>
          <w:szCs w:val="20"/>
        </w:rPr>
        <w:t>12. Previo a la apertura de un proceso de selección, o a la firma del contrato en el caso en que la modalidad de selección sea contratación directa, deberán elaborarse los estudios, diseños y proyectos requeridos, y los pliegos de condiciones, según corresponda.</w:t>
      </w:r>
    </w:p>
    <w:p w14:paraId="38B1A386" w14:textId="77777777" w:rsidR="00C63ADB" w:rsidRPr="000B037E" w:rsidRDefault="00C63ADB" w:rsidP="00C63ADB">
      <w:pPr>
        <w:pStyle w:val="Sinespaciado"/>
        <w:ind w:left="709" w:right="709"/>
        <w:jc w:val="both"/>
        <w:rPr>
          <w:rFonts w:ascii="Verdana" w:hAnsi="Verdana" w:cs="Arial"/>
          <w:sz w:val="20"/>
          <w:szCs w:val="20"/>
        </w:rPr>
      </w:pPr>
    </w:p>
    <w:p w14:paraId="11DB2C91" w14:textId="77777777" w:rsidR="00C63ADB" w:rsidRPr="000B037E" w:rsidRDefault="00C63ADB" w:rsidP="00C63ADB">
      <w:pPr>
        <w:pStyle w:val="Sinespaciado"/>
        <w:ind w:left="709" w:right="709"/>
        <w:jc w:val="both"/>
        <w:rPr>
          <w:rFonts w:ascii="Verdana" w:hAnsi="Verdana" w:cs="Arial"/>
          <w:sz w:val="20"/>
          <w:szCs w:val="20"/>
        </w:rPr>
      </w:pPr>
      <w:r w:rsidRPr="000B037E">
        <w:rPr>
          <w:rFonts w:ascii="Verdana" w:hAnsi="Verdana" w:cs="Arial"/>
          <w:sz w:val="20"/>
          <w:szCs w:val="20"/>
        </w:rPr>
        <w:t>Cuando el objeto de la contratación incluya la realización de una obra, en la misma oportunidad señalada en el inciso primero, la entidad contratante deberá contar con los estudios y diseños que permitan establecer la viabilidad del proyecto y su impacto social, económico y ambiental. Esta condición será aplicable incluso para los contratos que incluyan dentro del objeto el diseño.</w:t>
      </w:r>
    </w:p>
    <w:p w14:paraId="20497BD6" w14:textId="77777777" w:rsidR="00C63ADB" w:rsidRPr="000B037E" w:rsidRDefault="00C63ADB" w:rsidP="00C63ADB">
      <w:pPr>
        <w:pStyle w:val="Sinespaciado"/>
        <w:ind w:left="709" w:right="709"/>
        <w:jc w:val="both"/>
        <w:rPr>
          <w:rFonts w:ascii="Verdana" w:hAnsi="Verdana" w:cs="Arial"/>
          <w:sz w:val="20"/>
          <w:szCs w:val="20"/>
        </w:rPr>
      </w:pPr>
    </w:p>
    <w:p w14:paraId="3E208D52" w14:textId="77777777" w:rsidR="00C63ADB" w:rsidRPr="000B037E" w:rsidRDefault="00C63ADB" w:rsidP="00C63ADB">
      <w:pPr>
        <w:spacing w:after="0" w:line="240" w:lineRule="auto"/>
        <w:ind w:left="709" w:right="709"/>
        <w:jc w:val="both"/>
        <w:rPr>
          <w:rFonts w:ascii="Verdana" w:hAnsi="Verdana" w:cs="Arial"/>
          <w:sz w:val="20"/>
          <w:szCs w:val="20"/>
        </w:rPr>
      </w:pPr>
      <w:r w:rsidRPr="000B037E">
        <w:rPr>
          <w:rFonts w:ascii="Verdana" w:hAnsi="Verdana" w:cs="Arial"/>
          <w:sz w:val="20"/>
          <w:szCs w:val="20"/>
        </w:rPr>
        <w:t>13. Las autoridades constituirán las reservas y compromisos presupuestales necesarios, tomando como base el valor de las prestaciones al momento de celebrar el contrato y el estimativo de los ajustes resultantes de la aplicación de la cláusula de actualización de precios.</w:t>
      </w:r>
    </w:p>
    <w:p w14:paraId="01DA4EB2" w14:textId="77777777" w:rsidR="00C63ADB" w:rsidRPr="000B037E" w:rsidRDefault="00C63ADB" w:rsidP="00C63ADB">
      <w:pPr>
        <w:spacing w:after="0" w:line="240" w:lineRule="auto"/>
        <w:ind w:left="709" w:right="709"/>
        <w:jc w:val="both"/>
        <w:rPr>
          <w:rFonts w:ascii="Verdana" w:hAnsi="Verdana" w:cs="Arial"/>
          <w:sz w:val="20"/>
          <w:szCs w:val="20"/>
        </w:rPr>
      </w:pPr>
    </w:p>
    <w:p w14:paraId="2F09B637" w14:textId="77777777" w:rsidR="00C63ADB" w:rsidRPr="000B037E" w:rsidRDefault="00C63ADB" w:rsidP="00C63ADB">
      <w:pPr>
        <w:spacing w:after="0" w:line="240" w:lineRule="auto"/>
        <w:ind w:left="709" w:right="709"/>
        <w:jc w:val="both"/>
        <w:rPr>
          <w:rFonts w:ascii="Verdana" w:hAnsi="Verdana" w:cs="Arial"/>
          <w:sz w:val="20"/>
          <w:szCs w:val="20"/>
        </w:rPr>
      </w:pPr>
      <w:r w:rsidRPr="000B037E">
        <w:rPr>
          <w:rFonts w:ascii="Verdana" w:hAnsi="Verdana" w:cs="Arial"/>
          <w:sz w:val="20"/>
          <w:szCs w:val="20"/>
        </w:rPr>
        <w:t xml:space="preserve">14. Las entidades incluirán en sus presupuestos anuales una apropiación global destinada a cubrir los costos imprevistos ocasionados por los retardos en los pagos, así como los que se originen en la revisión de los precios pactados por razón de los cambios o alteraciones en las condiciones iniciales de los contratos por ellas celebrados […]”. </w:t>
      </w:r>
    </w:p>
    <w:p w14:paraId="22A034A0" w14:textId="77777777" w:rsidR="00C63ADB" w:rsidRDefault="00C63ADB" w:rsidP="00C63ADB">
      <w:pPr>
        <w:spacing w:after="0" w:line="276" w:lineRule="auto"/>
        <w:ind w:left="709" w:right="709"/>
        <w:jc w:val="both"/>
        <w:rPr>
          <w:rFonts w:ascii="Verdana" w:hAnsi="Verdana" w:cs="Arial"/>
        </w:rPr>
      </w:pPr>
    </w:p>
    <w:p w14:paraId="770FA408" w14:textId="77777777" w:rsidR="00C63ADB" w:rsidRDefault="00C63ADB" w:rsidP="00C63ADB">
      <w:pPr>
        <w:spacing w:after="120" w:line="276" w:lineRule="auto"/>
        <w:ind w:right="51" w:firstLine="709"/>
        <w:jc w:val="both"/>
        <w:rPr>
          <w:rFonts w:ascii="Verdana" w:hAnsi="Verdana" w:cs="Arial"/>
          <w:lang w:val="es-ES_tradnl"/>
        </w:rPr>
      </w:pPr>
      <w:r w:rsidRPr="000B037E">
        <w:rPr>
          <w:rFonts w:ascii="Verdana" w:hAnsi="Verdana" w:cs="Arial"/>
          <w:lang w:val="es-ES"/>
        </w:rPr>
        <w:t xml:space="preserve">Lo anterior le permitirá a la </w:t>
      </w:r>
      <w:r>
        <w:rPr>
          <w:rFonts w:ascii="Verdana" w:hAnsi="Verdana" w:cs="Arial"/>
          <w:lang w:val="es-ES"/>
        </w:rPr>
        <w:t>e</w:t>
      </w:r>
      <w:r w:rsidRPr="000B037E">
        <w:rPr>
          <w:rFonts w:ascii="Verdana" w:hAnsi="Verdana" w:cs="Arial"/>
          <w:lang w:val="es-ES"/>
        </w:rPr>
        <w:t xml:space="preserve">ntidad </w:t>
      </w:r>
      <w:r>
        <w:rPr>
          <w:rFonts w:ascii="Verdana" w:hAnsi="Verdana" w:cs="Arial"/>
          <w:lang w:val="es-ES"/>
        </w:rPr>
        <w:t>e</w:t>
      </w:r>
      <w:r w:rsidRPr="000B037E">
        <w:rPr>
          <w:rFonts w:ascii="Verdana" w:hAnsi="Verdana" w:cs="Arial"/>
          <w:lang w:val="es-ES"/>
        </w:rPr>
        <w:t xml:space="preserve">statal identificar desde el punto de vista técnico y financiero el objeto del contrato, las particularidades de su ejecución, los potenciales proponentes, requisitos mínimos para evaluar la idoneidad del contratista, así </w:t>
      </w:r>
      <w:r w:rsidRPr="000B037E">
        <w:rPr>
          <w:rFonts w:ascii="Verdana" w:hAnsi="Verdana" w:cs="Arial"/>
          <w:lang w:val="es-ES_tradnl"/>
        </w:rPr>
        <w:t xml:space="preserve">como analizar todas las variables que puedan afectar el procedimiento de selección, celebración y ejecución del contrato. Tal es la importancia de los estudios y documentos previos que su deficiencia o ausencia, “genera prácticas indebidas, revocatoria de actos administrativos de </w:t>
      </w:r>
      <w:r w:rsidRPr="000B037E">
        <w:rPr>
          <w:rFonts w:ascii="Verdana" w:hAnsi="Verdana" w:cs="Arial"/>
          <w:lang w:val="es-ES_tradnl"/>
        </w:rPr>
        <w:lastRenderedPageBreak/>
        <w:t>apertura, declaratorias de desierta de procesos de selección, comisión de faltas disciplinarias, mayores costos o mayor permanencia de la obra y, en general, el fracaso en la ejecución de contratos estatales”</w:t>
      </w:r>
      <w:r w:rsidRPr="000B037E">
        <w:rPr>
          <w:rFonts w:ascii="Verdana" w:hAnsi="Verdana" w:cs="Arial"/>
          <w:vertAlign w:val="superscript"/>
          <w:lang w:val="es-ES_tradnl"/>
        </w:rPr>
        <w:footnoteReference w:id="11"/>
      </w:r>
      <w:r w:rsidRPr="000B037E">
        <w:rPr>
          <w:rFonts w:ascii="Verdana" w:hAnsi="Verdana" w:cs="Arial"/>
          <w:lang w:val="es-ES_tradnl"/>
        </w:rPr>
        <w:t xml:space="preserve">. </w:t>
      </w:r>
    </w:p>
    <w:p w14:paraId="2E14B2CE" w14:textId="77777777" w:rsidR="00C63ADB" w:rsidRDefault="00C63ADB" w:rsidP="00C63ADB">
      <w:pPr>
        <w:spacing w:after="0" w:line="276" w:lineRule="auto"/>
        <w:ind w:right="51" w:firstLine="709"/>
        <w:jc w:val="both"/>
        <w:rPr>
          <w:rFonts w:ascii="Verdana" w:hAnsi="Verdana" w:cs="Arial"/>
          <w:lang w:val="es-ES_tradnl"/>
        </w:rPr>
      </w:pPr>
      <w:r w:rsidRPr="000B037E">
        <w:rPr>
          <w:rFonts w:ascii="Verdana" w:hAnsi="Verdana" w:cs="Arial"/>
          <w:lang w:val="es-ES_tradnl"/>
        </w:rPr>
        <w:t>En congruencia con el artículo 25 de la Ley 80 de 1993, el Decreto Único Reglamentario del Sector Administrativo de Planeación Nacional –Decreto 1082 de 2015–, dispone en el artículo 2.2.1.1.2.1.1 el contenido mínimo de los estudios y documentos previos:</w:t>
      </w:r>
    </w:p>
    <w:p w14:paraId="6B1C51E4" w14:textId="77777777" w:rsidR="00C63ADB" w:rsidRPr="000B037E" w:rsidRDefault="00C63ADB" w:rsidP="00C63ADB">
      <w:pPr>
        <w:spacing w:after="0" w:line="276" w:lineRule="auto"/>
        <w:ind w:right="51" w:firstLine="709"/>
        <w:jc w:val="both"/>
        <w:rPr>
          <w:rFonts w:ascii="Verdana" w:hAnsi="Verdana" w:cs="Arial"/>
          <w:lang w:val="es-ES_tradnl"/>
        </w:rPr>
      </w:pPr>
    </w:p>
    <w:p w14:paraId="387E757D" w14:textId="77777777" w:rsidR="00C63ADB" w:rsidRPr="004A0413" w:rsidRDefault="00C63ADB" w:rsidP="00C63ADB">
      <w:pPr>
        <w:spacing w:after="0" w:line="240" w:lineRule="auto"/>
        <w:ind w:left="709" w:right="709"/>
        <w:jc w:val="both"/>
        <w:rPr>
          <w:rFonts w:ascii="Verdana" w:hAnsi="Verdana" w:cs="Arial"/>
          <w:sz w:val="20"/>
          <w:szCs w:val="20"/>
          <w:lang w:val="es-ES_tradnl"/>
        </w:rPr>
      </w:pPr>
      <w:r w:rsidRPr="004A0413">
        <w:rPr>
          <w:rFonts w:ascii="Verdana" w:hAnsi="Verdana" w:cs="Arial"/>
          <w:sz w:val="20"/>
          <w:szCs w:val="20"/>
          <w:lang w:val="es-ES_tradnl"/>
        </w:rPr>
        <w:t xml:space="preserve">“Artículo 2.2.1.1.2.1.1. </w:t>
      </w:r>
      <w:r w:rsidRPr="004A0413">
        <w:rPr>
          <w:rFonts w:ascii="Verdana" w:hAnsi="Verdana" w:cs="Arial"/>
          <w:i/>
          <w:iCs/>
          <w:sz w:val="20"/>
          <w:szCs w:val="20"/>
          <w:u w:val="single"/>
          <w:lang w:val="es-ES_tradnl"/>
        </w:rPr>
        <w:t>Los estudios y documentos previos son el soporte para elaborar el proyecto de pliegos, los pliegos de condiciones y el contrato</w:t>
      </w:r>
      <w:r w:rsidRPr="004A0413">
        <w:rPr>
          <w:rFonts w:ascii="Verdana" w:hAnsi="Verdana" w:cs="Arial"/>
          <w:sz w:val="20"/>
          <w:szCs w:val="20"/>
          <w:lang w:val="es-ES_tradnl"/>
        </w:rPr>
        <w:t xml:space="preserve">. Estos deben permanecer a disposición del público durante el desarrollo del Proceso de Contratación y contener los siguientes elementos, además de los indicados para cada modalidad de selección: </w:t>
      </w:r>
    </w:p>
    <w:p w14:paraId="666E1858" w14:textId="77777777" w:rsidR="00C63ADB" w:rsidRPr="004A0413" w:rsidRDefault="00C63ADB" w:rsidP="00C63ADB">
      <w:pPr>
        <w:spacing w:after="0" w:line="240" w:lineRule="auto"/>
        <w:ind w:left="709" w:right="709"/>
        <w:jc w:val="both"/>
        <w:rPr>
          <w:rFonts w:ascii="Verdana" w:hAnsi="Verdana" w:cs="Arial"/>
          <w:sz w:val="20"/>
          <w:szCs w:val="20"/>
          <w:lang w:val="es-ES_tradnl"/>
        </w:rPr>
      </w:pPr>
    </w:p>
    <w:p w14:paraId="28A8E34D" w14:textId="77777777" w:rsidR="00C63ADB" w:rsidRPr="004A0413" w:rsidRDefault="00C63ADB" w:rsidP="00C63ADB">
      <w:pPr>
        <w:spacing w:after="0" w:line="240" w:lineRule="auto"/>
        <w:ind w:left="709" w:right="709"/>
        <w:jc w:val="both"/>
        <w:rPr>
          <w:rFonts w:ascii="Verdana" w:hAnsi="Verdana" w:cs="Arial"/>
          <w:sz w:val="20"/>
          <w:szCs w:val="20"/>
          <w:lang w:val="es-ES_tradnl"/>
        </w:rPr>
      </w:pPr>
      <w:r w:rsidRPr="004A0413">
        <w:rPr>
          <w:rFonts w:ascii="Verdana" w:hAnsi="Verdana" w:cs="Arial"/>
          <w:sz w:val="20"/>
          <w:szCs w:val="20"/>
          <w:lang w:val="es-ES_tradnl"/>
        </w:rPr>
        <w:t xml:space="preserve">1. La descripción de la necesidad que la Entidad Estatal pretende satisfacer con el Proceso de Contratación. </w:t>
      </w:r>
      <w:r w:rsidRPr="004A0413">
        <w:rPr>
          <w:rFonts w:ascii="Arial" w:hAnsi="Arial" w:cs="Arial"/>
          <w:sz w:val="20"/>
          <w:szCs w:val="20"/>
          <w:lang w:val="es-ES_tradnl"/>
        </w:rPr>
        <w:t>​</w:t>
      </w:r>
    </w:p>
    <w:p w14:paraId="7224DA0F" w14:textId="77777777" w:rsidR="00C63ADB" w:rsidRPr="004A0413" w:rsidRDefault="00C63ADB" w:rsidP="00C63ADB">
      <w:pPr>
        <w:spacing w:after="0" w:line="240" w:lineRule="auto"/>
        <w:ind w:left="709" w:right="709"/>
        <w:jc w:val="both"/>
        <w:rPr>
          <w:rFonts w:ascii="Verdana" w:hAnsi="Verdana" w:cs="Arial"/>
          <w:sz w:val="20"/>
          <w:szCs w:val="20"/>
          <w:lang w:val="es-ES_tradnl"/>
        </w:rPr>
      </w:pPr>
    </w:p>
    <w:p w14:paraId="0ACE7088" w14:textId="77777777" w:rsidR="00C63ADB" w:rsidRPr="004A0413" w:rsidRDefault="00C63ADB" w:rsidP="00C63ADB">
      <w:pPr>
        <w:spacing w:after="0" w:line="240" w:lineRule="auto"/>
        <w:ind w:left="709" w:right="709"/>
        <w:jc w:val="both"/>
        <w:rPr>
          <w:rFonts w:ascii="Verdana" w:hAnsi="Verdana" w:cs="Arial"/>
          <w:sz w:val="20"/>
          <w:szCs w:val="20"/>
          <w:lang w:val="es-ES_tradnl"/>
        </w:rPr>
      </w:pPr>
      <w:r w:rsidRPr="004A0413">
        <w:rPr>
          <w:rFonts w:ascii="Verdana" w:hAnsi="Verdana" w:cs="Arial"/>
          <w:sz w:val="20"/>
          <w:szCs w:val="20"/>
          <w:lang w:val="es-ES_tradnl"/>
        </w:rPr>
        <w:t xml:space="preserve">2. El objeto a contratar, con sus especificaciones, las autorizaciones, permisos y licencias requeridos para su ejecución, y cuando el contrato incluye diseño y construcción, los documentos técnicos para el desarrollo del proyecto. </w:t>
      </w:r>
    </w:p>
    <w:p w14:paraId="2CBFC748" w14:textId="77777777" w:rsidR="00C63ADB" w:rsidRPr="004A0413" w:rsidRDefault="00C63ADB" w:rsidP="00C63ADB">
      <w:pPr>
        <w:spacing w:after="0" w:line="240" w:lineRule="auto"/>
        <w:ind w:left="709" w:right="709"/>
        <w:jc w:val="both"/>
        <w:rPr>
          <w:rFonts w:ascii="Verdana" w:hAnsi="Verdana" w:cs="Arial"/>
          <w:sz w:val="20"/>
          <w:szCs w:val="20"/>
          <w:lang w:val="es-ES_tradnl"/>
        </w:rPr>
      </w:pPr>
    </w:p>
    <w:p w14:paraId="544CDFA2" w14:textId="77777777" w:rsidR="00C63ADB" w:rsidRPr="004A0413" w:rsidRDefault="00C63ADB" w:rsidP="00C63ADB">
      <w:pPr>
        <w:spacing w:after="0" w:line="240" w:lineRule="auto"/>
        <w:ind w:left="709" w:right="709"/>
        <w:jc w:val="both"/>
        <w:rPr>
          <w:rFonts w:ascii="Verdana" w:hAnsi="Verdana" w:cs="Arial"/>
          <w:sz w:val="20"/>
          <w:szCs w:val="20"/>
          <w:lang w:val="es-ES_tradnl"/>
        </w:rPr>
      </w:pPr>
      <w:r w:rsidRPr="004A0413">
        <w:rPr>
          <w:rFonts w:ascii="Verdana" w:hAnsi="Verdana" w:cs="Arial"/>
          <w:sz w:val="20"/>
          <w:szCs w:val="20"/>
          <w:lang w:val="es-ES_tradnl"/>
        </w:rPr>
        <w:t xml:space="preserve">3. La modalidad de selección del contratista y su justificación, incluyendo los fundamentos jurídicos. </w:t>
      </w:r>
    </w:p>
    <w:p w14:paraId="242C38D3" w14:textId="77777777" w:rsidR="00C63ADB" w:rsidRPr="004A0413" w:rsidRDefault="00C63ADB" w:rsidP="00C63ADB">
      <w:pPr>
        <w:spacing w:after="0" w:line="240" w:lineRule="auto"/>
        <w:ind w:left="709" w:right="709"/>
        <w:jc w:val="both"/>
        <w:rPr>
          <w:rFonts w:ascii="Verdana" w:hAnsi="Verdana" w:cs="Arial"/>
          <w:sz w:val="20"/>
          <w:szCs w:val="20"/>
          <w:lang w:val="es-ES_tradnl"/>
        </w:rPr>
      </w:pPr>
    </w:p>
    <w:p w14:paraId="4F8CAA81" w14:textId="77777777" w:rsidR="00C63ADB" w:rsidRPr="004A0413" w:rsidRDefault="00C63ADB" w:rsidP="00C63ADB">
      <w:pPr>
        <w:spacing w:after="0" w:line="240" w:lineRule="auto"/>
        <w:ind w:left="709" w:right="709"/>
        <w:jc w:val="both"/>
        <w:rPr>
          <w:rFonts w:ascii="Verdana" w:hAnsi="Verdana" w:cs="Arial"/>
          <w:sz w:val="20"/>
          <w:szCs w:val="20"/>
          <w:lang w:val="es-ES"/>
        </w:rPr>
      </w:pPr>
      <w:r w:rsidRPr="004A0413">
        <w:rPr>
          <w:rFonts w:ascii="Verdana" w:hAnsi="Verdana" w:cs="Arial"/>
          <w:sz w:val="20"/>
          <w:szCs w:val="20"/>
          <w:lang w:val="es-ES"/>
        </w:rPr>
        <w:t xml:space="preserve">4. El valor estimado del contrato y la justificación </w:t>
      </w:r>
      <w:proofErr w:type="gramStart"/>
      <w:r w:rsidRPr="004A0413">
        <w:rPr>
          <w:rFonts w:ascii="Verdana" w:hAnsi="Verdana" w:cs="Arial"/>
          <w:sz w:val="20"/>
          <w:szCs w:val="20"/>
          <w:lang w:val="es-ES"/>
        </w:rPr>
        <w:t>del mismo</w:t>
      </w:r>
      <w:proofErr w:type="gramEnd"/>
      <w:r w:rsidRPr="004A0413">
        <w:rPr>
          <w:rFonts w:ascii="Verdana" w:hAnsi="Verdana" w:cs="Arial"/>
          <w:sz w:val="20"/>
          <w:szCs w:val="20"/>
          <w:lang w:val="es-ES"/>
        </w:rPr>
        <w:t xml:space="preserve">. Cuando el valor del contrato esté determinado por precios unitarios, la Entidad Estatal debe incluir la forma como los calculó y soportar sus cálculos presupuestales en la estimación de aquellos. Si el contrato es de concesión, la Entidad Estatal no debe publicar el modelo financiero utilizado en su estructuración. </w:t>
      </w:r>
    </w:p>
    <w:p w14:paraId="6275E503" w14:textId="77777777" w:rsidR="00C63ADB" w:rsidRPr="004A0413" w:rsidRDefault="00C63ADB" w:rsidP="00C63ADB">
      <w:pPr>
        <w:spacing w:after="0" w:line="240" w:lineRule="auto"/>
        <w:ind w:left="709" w:right="709"/>
        <w:jc w:val="both"/>
        <w:rPr>
          <w:rFonts w:ascii="Verdana" w:hAnsi="Verdana" w:cs="Arial"/>
          <w:sz w:val="20"/>
          <w:szCs w:val="20"/>
          <w:lang w:val="es-ES_tradnl"/>
        </w:rPr>
      </w:pPr>
    </w:p>
    <w:p w14:paraId="5FDF8F3C" w14:textId="77777777" w:rsidR="00C63ADB" w:rsidRPr="004A0413" w:rsidRDefault="00C63ADB" w:rsidP="00C63ADB">
      <w:pPr>
        <w:spacing w:after="0" w:line="240" w:lineRule="auto"/>
        <w:ind w:left="709" w:right="709"/>
        <w:jc w:val="both"/>
        <w:rPr>
          <w:rFonts w:ascii="Verdana" w:hAnsi="Verdana" w:cs="Arial"/>
          <w:sz w:val="20"/>
          <w:szCs w:val="20"/>
          <w:lang w:val="es-ES_tradnl"/>
        </w:rPr>
      </w:pPr>
      <w:r w:rsidRPr="004A0413">
        <w:rPr>
          <w:rFonts w:ascii="Verdana" w:hAnsi="Verdana" w:cs="Arial"/>
          <w:sz w:val="20"/>
          <w:szCs w:val="20"/>
          <w:lang w:val="es-ES_tradnl"/>
        </w:rPr>
        <w:t xml:space="preserve">5. Los criterios para seleccionar la oferta más favorable. </w:t>
      </w:r>
    </w:p>
    <w:p w14:paraId="1E86E743" w14:textId="77777777" w:rsidR="00C63ADB" w:rsidRPr="004A0413" w:rsidRDefault="00C63ADB" w:rsidP="00C63ADB">
      <w:pPr>
        <w:spacing w:after="0" w:line="240" w:lineRule="auto"/>
        <w:ind w:left="709" w:right="709"/>
        <w:jc w:val="both"/>
        <w:rPr>
          <w:rFonts w:ascii="Verdana" w:hAnsi="Verdana" w:cs="Arial"/>
          <w:sz w:val="20"/>
          <w:szCs w:val="20"/>
          <w:lang w:val="es-ES_tradnl"/>
        </w:rPr>
      </w:pPr>
    </w:p>
    <w:p w14:paraId="3862AF7C" w14:textId="77777777" w:rsidR="00C63ADB" w:rsidRPr="004A0413" w:rsidRDefault="00C63ADB" w:rsidP="00C63ADB">
      <w:pPr>
        <w:spacing w:after="0" w:line="240" w:lineRule="auto"/>
        <w:ind w:left="709" w:right="709"/>
        <w:jc w:val="both"/>
        <w:rPr>
          <w:rFonts w:ascii="Verdana" w:hAnsi="Verdana" w:cs="Arial"/>
          <w:sz w:val="20"/>
          <w:szCs w:val="20"/>
          <w:lang w:val="es-ES_tradnl"/>
        </w:rPr>
      </w:pPr>
      <w:r w:rsidRPr="004A0413">
        <w:rPr>
          <w:rFonts w:ascii="Verdana" w:hAnsi="Verdana" w:cs="Arial"/>
          <w:sz w:val="20"/>
          <w:szCs w:val="20"/>
          <w:lang w:val="es-ES_tradnl"/>
        </w:rPr>
        <w:t xml:space="preserve">6. El análisis de Riesgo y la forma de mitigarlo. </w:t>
      </w:r>
    </w:p>
    <w:p w14:paraId="3CF30017" w14:textId="77777777" w:rsidR="00C63ADB" w:rsidRPr="004A0413" w:rsidRDefault="00C63ADB" w:rsidP="00C63ADB">
      <w:pPr>
        <w:spacing w:after="0" w:line="240" w:lineRule="auto"/>
        <w:ind w:left="709" w:right="709"/>
        <w:jc w:val="both"/>
        <w:rPr>
          <w:rFonts w:ascii="Verdana" w:hAnsi="Verdana" w:cs="Arial"/>
          <w:sz w:val="20"/>
          <w:szCs w:val="20"/>
          <w:lang w:val="es-ES_tradnl"/>
        </w:rPr>
      </w:pPr>
    </w:p>
    <w:p w14:paraId="5157363D" w14:textId="77777777" w:rsidR="00C63ADB" w:rsidRPr="004A0413" w:rsidRDefault="00C63ADB" w:rsidP="00C63ADB">
      <w:pPr>
        <w:spacing w:after="0" w:line="240" w:lineRule="auto"/>
        <w:ind w:left="709" w:right="709"/>
        <w:jc w:val="both"/>
        <w:rPr>
          <w:rFonts w:ascii="Verdana" w:hAnsi="Verdana" w:cs="Arial"/>
          <w:sz w:val="20"/>
          <w:szCs w:val="20"/>
          <w:lang w:val="es-ES_tradnl"/>
        </w:rPr>
      </w:pPr>
      <w:r w:rsidRPr="004A0413">
        <w:rPr>
          <w:rFonts w:ascii="Verdana" w:hAnsi="Verdana" w:cs="Arial"/>
          <w:sz w:val="20"/>
          <w:szCs w:val="20"/>
          <w:lang w:val="es-ES_tradnl"/>
        </w:rPr>
        <w:t xml:space="preserve">7. Las garantías que la Entidad Estatal contempla exigir en el proceso de contratación. </w:t>
      </w:r>
    </w:p>
    <w:p w14:paraId="19C8B1BB" w14:textId="77777777" w:rsidR="00C63ADB" w:rsidRPr="004A0413" w:rsidRDefault="00C63ADB" w:rsidP="00C63ADB">
      <w:pPr>
        <w:spacing w:after="0" w:line="240" w:lineRule="auto"/>
        <w:ind w:left="709" w:right="709"/>
        <w:jc w:val="both"/>
        <w:rPr>
          <w:rFonts w:ascii="Verdana" w:hAnsi="Verdana" w:cs="Arial"/>
          <w:sz w:val="20"/>
          <w:szCs w:val="20"/>
          <w:lang w:val="es-ES_tradnl"/>
        </w:rPr>
      </w:pPr>
    </w:p>
    <w:p w14:paraId="4357182B" w14:textId="77777777" w:rsidR="00C63ADB" w:rsidRPr="004A0413" w:rsidRDefault="00C63ADB" w:rsidP="00C63ADB">
      <w:pPr>
        <w:spacing w:after="0" w:line="240" w:lineRule="auto"/>
        <w:ind w:left="709" w:right="709"/>
        <w:jc w:val="both"/>
        <w:rPr>
          <w:rFonts w:ascii="Verdana" w:hAnsi="Verdana" w:cs="Arial"/>
          <w:sz w:val="20"/>
          <w:szCs w:val="20"/>
          <w:lang w:val="es-ES_tradnl"/>
        </w:rPr>
      </w:pPr>
      <w:r w:rsidRPr="004A0413">
        <w:rPr>
          <w:rFonts w:ascii="Verdana" w:hAnsi="Verdana" w:cs="Arial"/>
          <w:sz w:val="20"/>
          <w:szCs w:val="20"/>
          <w:lang w:val="es-ES_tradnl"/>
        </w:rPr>
        <w:lastRenderedPageBreak/>
        <w:t xml:space="preserve">8. La indicación de si el proceso de contratación está cobijado por un acuerdo comercial. </w:t>
      </w:r>
    </w:p>
    <w:p w14:paraId="7F46FD2A" w14:textId="77777777" w:rsidR="00C63ADB" w:rsidRPr="004A0413" w:rsidRDefault="00C63ADB" w:rsidP="00C63ADB">
      <w:pPr>
        <w:spacing w:after="0" w:line="240" w:lineRule="auto"/>
        <w:ind w:left="709" w:right="709"/>
        <w:jc w:val="both"/>
        <w:rPr>
          <w:rFonts w:ascii="Verdana" w:hAnsi="Verdana" w:cs="Arial"/>
          <w:sz w:val="20"/>
          <w:szCs w:val="20"/>
          <w:lang w:val="es-ES_tradnl"/>
        </w:rPr>
      </w:pPr>
    </w:p>
    <w:p w14:paraId="616B2267" w14:textId="77777777" w:rsidR="00C63ADB" w:rsidRPr="004A0413" w:rsidRDefault="00C63ADB" w:rsidP="00C63ADB">
      <w:pPr>
        <w:spacing w:after="0" w:line="240" w:lineRule="auto"/>
        <w:ind w:left="709" w:right="709"/>
        <w:jc w:val="both"/>
        <w:rPr>
          <w:rFonts w:ascii="Verdana" w:hAnsi="Verdana" w:cs="Arial"/>
          <w:sz w:val="20"/>
          <w:szCs w:val="20"/>
          <w:lang w:val="es-ES_tradnl"/>
        </w:rPr>
      </w:pPr>
      <w:r w:rsidRPr="004A0413">
        <w:rPr>
          <w:rFonts w:ascii="Verdana" w:hAnsi="Verdana" w:cs="Arial"/>
          <w:sz w:val="20"/>
          <w:szCs w:val="20"/>
          <w:lang w:val="es-ES_tradnl"/>
        </w:rPr>
        <w:t>El presente artículo no es aplicable a la contratación por mínima cuantía”. (Énfasis fuera de texto)</w:t>
      </w:r>
    </w:p>
    <w:p w14:paraId="6613A3DB" w14:textId="77777777" w:rsidR="00C63ADB" w:rsidRPr="00BF6219" w:rsidRDefault="00C63ADB" w:rsidP="00C63ADB">
      <w:pPr>
        <w:spacing w:after="0" w:line="276" w:lineRule="auto"/>
        <w:ind w:left="709" w:right="616"/>
        <w:jc w:val="both"/>
        <w:rPr>
          <w:rFonts w:ascii="Verdana" w:hAnsi="Verdana" w:cs="Arial"/>
          <w:lang w:val="es-ES_tradnl"/>
        </w:rPr>
      </w:pPr>
    </w:p>
    <w:p w14:paraId="1A81EB9E" w14:textId="77777777" w:rsidR="00C63ADB" w:rsidRPr="00B97C74" w:rsidRDefault="00C63ADB" w:rsidP="00C63ADB">
      <w:pPr>
        <w:spacing w:after="120" w:line="276" w:lineRule="auto"/>
        <w:ind w:firstLine="709"/>
        <w:jc w:val="both"/>
        <w:rPr>
          <w:rFonts w:ascii="Verdana" w:hAnsi="Verdana" w:cs="Arial"/>
          <w:lang w:val="es-MX"/>
        </w:rPr>
      </w:pPr>
      <w:r w:rsidRPr="00B97C74">
        <w:rPr>
          <w:rFonts w:ascii="Verdana" w:hAnsi="Verdana" w:cs="Arial"/>
          <w:lang w:val="es-MX"/>
        </w:rPr>
        <w:t>Más allá del cumplimiento de la normativa, “los estudios y documentos previos son el soporte para elaborar el proyecto de pliegos, los pliegos de condiciones, y el contrato”</w:t>
      </w:r>
      <w:r w:rsidRPr="00B97C74">
        <w:rPr>
          <w:rFonts w:ascii="Verdana" w:hAnsi="Verdana" w:cs="Arial"/>
          <w:vertAlign w:val="superscript"/>
          <w:lang w:val="es-MX"/>
        </w:rPr>
        <w:footnoteReference w:id="12"/>
      </w:r>
      <w:r w:rsidRPr="00B97C74">
        <w:rPr>
          <w:rFonts w:ascii="Verdana" w:hAnsi="Verdana" w:cs="Arial"/>
          <w:vertAlign w:val="superscript"/>
          <w:lang w:val="es-MX"/>
        </w:rPr>
        <w:t>,</w:t>
      </w:r>
      <w:r w:rsidRPr="00B97C74">
        <w:rPr>
          <w:rFonts w:ascii="Verdana" w:hAnsi="Verdana" w:cs="Arial"/>
          <w:lang w:val="es-MX"/>
        </w:rPr>
        <w:t xml:space="preserve"> por lo que deben publicarse en la etapa precontractual y sirven de motivación para los documentos expedidos unilateralmente por la </w:t>
      </w:r>
      <w:r>
        <w:rPr>
          <w:rFonts w:ascii="Verdana" w:hAnsi="Verdana" w:cs="Arial"/>
          <w:lang w:val="es-MX"/>
        </w:rPr>
        <w:t>e</w:t>
      </w:r>
      <w:r w:rsidRPr="00B97C74">
        <w:rPr>
          <w:rFonts w:ascii="Verdana" w:hAnsi="Verdana" w:cs="Arial"/>
          <w:lang w:val="es-MX"/>
        </w:rPr>
        <w:t xml:space="preserve">ntidad </w:t>
      </w:r>
      <w:r>
        <w:rPr>
          <w:rFonts w:ascii="Verdana" w:hAnsi="Verdana" w:cs="Arial"/>
          <w:lang w:val="es-MX"/>
        </w:rPr>
        <w:t>e</w:t>
      </w:r>
      <w:r w:rsidRPr="00B97C74">
        <w:rPr>
          <w:rFonts w:ascii="Verdana" w:hAnsi="Verdana" w:cs="Arial"/>
          <w:lang w:val="es-MX"/>
        </w:rPr>
        <w:t>statal tales como el acto administrativo de apertura, los pliegos de condiciones y el acto de adjudicación, entre otros. En ese sentido, los estudios y documentos previos son necesarios antes de la celebración del contrato, pues fundamentan las condiciones que la Entidad Estatal exige en sus procesos de contratación. Sin embargo, luego de la suscripción del contrato la entidad no debe actuar unilateralmente, sino que debe respetar la buena fe contractual y proceder de acuerdo con lo pactado</w:t>
      </w:r>
      <w:r w:rsidRPr="00B97C74">
        <w:rPr>
          <w:rFonts w:ascii="Verdana" w:hAnsi="Verdana" w:cs="Arial"/>
          <w:vertAlign w:val="superscript"/>
          <w:lang w:val="es-MX"/>
        </w:rPr>
        <w:footnoteReference w:id="13"/>
      </w:r>
      <w:r w:rsidRPr="00B97C74">
        <w:rPr>
          <w:rFonts w:ascii="Verdana" w:hAnsi="Verdana" w:cs="Arial"/>
          <w:vertAlign w:val="superscript"/>
          <w:lang w:val="es-MX"/>
        </w:rPr>
        <w:t>.</w:t>
      </w:r>
    </w:p>
    <w:p w14:paraId="0538C4D3" w14:textId="77777777" w:rsidR="00C63ADB" w:rsidRPr="004E70F9" w:rsidRDefault="00C63ADB" w:rsidP="00C63ADB">
      <w:pPr>
        <w:pStyle w:val="Sinespaciado"/>
        <w:spacing w:after="120" w:line="276" w:lineRule="auto"/>
        <w:ind w:firstLine="709"/>
        <w:jc w:val="both"/>
        <w:rPr>
          <w:rFonts w:ascii="Verdana" w:hAnsi="Verdana" w:cs="Arial"/>
          <w:sz w:val="22"/>
        </w:rPr>
      </w:pPr>
      <w:r w:rsidRPr="00627B03">
        <w:rPr>
          <w:rFonts w:ascii="Verdana" w:hAnsi="Verdana" w:cs="Arial"/>
          <w:sz w:val="22"/>
        </w:rPr>
        <w:t xml:space="preserve">De las normas citadas se resalta que, en virtud del principio de economía, para iniciar un proceso de contratación </w:t>
      </w:r>
      <w:r>
        <w:rPr>
          <w:rFonts w:ascii="Verdana" w:hAnsi="Verdana" w:cs="Arial"/>
          <w:sz w:val="22"/>
        </w:rPr>
        <w:t xml:space="preserve">o la celebración de un contrato </w:t>
      </w:r>
      <w:r w:rsidRPr="00627B03">
        <w:rPr>
          <w:rFonts w:ascii="Verdana" w:hAnsi="Verdana" w:cs="Arial"/>
          <w:sz w:val="22"/>
        </w:rPr>
        <w:t xml:space="preserve">se requiere </w:t>
      </w:r>
      <w:r>
        <w:rPr>
          <w:rFonts w:ascii="Verdana" w:hAnsi="Verdana" w:cs="Arial"/>
          <w:sz w:val="22"/>
        </w:rPr>
        <w:t xml:space="preserve">de los </w:t>
      </w:r>
      <w:r w:rsidRPr="00627B03">
        <w:rPr>
          <w:rFonts w:ascii="Verdana" w:hAnsi="Verdana" w:cs="Arial"/>
          <w:sz w:val="22"/>
        </w:rPr>
        <w:t xml:space="preserve">estudios previos que permitan estructurar, concretar y viabilizar los aspectos esenciales del futuro contrato, dentro de los cuales se encuentran su objeto y valor estimado, entre otros elementos. </w:t>
      </w:r>
    </w:p>
    <w:p w14:paraId="6DE37D82" w14:textId="77777777" w:rsidR="00C63ADB" w:rsidRPr="00627B03" w:rsidRDefault="00C63ADB" w:rsidP="00C63ADB">
      <w:pPr>
        <w:spacing w:after="120" w:line="276" w:lineRule="auto"/>
        <w:ind w:firstLine="709"/>
        <w:jc w:val="both"/>
        <w:rPr>
          <w:rFonts w:ascii="Verdana" w:eastAsia="Calibri" w:hAnsi="Verdana" w:cs="Arial"/>
          <w:lang w:val="es-ES"/>
        </w:rPr>
      </w:pPr>
      <w:r w:rsidRPr="7B4F50DD">
        <w:rPr>
          <w:rFonts w:ascii="Verdana" w:eastAsia="Calibri" w:hAnsi="Verdana" w:cs="Arial"/>
          <w:lang w:val="es-ES"/>
        </w:rPr>
        <w:t xml:space="preserve">Para cumplir este objetivo es necesario el estudio del mercado y el análisis del sector económico y de los oferentes, actividad de planeación previa que sirve para identificar aspectos concretos del mercado que pueden afectar el proceso de selección o las condiciones del negocio a realizar a través del proceso de contratación de bienes, obras o servicios. En este sentido, el artículo </w:t>
      </w:r>
      <w:bookmarkStart w:id="4" w:name="_Hlk36117416"/>
      <w:r w:rsidRPr="7B4F50DD">
        <w:rPr>
          <w:rFonts w:ascii="Verdana" w:eastAsia="Calibri" w:hAnsi="Verdana" w:cs="Arial"/>
          <w:lang w:val="es-ES"/>
        </w:rPr>
        <w:t>2.2.1.1.1.6.1 del Decreto 1082 de 2015</w:t>
      </w:r>
      <w:bookmarkEnd w:id="4"/>
      <w:r w:rsidRPr="7B4F50DD">
        <w:rPr>
          <w:rFonts w:ascii="Verdana" w:eastAsia="Calibri" w:hAnsi="Verdana" w:cs="Arial"/>
          <w:lang w:val="es-ES"/>
        </w:rPr>
        <w:t xml:space="preserve"> dispone lo siguiente: “La Entidad Estatal debe hacer, durante la etapa de planeación, el análisis necesario para conocer </w:t>
      </w:r>
      <w:r w:rsidRPr="7B4F50DD">
        <w:rPr>
          <w:rFonts w:ascii="Verdana" w:eastAsia="Calibri" w:hAnsi="Verdana" w:cs="Arial"/>
          <w:lang w:val="es-ES"/>
        </w:rPr>
        <w:lastRenderedPageBreak/>
        <w:t>el sector relativo al objeto del Proceso de Contratación desde la perspectiva legal, comercial, financiera, organizacional, técnica, y de análisis de Riesgo. La Entidad Estatal debe dejar constancia de este análisis en los Documentos del Proceso”.</w:t>
      </w:r>
    </w:p>
    <w:p w14:paraId="4B52E088" w14:textId="77777777" w:rsidR="00C63ADB" w:rsidRPr="00627B03" w:rsidRDefault="00C63ADB" w:rsidP="00C63ADB">
      <w:pPr>
        <w:spacing w:after="120" w:line="276" w:lineRule="auto"/>
        <w:ind w:firstLine="709"/>
        <w:jc w:val="both"/>
        <w:rPr>
          <w:rFonts w:ascii="Verdana" w:eastAsia="Calibri" w:hAnsi="Verdana" w:cs="Arial"/>
          <w:lang w:val="es-ES"/>
        </w:rPr>
      </w:pPr>
      <w:r w:rsidRPr="7B4F50DD">
        <w:rPr>
          <w:rFonts w:ascii="Verdana" w:eastAsia="Calibri" w:hAnsi="Verdana" w:cs="Arial"/>
          <w:lang w:val="es-ES"/>
        </w:rPr>
        <w:t xml:space="preserve">De acuerdo con la norma citada, </w:t>
      </w:r>
      <w:bookmarkStart w:id="5" w:name="_Hlk36140682"/>
      <w:r w:rsidRPr="7B4F50DD">
        <w:rPr>
          <w:rFonts w:ascii="Verdana" w:eastAsia="Calibri" w:hAnsi="Verdana" w:cs="Arial"/>
          <w:lang w:val="es-ES"/>
        </w:rPr>
        <w:t>la entidad debe realizar el análisis necesario para conocer el sector relativo al objeto del proceso de contratación, sin que sea relevante la modalidad de selección. Hacer un análisis desde la perspectiva legal implica la revisión de la regulación vigente para el mercado dentro del que se encuentra el objeto del contrato. La perspectiva comercial hace referencia a analizar quiénes pueden ofrecer el bien o servicio que se quiere contratar, cuáles son sus condiciones, si tienen condiciones especiales que sean relevantes para determinar los requisitos habilitantes, entre otros. Desde una perspectiva financiera, el análisis conlleva una revisión de las características financieras que se presentan dentro del mercado del bien o servicio, como por ejemplo el índice de endeudamiento que tienen las empresas o personas naturales que ofrecen dicho bien o servicio. Con la perspectiva organizacional se pretende que la entidad estatal entienda cómo están organizados internamente los posibles oferentes y de qué manera realizan sus negocios y operaciones.</w:t>
      </w:r>
    </w:p>
    <w:p w14:paraId="457CA86F" w14:textId="77777777" w:rsidR="00C63ADB" w:rsidRPr="00627B03" w:rsidRDefault="00C63ADB" w:rsidP="00C63ADB">
      <w:pPr>
        <w:spacing w:after="120" w:line="276" w:lineRule="auto"/>
        <w:ind w:firstLine="709"/>
        <w:jc w:val="both"/>
        <w:rPr>
          <w:rFonts w:ascii="Verdana" w:eastAsia="Calibri" w:hAnsi="Verdana" w:cs="Arial"/>
          <w:bCs/>
          <w:lang w:val="es-ES_tradnl"/>
        </w:rPr>
      </w:pPr>
      <w:r w:rsidRPr="00627B03">
        <w:rPr>
          <w:rFonts w:ascii="Verdana" w:eastAsia="Calibri" w:hAnsi="Verdana" w:cs="Arial"/>
          <w:bCs/>
          <w:lang w:val="es-ES_tradnl"/>
        </w:rPr>
        <w:t>Para negociar de manera adecuada, es necesario conocer la estructura de los posibles contratistas, pues permite identificar la forma en la que suplirá los requerimientos de la entidad. El análisis del sector debe tener en cuenta el objeto del proceso de contratación, las condiciones del bien o servicio y las ventajas que representa para la Administración contratar el bien o servicio con el contratista. En este último punto, el análisis del sector permite sustentar la decisión de realizar un proceso de contratación desde el punto de vista de la eficiencia, eficacia y economía.</w:t>
      </w:r>
    </w:p>
    <w:p w14:paraId="5A567ACC" w14:textId="77777777" w:rsidR="00C63ADB" w:rsidRPr="00627B03" w:rsidRDefault="00C63ADB" w:rsidP="00C63ADB">
      <w:pPr>
        <w:spacing w:after="120" w:line="276" w:lineRule="auto"/>
        <w:ind w:firstLine="709"/>
        <w:jc w:val="both"/>
        <w:rPr>
          <w:rFonts w:ascii="Verdana" w:eastAsia="Calibri" w:hAnsi="Verdana" w:cs="Arial"/>
          <w:bCs/>
          <w:lang w:val="es-ES_tradnl"/>
        </w:rPr>
      </w:pPr>
      <w:r w:rsidRPr="00627B03">
        <w:rPr>
          <w:rFonts w:ascii="Verdana" w:eastAsia="Calibri" w:hAnsi="Verdana" w:cs="Arial"/>
          <w:bCs/>
          <w:lang w:val="es-ES_tradnl"/>
        </w:rPr>
        <w:t xml:space="preserve">Dicho análisis facilita tanto el conocimiento del sector, desde una perspectiva multidisciplinaria, como de los proveedores disponibles en el mercado para satisfacer la necesidad de la entidad contratante. </w:t>
      </w:r>
      <w:r>
        <w:rPr>
          <w:rFonts w:ascii="Verdana" w:eastAsia="Calibri" w:hAnsi="Verdana" w:cs="Arial"/>
          <w:bCs/>
          <w:lang w:val="es-ES_tradnl"/>
        </w:rPr>
        <w:t>E</w:t>
      </w:r>
      <w:r w:rsidRPr="00627B03">
        <w:rPr>
          <w:rFonts w:ascii="Verdana" w:eastAsia="Calibri" w:hAnsi="Verdana" w:cs="Arial"/>
          <w:bCs/>
          <w:lang w:val="es-ES_tradnl"/>
        </w:rPr>
        <w:t>l análisis del sector implica un estudio de la oferta, lo que permitirá identificar qué proveedores existen en el mercado y cómo intervienen en la cadena de producción, comercialización y distribución de los bienes, obras o servicios. As</w:t>
      </w:r>
      <w:r>
        <w:rPr>
          <w:rFonts w:ascii="Verdana" w:eastAsia="Calibri" w:hAnsi="Verdana" w:cs="Arial"/>
          <w:bCs/>
          <w:lang w:val="es-ES_tradnl"/>
        </w:rPr>
        <w:t>i</w:t>
      </w:r>
      <w:r w:rsidRPr="00627B03">
        <w:rPr>
          <w:rFonts w:ascii="Verdana" w:eastAsia="Calibri" w:hAnsi="Verdana" w:cs="Arial"/>
          <w:bCs/>
          <w:lang w:val="es-ES_tradnl"/>
        </w:rPr>
        <w:t xml:space="preserve">mismo, podrá estudiar la demanda para determinar cómo las entidades estatales y los particulares adquieren esos bienes, obras o servicios para extraer las mejores prácticas e información para el proceso de contratación. </w:t>
      </w:r>
    </w:p>
    <w:bookmarkEnd w:id="5"/>
    <w:p w14:paraId="42B1C118" w14:textId="77777777" w:rsidR="00C63ADB" w:rsidRPr="00627B03" w:rsidRDefault="00C63ADB" w:rsidP="00C63ADB">
      <w:pPr>
        <w:spacing w:after="120" w:line="276" w:lineRule="auto"/>
        <w:ind w:firstLine="709"/>
        <w:jc w:val="both"/>
        <w:rPr>
          <w:rFonts w:ascii="Verdana" w:eastAsia="Calibri" w:hAnsi="Verdana" w:cs="Arial"/>
          <w:lang w:val="es-ES"/>
        </w:rPr>
      </w:pPr>
      <w:r w:rsidRPr="0403E054">
        <w:rPr>
          <w:rFonts w:ascii="Verdana" w:eastAsia="Calibri" w:hAnsi="Verdana" w:cs="Arial"/>
          <w:lang w:val="es-ES"/>
        </w:rPr>
        <w:lastRenderedPageBreak/>
        <w:t>Colombia Compra Eficiente dispone de una “Guía para la Elaboración de Estudios del Sector”</w:t>
      </w:r>
      <w:r w:rsidRPr="0403E054">
        <w:rPr>
          <w:rStyle w:val="Refdenotaalpie"/>
          <w:rFonts w:ascii="Verdana" w:eastAsia="Calibri" w:hAnsi="Verdana" w:cs="Arial"/>
          <w:lang w:val="es-ES"/>
        </w:rPr>
        <w:footnoteReference w:id="14"/>
      </w:r>
      <w:r w:rsidRPr="0403E054">
        <w:rPr>
          <w:rFonts w:ascii="Verdana" w:eastAsia="Calibri" w:hAnsi="Verdana" w:cs="Arial"/>
          <w:lang w:val="es-ES"/>
        </w:rPr>
        <w:t>, instrumento que sirve de apoyo para entender el mercado del bien, obra o servicio que la entidad estatal pretende adquirir para diseñar el proceso de contratación con la información necesaria para alcanzar los objetivos de eficacia, eficiencia, economía, promoción de la competencia y manejo del riesgo. En dicho instrumento, se recomienda que un análisis integral sobre varios aspectos del mercado –económico, técnico, regulatorio, etc.–, lo cual permitirá que la entidad delimite con precisión qué bienes y servicios existen, cuáles son las condiciones de su comercialización, cómo es la oferta y la demanda y cuáles son los factores que inciden en el valor del contrato, tales como el análisis de precios, las cargas tributarias, la tasa de cambio, las garantías, los gastos de transporte, etc.</w:t>
      </w:r>
    </w:p>
    <w:p w14:paraId="38499F85" w14:textId="77777777" w:rsidR="00C63ADB" w:rsidRDefault="00C63ADB" w:rsidP="00C63ADB">
      <w:pPr>
        <w:spacing w:after="120" w:line="276" w:lineRule="auto"/>
        <w:ind w:firstLine="708"/>
        <w:jc w:val="both"/>
        <w:rPr>
          <w:rFonts w:ascii="Verdana" w:eastAsia="Calibri" w:hAnsi="Verdana" w:cs="Arial"/>
          <w:lang w:val="es-ES"/>
        </w:rPr>
      </w:pPr>
      <w:r w:rsidRPr="7B4F50DD">
        <w:rPr>
          <w:rFonts w:ascii="Verdana" w:eastAsia="Calibri" w:hAnsi="Verdana" w:cs="Arial"/>
          <w:lang w:val="es-ES"/>
        </w:rPr>
        <w:t>Si bien los estudios del sector son de gran relevancia en los procesos de contratación donde existe pluralidad de oferentes, nada obsta para que se elaboren allí donde no existiría competencia. Para estos efectos, la guía mencionada en el precedente explica que “</w:t>
      </w:r>
      <w:r>
        <w:rPr>
          <w:rFonts w:ascii="Verdana" w:eastAsia="Calibri" w:hAnsi="Verdana" w:cs="Arial"/>
          <w:lang w:val="es-ES"/>
        </w:rPr>
        <w:t>e</w:t>
      </w:r>
      <w:r w:rsidRPr="7B4F50DD">
        <w:rPr>
          <w:rFonts w:ascii="Verdana" w:eastAsia="Calibri" w:hAnsi="Verdana" w:cs="Arial"/>
          <w:lang w:val="es-ES"/>
        </w:rPr>
        <w:t xml:space="preserve">n la contratación directa, el estudio del sector debe tener en cuenta el objeto del Proceso de Contratación, particularmente las condiciones del contrato, como los plazos y formas de entrega y de pago. El estudio del sector debe permitir a la Entidad Estatal sustentar su decisión de hacer una contratación directa, la elección del proveedor y la forma en que se pacta el contrato desde el punto de vista de la eficiencia, eficacia y economía. La Entidad Estatal debe consignar en los Documentos del Proceso, bien sea en los estudios previos o en la información de soporte de </w:t>
      </w:r>
      <w:proofErr w:type="gramStart"/>
      <w:r w:rsidRPr="7B4F50DD">
        <w:rPr>
          <w:rFonts w:ascii="Verdana" w:eastAsia="Calibri" w:hAnsi="Verdana" w:cs="Arial"/>
          <w:lang w:val="es-ES"/>
        </w:rPr>
        <w:t>los mismos</w:t>
      </w:r>
      <w:proofErr w:type="gramEnd"/>
      <w:r w:rsidRPr="7B4F50DD">
        <w:rPr>
          <w:rFonts w:ascii="Verdana" w:eastAsia="Calibri" w:hAnsi="Verdana" w:cs="Arial"/>
          <w:lang w:val="es-ES"/>
        </w:rPr>
        <w:t xml:space="preserve">, los aspectos de que trata el artículo 2.2.1.1.1.6.1 del Decreto 1082 de 2015 </w:t>
      </w:r>
      <w:r>
        <w:rPr>
          <w:rFonts w:ascii="Verdana" w:eastAsia="Calibri" w:hAnsi="Verdana" w:cs="Arial"/>
          <w:lang w:val="es-ES"/>
        </w:rPr>
        <w:t>(…)</w:t>
      </w:r>
      <w:r w:rsidRPr="7B4F50DD">
        <w:rPr>
          <w:rFonts w:ascii="Verdana" w:eastAsia="Calibri" w:hAnsi="Verdana" w:cs="Arial"/>
          <w:lang w:val="es-ES"/>
        </w:rPr>
        <w:t xml:space="preserve">”. </w:t>
      </w:r>
    </w:p>
    <w:p w14:paraId="7B797712" w14:textId="77777777" w:rsidR="00C63ADB" w:rsidRDefault="00C63ADB" w:rsidP="00C63ADB">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 xml:space="preserve">Precisado lo anterior, corresponde examinar el régimen de los riesgos en la contratación estatal y su ámbito de aplicación. Con la expedición de la Ley 1150 de 2007 se propendió porque, durante la planeación de los procesos de contratación, las entidades estatales estimaran de forma anticipada las posibles eventualidades que puedan generarse durante la ejecución del contrato. Así, el artículo 4 de dicha ley obliga a las entidades estatales a estimar, tipificar y asignar los riesgos previsibles involucrados en la contratación dentro de los pliegos de condiciones o sus equivalentes, y a señalar, en las licitaciones </w:t>
      </w:r>
      <w:r>
        <w:rPr>
          <w:rFonts w:ascii="Verdana" w:eastAsia="Times New Roman" w:hAnsi="Verdana" w:cs="Times New Roman"/>
        </w:rPr>
        <w:lastRenderedPageBreak/>
        <w:t>públicas, el momento en el que, con anterioridad a la presentación de las ofertas, los oferentes y la entidad revisarán la asignación de riesgos con el fin de establecer su distribución definitiva. Por su parte, el numeral 6 del artículo 2.2.1.1.2.1.1 del Decreto 1082 de 2015 reiteró esta obligación al exigir que los estudios y documentos previos contengan el análisis de riesgo y la forma de mitigarlo. En el mismo sentido, los documentos CONPES 3107 y 3714 de 2011 fijaron lineamientos sobre la política de manejo del riesgo contractual y sobre el entendimiento del concepto de riesgo previsible en el marco de los procesos de selección sometidos al Estatuto General de Contratación de la Administración Pública.</w:t>
      </w:r>
    </w:p>
    <w:p w14:paraId="7DD9F1DC" w14:textId="77777777" w:rsidR="00C63ADB" w:rsidRDefault="00C63ADB" w:rsidP="00C63ADB">
      <w:pPr>
        <w:spacing w:after="120" w:line="276" w:lineRule="auto"/>
        <w:ind w:firstLine="708"/>
        <w:jc w:val="both"/>
        <w:rPr>
          <w:rFonts w:ascii="Verdana" w:eastAsia="Times New Roman" w:hAnsi="Verdana" w:cs="Times New Roman"/>
        </w:rPr>
      </w:pPr>
      <w:r>
        <w:rPr>
          <w:rFonts w:ascii="Verdana" w:eastAsia="Times New Roman" w:hAnsi="Verdana" w:cs="Times New Roman"/>
        </w:rPr>
        <w:t>De la lectura de estas disposiciones se advierte que ellas integran el régimen del EGCAP: el artículo 4 de la Ley 1150 de 2007 se refiere a los pliegos de condiciones o sus equivalentes de los procesos de selección regidos por dicho estatuto, y el artículo 2.2.1.1.2.1.1 del Decreto 1082 de 2015 regula los estudios y documentos previos exigidos para las modalidades de selección allí reguladas. En consecuencia, su exigibilidad, como tal, se predica de los procesos sometidos al EGCAP.</w:t>
      </w:r>
    </w:p>
    <w:p w14:paraId="2D207CBC" w14:textId="77777777" w:rsidR="00C63ADB" w:rsidRPr="00C22134" w:rsidRDefault="00C63ADB" w:rsidP="00C63ADB">
      <w:pPr>
        <w:spacing w:after="120" w:line="276" w:lineRule="auto"/>
        <w:ind w:firstLine="567"/>
        <w:jc w:val="both"/>
        <w:rPr>
          <w:rFonts w:ascii="Verdana" w:eastAsia="Calibri" w:hAnsi="Verdana" w:cs="Arial"/>
          <w:lang w:val="es-ES"/>
        </w:rPr>
      </w:pPr>
      <w:r>
        <w:rPr>
          <w:rFonts w:ascii="Verdana" w:eastAsia="Times New Roman" w:hAnsi="Verdana" w:cs="Times New Roman"/>
        </w:rPr>
        <w:t xml:space="preserve">Finalmente, en relación con el interrogante que versa sobre “(…) </w:t>
      </w:r>
      <w:r w:rsidRPr="004E70F9">
        <w:rPr>
          <w:rFonts w:ascii="Verdana" w:hAnsi="Verdana" w:cs="Arial"/>
          <w:lang w:val="es-ES_tradnl" w:eastAsia="es-ES_tradnl"/>
        </w:rPr>
        <w:t>En este caso, no es necesario que la Entidad Estatal haya obtenido previamente varias ofertas, de lo cual el ordenador del gasto debe dejar constancia escrita</w:t>
      </w:r>
      <w:r w:rsidRPr="00AA2871">
        <w:rPr>
          <w:rFonts w:ascii="Verdana" w:hAnsi="Verdana" w:cs="Arial"/>
          <w:lang w:val="es-ES_tradnl" w:eastAsia="es-ES_tradnl"/>
        </w:rPr>
        <w:t>”</w:t>
      </w:r>
      <w:r w:rsidRPr="00AA2871">
        <w:rPr>
          <w:rStyle w:val="Refdenotaalpie"/>
          <w:rFonts w:ascii="Verdana" w:hAnsi="Verdana" w:cs="Arial"/>
          <w:lang w:val="es-ES_tradnl" w:eastAsia="es-ES_tradnl"/>
        </w:rPr>
        <w:footnoteReference w:id="15"/>
      </w:r>
      <w:r w:rsidRPr="00AA2871">
        <w:rPr>
          <w:rFonts w:ascii="Verdana" w:hAnsi="Verdana" w:cs="Arial"/>
          <w:lang w:val="es-ES_tradnl" w:eastAsia="es-ES_tradnl"/>
        </w:rPr>
        <w:t>, se advierte que la estructura del precepto es la de una dispensa condicionada. Releva a la entidad de obtener varias ofertas, pero a cambio le impone dos cargas expresas: verificar la idoneidad o la experiencia, y dejar constancia escrita de que no se obtuvieron varias ofertas. Leer solo la primera parte de la frase conduce al error de suponer que la causal opera sin soporte documental; leerla completa muestra que el reglamento sustituyó la comparación por la trazabilidad. Por eso la ausencia de pluralidad no es una zona exenta de control, sino un supuesto en el que el control se desplaza de la comparación de ofertas a la verificación del perfil y a la motivación de la escogencia.</w:t>
      </w:r>
    </w:p>
    <w:p w14:paraId="525DFCDB" w14:textId="77777777" w:rsidR="00C63ADB" w:rsidRPr="00C22134" w:rsidRDefault="00C63ADB" w:rsidP="00C63ADB">
      <w:pPr>
        <w:spacing w:after="120" w:line="276" w:lineRule="auto"/>
        <w:ind w:firstLine="567"/>
        <w:jc w:val="both"/>
        <w:rPr>
          <w:rFonts w:ascii="Verdana" w:eastAsia="Calibri" w:hAnsi="Verdana" w:cs="Arial"/>
          <w:lang w:val="es-ES"/>
        </w:rPr>
      </w:pPr>
      <w:r w:rsidRPr="00AA2871">
        <w:rPr>
          <w:rFonts w:ascii="Verdana" w:hAnsi="Verdana" w:cs="Arial"/>
          <w:lang w:val="es-ES_tradnl" w:eastAsia="es-ES_tradnl"/>
        </w:rPr>
        <w:t xml:space="preserve">Ese desplazamiento explica por qué subsiste el deber de selección objetiva. El artículo 5 de la Ley 1150 de 2007 no está circunscrito a las modalidades competitivas: ordena que la selección se haga con arreglo a criterios objetivos, </w:t>
      </w:r>
      <w:r w:rsidRPr="00AA2871">
        <w:rPr>
          <w:rFonts w:ascii="Verdana" w:hAnsi="Verdana" w:cs="Arial"/>
          <w:lang w:val="es-ES_tradnl" w:eastAsia="es-ES_tradnl"/>
        </w:rPr>
        <w:lastRenderedPageBreak/>
        <w:t>lo que en esta causal se traduce en que la escogencia debe fundarse en la aptitud acreditada de quien se contrata frente al perfil definido en los estudios previos</w:t>
      </w:r>
      <w:r w:rsidRPr="004E70F9">
        <w:rPr>
          <w:rStyle w:val="Refdenotaalpie"/>
          <w:rFonts w:ascii="Verdana" w:hAnsi="Verdana"/>
        </w:rPr>
        <w:footnoteReference w:id="16"/>
      </w:r>
      <w:r w:rsidRPr="00AA2871">
        <w:rPr>
          <w:rFonts w:ascii="Verdana" w:hAnsi="Verdana" w:cs="Arial"/>
          <w:lang w:val="es-ES_tradnl" w:eastAsia="es-ES_tradnl"/>
        </w:rPr>
        <w:t>.</w:t>
      </w:r>
    </w:p>
    <w:p w14:paraId="7ABA3F1D" w14:textId="77777777" w:rsidR="00C63ADB" w:rsidRPr="000B037E" w:rsidRDefault="00C63ADB" w:rsidP="00C63ADB">
      <w:pPr>
        <w:spacing w:after="120" w:line="276" w:lineRule="auto"/>
        <w:ind w:firstLine="567"/>
        <w:jc w:val="both"/>
        <w:rPr>
          <w:rFonts w:ascii="Verdana" w:eastAsia="Calibri" w:hAnsi="Verdana" w:cs="Arial"/>
          <w:lang w:val="es-ES"/>
        </w:rPr>
      </w:pPr>
      <w:r w:rsidRPr="00AA2871">
        <w:rPr>
          <w:rFonts w:ascii="Verdana" w:hAnsi="Verdana" w:cs="Arial"/>
          <w:lang w:val="es-ES_tradnl" w:eastAsia="es-ES_tradnl"/>
        </w:rPr>
        <w:t>La verificación de la idoneidad merece una precisión adicional. Esta Subdirección ha señalado que la idoneidad “hace referencia a la condición o cualidad que debe acreditar una persona […] a fin de verificar si cuenta con la capacidad para ejecutar el objeto del contrato”, y que se trata de “un requisito plasmado en un concepto jurídicamente indeterminado que es necesario dotar de contenido en cada caso concreto”. De esa caracterización se siguen dos consecuencias prácticas: que el contenido del requisito lo fija la entidad al definir el perfil en los estudios previos —de modo que la verificación es un contraste entre ese perfil y lo acreditado—, y que la carga de verificar recae en la entidad, sin que baste el aporte de la hoja de vida por el interesado</w:t>
      </w:r>
      <w:r w:rsidRPr="004E70F9">
        <w:rPr>
          <w:rStyle w:val="Refdenotaalpie"/>
          <w:rFonts w:ascii="Verdana" w:hAnsi="Verdana"/>
        </w:rPr>
        <w:footnoteReference w:id="17"/>
      </w:r>
      <w:r w:rsidRPr="00AA2871">
        <w:rPr>
          <w:rFonts w:ascii="Verdana" w:hAnsi="Verdana" w:cs="Arial"/>
          <w:lang w:val="es-ES_tradnl" w:eastAsia="es-ES_tradnl"/>
        </w:rPr>
        <w:t>.</w:t>
      </w:r>
    </w:p>
    <w:p w14:paraId="56142868" w14:textId="77777777" w:rsidR="00C63ADB" w:rsidRDefault="00C63ADB" w:rsidP="00C63ADB">
      <w:pPr>
        <w:spacing w:after="120" w:line="276" w:lineRule="auto"/>
        <w:ind w:firstLine="708"/>
        <w:jc w:val="both"/>
        <w:rPr>
          <w:rFonts w:ascii="Verdana" w:eastAsia="Times New Roman" w:hAnsi="Verdana" w:cs="Arial"/>
          <w:color w:val="000000" w:themeColor="text1"/>
          <w:lang w:eastAsia="es-CO"/>
        </w:rPr>
      </w:pPr>
      <w:r w:rsidRPr="00462654">
        <w:rPr>
          <w:rFonts w:ascii="Verdana" w:hAnsi="Verdana" w:cs="Arial"/>
          <w:lang w:val="es-ES_tradnl" w:eastAsia="es-ES"/>
        </w:rPr>
        <w:t>A</w:t>
      </w:r>
      <w:r>
        <w:rPr>
          <w:rFonts w:ascii="Verdana" w:hAnsi="Verdana" w:cs="Arial"/>
          <w:lang w:val="es-ES_tradnl" w:eastAsia="es-ES"/>
        </w:rPr>
        <w:t xml:space="preserve">l </w:t>
      </w:r>
      <w:r w:rsidRPr="00462654">
        <w:rPr>
          <w:rFonts w:ascii="Verdana" w:hAnsi="Verdana" w:cs="Arial"/>
          <w:lang w:val="es-ES_tradnl" w:eastAsia="es-ES"/>
        </w:rPr>
        <w:t xml:space="preserve">margen de la explicación precedente debe advertirse que el análisis requerido para resolver problemas específicos en torno </w:t>
      </w:r>
      <w:r>
        <w:rPr>
          <w:rFonts w:ascii="Verdana" w:hAnsi="Verdana" w:cs="Arial"/>
          <w:lang w:val="es-ES_tradnl" w:eastAsia="es-ES"/>
        </w:rPr>
        <w:t>a la gestión contractual de las entidades públicas</w:t>
      </w:r>
      <w:r w:rsidRPr="00462654">
        <w:rPr>
          <w:rFonts w:ascii="Verdana" w:hAnsi="Verdana" w:cs="Arial"/>
          <w:lang w:val="es-ES_tradnl" w:eastAsia="es-ES"/>
        </w:rPr>
        <w:t xml:space="preserve"> debe ser realizado por quienes tengan interés en ello, de acuerdo con lo explicado la aclaración preliminar del presente oficio</w:t>
      </w:r>
      <w:r>
        <w:rPr>
          <w:rFonts w:ascii="Verdana" w:hAnsi="Verdana" w:cs="Arial"/>
          <w:lang w:val="es-ES_tradnl" w:eastAsia="es-ES"/>
        </w:rPr>
        <w:t xml:space="preserve">. </w:t>
      </w:r>
      <w:r w:rsidRPr="00462654">
        <w:rPr>
          <w:rFonts w:ascii="Verdana" w:hAnsi="Verdana" w:cs="Arial"/>
          <w:lang w:val="es-ES_tradnl" w:eastAsia="es-ES"/>
        </w:rPr>
        <w:t>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5E5EF4C5" w14:textId="77777777" w:rsidR="00C63ADB" w:rsidRPr="00B97C74" w:rsidRDefault="00C63ADB" w:rsidP="00C63ADB">
      <w:pPr>
        <w:spacing w:before="120" w:after="0" w:line="276" w:lineRule="auto"/>
        <w:ind w:firstLine="708"/>
        <w:jc w:val="both"/>
        <w:rPr>
          <w:rFonts w:ascii="Verdana" w:eastAsia="Times New Roman" w:hAnsi="Verdana" w:cs="Arial"/>
          <w:color w:val="000000" w:themeColor="text1"/>
          <w:lang w:eastAsia="es-CO"/>
        </w:rPr>
      </w:pPr>
      <w:r w:rsidRPr="002835E7">
        <w:rPr>
          <w:rFonts w:ascii="Verdana" w:hAnsi="Verdana" w:cs="Arial"/>
          <w:lang w:val="es-ES" w:eastAsia="es-ES"/>
        </w:rPr>
        <w:t>Dentro de este marco, la entidad contratante definirá en cada caso concreto lo relacionado con el tema objeto de consulta</w:t>
      </w:r>
      <w:r w:rsidRPr="07C9AC1B">
        <w:rPr>
          <w:rFonts w:ascii="Verdana" w:hAnsi="Verdana" w:cs="Arial"/>
          <w:lang w:val="es-ES" w:eastAsia="es-ES"/>
        </w:rPr>
        <w:t>.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7BE12558" w14:textId="77777777" w:rsidR="00C63ADB" w:rsidRPr="006C3FB2" w:rsidRDefault="00C63ADB" w:rsidP="00C63ADB">
      <w:pPr>
        <w:spacing w:after="0" w:line="276" w:lineRule="auto"/>
        <w:ind w:firstLine="709"/>
        <w:jc w:val="both"/>
        <w:rPr>
          <w:rFonts w:ascii="Verdana" w:hAnsi="Verdana" w:cs="Arial"/>
          <w:lang w:val="es-ES" w:eastAsia="es-ES"/>
        </w:rPr>
      </w:pPr>
    </w:p>
    <w:p w14:paraId="0762A3DF" w14:textId="77777777" w:rsidR="00C63ADB" w:rsidRDefault="00C63ADB" w:rsidP="00C63ADB">
      <w:pPr>
        <w:spacing w:after="0" w:line="276" w:lineRule="auto"/>
        <w:jc w:val="both"/>
        <w:rPr>
          <w:rFonts w:ascii="Verdana" w:eastAsia="Century Gothic" w:hAnsi="Verdana" w:cs="Century Gothic"/>
          <w:b/>
          <w:bCs/>
        </w:rPr>
      </w:pPr>
      <w:bookmarkStart w:id="6" w:name="_Hlk204854194"/>
      <w:r w:rsidRPr="00237877">
        <w:rPr>
          <w:rFonts w:ascii="Verdana" w:hAnsi="Verdana" w:cs="Arial"/>
          <w:b/>
          <w:color w:val="000000" w:themeColor="text1"/>
        </w:rPr>
        <w:t>4.</w:t>
      </w:r>
      <w:r>
        <w:rPr>
          <w:rFonts w:ascii="Verdana" w:hAnsi="Verdana" w:cs="Arial"/>
          <w:bCs/>
          <w:color w:val="000000" w:themeColor="text1"/>
        </w:rPr>
        <w:t xml:space="preserve"> </w:t>
      </w:r>
      <w:r w:rsidRPr="005644FE">
        <w:rPr>
          <w:rFonts w:ascii="Verdana" w:eastAsia="Century Gothic" w:hAnsi="Verdana" w:cs="Century Gothic"/>
          <w:b/>
          <w:bCs/>
        </w:rPr>
        <w:t>Referencias normativas</w:t>
      </w:r>
      <w:r>
        <w:rPr>
          <w:rFonts w:ascii="Verdana" w:eastAsia="Century Gothic" w:hAnsi="Verdana" w:cs="Century Gothic"/>
          <w:b/>
          <w:bCs/>
        </w:rPr>
        <w:t xml:space="preserve"> y jurisprudenciales</w:t>
      </w:r>
      <w:r w:rsidRPr="005644FE">
        <w:rPr>
          <w:rFonts w:ascii="Verdana" w:eastAsia="Century Gothic" w:hAnsi="Verdana" w:cs="Century Gothic"/>
          <w:b/>
          <w:bCs/>
        </w:rPr>
        <w:t>:</w:t>
      </w:r>
      <w:bookmarkEnd w:id="6"/>
    </w:p>
    <w:p w14:paraId="6E356213" w14:textId="77777777" w:rsidR="00C63ADB" w:rsidRPr="000B6E79" w:rsidRDefault="00C63ADB" w:rsidP="00C63ADB">
      <w:pPr>
        <w:spacing w:after="0" w:line="276" w:lineRule="auto"/>
        <w:jc w:val="both"/>
        <w:rPr>
          <w:rFonts w:ascii="Verdana" w:hAnsi="Verdana" w:cs="Arial"/>
          <w:bCs/>
          <w:color w:val="000000" w:themeColor="text1"/>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C63ADB" w:rsidRPr="002D2C18" w14:paraId="54AE3E77" w14:textId="77777777" w:rsidTr="002E0FA8">
        <w:trPr>
          <w:trHeight w:val="56"/>
          <w:jc w:val="center"/>
        </w:trPr>
        <w:tc>
          <w:tcPr>
            <w:tcW w:w="8647" w:type="dxa"/>
          </w:tcPr>
          <w:p w14:paraId="1100585C" w14:textId="77777777" w:rsidR="00C63ADB" w:rsidRDefault="00C63ADB" w:rsidP="00C63ADB">
            <w:pPr>
              <w:pStyle w:val="Prrafodelista"/>
              <w:numPr>
                <w:ilvl w:val="0"/>
                <w:numId w:val="2"/>
              </w:numPr>
              <w:spacing w:line="276" w:lineRule="auto"/>
              <w:ind w:left="714" w:hanging="357"/>
              <w:jc w:val="both"/>
              <w:rPr>
                <w:rFonts w:ascii="Verdana" w:hAnsi="Verdana" w:cs="Arial"/>
                <w:lang w:eastAsia="es-ES"/>
              </w:rPr>
            </w:pPr>
            <w:r w:rsidRPr="00C30D6B">
              <w:rPr>
                <w:rFonts w:ascii="Verdana" w:hAnsi="Verdana" w:cs="Arial"/>
                <w:lang w:eastAsia="es-ES"/>
              </w:rPr>
              <w:t>Código Civil. Artículo 2063.</w:t>
            </w:r>
          </w:p>
          <w:p w14:paraId="554A72CC" w14:textId="77777777" w:rsidR="00C63ADB" w:rsidRPr="00C30D6B" w:rsidRDefault="00C63ADB" w:rsidP="00C63ADB">
            <w:pPr>
              <w:pStyle w:val="Prrafodelista"/>
              <w:numPr>
                <w:ilvl w:val="0"/>
                <w:numId w:val="2"/>
              </w:numPr>
              <w:spacing w:line="276" w:lineRule="auto"/>
              <w:ind w:left="714" w:hanging="357"/>
              <w:jc w:val="both"/>
              <w:rPr>
                <w:rFonts w:ascii="Verdana" w:hAnsi="Verdana" w:cs="Arial"/>
                <w:lang w:eastAsia="es-ES"/>
              </w:rPr>
            </w:pPr>
            <w:r w:rsidRPr="00C30D6B">
              <w:rPr>
                <w:rFonts w:ascii="Verdana" w:hAnsi="Verdana" w:cs="Arial"/>
                <w:lang w:eastAsia="es-ES"/>
              </w:rPr>
              <w:t>Ley 1150 de 2007. Artículo 2 numeral 4 literal h)</w:t>
            </w:r>
            <w:r>
              <w:rPr>
                <w:rFonts w:ascii="Verdana" w:hAnsi="Verdana" w:cs="Arial"/>
                <w:lang w:eastAsia="es-ES"/>
              </w:rPr>
              <w:t>, 7</w:t>
            </w:r>
            <w:r w:rsidRPr="00C30D6B">
              <w:rPr>
                <w:rFonts w:ascii="Verdana" w:hAnsi="Verdana" w:cs="Arial"/>
                <w:lang w:eastAsia="es-ES"/>
              </w:rPr>
              <w:t xml:space="preserve">. </w:t>
            </w:r>
          </w:p>
          <w:p w14:paraId="2422F0DA" w14:textId="77777777" w:rsidR="00C63ADB" w:rsidRPr="00C30D6B" w:rsidRDefault="00C63ADB" w:rsidP="00C63ADB">
            <w:pPr>
              <w:pStyle w:val="Prrafodelista"/>
              <w:numPr>
                <w:ilvl w:val="0"/>
                <w:numId w:val="2"/>
              </w:numPr>
              <w:spacing w:line="276" w:lineRule="auto"/>
              <w:ind w:left="714" w:hanging="357"/>
              <w:jc w:val="both"/>
              <w:rPr>
                <w:rFonts w:ascii="Verdana" w:hAnsi="Verdana" w:cs="Arial"/>
                <w:lang w:eastAsia="es-ES"/>
              </w:rPr>
            </w:pPr>
            <w:r w:rsidRPr="00C30D6B">
              <w:rPr>
                <w:rFonts w:ascii="Verdana" w:hAnsi="Verdana" w:cs="Arial"/>
                <w:lang w:eastAsia="es-ES"/>
              </w:rPr>
              <w:t>Decreto Ley 150 del 1976. Artículo 138.</w:t>
            </w:r>
          </w:p>
          <w:p w14:paraId="6B7E8E85" w14:textId="77777777" w:rsidR="00C63ADB" w:rsidRPr="00C30D6B" w:rsidRDefault="00C63ADB" w:rsidP="00C63ADB">
            <w:pPr>
              <w:pStyle w:val="Prrafodelista"/>
              <w:numPr>
                <w:ilvl w:val="0"/>
                <w:numId w:val="2"/>
              </w:numPr>
              <w:spacing w:line="276" w:lineRule="auto"/>
              <w:ind w:left="714" w:hanging="357"/>
              <w:jc w:val="both"/>
              <w:rPr>
                <w:rFonts w:ascii="Verdana" w:hAnsi="Verdana" w:cs="Arial"/>
                <w:lang w:eastAsia="es-ES"/>
              </w:rPr>
            </w:pPr>
            <w:r w:rsidRPr="00C30D6B">
              <w:rPr>
                <w:rFonts w:ascii="Verdana" w:hAnsi="Verdana" w:cs="Arial"/>
                <w:lang w:eastAsia="es-ES"/>
              </w:rPr>
              <w:t>Ley 80 de 1993. Artículos 13, 24, 25, 32, 40.</w:t>
            </w:r>
          </w:p>
          <w:p w14:paraId="712E6E6A" w14:textId="77777777" w:rsidR="00C63ADB" w:rsidRPr="00C30D6B" w:rsidRDefault="00C63ADB" w:rsidP="00C63ADB">
            <w:pPr>
              <w:pStyle w:val="Prrafodelista"/>
              <w:numPr>
                <w:ilvl w:val="0"/>
                <w:numId w:val="2"/>
              </w:numPr>
              <w:spacing w:line="276" w:lineRule="auto"/>
              <w:ind w:left="714" w:hanging="357"/>
              <w:jc w:val="both"/>
              <w:rPr>
                <w:rFonts w:ascii="Verdana" w:hAnsi="Verdana" w:cs="Arial"/>
                <w:lang w:eastAsia="es-ES"/>
              </w:rPr>
            </w:pPr>
            <w:r w:rsidRPr="00C30D6B">
              <w:rPr>
                <w:rFonts w:ascii="Verdana" w:hAnsi="Verdana" w:cs="Arial"/>
                <w:lang w:eastAsia="es-ES"/>
              </w:rPr>
              <w:t>Decreto 1</w:t>
            </w:r>
            <w:r>
              <w:rPr>
                <w:rFonts w:ascii="Verdana" w:hAnsi="Verdana" w:cs="Arial"/>
                <w:lang w:eastAsia="es-ES"/>
              </w:rPr>
              <w:t>0</w:t>
            </w:r>
            <w:r w:rsidRPr="00C30D6B">
              <w:rPr>
                <w:rFonts w:ascii="Verdana" w:hAnsi="Verdana" w:cs="Arial"/>
                <w:lang w:eastAsia="es-ES"/>
              </w:rPr>
              <w:t>82 de 2015. Artículo</w:t>
            </w:r>
            <w:r>
              <w:rPr>
                <w:rFonts w:ascii="Verdana" w:hAnsi="Verdana" w:cs="Arial"/>
                <w:lang w:eastAsia="es-ES"/>
              </w:rPr>
              <w:t>s</w:t>
            </w:r>
            <w:r w:rsidRPr="00C30D6B">
              <w:rPr>
                <w:rFonts w:ascii="Verdana" w:hAnsi="Verdana" w:cs="Arial"/>
                <w:lang w:eastAsia="es-ES"/>
              </w:rPr>
              <w:t xml:space="preserve"> </w:t>
            </w:r>
            <w:r w:rsidRPr="000B037E">
              <w:rPr>
                <w:rFonts w:ascii="Verdana" w:hAnsi="Verdana" w:cs="Arial"/>
                <w:lang w:eastAsia="es-ES"/>
              </w:rPr>
              <w:t>2.2.1.1.2.1.1</w:t>
            </w:r>
            <w:r>
              <w:rPr>
                <w:rFonts w:ascii="Verdana" w:hAnsi="Verdana" w:cs="Arial"/>
                <w:lang w:eastAsia="es-ES"/>
              </w:rPr>
              <w:t xml:space="preserve">, </w:t>
            </w:r>
            <w:r w:rsidRPr="7B4F50DD">
              <w:rPr>
                <w:rFonts w:ascii="Verdana" w:eastAsia="Calibri" w:hAnsi="Verdana" w:cs="Arial"/>
              </w:rPr>
              <w:t>2.2.1.1.1.6</w:t>
            </w:r>
            <w:r>
              <w:rPr>
                <w:rFonts w:ascii="Verdana" w:eastAsia="Calibri" w:hAnsi="Verdana" w:cs="Arial"/>
              </w:rPr>
              <w:t>, 2</w:t>
            </w:r>
            <w:r w:rsidRPr="00CA6FDA">
              <w:rPr>
                <w:rFonts w:ascii="Verdana" w:hAnsi="Verdana" w:cs="Arial"/>
                <w:color w:val="000000" w:themeColor="text1"/>
              </w:rPr>
              <w:t>.2.1.2.3.1.1 a 2.2.1.2.3.1.19</w:t>
            </w:r>
            <w:r>
              <w:rPr>
                <w:rFonts w:ascii="Verdana" w:hAnsi="Verdana" w:cs="Arial"/>
                <w:color w:val="000000" w:themeColor="text1"/>
              </w:rPr>
              <w:t xml:space="preserve">, </w:t>
            </w:r>
            <w:r w:rsidRPr="00DA2A6A">
              <w:rPr>
                <w:rFonts w:ascii="Verdana" w:eastAsia="Times New Roman" w:hAnsi="Verdana" w:cs="Arial"/>
                <w:color w:val="000000" w:themeColor="text1"/>
                <w:lang w:eastAsia="es-CO"/>
              </w:rPr>
              <w:t>2.2.1.2.1.4.5</w:t>
            </w:r>
            <w:r>
              <w:rPr>
                <w:rFonts w:ascii="Verdana" w:eastAsia="Times New Roman" w:hAnsi="Verdana" w:cs="Arial"/>
                <w:color w:val="000000" w:themeColor="text1"/>
                <w:lang w:eastAsia="es-CO"/>
              </w:rPr>
              <w:t xml:space="preserve"> </w:t>
            </w:r>
          </w:p>
          <w:p w14:paraId="1D4EBA24" w14:textId="77777777" w:rsidR="00C63ADB" w:rsidRDefault="00C63ADB" w:rsidP="00C63ADB">
            <w:pPr>
              <w:pStyle w:val="Prrafodelista"/>
              <w:numPr>
                <w:ilvl w:val="0"/>
                <w:numId w:val="2"/>
              </w:numPr>
              <w:spacing w:line="276" w:lineRule="auto"/>
              <w:ind w:left="714" w:hanging="357"/>
              <w:jc w:val="both"/>
              <w:rPr>
                <w:rFonts w:ascii="Verdana" w:hAnsi="Verdana" w:cs="Arial"/>
                <w:lang w:eastAsia="es-ES"/>
              </w:rPr>
            </w:pPr>
            <w:r w:rsidRPr="00C30D6B">
              <w:rPr>
                <w:rFonts w:ascii="Verdana" w:hAnsi="Verdana" w:cs="Arial"/>
                <w:lang w:eastAsia="es-ES"/>
              </w:rPr>
              <w:t xml:space="preserve">Consejo de Estado. Sala de lo Contencioso Administrativo. Sección Tercera. Subsección B. Sentencia del 31 de agosto de 2011. </w:t>
            </w:r>
            <w:proofErr w:type="spellStart"/>
            <w:r w:rsidRPr="00C30D6B">
              <w:rPr>
                <w:rFonts w:ascii="Verdana" w:hAnsi="Verdana" w:cs="Arial"/>
                <w:lang w:eastAsia="es-ES"/>
              </w:rPr>
              <w:t>Exp</w:t>
            </w:r>
            <w:proofErr w:type="spellEnd"/>
            <w:r w:rsidRPr="00C30D6B">
              <w:rPr>
                <w:rFonts w:ascii="Verdana" w:hAnsi="Verdana" w:cs="Arial"/>
                <w:lang w:eastAsia="es-ES"/>
              </w:rPr>
              <w:t>. 18.080. C.P. Ruth Stella Correa Palacio</w:t>
            </w:r>
            <w:r>
              <w:rPr>
                <w:rFonts w:ascii="Verdana" w:hAnsi="Verdana" w:cs="Arial"/>
                <w:lang w:eastAsia="es-ES"/>
              </w:rPr>
              <w:t>.</w:t>
            </w:r>
          </w:p>
          <w:p w14:paraId="7047C4A0" w14:textId="77777777" w:rsidR="00C63ADB" w:rsidRDefault="00C63ADB" w:rsidP="00C63ADB">
            <w:pPr>
              <w:pStyle w:val="Prrafodelista"/>
              <w:numPr>
                <w:ilvl w:val="0"/>
                <w:numId w:val="2"/>
              </w:numPr>
              <w:spacing w:line="276" w:lineRule="auto"/>
              <w:ind w:left="714" w:hanging="357"/>
              <w:jc w:val="both"/>
              <w:rPr>
                <w:rFonts w:ascii="Verdana" w:hAnsi="Verdana" w:cs="Arial"/>
                <w:lang w:eastAsia="es-ES"/>
              </w:rPr>
            </w:pPr>
            <w:r w:rsidRPr="00C30D6B">
              <w:rPr>
                <w:rFonts w:ascii="Verdana" w:hAnsi="Verdana" w:cs="Arial"/>
                <w:lang w:eastAsia="es-ES"/>
              </w:rPr>
              <w:t>DEIK ACOSTAMADIEDO, Carolina, Guía de Contratación Estatal: Deber de planeación y modalidades de selección, Buenos Aires, 2015.</w:t>
            </w:r>
          </w:p>
          <w:p w14:paraId="0C4F2E42" w14:textId="77777777" w:rsidR="00C63ADB" w:rsidRPr="00A66543" w:rsidRDefault="00C63ADB" w:rsidP="00C63ADB">
            <w:pPr>
              <w:pStyle w:val="Prrafodelista"/>
              <w:numPr>
                <w:ilvl w:val="0"/>
                <w:numId w:val="2"/>
              </w:numPr>
              <w:spacing w:line="276" w:lineRule="auto"/>
              <w:jc w:val="both"/>
              <w:rPr>
                <w:rFonts w:ascii="Verdana" w:hAnsi="Verdana" w:cs="Arial"/>
                <w:lang w:eastAsia="es-ES"/>
              </w:rPr>
            </w:pPr>
            <w:r>
              <w:rPr>
                <w:rFonts w:ascii="Verdana" w:hAnsi="Verdana" w:cs="Arial"/>
                <w:lang w:eastAsia="es-ES"/>
              </w:rPr>
              <w:t xml:space="preserve">Guía para la elaboración de estudios del sector. </w:t>
            </w:r>
            <w:r w:rsidRPr="00AA2871">
              <w:rPr>
                <w:rFonts w:ascii="Verdana" w:hAnsi="Verdana" w:cs="Arial"/>
                <w:lang w:eastAsia="es-ES"/>
              </w:rPr>
              <w:t xml:space="preserve">Se puede consultar en </w:t>
            </w:r>
            <w:hyperlink r:id="rId11" w:history="1">
              <w:r w:rsidRPr="004E70F9">
                <w:rPr>
                  <w:rStyle w:val="Hipervnculo"/>
                  <w:rFonts w:ascii="Verdana" w:hAnsi="Verdana"/>
                </w:rPr>
                <w:t>https://www.colombiacompra.gov.co/archivos/manual/guia-para-la-elaboracion-de-estudios-del-sector</w:t>
              </w:r>
            </w:hyperlink>
          </w:p>
        </w:tc>
      </w:tr>
    </w:tbl>
    <w:p w14:paraId="3B9F46AE" w14:textId="77777777" w:rsidR="00C63ADB" w:rsidRPr="004A0413" w:rsidRDefault="00C63ADB" w:rsidP="00C63ADB">
      <w:pPr>
        <w:tabs>
          <w:tab w:val="left" w:pos="142"/>
          <w:tab w:val="left" w:pos="284"/>
          <w:tab w:val="left" w:pos="3828"/>
        </w:tabs>
        <w:spacing w:after="0" w:line="276" w:lineRule="auto"/>
        <w:jc w:val="both"/>
        <w:rPr>
          <w:rFonts w:ascii="Verdana" w:eastAsia="Century Gothic" w:hAnsi="Verdana" w:cs="Century Gothic"/>
          <w:b/>
          <w:bCs/>
        </w:rPr>
      </w:pPr>
    </w:p>
    <w:p w14:paraId="686746D1" w14:textId="77777777" w:rsidR="00C63ADB" w:rsidRPr="004A0413" w:rsidRDefault="00C63ADB" w:rsidP="00C63ADB">
      <w:pPr>
        <w:tabs>
          <w:tab w:val="left" w:pos="142"/>
          <w:tab w:val="left" w:pos="284"/>
          <w:tab w:val="left" w:pos="3828"/>
        </w:tabs>
        <w:spacing w:after="0" w:line="276" w:lineRule="auto"/>
        <w:jc w:val="both"/>
        <w:rPr>
          <w:rFonts w:ascii="Verdana" w:eastAsia="Century Gothic" w:hAnsi="Verdana" w:cs="Century Gothic"/>
          <w:b/>
          <w:bCs/>
        </w:rPr>
      </w:pPr>
      <w:r w:rsidRPr="004A0413">
        <w:rPr>
          <w:rFonts w:ascii="Verdana" w:eastAsia="Century Gothic" w:hAnsi="Verdana" w:cs="Century Gothic"/>
          <w:b/>
          <w:bCs/>
        </w:rPr>
        <w:t>5. Doctrina de la Agencia Nacional de Contratación Pública:</w:t>
      </w:r>
    </w:p>
    <w:p w14:paraId="5D14B650" w14:textId="77777777" w:rsidR="00C63ADB" w:rsidRPr="004A0413" w:rsidRDefault="00C63ADB" w:rsidP="00C63ADB">
      <w:pPr>
        <w:widowControl w:val="0"/>
        <w:autoSpaceDE w:val="0"/>
        <w:autoSpaceDN w:val="0"/>
        <w:spacing w:after="0" w:line="276" w:lineRule="auto"/>
        <w:jc w:val="both"/>
        <w:rPr>
          <w:rStyle w:val="normaltextrun"/>
          <w:rFonts w:ascii="Verdana" w:hAnsi="Verdana" w:cs="Arial"/>
          <w:shd w:val="clear" w:color="auto" w:fill="FFFFFF"/>
          <w:lang w:val="es-ES"/>
        </w:rPr>
      </w:pPr>
    </w:p>
    <w:p w14:paraId="7EA2F499" w14:textId="77777777" w:rsidR="00C63ADB" w:rsidRPr="00FE3C84" w:rsidRDefault="00C63ADB" w:rsidP="00C63ADB">
      <w:pPr>
        <w:widowControl w:val="0"/>
        <w:autoSpaceDE w:val="0"/>
        <w:autoSpaceDN w:val="0"/>
        <w:spacing w:after="0" w:line="276" w:lineRule="auto"/>
        <w:jc w:val="both"/>
        <w:rPr>
          <w:rStyle w:val="normaltextrun"/>
          <w:rFonts w:ascii="Verdana" w:hAnsi="Verdana"/>
          <w:color w:val="FF0000"/>
          <w:shd w:val="clear" w:color="auto" w:fill="FFFFFF"/>
          <w:lang w:val="es-ES"/>
        </w:rPr>
      </w:pPr>
      <w:r w:rsidRPr="004A0413">
        <w:rPr>
          <w:rStyle w:val="normaltextrun"/>
          <w:rFonts w:ascii="Verdana" w:hAnsi="Verdana" w:cs="Arial"/>
          <w:shd w:val="clear" w:color="auto" w:fill="FFFFFF"/>
          <w:lang w:val="es-ES"/>
        </w:rPr>
        <w:t xml:space="preserve">Esta Subdirección se ha pronunciado sobre </w:t>
      </w:r>
      <w:r w:rsidRPr="0035481C">
        <w:rPr>
          <w:rStyle w:val="normaltextrun"/>
          <w:rFonts w:ascii="Verdana" w:hAnsi="Verdana" w:cs="Arial"/>
          <w:shd w:val="clear" w:color="auto" w:fill="FFFFFF"/>
          <w:lang w:val="es-ES"/>
        </w:rPr>
        <w:t xml:space="preserve">los estudios previos en los conceptos con radicado 4201913000004536 del 17 julio de 2019, 4201913000006540  del 21 de octubre de 019, C−023 del 13 de febrero de 2020, C−086 del 16 de marzo de 2020, C−101 del 16 de marzo de 2020, C−157 del 16 de marzo de 2020, C−220 del 13 de abril de 2020, C−227 del 07 de abril del 2020, C-593 del 09 de octubre 2020, C-637 del 28 de octubre de 2020, C−680 del 18 de noviembre del 2020, C−681 del 19 de noviembre de 2020, C–691 del 27 de noviembre de 2020, C-077 del 16 de marzo de 2021, C-173 del 19 de abril de 2021, C-771 de 29 de diciembre de 2022, C-046 del 14 de abril de 2023, C-155 del 19 de julio de 2024, </w:t>
      </w:r>
      <w:r>
        <w:rPr>
          <w:rStyle w:val="normaltextrun"/>
          <w:rFonts w:ascii="Verdana" w:hAnsi="Verdana" w:cs="Arial"/>
          <w:shd w:val="clear" w:color="auto" w:fill="FFFFFF"/>
          <w:lang w:val="es-ES"/>
        </w:rPr>
        <w:t xml:space="preserve">C-1825 del 29 de diciembre de 2025, C-151 del 12 de marzo de 2026, C-958 del 24 de julio de 2026 y C-1208 del 9 de septiembre de 2026, </w:t>
      </w:r>
      <w:r w:rsidRPr="0035481C">
        <w:rPr>
          <w:rStyle w:val="normaltextrun"/>
          <w:rFonts w:ascii="Verdana" w:hAnsi="Verdana" w:cs="Arial"/>
          <w:shd w:val="clear" w:color="auto" w:fill="FFFFFF"/>
          <w:lang w:val="es-ES"/>
        </w:rPr>
        <w:t xml:space="preserve">entre otros. </w:t>
      </w:r>
      <w:r>
        <w:rPr>
          <w:rStyle w:val="normaltextrun"/>
          <w:rFonts w:ascii="Verdana" w:hAnsi="Verdana" w:cs="Arial"/>
          <w:shd w:val="clear" w:color="auto" w:fill="FFFFFF"/>
          <w:lang w:val="es-ES"/>
        </w:rPr>
        <w:t>Es</w:t>
      </w:r>
      <w:r>
        <w:rPr>
          <w:rFonts w:ascii="Verdana" w:hAnsi="Verdana"/>
        </w:rPr>
        <w:t>tos y otros conceptos se encuentran disponibles para consulta en el Sistema de relatoría de la Agencia, al cual se puede acceder a través del siguiente enlace:</w:t>
      </w:r>
      <w:r>
        <w:rPr>
          <w:rStyle w:val="normaltextrun"/>
          <w:rFonts w:ascii="Verdana" w:hAnsi="Verdana" w:cs="Arial"/>
          <w:shd w:val="clear" w:color="auto" w:fill="FFFFFF"/>
          <w:lang w:val="es-ES"/>
        </w:rPr>
        <w:t xml:space="preserve"> </w:t>
      </w:r>
      <w:hyperlink r:id="rId12" w:history="1">
        <w:r w:rsidRPr="00AA2871">
          <w:rPr>
            <w:rStyle w:val="Hipervnculo"/>
            <w:rFonts w:ascii="Verdana" w:hAnsi="Verdana" w:cs="Arial"/>
            <w:shd w:val="clear" w:color="auto" w:fill="FFFFFF"/>
            <w:lang w:val="es-ES"/>
          </w:rPr>
          <w:t>https://relatoria.colombiacompra.gov.co/busqueda/conceptos</w:t>
        </w:r>
      </w:hyperlink>
      <w:r w:rsidRPr="00AA2871">
        <w:rPr>
          <w:rStyle w:val="normaltextrun"/>
          <w:rFonts w:ascii="Verdana" w:hAnsi="Verdana" w:cs="Arial"/>
          <w:color w:val="FF0000"/>
          <w:shd w:val="clear" w:color="auto" w:fill="FFFFFF"/>
          <w:lang w:val="es-ES"/>
        </w:rPr>
        <w:t xml:space="preserve">. </w:t>
      </w:r>
    </w:p>
    <w:p w14:paraId="4C8E941B" w14:textId="77777777" w:rsidR="00C63ADB" w:rsidRPr="004A0413" w:rsidRDefault="00C63ADB" w:rsidP="00C63ADB">
      <w:pPr>
        <w:widowControl w:val="0"/>
        <w:autoSpaceDE w:val="0"/>
        <w:autoSpaceDN w:val="0"/>
        <w:spacing w:after="0" w:line="276" w:lineRule="auto"/>
        <w:jc w:val="both"/>
        <w:rPr>
          <w:rFonts w:ascii="Verdana" w:hAnsi="Verdana"/>
          <w:lang w:val="es-ES"/>
        </w:rPr>
      </w:pPr>
    </w:p>
    <w:p w14:paraId="14D4B9D6" w14:textId="77777777" w:rsidR="00C63ADB" w:rsidRPr="003C43BC" w:rsidRDefault="00C63ADB" w:rsidP="00C63ADB">
      <w:pPr>
        <w:spacing w:after="0" w:line="276" w:lineRule="auto"/>
        <w:ind w:left="3"/>
        <w:jc w:val="both"/>
        <w:rPr>
          <w:rFonts w:ascii="Verdana" w:eastAsia="Calibri" w:hAnsi="Verdana" w:cs="Arial"/>
          <w:b/>
          <w:bCs/>
          <w:color w:val="000000" w:themeColor="text1"/>
          <w:lang w:val="es-ES" w:eastAsia="es-ES"/>
        </w:rPr>
      </w:pPr>
      <w:r w:rsidRPr="00AD2822">
        <w:rPr>
          <w:rFonts w:ascii="Verdana" w:hAnsi="Verdana"/>
        </w:rPr>
        <w:lastRenderedPageBreak/>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AD2822">
        <w:rPr>
          <w:rFonts w:ascii="Verdana" w:hAnsi="Verdana"/>
          <w:b/>
        </w:rPr>
        <w:t>Guía para la Exigencia y Constitución de Garantías en los Procesos de Contratación</w:t>
      </w:r>
      <w:r w:rsidRPr="00AD2822">
        <w:rPr>
          <w:rFonts w:ascii="Verdana" w:hAnsi="Verdana"/>
        </w:rPr>
        <w:t xml:space="preserve">,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w:t>
      </w:r>
      <w:r w:rsidRPr="00AA2871">
        <w:rPr>
          <w:rFonts w:ascii="Verdana" w:hAnsi="Verdana"/>
        </w:rPr>
        <w:t>Consúltala aquí: </w:t>
      </w:r>
      <w:hyperlink r:id="rId13" w:tgtFrame="_blank" w:tooltip="Original URL: https://www.colombiacompra.gov.co/archivos/manual/guia-de-garantias-en-procesos-de-contratacion. Click or tap if you trust this link." w:history="1">
        <w:r w:rsidRPr="00AA2871">
          <w:rPr>
            <w:rStyle w:val="Hipervnculo"/>
            <w:rFonts w:ascii="Verdana" w:hAnsi="Verdana"/>
          </w:rPr>
          <w:t>https://www.colombiacompra.gov.co/archivos/manual/guia-de-garantias-en-procesos-de-contratacion</w:t>
        </w:r>
      </w:hyperlink>
    </w:p>
    <w:p w14:paraId="3FE9FB0B" w14:textId="77777777" w:rsidR="00C63ADB" w:rsidRPr="00AD2822" w:rsidRDefault="00C63ADB" w:rsidP="00C63ADB">
      <w:pPr>
        <w:spacing w:after="0" w:line="276" w:lineRule="auto"/>
        <w:jc w:val="both"/>
        <w:rPr>
          <w:rFonts w:ascii="Verdana" w:hAnsi="Verdana"/>
        </w:rPr>
      </w:pPr>
    </w:p>
    <w:p w14:paraId="0E50A699" w14:textId="77777777" w:rsidR="00C63ADB" w:rsidRPr="00AD2822" w:rsidRDefault="00C63ADB" w:rsidP="00C63ADB">
      <w:pPr>
        <w:spacing w:after="0" w:line="276" w:lineRule="auto"/>
        <w:jc w:val="both"/>
        <w:rPr>
          <w:rFonts w:ascii="Verdana" w:hAnsi="Verdana"/>
        </w:rPr>
      </w:pPr>
      <w:r w:rsidRPr="00AD2822">
        <w:rPr>
          <w:rFonts w:ascii="Verdana" w:hAnsi="Verdana"/>
        </w:rPr>
        <w:t>De otro lado, te contamos que el Decreto 287 del 19 de marzo de 2026 sustituyó los artículos 2.2.1.2.4.2.6., 2.2.1.2.4.2.7. y 2.2.1.2.4.2.8. del Decreto 1082 de 2015 y estructuró el </w:t>
      </w:r>
      <w:r w:rsidRPr="00AD2822">
        <w:rPr>
          <w:rFonts w:ascii="Verdana" w:hAnsi="Verdana"/>
          <w:b/>
        </w:rPr>
        <w:t>Sistema Integral de Preferencias en favor de las personas con discapacidad</w:t>
      </w:r>
      <w:r w:rsidRPr="00AD2822">
        <w:rPr>
          <w:rFonts w:ascii="Verdana" w:hAnsi="Verdana"/>
        </w:rPr>
        <w:t>, en cumplimiento del artículo 13 de la Ley Estatutaria 1618 de 2013. Para orientar su aplicación, esta Agencia expidió la </w:t>
      </w:r>
      <w:r w:rsidRPr="00AD2822">
        <w:rPr>
          <w:rFonts w:ascii="Verdana" w:hAnsi="Verdana"/>
          <w:b/>
        </w:rPr>
        <w:t>Circular Externa 003 del 12 de mayo de 2026, </w:t>
      </w:r>
      <w:r w:rsidRPr="00AD2822">
        <w:rPr>
          <w:rFonts w:ascii="Verdana" w:hAnsi="Verdana"/>
        </w:rPr>
        <w:t xml:space="preserve">en la que precisa quiénes son los beneficiarios, las cinco medidas que integran el sistema y su obligatoriedad según la modalidad de selección, y el régimen de transición aplicable a los procesos en curso. </w:t>
      </w:r>
      <w:r w:rsidRPr="00AA2871">
        <w:rPr>
          <w:rFonts w:ascii="Verdana" w:hAnsi="Verdana"/>
        </w:rPr>
        <w:t>Consúltala aquí: </w:t>
      </w:r>
      <w:hyperlink r:id="rId14" w:tgtFrame="_blank" w:tooltip="Original URL: https://www.colombiacompra.gov.co/archivos/circular/circular-externa-003-de-2026. Click or tap if you trust this link." w:history="1">
        <w:r w:rsidRPr="00AA2871">
          <w:rPr>
            <w:rStyle w:val="Hipervnculo"/>
            <w:rFonts w:ascii="Verdana" w:hAnsi="Verdana"/>
          </w:rPr>
          <w:t>https://www.colombiacompra.gov.co/archivos/circular/circular-externa-003-de-2026</w:t>
        </w:r>
      </w:hyperlink>
    </w:p>
    <w:p w14:paraId="4713E7A4" w14:textId="77777777" w:rsidR="00C63ADB" w:rsidRDefault="00C63ADB" w:rsidP="00C63ADB">
      <w:pPr>
        <w:spacing w:after="0" w:line="276" w:lineRule="auto"/>
        <w:jc w:val="both"/>
        <w:rPr>
          <w:rFonts w:ascii="Verdana" w:hAnsi="Verdana"/>
          <w:lang w:val="es-ES"/>
        </w:rPr>
      </w:pPr>
    </w:p>
    <w:p w14:paraId="61AA50EC" w14:textId="77777777" w:rsidR="00C63ADB" w:rsidRPr="00AD2822" w:rsidRDefault="00C63ADB" w:rsidP="00C63ADB">
      <w:pPr>
        <w:spacing w:after="0" w:line="276" w:lineRule="auto"/>
        <w:jc w:val="both"/>
        <w:rPr>
          <w:rFonts w:ascii="Verdana" w:hAnsi="Verdana"/>
        </w:rPr>
      </w:pPr>
      <w:r w:rsidRPr="00AD2822">
        <w:rPr>
          <w:rFonts w:ascii="Verdana" w:hAnsi="Verdana"/>
        </w:rPr>
        <w:t>Recuerda también que la</w:t>
      </w:r>
      <w:r w:rsidRPr="00AD2822">
        <w:rPr>
          <w:rFonts w:ascii="Verdana" w:hAnsi="Verdana"/>
          <w:b/>
        </w:rPr>
        <w:t> información sobre sanciones e inhabilidades </w:t>
      </w:r>
      <w:r w:rsidRPr="00AD2822">
        <w:rPr>
          <w:rFonts w:ascii="Verdana" w:hAnsi="Verdana"/>
        </w:rPr>
        <w:t>solo cumple su función preventiva si llega oportunamente a los registros públicos. Sobre este deber, esta Agencia expidió la </w:t>
      </w:r>
      <w:r w:rsidRPr="00AD2822">
        <w:rPr>
          <w:rFonts w:ascii="Verdana" w:hAnsi="Verdana"/>
          <w:b/>
        </w:rPr>
        <w:t>Circular Externa 002 del 5 de mayo de 2026,</w:t>
      </w:r>
      <w:r w:rsidRPr="00AD2822">
        <w:rPr>
          <w:rFonts w:ascii="Verdana" w:hAnsi="Verdana"/>
        </w:rPr>
        <w:t xml:space="preserve">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w:t>
      </w:r>
      <w:r w:rsidRPr="00AA2871">
        <w:rPr>
          <w:rFonts w:ascii="Verdana" w:hAnsi="Verdana"/>
        </w:rPr>
        <w:t>Consúltala aquí: </w:t>
      </w:r>
      <w:hyperlink r:id="rId15" w:tgtFrame="_blank" w:tooltip="Original URL: https://www.colombiacompra.gov.co/archivos/circular/circular-externa-002-de-2026. Click or tap if you trust this link." w:history="1">
        <w:r w:rsidRPr="00AA2871">
          <w:rPr>
            <w:rStyle w:val="Hipervnculo"/>
            <w:rFonts w:ascii="Verdana" w:hAnsi="Verdana"/>
          </w:rPr>
          <w:t>https://www.colombiacompra.gov.co/archivos/circular/circular-externa-002-de-2026</w:t>
        </w:r>
      </w:hyperlink>
    </w:p>
    <w:p w14:paraId="5DEF5F79" w14:textId="77777777" w:rsidR="00C63ADB" w:rsidRPr="00AD2822" w:rsidRDefault="00C63ADB" w:rsidP="00C63ADB">
      <w:pPr>
        <w:spacing w:after="0" w:line="276" w:lineRule="auto"/>
        <w:jc w:val="both"/>
        <w:rPr>
          <w:rFonts w:ascii="Verdana" w:hAnsi="Verdana"/>
        </w:rPr>
      </w:pPr>
    </w:p>
    <w:p w14:paraId="432E9AD2" w14:textId="77777777" w:rsidR="00C63ADB" w:rsidRPr="00AD2822" w:rsidRDefault="00C63ADB" w:rsidP="00C63ADB">
      <w:pPr>
        <w:spacing w:after="0" w:line="276" w:lineRule="auto"/>
        <w:jc w:val="both"/>
        <w:rPr>
          <w:rFonts w:ascii="Verdana" w:hAnsi="Verdana"/>
        </w:rPr>
      </w:pPr>
      <w:r w:rsidRPr="00AD2822">
        <w:rPr>
          <w:rFonts w:ascii="Verdana" w:hAnsi="Verdana"/>
        </w:rPr>
        <w:lastRenderedPageBreak/>
        <w:t>Finalmente, si quieres seguir de cerca la actividad de la Agencia, la tercera edición de 2026 del</w:t>
      </w:r>
      <w:r w:rsidRPr="00AD2822">
        <w:rPr>
          <w:rFonts w:ascii="Verdana" w:hAnsi="Verdana"/>
          <w:b/>
        </w:rPr>
        <w:t> Radar de la Compra Pública</w:t>
      </w:r>
      <w:r w:rsidRPr="00AD2822">
        <w:rPr>
          <w:rFonts w:ascii="Verdana" w:hAnsi="Verdana"/>
        </w:rPr>
        <w:t xml:space="preserve"> reúne, entre otros contenidos, la Circular Externa 003 de 2026, el Decreto 552 de 2026, un estudio sobre inteligencia artificial en la compra pública, los avances de la Relatoría, análisis jurisprudencial, conceptos jurídicos destacados y la oferta de la Escuela Virtual ANCP-CCE. </w:t>
      </w:r>
      <w:r w:rsidRPr="00AA2871">
        <w:rPr>
          <w:rFonts w:ascii="Verdana" w:hAnsi="Verdana"/>
        </w:rPr>
        <w:t>Descárgalo aquí: </w:t>
      </w:r>
      <w:hyperlink r:id="rId16" w:tgtFrame="_blank" w:tooltip="Original URL: https://www.colombiacompra.gov.co/archivos/boletin/boletin-edicion-n-3-de-2026-radar-de-la-compra-publica. Click or tap if you trust this link." w:history="1">
        <w:r w:rsidRPr="00AA2871">
          <w:rPr>
            <w:rStyle w:val="Hipervnculo"/>
            <w:rFonts w:ascii="Verdana" w:hAnsi="Verdana"/>
          </w:rPr>
          <w:t>https://www.colombiacompra.gov.co/archivos/boletin/boletin-edicion-n-3-de-2026-radar-de-la-compra-publica</w:t>
        </w:r>
      </w:hyperlink>
      <w:r w:rsidRPr="00AA2871">
        <w:rPr>
          <w:rFonts w:ascii="Verdana" w:hAnsi="Verdana"/>
        </w:rPr>
        <w:t>"</w:t>
      </w:r>
    </w:p>
    <w:p w14:paraId="6DF63969" w14:textId="77777777" w:rsidR="00C63ADB" w:rsidRDefault="00C63ADB" w:rsidP="00C63ADB">
      <w:pPr>
        <w:spacing w:after="0" w:line="276" w:lineRule="auto"/>
        <w:jc w:val="both"/>
        <w:rPr>
          <w:rFonts w:ascii="Verdana" w:hAnsi="Verdana"/>
          <w:lang w:val="es-ES"/>
        </w:rPr>
      </w:pPr>
    </w:p>
    <w:p w14:paraId="1A056A28" w14:textId="77777777" w:rsidR="00C63ADB" w:rsidRPr="00A220B2" w:rsidRDefault="00C63ADB" w:rsidP="00C63ADB">
      <w:pPr>
        <w:spacing w:after="0" w:line="276" w:lineRule="auto"/>
        <w:jc w:val="both"/>
        <w:rPr>
          <w:rFonts w:ascii="Verdana" w:hAnsi="Verdana"/>
          <w:lang w:val="es-ES"/>
        </w:rPr>
      </w:pPr>
      <w:r w:rsidRPr="00A220B2">
        <w:rPr>
          <w:rFonts w:ascii="Verdana" w:hAnsi="Verdana"/>
          <w:lang w:val="es-ES"/>
        </w:rPr>
        <w:t xml:space="preserve">Por último, lo invitamos a seguirnos en las redes sociales en las cuales se difunde información institucional: </w:t>
      </w:r>
    </w:p>
    <w:p w14:paraId="5CC6417E" w14:textId="77777777" w:rsidR="00C63ADB" w:rsidRPr="00A220B2" w:rsidRDefault="00C63ADB" w:rsidP="00C63ADB">
      <w:pPr>
        <w:spacing w:after="0" w:line="276" w:lineRule="auto"/>
        <w:jc w:val="both"/>
        <w:rPr>
          <w:rFonts w:ascii="Verdana" w:hAnsi="Verdana"/>
          <w:lang w:val="es-ES"/>
        </w:rPr>
      </w:pPr>
    </w:p>
    <w:p w14:paraId="3CCB6B1F" w14:textId="77777777" w:rsidR="00C63ADB" w:rsidRPr="00A220B2" w:rsidRDefault="00C63ADB" w:rsidP="00C63ADB">
      <w:pPr>
        <w:spacing w:after="0" w:line="276" w:lineRule="auto"/>
        <w:jc w:val="both"/>
        <w:rPr>
          <w:rFonts w:ascii="Verdana" w:hAnsi="Verdana"/>
          <w:lang w:val="es-ES"/>
        </w:rPr>
      </w:pPr>
      <w:r w:rsidRPr="00A220B2">
        <w:rPr>
          <w:rFonts w:ascii="Verdana" w:hAnsi="Verdana"/>
          <w:lang w:val="es-ES"/>
        </w:rPr>
        <w:t xml:space="preserve">Twitter: </w:t>
      </w:r>
      <w:r w:rsidRPr="00A220B2">
        <w:rPr>
          <w:rStyle w:val="Hipervnculo"/>
          <w:rFonts w:ascii="Verdana" w:hAnsi="Verdana" w:cs="Arial"/>
          <w:shd w:val="clear" w:color="auto" w:fill="FFFFFF"/>
          <w:lang w:val="es-ES"/>
        </w:rPr>
        <w:t>@colombiacompra</w:t>
      </w:r>
      <w:r w:rsidRPr="00A220B2">
        <w:rPr>
          <w:rFonts w:ascii="Verdana" w:hAnsi="Verdana"/>
          <w:color w:val="156082" w:themeColor="accent1"/>
          <w:lang w:val="es-ES"/>
        </w:rPr>
        <w:t xml:space="preserve"> </w:t>
      </w:r>
    </w:p>
    <w:p w14:paraId="62D950C3" w14:textId="77777777" w:rsidR="00C63ADB" w:rsidRPr="00A220B2" w:rsidRDefault="00C63ADB" w:rsidP="00C63ADB">
      <w:pPr>
        <w:spacing w:after="0" w:line="276" w:lineRule="auto"/>
        <w:jc w:val="both"/>
        <w:rPr>
          <w:rFonts w:ascii="Verdana" w:hAnsi="Verdana"/>
          <w:lang w:val="es-ES"/>
        </w:rPr>
      </w:pPr>
      <w:r w:rsidRPr="00A220B2">
        <w:rPr>
          <w:rFonts w:ascii="Verdana" w:hAnsi="Verdana"/>
          <w:lang w:val="es-ES"/>
        </w:rPr>
        <w:t xml:space="preserve">Facebook: </w:t>
      </w:r>
      <w:proofErr w:type="spellStart"/>
      <w:r w:rsidRPr="00A220B2">
        <w:rPr>
          <w:rStyle w:val="Hipervnculo"/>
          <w:rFonts w:ascii="Verdana" w:hAnsi="Verdana" w:cs="Arial"/>
          <w:shd w:val="clear" w:color="auto" w:fill="FFFFFF"/>
          <w:lang w:val="es-ES"/>
        </w:rPr>
        <w:t>ColombiaCompraEficiente</w:t>
      </w:r>
      <w:proofErr w:type="spellEnd"/>
    </w:p>
    <w:p w14:paraId="45FC3423" w14:textId="77777777" w:rsidR="00C63ADB" w:rsidRPr="00A220B2" w:rsidRDefault="00C63ADB" w:rsidP="00C63ADB">
      <w:pPr>
        <w:spacing w:after="0" w:line="276" w:lineRule="auto"/>
        <w:jc w:val="both"/>
        <w:rPr>
          <w:rFonts w:ascii="Verdana" w:hAnsi="Verdana"/>
          <w:lang w:val="es-ES"/>
        </w:rPr>
      </w:pPr>
      <w:r w:rsidRPr="00A220B2">
        <w:rPr>
          <w:rFonts w:ascii="Verdana" w:hAnsi="Verdana"/>
          <w:lang w:val="es-ES"/>
        </w:rPr>
        <w:t xml:space="preserve">LinkedIn: </w:t>
      </w:r>
      <w:r w:rsidRPr="00A220B2">
        <w:rPr>
          <w:rStyle w:val="Hipervnculo"/>
          <w:rFonts w:ascii="Verdana" w:hAnsi="Verdana" w:cs="Arial"/>
          <w:shd w:val="clear" w:color="auto" w:fill="FFFFFF"/>
          <w:lang w:val="es-ES"/>
        </w:rPr>
        <w:t xml:space="preserve">Agencia Nacional de Contratación Pública - Colombia Compra Eficiente </w:t>
      </w:r>
      <w:r w:rsidRPr="00A220B2">
        <w:rPr>
          <w:rFonts w:ascii="Verdana" w:hAnsi="Verdana"/>
          <w:lang w:val="es-ES"/>
        </w:rPr>
        <w:t xml:space="preserve">Instagram: </w:t>
      </w:r>
      <w:r w:rsidRPr="00A220B2">
        <w:rPr>
          <w:rStyle w:val="Hipervnculo"/>
          <w:rFonts w:ascii="Verdana" w:hAnsi="Verdana" w:cs="Arial"/>
          <w:shd w:val="clear" w:color="auto" w:fill="FFFFFF"/>
          <w:lang w:val="es-ES"/>
        </w:rPr>
        <w:t>@colombiacompraeficiente_cce</w:t>
      </w:r>
    </w:p>
    <w:p w14:paraId="776900BF" w14:textId="77777777" w:rsidR="00C63ADB" w:rsidRPr="00A220B2" w:rsidRDefault="00C63ADB" w:rsidP="00C63ADB">
      <w:pPr>
        <w:widowControl w:val="0"/>
        <w:autoSpaceDE w:val="0"/>
        <w:autoSpaceDN w:val="0"/>
        <w:spacing w:after="0" w:line="276" w:lineRule="auto"/>
        <w:jc w:val="both"/>
        <w:rPr>
          <w:rFonts w:ascii="Verdana" w:hAnsi="Verdana" w:cs="Arial"/>
          <w:color w:val="000000" w:themeColor="text1"/>
          <w:lang w:val="es-ES"/>
        </w:rPr>
      </w:pPr>
    </w:p>
    <w:p w14:paraId="124E9E05" w14:textId="77777777" w:rsidR="00C63ADB" w:rsidRPr="00A220B2" w:rsidRDefault="00C63ADB" w:rsidP="00C63ADB">
      <w:pPr>
        <w:widowControl w:val="0"/>
        <w:autoSpaceDE w:val="0"/>
        <w:autoSpaceDN w:val="0"/>
        <w:spacing w:after="0" w:line="276" w:lineRule="auto"/>
        <w:jc w:val="both"/>
        <w:rPr>
          <w:rFonts w:ascii="Verdana" w:hAnsi="Verdana" w:cs="Arial"/>
          <w:color w:val="000000" w:themeColor="text1"/>
          <w:lang w:val="es-ES"/>
        </w:rPr>
      </w:pPr>
      <w:r w:rsidRPr="00A220B2">
        <w:rPr>
          <w:rFonts w:ascii="Verdana" w:hAnsi="Verdana" w:cs="Arial"/>
          <w:color w:val="000000" w:themeColor="text1"/>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6D10D864" w14:textId="77777777" w:rsidR="00C63ADB" w:rsidRPr="004A0413" w:rsidRDefault="00C63ADB" w:rsidP="00C63ADB">
      <w:pPr>
        <w:spacing w:after="0" w:line="276" w:lineRule="auto"/>
        <w:jc w:val="both"/>
        <w:rPr>
          <w:rFonts w:ascii="Verdana" w:hAnsi="Verdana"/>
          <w:lang w:val="es-MX"/>
        </w:rPr>
      </w:pPr>
    </w:p>
    <w:p w14:paraId="3A4A6578" w14:textId="77777777" w:rsidR="00C63ADB" w:rsidRPr="004A0413" w:rsidRDefault="00C63ADB" w:rsidP="00C63ADB">
      <w:pPr>
        <w:spacing w:after="0" w:line="276" w:lineRule="auto"/>
        <w:jc w:val="both"/>
        <w:rPr>
          <w:rFonts w:ascii="Verdana" w:hAnsi="Verdana"/>
          <w:lang w:val="es-MX"/>
        </w:rPr>
      </w:pPr>
      <w:r w:rsidRPr="004A0413">
        <w:rPr>
          <w:rFonts w:ascii="Verdana" w:hAnsi="Verdana"/>
          <w:lang w:val="es-MX"/>
        </w:rPr>
        <w:t>Cordialmente,</w:t>
      </w:r>
    </w:p>
    <w:p w14:paraId="53239139" w14:textId="77777777" w:rsidR="00C63ADB" w:rsidRDefault="00C63ADB" w:rsidP="00C63ADB">
      <w:pPr>
        <w:spacing w:after="0" w:line="276" w:lineRule="auto"/>
        <w:rPr>
          <w:rFonts w:ascii="Verdana" w:hAnsi="Verdana" w:cs="Arial"/>
          <w:lang w:val="es-ES_tradnl" w:eastAsia="es-CO"/>
        </w:rPr>
      </w:pPr>
    </w:p>
    <w:p w14:paraId="16870F60" w14:textId="55662A64" w:rsidR="00C63ADB" w:rsidRDefault="00724CAD" w:rsidP="00C63ADB">
      <w:pPr>
        <w:spacing w:after="0" w:line="276" w:lineRule="auto"/>
        <w:jc w:val="center"/>
        <w:rPr>
          <w:rFonts w:ascii="Verdana" w:hAnsi="Verdana" w:cs="Arial"/>
          <w:lang w:val="es-ES_tradnl" w:eastAsia="es-CO"/>
        </w:rPr>
      </w:pPr>
      <w:r>
        <w:rPr>
          <w:rFonts w:ascii="Verdana" w:hAnsi="Verdana" w:cs="Arial"/>
          <w:noProof/>
          <w:lang w:val="es-ES_tradnl" w:eastAsia="es-CO"/>
        </w:rPr>
        <w:drawing>
          <wp:inline distT="0" distB="0" distL="0" distR="0" wp14:anchorId="79206648" wp14:editId="47BF9C36">
            <wp:extent cx="2466975" cy="918703"/>
            <wp:effectExtent l="0" t="0" r="0" b="0"/>
            <wp:docPr id="185144120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488969" cy="926893"/>
                    </a:xfrm>
                    <a:prstGeom prst="rect">
                      <a:avLst/>
                    </a:prstGeom>
                    <a:noFill/>
                  </pic:spPr>
                </pic:pic>
              </a:graphicData>
            </a:graphic>
          </wp:inline>
        </w:drawing>
      </w:r>
    </w:p>
    <w:p w14:paraId="56659D48" w14:textId="77777777" w:rsidR="00C63ADB" w:rsidRDefault="00C63ADB" w:rsidP="00C63ADB">
      <w:pPr>
        <w:spacing w:after="0" w:line="276" w:lineRule="auto"/>
        <w:rPr>
          <w:rFonts w:ascii="Verdana" w:hAnsi="Verdana" w:cs="Arial"/>
          <w:lang w:val="es-ES_tradnl" w:eastAsia="es-CO"/>
        </w:rPr>
      </w:pPr>
    </w:p>
    <w:p w14:paraId="33F0904B" w14:textId="77777777" w:rsidR="00C63ADB" w:rsidRPr="004E70F9" w:rsidRDefault="00C63ADB" w:rsidP="00C63ADB">
      <w:pPr>
        <w:spacing w:after="0" w:line="256" w:lineRule="auto"/>
        <w:rPr>
          <w:rFonts w:ascii="Verdana" w:eastAsia="Calibri" w:hAnsi="Verdana" w:cs="Times New Roman"/>
          <w:b/>
          <w:bCs/>
          <w:sz w:val="24"/>
          <w:szCs w:val="24"/>
        </w:rPr>
      </w:pPr>
    </w:p>
    <w:tbl>
      <w:tblPr>
        <w:tblW w:w="6570" w:type="dxa"/>
        <w:tblInd w:w="14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733"/>
        <w:gridCol w:w="5837"/>
      </w:tblGrid>
      <w:tr w:rsidR="00C63ADB" w:rsidRPr="00206556" w14:paraId="618985BD" w14:textId="77777777" w:rsidTr="002E0FA8">
        <w:trPr>
          <w:trHeight w:val="322"/>
        </w:trPr>
        <w:tc>
          <w:tcPr>
            <w:tcW w:w="733" w:type="dxa"/>
            <w:tcBorders>
              <w:top w:val="nil"/>
              <w:left w:val="nil"/>
              <w:bottom w:val="nil"/>
              <w:right w:val="nil"/>
            </w:tcBorders>
            <w:vAlign w:val="center"/>
            <w:hideMark/>
          </w:tcPr>
          <w:p w14:paraId="2EDC6F7A" w14:textId="77777777" w:rsidR="00C63ADB" w:rsidRPr="00206556" w:rsidRDefault="00C63ADB" w:rsidP="002E0FA8">
            <w:pPr>
              <w:spacing w:after="0" w:line="240" w:lineRule="auto"/>
              <w:textAlignment w:val="baseline"/>
              <w:rPr>
                <w:rFonts w:ascii="Verdana" w:eastAsia="Times New Roman" w:hAnsi="Verdana" w:cs="Times New Roman"/>
                <w:sz w:val="16"/>
                <w:szCs w:val="16"/>
                <w:lang w:eastAsia="es-CO"/>
              </w:rPr>
            </w:pPr>
            <w:r w:rsidRPr="00206556">
              <w:rPr>
                <w:rFonts w:ascii="Verdana" w:eastAsia="Times New Roman" w:hAnsi="Verdana" w:cs="Times New Roman"/>
                <w:sz w:val="16"/>
                <w:szCs w:val="16"/>
                <w:lang w:val="es-MX" w:eastAsia="es-CO"/>
              </w:rPr>
              <w:t>Elaboró:         </w:t>
            </w:r>
            <w:r w:rsidRPr="00206556">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59AD7A2E" w14:textId="77777777" w:rsidR="00C63ADB" w:rsidRPr="00206556" w:rsidRDefault="00C63ADB" w:rsidP="002E0FA8">
            <w:pPr>
              <w:spacing w:after="0" w:line="240" w:lineRule="auto"/>
              <w:rPr>
                <w:rFonts w:ascii="Verdana" w:eastAsia="Times New Roman" w:hAnsi="Verdana" w:cs="Arial"/>
                <w:sz w:val="16"/>
                <w:szCs w:val="16"/>
                <w:lang w:val="es-ES_tradnl" w:eastAsia="es-ES"/>
              </w:rPr>
            </w:pPr>
            <w:r>
              <w:rPr>
                <w:rFonts w:ascii="Verdana" w:eastAsia="Times New Roman" w:hAnsi="Verdana" w:cs="Arial"/>
                <w:sz w:val="16"/>
                <w:szCs w:val="16"/>
                <w:lang w:val="es-ES_tradnl" w:eastAsia="es-ES"/>
              </w:rPr>
              <w:t>Natalia Montoya Jiménez</w:t>
            </w:r>
          </w:p>
          <w:p w14:paraId="6F350EE6" w14:textId="77777777" w:rsidR="00C63ADB" w:rsidRPr="004E70F9" w:rsidRDefault="00C63ADB" w:rsidP="002E0FA8">
            <w:pPr>
              <w:autoSpaceDE w:val="0"/>
              <w:autoSpaceDN w:val="0"/>
              <w:adjustRightInd w:val="0"/>
              <w:spacing w:after="0" w:line="240" w:lineRule="auto"/>
              <w:rPr>
                <w:rFonts w:ascii="Verdana" w:eastAsia="Calibri" w:hAnsi="Verdana" w:cs="Arial"/>
                <w:sz w:val="16"/>
                <w:szCs w:val="16"/>
              </w:rPr>
            </w:pPr>
            <w:r w:rsidRPr="00206556">
              <w:rPr>
                <w:rFonts w:ascii="Verdana" w:eastAsia="Times New Roman" w:hAnsi="Verdana" w:cs="Arial"/>
                <w:sz w:val="16"/>
                <w:szCs w:val="16"/>
                <w:lang w:eastAsia="es-ES"/>
              </w:rPr>
              <w:t>Gestor T1-1</w:t>
            </w:r>
            <w:r>
              <w:rPr>
                <w:rFonts w:ascii="Verdana" w:eastAsia="Times New Roman" w:hAnsi="Verdana" w:cs="Arial"/>
                <w:sz w:val="16"/>
                <w:szCs w:val="16"/>
                <w:lang w:eastAsia="es-ES"/>
              </w:rPr>
              <w:t>5</w:t>
            </w:r>
            <w:r w:rsidRPr="00206556">
              <w:rPr>
                <w:rFonts w:ascii="Verdana" w:eastAsia="Times New Roman" w:hAnsi="Verdana" w:cs="Arial"/>
                <w:sz w:val="16"/>
                <w:szCs w:val="16"/>
                <w:lang w:eastAsia="es-ES"/>
              </w:rPr>
              <w:t xml:space="preserve"> de la Subdirección de Gestión Contractual</w:t>
            </w:r>
          </w:p>
        </w:tc>
      </w:tr>
      <w:tr w:rsidR="00C63ADB" w:rsidRPr="00206556" w14:paraId="1DB5D36B" w14:textId="77777777" w:rsidTr="002E0FA8">
        <w:trPr>
          <w:trHeight w:val="322"/>
        </w:trPr>
        <w:tc>
          <w:tcPr>
            <w:tcW w:w="733" w:type="dxa"/>
            <w:tcBorders>
              <w:top w:val="nil"/>
              <w:left w:val="nil"/>
              <w:bottom w:val="nil"/>
              <w:right w:val="nil"/>
            </w:tcBorders>
            <w:vAlign w:val="center"/>
            <w:hideMark/>
          </w:tcPr>
          <w:p w14:paraId="73DC8AFC" w14:textId="77777777" w:rsidR="00C63ADB" w:rsidRPr="00206556" w:rsidRDefault="00C63ADB" w:rsidP="002E0FA8">
            <w:pPr>
              <w:spacing w:after="0" w:line="240" w:lineRule="auto"/>
              <w:textAlignment w:val="baseline"/>
              <w:rPr>
                <w:rFonts w:ascii="Verdana" w:eastAsia="Times New Roman" w:hAnsi="Verdana" w:cs="Times New Roman"/>
                <w:sz w:val="16"/>
                <w:szCs w:val="16"/>
                <w:lang w:eastAsia="es-CO"/>
              </w:rPr>
            </w:pPr>
            <w:r w:rsidRPr="00206556">
              <w:rPr>
                <w:rFonts w:ascii="Verdana" w:eastAsia="Times New Roman" w:hAnsi="Verdana" w:cs="Times New Roman"/>
                <w:sz w:val="16"/>
                <w:szCs w:val="16"/>
                <w:lang w:val="es-MX" w:eastAsia="es-CO"/>
              </w:rPr>
              <w:t>Revisó:</w:t>
            </w:r>
            <w:r w:rsidRPr="00206556">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6ECCD1E4" w14:textId="77777777" w:rsidR="00C63ADB" w:rsidRPr="00206556" w:rsidRDefault="00C63ADB" w:rsidP="002E0FA8">
            <w:pPr>
              <w:spacing w:after="0" w:line="240" w:lineRule="auto"/>
              <w:rPr>
                <w:rFonts w:ascii="Verdana" w:eastAsia="Times New Roman" w:hAnsi="Verdana" w:cs="Arial"/>
                <w:sz w:val="16"/>
                <w:szCs w:val="16"/>
                <w:lang w:val="es-ES_tradnl" w:eastAsia="es-ES"/>
              </w:rPr>
            </w:pPr>
            <w:r>
              <w:rPr>
                <w:rFonts w:ascii="Verdana" w:eastAsia="Times New Roman" w:hAnsi="Verdana" w:cs="Arial"/>
                <w:sz w:val="16"/>
                <w:szCs w:val="16"/>
                <w:lang w:val="es-ES_tradnl" w:eastAsia="es-ES"/>
              </w:rPr>
              <w:t>Diana Lucia Saavedra</w:t>
            </w:r>
          </w:p>
          <w:p w14:paraId="429D0AD8" w14:textId="77777777" w:rsidR="00C63ADB" w:rsidRPr="004E70F9" w:rsidRDefault="00C63ADB" w:rsidP="002E0FA8">
            <w:pPr>
              <w:autoSpaceDE w:val="0"/>
              <w:autoSpaceDN w:val="0"/>
              <w:adjustRightInd w:val="0"/>
              <w:spacing w:after="0" w:line="240" w:lineRule="auto"/>
              <w:rPr>
                <w:rFonts w:ascii="Verdana" w:eastAsia="Calibri" w:hAnsi="Verdana" w:cs="Arial"/>
                <w:sz w:val="16"/>
                <w:szCs w:val="16"/>
              </w:rPr>
            </w:pPr>
            <w:r>
              <w:rPr>
                <w:rFonts w:ascii="Verdana" w:eastAsia="Times New Roman" w:hAnsi="Verdana" w:cs="Arial"/>
                <w:sz w:val="16"/>
                <w:szCs w:val="16"/>
                <w:lang w:eastAsia="es-ES"/>
              </w:rPr>
              <w:t>Contratista</w:t>
            </w:r>
            <w:r w:rsidRPr="00206556">
              <w:rPr>
                <w:rFonts w:ascii="Verdana" w:eastAsia="Times New Roman" w:hAnsi="Verdana" w:cs="Arial"/>
                <w:sz w:val="16"/>
                <w:szCs w:val="16"/>
                <w:lang w:eastAsia="es-ES"/>
              </w:rPr>
              <w:t xml:space="preserve"> de la Subdirección de Gestión Contractual</w:t>
            </w:r>
          </w:p>
        </w:tc>
      </w:tr>
      <w:tr w:rsidR="00C63ADB" w:rsidRPr="00206556" w14:paraId="0433EC40" w14:textId="77777777" w:rsidTr="002E0FA8">
        <w:trPr>
          <w:trHeight w:val="307"/>
        </w:trPr>
        <w:tc>
          <w:tcPr>
            <w:tcW w:w="733" w:type="dxa"/>
            <w:tcBorders>
              <w:top w:val="nil"/>
              <w:left w:val="nil"/>
              <w:bottom w:val="nil"/>
              <w:right w:val="nil"/>
            </w:tcBorders>
            <w:vAlign w:val="center"/>
            <w:hideMark/>
          </w:tcPr>
          <w:p w14:paraId="637C6644" w14:textId="77777777" w:rsidR="00C63ADB" w:rsidRPr="00206556" w:rsidRDefault="00C63ADB" w:rsidP="002E0FA8">
            <w:pPr>
              <w:spacing w:after="0" w:line="240" w:lineRule="auto"/>
              <w:textAlignment w:val="baseline"/>
              <w:rPr>
                <w:rFonts w:ascii="Verdana" w:eastAsia="Times New Roman" w:hAnsi="Verdana" w:cs="Times New Roman"/>
                <w:sz w:val="16"/>
                <w:szCs w:val="16"/>
                <w:lang w:eastAsia="es-CO"/>
              </w:rPr>
            </w:pPr>
            <w:r w:rsidRPr="00206556">
              <w:rPr>
                <w:rFonts w:ascii="Verdana" w:eastAsia="Times New Roman" w:hAnsi="Verdana" w:cs="Times New Roman"/>
                <w:sz w:val="16"/>
                <w:szCs w:val="16"/>
                <w:lang w:val="es-MX" w:eastAsia="es-CO"/>
              </w:rPr>
              <w:t>Aprobó:</w:t>
            </w:r>
            <w:r w:rsidRPr="00206556">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366C39F6" w14:textId="77777777" w:rsidR="00C63ADB" w:rsidRPr="004E70F9" w:rsidRDefault="00C63ADB" w:rsidP="002E0FA8">
            <w:pPr>
              <w:spacing w:after="0" w:line="240" w:lineRule="auto"/>
              <w:rPr>
                <w:rFonts w:ascii="Verdana" w:hAnsi="Verdana" w:cs="Arial"/>
                <w:sz w:val="16"/>
                <w:szCs w:val="16"/>
                <w:lang w:eastAsia="es-ES"/>
              </w:rPr>
            </w:pPr>
            <w:r w:rsidRPr="004E70F9">
              <w:rPr>
                <w:rFonts w:ascii="Verdana" w:hAnsi="Verdana" w:cs="Arial"/>
                <w:sz w:val="16"/>
                <w:szCs w:val="16"/>
                <w:lang w:eastAsia="es-ES"/>
              </w:rPr>
              <w:t>William Javier Murcia Acevedo</w:t>
            </w:r>
          </w:p>
          <w:p w14:paraId="70F8647C" w14:textId="77777777" w:rsidR="00C63ADB" w:rsidRPr="00206556" w:rsidRDefault="00C63ADB" w:rsidP="002E0FA8">
            <w:pPr>
              <w:spacing w:after="0" w:line="240" w:lineRule="auto"/>
              <w:rPr>
                <w:rFonts w:ascii="Verdana" w:eastAsia="Times New Roman" w:hAnsi="Verdana" w:cs="Arial"/>
                <w:sz w:val="16"/>
                <w:szCs w:val="16"/>
                <w:lang w:eastAsia="es-ES"/>
              </w:rPr>
            </w:pPr>
            <w:r w:rsidRPr="004E70F9">
              <w:rPr>
                <w:rFonts w:ascii="Verdana" w:hAnsi="Verdana" w:cs="Arial"/>
                <w:sz w:val="16"/>
                <w:szCs w:val="16"/>
                <w:lang w:eastAsia="es-ES"/>
              </w:rPr>
              <w:t>Subdirector de Gestión Contractual (E) ANCP – CCE</w:t>
            </w:r>
          </w:p>
        </w:tc>
      </w:tr>
      <w:bookmarkEnd w:id="0"/>
      <w:bookmarkEnd w:id="1"/>
    </w:tbl>
    <w:p w14:paraId="74F5AC87" w14:textId="77777777" w:rsidR="00C63ADB" w:rsidRDefault="00C63ADB"/>
    <w:sectPr w:rsidR="00C63ADB" w:rsidSect="00C63ADB">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F009B8" w14:textId="77777777" w:rsidR="00631414" w:rsidRDefault="00631414" w:rsidP="00C63ADB">
      <w:pPr>
        <w:spacing w:after="0" w:line="240" w:lineRule="auto"/>
      </w:pPr>
      <w:r>
        <w:separator/>
      </w:r>
    </w:p>
  </w:endnote>
  <w:endnote w:type="continuationSeparator" w:id="0">
    <w:p w14:paraId="0230CA5C" w14:textId="77777777" w:rsidR="00631414" w:rsidRDefault="00631414" w:rsidP="00C63A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Yu Gothic UI Semibold">
    <w:panose1 w:val="020B0700000000000000"/>
    <w:charset w:val="80"/>
    <w:family w:val="swiss"/>
    <w:pitch w:val="variable"/>
    <w:sig w:usb0="E00002FF" w:usb1="2AC7FDFF" w:usb2="00000016" w:usb3="00000000" w:csb0="0002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A4B01" w14:textId="77777777" w:rsidR="00C63ADB" w:rsidRDefault="00C63ADB">
    <w:pPr>
      <w:pStyle w:val="Piedepgina"/>
    </w:pPr>
  </w:p>
  <w:p w14:paraId="465C2EDE" w14:textId="77777777" w:rsidR="00C63ADB" w:rsidRPr="00174B77" w:rsidRDefault="00C63ADB"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Pr="07C73DD1">
      <w:rPr>
        <w:rFonts w:ascii="Verdana" w:eastAsia="Verdana" w:hAnsi="Verdana" w:cs="Verdana"/>
        <w:b/>
        <w:bCs/>
        <w:sz w:val="18"/>
        <w:szCs w:val="18"/>
      </w:rPr>
      <w:fldChar w:fldCharType="begin"/>
    </w:r>
    <w:r w:rsidRPr="07C73DD1">
      <w:rPr>
        <w:rFonts w:ascii="Verdana" w:hAnsi="Verdana"/>
        <w:b/>
        <w:bCs/>
        <w:sz w:val="16"/>
        <w:szCs w:val="16"/>
      </w:rPr>
      <w:instrText>PAGE    \* MERGEFORMAT</w:instrText>
    </w:r>
    <w:r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597EDBC1" w14:textId="77777777" w:rsidR="00C63ADB" w:rsidRDefault="00C63ADB"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72C16489" w14:textId="77777777" w:rsidR="00C63ADB" w:rsidRPr="00E41027" w:rsidRDefault="00C63ADB"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003ACB6B" w14:textId="77777777" w:rsidR="00C63ADB" w:rsidRDefault="00C63ADB"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8C2C71" w14:textId="77777777" w:rsidR="00631414" w:rsidRDefault="00631414" w:rsidP="00C63ADB">
      <w:pPr>
        <w:spacing w:after="0" w:line="240" w:lineRule="auto"/>
      </w:pPr>
      <w:r>
        <w:separator/>
      </w:r>
    </w:p>
  </w:footnote>
  <w:footnote w:type="continuationSeparator" w:id="0">
    <w:p w14:paraId="28845BA4" w14:textId="77777777" w:rsidR="00631414" w:rsidRDefault="00631414" w:rsidP="00C63ADB">
      <w:pPr>
        <w:spacing w:after="0" w:line="240" w:lineRule="auto"/>
      </w:pPr>
      <w:r>
        <w:continuationSeparator/>
      </w:r>
    </w:p>
  </w:footnote>
  <w:footnote w:id="1">
    <w:p w14:paraId="45FC72FC" w14:textId="77777777" w:rsidR="00C63ADB" w:rsidRPr="004E70F9" w:rsidRDefault="00C63ADB" w:rsidP="00C63ADB">
      <w:pPr>
        <w:pStyle w:val="Textonotapie"/>
        <w:ind w:firstLine="709"/>
        <w:jc w:val="both"/>
        <w:rPr>
          <w:rFonts w:ascii="Verdana" w:hAnsi="Verdana" w:cs="Arial"/>
          <w:sz w:val="16"/>
          <w:szCs w:val="16"/>
        </w:rPr>
      </w:pPr>
      <w:r w:rsidRPr="004E70F9">
        <w:rPr>
          <w:rStyle w:val="Refdenotaalpie"/>
          <w:rFonts w:ascii="Verdana" w:hAnsi="Verdana" w:cs="Arial"/>
          <w:sz w:val="16"/>
          <w:szCs w:val="16"/>
        </w:rPr>
        <w:footnoteRef/>
      </w:r>
      <w:r w:rsidRPr="004E70F9">
        <w:rPr>
          <w:rFonts w:ascii="Verdana" w:hAnsi="Verdana" w:cs="Arial"/>
          <w:sz w:val="16"/>
          <w:szCs w:val="16"/>
        </w:rPr>
        <w:t xml:space="preserve"> Consejo de Estado. Sección Segunda. Sentencia del 9 de septiembre de 2021. Expediente No. 05001-23-33-000-2013-01143-01(1317-16). M.P. Dra. Sandra Lisset Ibarra Vélez.</w:t>
      </w:r>
    </w:p>
    <w:p w14:paraId="00D410C2" w14:textId="77777777" w:rsidR="00C63ADB" w:rsidRPr="004E70F9" w:rsidRDefault="00C63ADB" w:rsidP="00C63ADB">
      <w:pPr>
        <w:pStyle w:val="Textonotapie"/>
        <w:ind w:firstLine="709"/>
        <w:jc w:val="both"/>
        <w:rPr>
          <w:rFonts w:ascii="Verdana" w:hAnsi="Verdana" w:cs="Arial"/>
          <w:sz w:val="16"/>
          <w:szCs w:val="16"/>
        </w:rPr>
      </w:pPr>
    </w:p>
  </w:footnote>
  <w:footnote w:id="2">
    <w:p w14:paraId="500124F0" w14:textId="77777777" w:rsidR="00C63ADB" w:rsidRPr="004E70F9" w:rsidRDefault="00C63ADB" w:rsidP="00C63ADB">
      <w:pPr>
        <w:pStyle w:val="Textonotapie"/>
        <w:ind w:firstLine="709"/>
        <w:jc w:val="both"/>
        <w:rPr>
          <w:rFonts w:ascii="Verdana" w:hAnsi="Verdana" w:cs="Arial"/>
          <w:sz w:val="16"/>
          <w:szCs w:val="16"/>
        </w:rPr>
      </w:pPr>
      <w:r w:rsidRPr="004E70F9">
        <w:rPr>
          <w:rStyle w:val="Refdenotaalpie"/>
          <w:rFonts w:ascii="Verdana" w:hAnsi="Verdana" w:cs="Arial"/>
          <w:sz w:val="16"/>
          <w:szCs w:val="16"/>
        </w:rPr>
        <w:footnoteRef/>
      </w:r>
      <w:r w:rsidRPr="004E70F9">
        <w:rPr>
          <w:rFonts w:ascii="Verdana" w:hAnsi="Verdana" w:cs="Arial"/>
          <w:sz w:val="16"/>
          <w:szCs w:val="16"/>
        </w:rPr>
        <w:t xml:space="preserve"> Así lo señaló el Consejo de Estado en la sentencia de unificación en mención, al indicar que “cualquier contrato de prestación de servicios tiene por objeto genérico “desarrollar actividades relacionadas con la administración o funcionamiento de la </w:t>
      </w:r>
      <w:proofErr w:type="gramStart"/>
      <w:r w:rsidRPr="004E70F9">
        <w:rPr>
          <w:rFonts w:ascii="Verdana" w:hAnsi="Verdana" w:cs="Arial"/>
          <w:sz w:val="16"/>
          <w:szCs w:val="16"/>
        </w:rPr>
        <w:t>entidad””..</w:t>
      </w:r>
      <w:proofErr w:type="gramEnd"/>
    </w:p>
    <w:p w14:paraId="56F2ED58" w14:textId="77777777" w:rsidR="00C63ADB" w:rsidRPr="004E70F9" w:rsidRDefault="00C63ADB" w:rsidP="00C63ADB">
      <w:pPr>
        <w:pStyle w:val="Textonotapie"/>
        <w:ind w:firstLine="709"/>
        <w:jc w:val="both"/>
        <w:rPr>
          <w:rFonts w:ascii="Verdana" w:hAnsi="Verdana" w:cs="Arial"/>
          <w:sz w:val="16"/>
          <w:szCs w:val="16"/>
          <w:lang w:val="es-ES_tradnl"/>
        </w:rPr>
      </w:pPr>
    </w:p>
  </w:footnote>
  <w:footnote w:id="3">
    <w:p w14:paraId="408820DC" w14:textId="77777777" w:rsidR="00C63ADB" w:rsidRPr="004E70F9" w:rsidRDefault="00C63ADB" w:rsidP="00C63ADB">
      <w:pPr>
        <w:pStyle w:val="Textonotapie"/>
        <w:ind w:firstLine="709"/>
        <w:jc w:val="both"/>
        <w:rPr>
          <w:rFonts w:ascii="Verdana" w:hAnsi="Verdana" w:cs="Arial"/>
          <w:sz w:val="16"/>
          <w:szCs w:val="16"/>
          <w:lang w:val="es-ES"/>
        </w:rPr>
      </w:pPr>
      <w:r w:rsidRPr="004E70F9">
        <w:rPr>
          <w:rStyle w:val="Refdenotaalpie"/>
          <w:rFonts w:ascii="Verdana" w:hAnsi="Verdana" w:cs="Arial"/>
          <w:sz w:val="16"/>
          <w:szCs w:val="16"/>
        </w:rPr>
        <w:footnoteRef/>
      </w:r>
      <w:r w:rsidRPr="004E70F9">
        <w:rPr>
          <w:rFonts w:ascii="Verdana" w:hAnsi="Verdana" w:cs="Arial"/>
          <w:sz w:val="16"/>
          <w:szCs w:val="16"/>
        </w:rPr>
        <w:t xml:space="preserve"> </w:t>
      </w:r>
      <w:r w:rsidRPr="004E70F9">
        <w:rPr>
          <w:rFonts w:ascii="Verdana" w:hAnsi="Verdana" w:cs="Arial"/>
          <w:sz w:val="16"/>
          <w:szCs w:val="16"/>
          <w:lang w:val="es-ES"/>
        </w:rPr>
        <w:t>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 2. Quien presta el servicio se denomina trabajador, quien lo recibe y remunera, empleador, y la remuneración, cualquiera que sea su forma, salario”.</w:t>
      </w:r>
    </w:p>
    <w:p w14:paraId="4161743C" w14:textId="77777777" w:rsidR="00C63ADB" w:rsidRPr="004E70F9" w:rsidRDefault="00C63ADB" w:rsidP="00C63ADB">
      <w:pPr>
        <w:pStyle w:val="Textonotapie"/>
        <w:ind w:firstLine="709"/>
        <w:jc w:val="both"/>
        <w:rPr>
          <w:rFonts w:ascii="Verdana" w:hAnsi="Verdana" w:cs="Arial"/>
          <w:sz w:val="16"/>
          <w:szCs w:val="16"/>
          <w:lang w:val="es-ES"/>
        </w:rPr>
      </w:pPr>
    </w:p>
  </w:footnote>
  <w:footnote w:id="4">
    <w:p w14:paraId="52B4F33E" w14:textId="77777777" w:rsidR="00C63ADB" w:rsidRPr="004E70F9" w:rsidRDefault="00C63ADB" w:rsidP="00C63ADB">
      <w:pPr>
        <w:pStyle w:val="Textonotapie"/>
        <w:ind w:firstLine="709"/>
        <w:jc w:val="both"/>
        <w:rPr>
          <w:rFonts w:ascii="Verdana" w:hAnsi="Verdana" w:cs="Arial"/>
          <w:sz w:val="16"/>
          <w:szCs w:val="16"/>
          <w:lang w:val="es-ES"/>
        </w:rPr>
      </w:pPr>
      <w:r w:rsidRPr="004E70F9">
        <w:rPr>
          <w:rStyle w:val="Refdenotaalpie"/>
          <w:rFonts w:ascii="Verdana" w:hAnsi="Verdana" w:cs="Arial"/>
          <w:sz w:val="16"/>
          <w:szCs w:val="16"/>
        </w:rPr>
        <w:footnoteRef/>
      </w:r>
      <w:r w:rsidRPr="004E70F9">
        <w:rPr>
          <w:rFonts w:ascii="Verdana" w:hAnsi="Verdana" w:cs="Arial"/>
          <w:sz w:val="16"/>
          <w:szCs w:val="16"/>
        </w:rPr>
        <w:t xml:space="preserve"> </w:t>
      </w:r>
      <w:r w:rsidRPr="004E70F9">
        <w:rPr>
          <w:rFonts w:ascii="Verdana" w:hAnsi="Verdana" w:cs="Arial"/>
          <w:sz w:val="16"/>
          <w:szCs w:val="16"/>
          <w:lang w:val="es-ES"/>
        </w:rPr>
        <w:t>En efecto, el artículo 244 de la Ley 1955 de 2015 dispone, en lo pertinente: “Los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14:paraId="02E47C60" w14:textId="77777777" w:rsidR="00C63ADB" w:rsidRPr="004E70F9" w:rsidRDefault="00C63ADB" w:rsidP="00C63ADB">
      <w:pPr>
        <w:pStyle w:val="Textonotapie"/>
        <w:ind w:firstLine="709"/>
        <w:jc w:val="both"/>
        <w:rPr>
          <w:rFonts w:ascii="Verdana" w:hAnsi="Verdana" w:cs="Arial"/>
          <w:sz w:val="16"/>
          <w:szCs w:val="16"/>
          <w:lang w:val="es-ES"/>
        </w:rPr>
      </w:pPr>
      <w:r w:rsidRPr="004E70F9">
        <w:rPr>
          <w:rFonts w:ascii="Verdana" w:hAnsi="Verdana" w:cs="Arial"/>
          <w:sz w:val="16"/>
          <w:szCs w:val="16"/>
          <w:lang w:val="es-ES"/>
        </w:rPr>
        <w:t>Los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14:paraId="1284231A" w14:textId="77777777" w:rsidR="00C63ADB" w:rsidRPr="004E70F9" w:rsidRDefault="00C63ADB" w:rsidP="00C63ADB">
      <w:pPr>
        <w:pStyle w:val="Textonotapie"/>
        <w:ind w:firstLine="709"/>
        <w:jc w:val="both"/>
        <w:rPr>
          <w:rFonts w:ascii="Verdana" w:hAnsi="Verdana" w:cs="Arial"/>
          <w:sz w:val="16"/>
          <w:szCs w:val="16"/>
          <w:lang w:val="es-CO"/>
        </w:rPr>
      </w:pPr>
      <w:r w:rsidRPr="004E70F9">
        <w:rPr>
          <w:rFonts w:ascii="Verdana" w:hAnsi="Verdana" w:cs="Arial"/>
          <w:sz w:val="16"/>
          <w:szCs w:val="16"/>
          <w:lang w:val="es-ES"/>
        </w:rPr>
        <w:t xml:space="preserve">El Gobierno nacional reglamentará el mecanismo para realizar la mensualización de que trata el presente </w:t>
      </w:r>
      <w:proofErr w:type="gramStart"/>
      <w:r w:rsidRPr="004E70F9">
        <w:rPr>
          <w:rFonts w:ascii="Verdana" w:hAnsi="Verdana" w:cs="Arial"/>
          <w:sz w:val="16"/>
          <w:szCs w:val="16"/>
          <w:lang w:val="es-ES"/>
        </w:rPr>
        <w:t>artículo.</w:t>
      </w:r>
      <w:r w:rsidRPr="004E70F9">
        <w:rPr>
          <w:rFonts w:ascii="Verdana" w:hAnsi="Verdana" w:cs="Arial"/>
          <w:sz w:val="16"/>
          <w:szCs w:val="16"/>
          <w:lang w:val="es-CO"/>
        </w:rPr>
        <w:t>[</w:t>
      </w:r>
      <w:proofErr w:type="gramEnd"/>
      <w:r w:rsidRPr="004E70F9">
        <w:rPr>
          <w:rFonts w:ascii="Verdana" w:hAnsi="Verdana" w:cs="Arial"/>
          <w:sz w:val="16"/>
          <w:szCs w:val="16"/>
          <w:lang w:val="es-CO"/>
        </w:rPr>
        <w:t>…]”.</w:t>
      </w:r>
    </w:p>
    <w:p w14:paraId="72436713" w14:textId="77777777" w:rsidR="00C63ADB" w:rsidRPr="004E70F9" w:rsidRDefault="00C63ADB" w:rsidP="00C63ADB">
      <w:pPr>
        <w:pStyle w:val="Textonotapie"/>
        <w:ind w:firstLine="709"/>
        <w:jc w:val="both"/>
        <w:rPr>
          <w:rFonts w:ascii="Verdana" w:hAnsi="Verdana" w:cs="Arial"/>
          <w:sz w:val="16"/>
          <w:szCs w:val="16"/>
          <w:lang w:val="es-CO"/>
        </w:rPr>
      </w:pPr>
    </w:p>
  </w:footnote>
  <w:footnote w:id="5">
    <w:p w14:paraId="1ED63173" w14:textId="77777777" w:rsidR="00C63ADB" w:rsidRPr="004E70F9" w:rsidRDefault="00C63ADB" w:rsidP="00C63ADB">
      <w:pPr>
        <w:pStyle w:val="Textonotapie"/>
        <w:ind w:firstLine="709"/>
        <w:jc w:val="both"/>
        <w:rPr>
          <w:rFonts w:ascii="Verdana" w:hAnsi="Verdana" w:cs="Arial"/>
          <w:sz w:val="16"/>
          <w:szCs w:val="16"/>
          <w:lang w:val="es-ES"/>
        </w:rPr>
      </w:pPr>
      <w:r w:rsidRPr="004E70F9">
        <w:rPr>
          <w:rStyle w:val="Refdenotaalpie"/>
          <w:rFonts w:ascii="Verdana" w:hAnsi="Verdana" w:cs="Arial"/>
          <w:sz w:val="16"/>
          <w:szCs w:val="16"/>
        </w:rPr>
        <w:footnoteRef/>
      </w:r>
      <w:r w:rsidRPr="004E70F9">
        <w:rPr>
          <w:rFonts w:ascii="Verdana" w:hAnsi="Verdana" w:cs="Arial"/>
          <w:sz w:val="16"/>
          <w:szCs w:val="16"/>
        </w:rPr>
        <w:t xml:space="preserve"> </w:t>
      </w:r>
      <w:proofErr w:type="spellStart"/>
      <w:r w:rsidRPr="004E70F9">
        <w:rPr>
          <w:rFonts w:ascii="Verdana" w:hAnsi="Verdana" w:cs="Arial"/>
          <w:sz w:val="16"/>
          <w:szCs w:val="16"/>
          <w:lang w:val="es-ES"/>
        </w:rPr>
        <w:t>Ibíd</w:t>
      </w:r>
      <w:proofErr w:type="spellEnd"/>
      <w:r w:rsidRPr="004E70F9">
        <w:rPr>
          <w:rFonts w:ascii="Verdana" w:hAnsi="Verdana" w:cs="Arial"/>
          <w:sz w:val="16"/>
          <w:szCs w:val="16"/>
          <w:lang w:val="es-ES"/>
        </w:rPr>
        <w:t>.</w:t>
      </w:r>
    </w:p>
    <w:p w14:paraId="1A33D1D6" w14:textId="77777777" w:rsidR="00C63ADB" w:rsidRPr="004E70F9" w:rsidRDefault="00C63ADB" w:rsidP="00C63ADB">
      <w:pPr>
        <w:pStyle w:val="Textonotapie"/>
        <w:ind w:firstLine="709"/>
        <w:jc w:val="both"/>
        <w:rPr>
          <w:rFonts w:ascii="Verdana" w:hAnsi="Verdana" w:cs="Arial"/>
          <w:sz w:val="16"/>
          <w:szCs w:val="16"/>
          <w:lang w:val="es-ES"/>
        </w:rPr>
      </w:pPr>
    </w:p>
  </w:footnote>
  <w:footnote w:id="6">
    <w:p w14:paraId="5105B60A" w14:textId="77777777" w:rsidR="00C63ADB" w:rsidRPr="004E70F9" w:rsidRDefault="00C63ADB" w:rsidP="00C63ADB">
      <w:pPr>
        <w:pStyle w:val="Textonotapie"/>
        <w:ind w:firstLine="709"/>
        <w:jc w:val="both"/>
        <w:rPr>
          <w:rFonts w:ascii="Verdana" w:hAnsi="Verdana" w:cs="Arial"/>
          <w:sz w:val="16"/>
          <w:szCs w:val="16"/>
        </w:rPr>
      </w:pPr>
      <w:r w:rsidRPr="004E70F9">
        <w:rPr>
          <w:rStyle w:val="Refdenotaalpie"/>
          <w:rFonts w:ascii="Verdana" w:hAnsi="Verdana" w:cs="Arial"/>
          <w:sz w:val="16"/>
          <w:szCs w:val="16"/>
        </w:rPr>
        <w:footnoteRef/>
      </w:r>
      <w:r w:rsidRPr="004E70F9">
        <w:rPr>
          <w:rFonts w:ascii="Verdana" w:hAnsi="Verdana" w:cs="Arial"/>
          <w:sz w:val="16"/>
          <w:szCs w:val="16"/>
        </w:rPr>
        <w:t xml:space="preserve"> </w:t>
      </w:r>
      <w:r w:rsidRPr="004E70F9">
        <w:rPr>
          <w:rFonts w:ascii="Verdana" w:hAnsi="Verdana" w:cs="Arial"/>
          <w:sz w:val="16"/>
          <w:szCs w:val="16"/>
          <w:lang w:val="es-ES"/>
        </w:rPr>
        <w:t xml:space="preserve">CONSEJO DE ESTADO. Sección Tercera. Subsección C. Sentencia de Unificación del 2 de diciembre de 2013. </w:t>
      </w:r>
      <w:proofErr w:type="spellStart"/>
      <w:r w:rsidRPr="004E70F9">
        <w:rPr>
          <w:rFonts w:ascii="Verdana" w:hAnsi="Verdana" w:cs="Arial"/>
          <w:sz w:val="16"/>
          <w:szCs w:val="16"/>
          <w:lang w:val="es-ES"/>
        </w:rPr>
        <w:t>Exp</w:t>
      </w:r>
      <w:proofErr w:type="spellEnd"/>
      <w:r w:rsidRPr="004E70F9">
        <w:rPr>
          <w:rFonts w:ascii="Verdana" w:hAnsi="Verdana" w:cs="Arial"/>
          <w:sz w:val="16"/>
          <w:szCs w:val="16"/>
          <w:lang w:val="es-ES"/>
        </w:rPr>
        <w:t>. 41.719. C.P. Jaime Orlando Santofimio Gamboa.</w:t>
      </w:r>
      <w:r w:rsidRPr="004E70F9">
        <w:rPr>
          <w:rFonts w:ascii="Verdana" w:hAnsi="Verdana" w:cs="Arial"/>
          <w:sz w:val="16"/>
          <w:szCs w:val="16"/>
        </w:rPr>
        <w:t xml:space="preserve"> </w:t>
      </w:r>
    </w:p>
    <w:p w14:paraId="6325796B" w14:textId="77777777" w:rsidR="00C63ADB" w:rsidRPr="004E70F9" w:rsidRDefault="00C63ADB" w:rsidP="00C63ADB">
      <w:pPr>
        <w:pStyle w:val="Textonotapie"/>
        <w:ind w:firstLine="709"/>
        <w:jc w:val="both"/>
        <w:rPr>
          <w:rFonts w:ascii="Verdana" w:hAnsi="Verdana" w:cs="Arial"/>
          <w:sz w:val="16"/>
          <w:szCs w:val="16"/>
          <w:lang w:val="es-ES"/>
        </w:rPr>
      </w:pPr>
      <w:r w:rsidRPr="004E70F9">
        <w:rPr>
          <w:rFonts w:ascii="Verdana" w:hAnsi="Verdana" w:cs="Arial"/>
          <w:sz w:val="16"/>
          <w:szCs w:val="16"/>
          <w:lang w:val="es-ES"/>
        </w:rPr>
        <w:t>Además, el numeral 2º del artículo 32 de la Ley 80 de 1993 define el contrato de consultoría así: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2FAFEB45" w14:textId="77777777" w:rsidR="00C63ADB" w:rsidRPr="004E70F9" w:rsidRDefault="00C63ADB" w:rsidP="00C63ADB">
      <w:pPr>
        <w:pStyle w:val="Textonotapie"/>
        <w:ind w:firstLine="709"/>
        <w:jc w:val="both"/>
        <w:rPr>
          <w:rFonts w:ascii="Verdana" w:hAnsi="Verdana" w:cs="Arial"/>
          <w:sz w:val="16"/>
          <w:szCs w:val="16"/>
          <w:lang w:val="es-ES"/>
        </w:rPr>
      </w:pPr>
      <w:r w:rsidRPr="004E70F9">
        <w:rPr>
          <w:rFonts w:ascii="Verdana" w:hAnsi="Verdana" w:cs="Arial"/>
          <w:sz w:val="16"/>
          <w:szCs w:val="16"/>
          <w:lang w:val="es-ES"/>
        </w:rPr>
        <w:t>Son también contratos de consultoría los que tienen por objeto la interventoría, asesoría, gerencia de obra o de proyectos, dirección, programación y la ejecución de diseños, planos, anteproyectos y proyectos.</w:t>
      </w:r>
    </w:p>
    <w:p w14:paraId="0AE1710A" w14:textId="77777777" w:rsidR="00C63ADB" w:rsidRPr="004E70F9" w:rsidRDefault="00C63ADB" w:rsidP="00C63ADB">
      <w:pPr>
        <w:pStyle w:val="Textonotapie"/>
        <w:ind w:firstLine="709"/>
        <w:jc w:val="both"/>
        <w:rPr>
          <w:rFonts w:ascii="Verdana" w:hAnsi="Verdana" w:cs="Arial"/>
          <w:sz w:val="16"/>
          <w:szCs w:val="16"/>
          <w:lang w:val="es-ES"/>
        </w:rPr>
      </w:pPr>
      <w:r w:rsidRPr="004E70F9">
        <w:rPr>
          <w:rFonts w:ascii="Verdana" w:hAnsi="Verdana" w:cs="Arial"/>
          <w:sz w:val="16"/>
          <w:szCs w:val="16"/>
          <w:lang w:val="es-ES"/>
        </w:rPr>
        <w:t xml:space="preserve">Ninguna orden del interventor de una obra podrá darse verbalmente. Es obligatorio para el interventor entregar por escrito sus órdenes o sugerencias y ellas deben </w:t>
      </w:r>
      <w:proofErr w:type="gramStart"/>
      <w:r w:rsidRPr="004E70F9">
        <w:rPr>
          <w:rFonts w:ascii="Verdana" w:hAnsi="Verdana" w:cs="Arial"/>
          <w:sz w:val="16"/>
          <w:szCs w:val="16"/>
          <w:lang w:val="es-ES"/>
        </w:rPr>
        <w:t>enmarcarse dentro de</w:t>
      </w:r>
      <w:proofErr w:type="gramEnd"/>
      <w:r w:rsidRPr="004E70F9">
        <w:rPr>
          <w:rFonts w:ascii="Verdana" w:hAnsi="Verdana" w:cs="Arial"/>
          <w:sz w:val="16"/>
          <w:szCs w:val="16"/>
          <w:lang w:val="es-ES"/>
        </w:rPr>
        <w:t xml:space="preserve"> los términos del respectivo contrato”.</w:t>
      </w:r>
    </w:p>
    <w:p w14:paraId="05BA3E3D" w14:textId="77777777" w:rsidR="00C63ADB" w:rsidRPr="004E70F9" w:rsidRDefault="00C63ADB" w:rsidP="00C63ADB">
      <w:pPr>
        <w:pStyle w:val="Textonotapie"/>
        <w:ind w:firstLine="709"/>
        <w:jc w:val="both"/>
        <w:rPr>
          <w:rFonts w:ascii="Verdana" w:hAnsi="Verdana" w:cs="Arial"/>
          <w:sz w:val="16"/>
          <w:szCs w:val="16"/>
          <w:lang w:val="es-ES"/>
        </w:rPr>
      </w:pPr>
    </w:p>
  </w:footnote>
  <w:footnote w:id="7">
    <w:p w14:paraId="54F26713" w14:textId="77777777" w:rsidR="00C63ADB" w:rsidRPr="004E70F9" w:rsidRDefault="00C63ADB" w:rsidP="00C63ADB">
      <w:pPr>
        <w:pStyle w:val="Textonotapie"/>
        <w:ind w:firstLine="709"/>
        <w:jc w:val="both"/>
        <w:rPr>
          <w:rFonts w:ascii="Verdana" w:hAnsi="Verdana" w:cs="Arial"/>
          <w:sz w:val="16"/>
          <w:szCs w:val="16"/>
          <w:lang w:val="es-ES"/>
        </w:rPr>
      </w:pPr>
      <w:r w:rsidRPr="004E70F9">
        <w:rPr>
          <w:rStyle w:val="Refdenotaalpie"/>
          <w:rFonts w:ascii="Verdana" w:hAnsi="Verdana" w:cs="Arial"/>
          <w:sz w:val="16"/>
          <w:szCs w:val="16"/>
        </w:rPr>
        <w:footnoteRef/>
      </w:r>
      <w:r w:rsidRPr="004E70F9">
        <w:rPr>
          <w:rFonts w:ascii="Verdana" w:hAnsi="Verdana" w:cs="Arial"/>
          <w:sz w:val="16"/>
          <w:szCs w:val="16"/>
        </w:rPr>
        <w:t xml:space="preserve"> </w:t>
      </w:r>
      <w:r w:rsidRPr="004E70F9">
        <w:rPr>
          <w:rFonts w:ascii="Verdana" w:hAnsi="Verdana" w:cs="Arial"/>
          <w:sz w:val="16"/>
          <w:szCs w:val="16"/>
          <w:lang w:val="es-ES"/>
        </w:rPr>
        <w:t>Así lo dispone el artículo 2.2.1.2.1.4.1. del Decreto 1082 de 2015: “La Entidad Estatal debe señalar en un acto administrativo la justificación para contratar bajo la modalidad de contratación directa, el cual debe contener:</w:t>
      </w:r>
    </w:p>
    <w:p w14:paraId="72693797" w14:textId="77777777" w:rsidR="00C63ADB" w:rsidRPr="004E70F9" w:rsidRDefault="00C63ADB" w:rsidP="00C63ADB">
      <w:pPr>
        <w:pStyle w:val="Textonotapie"/>
        <w:ind w:firstLine="709"/>
        <w:jc w:val="both"/>
        <w:rPr>
          <w:rFonts w:ascii="Verdana" w:hAnsi="Verdana" w:cs="Arial"/>
          <w:sz w:val="16"/>
          <w:szCs w:val="16"/>
          <w:lang w:val="es-ES"/>
        </w:rPr>
      </w:pPr>
      <w:r w:rsidRPr="004E70F9">
        <w:rPr>
          <w:rFonts w:ascii="Verdana" w:hAnsi="Verdana" w:cs="Arial"/>
          <w:sz w:val="16"/>
          <w:szCs w:val="16"/>
          <w:lang w:val="es-ES"/>
        </w:rPr>
        <w:t>1. La causal que invoca para contratar directamente.</w:t>
      </w:r>
    </w:p>
    <w:p w14:paraId="49868714" w14:textId="77777777" w:rsidR="00C63ADB" w:rsidRPr="004E70F9" w:rsidRDefault="00C63ADB" w:rsidP="00C63ADB">
      <w:pPr>
        <w:pStyle w:val="Textonotapie"/>
        <w:ind w:firstLine="709"/>
        <w:jc w:val="both"/>
        <w:rPr>
          <w:rFonts w:ascii="Verdana" w:hAnsi="Verdana" w:cs="Arial"/>
          <w:sz w:val="16"/>
          <w:szCs w:val="16"/>
          <w:lang w:val="es-ES"/>
        </w:rPr>
      </w:pPr>
      <w:r w:rsidRPr="004E70F9">
        <w:rPr>
          <w:rFonts w:ascii="Verdana" w:hAnsi="Verdana" w:cs="Arial"/>
          <w:sz w:val="16"/>
          <w:szCs w:val="16"/>
          <w:lang w:val="es-ES"/>
        </w:rPr>
        <w:t>2. El objeto del contrato.</w:t>
      </w:r>
    </w:p>
    <w:p w14:paraId="48F8E168" w14:textId="77777777" w:rsidR="00C63ADB" w:rsidRPr="004E70F9" w:rsidRDefault="00C63ADB" w:rsidP="00C63ADB">
      <w:pPr>
        <w:pStyle w:val="Textonotapie"/>
        <w:ind w:firstLine="709"/>
        <w:jc w:val="both"/>
        <w:rPr>
          <w:rFonts w:ascii="Verdana" w:hAnsi="Verdana" w:cs="Arial"/>
          <w:sz w:val="16"/>
          <w:szCs w:val="16"/>
          <w:lang w:val="es-ES"/>
        </w:rPr>
      </w:pPr>
      <w:r w:rsidRPr="004E70F9">
        <w:rPr>
          <w:rFonts w:ascii="Verdana" w:hAnsi="Verdana" w:cs="Arial"/>
          <w:sz w:val="16"/>
          <w:szCs w:val="16"/>
          <w:lang w:val="es-ES"/>
        </w:rPr>
        <w:t>3. El presupuesto para la contratación y las condiciones que exigirá al contratista.</w:t>
      </w:r>
    </w:p>
    <w:p w14:paraId="0EEC3624" w14:textId="77777777" w:rsidR="00C63ADB" w:rsidRPr="004E70F9" w:rsidRDefault="00C63ADB" w:rsidP="00C63ADB">
      <w:pPr>
        <w:pStyle w:val="Textonotapie"/>
        <w:ind w:firstLine="709"/>
        <w:jc w:val="both"/>
        <w:rPr>
          <w:rFonts w:ascii="Verdana" w:hAnsi="Verdana" w:cs="Arial"/>
          <w:sz w:val="16"/>
          <w:szCs w:val="16"/>
          <w:lang w:val="es-ES"/>
        </w:rPr>
      </w:pPr>
      <w:r w:rsidRPr="004E70F9">
        <w:rPr>
          <w:rFonts w:ascii="Verdana" w:hAnsi="Verdana" w:cs="Arial"/>
          <w:sz w:val="16"/>
          <w:szCs w:val="16"/>
          <w:lang w:val="es-ES"/>
        </w:rPr>
        <w:t>4. El lugar en el cual los interesados pueden consultar los estudios y documentos previos.</w:t>
      </w:r>
    </w:p>
    <w:p w14:paraId="16E5B103" w14:textId="77777777" w:rsidR="00C63ADB" w:rsidRDefault="00C63ADB" w:rsidP="00C63ADB">
      <w:pPr>
        <w:pStyle w:val="Textonotapie"/>
        <w:ind w:firstLine="709"/>
        <w:jc w:val="both"/>
        <w:rPr>
          <w:rFonts w:ascii="Verdana" w:hAnsi="Verdana" w:cs="Arial"/>
          <w:sz w:val="16"/>
          <w:szCs w:val="16"/>
          <w:lang w:val="es-ES"/>
        </w:rPr>
      </w:pPr>
      <w:r w:rsidRPr="004E70F9">
        <w:rPr>
          <w:rFonts w:ascii="Verdana" w:hAnsi="Verdana" w:cs="Arial"/>
          <w:sz w:val="16"/>
          <w:szCs w:val="16"/>
          <w:lang w:val="es-ES"/>
        </w:rPr>
        <w:t>Este acto administrativo no es necesario cuando el contrato a celebrar es de prestación de servicios profesionales y de apoyo a la gestión, y para los contratos de que tratan los literales (a) y (b) del artículo 2.2.1.2.1.4.3 del presente decreto”.</w:t>
      </w:r>
    </w:p>
    <w:p w14:paraId="04C480D5" w14:textId="77777777" w:rsidR="00C63ADB" w:rsidRPr="004E70F9" w:rsidRDefault="00C63ADB" w:rsidP="00C63ADB">
      <w:pPr>
        <w:pStyle w:val="Textonotapie"/>
        <w:ind w:firstLine="709"/>
        <w:jc w:val="both"/>
        <w:rPr>
          <w:rFonts w:ascii="Verdana" w:hAnsi="Verdana" w:cs="Arial"/>
          <w:sz w:val="16"/>
          <w:szCs w:val="16"/>
          <w:lang w:val="es-ES"/>
        </w:rPr>
      </w:pPr>
    </w:p>
  </w:footnote>
  <w:footnote w:id="8">
    <w:p w14:paraId="018F1C76" w14:textId="77777777" w:rsidR="00C63ADB" w:rsidRPr="004E70F9" w:rsidRDefault="00C63ADB" w:rsidP="00C63ADB">
      <w:pPr>
        <w:pStyle w:val="Textonotapie"/>
        <w:ind w:firstLine="709"/>
        <w:jc w:val="both"/>
        <w:rPr>
          <w:rFonts w:ascii="Verdana" w:hAnsi="Verdana" w:cs="Arial"/>
          <w:sz w:val="16"/>
          <w:szCs w:val="16"/>
          <w:lang w:val="es-ES"/>
        </w:rPr>
      </w:pPr>
      <w:r w:rsidRPr="004E70F9">
        <w:rPr>
          <w:rStyle w:val="Refdenotaalpie"/>
          <w:rFonts w:ascii="Verdana" w:hAnsi="Verdana" w:cs="Arial"/>
          <w:sz w:val="16"/>
          <w:szCs w:val="16"/>
        </w:rPr>
        <w:footnoteRef/>
      </w:r>
      <w:r w:rsidRPr="004E70F9">
        <w:rPr>
          <w:rFonts w:ascii="Verdana" w:hAnsi="Verdana" w:cs="Arial"/>
          <w:sz w:val="16"/>
          <w:szCs w:val="16"/>
        </w:rPr>
        <w:t xml:space="preserve"> </w:t>
      </w:r>
      <w:r w:rsidRPr="004E70F9">
        <w:rPr>
          <w:rFonts w:ascii="Verdana" w:hAnsi="Verdana" w:cs="Arial"/>
          <w:sz w:val="16"/>
          <w:szCs w:val="16"/>
          <w:lang w:val="es-ES"/>
        </w:rPr>
        <w:t xml:space="preserve">La norma expresa: “Art. 14. </w:t>
      </w:r>
      <w:r w:rsidRPr="004E70F9">
        <w:rPr>
          <w:rFonts w:ascii="Verdana" w:hAnsi="Verdana" w:cs="Arial"/>
          <w:sz w:val="16"/>
          <w:szCs w:val="16"/>
        </w:rPr>
        <w:t>P</w:t>
      </w:r>
      <w:r w:rsidRPr="004E70F9">
        <w:rPr>
          <w:rFonts w:ascii="Verdana" w:hAnsi="Verdana" w:cs="Arial"/>
          <w:sz w:val="16"/>
          <w:szCs w:val="16"/>
          <w:lang w:val="es-ES"/>
        </w:rPr>
        <w:t>ara el cumplimiento de los fines de la contratación, las entidades estatales al celebrar un contrato:</w:t>
      </w:r>
    </w:p>
    <w:p w14:paraId="6A438D5E" w14:textId="77777777" w:rsidR="00C63ADB" w:rsidRPr="004E70F9" w:rsidRDefault="00C63ADB" w:rsidP="00C63ADB">
      <w:pPr>
        <w:pStyle w:val="Textonotapie"/>
        <w:ind w:firstLine="709"/>
        <w:jc w:val="both"/>
        <w:rPr>
          <w:rFonts w:ascii="Verdana" w:hAnsi="Verdana" w:cs="Arial"/>
          <w:sz w:val="16"/>
          <w:szCs w:val="16"/>
          <w:lang w:val="es-ES"/>
        </w:rPr>
      </w:pPr>
      <w:r w:rsidRPr="004E70F9">
        <w:rPr>
          <w:rFonts w:ascii="Verdana" w:hAnsi="Verdana" w:cs="Arial"/>
          <w:sz w:val="16"/>
          <w:szCs w:val="16"/>
          <w:lang w:val="es-ES"/>
        </w:rPr>
        <w:t>[…]</w:t>
      </w:r>
    </w:p>
    <w:p w14:paraId="3C933953" w14:textId="77777777" w:rsidR="00C63ADB" w:rsidRPr="004E70F9" w:rsidRDefault="00C63ADB" w:rsidP="00C63ADB">
      <w:pPr>
        <w:pStyle w:val="Textonotapie"/>
        <w:ind w:firstLine="709"/>
        <w:jc w:val="both"/>
        <w:rPr>
          <w:rFonts w:ascii="Verdana" w:hAnsi="Verdana" w:cs="Arial"/>
          <w:sz w:val="16"/>
          <w:szCs w:val="16"/>
          <w:lang w:val="es-ES"/>
        </w:rPr>
      </w:pPr>
    </w:p>
    <w:p w14:paraId="770AF2DA" w14:textId="77777777" w:rsidR="00C63ADB" w:rsidRPr="004E70F9" w:rsidRDefault="00C63ADB" w:rsidP="00C63ADB">
      <w:pPr>
        <w:pStyle w:val="Textonotapie"/>
        <w:ind w:firstLine="709"/>
        <w:jc w:val="both"/>
        <w:rPr>
          <w:rFonts w:ascii="Verdana" w:hAnsi="Verdana" w:cs="Arial"/>
          <w:sz w:val="16"/>
          <w:szCs w:val="16"/>
          <w:lang w:val="es-ES"/>
        </w:rPr>
      </w:pPr>
      <w:r w:rsidRPr="004E70F9">
        <w:rPr>
          <w:rFonts w:ascii="Verdana" w:hAnsi="Verdana" w:cs="Arial"/>
          <w:sz w:val="16"/>
          <w:szCs w:val="16"/>
          <w:lang w:val="es-ES"/>
        </w:rPr>
        <w:t>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w:t>
      </w:r>
    </w:p>
    <w:p w14:paraId="7A137CE5" w14:textId="77777777" w:rsidR="00C63ADB" w:rsidRPr="004E70F9" w:rsidRDefault="00C63ADB" w:rsidP="00C63ADB">
      <w:pPr>
        <w:pStyle w:val="Textonotapie"/>
        <w:ind w:firstLine="709"/>
        <w:jc w:val="both"/>
        <w:rPr>
          <w:rFonts w:ascii="Verdana" w:hAnsi="Verdana" w:cs="Arial"/>
          <w:sz w:val="16"/>
          <w:szCs w:val="16"/>
          <w:lang w:val="es-ES"/>
        </w:rPr>
      </w:pPr>
      <w:r w:rsidRPr="004E70F9">
        <w:rPr>
          <w:rFonts w:ascii="Verdana" w:hAnsi="Verdana" w:cs="Arial"/>
          <w:sz w:val="16"/>
          <w:szCs w:val="16"/>
          <w:lang w:val="es-ES"/>
        </w:rPr>
        <w:t>Las entidades estatales podrán pactar estas cláusulas en los contratos de suministro y de prestación de servicios.”.</w:t>
      </w:r>
    </w:p>
    <w:p w14:paraId="58AB4604" w14:textId="77777777" w:rsidR="00C63ADB" w:rsidRPr="004E70F9" w:rsidRDefault="00C63ADB" w:rsidP="00C63ADB">
      <w:pPr>
        <w:pStyle w:val="Textonotapie"/>
        <w:ind w:firstLine="709"/>
        <w:jc w:val="both"/>
        <w:rPr>
          <w:rFonts w:ascii="Verdana" w:hAnsi="Verdana" w:cs="Arial"/>
          <w:sz w:val="16"/>
          <w:szCs w:val="16"/>
          <w:lang w:val="es-ES"/>
        </w:rPr>
      </w:pPr>
    </w:p>
  </w:footnote>
  <w:footnote w:id="9">
    <w:p w14:paraId="3DA9E5CA" w14:textId="77777777" w:rsidR="00C63ADB" w:rsidRPr="004E70F9" w:rsidRDefault="00C63ADB" w:rsidP="00C63ADB">
      <w:pPr>
        <w:pStyle w:val="Textonotapie"/>
        <w:ind w:firstLine="709"/>
        <w:jc w:val="both"/>
        <w:rPr>
          <w:rFonts w:ascii="Verdana" w:hAnsi="Verdana" w:cs="Arial"/>
          <w:sz w:val="16"/>
          <w:szCs w:val="16"/>
          <w:lang w:val="es-ES"/>
        </w:rPr>
      </w:pPr>
      <w:r w:rsidRPr="004E70F9">
        <w:rPr>
          <w:rStyle w:val="Refdenotaalpie"/>
          <w:rFonts w:ascii="Verdana" w:hAnsi="Verdana" w:cs="Arial"/>
          <w:sz w:val="16"/>
          <w:szCs w:val="16"/>
        </w:rPr>
        <w:footnoteRef/>
      </w:r>
      <w:r w:rsidRPr="004E70F9">
        <w:rPr>
          <w:rFonts w:ascii="Verdana" w:hAnsi="Verdana" w:cs="Arial"/>
          <w:sz w:val="16"/>
          <w:szCs w:val="16"/>
        </w:rPr>
        <w:t xml:space="preserve"> </w:t>
      </w:r>
      <w:r w:rsidRPr="004E70F9">
        <w:rPr>
          <w:rFonts w:ascii="Verdana" w:hAnsi="Verdana" w:cs="Arial"/>
          <w:sz w:val="16"/>
          <w:szCs w:val="16"/>
          <w:lang w:val="es-ES"/>
        </w:rPr>
        <w:t>La norma dispone: “La liquidación a que se refiere el presente artículo no será obligatoria en los contratos de prestación de servicios profesionales y de apoyo a la gestión”.</w:t>
      </w:r>
    </w:p>
    <w:p w14:paraId="39E14429" w14:textId="77777777" w:rsidR="00C63ADB" w:rsidRPr="004E70F9" w:rsidRDefault="00C63ADB" w:rsidP="00C63ADB">
      <w:pPr>
        <w:pStyle w:val="Textonotapie"/>
        <w:ind w:firstLine="709"/>
        <w:jc w:val="both"/>
        <w:rPr>
          <w:rFonts w:ascii="Verdana" w:hAnsi="Verdana" w:cs="Arial"/>
          <w:sz w:val="16"/>
          <w:szCs w:val="16"/>
          <w:lang w:val="es-ES"/>
        </w:rPr>
      </w:pPr>
    </w:p>
  </w:footnote>
  <w:footnote w:id="10">
    <w:p w14:paraId="1200A134" w14:textId="77777777" w:rsidR="00C63ADB" w:rsidRPr="004E70F9" w:rsidRDefault="00C63ADB" w:rsidP="00C63ADB">
      <w:pPr>
        <w:pStyle w:val="Textonotapie"/>
        <w:ind w:firstLine="709"/>
        <w:jc w:val="both"/>
        <w:rPr>
          <w:rFonts w:ascii="Verdana" w:hAnsi="Verdana" w:cs="Arial"/>
          <w:sz w:val="16"/>
          <w:szCs w:val="16"/>
        </w:rPr>
      </w:pPr>
      <w:r w:rsidRPr="004E70F9">
        <w:rPr>
          <w:rStyle w:val="Refdenotaalpie"/>
          <w:rFonts w:ascii="Verdana" w:hAnsi="Verdana" w:cs="Arial"/>
          <w:sz w:val="16"/>
          <w:szCs w:val="16"/>
        </w:rPr>
        <w:footnoteRef/>
      </w:r>
      <w:r w:rsidRPr="004E70F9">
        <w:rPr>
          <w:rFonts w:ascii="Verdana" w:hAnsi="Verdana" w:cs="Arial"/>
          <w:sz w:val="16"/>
          <w:szCs w:val="16"/>
        </w:rPr>
        <w:t xml:space="preserve"> Según dicho artículo: “Art. 6.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3D35063B" w14:textId="77777777" w:rsidR="00C63ADB" w:rsidRPr="004E70F9" w:rsidRDefault="00C63ADB" w:rsidP="00C63ADB">
      <w:pPr>
        <w:pStyle w:val="Textonotapie"/>
        <w:ind w:firstLine="709"/>
        <w:jc w:val="both"/>
        <w:rPr>
          <w:rFonts w:ascii="Verdana" w:hAnsi="Verdana" w:cs="Arial"/>
          <w:sz w:val="16"/>
          <w:szCs w:val="16"/>
        </w:rPr>
      </w:pPr>
      <w:r w:rsidRPr="004E70F9">
        <w:rPr>
          <w:rFonts w:ascii="Verdana" w:hAnsi="Verdana" w:cs="Arial"/>
          <w:sz w:val="16"/>
          <w:szCs w:val="16"/>
        </w:rPr>
        <w:t xml:space="preserve">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w:t>
      </w:r>
      <w:proofErr w:type="gramStart"/>
      <w:r w:rsidRPr="004E70F9">
        <w:rPr>
          <w:rFonts w:ascii="Verdana" w:hAnsi="Verdana" w:cs="Arial"/>
          <w:sz w:val="16"/>
          <w:szCs w:val="16"/>
        </w:rPr>
        <w:t>proponentes.[</w:t>
      </w:r>
      <w:proofErr w:type="gramEnd"/>
      <w:r w:rsidRPr="004E70F9">
        <w:rPr>
          <w:rFonts w:ascii="Verdana" w:hAnsi="Verdana" w:cs="Arial"/>
          <w:sz w:val="16"/>
          <w:szCs w:val="16"/>
        </w:rPr>
        <w:t>…]”.</w:t>
      </w:r>
    </w:p>
    <w:p w14:paraId="363CE412" w14:textId="77777777" w:rsidR="00C63ADB" w:rsidRPr="004E70F9" w:rsidRDefault="00C63ADB" w:rsidP="00C63ADB">
      <w:pPr>
        <w:pStyle w:val="Textonotapie"/>
        <w:ind w:firstLine="709"/>
        <w:jc w:val="both"/>
        <w:rPr>
          <w:rFonts w:ascii="Verdana" w:hAnsi="Verdana" w:cs="Arial"/>
          <w:sz w:val="16"/>
          <w:szCs w:val="16"/>
          <w:lang w:val="es-ES"/>
        </w:rPr>
      </w:pPr>
    </w:p>
  </w:footnote>
  <w:footnote w:id="11">
    <w:p w14:paraId="590649D3" w14:textId="77777777" w:rsidR="00C63ADB" w:rsidRPr="00BF6219" w:rsidRDefault="00C63ADB" w:rsidP="00C63ADB">
      <w:pPr>
        <w:spacing w:after="0" w:line="240" w:lineRule="auto"/>
        <w:ind w:firstLine="709"/>
        <w:jc w:val="both"/>
        <w:rPr>
          <w:rFonts w:ascii="Verdana" w:hAnsi="Verdana" w:cs="Arial"/>
          <w:sz w:val="16"/>
          <w:szCs w:val="16"/>
        </w:rPr>
      </w:pPr>
      <w:r w:rsidRPr="00BF6219">
        <w:rPr>
          <w:rStyle w:val="Refdenotaalpie"/>
          <w:rFonts w:ascii="Verdana" w:hAnsi="Verdana" w:cs="Arial"/>
          <w:sz w:val="16"/>
          <w:szCs w:val="16"/>
        </w:rPr>
        <w:footnoteRef/>
      </w:r>
      <w:r w:rsidRPr="00BF6219">
        <w:rPr>
          <w:rFonts w:ascii="Verdana" w:hAnsi="Verdana" w:cs="Arial"/>
          <w:position w:val="6"/>
          <w:sz w:val="16"/>
          <w:szCs w:val="16"/>
        </w:rPr>
        <w:t xml:space="preserve"> </w:t>
      </w:r>
      <w:r w:rsidRPr="00BF6219">
        <w:rPr>
          <w:rFonts w:ascii="Verdana" w:hAnsi="Verdana" w:cs="Arial"/>
          <w:sz w:val="16"/>
          <w:szCs w:val="16"/>
        </w:rPr>
        <w:t>DEIK ACOSTAMADIEDO, Carolina, Guía de Contratación Estatal: Deber de planeación y modalidades de selección, Buenos Aires, 2015, p. 59.</w:t>
      </w:r>
    </w:p>
    <w:p w14:paraId="614B01D6" w14:textId="77777777" w:rsidR="00C63ADB" w:rsidRPr="00BF6219" w:rsidRDefault="00C63ADB" w:rsidP="00C63ADB">
      <w:pPr>
        <w:pStyle w:val="Textonotapie"/>
        <w:ind w:firstLine="709"/>
        <w:jc w:val="both"/>
        <w:rPr>
          <w:rFonts w:ascii="Verdana" w:hAnsi="Verdana" w:cs="Arial"/>
          <w:sz w:val="16"/>
          <w:szCs w:val="16"/>
        </w:rPr>
      </w:pPr>
    </w:p>
  </w:footnote>
  <w:footnote w:id="12">
    <w:p w14:paraId="159254F3" w14:textId="77777777" w:rsidR="00C63ADB" w:rsidRPr="00BF6219" w:rsidRDefault="00C63ADB" w:rsidP="00C63ADB">
      <w:pPr>
        <w:pStyle w:val="Textoindependiente"/>
        <w:spacing w:after="0" w:line="240" w:lineRule="auto"/>
        <w:ind w:firstLine="709"/>
        <w:jc w:val="both"/>
        <w:rPr>
          <w:rFonts w:ascii="Verdana" w:hAnsi="Verdana" w:cs="Arial"/>
          <w:sz w:val="16"/>
          <w:szCs w:val="16"/>
        </w:rPr>
      </w:pPr>
      <w:r w:rsidRPr="00BF6219">
        <w:rPr>
          <w:rStyle w:val="Refdenotaalpie"/>
          <w:rFonts w:ascii="Verdana" w:hAnsi="Verdana" w:cs="Arial"/>
          <w:sz w:val="16"/>
          <w:szCs w:val="16"/>
        </w:rPr>
        <w:footnoteRef/>
      </w:r>
      <w:r w:rsidRPr="00BF6219">
        <w:rPr>
          <w:rFonts w:ascii="Verdana" w:hAnsi="Verdana" w:cs="Arial"/>
          <w:sz w:val="16"/>
          <w:szCs w:val="16"/>
        </w:rPr>
        <w:t xml:space="preserve"> “Artículo </w:t>
      </w:r>
      <w:bookmarkStart w:id="3" w:name="_Hlk54173885"/>
      <w:r w:rsidRPr="00BF6219">
        <w:rPr>
          <w:rFonts w:ascii="Verdana" w:hAnsi="Verdana" w:cs="Arial"/>
          <w:sz w:val="16"/>
          <w:szCs w:val="16"/>
        </w:rPr>
        <w:t>2.2.1.1.2.1.1</w:t>
      </w:r>
      <w:bookmarkEnd w:id="3"/>
      <w:r w:rsidRPr="00BF6219">
        <w:rPr>
          <w:rFonts w:ascii="Verdana" w:hAnsi="Verdana" w:cs="Arial"/>
          <w:sz w:val="16"/>
          <w:szCs w:val="16"/>
        </w:rPr>
        <w:t>. Estudios y documentos previos. Los estudios y documentos previos son el soporte para elaborar el proyecto de pliegos, los pliegos de condiciones, y el contrato. Deben permanecer a disposición del público durante el desarrollo del Proceso de Contratación y contener los siguientes elementos, además de los indicados para cada modalidad de selección: (…)”.</w:t>
      </w:r>
    </w:p>
    <w:p w14:paraId="29D19877" w14:textId="77777777" w:rsidR="00C63ADB" w:rsidRPr="00BF6219" w:rsidRDefault="00C63ADB" w:rsidP="00C63ADB">
      <w:pPr>
        <w:pStyle w:val="Textonotapie"/>
        <w:ind w:firstLine="709"/>
        <w:jc w:val="both"/>
        <w:rPr>
          <w:rFonts w:ascii="Verdana" w:hAnsi="Verdana" w:cs="Arial"/>
          <w:sz w:val="16"/>
          <w:szCs w:val="16"/>
        </w:rPr>
      </w:pPr>
    </w:p>
  </w:footnote>
  <w:footnote w:id="13">
    <w:p w14:paraId="68D2CAD2" w14:textId="77777777" w:rsidR="00C63ADB" w:rsidRPr="00BF6219" w:rsidRDefault="00C63ADB" w:rsidP="00C63ADB">
      <w:pPr>
        <w:pStyle w:val="Textoindependiente"/>
        <w:spacing w:after="0" w:line="240" w:lineRule="auto"/>
        <w:ind w:firstLine="709"/>
        <w:jc w:val="both"/>
        <w:rPr>
          <w:rFonts w:ascii="Verdana" w:hAnsi="Verdana" w:cs="Arial"/>
          <w:sz w:val="16"/>
          <w:szCs w:val="16"/>
        </w:rPr>
      </w:pPr>
      <w:r w:rsidRPr="00BF6219">
        <w:rPr>
          <w:rStyle w:val="Refdenotaalpie"/>
          <w:rFonts w:ascii="Verdana" w:hAnsi="Verdana" w:cs="Arial"/>
          <w:sz w:val="16"/>
          <w:szCs w:val="16"/>
        </w:rPr>
        <w:footnoteRef/>
      </w:r>
      <w:r w:rsidRPr="00BF6219">
        <w:rPr>
          <w:rFonts w:ascii="Verdana" w:hAnsi="Verdana" w:cs="Arial"/>
          <w:sz w:val="16"/>
          <w:szCs w:val="16"/>
        </w:rPr>
        <w:t xml:space="preserve"> Consejo de Estado. Sala de lo Contencioso Administrativo. Sección Tercera. Subsección B. Sentencia del 31 de agosto de 2011. </w:t>
      </w:r>
      <w:proofErr w:type="spellStart"/>
      <w:r w:rsidRPr="00BF6219">
        <w:rPr>
          <w:rFonts w:ascii="Verdana" w:hAnsi="Verdana" w:cs="Arial"/>
          <w:sz w:val="16"/>
          <w:szCs w:val="16"/>
        </w:rPr>
        <w:t>Exp</w:t>
      </w:r>
      <w:proofErr w:type="spellEnd"/>
      <w:r w:rsidRPr="00BF6219">
        <w:rPr>
          <w:rFonts w:ascii="Verdana" w:hAnsi="Verdana" w:cs="Arial"/>
          <w:sz w:val="16"/>
          <w:szCs w:val="16"/>
        </w:rPr>
        <w:t xml:space="preserve">. 18.080. C.P. Ruth Stella Correa Palacio: </w:t>
      </w:r>
      <w:r w:rsidRPr="00BF6219">
        <w:rPr>
          <w:rFonts w:ascii="Verdana" w:hAnsi="Verdana" w:cs="Arial"/>
          <w:i/>
          <w:iCs/>
          <w:sz w:val="16"/>
          <w:szCs w:val="16"/>
        </w:rPr>
        <w:t>“(…) recuérdese que la aplicación de la buena fe en materia negocial implica para las partes la observancia la observancia de una conducta enmarcada dentro del contexto de los deberes de corrección, claridad y recíproca lealtad que se deben los contratantes, para remitir la realización de los efectos finales buscados en el contrato”.</w:t>
      </w:r>
    </w:p>
    <w:p w14:paraId="79BBBFF7" w14:textId="77777777" w:rsidR="00C63ADB" w:rsidRPr="00BF6219" w:rsidRDefault="00C63ADB" w:rsidP="00C63ADB">
      <w:pPr>
        <w:pStyle w:val="Textonotapie"/>
        <w:ind w:firstLine="709"/>
        <w:jc w:val="both"/>
        <w:rPr>
          <w:rFonts w:ascii="Verdana" w:hAnsi="Verdana" w:cs="Arial"/>
          <w:sz w:val="16"/>
          <w:szCs w:val="16"/>
        </w:rPr>
      </w:pPr>
    </w:p>
  </w:footnote>
  <w:footnote w:id="14">
    <w:p w14:paraId="32C0533A" w14:textId="77777777" w:rsidR="00C63ADB" w:rsidRPr="004E70F9" w:rsidRDefault="00C63ADB" w:rsidP="00C63ADB">
      <w:pPr>
        <w:pStyle w:val="Textonotapie"/>
        <w:ind w:firstLine="709"/>
        <w:jc w:val="both"/>
        <w:rPr>
          <w:rFonts w:ascii="Verdana" w:hAnsi="Verdana"/>
          <w:sz w:val="16"/>
          <w:szCs w:val="16"/>
        </w:rPr>
      </w:pPr>
      <w:r w:rsidRPr="00BF6219">
        <w:rPr>
          <w:rStyle w:val="Refdenotaalpie"/>
          <w:rFonts w:ascii="Verdana" w:hAnsi="Verdana"/>
          <w:sz w:val="16"/>
          <w:szCs w:val="16"/>
        </w:rPr>
        <w:footnoteRef/>
      </w:r>
      <w:r w:rsidRPr="00532B3F">
        <w:rPr>
          <w:rFonts w:ascii="Verdana" w:hAnsi="Verdana"/>
          <w:sz w:val="16"/>
          <w:szCs w:val="16"/>
        </w:rPr>
        <w:t xml:space="preserve"> Disponible en </w:t>
      </w:r>
      <w:hyperlink r:id="rId1" w:history="1">
        <w:r w:rsidRPr="004E70F9">
          <w:rPr>
            <w:rStyle w:val="Hipervnculo"/>
            <w:rFonts w:ascii="Verdana" w:hAnsi="Verdana"/>
            <w:sz w:val="16"/>
            <w:szCs w:val="16"/>
          </w:rPr>
          <w:t>https://www.colombiacompra.gov.co/archivos/manual/guia-para-la-elaboracion-de-estudios-del-sector</w:t>
        </w:r>
      </w:hyperlink>
    </w:p>
    <w:p w14:paraId="1745B283" w14:textId="77777777" w:rsidR="00C63ADB" w:rsidRPr="00BF6219" w:rsidRDefault="00C63ADB" w:rsidP="00C63ADB">
      <w:pPr>
        <w:pStyle w:val="Textonotapie"/>
        <w:ind w:firstLine="709"/>
        <w:jc w:val="both"/>
        <w:rPr>
          <w:rFonts w:ascii="Verdana" w:hAnsi="Verdana"/>
          <w:sz w:val="16"/>
          <w:szCs w:val="16"/>
        </w:rPr>
      </w:pPr>
    </w:p>
  </w:footnote>
  <w:footnote w:id="15">
    <w:p w14:paraId="67DE0848" w14:textId="77777777" w:rsidR="00C63ADB" w:rsidRDefault="00C63ADB" w:rsidP="00C63ADB">
      <w:pPr>
        <w:pStyle w:val="Textonotapie"/>
        <w:ind w:firstLine="709"/>
        <w:rPr>
          <w:rFonts w:ascii="Verdana" w:hAnsi="Verdana"/>
          <w:sz w:val="16"/>
          <w:szCs w:val="16"/>
          <w:lang w:val="es-ES_tradnl"/>
        </w:rPr>
      </w:pPr>
      <w:r w:rsidRPr="004E70F9">
        <w:rPr>
          <w:rStyle w:val="Refdenotaalpie"/>
          <w:rFonts w:ascii="Verdana" w:hAnsi="Verdana"/>
          <w:sz w:val="16"/>
          <w:szCs w:val="16"/>
        </w:rPr>
        <w:footnoteRef/>
      </w:r>
      <w:r w:rsidRPr="004E70F9">
        <w:rPr>
          <w:rFonts w:ascii="Verdana" w:hAnsi="Verdana"/>
          <w:sz w:val="16"/>
          <w:szCs w:val="16"/>
        </w:rPr>
        <w:t xml:space="preserve"> </w:t>
      </w:r>
      <w:r w:rsidRPr="00073E55">
        <w:rPr>
          <w:rFonts w:ascii="Verdana" w:hAnsi="Verdana"/>
          <w:sz w:val="16"/>
          <w:szCs w:val="16"/>
          <w:lang w:val="es-ES_tradnl"/>
        </w:rPr>
        <w:t>Decreto 1082 de 2015, artículo 2.2.1.2.1.4.9, inciso primero</w:t>
      </w:r>
      <w:r>
        <w:rPr>
          <w:rFonts w:ascii="Verdana" w:hAnsi="Verdana"/>
          <w:sz w:val="16"/>
          <w:szCs w:val="16"/>
          <w:lang w:val="es-ES_tradnl"/>
        </w:rPr>
        <w:t xml:space="preserve">. </w:t>
      </w:r>
    </w:p>
    <w:p w14:paraId="4BF090F1" w14:textId="77777777" w:rsidR="00C63ADB" w:rsidRPr="004E70F9" w:rsidRDefault="00C63ADB" w:rsidP="00C63ADB">
      <w:pPr>
        <w:pStyle w:val="Textonotapie"/>
        <w:ind w:firstLine="709"/>
        <w:rPr>
          <w:rFonts w:ascii="Verdana" w:hAnsi="Verdana"/>
          <w:sz w:val="16"/>
          <w:szCs w:val="16"/>
        </w:rPr>
      </w:pPr>
    </w:p>
  </w:footnote>
  <w:footnote w:id="16">
    <w:p w14:paraId="66F53EC5" w14:textId="77777777" w:rsidR="00C63ADB" w:rsidRDefault="00C63ADB" w:rsidP="00C63ADB">
      <w:pPr>
        <w:pStyle w:val="Textonotapie"/>
        <w:ind w:firstLine="709"/>
        <w:jc w:val="both"/>
        <w:rPr>
          <w:rFonts w:ascii="Verdana" w:hAnsi="Verdana"/>
          <w:sz w:val="16"/>
          <w:szCs w:val="16"/>
          <w:lang w:val="es-ES_tradnl"/>
        </w:rPr>
      </w:pPr>
      <w:r w:rsidRPr="004E70F9">
        <w:rPr>
          <w:rStyle w:val="Refdenotaalpie"/>
          <w:rFonts w:ascii="Verdana" w:hAnsi="Verdana"/>
          <w:sz w:val="16"/>
          <w:szCs w:val="16"/>
        </w:rPr>
        <w:footnoteRef/>
      </w:r>
      <w:r w:rsidRPr="004E70F9">
        <w:rPr>
          <w:rFonts w:ascii="Verdana" w:hAnsi="Verdana"/>
          <w:sz w:val="16"/>
          <w:szCs w:val="16"/>
          <w:lang w:val="es-ES_tradnl"/>
        </w:rPr>
        <w:t xml:space="preserve"> </w:t>
      </w:r>
      <w:r w:rsidRPr="00BD3D6E">
        <w:rPr>
          <w:rFonts w:ascii="Verdana" w:hAnsi="Verdana"/>
          <w:sz w:val="16"/>
          <w:szCs w:val="16"/>
          <w:lang w:val="es-ES_tradnl"/>
        </w:rPr>
        <w:t>Ley 1150 de 2007, artículo 5; Ley 80 de 1993, artículos 24, numeral 7, y 26, numeral 1.</w:t>
      </w:r>
    </w:p>
    <w:p w14:paraId="697607DF" w14:textId="77777777" w:rsidR="00C63ADB" w:rsidRPr="00BD3D6E" w:rsidRDefault="00C63ADB" w:rsidP="00C63ADB">
      <w:pPr>
        <w:pStyle w:val="Textonotapie"/>
        <w:ind w:firstLine="709"/>
        <w:jc w:val="both"/>
        <w:rPr>
          <w:rFonts w:ascii="Verdana" w:hAnsi="Verdana"/>
          <w:sz w:val="16"/>
          <w:szCs w:val="16"/>
          <w:lang w:val="es-ES_tradnl"/>
        </w:rPr>
      </w:pPr>
    </w:p>
  </w:footnote>
  <w:footnote w:id="17">
    <w:p w14:paraId="7018DCF6" w14:textId="77777777" w:rsidR="00C63ADB" w:rsidRDefault="00C63ADB" w:rsidP="00C63ADB">
      <w:pPr>
        <w:pStyle w:val="Textonotapie"/>
        <w:ind w:firstLine="709"/>
        <w:jc w:val="both"/>
        <w:rPr>
          <w:rFonts w:ascii="Verdana" w:hAnsi="Verdana"/>
          <w:sz w:val="16"/>
          <w:szCs w:val="16"/>
          <w:lang w:val="es-ES_tradnl"/>
        </w:rPr>
      </w:pPr>
      <w:r w:rsidRPr="00BD3D6E">
        <w:rPr>
          <w:rStyle w:val="Refdenotaalpie"/>
          <w:rFonts w:ascii="Verdana" w:hAnsi="Verdana"/>
          <w:sz w:val="16"/>
          <w:szCs w:val="16"/>
        </w:rPr>
        <w:footnoteRef/>
      </w:r>
      <w:r w:rsidRPr="00BD3D6E">
        <w:rPr>
          <w:rFonts w:ascii="Verdana" w:hAnsi="Verdana"/>
          <w:sz w:val="16"/>
          <w:szCs w:val="16"/>
          <w:lang w:val="es-ES_tradnl"/>
        </w:rPr>
        <w:t xml:space="preserve"> AGENCIA NACIONAL DE CONTRATACIÓN PÚBLICA – COLOMBIA COMPRA EFICIENTE. Subdirección de Gestión Contractual. Concepto C-970 del 27 de julio de 2026.</w:t>
      </w:r>
    </w:p>
    <w:p w14:paraId="04E1B93D" w14:textId="77777777" w:rsidR="00C63ADB" w:rsidRPr="00BD3D6E" w:rsidRDefault="00C63ADB" w:rsidP="00C63ADB">
      <w:pPr>
        <w:pStyle w:val="Textonotapie"/>
        <w:ind w:firstLine="709"/>
        <w:jc w:val="both"/>
        <w:rPr>
          <w:rFonts w:ascii="Verdana" w:hAnsi="Verdana"/>
          <w:sz w:val="16"/>
          <w:szCs w:val="16"/>
          <w:lang w:val="es-ES_tradnl"/>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C13FA" w14:textId="77777777" w:rsidR="00C63ADB" w:rsidRDefault="00C63ADB"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0288" behindDoc="1" locked="0" layoutInCell="1" allowOverlap="1" wp14:anchorId="44B2C08A" wp14:editId="18913611">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15D3EC0A" wp14:editId="7E130881">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32E74E37" w14:textId="77777777" w:rsidR="00C63ADB" w:rsidRDefault="00C63ADB">
    <w:pPr>
      <w:pStyle w:val="Encabezado"/>
    </w:pPr>
  </w:p>
  <w:p w14:paraId="6EB05923" w14:textId="77777777" w:rsidR="00C63ADB" w:rsidRPr="004A305D" w:rsidRDefault="00C63ADB" w:rsidP="00B01B1A">
    <w:pPr>
      <w:spacing w:after="0" w:line="120" w:lineRule="auto"/>
      <w:rPr>
        <w:rFonts w:ascii="Century Gothic" w:eastAsia="Geo" w:hAnsi="Century Gothic" w:cs="Geo"/>
        <w:sz w:val="16"/>
        <w:szCs w:val="16"/>
        <w:lang w:eastAsia="es-CO"/>
      </w:rPr>
    </w:pPr>
  </w:p>
  <w:p w14:paraId="7E5886A7" w14:textId="77777777" w:rsidR="00C63ADB" w:rsidRDefault="00C63ADB" w:rsidP="00844AE9">
    <w:pPr>
      <w:spacing w:after="0" w:line="240" w:lineRule="auto"/>
      <w:rPr>
        <w:rFonts w:ascii="Verdana" w:hAnsi="Verdana"/>
        <w:sz w:val="24"/>
        <w:szCs w:val="24"/>
      </w:rPr>
    </w:pPr>
  </w:p>
  <w:p w14:paraId="2532A716" w14:textId="77777777" w:rsidR="00C63ADB" w:rsidRPr="00C925AC" w:rsidRDefault="00C63ADB" w:rsidP="00844AE9">
    <w:pPr>
      <w:spacing w:after="0" w:line="240" w:lineRule="auto"/>
      <w:rPr>
        <w:rFonts w:ascii="Verdana" w:hAnsi="Verdana"/>
        <w:sz w:val="24"/>
        <w:szCs w:val="24"/>
      </w:rPr>
    </w:pPr>
  </w:p>
  <w:p w14:paraId="2340B88E" w14:textId="77777777" w:rsidR="00C63ADB" w:rsidRPr="00C925AC" w:rsidRDefault="00C63ADB" w:rsidP="000D5DA7">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92EC0BC6"/>
    <w:lvl w:ilvl="0">
      <w:start w:val="1"/>
      <w:numFmt w:val="decimal"/>
      <w:lvlText w:val="%1."/>
      <w:lvlJc w:val="left"/>
      <w:pPr>
        <w:ind w:left="6601" w:hanging="360"/>
      </w:pPr>
      <w:rPr>
        <w:b/>
        <w:color w:val="000000" w:themeColor="text1"/>
        <w:lang w:val="es-C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FBC25EC"/>
    <w:multiLevelType w:val="hybridMultilevel"/>
    <w:tmpl w:val="116E127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708720717">
    <w:abstractNumId w:val="0"/>
  </w:num>
  <w:num w:numId="2" w16cid:durableId="5260649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3ADB"/>
    <w:rsid w:val="003272D3"/>
    <w:rsid w:val="00631414"/>
    <w:rsid w:val="00724CAD"/>
    <w:rsid w:val="008964E9"/>
    <w:rsid w:val="00990931"/>
    <w:rsid w:val="00C63ADB"/>
    <w:rsid w:val="00EB18B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21EA98"/>
  <w15:chartTrackingRefBased/>
  <w15:docId w15:val="{4A24EEBC-ADA1-4172-BE22-0C9D901BF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3ADB"/>
    <w:pPr>
      <w:spacing w:line="259" w:lineRule="auto"/>
    </w:pPr>
    <w:rPr>
      <w:kern w:val="0"/>
      <w:sz w:val="22"/>
      <w:szCs w:val="22"/>
      <w14:ligatures w14:val="none"/>
    </w:rPr>
  </w:style>
  <w:style w:type="paragraph" w:styleId="Ttulo1">
    <w:name w:val="heading 1"/>
    <w:basedOn w:val="Normal"/>
    <w:next w:val="Normal"/>
    <w:link w:val="Ttulo1Car"/>
    <w:uiPriority w:val="9"/>
    <w:qFormat/>
    <w:rsid w:val="00C63AD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C63AD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C63AD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C63AD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C63AD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C63AD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C63AD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C63AD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C63AD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63AD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C63AD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C63ADB"/>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C63ADB"/>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C63ADB"/>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C63AD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C63AD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C63AD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C63ADB"/>
    <w:rPr>
      <w:rFonts w:eastAsiaTheme="majorEastAsia" w:cstheme="majorBidi"/>
      <w:color w:val="272727" w:themeColor="text1" w:themeTint="D8"/>
    </w:rPr>
  </w:style>
  <w:style w:type="paragraph" w:styleId="Ttulo">
    <w:name w:val="Title"/>
    <w:basedOn w:val="Normal"/>
    <w:next w:val="Normal"/>
    <w:link w:val="TtuloCar"/>
    <w:uiPriority w:val="10"/>
    <w:qFormat/>
    <w:rsid w:val="00C63A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63AD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C63AD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C63AD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C63ADB"/>
    <w:pPr>
      <w:spacing w:before="160"/>
      <w:jc w:val="center"/>
    </w:pPr>
    <w:rPr>
      <w:i/>
      <w:iCs/>
      <w:color w:val="404040" w:themeColor="text1" w:themeTint="BF"/>
    </w:rPr>
  </w:style>
  <w:style w:type="character" w:customStyle="1" w:styleId="CitaCar">
    <w:name w:val="Cita Car"/>
    <w:basedOn w:val="Fuentedeprrafopredeter"/>
    <w:link w:val="Cita"/>
    <w:uiPriority w:val="29"/>
    <w:rsid w:val="00C63ADB"/>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1"/>
    <w:qFormat/>
    <w:rsid w:val="00C63ADB"/>
    <w:pPr>
      <w:ind w:left="720"/>
      <w:contextualSpacing/>
    </w:pPr>
  </w:style>
  <w:style w:type="character" w:styleId="nfasisintenso">
    <w:name w:val="Intense Emphasis"/>
    <w:basedOn w:val="Fuentedeprrafopredeter"/>
    <w:uiPriority w:val="21"/>
    <w:qFormat/>
    <w:rsid w:val="00C63ADB"/>
    <w:rPr>
      <w:i/>
      <w:iCs/>
      <w:color w:val="0F4761" w:themeColor="accent1" w:themeShade="BF"/>
    </w:rPr>
  </w:style>
  <w:style w:type="paragraph" w:styleId="Citadestacada">
    <w:name w:val="Intense Quote"/>
    <w:basedOn w:val="Normal"/>
    <w:next w:val="Normal"/>
    <w:link w:val="CitadestacadaCar"/>
    <w:uiPriority w:val="30"/>
    <w:qFormat/>
    <w:rsid w:val="00C63A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C63ADB"/>
    <w:rPr>
      <w:i/>
      <w:iCs/>
      <w:color w:val="0F4761" w:themeColor="accent1" w:themeShade="BF"/>
    </w:rPr>
  </w:style>
  <w:style w:type="character" w:styleId="Referenciaintensa">
    <w:name w:val="Intense Reference"/>
    <w:basedOn w:val="Fuentedeprrafopredeter"/>
    <w:uiPriority w:val="32"/>
    <w:qFormat/>
    <w:rsid w:val="00C63ADB"/>
    <w:rPr>
      <w:b/>
      <w:bCs/>
      <w:smallCaps/>
      <w:color w:val="0F4761" w:themeColor="accent1" w:themeShade="BF"/>
      <w:spacing w:val="5"/>
    </w:rPr>
  </w:style>
  <w:style w:type="paragraph" w:styleId="Encabezado">
    <w:name w:val="header"/>
    <w:basedOn w:val="Normal"/>
    <w:link w:val="EncabezadoCar"/>
    <w:uiPriority w:val="99"/>
    <w:unhideWhenUsed/>
    <w:rsid w:val="00C63AD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63ADB"/>
    <w:rPr>
      <w:kern w:val="0"/>
      <w:sz w:val="22"/>
      <w:szCs w:val="22"/>
      <w14:ligatures w14:val="none"/>
    </w:rPr>
  </w:style>
  <w:style w:type="paragraph" w:styleId="Piedepgina">
    <w:name w:val="footer"/>
    <w:basedOn w:val="Normal"/>
    <w:link w:val="PiedepginaCar"/>
    <w:uiPriority w:val="99"/>
    <w:unhideWhenUsed/>
    <w:rsid w:val="00C63AD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63ADB"/>
    <w:rPr>
      <w:kern w:val="0"/>
      <w:sz w:val="22"/>
      <w:szCs w:val="22"/>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C63ADB"/>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C63ADB"/>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C63ADB"/>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C63ADB"/>
    <w:rPr>
      <w:vertAlign w:val="superscript"/>
    </w:rPr>
  </w:style>
  <w:style w:type="character" w:customStyle="1" w:styleId="normaltextrun">
    <w:name w:val="normaltextrun"/>
    <w:basedOn w:val="Fuentedeprrafopredeter"/>
    <w:rsid w:val="00C63ADB"/>
  </w:style>
  <w:style w:type="table" w:styleId="Tablaconcuadrcula">
    <w:name w:val="Table Grid"/>
    <w:basedOn w:val="Tablanormal"/>
    <w:uiPriority w:val="39"/>
    <w:qFormat/>
    <w:rsid w:val="00C63ADB"/>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63ADB"/>
    <w:rPr>
      <w:color w:val="0000FF"/>
      <w:u w:val="single"/>
    </w:rPr>
  </w:style>
  <w:style w:type="paragraph" w:styleId="NormalWeb">
    <w:name w:val="Normal (Web)"/>
    <w:basedOn w:val="Normal"/>
    <w:uiPriority w:val="99"/>
    <w:semiHidden/>
    <w:unhideWhenUsed/>
    <w:rsid w:val="00C63ADB"/>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C63ADB"/>
  </w:style>
  <w:style w:type="paragraph" w:customStyle="1" w:styleId="Appelnotedebasde">
    <w:name w:val="Appel note de bas de..."/>
    <w:basedOn w:val="Normal"/>
    <w:link w:val="Refdenotaalpie"/>
    <w:uiPriority w:val="99"/>
    <w:rsid w:val="00C63ADB"/>
    <w:pPr>
      <w:spacing w:line="240" w:lineRule="exact"/>
    </w:pPr>
    <w:rPr>
      <w:kern w:val="2"/>
      <w:sz w:val="24"/>
      <w:szCs w:val="24"/>
      <w:vertAlign w:val="superscript"/>
      <w14:ligatures w14:val="standardContextual"/>
    </w:rPr>
  </w:style>
  <w:style w:type="paragraph" w:styleId="Sinespaciado">
    <w:name w:val="No Spacing"/>
    <w:aliases w:val="No Indent"/>
    <w:uiPriority w:val="3"/>
    <w:qFormat/>
    <w:rsid w:val="00C63ADB"/>
    <w:pPr>
      <w:spacing w:after="0" w:line="240" w:lineRule="auto"/>
    </w:pPr>
    <w:rPr>
      <w:kern w:val="0"/>
      <w:szCs w:val="22"/>
      <w:lang w:val="es-MX"/>
      <w14:ligatures w14:val="none"/>
    </w:rPr>
  </w:style>
  <w:style w:type="paragraph" w:styleId="Textoindependiente">
    <w:name w:val="Body Text"/>
    <w:basedOn w:val="Normal"/>
    <w:link w:val="TextoindependienteCar"/>
    <w:uiPriority w:val="99"/>
    <w:semiHidden/>
    <w:unhideWhenUsed/>
    <w:rsid w:val="00C63ADB"/>
    <w:pPr>
      <w:spacing w:after="120" w:line="256" w:lineRule="auto"/>
    </w:pPr>
  </w:style>
  <w:style w:type="character" w:customStyle="1" w:styleId="TextoindependienteCar">
    <w:name w:val="Texto independiente Car"/>
    <w:basedOn w:val="Fuentedeprrafopredeter"/>
    <w:link w:val="Textoindependiente"/>
    <w:uiPriority w:val="99"/>
    <w:semiHidden/>
    <w:rsid w:val="00C63ADB"/>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stefaniiyricaurt@gmail.com" TargetMode="External"/><Relationship Id="rId13" Type="http://schemas.openxmlformats.org/officeDocument/2006/relationships/hyperlink" Target="https://nam02.safelinks.protection.outlook.com/?url=https%3A%2F%2Fwww.colombiacompra.gov.co%2Farchivos%2Fmanual%2Fguia-de-garantias-en-procesos-de-contratacion&amp;data=05%7C02%7Cana.bonilla%40colombiacompra.gov.co%7C7128555136e04fa6887d08dee99e1b50%7C7b09041e245149d08cb179d5e3d8c1be%7C0%7C0%7C639205062446530248%7CUnknown%7CTWFpbGZsb3d8eyJFbXB0eU1hcGkiOnRydWUsIlYiOiIwLjAuMDAwMCIsIlAiOiJXaW4zMiIsIkFOIjoiTWFpbCIsIldUIjoyfQ%3D%3D%7C0%7C%7C%7C&amp;sdata=oQgit%2FAMaGzdnE2GcsPlQcBfwpAYw24fEB6r%2BBBZutg%3D&amp;reserved=0"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emf"/><Relationship Id="rId12" Type="http://schemas.openxmlformats.org/officeDocument/2006/relationships/hyperlink" Target="https://relatoria.colombiacompra.gov.co/busqueda/conceptos" TargetMode="External"/><Relationship Id="rId17" Type="http://schemas.openxmlformats.org/officeDocument/2006/relationships/image" Target="media/image2.png"/><Relationship Id="rId2" Type="http://schemas.openxmlformats.org/officeDocument/2006/relationships/styles" Target="styles.xml"/><Relationship Id="rId16" Type="http://schemas.openxmlformats.org/officeDocument/2006/relationships/hyperlink" Target="https://nam02.safelinks.protection.outlook.com/?url=https%3A%2F%2Fwww.colombiacompra.gov.co%2Farchivos%2Fboletin%2Fboletin-edicion-n-3-de-2026-radar-de-la-compra-publica&amp;data=05%7C02%7Cana.bonilla%40colombiacompra.gov.co%7C7128555136e04fa6887d08dee99e1b50%7C7b09041e245149d08cb179d5e3d8c1be%7C0%7C0%7C639205062446582480%7CUnknown%7CTWFpbGZsb3d8eyJFbXB0eU1hcGkiOnRydWUsIlYiOiIwLjAuMDAwMCIsIlAiOiJXaW4zMiIsIkFOIjoiTWFpbCIsIldUIjoyfQ%3D%3D%7C0%7C%7C%7C&amp;sdata=3E87%2BXiPgcuKzNjb08X5RRG2n9%2BDsc2%2F5ZN9FROB4Eo%3D&amp;reserved=0"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olombiacompra.gov.co/archivos/manual/guia-para-la-elaboracion-de-estudios-del-sector" TargetMode="External"/><Relationship Id="rId24" Type="http://schemas.openxmlformats.org/officeDocument/2006/relationships/customXml" Target="../customXml/item3.xml"/><Relationship Id="rId5" Type="http://schemas.openxmlformats.org/officeDocument/2006/relationships/footnotes" Target="footnotes.xml"/><Relationship Id="rId15" Type="http://schemas.openxmlformats.org/officeDocument/2006/relationships/hyperlink" Target="https://nam02.safelinks.protection.outlook.com/?url=https%3A%2F%2Fwww.colombiacompra.gov.co%2Farchivos%2Fcircular%2Fcircular-externa-002-de-2026&amp;data=05%7C02%7Cana.bonilla%40colombiacompra.gov.co%7C7128555136e04fa6887d08dee99e1b50%7C7b09041e245149d08cb179d5e3d8c1be%7C0%7C0%7C639205062446570577%7CUnknown%7CTWFpbGZsb3d8eyJFbXB0eU1hcGkiOnRydWUsIlYiOiIwLjAuMDAwMCIsIlAiOiJXaW4zMiIsIkFOIjoiTWFpbCIsIldUIjoyfQ%3D%3D%7C0%7C%7C%7C&amp;sdata=6oYBTCkdsvDccXezxO3daP3zceLkDc7blme%2Fm%2BpFFVc%3D&amp;reserved=0" TargetMode="External"/><Relationship Id="rId23" Type="http://schemas.openxmlformats.org/officeDocument/2006/relationships/customXml" Target="../customXml/item2.xml"/><Relationship Id="rId10" Type="http://schemas.openxmlformats.org/officeDocument/2006/relationships/hyperlink" Target="https://relatoria.colombiacompra.gov.co/conceptos/c-183-de-2025/"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relatoria.colombiacompra.gov.co/conceptos/c-674-de-2024/" TargetMode="External"/><Relationship Id="rId14" Type="http://schemas.openxmlformats.org/officeDocument/2006/relationships/hyperlink" Target="https://nam02.safelinks.protection.outlook.com/?url=https%3A%2F%2Fwww.colombiacompra.gov.co%2Farchivos%2Fcircular%2Fcircular-externa-003-de-2026&amp;data=05%7C02%7Cana.bonilla%40colombiacompra.gov.co%7C7128555136e04fa6887d08dee99e1b50%7C7b09041e245149d08cb179d5e3d8c1be%7C0%7C0%7C639205062446555980%7CUnknown%7CTWFpbGZsb3d8eyJFbXB0eU1hcGkiOnRydWUsIlYiOiIwLjAuMDAwMCIsIlAiOiJXaW4zMiIsIkFOIjoiTWFpbCIsIldUIjoyfQ%3D%3D%7C0%7C%7C%7C&amp;sdata=z9tH46pz12Y%2F%2FZUje8KdKmYbKJBPtpJQlVjKii38yCI%3D&amp;reserved=0" TargetMode="External"/><Relationship Id="rId22" Type="http://schemas.openxmlformats.org/officeDocument/2006/relationships/customXml" Target="../customXml/item1.xm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archivos/manual/guia-para-la-elaboracion-de-estudios-del-secto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AB61555-D12C-4CE9-B6CF-39BB08762594}"/>
</file>

<file path=customXml/itemProps2.xml><?xml version="1.0" encoding="utf-8"?>
<ds:datastoreItem xmlns:ds="http://schemas.openxmlformats.org/officeDocument/2006/customXml" ds:itemID="{05836961-6B75-46E7-B60F-795B94BB5F4D}"/>
</file>

<file path=customXml/itemProps3.xml><?xml version="1.0" encoding="utf-8"?>
<ds:datastoreItem xmlns:ds="http://schemas.openxmlformats.org/officeDocument/2006/customXml" ds:itemID="{B000E1B2-0061-4030-ABDC-0747EF80B8EA}"/>
</file>

<file path=docProps/app.xml><?xml version="1.0" encoding="utf-8"?>
<Properties xmlns="http://schemas.openxmlformats.org/officeDocument/2006/extended-properties" xmlns:vt="http://schemas.openxmlformats.org/officeDocument/2006/docPropsVTypes">
  <Template>Normal</Template>
  <TotalTime>1</TotalTime>
  <Pages>24</Pages>
  <Words>8170</Words>
  <Characters>44935</Characters>
  <Application>Microsoft Office Word</Application>
  <DocSecurity>0</DocSecurity>
  <Lines>374</Lines>
  <Paragraphs>105</Paragraphs>
  <ScaleCrop>false</ScaleCrop>
  <Company/>
  <LinksUpToDate>false</LinksUpToDate>
  <CharactersWithSpaces>53000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Natalia Montoya Jiménez</dc:creator>
  <cp:keywords/>
  <dc:description/>
  <cp:lastModifiedBy>Natalia Montoya Jiménez</cp:lastModifiedBy>
  <cp:revision>3</cp:revision>
  <dcterms:created xsi:type="dcterms:W3CDTF">2026-10-22T16:50:00Z</dcterms:created>
  <dcterms:modified xsi:type="dcterms:W3CDTF">2026-10-22T20:26:00Z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