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837C7" w14:textId="77777777" w:rsidR="008D13E2" w:rsidRPr="00750D25" w:rsidRDefault="008D13E2" w:rsidP="008D13E2">
      <w:pPr>
        <w:spacing w:after="0" w:line="240" w:lineRule="auto"/>
        <w:jc w:val="both"/>
        <w:rPr>
          <w:rFonts w:ascii="Verdana" w:eastAsia="Calibri" w:hAnsi="Verdana" w:cs="Arial"/>
          <w:b/>
          <w:color w:val="000000" w:themeColor="text1"/>
          <w:lang w:val="es-ES"/>
        </w:rPr>
      </w:pPr>
      <w:bookmarkStart w:id="0" w:name="_Hlk143780582"/>
      <w:r w:rsidRPr="00750D25">
        <w:rPr>
          <w:rFonts w:ascii="Verdana" w:eastAsia="Calibri" w:hAnsi="Verdana" w:cs="Arial"/>
          <w:b/>
          <w:color w:val="000000" w:themeColor="text1"/>
          <w:lang w:val="es-ES"/>
        </w:rPr>
        <w:t xml:space="preserve">RÉGIMEN DE INHABILIDADES E INCOMPATIBILIDADES – Definición – Taxatividad – Interpretación restrictiva </w:t>
      </w:r>
    </w:p>
    <w:p w14:paraId="12E0966D" w14:textId="77777777" w:rsidR="008D13E2" w:rsidRPr="00750D25" w:rsidRDefault="008D13E2" w:rsidP="008D13E2">
      <w:pPr>
        <w:spacing w:after="0" w:line="240" w:lineRule="auto"/>
        <w:jc w:val="both"/>
        <w:rPr>
          <w:rFonts w:ascii="Verdana" w:eastAsia="Calibri" w:hAnsi="Verdana" w:cs="Arial"/>
          <w:bCs/>
          <w:color w:val="000000" w:themeColor="text1"/>
          <w:sz w:val="20"/>
          <w:szCs w:val="20"/>
          <w:lang w:val="es-ES"/>
        </w:rPr>
      </w:pPr>
    </w:p>
    <w:p w14:paraId="4CF791DD" w14:textId="77777777" w:rsidR="008D13E2" w:rsidRPr="00750D25" w:rsidRDefault="008D13E2" w:rsidP="008D13E2">
      <w:pPr>
        <w:spacing w:after="0" w:line="240" w:lineRule="auto"/>
        <w:jc w:val="both"/>
        <w:rPr>
          <w:rFonts w:ascii="Verdana" w:eastAsia="Calibri" w:hAnsi="Verdana" w:cs="Arial"/>
          <w:color w:val="000000" w:themeColor="text1"/>
          <w:sz w:val="20"/>
          <w:szCs w:val="20"/>
          <w:lang w:eastAsia="es-ES_tradnl"/>
        </w:rPr>
      </w:pPr>
      <w:r w:rsidRPr="00750D25">
        <w:rPr>
          <w:rFonts w:ascii="Verdana" w:eastAsia="Calibri" w:hAnsi="Verdana" w:cs="Arial"/>
          <w:color w:val="000000" w:themeColor="text1"/>
          <w:sz w:val="20"/>
          <w:szCs w:val="20"/>
          <w:lang w:eastAsia="es-ES_tradnl"/>
        </w:rPr>
        <w:t>Las inhabilidades e incompatibilidades son medios que buscan garantizar la transparencia y eficiencia en la actividad contractual del Estado y para ello imponen restricciones en la personalidad jurídica, la igualdad, la libre empresa y, particularmente, el derecho a participar en procesos de selección y celebrar contratos con la Administración. Asimismo</w:t>
      </w:r>
      <w:r w:rsidRPr="00750D25">
        <w:rPr>
          <w:rFonts w:ascii="Verdana" w:eastAsia="Calibri" w:hAnsi="Verdana" w:cs="Arial"/>
          <w:color w:val="000000" w:themeColor="text1"/>
          <w:sz w:val="20"/>
          <w:szCs w:val="20"/>
          <w:lang w:val="es-ES_tradnl" w:eastAsia="es-ES_tradnl"/>
        </w:rPr>
        <w:t xml:space="preserve">, el carácter reconocidamente taxativo del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Por ello, </w:t>
      </w:r>
      <w:r w:rsidRPr="00750D25">
        <w:rPr>
          <w:rFonts w:ascii="Verdana" w:eastAsia="Calibri" w:hAnsi="Verdana" w:cs="Arial"/>
          <w:color w:val="000000" w:themeColor="text1"/>
          <w:sz w:val="20"/>
          <w:szCs w:val="20"/>
          <w:lang w:eastAsia="es-ES_tradnl"/>
        </w:rPr>
        <w:t>la competencia para determinar qué hechos o situaciones generan inhabilidad para contratar con el Estado la tiene el legislador, pues este régimen es un aspecto propio del Estatuto General de la Contratación Pública, cuya expedición corresponde al Congreso de la República, conforme al artículo 150 de la Constitución Política, por lo que en esta materia rige el principio de legalidad.</w:t>
      </w:r>
    </w:p>
    <w:p w14:paraId="50A3A2F3" w14:textId="77777777" w:rsidR="008D13E2" w:rsidRPr="00750D25" w:rsidRDefault="008D13E2" w:rsidP="008D13E2">
      <w:pPr>
        <w:spacing w:after="0" w:line="240" w:lineRule="auto"/>
        <w:jc w:val="both"/>
        <w:rPr>
          <w:rFonts w:ascii="Verdana" w:eastAsia="Calibri" w:hAnsi="Verdana" w:cs="Arial"/>
          <w:color w:val="000000" w:themeColor="text1"/>
          <w:sz w:val="20"/>
          <w:szCs w:val="20"/>
          <w:lang w:eastAsia="es-ES_tradnl"/>
        </w:rPr>
      </w:pPr>
    </w:p>
    <w:p w14:paraId="30AF320C" w14:textId="77777777" w:rsidR="008D13E2" w:rsidRPr="00750D25" w:rsidRDefault="008D13E2" w:rsidP="008D13E2">
      <w:pPr>
        <w:spacing w:after="0" w:line="240" w:lineRule="auto"/>
        <w:jc w:val="both"/>
        <w:rPr>
          <w:rFonts w:ascii="Verdana" w:eastAsia="Calibri" w:hAnsi="Verdana" w:cs="Arial"/>
          <w:color w:val="000000" w:themeColor="text1"/>
          <w:sz w:val="20"/>
          <w:szCs w:val="20"/>
          <w:lang w:val="es-ES_tradnl" w:eastAsia="es-ES_tradnl"/>
        </w:rPr>
      </w:pPr>
      <w:r w:rsidRPr="00750D25">
        <w:rPr>
          <w:rFonts w:ascii="Verdana" w:eastAsia="Calibri" w:hAnsi="Verdana" w:cs="Arial"/>
          <w:color w:val="000000" w:themeColor="text1"/>
          <w:sz w:val="20"/>
          <w:szCs w:val="20"/>
          <w:lang w:val="es-ES_tradnl" w:eastAsia="es-ES_tradnl"/>
        </w:rPr>
        <w:t xml:space="preserve">De esta manera, las inhabilidades e incompatibilidades al ser límites especiales a la capacidad para presentar ofertas y celebrar contratos estatales, solo pueden tipificarse en la ley o la Constitución –o sea, deben satisfacer el principio de legalidad– y su interpretación debe ser </w:t>
      </w:r>
      <w:r w:rsidRPr="00750D25">
        <w:rPr>
          <w:rFonts w:ascii="Verdana" w:eastAsia="Calibri" w:hAnsi="Verdana" w:cs="Arial"/>
          <w:i/>
          <w:iCs/>
          <w:color w:val="000000" w:themeColor="text1"/>
          <w:sz w:val="20"/>
          <w:szCs w:val="20"/>
          <w:lang w:val="es-ES_tradnl" w:eastAsia="es-ES_tradnl"/>
        </w:rPr>
        <w:t>restrictiva</w:t>
      </w:r>
      <w:r w:rsidRPr="00750D25">
        <w:rPr>
          <w:rFonts w:ascii="Verdana" w:eastAsia="Calibri" w:hAnsi="Verdana" w:cs="Arial"/>
          <w:color w:val="000000" w:themeColor="text1"/>
          <w:sz w:val="20"/>
          <w:szCs w:val="20"/>
          <w:lang w:val="es-ES_tradnl" w:eastAsia="es-ES_tradnl"/>
        </w:rPr>
        <w:t>. En contraste, si se admitiera una interpretación amplia, extensiva, analógica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w:t>
      </w:r>
    </w:p>
    <w:p w14:paraId="4C1FD42B" w14:textId="77777777" w:rsidR="008D13E2" w:rsidRPr="00750D25" w:rsidRDefault="008D13E2" w:rsidP="008D13E2">
      <w:pPr>
        <w:spacing w:after="0" w:line="240" w:lineRule="auto"/>
        <w:jc w:val="both"/>
        <w:rPr>
          <w:rFonts w:ascii="Verdana" w:eastAsia="Calibri" w:hAnsi="Verdana" w:cs="Arial"/>
          <w:color w:val="000000" w:themeColor="text1"/>
          <w:sz w:val="20"/>
          <w:szCs w:val="20"/>
          <w:lang w:val="es-ES_tradnl" w:eastAsia="es-ES_tradnl"/>
        </w:rPr>
      </w:pPr>
    </w:p>
    <w:p w14:paraId="7C1B5F57" w14:textId="77777777" w:rsidR="008D13E2" w:rsidRPr="00750D25" w:rsidRDefault="008D13E2" w:rsidP="008D13E2">
      <w:pPr>
        <w:spacing w:after="0" w:line="240" w:lineRule="auto"/>
        <w:jc w:val="both"/>
        <w:rPr>
          <w:rFonts w:ascii="Verdana" w:eastAsia="Calibri" w:hAnsi="Verdana" w:cs="Arial"/>
          <w:b/>
          <w:lang w:val="es-ES"/>
        </w:rPr>
      </w:pPr>
      <w:r w:rsidRPr="00750D25">
        <w:rPr>
          <w:rFonts w:ascii="Verdana" w:eastAsia="Calibri" w:hAnsi="Verdana" w:cs="Arial"/>
          <w:b/>
          <w:lang w:val="es-ES"/>
        </w:rPr>
        <w:t>PERSONAS JURÍDICAS – Representantes legales – Capacidad – Independencia – Consecuencias</w:t>
      </w:r>
    </w:p>
    <w:p w14:paraId="4125981F" w14:textId="77777777" w:rsidR="008D13E2" w:rsidRPr="00750D25" w:rsidRDefault="008D13E2" w:rsidP="008D13E2">
      <w:pPr>
        <w:spacing w:after="0" w:line="240" w:lineRule="auto"/>
        <w:jc w:val="both"/>
        <w:rPr>
          <w:rFonts w:ascii="Verdana" w:eastAsia="Calibri" w:hAnsi="Verdana" w:cs="Arial"/>
          <w:bCs/>
          <w:sz w:val="20"/>
          <w:szCs w:val="20"/>
          <w:lang w:val="es-ES_tradnl"/>
        </w:rPr>
      </w:pPr>
    </w:p>
    <w:p w14:paraId="5A49BF7E" w14:textId="771CD694" w:rsidR="008D13E2" w:rsidRPr="00750D25" w:rsidRDefault="008D13E2" w:rsidP="008D13E2">
      <w:pPr>
        <w:spacing w:after="0" w:line="240" w:lineRule="auto"/>
        <w:jc w:val="both"/>
        <w:rPr>
          <w:rFonts w:ascii="Verdana" w:eastAsia="Calibri" w:hAnsi="Verdana" w:cs="Arial"/>
          <w:sz w:val="20"/>
          <w:szCs w:val="20"/>
          <w:lang w:val="es-ES"/>
        </w:rPr>
      </w:pPr>
      <w:r w:rsidRPr="00750D25">
        <w:rPr>
          <w:rFonts w:ascii="Verdana" w:eastAsia="Calibri" w:hAnsi="Verdana" w:cs="Arial"/>
          <w:sz w:val="20"/>
          <w:szCs w:val="20"/>
          <w:lang w:val="es-ES"/>
        </w:rPr>
        <w:t xml:space="preserve">Para precisar el alcance de estas limitaciones es necesario tener en cuenta que la existencia de las personas jurídicas es independiente de quienes la integran. Aquellas son entes ficticios con capacidad autónoma para ejercer derechos y contraer obligaciones –art. 633 del Código Civil–; razón por la cual, aunque la participación corresponda a otros sujetos de derecho, dichos entes tienen personería jurídica diferente de los socios individualmente considerados –art. 98, inc. 2, del Código de Comercio–. De esta manera, “[…] todas estas colectividades se presentan como independientes y distintas de los seres humanos que las constituyen; desaparece en cierta medida la individualidad de estos; y se forma un ser jurídico distinto de ellos con vida propia […]”. </w:t>
      </w:r>
    </w:p>
    <w:p w14:paraId="5A4423A2" w14:textId="77777777" w:rsidR="008D13E2" w:rsidRPr="00750D25" w:rsidRDefault="008D13E2" w:rsidP="008D13E2">
      <w:pPr>
        <w:spacing w:after="0" w:line="240" w:lineRule="auto"/>
        <w:jc w:val="both"/>
        <w:rPr>
          <w:rFonts w:ascii="Verdana" w:eastAsia="Calibri" w:hAnsi="Verdana" w:cs="Arial"/>
          <w:bCs/>
          <w:sz w:val="20"/>
          <w:szCs w:val="20"/>
          <w:lang w:val="es-ES_tradnl"/>
        </w:rPr>
      </w:pPr>
    </w:p>
    <w:p w14:paraId="0317D60C" w14:textId="77777777" w:rsidR="008D13E2" w:rsidRPr="00750D25" w:rsidRDefault="008D13E2" w:rsidP="008D13E2">
      <w:pPr>
        <w:spacing w:after="0" w:line="240" w:lineRule="auto"/>
        <w:jc w:val="both"/>
        <w:rPr>
          <w:rFonts w:ascii="Verdana" w:eastAsia="Calibri" w:hAnsi="Verdana" w:cs="Arial"/>
          <w:bCs/>
          <w:sz w:val="20"/>
          <w:szCs w:val="20"/>
          <w:lang w:val="es-ES_tradnl"/>
        </w:rPr>
      </w:pPr>
      <w:r w:rsidRPr="00750D25">
        <w:rPr>
          <w:rFonts w:ascii="Verdana" w:eastAsia="Calibri" w:hAnsi="Verdana" w:cs="Arial"/>
          <w:bCs/>
          <w:sz w:val="20"/>
          <w:szCs w:val="20"/>
          <w:lang w:val="es-ES_tradnl"/>
        </w:rPr>
        <w:t xml:space="preserve">Considerando que, por regla general, la capacidad jurídica de los socios o de los representantes legales es independiente de la capacidad de la persona jurídica, las restricciones que recaen sobre aquellos no se extienden a esta, salvo disposición legal en contrario. En ese sentido, dado el carácter excepcional, taxativo y de interpretación </w:t>
      </w:r>
      <w:r w:rsidRPr="00750D25">
        <w:rPr>
          <w:rFonts w:ascii="Verdana" w:eastAsia="Calibri" w:hAnsi="Verdana" w:cs="Arial"/>
          <w:bCs/>
          <w:sz w:val="20"/>
          <w:szCs w:val="20"/>
          <w:lang w:val="es-ES_tradnl"/>
        </w:rPr>
        <w:lastRenderedPageBreak/>
        <w:t>restrictiva del régimen de inhabilidades, únicamente es posible extender a la persona jurídica las inhabilidades que recaen sobre sus representantes legales cuando exista una disposición legal expresa que así lo establezca.</w:t>
      </w:r>
    </w:p>
    <w:p w14:paraId="447B35D1" w14:textId="77777777" w:rsidR="008D13E2" w:rsidRPr="00750D25" w:rsidRDefault="008D13E2" w:rsidP="008D13E2">
      <w:pPr>
        <w:spacing w:after="0" w:line="240" w:lineRule="auto"/>
        <w:jc w:val="both"/>
        <w:rPr>
          <w:rFonts w:ascii="Verdana" w:eastAsia="Calibri" w:hAnsi="Verdana" w:cs="Arial"/>
          <w:bCs/>
          <w:sz w:val="20"/>
          <w:szCs w:val="20"/>
          <w:lang w:val="es-ES_tradnl"/>
        </w:rPr>
      </w:pPr>
    </w:p>
    <w:p w14:paraId="45CC7A41" w14:textId="77777777" w:rsidR="008D13E2" w:rsidRPr="00750D25" w:rsidRDefault="008D13E2" w:rsidP="008D13E2">
      <w:pPr>
        <w:spacing w:after="0" w:line="240" w:lineRule="auto"/>
        <w:jc w:val="both"/>
        <w:rPr>
          <w:rFonts w:ascii="Verdana" w:eastAsia="Calibri" w:hAnsi="Verdana" w:cs="Arial"/>
          <w:b/>
          <w:bCs/>
          <w:color w:val="000000"/>
        </w:rPr>
      </w:pPr>
      <w:r w:rsidRPr="00750D25">
        <w:rPr>
          <w:rFonts w:ascii="Verdana" w:eastAsia="Calibri" w:hAnsi="Verdana" w:cs="Arial"/>
          <w:b/>
          <w:bCs/>
          <w:color w:val="000000"/>
        </w:rPr>
        <w:t>REPRESENTANTES LEGALES DE PERSONAS JURÍDICAS – Condenados o Sancionados – No Extiende Efectos Inhabilidad Artículo 8, numeral 1, literal d)</w:t>
      </w:r>
    </w:p>
    <w:p w14:paraId="507AEC99" w14:textId="77777777" w:rsidR="008D13E2" w:rsidRPr="00750D25" w:rsidRDefault="008D13E2" w:rsidP="008D13E2">
      <w:pPr>
        <w:spacing w:after="0" w:line="240" w:lineRule="auto"/>
        <w:jc w:val="both"/>
        <w:rPr>
          <w:rFonts w:ascii="Verdana" w:eastAsia="Calibri" w:hAnsi="Verdana" w:cs="Arial"/>
          <w:color w:val="000000" w:themeColor="text1"/>
          <w:sz w:val="20"/>
          <w:szCs w:val="20"/>
          <w:lang w:val="es-ES_tradnl" w:eastAsia="es-ES_tradnl"/>
        </w:rPr>
      </w:pPr>
    </w:p>
    <w:p w14:paraId="16D39362" w14:textId="77777777" w:rsidR="008D13E2" w:rsidRPr="00750D25" w:rsidRDefault="008D13E2" w:rsidP="008D13E2">
      <w:pPr>
        <w:spacing w:after="0" w:line="240" w:lineRule="auto"/>
        <w:jc w:val="both"/>
        <w:rPr>
          <w:rFonts w:ascii="Verdana" w:eastAsia="Calibri" w:hAnsi="Verdana" w:cs="Arial"/>
          <w:bCs/>
          <w:sz w:val="20"/>
          <w:szCs w:val="20"/>
          <w:lang w:val="es-ES_tradnl"/>
        </w:rPr>
      </w:pPr>
      <w:r w:rsidRPr="00750D25">
        <w:rPr>
          <w:rFonts w:ascii="Verdana" w:eastAsia="Calibri" w:hAnsi="Verdana" w:cs="Arial"/>
          <w:bCs/>
          <w:sz w:val="20"/>
          <w:szCs w:val="20"/>
          <w:lang w:val="es-ES_tradnl"/>
        </w:rPr>
        <w:t xml:space="preserve">De acuerdo con lo establecido en el literal d) del numeral 1 del artículo 8 de la Ley 80 de 1993, las personas naturales a las que se les haya impuesto una pena accesoria de interdicción de derechos y funciones públicas, al igual que las que hayan sido sancionados disciplinariamente con destitución, están incursas en la referida causal de inhabilidad, por lo que no pueden contratar con entidades estatales. De esta manera, una vez en firme la providencia que dispone la pena o sanción, la inhabilidad comienza a surtir sus efectos restringiendo de ese momento en adelante la posibilidad de suscribir nuevos contratos o participar en procesos de contratación.  </w:t>
      </w:r>
    </w:p>
    <w:p w14:paraId="4DC9DC5C" w14:textId="77777777" w:rsidR="008D13E2" w:rsidRPr="00750D25" w:rsidRDefault="008D13E2" w:rsidP="008D13E2">
      <w:pPr>
        <w:spacing w:after="0" w:line="240" w:lineRule="auto"/>
        <w:jc w:val="both"/>
        <w:rPr>
          <w:rFonts w:ascii="Verdana" w:eastAsia="Calibri" w:hAnsi="Verdana" w:cs="Arial"/>
          <w:bCs/>
          <w:sz w:val="20"/>
          <w:szCs w:val="20"/>
          <w:lang w:val="es-ES_tradnl"/>
        </w:rPr>
      </w:pPr>
    </w:p>
    <w:p w14:paraId="0F88901E" w14:textId="77777777" w:rsidR="00E51681" w:rsidRPr="00750D25" w:rsidRDefault="008D13E2" w:rsidP="00E51681">
      <w:pPr>
        <w:spacing w:after="0" w:line="240" w:lineRule="auto"/>
        <w:jc w:val="both"/>
        <w:rPr>
          <w:rFonts w:ascii="Verdana" w:eastAsia="Calibri" w:hAnsi="Verdana" w:cs="Arial"/>
          <w:bCs/>
          <w:sz w:val="20"/>
          <w:szCs w:val="20"/>
          <w:lang w:val="es-ES_tradnl"/>
        </w:rPr>
      </w:pPr>
      <w:r w:rsidRPr="00750D25">
        <w:rPr>
          <w:rFonts w:ascii="Verdana" w:eastAsia="Calibri" w:hAnsi="Verdana" w:cs="Arial"/>
          <w:bCs/>
          <w:sz w:val="20"/>
          <w:szCs w:val="20"/>
          <w:lang w:val="es-ES_tradnl"/>
        </w:rPr>
        <w:t>En ese contexto, y con base en las consideraciones propuestas, se advierte que la causal del literal d), numeral 1 del artículo 8 de la Ley 80 de 1993 restringe y limita la capacidad jurídica exclusivamente de la persona natural condenada a la pena accesoria de interdicción de derechos y funciones públicas y a aquellas que fueron sancionadas disciplinariamente con destitución, sin que se pueda entender que sus efectos se extienden a las personas jurídicas en las cuales sobre su representante legal recaigan dichas sanciones y condenas.</w:t>
      </w:r>
    </w:p>
    <w:p w14:paraId="719D3690" w14:textId="77777777" w:rsidR="00E51681" w:rsidRPr="00750D25" w:rsidRDefault="00E51681" w:rsidP="00E51681">
      <w:pPr>
        <w:spacing w:after="0" w:line="240" w:lineRule="auto"/>
        <w:jc w:val="both"/>
        <w:rPr>
          <w:rFonts w:ascii="Verdana" w:eastAsia="Calibri" w:hAnsi="Verdana" w:cs="Arial"/>
          <w:bCs/>
          <w:sz w:val="20"/>
          <w:szCs w:val="20"/>
          <w:lang w:val="es-ES_tradnl"/>
        </w:rPr>
      </w:pPr>
    </w:p>
    <w:p w14:paraId="14388A40" w14:textId="77777777" w:rsidR="00E51681" w:rsidRPr="00750D25" w:rsidRDefault="00E51681" w:rsidP="00E51681">
      <w:pPr>
        <w:spacing w:after="0" w:line="240" w:lineRule="auto"/>
        <w:jc w:val="both"/>
        <w:rPr>
          <w:rFonts w:ascii="Verdana" w:hAnsi="Verdana" w:cs="Arial"/>
          <w:b/>
          <w:bCs/>
        </w:rPr>
      </w:pPr>
      <w:r w:rsidRPr="00750D25">
        <w:rPr>
          <w:rFonts w:ascii="Verdana" w:hAnsi="Verdana" w:cs="Arial"/>
          <w:b/>
          <w:bCs/>
        </w:rPr>
        <w:t>RÉGIMEN EXCEPTUADO – Inhabilidades e incompatibilidades – Artículo 13 Ley 1150 de 2007</w:t>
      </w:r>
    </w:p>
    <w:p w14:paraId="56D15E3D" w14:textId="77777777" w:rsidR="00E51681" w:rsidRPr="00750D25" w:rsidRDefault="00E51681" w:rsidP="00E51681">
      <w:pPr>
        <w:spacing w:after="0" w:line="240" w:lineRule="auto"/>
        <w:jc w:val="both"/>
        <w:rPr>
          <w:rFonts w:ascii="Verdana" w:hAnsi="Verdana" w:cs="Arial"/>
          <w:b/>
          <w:bCs/>
        </w:rPr>
      </w:pPr>
    </w:p>
    <w:p w14:paraId="5A7A3EC1" w14:textId="581C756B" w:rsidR="00E51681" w:rsidRPr="00750D25" w:rsidRDefault="00E51681" w:rsidP="00E51681">
      <w:pPr>
        <w:spacing w:after="0" w:line="240" w:lineRule="auto"/>
        <w:jc w:val="both"/>
        <w:rPr>
          <w:rFonts w:ascii="Verdana" w:eastAsia="Calibri" w:hAnsi="Verdana" w:cs="Arial"/>
          <w:b/>
          <w:bCs/>
          <w:sz w:val="20"/>
          <w:szCs w:val="20"/>
          <w:lang w:val="es-ES_tradnl"/>
        </w:rPr>
      </w:pPr>
      <w:r w:rsidRPr="00750D25">
        <w:rPr>
          <w:rFonts w:ascii="Verdana" w:hAnsi="Verdana" w:cs="Arial"/>
          <w:sz w:val="20"/>
          <w:szCs w:val="20"/>
        </w:rPr>
        <w:t>El artículo 13 de la Ley 1150 de 2007 dispone que las entidades estatales que por disposición legal cuenten con un régimen contractual excepcional al del Estatuto General de Contratación de la Administración Pública aplicarán, en desarrollo de su actividad contractual, los principios de la función administrativa y de la gestión fiscal, y estarán sometidas al régimen de inhabilidades e incompatibilidades previsto legalmente para la contratación estatal. De esta manera, el régimen de inhabilidades e incompatibilidades, incluida su interpretación restrictiva, resulta aplicable tanto a las entidades sometidas al Estatuto General de Contratación como a aquellas que se rigen por un régimen exceptuado.</w:t>
      </w:r>
    </w:p>
    <w:p w14:paraId="16DE8F0E" w14:textId="77777777" w:rsidR="008D13E2" w:rsidRPr="00750D25" w:rsidRDefault="008D13E2" w:rsidP="30821638">
      <w:pPr>
        <w:spacing w:after="0"/>
        <w:rPr>
          <w:rFonts w:ascii="Verdana" w:eastAsia="Verdana" w:hAnsi="Verdana" w:cs="Verdana"/>
        </w:rPr>
      </w:pPr>
    </w:p>
    <w:p w14:paraId="3BFBCC45" w14:textId="77777777" w:rsidR="008D13E2" w:rsidRPr="00750D25" w:rsidRDefault="008D13E2" w:rsidP="30821638">
      <w:pPr>
        <w:spacing w:after="0"/>
        <w:rPr>
          <w:rFonts w:ascii="Verdana" w:eastAsia="Verdana" w:hAnsi="Verdana" w:cs="Verdana"/>
        </w:rPr>
      </w:pPr>
    </w:p>
    <w:p w14:paraId="5A7957A4" w14:textId="77777777" w:rsidR="006E0B54" w:rsidRPr="00750D25" w:rsidRDefault="006E0B54" w:rsidP="30821638">
      <w:pPr>
        <w:spacing w:after="0"/>
        <w:rPr>
          <w:rFonts w:ascii="Verdana" w:eastAsia="Verdana" w:hAnsi="Verdana" w:cs="Verdana"/>
        </w:rPr>
      </w:pPr>
    </w:p>
    <w:p w14:paraId="71FD1373" w14:textId="77777777" w:rsidR="006E0B54" w:rsidRPr="00750D25" w:rsidRDefault="006E0B54" w:rsidP="30821638">
      <w:pPr>
        <w:spacing w:after="0"/>
        <w:rPr>
          <w:rFonts w:ascii="Verdana" w:eastAsia="Verdana" w:hAnsi="Verdana" w:cs="Verdana"/>
        </w:rPr>
      </w:pPr>
    </w:p>
    <w:p w14:paraId="2E85E184" w14:textId="77777777" w:rsidR="00AF4CD3" w:rsidRPr="00750D25" w:rsidRDefault="00AF4CD3" w:rsidP="30821638">
      <w:pPr>
        <w:spacing w:after="0"/>
        <w:rPr>
          <w:rFonts w:ascii="Verdana" w:eastAsia="Verdana" w:hAnsi="Verdana" w:cs="Verdana"/>
        </w:rPr>
      </w:pPr>
    </w:p>
    <w:p w14:paraId="7E0635BD" w14:textId="77777777" w:rsidR="007B7A62" w:rsidRPr="00750D25" w:rsidRDefault="007B7A62" w:rsidP="30821638">
      <w:pPr>
        <w:spacing w:after="0"/>
        <w:rPr>
          <w:rFonts w:ascii="Verdana" w:eastAsia="Verdana" w:hAnsi="Verdana" w:cs="Verdana"/>
        </w:rPr>
      </w:pPr>
    </w:p>
    <w:p w14:paraId="1468C46D" w14:textId="10173247" w:rsidR="00C15139" w:rsidRPr="00750D25" w:rsidRDefault="00C15139" w:rsidP="30821638">
      <w:pPr>
        <w:spacing w:after="0"/>
        <w:rPr>
          <w:rFonts w:ascii="Verdana" w:hAnsi="Verdana"/>
        </w:rPr>
      </w:pPr>
      <w:r w:rsidRPr="00750D25">
        <w:rPr>
          <w:rFonts w:ascii="Verdana" w:eastAsia="Verdana" w:hAnsi="Verdana" w:cs="Verdana"/>
        </w:rPr>
        <w:lastRenderedPageBreak/>
        <w:t xml:space="preserve">Bogotá D.C., </w:t>
      </w:r>
      <w:r w:rsidR="00EC4DDC" w:rsidRPr="00750D25">
        <w:rPr>
          <w:rFonts w:ascii="Verdana" w:eastAsia="Verdana" w:hAnsi="Verdana" w:cs="Verdana"/>
        </w:rPr>
        <w:t>20 de octubre del 2026</w:t>
      </w:r>
      <w:r w:rsidRPr="00750D25">
        <w:rPr>
          <w:rFonts w:ascii="Verdana" w:hAnsi="Verdana"/>
        </w:rPr>
        <w:br/>
      </w:r>
    </w:p>
    <w:p w14:paraId="7D33DC5A" w14:textId="367A4FAC" w:rsidR="00D56906" w:rsidRPr="00750D25" w:rsidRDefault="00D56906" w:rsidP="00D56906">
      <w:pPr>
        <w:spacing w:after="0"/>
        <w:jc w:val="right"/>
        <w:rPr>
          <w:rFonts w:ascii="Verdana" w:hAnsi="Verdana"/>
        </w:rPr>
      </w:pPr>
      <w:r w:rsidRPr="00750D25">
        <w:rPr>
          <w:rFonts w:ascii="Verdana" w:hAnsi="Verdana"/>
          <w:noProof/>
        </w:rPr>
        <w:drawing>
          <wp:inline distT="0" distB="0" distL="0" distR="0" wp14:anchorId="726D399C" wp14:editId="0C20E8C3">
            <wp:extent cx="2878455" cy="828675"/>
            <wp:effectExtent l="0" t="0" r="0" b="9525"/>
            <wp:docPr id="80197669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8455" cy="828675"/>
                    </a:xfrm>
                    <a:prstGeom prst="rect">
                      <a:avLst/>
                    </a:prstGeom>
                    <a:noFill/>
                    <a:ln>
                      <a:noFill/>
                    </a:ln>
                  </pic:spPr>
                </pic:pic>
              </a:graphicData>
            </a:graphic>
          </wp:inline>
        </w:drawing>
      </w:r>
    </w:p>
    <w:p w14:paraId="1B20EAE9" w14:textId="77777777" w:rsidR="00D56906" w:rsidRPr="00750D25" w:rsidRDefault="00D56906" w:rsidP="30821638">
      <w:pPr>
        <w:spacing w:after="0"/>
        <w:rPr>
          <w:rFonts w:ascii="Verdana" w:eastAsia="Verdana" w:hAnsi="Verdana" w:cs="Verdana"/>
        </w:rPr>
      </w:pPr>
    </w:p>
    <w:p w14:paraId="4E531192" w14:textId="77777777" w:rsidR="006F374C" w:rsidRPr="00750D25" w:rsidRDefault="006F374C" w:rsidP="006F374C">
      <w:pPr>
        <w:spacing w:after="0" w:line="240" w:lineRule="auto"/>
        <w:rPr>
          <w:rFonts w:ascii="Verdana" w:hAnsi="Verdana"/>
        </w:rPr>
      </w:pPr>
      <w:r w:rsidRPr="00750D25">
        <w:rPr>
          <w:rFonts w:ascii="Verdana" w:eastAsia="Calibri" w:hAnsi="Verdana" w:cs="Arial"/>
          <w:lang w:val="es-ES" w:eastAsia="es-ES"/>
        </w:rPr>
        <w:t>Señor</w:t>
      </w:r>
    </w:p>
    <w:p w14:paraId="63D5EE9F" w14:textId="66856DBB" w:rsidR="006F374C" w:rsidRPr="00750D25" w:rsidRDefault="006A0E68" w:rsidP="006F374C">
      <w:pPr>
        <w:spacing w:after="0" w:line="240" w:lineRule="auto"/>
        <w:jc w:val="both"/>
        <w:rPr>
          <w:rFonts w:ascii="Verdana" w:eastAsia="Calibri" w:hAnsi="Verdana" w:cs="Arial"/>
          <w:b/>
          <w:bCs/>
          <w:lang w:eastAsia="es-ES"/>
        </w:rPr>
      </w:pPr>
      <w:r w:rsidRPr="00750D25">
        <w:rPr>
          <w:rFonts w:ascii="Verdana" w:eastAsia="Calibri" w:hAnsi="Verdana" w:cs="Arial"/>
          <w:b/>
          <w:bCs/>
          <w:lang w:eastAsia="es-ES"/>
        </w:rPr>
        <w:t>Alejandro Ochoa López</w:t>
      </w:r>
    </w:p>
    <w:p w14:paraId="47C406D7" w14:textId="609AB5C8" w:rsidR="003F6B0D" w:rsidRPr="00750D25" w:rsidRDefault="003F6B0D" w:rsidP="006F374C">
      <w:pPr>
        <w:spacing w:after="0" w:line="240" w:lineRule="auto"/>
        <w:rPr>
          <w:rFonts w:ascii="Verdana" w:hAnsi="Verdana"/>
        </w:rPr>
      </w:pPr>
      <w:hyperlink r:id="rId12" w:history="1">
        <w:r w:rsidRPr="00750D25">
          <w:rPr>
            <w:rStyle w:val="Hipervnculo"/>
            <w:rFonts w:ascii="Verdana" w:hAnsi="Verdana"/>
          </w:rPr>
          <w:t>alejoindustrial@yahoo.com</w:t>
        </w:r>
      </w:hyperlink>
    </w:p>
    <w:p w14:paraId="39C9BD3F" w14:textId="186DD5E8" w:rsidR="006F374C" w:rsidRPr="00750D25" w:rsidRDefault="00353A1D" w:rsidP="006F374C">
      <w:pPr>
        <w:spacing w:after="0" w:line="240" w:lineRule="auto"/>
        <w:rPr>
          <w:rFonts w:ascii="Verdana" w:eastAsia="Calibri" w:hAnsi="Verdana" w:cs="Arial"/>
          <w:lang w:val="es-ES_tradnl" w:eastAsia="es-ES"/>
        </w:rPr>
      </w:pPr>
      <w:r w:rsidRPr="00750D25">
        <w:rPr>
          <w:rFonts w:ascii="Verdana" w:eastAsia="Calibri" w:hAnsi="Verdana" w:cs="Arial"/>
          <w:lang w:val="es-ES_tradnl" w:eastAsia="es-ES"/>
        </w:rPr>
        <w:t>Girón, Santander</w:t>
      </w:r>
    </w:p>
    <w:p w14:paraId="778A302E" w14:textId="77777777" w:rsidR="00353A1D" w:rsidRPr="00750D25" w:rsidRDefault="00353A1D" w:rsidP="006F374C">
      <w:pPr>
        <w:spacing w:after="0" w:line="240" w:lineRule="auto"/>
        <w:rPr>
          <w:rFonts w:ascii="Verdana" w:eastAsia="Calibri" w:hAnsi="Verdana" w:cs="Arial"/>
          <w:b/>
          <w:bCs/>
          <w:highlight w:val="cyan"/>
          <w:lang w:val="es-ES_tradnl" w:eastAsia="es-ES_tradnl"/>
        </w:rPr>
      </w:pPr>
    </w:p>
    <w:p w14:paraId="0B6DDB9A" w14:textId="3AB8161A" w:rsidR="006F374C" w:rsidRPr="00750D25" w:rsidRDefault="006F374C" w:rsidP="006F374C">
      <w:pPr>
        <w:spacing w:after="0" w:line="240" w:lineRule="auto"/>
        <w:rPr>
          <w:rFonts w:ascii="Verdana" w:eastAsia="Calibri" w:hAnsi="Verdana" w:cs="Arial"/>
          <w:b/>
          <w:bCs/>
          <w:lang w:val="es-ES_tradnl" w:eastAsia="es-ES_tradnl"/>
        </w:rPr>
      </w:pPr>
      <w:r w:rsidRPr="00750D25">
        <w:rPr>
          <w:rFonts w:ascii="Verdana" w:eastAsia="Calibri" w:hAnsi="Verdana" w:cs="Arial"/>
          <w:b/>
          <w:bCs/>
          <w:lang w:val="es-ES_tradnl" w:eastAsia="es-ES_tradnl"/>
        </w:rPr>
        <w:t xml:space="preserve">                                   Concepto </w:t>
      </w:r>
      <w:r w:rsidR="00082384" w:rsidRPr="00750D25">
        <w:rPr>
          <w:rFonts w:ascii="Verdana" w:eastAsia="Calibri" w:hAnsi="Verdana" w:cs="Arial"/>
          <w:b/>
          <w:bCs/>
          <w:lang w:val="es-ES_tradnl" w:eastAsia="es-ES_tradnl"/>
        </w:rPr>
        <w:t>C-1446</w:t>
      </w:r>
      <w:r w:rsidRPr="00750D25">
        <w:rPr>
          <w:rFonts w:ascii="Verdana" w:eastAsia="Calibri" w:hAnsi="Verdana" w:cs="Arial"/>
          <w:b/>
          <w:bCs/>
          <w:lang w:val="es-ES_tradnl" w:eastAsia="es-ES_tradnl"/>
        </w:rPr>
        <w:t xml:space="preserve"> del 2026</w:t>
      </w:r>
    </w:p>
    <w:p w14:paraId="108E61E3" w14:textId="77777777" w:rsidR="006F374C" w:rsidRPr="00750D25" w:rsidRDefault="006F374C" w:rsidP="006F374C">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F374C" w:rsidRPr="00750D25" w14:paraId="20193ABC" w14:textId="77777777" w:rsidTr="004914CD">
        <w:trPr>
          <w:trHeight w:val="884"/>
        </w:trPr>
        <w:tc>
          <w:tcPr>
            <w:tcW w:w="2689" w:type="dxa"/>
          </w:tcPr>
          <w:p w14:paraId="414E0B1F" w14:textId="77777777" w:rsidR="006F374C" w:rsidRPr="00750D25" w:rsidRDefault="006F374C" w:rsidP="004914CD">
            <w:pPr>
              <w:jc w:val="both"/>
              <w:rPr>
                <w:rFonts w:ascii="Verdana" w:eastAsia="Calibri" w:hAnsi="Verdana" w:cs="Arial"/>
                <w:lang w:val="es-ES_tradnl" w:eastAsia="es-ES_tradnl"/>
              </w:rPr>
            </w:pPr>
            <w:r w:rsidRPr="00750D25">
              <w:rPr>
                <w:rFonts w:ascii="Verdana" w:eastAsia="Calibri" w:hAnsi="Verdana" w:cs="Arial"/>
                <w:b/>
                <w:lang w:val="es-ES_tradnl" w:eastAsia="es-ES_tradnl"/>
              </w:rPr>
              <w:t>Temas:</w:t>
            </w:r>
            <w:r w:rsidRPr="00750D25">
              <w:rPr>
                <w:rFonts w:ascii="Verdana" w:eastAsia="Calibri" w:hAnsi="Verdana" w:cs="Arial"/>
                <w:lang w:val="es-ES_tradnl" w:eastAsia="es-ES_tradnl"/>
              </w:rPr>
              <w:t xml:space="preserve">                   </w:t>
            </w:r>
          </w:p>
        </w:tc>
        <w:tc>
          <w:tcPr>
            <w:tcW w:w="6100" w:type="dxa"/>
          </w:tcPr>
          <w:p w14:paraId="191CA0A0" w14:textId="77777777" w:rsidR="006F374C" w:rsidRPr="00750D25" w:rsidRDefault="00590286" w:rsidP="005E0980">
            <w:pPr>
              <w:spacing w:line="276" w:lineRule="auto"/>
              <w:jc w:val="both"/>
              <w:rPr>
                <w:rFonts w:ascii="Verdana" w:eastAsia="Calibri" w:hAnsi="Verdana" w:cs="Arial"/>
                <w:bCs/>
                <w:lang w:val="es-ES_tradnl"/>
              </w:rPr>
            </w:pPr>
            <w:r w:rsidRPr="00750D25">
              <w:rPr>
                <w:rFonts w:ascii="Verdana" w:eastAsia="Calibri" w:hAnsi="Verdana" w:cs="Arial"/>
                <w:bCs/>
                <w:lang w:val="es-ES_tradnl"/>
              </w:rPr>
              <w:t xml:space="preserve">RÉGIMEN DE INHABILIDADES E INCOMPATIBILIDADES – Definición – Taxatividad – Interpretación restrictiva / PERSONAS JURÍDICAS – Representantes legales – Capacidad – Independencia – Consecuencias </w:t>
            </w:r>
            <w:r w:rsidR="00F95668" w:rsidRPr="00750D25">
              <w:rPr>
                <w:rFonts w:ascii="Verdana" w:eastAsia="Calibri" w:hAnsi="Verdana" w:cs="Arial"/>
                <w:bCs/>
                <w:lang w:val="es-ES_tradnl"/>
              </w:rPr>
              <w:t>/ REPRESENTANTES</w:t>
            </w:r>
            <w:r w:rsidRPr="00750D25">
              <w:rPr>
                <w:rFonts w:ascii="Verdana" w:eastAsia="Calibri" w:hAnsi="Verdana" w:cs="Arial"/>
                <w:bCs/>
                <w:lang w:val="es-ES_tradnl"/>
              </w:rPr>
              <w:t xml:space="preserve"> LEGALES DE PERSONAS JURÍDICAS – Condenados o Sancionados – No Extiende Efectos Inhabilidad Artículo 8, numeral 1, literal d) / RÉGIMEN EXCEPTUADO – Inhabilidades e incompatibilidades – Artículo 13 Ley 1150 de 2007</w:t>
            </w:r>
          </w:p>
          <w:p w14:paraId="6A0D6CF1" w14:textId="78C6464D" w:rsidR="00BD04FF" w:rsidRPr="00750D25" w:rsidRDefault="00BD04FF" w:rsidP="005E0980">
            <w:pPr>
              <w:spacing w:line="276" w:lineRule="auto"/>
              <w:jc w:val="both"/>
              <w:rPr>
                <w:rFonts w:ascii="Verdana" w:eastAsia="Aptos" w:hAnsi="Verdana" w:cs="Times New Roman"/>
              </w:rPr>
            </w:pPr>
          </w:p>
        </w:tc>
      </w:tr>
      <w:tr w:rsidR="006F374C" w:rsidRPr="00750D25" w14:paraId="7574106C" w14:textId="77777777" w:rsidTr="00A300DC">
        <w:trPr>
          <w:trHeight w:val="80"/>
        </w:trPr>
        <w:tc>
          <w:tcPr>
            <w:tcW w:w="2689" w:type="dxa"/>
          </w:tcPr>
          <w:p w14:paraId="02EF0855" w14:textId="77777777" w:rsidR="006F374C" w:rsidRPr="00750D25" w:rsidRDefault="006F374C" w:rsidP="004914CD">
            <w:pPr>
              <w:jc w:val="both"/>
              <w:rPr>
                <w:rFonts w:ascii="Verdana" w:eastAsia="Calibri" w:hAnsi="Verdana" w:cs="Arial"/>
                <w:b/>
                <w:lang w:val="es-ES_tradnl" w:eastAsia="es-ES_tradnl"/>
              </w:rPr>
            </w:pPr>
            <w:r w:rsidRPr="00750D25">
              <w:rPr>
                <w:rFonts w:ascii="Verdana" w:eastAsia="Calibri" w:hAnsi="Verdana" w:cs="Arial"/>
                <w:b/>
                <w:lang w:val="es-ES_tradnl" w:eastAsia="es-ES_tradnl"/>
              </w:rPr>
              <w:t>Radicación:</w:t>
            </w:r>
            <w:r w:rsidRPr="00750D25">
              <w:rPr>
                <w:rFonts w:ascii="Verdana" w:eastAsia="Calibri" w:hAnsi="Verdana" w:cs="Arial"/>
                <w:lang w:val="es-ES_tradnl" w:eastAsia="es-ES_tradnl"/>
              </w:rPr>
              <w:t xml:space="preserve">               </w:t>
            </w:r>
          </w:p>
        </w:tc>
        <w:tc>
          <w:tcPr>
            <w:tcW w:w="6100" w:type="dxa"/>
          </w:tcPr>
          <w:p w14:paraId="271F43AD" w14:textId="790DE179" w:rsidR="006F374C" w:rsidRPr="00750D25" w:rsidRDefault="006F374C" w:rsidP="004914CD">
            <w:pPr>
              <w:spacing w:line="276" w:lineRule="auto"/>
              <w:jc w:val="both"/>
              <w:rPr>
                <w:rFonts w:ascii="Verdana" w:eastAsia="Calibri" w:hAnsi="Verdana" w:cs="Arial"/>
                <w:lang w:eastAsia="es-ES_tradnl"/>
              </w:rPr>
            </w:pPr>
            <w:r w:rsidRPr="00750D25">
              <w:rPr>
                <w:rFonts w:ascii="Verdana" w:eastAsia="Calibri" w:hAnsi="Verdana" w:cs="Arial"/>
                <w:lang w:val="es-ES_tradnl" w:eastAsia="es-ES_tradnl"/>
              </w:rPr>
              <w:t>Respuesta a la consulta con radicado No.</w:t>
            </w:r>
            <w:r w:rsidRPr="00750D25">
              <w:rPr>
                <w:rFonts w:ascii="Verdana" w:hAnsi="Verdana"/>
              </w:rPr>
              <w:t xml:space="preserve"> </w:t>
            </w:r>
            <w:r w:rsidR="00A300DC" w:rsidRPr="00750D25">
              <w:rPr>
                <w:rFonts w:ascii="Verdana" w:hAnsi="Verdana"/>
              </w:rPr>
              <w:t>1_2026_09_14_012245</w:t>
            </w:r>
          </w:p>
        </w:tc>
      </w:tr>
    </w:tbl>
    <w:p w14:paraId="00A70882" w14:textId="77777777" w:rsidR="006F374C" w:rsidRPr="00750D25" w:rsidRDefault="006F374C" w:rsidP="006F374C">
      <w:pPr>
        <w:spacing w:after="0" w:line="240" w:lineRule="auto"/>
        <w:jc w:val="both"/>
        <w:rPr>
          <w:rFonts w:ascii="Verdana" w:eastAsia="Calibri" w:hAnsi="Verdana" w:cs="Arial"/>
          <w:highlight w:val="cyan"/>
          <w:lang w:val="es-ES" w:eastAsia="es-ES"/>
        </w:rPr>
      </w:pPr>
    </w:p>
    <w:p w14:paraId="22FE0DB7" w14:textId="4FF0F74B" w:rsidR="006F374C" w:rsidRPr="00750D25" w:rsidRDefault="006F374C" w:rsidP="006F374C">
      <w:pPr>
        <w:spacing w:after="0" w:line="276" w:lineRule="auto"/>
        <w:jc w:val="both"/>
        <w:rPr>
          <w:rFonts w:ascii="Verdana" w:eastAsia="Calibri" w:hAnsi="Verdana" w:cs="Arial"/>
          <w:lang w:val="es-ES" w:eastAsia="es-ES"/>
        </w:rPr>
      </w:pPr>
      <w:r w:rsidRPr="00750D25">
        <w:rPr>
          <w:rFonts w:ascii="Verdana" w:eastAsia="Calibri" w:hAnsi="Verdana" w:cs="Arial"/>
          <w:lang w:val="es-ES" w:eastAsia="es-ES"/>
        </w:rPr>
        <w:t xml:space="preserve">Estimado </w:t>
      </w:r>
      <w:r w:rsidR="00590286" w:rsidRPr="00750D25">
        <w:rPr>
          <w:rFonts w:ascii="Verdana" w:eastAsia="Calibri" w:hAnsi="Verdana" w:cs="Arial"/>
          <w:lang w:val="es-ES" w:eastAsia="es-ES"/>
        </w:rPr>
        <w:t xml:space="preserve">señor </w:t>
      </w:r>
      <w:r w:rsidR="006A0E68" w:rsidRPr="00750D25">
        <w:rPr>
          <w:rFonts w:ascii="Verdana" w:eastAsia="Calibri" w:hAnsi="Verdana" w:cs="Arial"/>
          <w:lang w:val="es-ES" w:eastAsia="es-ES"/>
        </w:rPr>
        <w:t>Ochoa López</w:t>
      </w:r>
      <w:r w:rsidRPr="00750D25">
        <w:rPr>
          <w:rFonts w:ascii="Verdana" w:eastAsia="Calibri" w:hAnsi="Verdana" w:cs="Arial"/>
          <w:lang w:val="es-ES" w:eastAsia="es-ES"/>
        </w:rPr>
        <w:t xml:space="preserve">: </w:t>
      </w:r>
    </w:p>
    <w:p w14:paraId="0760D896" w14:textId="77777777" w:rsidR="006F374C" w:rsidRPr="00750D25" w:rsidRDefault="006F374C" w:rsidP="006F374C">
      <w:pPr>
        <w:spacing w:after="0" w:line="276" w:lineRule="auto"/>
        <w:rPr>
          <w:rFonts w:ascii="Verdana" w:eastAsia="Times New Roman" w:hAnsi="Verdana" w:cs="Segoe UI"/>
          <w:highlight w:val="cyan"/>
          <w:lang w:eastAsia="es-CO"/>
        </w:rPr>
      </w:pPr>
    </w:p>
    <w:p w14:paraId="2961ACD3" w14:textId="77D4F8E8" w:rsidR="006F374C" w:rsidRPr="00750D25" w:rsidRDefault="006F374C" w:rsidP="006F374C">
      <w:pPr>
        <w:spacing w:after="0" w:line="276" w:lineRule="auto"/>
        <w:jc w:val="both"/>
        <w:rPr>
          <w:rFonts w:ascii="Verdana" w:eastAsia="Calibri" w:hAnsi="Verdana" w:cs="Arial"/>
          <w:lang w:val="es-ES" w:eastAsia="es-ES"/>
        </w:rPr>
      </w:pPr>
      <w:r w:rsidRPr="00750D25">
        <w:rPr>
          <w:rFonts w:ascii="Verdana" w:eastAsia="Calibri" w:hAnsi="Verdana" w:cs="Arial"/>
          <w:lang w:val="es-ES" w:eastAsia="es-ES"/>
        </w:rPr>
        <w:t>En ejercicio de la competencia otorgada por los artículos 3, numeral 5º, y 11, numeral 8º, del Decreto Ley 4170 de 2011,</w:t>
      </w:r>
      <w:r w:rsidRPr="00750D25">
        <w:rPr>
          <w:rFonts w:ascii="Verdana" w:eastAsia="Arial MT" w:hAnsi="Verdana" w:cs="Arial"/>
          <w:lang w:val="es-ES" w:eastAsia="es-ES"/>
        </w:rPr>
        <w:t xml:space="preserve"> </w:t>
      </w:r>
      <w:r w:rsidRPr="00750D25">
        <w:rPr>
          <w:rFonts w:ascii="Verdana" w:hAnsi="Verdana" w:cs="Arial"/>
        </w:rPr>
        <w:t xml:space="preserve">así como lo establecido en el artículo 4 de la Resolución 1707 de 2018 expedida por esta Entidad, </w:t>
      </w:r>
      <w:r w:rsidRPr="00750D25">
        <w:rPr>
          <w:rFonts w:ascii="Verdana" w:eastAsia="Calibri" w:hAnsi="Verdana" w:cs="Arial"/>
          <w:lang w:val="es-ES" w:eastAsia="es-ES"/>
        </w:rPr>
        <w:t xml:space="preserve">la Agencia Nacional de Contratación Pública – Colombia Compra Eficiente– responde su solicitud del </w:t>
      </w:r>
      <w:r w:rsidR="00945558" w:rsidRPr="00750D25">
        <w:rPr>
          <w:rFonts w:ascii="Verdana" w:eastAsia="Calibri" w:hAnsi="Verdana" w:cs="Arial"/>
          <w:lang w:val="es-ES" w:eastAsia="es-ES"/>
        </w:rPr>
        <w:t>14 de septiembre del 2026</w:t>
      </w:r>
      <w:r w:rsidRPr="00750D25">
        <w:rPr>
          <w:rFonts w:ascii="Verdana" w:eastAsia="Calibri" w:hAnsi="Verdana" w:cs="Arial"/>
          <w:lang w:val="es-ES" w:eastAsia="es-ES"/>
        </w:rPr>
        <w:t xml:space="preserve">, en la cual manifiesta lo siguiente: </w:t>
      </w:r>
    </w:p>
    <w:p w14:paraId="232FF0EF" w14:textId="77777777" w:rsidR="006F374C" w:rsidRPr="00750D25" w:rsidRDefault="006F374C" w:rsidP="006F374C">
      <w:pPr>
        <w:spacing w:after="0" w:line="276" w:lineRule="auto"/>
        <w:jc w:val="both"/>
        <w:rPr>
          <w:rFonts w:ascii="Verdana" w:eastAsia="Calibri" w:hAnsi="Verdana" w:cs="Arial"/>
          <w:highlight w:val="cyan"/>
          <w:lang w:val="es-ES" w:eastAsia="es-ES"/>
        </w:rPr>
      </w:pPr>
    </w:p>
    <w:p w14:paraId="70D74E5F" w14:textId="729BA4FA" w:rsidR="002A0DD0" w:rsidRPr="00750D25" w:rsidRDefault="006F374C" w:rsidP="00B800EE">
      <w:pPr>
        <w:spacing w:after="0"/>
        <w:ind w:left="709" w:right="709"/>
        <w:jc w:val="both"/>
        <w:rPr>
          <w:rFonts w:ascii="Verdana" w:eastAsia="Century Gothic" w:hAnsi="Verdana" w:cs="Arial"/>
          <w:sz w:val="20"/>
          <w:szCs w:val="20"/>
        </w:rPr>
      </w:pPr>
      <w:r w:rsidRPr="00750D25">
        <w:rPr>
          <w:rFonts w:ascii="Verdana" w:eastAsia="Century Gothic" w:hAnsi="Verdana" w:cs="Arial"/>
          <w:sz w:val="20"/>
          <w:szCs w:val="20"/>
          <w:lang w:val="es-ES"/>
        </w:rPr>
        <w:t xml:space="preserve">“[…] </w:t>
      </w:r>
      <w:r w:rsidR="00B800EE" w:rsidRPr="00750D25">
        <w:rPr>
          <w:rFonts w:ascii="Verdana" w:eastAsia="Century Gothic" w:hAnsi="Verdana" w:cs="Arial"/>
          <w:sz w:val="20"/>
          <w:szCs w:val="20"/>
          <w:lang w:val="es-ES"/>
        </w:rPr>
        <w:t xml:space="preserve">1. </w:t>
      </w:r>
      <w:r w:rsidR="00B800EE" w:rsidRPr="00750D25">
        <w:rPr>
          <w:rFonts w:ascii="Verdana" w:eastAsia="Century Gothic" w:hAnsi="Verdana" w:cs="Arial"/>
          <w:sz w:val="20"/>
          <w:szCs w:val="20"/>
        </w:rPr>
        <w:t xml:space="preserve">¿Una sanción disciplinaria personal de destitución e inhabilidad general impuesta al representante legal de una sociedad privada afecta, </w:t>
      </w:r>
      <w:r w:rsidR="00B800EE" w:rsidRPr="00750D25">
        <w:rPr>
          <w:rFonts w:ascii="Verdana" w:eastAsia="Century Gothic" w:hAnsi="Verdana" w:cs="Arial"/>
          <w:sz w:val="20"/>
          <w:szCs w:val="20"/>
        </w:rPr>
        <w:lastRenderedPageBreak/>
        <w:t>por sí sola, la capacidad jurídica de dicha sociedad para celebrar contratos con entidades estatales?</w:t>
      </w:r>
    </w:p>
    <w:p w14:paraId="3AA8131A" w14:textId="77777777" w:rsidR="00B800EE" w:rsidRPr="00750D25" w:rsidRDefault="00B800EE" w:rsidP="00B800EE">
      <w:pPr>
        <w:spacing w:after="0"/>
        <w:ind w:left="709" w:right="709"/>
        <w:jc w:val="both"/>
        <w:rPr>
          <w:rFonts w:ascii="Verdana" w:eastAsia="Century Gothic" w:hAnsi="Verdana" w:cs="Arial"/>
          <w:sz w:val="20"/>
          <w:szCs w:val="20"/>
        </w:rPr>
      </w:pPr>
    </w:p>
    <w:p w14:paraId="3CCA3899" w14:textId="25C221C2" w:rsidR="00B800EE" w:rsidRPr="00750D25" w:rsidRDefault="00B800EE" w:rsidP="00B800EE">
      <w:pPr>
        <w:spacing w:after="0"/>
        <w:ind w:left="709" w:right="709"/>
        <w:jc w:val="both"/>
        <w:rPr>
          <w:rFonts w:ascii="Verdana" w:eastAsia="Century Gothic" w:hAnsi="Verdana" w:cs="Arial"/>
          <w:sz w:val="20"/>
          <w:szCs w:val="20"/>
        </w:rPr>
      </w:pPr>
      <w:r w:rsidRPr="00750D25">
        <w:rPr>
          <w:rFonts w:ascii="Verdana" w:eastAsia="Century Gothic" w:hAnsi="Verdana" w:cs="Arial"/>
          <w:sz w:val="20"/>
          <w:szCs w:val="20"/>
        </w:rPr>
        <w:t xml:space="preserve">2 </w:t>
      </w:r>
      <w:r w:rsidR="001C130F" w:rsidRPr="00750D25">
        <w:rPr>
          <w:rFonts w:ascii="Verdana" w:eastAsia="Century Gothic" w:hAnsi="Verdana" w:cs="Arial"/>
          <w:sz w:val="20"/>
          <w:szCs w:val="20"/>
        </w:rPr>
        <w:t>¿Constituye causal de inhabilidad para una persona jurídica (ESP) en el marco de la Ley 80 de 1993, el hecho de que su Representante Legal (quien no es socio ni tiene el control accionario) registre una inhabilidad general disciplinaria a título personal?</w:t>
      </w:r>
    </w:p>
    <w:p w14:paraId="1C07EE96" w14:textId="77777777" w:rsidR="001C130F" w:rsidRPr="00750D25" w:rsidRDefault="001C130F" w:rsidP="00B800EE">
      <w:pPr>
        <w:spacing w:after="0"/>
        <w:ind w:left="709" w:right="709"/>
        <w:jc w:val="both"/>
        <w:rPr>
          <w:rFonts w:ascii="Verdana" w:eastAsia="Century Gothic" w:hAnsi="Verdana" w:cs="Arial"/>
          <w:sz w:val="20"/>
          <w:szCs w:val="20"/>
        </w:rPr>
      </w:pPr>
    </w:p>
    <w:p w14:paraId="20859C86" w14:textId="68E7B637" w:rsidR="001C130F" w:rsidRPr="00750D25" w:rsidRDefault="001C130F" w:rsidP="00B800EE">
      <w:pPr>
        <w:spacing w:after="0"/>
        <w:ind w:left="709" w:right="709"/>
        <w:jc w:val="both"/>
        <w:rPr>
          <w:rFonts w:ascii="Verdana" w:eastAsia="Century Gothic" w:hAnsi="Verdana" w:cs="Arial"/>
          <w:sz w:val="20"/>
          <w:szCs w:val="20"/>
        </w:rPr>
      </w:pPr>
      <w:r w:rsidRPr="00750D25">
        <w:rPr>
          <w:rFonts w:ascii="Verdana" w:eastAsia="Century Gothic" w:hAnsi="Verdana" w:cs="Arial"/>
          <w:sz w:val="20"/>
          <w:szCs w:val="20"/>
        </w:rPr>
        <w:t>3 ¿La inhabilidad disciplinaria personal del representante legal se extiende a la persona jurídica privada cuando la causal de inhabilidad del artículo 8 de la Ley 80 de 1993 no establece expresamente dicha extensión?</w:t>
      </w:r>
    </w:p>
    <w:p w14:paraId="3CDDD289" w14:textId="77777777" w:rsidR="001C130F" w:rsidRPr="00750D25" w:rsidRDefault="001C130F" w:rsidP="00B800EE">
      <w:pPr>
        <w:spacing w:after="0"/>
        <w:ind w:left="709" w:right="709"/>
        <w:jc w:val="both"/>
        <w:rPr>
          <w:rFonts w:ascii="Verdana" w:eastAsia="Century Gothic" w:hAnsi="Verdana" w:cs="Arial"/>
          <w:sz w:val="20"/>
          <w:szCs w:val="20"/>
        </w:rPr>
      </w:pPr>
    </w:p>
    <w:p w14:paraId="26D8919B" w14:textId="44AC7E52" w:rsidR="001C130F" w:rsidRPr="00750D25" w:rsidRDefault="001C130F" w:rsidP="00B800EE">
      <w:pPr>
        <w:spacing w:after="0"/>
        <w:ind w:left="709" w:right="709"/>
        <w:jc w:val="both"/>
        <w:rPr>
          <w:rFonts w:ascii="Verdana" w:eastAsia="Century Gothic" w:hAnsi="Verdana" w:cs="Arial"/>
          <w:sz w:val="20"/>
          <w:szCs w:val="20"/>
          <w:lang w:val="es-ES"/>
        </w:rPr>
      </w:pPr>
      <w:r w:rsidRPr="00750D25">
        <w:rPr>
          <w:rFonts w:ascii="Verdana" w:eastAsia="Century Gothic" w:hAnsi="Verdana" w:cs="Arial"/>
          <w:sz w:val="20"/>
          <w:szCs w:val="20"/>
          <w:lang w:val="es-ES"/>
        </w:rPr>
        <w:t>[…]</w:t>
      </w:r>
    </w:p>
    <w:p w14:paraId="73470A2B" w14:textId="77777777" w:rsidR="001C130F" w:rsidRPr="00750D25" w:rsidRDefault="001C130F" w:rsidP="00B800EE">
      <w:pPr>
        <w:spacing w:after="0"/>
        <w:ind w:left="709" w:right="709"/>
        <w:jc w:val="both"/>
        <w:rPr>
          <w:rFonts w:ascii="Verdana" w:eastAsia="Century Gothic" w:hAnsi="Verdana" w:cs="Arial"/>
          <w:sz w:val="20"/>
          <w:szCs w:val="20"/>
          <w:lang w:val="es-ES"/>
        </w:rPr>
      </w:pPr>
    </w:p>
    <w:p w14:paraId="18CFF314" w14:textId="49061E8D" w:rsidR="004156EE" w:rsidRPr="00750D25" w:rsidRDefault="004156EE" w:rsidP="00B800EE">
      <w:pPr>
        <w:spacing w:after="0"/>
        <w:ind w:left="709" w:right="709"/>
        <w:jc w:val="both"/>
        <w:rPr>
          <w:rFonts w:ascii="Verdana" w:eastAsia="Century Gothic" w:hAnsi="Verdana" w:cs="Arial"/>
          <w:sz w:val="20"/>
          <w:szCs w:val="20"/>
        </w:rPr>
      </w:pPr>
      <w:r w:rsidRPr="00750D25">
        <w:rPr>
          <w:rFonts w:ascii="Verdana" w:eastAsia="Century Gothic" w:hAnsi="Verdana" w:cs="Arial"/>
          <w:sz w:val="20"/>
          <w:szCs w:val="20"/>
          <w:lang w:val="es-ES"/>
        </w:rPr>
        <w:t xml:space="preserve">4. </w:t>
      </w:r>
      <w:r w:rsidRPr="00750D25">
        <w:rPr>
          <w:rFonts w:ascii="Verdana" w:eastAsia="Century Gothic" w:hAnsi="Verdana" w:cs="Arial"/>
          <w:sz w:val="20"/>
          <w:szCs w:val="20"/>
        </w:rPr>
        <w:t>¿Existe diferencia jurídica entre que la persona natural sancionada celebre directamente un contrato estatal a título personal y que suscriba, en calidad de representante legal, un contrato celebrado por una persona jurídica privada legalmente habilitada?</w:t>
      </w:r>
    </w:p>
    <w:p w14:paraId="350A476C" w14:textId="77777777" w:rsidR="004156EE" w:rsidRPr="00750D25" w:rsidRDefault="004156EE" w:rsidP="00B800EE">
      <w:pPr>
        <w:spacing w:after="0"/>
        <w:ind w:left="709" w:right="709"/>
        <w:jc w:val="both"/>
        <w:rPr>
          <w:rFonts w:ascii="Verdana" w:eastAsia="Century Gothic" w:hAnsi="Verdana" w:cs="Arial"/>
          <w:sz w:val="20"/>
          <w:szCs w:val="20"/>
        </w:rPr>
      </w:pPr>
    </w:p>
    <w:p w14:paraId="766665FB" w14:textId="33C1228E" w:rsidR="004156EE" w:rsidRPr="00750D25" w:rsidRDefault="004156EE" w:rsidP="00B800EE">
      <w:pPr>
        <w:spacing w:after="0"/>
        <w:ind w:left="709" w:right="709"/>
        <w:jc w:val="both"/>
        <w:rPr>
          <w:rFonts w:ascii="Verdana" w:eastAsia="Century Gothic" w:hAnsi="Verdana" w:cs="Arial"/>
          <w:sz w:val="20"/>
          <w:szCs w:val="20"/>
        </w:rPr>
      </w:pPr>
      <w:r w:rsidRPr="00750D25">
        <w:rPr>
          <w:rFonts w:ascii="Verdana" w:eastAsia="Century Gothic" w:hAnsi="Verdana" w:cs="Arial"/>
          <w:sz w:val="20"/>
          <w:szCs w:val="20"/>
        </w:rPr>
        <w:t>5 En caso de que la sociedad privada sea plenamente capaz para contratar, ¿la sola firma material del contrato por parte del representante legal inhabilitado invalida el contrato o genera una incompatibilidad?</w:t>
      </w:r>
    </w:p>
    <w:p w14:paraId="0A1D5F4C" w14:textId="77777777" w:rsidR="004156EE" w:rsidRPr="00750D25" w:rsidRDefault="004156EE" w:rsidP="00B800EE">
      <w:pPr>
        <w:spacing w:after="0"/>
        <w:ind w:left="709" w:right="709"/>
        <w:jc w:val="both"/>
        <w:rPr>
          <w:rFonts w:ascii="Verdana" w:eastAsia="Century Gothic" w:hAnsi="Verdana" w:cs="Arial"/>
          <w:sz w:val="20"/>
          <w:szCs w:val="20"/>
        </w:rPr>
      </w:pPr>
    </w:p>
    <w:p w14:paraId="09E85316" w14:textId="5925A972" w:rsidR="004156EE" w:rsidRPr="00750D25" w:rsidRDefault="004156EE" w:rsidP="00B800EE">
      <w:pPr>
        <w:spacing w:after="0"/>
        <w:ind w:left="709" w:right="709"/>
        <w:jc w:val="both"/>
        <w:rPr>
          <w:rFonts w:ascii="Verdana" w:eastAsia="Century Gothic" w:hAnsi="Verdana" w:cs="Arial"/>
          <w:sz w:val="20"/>
          <w:szCs w:val="20"/>
        </w:rPr>
      </w:pPr>
      <w:r w:rsidRPr="00750D25">
        <w:rPr>
          <w:rFonts w:ascii="Verdana" w:eastAsia="Century Gothic" w:hAnsi="Verdana" w:cs="Arial"/>
          <w:sz w:val="20"/>
          <w:szCs w:val="20"/>
        </w:rPr>
        <w:t>6 ¿Resultan aplicables a este supuesto los criterios expuestos por Colombia Compra Eficiente en el Concepto C-827 de 2025 (y líneas afines), según los cuales las inhabilidades personales del representante legal no se comunican ni extienden automáticamente a la persona jurídica?</w:t>
      </w:r>
    </w:p>
    <w:p w14:paraId="174E0A43" w14:textId="77777777" w:rsidR="004156EE" w:rsidRPr="00750D25" w:rsidRDefault="004156EE" w:rsidP="00B800EE">
      <w:pPr>
        <w:spacing w:after="0"/>
        <w:ind w:left="709" w:right="709"/>
        <w:jc w:val="both"/>
        <w:rPr>
          <w:rFonts w:ascii="Verdana" w:eastAsia="Century Gothic" w:hAnsi="Verdana" w:cs="Arial"/>
          <w:sz w:val="20"/>
          <w:szCs w:val="20"/>
        </w:rPr>
      </w:pPr>
    </w:p>
    <w:p w14:paraId="1380E1BB" w14:textId="77777777" w:rsidR="004156EE" w:rsidRPr="00750D25" w:rsidRDefault="004156EE" w:rsidP="004156EE">
      <w:pPr>
        <w:spacing w:after="0"/>
        <w:ind w:left="709" w:right="709"/>
        <w:jc w:val="both"/>
        <w:rPr>
          <w:rFonts w:ascii="Verdana" w:eastAsia="Century Gothic" w:hAnsi="Verdana" w:cs="Arial"/>
          <w:sz w:val="20"/>
          <w:szCs w:val="20"/>
          <w:lang w:val="es-ES"/>
        </w:rPr>
      </w:pPr>
      <w:r w:rsidRPr="00750D25">
        <w:rPr>
          <w:rFonts w:ascii="Verdana" w:eastAsia="Century Gothic" w:hAnsi="Verdana" w:cs="Arial"/>
          <w:sz w:val="20"/>
          <w:szCs w:val="20"/>
          <w:lang w:val="es-ES"/>
        </w:rPr>
        <w:t>[…]</w:t>
      </w:r>
    </w:p>
    <w:p w14:paraId="341E8FD6" w14:textId="77777777" w:rsidR="004156EE" w:rsidRPr="00750D25" w:rsidRDefault="004156EE" w:rsidP="00B800EE">
      <w:pPr>
        <w:spacing w:after="0"/>
        <w:ind w:left="709" w:right="709"/>
        <w:jc w:val="both"/>
        <w:rPr>
          <w:rFonts w:ascii="Verdana" w:eastAsia="Century Gothic" w:hAnsi="Verdana" w:cs="Arial"/>
          <w:sz w:val="20"/>
          <w:szCs w:val="20"/>
          <w:lang w:val="es-ES"/>
        </w:rPr>
      </w:pPr>
    </w:p>
    <w:p w14:paraId="60EA2506" w14:textId="4204034C" w:rsidR="004156EE" w:rsidRPr="00750D25" w:rsidRDefault="004156EE" w:rsidP="00B800EE">
      <w:pPr>
        <w:spacing w:after="0"/>
        <w:ind w:left="709" w:right="709"/>
        <w:jc w:val="both"/>
        <w:rPr>
          <w:rFonts w:ascii="Verdana" w:eastAsia="Century Gothic" w:hAnsi="Verdana" w:cs="Arial"/>
          <w:sz w:val="20"/>
          <w:szCs w:val="20"/>
        </w:rPr>
      </w:pPr>
      <w:r w:rsidRPr="00750D25">
        <w:rPr>
          <w:rFonts w:ascii="Verdana" w:eastAsia="Century Gothic" w:hAnsi="Verdana" w:cs="Arial"/>
          <w:sz w:val="20"/>
          <w:szCs w:val="20"/>
          <w:lang w:val="es-ES"/>
        </w:rPr>
        <w:t xml:space="preserve">7 </w:t>
      </w:r>
      <w:r w:rsidRPr="00750D25">
        <w:rPr>
          <w:rFonts w:ascii="Verdana" w:eastAsia="Century Gothic" w:hAnsi="Verdana" w:cs="Arial"/>
          <w:sz w:val="20"/>
          <w:szCs w:val="20"/>
        </w:rPr>
        <w:t>En el evento en que una entidad estatal considere que la firma del representante legal genera una restricción, ¿es jurídicamente válido que la sociedad intervenga en la licitación o contratación nombrando a un Representante Legal Suplente o Apoderado Especial para la firma de dichos contratos con el Estado?</w:t>
      </w:r>
    </w:p>
    <w:p w14:paraId="26EF1FD3" w14:textId="77777777" w:rsidR="004156EE" w:rsidRPr="00750D25" w:rsidRDefault="004156EE" w:rsidP="00B800EE">
      <w:pPr>
        <w:spacing w:after="0"/>
        <w:ind w:left="709" w:right="709"/>
        <w:jc w:val="both"/>
        <w:rPr>
          <w:rFonts w:ascii="Verdana" w:eastAsia="Century Gothic" w:hAnsi="Verdana" w:cs="Arial"/>
          <w:sz w:val="20"/>
          <w:szCs w:val="20"/>
        </w:rPr>
      </w:pPr>
    </w:p>
    <w:p w14:paraId="509723FF" w14:textId="0EAAB686" w:rsidR="004156EE" w:rsidRPr="00750D25" w:rsidRDefault="004156EE" w:rsidP="00B800EE">
      <w:pPr>
        <w:spacing w:after="0"/>
        <w:ind w:left="709" w:right="709"/>
        <w:jc w:val="both"/>
        <w:rPr>
          <w:rFonts w:ascii="Verdana" w:eastAsia="Century Gothic" w:hAnsi="Verdana" w:cs="Arial"/>
          <w:sz w:val="20"/>
          <w:szCs w:val="20"/>
        </w:rPr>
      </w:pPr>
      <w:r w:rsidRPr="00750D25">
        <w:rPr>
          <w:rFonts w:ascii="Verdana" w:eastAsia="Century Gothic" w:hAnsi="Verdana" w:cs="Arial"/>
          <w:sz w:val="20"/>
          <w:szCs w:val="20"/>
        </w:rPr>
        <w:t xml:space="preserve">8 </w:t>
      </w:r>
      <w:r w:rsidR="008B45CF" w:rsidRPr="00750D25">
        <w:rPr>
          <w:rFonts w:ascii="Verdana" w:eastAsia="Century Gothic" w:hAnsi="Verdana" w:cs="Arial"/>
          <w:sz w:val="20"/>
          <w:szCs w:val="20"/>
        </w:rPr>
        <w:t>¿La suscripción de convenios con municipios para el reconocimiento y transferencia de subsidios tarifarios del servicio de aseo (Ley 142 de 1994) constituye contratación estatal sujeta al régimen de inhabilidades de la Ley 80 de 1993?</w:t>
      </w:r>
    </w:p>
    <w:p w14:paraId="59E0B381" w14:textId="77777777" w:rsidR="008B45CF" w:rsidRPr="00750D25" w:rsidRDefault="008B45CF" w:rsidP="00B800EE">
      <w:pPr>
        <w:spacing w:after="0"/>
        <w:ind w:left="709" w:right="709"/>
        <w:jc w:val="both"/>
        <w:rPr>
          <w:rFonts w:ascii="Verdana" w:eastAsia="Century Gothic" w:hAnsi="Verdana" w:cs="Arial"/>
          <w:sz w:val="20"/>
          <w:szCs w:val="20"/>
        </w:rPr>
      </w:pPr>
    </w:p>
    <w:p w14:paraId="431CDF93" w14:textId="56B4F450" w:rsidR="008B45CF" w:rsidRPr="00750D25" w:rsidRDefault="008B45CF" w:rsidP="00B800EE">
      <w:pPr>
        <w:spacing w:after="0"/>
        <w:ind w:left="709" w:right="709"/>
        <w:jc w:val="both"/>
        <w:rPr>
          <w:rFonts w:ascii="Verdana" w:eastAsia="Century Gothic" w:hAnsi="Verdana" w:cs="Arial"/>
          <w:sz w:val="20"/>
          <w:szCs w:val="20"/>
          <w:lang w:val="es-ES"/>
        </w:rPr>
      </w:pPr>
      <w:r w:rsidRPr="00750D25">
        <w:rPr>
          <w:rFonts w:ascii="Verdana" w:eastAsia="Century Gothic" w:hAnsi="Verdana" w:cs="Arial"/>
          <w:sz w:val="20"/>
          <w:szCs w:val="20"/>
        </w:rPr>
        <w:lastRenderedPageBreak/>
        <w:t>9 ¿Existe alguna diferencia en el análisis cuando la entidad contratante es un municipio, Ecopetrol u otra entidad estatal o empresa con participación estatal?</w:t>
      </w:r>
    </w:p>
    <w:p w14:paraId="6E060830" w14:textId="77777777" w:rsidR="00B800EE" w:rsidRPr="00750D25" w:rsidRDefault="00B800EE" w:rsidP="008B45CF">
      <w:pPr>
        <w:spacing w:after="0"/>
        <w:ind w:right="709"/>
        <w:jc w:val="both"/>
        <w:rPr>
          <w:rFonts w:ascii="Verdana" w:eastAsia="Verdana" w:hAnsi="Verdana" w:cs="Verdana"/>
        </w:rPr>
      </w:pPr>
    </w:p>
    <w:p w14:paraId="6294733E" w14:textId="77777777" w:rsidR="00C637F0" w:rsidRPr="00750D25" w:rsidRDefault="00C637F0" w:rsidP="00C637F0">
      <w:pPr>
        <w:spacing w:after="120" w:line="276" w:lineRule="auto"/>
        <w:ind w:firstLine="709"/>
        <w:jc w:val="both"/>
        <w:rPr>
          <w:rFonts w:ascii="Verdana" w:eastAsia="Calibri" w:hAnsi="Verdana" w:cs="Arial"/>
          <w:lang w:val="es-ES_tradnl" w:eastAsia="es-ES_tradnl"/>
        </w:rPr>
      </w:pPr>
      <w:r w:rsidRPr="00750D25">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7415FD31" w14:textId="77777777" w:rsidR="00C637F0" w:rsidRPr="00750D25" w:rsidRDefault="00C637F0" w:rsidP="00C637F0">
      <w:pPr>
        <w:spacing w:after="0" w:line="276" w:lineRule="auto"/>
        <w:ind w:firstLine="709"/>
        <w:jc w:val="both"/>
        <w:rPr>
          <w:rFonts w:ascii="Verdana" w:eastAsia="Calibri" w:hAnsi="Verdana" w:cs="Arial"/>
          <w:lang w:val="es-ES" w:eastAsia="es-ES"/>
        </w:rPr>
      </w:pPr>
      <w:r w:rsidRPr="00750D2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A9F41AE" w14:textId="77777777" w:rsidR="00C637F0" w:rsidRPr="00750D25" w:rsidRDefault="00C637F0" w:rsidP="00C637F0">
      <w:pPr>
        <w:spacing w:after="0" w:line="276" w:lineRule="auto"/>
        <w:jc w:val="both"/>
        <w:rPr>
          <w:rStyle w:val="Hipervnculo"/>
          <w:rFonts w:ascii="Verdana" w:hAnsi="Verdana"/>
          <w:color w:val="auto"/>
          <w:u w:val="none"/>
          <w:lang w:val="es-ES"/>
        </w:rPr>
      </w:pPr>
    </w:p>
    <w:p w14:paraId="1AA773E0" w14:textId="63A2BE8B" w:rsidR="00C637F0" w:rsidRPr="00750D25" w:rsidRDefault="00C637F0" w:rsidP="00C637F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750D25">
        <w:rPr>
          <w:rFonts w:ascii="Verdana" w:eastAsia="Century Gothic" w:hAnsi="Verdana" w:cs="Arial"/>
          <w:b/>
          <w:bCs/>
        </w:rPr>
        <w:t>Problema</w:t>
      </w:r>
      <w:r w:rsidR="003D12B7" w:rsidRPr="00750D25">
        <w:rPr>
          <w:rFonts w:ascii="Verdana" w:eastAsia="Century Gothic" w:hAnsi="Verdana" w:cs="Arial"/>
          <w:b/>
          <w:bCs/>
        </w:rPr>
        <w:t>s</w:t>
      </w:r>
      <w:r w:rsidRPr="00750D25">
        <w:rPr>
          <w:rFonts w:ascii="Verdana" w:eastAsia="Century Gothic" w:hAnsi="Verdana" w:cs="Arial"/>
          <w:b/>
          <w:bCs/>
        </w:rPr>
        <w:t xml:space="preserve"> planteado</w:t>
      </w:r>
      <w:r w:rsidR="003D12B7" w:rsidRPr="00750D25">
        <w:rPr>
          <w:rFonts w:ascii="Verdana" w:eastAsia="Century Gothic" w:hAnsi="Verdana" w:cs="Arial"/>
          <w:b/>
          <w:bCs/>
        </w:rPr>
        <w:t>s</w:t>
      </w:r>
      <w:r w:rsidRPr="00750D25">
        <w:rPr>
          <w:rFonts w:ascii="Verdana" w:eastAsia="Century Gothic" w:hAnsi="Verdana" w:cs="Arial"/>
          <w:b/>
          <w:bCs/>
        </w:rPr>
        <w:t>:</w:t>
      </w:r>
    </w:p>
    <w:p w14:paraId="25150CAD" w14:textId="77777777" w:rsidR="00C637F0" w:rsidRPr="00750D25" w:rsidRDefault="00C637F0" w:rsidP="00C637F0">
      <w:pPr>
        <w:spacing w:after="0" w:line="276" w:lineRule="auto"/>
        <w:jc w:val="both"/>
        <w:rPr>
          <w:rStyle w:val="Hipervnculo"/>
          <w:rFonts w:ascii="Verdana" w:hAnsi="Verdana" w:cs="Arial"/>
          <w:color w:val="auto"/>
        </w:rPr>
      </w:pPr>
    </w:p>
    <w:p w14:paraId="45AAC549" w14:textId="77777777" w:rsidR="00172015" w:rsidRPr="00750D25" w:rsidRDefault="00C637F0" w:rsidP="00BB2021">
      <w:pPr>
        <w:spacing w:line="276" w:lineRule="auto"/>
        <w:jc w:val="both"/>
        <w:rPr>
          <w:rFonts w:ascii="Verdana" w:hAnsi="Verdana"/>
        </w:rPr>
      </w:pPr>
      <w:r w:rsidRPr="00750D25">
        <w:rPr>
          <w:rFonts w:ascii="Verdana" w:eastAsia="Calibri" w:hAnsi="Verdana" w:cs="Times New Roman"/>
        </w:rPr>
        <w:t xml:space="preserve">De acuerdo con el contenido de su solicitud, la Agencia procede a resolver los siguientes problemas jurídicos: </w:t>
      </w:r>
      <w:r w:rsidR="00E540F3" w:rsidRPr="00750D25">
        <w:rPr>
          <w:rFonts w:ascii="Verdana" w:eastAsia="Calibri" w:hAnsi="Verdana" w:cs="Times New Roman"/>
        </w:rPr>
        <w:t xml:space="preserve">i) ¿La inhabilidad prevista en el literal d) del numeral 1 del artículo 8 de la Ley 80 de 1993, que recae sobre la persona natural sancionada disciplinariamente con destitución, se extiende a la persona jurídica de la cual aquella es representante legal, y cuál es su alcance temporal?; </w:t>
      </w:r>
      <w:proofErr w:type="spellStart"/>
      <w:r w:rsidR="00E540F3" w:rsidRPr="00750D25">
        <w:rPr>
          <w:rFonts w:ascii="Verdana" w:eastAsia="Calibri" w:hAnsi="Verdana" w:cs="Times New Roman"/>
        </w:rPr>
        <w:t>ii</w:t>
      </w:r>
      <w:proofErr w:type="spellEnd"/>
      <w:r w:rsidR="00E540F3" w:rsidRPr="00750D25">
        <w:rPr>
          <w:rFonts w:ascii="Verdana" w:eastAsia="Calibri" w:hAnsi="Verdana" w:cs="Times New Roman"/>
        </w:rPr>
        <w:t xml:space="preserve">) ¿Qué diferencia existe entre la celebración de un contrato estatal por la persona natural a título personal y su suscripción en calidad de representante legal de una persona jurídica, y qué efectos tiene la designación de un representante legal suplente o de un apoderado para dicho fin?; y </w:t>
      </w:r>
      <w:proofErr w:type="spellStart"/>
      <w:r w:rsidR="00E540F3" w:rsidRPr="00750D25">
        <w:rPr>
          <w:rFonts w:ascii="Verdana" w:eastAsia="Calibri" w:hAnsi="Verdana" w:cs="Times New Roman"/>
        </w:rPr>
        <w:t>iii</w:t>
      </w:r>
      <w:proofErr w:type="spellEnd"/>
      <w:r w:rsidR="00E540F3" w:rsidRPr="00750D25">
        <w:rPr>
          <w:rFonts w:ascii="Verdana" w:eastAsia="Calibri" w:hAnsi="Verdana" w:cs="Times New Roman"/>
        </w:rPr>
        <w:t>) ¿</w:t>
      </w:r>
      <w:r w:rsidR="00BB2021" w:rsidRPr="00750D25">
        <w:rPr>
          <w:rFonts w:ascii="Verdana" w:hAnsi="Verdana"/>
        </w:rPr>
        <w:t xml:space="preserve"> </w:t>
      </w:r>
      <w:r w:rsidR="00BB2021" w:rsidRPr="00750D25">
        <w:rPr>
          <w:rFonts w:ascii="Verdana" w:eastAsia="Calibri" w:hAnsi="Verdana" w:cs="Times New Roman"/>
        </w:rPr>
        <w:t xml:space="preserve">Cuál es el alcance del régimen de inhabilidades e incompatibilidades frente a entidades sometidas a regímenes contractuales exceptuados y qué consideraciones generales resultan </w:t>
      </w:r>
      <w:r w:rsidR="00BB2021" w:rsidRPr="00750D25">
        <w:rPr>
          <w:rFonts w:ascii="Verdana" w:eastAsia="Calibri" w:hAnsi="Verdana" w:cs="Times New Roman"/>
        </w:rPr>
        <w:lastRenderedPageBreak/>
        <w:t>aplicables cuando el negocio jurídico se relaciona con el reconocimiento y transferencia de subsidios de servicios públicos domiciliarios</w:t>
      </w:r>
      <w:r w:rsidR="00BB2021" w:rsidRPr="00750D25">
        <w:rPr>
          <w:rFonts w:ascii="Verdana" w:hAnsi="Verdana"/>
        </w:rPr>
        <w:t>?</w:t>
      </w:r>
    </w:p>
    <w:p w14:paraId="53C759D6" w14:textId="60D5AAD2" w:rsidR="00C637F0" w:rsidRPr="00750D25" w:rsidRDefault="00172015" w:rsidP="00BB2021">
      <w:pPr>
        <w:spacing w:line="276" w:lineRule="auto"/>
        <w:jc w:val="both"/>
        <w:rPr>
          <w:rFonts w:ascii="Verdana" w:eastAsia="Arial" w:hAnsi="Verdana" w:cs="Arial"/>
          <w:b/>
          <w:bCs/>
        </w:rPr>
      </w:pPr>
      <w:r w:rsidRPr="00750D25">
        <w:rPr>
          <w:rFonts w:ascii="Verdana" w:hAnsi="Verdana"/>
          <w:b/>
          <w:bCs/>
        </w:rPr>
        <w:t xml:space="preserve">2. </w:t>
      </w:r>
      <w:r w:rsidR="00C637F0" w:rsidRPr="00750D25">
        <w:rPr>
          <w:rFonts w:ascii="Verdana" w:eastAsia="Arial" w:hAnsi="Verdana" w:cs="Arial"/>
          <w:b/>
          <w:bCs/>
        </w:rPr>
        <w:t>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637F0" w:rsidRPr="00750D25" w14:paraId="2F837DDA" w14:textId="77777777" w:rsidTr="004914CD">
        <w:tc>
          <w:tcPr>
            <w:tcW w:w="8828" w:type="dxa"/>
          </w:tcPr>
          <w:p w14:paraId="18578F8C" w14:textId="77777777" w:rsidR="00713910" w:rsidRPr="00750D25" w:rsidRDefault="00C637F0" w:rsidP="00713910">
            <w:pPr>
              <w:widowControl w:val="0"/>
              <w:autoSpaceDE w:val="0"/>
              <w:autoSpaceDN w:val="0"/>
              <w:spacing w:after="120" w:line="276" w:lineRule="auto"/>
              <w:jc w:val="both"/>
              <w:rPr>
                <w:rFonts w:ascii="Verdana" w:eastAsia="Calibri" w:hAnsi="Verdana" w:cs="Times New Roman"/>
              </w:rPr>
            </w:pPr>
            <w:bookmarkStart w:id="1" w:name="_Hlk171067516"/>
            <w:r w:rsidRPr="00750D25">
              <w:rPr>
                <w:rFonts w:ascii="Verdana" w:eastAsia="Calibri" w:hAnsi="Verdana" w:cs="Times New Roman"/>
              </w:rPr>
              <w:t xml:space="preserve">i) </w:t>
            </w:r>
            <w:r w:rsidR="00713910" w:rsidRPr="00750D25">
              <w:rPr>
                <w:rFonts w:ascii="Verdana" w:eastAsia="Calibri" w:hAnsi="Verdana" w:cs="Times New Roman"/>
              </w:rPr>
              <w:t>En primer lugar, de acuerdo con lo establecido en el literal d) del numeral 1 del artículo 8 de la Ley 80 de 1993, las personas naturales a las que se les haya impuesto una pena accesoria de interdicción de derechos y funciones públicas, al igual que las que hayan sido sancionadas disciplinariamente con destitución, están incursas en la referida causal de inhabilidad, por lo que no pueden participar en procesos de selección ni celebrar contratos con entidades estatales. Una vez en firme la providencia que dispone la pena o sanción, la inhabilidad comienza a surtir sus efectos, restringiendo de ese momento en adelante la posibilidad de suscribir nuevos contratos o participar en procesos de contratación. En cuanto a su alcance temporal, el inciso final del numeral 1 del artículo 8 ibidem dispone que las inhabilidades de los literales c), d) e i) se extenderán por un término de cinco (5) años contados a partir de la fecha de ejecutoria del acto que declaró la caducidad, o de la sentencia que impuso la pena, o del acto que dispuso la destitución.</w:t>
            </w:r>
          </w:p>
          <w:p w14:paraId="44E68EF7" w14:textId="3CC02832" w:rsidR="00902ED1" w:rsidRPr="00750D25" w:rsidRDefault="00902ED1" w:rsidP="004914CD">
            <w:pPr>
              <w:widowControl w:val="0"/>
              <w:autoSpaceDE w:val="0"/>
              <w:autoSpaceDN w:val="0"/>
              <w:spacing w:after="120" w:line="276" w:lineRule="auto"/>
              <w:ind w:firstLine="743"/>
              <w:jc w:val="both"/>
              <w:rPr>
                <w:rFonts w:ascii="Verdana" w:hAnsi="Verdana"/>
              </w:rPr>
            </w:pPr>
            <w:r w:rsidRPr="00750D25">
              <w:rPr>
                <w:rFonts w:ascii="Verdana" w:hAnsi="Verdana"/>
              </w:rPr>
              <w:t xml:space="preserve">Ahora bien, en la línea expuesta por esta Agencia en </w:t>
            </w:r>
            <w:r w:rsidR="002E3AF6" w:rsidRPr="00750D25">
              <w:rPr>
                <w:rFonts w:ascii="Verdana" w:hAnsi="Verdana"/>
              </w:rPr>
              <w:t>el</w:t>
            </w:r>
            <w:r w:rsidRPr="00750D25">
              <w:rPr>
                <w:rFonts w:ascii="Verdana" w:hAnsi="Verdana"/>
              </w:rPr>
              <w:t xml:space="preserve"> Concepto C-827 de 2025 y </w:t>
            </w:r>
            <w:r w:rsidR="00B00C19" w:rsidRPr="00750D25">
              <w:rPr>
                <w:rFonts w:ascii="Verdana" w:hAnsi="Verdana"/>
              </w:rPr>
              <w:t xml:space="preserve">reiterado recientemente en el C-991 </w:t>
            </w:r>
            <w:r w:rsidR="003026E6" w:rsidRPr="00750D25">
              <w:rPr>
                <w:rFonts w:ascii="Verdana" w:hAnsi="Verdana"/>
              </w:rPr>
              <w:t>de</w:t>
            </w:r>
            <w:r w:rsidR="002177CF" w:rsidRPr="00750D25">
              <w:rPr>
                <w:rFonts w:ascii="Verdana" w:hAnsi="Verdana"/>
              </w:rPr>
              <w:t xml:space="preserve"> 2026,</w:t>
            </w:r>
            <w:r w:rsidRPr="00750D25">
              <w:rPr>
                <w:rFonts w:ascii="Verdana" w:hAnsi="Verdana"/>
              </w:rPr>
              <w:t xml:space="preserve"> la causal del literal d) del numeral 1 del artículo 8 de la Ley 80 de 1993 restringe y limita la capacidad jurídica exclusivamente de la persona natural condenada a la pena accesoria de interdicción de derechos y funciones públicas o sancionada disciplinariamente con destitución, sin que pueda entenderse que sus efectos se extienden a las personas jurídicas en las cuales dicha persona funja como representante legal. Verificado el régimen de inhabilidades e incompatibilidades contenido en la Ley 80 de 1993, no se identifica alguna causal que limite la capacidad jurídica de las personas jurídicas que pretendan contratar con el Estado por el hecho de que su representante legal haya sido sancionado disciplinariamente con destitución. Al no admitirse analogías ni interpretaciones extensivas en esta materia, no es posible aplicar por semejanza dicha limitación a la persona jurídica, pues tal supuesto no se encuentra previsto expresamente en la disposición, en procura de salvaguardar la seguridad jurídica y el principio de legalidad.</w:t>
            </w:r>
          </w:p>
          <w:p w14:paraId="35E7E00D" w14:textId="49489FBB" w:rsidR="00AD3E57" w:rsidRPr="00750D25" w:rsidRDefault="00AD3E57" w:rsidP="004914CD">
            <w:pPr>
              <w:widowControl w:val="0"/>
              <w:autoSpaceDE w:val="0"/>
              <w:autoSpaceDN w:val="0"/>
              <w:spacing w:after="120" w:line="276" w:lineRule="auto"/>
              <w:ind w:firstLine="743"/>
              <w:jc w:val="both"/>
              <w:rPr>
                <w:rFonts w:ascii="Verdana" w:hAnsi="Verdana"/>
              </w:rPr>
            </w:pPr>
            <w:r w:rsidRPr="00750D25">
              <w:rPr>
                <w:rFonts w:ascii="Verdana" w:hAnsi="Verdana"/>
              </w:rPr>
              <w:t xml:space="preserve">Lo anterior se refuerza si se tiene en cuenta que, cuando el legislador </w:t>
            </w:r>
            <w:r w:rsidRPr="00750D25">
              <w:rPr>
                <w:rFonts w:ascii="Verdana" w:hAnsi="Verdana"/>
              </w:rPr>
              <w:lastRenderedPageBreak/>
              <w:t>ha querido extender los efectos de una inhabilidad personal a las sociedades vinculadas con la persona inhabilitada, lo ha previsto de manera expresa. Así ocurre, por ejemplo, con el literal i) del numeral 1 del artículo 8 de la Ley 80 de 1993, respecto de las sociedades de personas de las que formen parte los socios de sociedades declaradas en caducidad, y con el literal j) del mismo numeral, que extiende la inhabilidad derivada de la declaratoria de responsabilidad judicial por delitos contra la Administración Pública y otras conductas allí previstas a las sociedades de las que hagan parte dichas personas en calidad de administradores, representantes legales, miembros de junta directiva o socios controlantes. Una extensión de esta naturaleza no fue prevista por el legislador para el supuesto del literal d).</w:t>
            </w:r>
          </w:p>
          <w:p w14:paraId="000EF1A5" w14:textId="1A72AE3D" w:rsidR="000E7073" w:rsidRPr="00750D25" w:rsidRDefault="000E7073" w:rsidP="000E7073">
            <w:pPr>
              <w:widowControl w:val="0"/>
              <w:autoSpaceDE w:val="0"/>
              <w:autoSpaceDN w:val="0"/>
              <w:spacing w:after="120" w:line="276" w:lineRule="auto"/>
              <w:jc w:val="both"/>
              <w:rPr>
                <w:rFonts w:ascii="Verdana" w:hAnsi="Verdana"/>
              </w:rPr>
            </w:pPr>
            <w:proofErr w:type="spellStart"/>
            <w:r w:rsidRPr="00750D25">
              <w:rPr>
                <w:rFonts w:ascii="Verdana" w:hAnsi="Verdana"/>
              </w:rPr>
              <w:t>ii</w:t>
            </w:r>
            <w:proofErr w:type="spellEnd"/>
            <w:r w:rsidRPr="00750D25">
              <w:rPr>
                <w:rFonts w:ascii="Verdana" w:hAnsi="Verdana"/>
              </w:rPr>
              <w:t>) En segundo lugar, debe distinguirse la capacidad de la persona jurídica de las condiciones personales de su representante legal. La persona jurídica es un sujeto de derecho distinto de los socios y de sus administradores individualmente considerados, que actúa a través de sus representantes, de modo que cuando el representante legal suscribe un contrato en nombre de aquella, la parte contratante es la persona jurídica y no la persona natural que la representa. Por el contrario, cuando la persona natural celebra el contrato a título personal, es ella misma la que ostenta la calidad de contratista y, por ende, la que debe acreditar su capacidad y la ausencia de inhabilidades e incompatibilidades. En consecuencia, en la medida en que el ordenamiento no extiende a la persona jurídica la inhabilidad del literal d) de su representante legal, la sola suscripción del contrato por este último en nombre de la persona jurídica no configura, por sí misma, una causal de inhabilidad o de incompatibilidad de las previstas en el artículo 8 de la Ley 80 de 1993, ni una causal de nulidad del contrato por esta razón.</w:t>
            </w:r>
          </w:p>
          <w:p w14:paraId="72E54CB3" w14:textId="77777777" w:rsidR="00E00FCA" w:rsidRPr="00750D25" w:rsidRDefault="00E00FCA" w:rsidP="004914CD">
            <w:pPr>
              <w:widowControl w:val="0"/>
              <w:autoSpaceDE w:val="0"/>
              <w:autoSpaceDN w:val="0"/>
              <w:spacing w:after="120" w:line="276" w:lineRule="auto"/>
              <w:ind w:firstLine="743"/>
              <w:jc w:val="both"/>
              <w:rPr>
                <w:rFonts w:ascii="Verdana" w:eastAsia="Calibri" w:hAnsi="Verdana" w:cs="Arial"/>
                <w:lang w:val="es-ES" w:eastAsia="es-ES_tradnl"/>
              </w:rPr>
            </w:pPr>
            <w:r w:rsidRPr="00750D25">
              <w:rPr>
                <w:rFonts w:ascii="Verdana" w:eastAsia="Calibri" w:hAnsi="Verdana" w:cs="Arial"/>
                <w:lang w:val="es-ES" w:eastAsia="es-ES_tradnl"/>
              </w:rPr>
              <w:t>Por su parte, la posibilidad de que una persona jurídica actúe en un proceso de selección o suscriba un contrato por intermedio de un representante legal suplente o de un apoderado es una cuestión que depende de las reglas generales de representación, de los estatutos de la persona jurídica y de las facultades conferidas, las cuales deberán ser verificadas por la entidad estatal en cada Proceso de Contratación. Esta Agencia no puede validar por vía consultiva la estructuración de esquemas de actuación de una persona jurídica en casos particulares.</w:t>
            </w:r>
          </w:p>
          <w:p w14:paraId="240CFCAF" w14:textId="6B25B5C5" w:rsidR="000177B6" w:rsidRPr="00750D25" w:rsidRDefault="006511D4" w:rsidP="006511D4">
            <w:pPr>
              <w:widowControl w:val="0"/>
              <w:autoSpaceDE w:val="0"/>
              <w:autoSpaceDN w:val="0"/>
              <w:spacing w:after="120" w:line="276" w:lineRule="auto"/>
              <w:jc w:val="both"/>
              <w:rPr>
                <w:rFonts w:ascii="Verdana" w:eastAsia="Calibri" w:hAnsi="Verdana" w:cs="Arial"/>
                <w:lang w:val="es-ES" w:eastAsia="es-ES_tradnl"/>
              </w:rPr>
            </w:pPr>
            <w:proofErr w:type="spellStart"/>
            <w:r w:rsidRPr="00750D25">
              <w:rPr>
                <w:rFonts w:ascii="Verdana" w:eastAsia="Calibri" w:hAnsi="Verdana" w:cs="Arial"/>
                <w:lang w:val="es-ES" w:eastAsia="es-ES_tradnl"/>
              </w:rPr>
              <w:t>iii</w:t>
            </w:r>
            <w:proofErr w:type="spellEnd"/>
            <w:r w:rsidRPr="00750D25">
              <w:rPr>
                <w:rFonts w:ascii="Verdana" w:eastAsia="Calibri" w:hAnsi="Verdana" w:cs="Arial"/>
                <w:lang w:val="es-ES" w:eastAsia="es-ES_tradnl"/>
              </w:rPr>
              <w:t xml:space="preserve">) </w:t>
            </w:r>
            <w:r w:rsidR="000177B6" w:rsidRPr="00750D25">
              <w:rPr>
                <w:rFonts w:ascii="Verdana" w:eastAsia="Calibri" w:hAnsi="Verdana" w:cs="Arial"/>
                <w:lang w:val="es-ES" w:eastAsia="es-ES_tradnl"/>
              </w:rPr>
              <w:t xml:space="preserve">Finalmente, el régimen de inhabilidades e incompatibilidades previsto </w:t>
            </w:r>
            <w:r w:rsidR="000177B6" w:rsidRPr="00750D25">
              <w:rPr>
                <w:rFonts w:ascii="Verdana" w:eastAsia="Calibri" w:hAnsi="Verdana" w:cs="Arial"/>
                <w:lang w:val="es-ES" w:eastAsia="es-ES_tradnl"/>
              </w:rPr>
              <w:lastRenderedPageBreak/>
              <w:t xml:space="preserve">legalmente para la contratación estatal no solo resulta aplicable a las Entidades Estatales sometidas al Estatuto General de Contratación de la Administración Pública, sino también a aquellas que cuentan con un régimen contractual exceptuado, pues el artículo 13 de la Ley 1150 de 2007 dispone que estas, además de aplicar los principios de la función administrativa y de la gestión fiscal, “estarán sometidas al régimen de inhabilidades e incompatibilidades previsto legalmente para la contratación estatal”. En </w:t>
            </w:r>
            <w:proofErr w:type="spellStart"/>
            <w:proofErr w:type="gramStart"/>
            <w:r w:rsidR="000177B6" w:rsidRPr="00750D25">
              <w:rPr>
                <w:rFonts w:ascii="Verdana" w:eastAsia="Calibri" w:hAnsi="Verdana" w:cs="Arial"/>
                <w:lang w:val="es-ES" w:eastAsia="es-ES_tradnl"/>
              </w:rPr>
              <w:t>consecuencia,</w:t>
            </w:r>
            <w:r w:rsidR="00456A4C" w:rsidRPr="00750D25">
              <w:rPr>
                <w:rFonts w:ascii="Verdana" w:eastAsia="Calibri" w:hAnsi="Verdana" w:cs="Arial"/>
                <w:lang w:val="es-ES" w:eastAsia="es-ES_tradnl"/>
              </w:rPr>
              <w:t>e</w:t>
            </w:r>
            <w:r w:rsidR="00FC0F67" w:rsidRPr="00750D25">
              <w:rPr>
                <w:rFonts w:ascii="Verdana" w:eastAsia="Calibri" w:hAnsi="Verdana" w:cs="Arial"/>
                <w:lang w:val="es-ES" w:eastAsia="es-ES_tradnl"/>
              </w:rPr>
              <w:t>n</w:t>
            </w:r>
            <w:proofErr w:type="spellEnd"/>
            <w:proofErr w:type="gramEnd"/>
            <w:r w:rsidR="00FC0F67" w:rsidRPr="00750D25">
              <w:rPr>
                <w:rFonts w:ascii="Verdana" w:eastAsia="Calibri" w:hAnsi="Verdana" w:cs="Arial"/>
                <w:lang w:val="es-ES" w:eastAsia="es-ES_tradnl"/>
              </w:rPr>
              <w:t xml:space="preserve"> consecuencia, tratándose de entidades sometidas a regímenes contractuales exceptuados que se encuentren cobijadas por el artículo 13 de la Ley 1150 de 2007, resultan aplicables las reglas legales sobre inhabilidades e incompatibilidades previstas para la contratación estatal</w:t>
            </w:r>
            <w:r w:rsidR="000177B6" w:rsidRPr="00750D25">
              <w:rPr>
                <w:rFonts w:ascii="Verdana" w:eastAsia="Calibri" w:hAnsi="Verdana" w:cs="Arial"/>
                <w:lang w:val="es-ES" w:eastAsia="es-ES_tradnl"/>
              </w:rPr>
              <w:t>. Determinar si un negocio jurídico particular, como un convenio para el reconocimiento y transferencia de subsidios, constituye un contrato estatal, y cuál es el régimen que le resulta aplicable, depende de la naturaleza de las partes que lo celebran y de las normas especiales que lo regulan, análisis que corresponde a la entidad respectiva en cada caso concreto.</w:t>
            </w:r>
          </w:p>
          <w:p w14:paraId="5CC2E03F" w14:textId="01F7D99E" w:rsidR="00331317" w:rsidRPr="00750D25" w:rsidRDefault="00331317" w:rsidP="004914CD">
            <w:pPr>
              <w:widowControl w:val="0"/>
              <w:autoSpaceDE w:val="0"/>
              <w:autoSpaceDN w:val="0"/>
              <w:spacing w:after="120" w:line="276" w:lineRule="auto"/>
              <w:ind w:firstLine="743"/>
              <w:jc w:val="both"/>
              <w:rPr>
                <w:rFonts w:ascii="Verdana" w:eastAsia="Calibri" w:hAnsi="Verdana" w:cs="Arial"/>
                <w:lang w:eastAsia="es-ES_tradnl"/>
              </w:rPr>
            </w:pPr>
            <w:r w:rsidRPr="00750D25">
              <w:rPr>
                <w:rFonts w:ascii="Verdana" w:eastAsia="Calibri" w:hAnsi="Verdana" w:cs="Arial"/>
                <w:lang w:eastAsia="es-ES_tradnl"/>
              </w:rPr>
              <w:t>Sin perjuicio de lo anterior, y tal como lo advirtió esta Agencia en el Concepto C-827 de 2025, se recomienda a las personas jurídicas interesadas en participar en procesos de contratación con Entidades Estatales que, en cumplimiento del principio de debida diligencia, adelanten una verificación previa de los antecedentes disciplinarios, fiscales y penales de sus representantes legales, miembros de junta directiva o de quienes ejerzan funciones de dirección y administración. Aunque no toda sanción a una persona natural implica automáticamente una inhabilidad para la persona jurídica, la identificación oportuna de situaciones que puedan generar cuestionamientos puede fortalecer la transparencia, la legalidad y la confianza en la gestión contractual.</w:t>
            </w:r>
          </w:p>
          <w:p w14:paraId="23C09E3E" w14:textId="000BB8F3" w:rsidR="00C637F0" w:rsidRPr="00750D25" w:rsidRDefault="00C637F0" w:rsidP="004914CD">
            <w:pPr>
              <w:widowControl w:val="0"/>
              <w:autoSpaceDE w:val="0"/>
              <w:autoSpaceDN w:val="0"/>
              <w:spacing w:after="120" w:line="276" w:lineRule="auto"/>
              <w:ind w:firstLine="743"/>
              <w:jc w:val="both"/>
              <w:rPr>
                <w:rFonts w:ascii="Verdana" w:eastAsia="Calibri" w:hAnsi="Verdana" w:cs="Arial"/>
                <w:lang w:eastAsia="es-ES_tradnl"/>
              </w:rPr>
            </w:pPr>
            <w:r w:rsidRPr="00750D25">
              <w:rPr>
                <w:rFonts w:ascii="Verdana" w:eastAsia="Calibri" w:hAnsi="Verdana" w:cs="Arial"/>
                <w:lang w:val="es-ES" w:eastAsia="es-ES_tradnl"/>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w:t>
            </w:r>
            <w:r w:rsidRPr="00750D25">
              <w:rPr>
                <w:rFonts w:ascii="Verdana" w:eastAsia="Calibri" w:hAnsi="Verdana" w:cs="Arial"/>
                <w:lang w:val="es-ES" w:eastAsia="es-ES_tradnl"/>
              </w:rPr>
              <w:lastRenderedPageBreak/>
              <w:t>adoptar la decisión correspondiente y, en caso de conflicto, a las autoridades judiciales, fiscales y disciplinarias.</w:t>
            </w:r>
          </w:p>
        </w:tc>
      </w:tr>
      <w:bookmarkEnd w:id="1"/>
    </w:tbl>
    <w:p w14:paraId="627FD90D" w14:textId="77777777" w:rsidR="00C637F0" w:rsidRPr="00750D25" w:rsidRDefault="00C637F0" w:rsidP="00C637F0">
      <w:pPr>
        <w:widowControl w:val="0"/>
        <w:autoSpaceDE w:val="0"/>
        <w:autoSpaceDN w:val="0"/>
        <w:spacing w:after="0" w:line="276" w:lineRule="auto"/>
        <w:outlineLvl w:val="0"/>
        <w:rPr>
          <w:rFonts w:ascii="Verdana" w:eastAsia="Arial" w:hAnsi="Verdana" w:cs="Arial"/>
          <w:b/>
          <w:bCs/>
          <w:highlight w:val="cyan"/>
        </w:rPr>
      </w:pPr>
    </w:p>
    <w:p w14:paraId="5DB6C527" w14:textId="77777777" w:rsidR="00C637F0" w:rsidRPr="00750D25" w:rsidRDefault="00C637F0" w:rsidP="00C637F0">
      <w:pPr>
        <w:widowControl w:val="0"/>
        <w:autoSpaceDE w:val="0"/>
        <w:autoSpaceDN w:val="0"/>
        <w:spacing w:after="0" w:line="276" w:lineRule="auto"/>
        <w:ind w:left="360" w:hanging="360"/>
        <w:outlineLvl w:val="0"/>
        <w:rPr>
          <w:rFonts w:ascii="Verdana" w:eastAsia="Arial" w:hAnsi="Verdana" w:cs="Arial"/>
          <w:b/>
          <w:bCs/>
          <w:lang w:val="es-ES"/>
        </w:rPr>
      </w:pPr>
      <w:r w:rsidRPr="00750D25">
        <w:rPr>
          <w:rFonts w:ascii="Verdana" w:eastAsia="Arial" w:hAnsi="Verdana" w:cs="Arial"/>
          <w:b/>
          <w:bCs/>
          <w:lang w:val="es-ES"/>
        </w:rPr>
        <w:t>3. Razones de la respuesta:</w:t>
      </w:r>
    </w:p>
    <w:p w14:paraId="47B6458E" w14:textId="77777777" w:rsidR="00C637F0" w:rsidRPr="00750D25" w:rsidRDefault="00C637F0" w:rsidP="00C637F0">
      <w:pPr>
        <w:spacing w:after="0" w:line="276" w:lineRule="auto"/>
        <w:jc w:val="both"/>
        <w:rPr>
          <w:rFonts w:ascii="Verdana" w:eastAsia="Verdana" w:hAnsi="Verdana" w:cs="Verdana"/>
          <w:lang w:val="es-ES"/>
        </w:rPr>
      </w:pPr>
    </w:p>
    <w:p w14:paraId="36973101" w14:textId="77777777" w:rsidR="00C637F0" w:rsidRPr="00750D25" w:rsidRDefault="00C637F0" w:rsidP="00C637F0">
      <w:pPr>
        <w:spacing w:after="0" w:line="276" w:lineRule="auto"/>
        <w:jc w:val="both"/>
        <w:rPr>
          <w:rFonts w:ascii="Verdana" w:eastAsia="Calibri" w:hAnsi="Verdana" w:cs="Arial"/>
          <w:lang w:val="es-ES"/>
        </w:rPr>
      </w:pPr>
      <w:r w:rsidRPr="00750D25">
        <w:rPr>
          <w:rFonts w:ascii="Verdana" w:eastAsia="Calibri" w:hAnsi="Verdana" w:cs="Arial"/>
          <w:lang w:val="es-ES"/>
        </w:rPr>
        <w:t xml:space="preserve">La respuesta anterior se sustenta en las siguientes consideraciones: </w:t>
      </w:r>
    </w:p>
    <w:p w14:paraId="25F1E35C" w14:textId="77777777" w:rsidR="00060D8B" w:rsidRPr="00750D25" w:rsidRDefault="00060D8B" w:rsidP="00C637F0">
      <w:pPr>
        <w:spacing w:after="0" w:line="276" w:lineRule="auto"/>
        <w:jc w:val="both"/>
        <w:rPr>
          <w:rFonts w:ascii="Verdana" w:eastAsia="Calibri" w:hAnsi="Verdana" w:cs="Arial"/>
          <w:lang w:val="es-ES"/>
        </w:rPr>
      </w:pPr>
    </w:p>
    <w:p w14:paraId="7D99523C" w14:textId="77777777" w:rsidR="00060D8B" w:rsidRPr="00750D25" w:rsidRDefault="00060D8B" w:rsidP="00060D8B">
      <w:pPr>
        <w:pStyle w:val="Sinespaciado"/>
        <w:spacing w:line="276" w:lineRule="auto"/>
        <w:jc w:val="both"/>
        <w:rPr>
          <w:rFonts w:ascii="Verdana" w:hAnsi="Verdana" w:cs="Arial"/>
          <w:color w:val="000000" w:themeColor="text1"/>
          <w:sz w:val="22"/>
          <w:lang w:val="es-ES"/>
        </w:rPr>
      </w:pPr>
      <w:r w:rsidRPr="00750D25">
        <w:rPr>
          <w:rFonts w:ascii="Verdana" w:eastAsia="Calibri" w:hAnsi="Verdana" w:cs="Arial"/>
          <w:color w:val="000000" w:themeColor="text1"/>
          <w:lang w:val="es-ES"/>
        </w:rPr>
        <w:t xml:space="preserve">i. </w:t>
      </w:r>
      <w:r w:rsidRPr="00750D25">
        <w:rPr>
          <w:rFonts w:ascii="Verdana" w:hAnsi="Verdana" w:cs="Arial"/>
          <w:color w:val="000000" w:themeColor="text1"/>
          <w:sz w:val="22"/>
          <w:lang w:val="es-ES"/>
        </w:rPr>
        <w:t xml:space="preserve">Las inhabilidades e incompatibilidades son circunstancias establecidas por la Constitución o la ley que impiden la posibilidad de que ciertas personas sean elegidas o designadas en un cargo público o puedan celebrar contratos con el Estado, con el objetivo de garantizar la idoneidad, imparcialidad, probidad, transparencia y moralidad de la gestión pública.  El régimen de inhabilidades e incompatibilidades para contratar con el Estado es un conjunto de restricciones establecidas por el constituyente o por el legislador que afectan directamente la capacidad de las personas para establecer una relación jurídica contractual con el Estado, que pueden resultar de condenas, sanciones o situaciones previamente establecidas por el ordenamiento jurídico. Estas restricciones o limitaciones que afectan la capacidad jurídica de las personas para contratar realizan los principios de la función administrativa, consagrados en el artículo 209 de la Constitución Política, con especial énfasis en el de moralidad. Así lo ha entendido el Consejo de Estado: </w:t>
      </w:r>
    </w:p>
    <w:p w14:paraId="7DF4BE8E" w14:textId="77777777" w:rsidR="00060D8B" w:rsidRPr="00750D25" w:rsidRDefault="00060D8B" w:rsidP="00060D8B">
      <w:pPr>
        <w:pStyle w:val="Sinespaciado"/>
        <w:spacing w:line="276" w:lineRule="auto"/>
        <w:jc w:val="both"/>
        <w:rPr>
          <w:rFonts w:ascii="Verdana" w:hAnsi="Verdana" w:cs="Arial"/>
          <w:color w:val="000000" w:themeColor="text1"/>
          <w:sz w:val="22"/>
          <w:lang w:val="es-ES"/>
        </w:rPr>
      </w:pPr>
    </w:p>
    <w:p w14:paraId="313F4A0B" w14:textId="77777777" w:rsidR="00060D8B" w:rsidRPr="00750D25" w:rsidRDefault="00060D8B" w:rsidP="00060D8B">
      <w:pPr>
        <w:pStyle w:val="NormalWeb"/>
        <w:shd w:val="clear" w:color="auto" w:fill="FFFFFF"/>
        <w:spacing w:before="0" w:beforeAutospacing="0" w:after="120" w:afterAutospacing="0"/>
        <w:ind w:left="709" w:right="709"/>
        <w:jc w:val="both"/>
        <w:rPr>
          <w:rFonts w:ascii="Verdana" w:hAnsi="Verdana" w:cs="Arial"/>
          <w:color w:val="000000" w:themeColor="text1"/>
          <w:sz w:val="20"/>
          <w:szCs w:val="20"/>
          <w:lang w:val="es-ES"/>
        </w:rPr>
      </w:pPr>
      <w:r w:rsidRPr="00750D25">
        <w:rPr>
          <w:rFonts w:ascii="Verdana" w:hAnsi="Verdana" w:cs="Arial"/>
          <w:color w:val="000000" w:themeColor="text1"/>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64085698" w14:textId="77777777" w:rsidR="00060D8B" w:rsidRPr="00750D25" w:rsidRDefault="00060D8B" w:rsidP="00060D8B">
      <w:pPr>
        <w:pStyle w:val="NormalWeb"/>
        <w:shd w:val="clear" w:color="auto" w:fill="FFFFFF"/>
        <w:spacing w:before="0" w:beforeAutospacing="0" w:after="0"/>
        <w:ind w:left="709" w:right="709"/>
        <w:jc w:val="both"/>
        <w:rPr>
          <w:rFonts w:ascii="Verdana" w:hAnsi="Verdana" w:cs="Arial"/>
          <w:color w:val="000000" w:themeColor="text1"/>
          <w:sz w:val="20"/>
          <w:szCs w:val="20"/>
          <w:lang w:val="es-ES"/>
        </w:rPr>
      </w:pPr>
      <w:r w:rsidRPr="00750D25">
        <w:rPr>
          <w:rFonts w:ascii="Verdana" w:hAnsi="Verdana" w:cs="Arial"/>
          <w:color w:val="000000" w:themeColor="text1"/>
          <w:sz w:val="20"/>
          <w:szCs w:val="20"/>
          <w:lang w:val="es-ES"/>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w:t>
      </w:r>
      <w:r w:rsidRPr="00750D25">
        <w:rPr>
          <w:rFonts w:ascii="Verdana" w:hAnsi="Verdana" w:cs="Arial"/>
          <w:color w:val="000000" w:themeColor="text1"/>
          <w:sz w:val="20"/>
          <w:szCs w:val="20"/>
          <w:lang w:val="es-ES"/>
        </w:rPr>
        <w:lastRenderedPageBreak/>
        <w:t>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750D25">
        <w:rPr>
          <w:rStyle w:val="Refdenotaalpie"/>
          <w:rFonts w:ascii="Verdana" w:hAnsi="Verdana" w:cs="Arial"/>
          <w:color w:val="000000" w:themeColor="text1"/>
          <w:sz w:val="20"/>
          <w:szCs w:val="20"/>
          <w:lang w:val="es-ES"/>
        </w:rPr>
        <w:footnoteReference w:id="1"/>
      </w:r>
      <w:r w:rsidRPr="00750D25">
        <w:rPr>
          <w:rFonts w:ascii="Verdana" w:hAnsi="Verdana" w:cs="Arial"/>
          <w:color w:val="000000" w:themeColor="text1"/>
          <w:sz w:val="20"/>
          <w:szCs w:val="20"/>
          <w:lang w:val="es-ES"/>
        </w:rPr>
        <w:t xml:space="preserve">. </w:t>
      </w:r>
    </w:p>
    <w:p w14:paraId="2EEEF3D0" w14:textId="77777777" w:rsidR="00060D8B" w:rsidRPr="00750D25" w:rsidRDefault="00060D8B" w:rsidP="00060D8B">
      <w:pPr>
        <w:spacing w:after="120" w:line="276" w:lineRule="auto"/>
        <w:ind w:firstLine="708"/>
        <w:jc w:val="both"/>
        <w:rPr>
          <w:rFonts w:ascii="Verdana" w:hAnsi="Verdana" w:cs="Arial"/>
          <w:color w:val="000000" w:themeColor="text1"/>
          <w:lang w:val="es-ES"/>
        </w:rPr>
      </w:pPr>
      <w:r w:rsidRPr="00750D25">
        <w:rPr>
          <w:rFonts w:ascii="Verdana" w:hAnsi="Verdana" w:cs="Arial"/>
          <w:color w:val="000000" w:themeColor="text1"/>
          <w:lang w:val="es-ES"/>
        </w:rPr>
        <w:t>Las inhabilidades e incompatibilidades son medios que buscan garantizar la transparencia y eficiencia en la actividad contractual del Estado y para ello imponen restricciones en la personalidad jurídica, la igualdad, la libre empresa y, particularmente, el derecho a participar en procesos de selección y celebrar contratos con la Administración. Asimismo</w:t>
      </w:r>
      <w:r w:rsidRPr="00750D25">
        <w:rPr>
          <w:rFonts w:ascii="Verdana" w:eastAsia="Calibri" w:hAnsi="Verdana" w:cs="Arial"/>
          <w:color w:val="000000" w:themeColor="text1"/>
          <w:lang w:val="es-ES"/>
        </w:rPr>
        <w:t xml:space="preserve">, el carácter reconocidamente taxativo del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Por ello, </w:t>
      </w:r>
      <w:r w:rsidRPr="00750D25">
        <w:rPr>
          <w:rFonts w:ascii="Verdana" w:hAnsi="Verdana" w:cs="Arial"/>
          <w:color w:val="000000" w:themeColor="text1"/>
          <w:lang w:val="es-ES"/>
        </w:rPr>
        <w:t>la competencia para determinar qué hechos o situaciones generan inhabilidad para contratar con el Estado la tiene el legislador, pues este régimen es un aspecto propio del Estatuto General de la Contratación Pública, cuya expedición corresponde al Congreso de la República, conforme al artículo 150 de la Constitución Política, por lo que en esta materia rige el principio de legalidad.</w:t>
      </w:r>
    </w:p>
    <w:p w14:paraId="200C504D" w14:textId="77777777" w:rsidR="00060D8B" w:rsidRPr="00750D25" w:rsidRDefault="00060D8B" w:rsidP="00060D8B">
      <w:pPr>
        <w:spacing w:after="0" w:line="276" w:lineRule="auto"/>
        <w:ind w:firstLine="709"/>
        <w:jc w:val="both"/>
        <w:rPr>
          <w:rFonts w:ascii="Verdana" w:eastAsia="Calibri" w:hAnsi="Verdana" w:cs="Arial"/>
          <w:lang w:val="es-ES"/>
        </w:rPr>
      </w:pPr>
      <w:r w:rsidRPr="00750D25">
        <w:rPr>
          <w:rFonts w:ascii="Verdana" w:eastAsia="Calibri" w:hAnsi="Verdana" w:cs="Arial"/>
          <w:lang w:val="es-ES"/>
        </w:rPr>
        <w:t xml:space="preserve">De esta manera, las inhabilidades e incompatibilidades al ser límites especiales a la capacidad para presentar ofertas y celebrar contratos estatales, solo pueden tipificarse en la ley o la Constitución –o sea, deben satisfacer el principio de legalidad– y su interpretación debe ser </w:t>
      </w:r>
      <w:r w:rsidRPr="00750D25">
        <w:rPr>
          <w:rFonts w:ascii="Verdana" w:eastAsia="Calibri" w:hAnsi="Verdana" w:cs="Arial"/>
          <w:i/>
          <w:iCs/>
          <w:lang w:val="es-ES"/>
        </w:rPr>
        <w:t>restrictiva</w:t>
      </w:r>
      <w:r w:rsidRPr="00750D25">
        <w:rPr>
          <w:rFonts w:ascii="Verdana" w:eastAsia="Calibri" w:hAnsi="Verdana" w:cs="Arial"/>
          <w:lang w:val="es-ES"/>
        </w:rPr>
        <w:t>. En contraste, si se admitiera una interpretación amplia, extensiva, analógica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w:t>
      </w:r>
      <w:r w:rsidRPr="00750D25">
        <w:rPr>
          <w:rStyle w:val="Refdenotaalpie"/>
          <w:rFonts w:ascii="Verdana" w:eastAsia="Calibri" w:hAnsi="Verdana" w:cs="Arial"/>
          <w:lang w:val="es-ES"/>
        </w:rPr>
        <w:footnoteReference w:id="2"/>
      </w:r>
      <w:r w:rsidRPr="00750D25">
        <w:rPr>
          <w:rFonts w:ascii="Verdana" w:eastAsia="Calibri" w:hAnsi="Verdana" w:cs="Arial"/>
          <w:lang w:val="es-ES"/>
        </w:rPr>
        <w:t>.</w:t>
      </w:r>
    </w:p>
    <w:p w14:paraId="1371565E" w14:textId="77777777" w:rsidR="00060D8B" w:rsidRPr="00750D25" w:rsidRDefault="00060D8B" w:rsidP="00060D8B">
      <w:pPr>
        <w:spacing w:after="120" w:line="276" w:lineRule="auto"/>
        <w:jc w:val="both"/>
        <w:rPr>
          <w:rFonts w:ascii="Verdana" w:eastAsia="Arial" w:hAnsi="Verdana" w:cs="Arial"/>
          <w:color w:val="000000"/>
          <w:kern w:val="2"/>
          <w:lang w:val="es-ES"/>
          <w14:ligatures w14:val="standardContextual"/>
        </w:rPr>
      </w:pPr>
    </w:p>
    <w:p w14:paraId="7E0B170E" w14:textId="77777777" w:rsidR="00060D8B" w:rsidRPr="00750D25" w:rsidRDefault="00060D8B" w:rsidP="00060D8B">
      <w:pPr>
        <w:pBdr>
          <w:top w:val="nil"/>
          <w:left w:val="nil"/>
          <w:bottom w:val="nil"/>
          <w:right w:val="nil"/>
          <w:between w:val="nil"/>
        </w:pBdr>
        <w:spacing w:after="120" w:line="276" w:lineRule="auto"/>
        <w:jc w:val="both"/>
        <w:rPr>
          <w:rFonts w:ascii="Verdana" w:eastAsia="Calibri" w:hAnsi="Verdana" w:cs="Arial"/>
          <w:color w:val="000000" w:themeColor="text1"/>
          <w:lang w:val="es-ES"/>
        </w:rPr>
      </w:pPr>
      <w:proofErr w:type="spellStart"/>
      <w:r w:rsidRPr="00750D25">
        <w:rPr>
          <w:rFonts w:ascii="Verdana" w:eastAsia="Arial" w:hAnsi="Verdana" w:cs="Arial"/>
          <w:color w:val="000000"/>
          <w:kern w:val="2"/>
          <w:lang w:val="es-ES"/>
          <w14:ligatures w14:val="standardContextual"/>
        </w:rPr>
        <w:t>ii</w:t>
      </w:r>
      <w:proofErr w:type="spellEnd"/>
      <w:r w:rsidRPr="00750D25">
        <w:rPr>
          <w:rFonts w:ascii="Verdana" w:eastAsia="Arial" w:hAnsi="Verdana" w:cs="Arial"/>
          <w:color w:val="000000"/>
          <w:kern w:val="2"/>
          <w:lang w:val="es-ES"/>
          <w14:ligatures w14:val="standardContextual"/>
        </w:rPr>
        <w:t xml:space="preserve">. </w:t>
      </w:r>
      <w:r w:rsidRPr="00750D25">
        <w:rPr>
          <w:rFonts w:ascii="Verdana" w:eastAsia="Calibri" w:hAnsi="Verdana" w:cs="Arial"/>
          <w:lang w:val="es-ES"/>
        </w:rPr>
        <w:t>Para precisar el alcance de estas limitaciones es necesario tener en cuenta que la existencia de las personas jurídicas es independiente de quienes la integran. Aquellas son entes ficticios con capacidad autónoma para ejercer derechos y contraer obligaciones –</w:t>
      </w:r>
      <w:r w:rsidRPr="00750D25">
        <w:rPr>
          <w:rFonts w:ascii="Verdana" w:eastAsia="Calibri" w:hAnsi="Verdana" w:cs="Arial"/>
          <w:color w:val="000000" w:themeColor="text1"/>
          <w:lang w:val="es-ES"/>
        </w:rPr>
        <w:t>art. 633 del Código Civil–</w:t>
      </w:r>
      <w:r w:rsidRPr="00750D25">
        <w:rPr>
          <w:rStyle w:val="Refdenotaalpie"/>
          <w:rFonts w:ascii="Verdana" w:eastAsia="Calibri" w:hAnsi="Verdana" w:cs="Arial"/>
          <w:color w:val="000000" w:themeColor="text1"/>
          <w:lang w:val="es-ES"/>
        </w:rPr>
        <w:footnoteReference w:id="3"/>
      </w:r>
      <w:r w:rsidRPr="00750D25">
        <w:rPr>
          <w:rFonts w:ascii="Verdana" w:eastAsia="Calibri" w:hAnsi="Verdana" w:cs="Arial"/>
          <w:color w:val="000000" w:themeColor="text1"/>
          <w:lang w:val="es-ES"/>
        </w:rPr>
        <w:t>; razón por la cual, aunque la participación corresponda a otros sujetos de derecho, dichos entes tienen personería jurídica diferente de los socios individualmente considerados –art. 98, inc. 2, del Código de Comercio–</w:t>
      </w:r>
      <w:r w:rsidRPr="00750D25">
        <w:rPr>
          <w:rStyle w:val="Refdenotaalpie"/>
          <w:rFonts w:ascii="Verdana" w:eastAsia="Calibri" w:hAnsi="Verdana" w:cs="Arial"/>
          <w:color w:val="000000" w:themeColor="text1"/>
          <w:lang w:val="es-ES"/>
        </w:rPr>
        <w:footnoteReference w:id="4"/>
      </w:r>
      <w:r w:rsidRPr="00750D25">
        <w:rPr>
          <w:rFonts w:ascii="Verdana" w:eastAsia="Calibri" w:hAnsi="Verdana" w:cs="Arial"/>
          <w:color w:val="000000" w:themeColor="text1"/>
          <w:lang w:val="es-ES"/>
        </w:rPr>
        <w:t>. De esta manera, “[…] todas estas colectividades se presentan como independientes y distintas de los seres humanos que las constituyen; desaparece en cierta medida la individualidad de estos; y se forma un ser jurídico distinto de ellos con vida propia […]”</w:t>
      </w:r>
      <w:r w:rsidRPr="00750D25">
        <w:rPr>
          <w:rStyle w:val="Refdenotaalpie"/>
          <w:rFonts w:ascii="Verdana" w:eastAsia="Calibri" w:hAnsi="Verdana" w:cs="Arial"/>
          <w:color w:val="000000" w:themeColor="text1"/>
          <w:lang w:val="es-ES"/>
        </w:rPr>
        <w:footnoteReference w:id="5"/>
      </w:r>
      <w:r w:rsidRPr="00750D25">
        <w:rPr>
          <w:rFonts w:ascii="Verdana" w:eastAsia="Calibri" w:hAnsi="Verdana" w:cs="Arial"/>
          <w:color w:val="000000" w:themeColor="text1"/>
          <w:lang w:val="es-ES"/>
        </w:rPr>
        <w:t xml:space="preserve">. </w:t>
      </w:r>
    </w:p>
    <w:p w14:paraId="0A807C29" w14:textId="77777777" w:rsidR="00060D8B" w:rsidRPr="00750D25" w:rsidRDefault="00060D8B" w:rsidP="00060D8B">
      <w:pPr>
        <w:spacing w:after="120" w:line="276" w:lineRule="auto"/>
        <w:ind w:firstLine="708"/>
        <w:jc w:val="both"/>
        <w:rPr>
          <w:rFonts w:ascii="Verdana" w:eastAsia="Calibri" w:hAnsi="Verdana" w:cs="Arial"/>
          <w:lang w:val="es-ES"/>
        </w:rPr>
      </w:pPr>
      <w:r w:rsidRPr="00750D25">
        <w:rPr>
          <w:rFonts w:ascii="Verdana" w:eastAsia="Calibri" w:hAnsi="Verdana" w:cs="Arial"/>
          <w:lang w:val="es-ES"/>
        </w:rPr>
        <w:t xml:space="preserve">Considerando que, por regla general, la capacidad jurídica de los socios o de los representantes legales es independiente de la capacidad de la persona jurídica, las restricciones que recaen sobre aquellos no se extienden a esta, salvo disposición legal en contrario. En ese sentido, dado el carácter excepcional, </w:t>
      </w:r>
      <w:r w:rsidRPr="00750D25">
        <w:rPr>
          <w:rFonts w:ascii="Verdana" w:eastAsia="Calibri" w:hAnsi="Verdana" w:cs="Arial"/>
          <w:lang w:val="es-ES"/>
        </w:rPr>
        <w:lastRenderedPageBreak/>
        <w:t xml:space="preserve">taxativo y de interpretación restrictiva del régimen de inhabilidades, únicamente es posible extender a la persona jurídica las inhabilidades que recaen sobre sus representantes legales cuando exista una disposición legal expresa que así lo establezca. </w:t>
      </w:r>
    </w:p>
    <w:p w14:paraId="7E27DEF9" w14:textId="77777777" w:rsidR="00060D8B" w:rsidRPr="00750D25" w:rsidRDefault="00060D8B" w:rsidP="00060D8B">
      <w:pPr>
        <w:spacing w:after="120" w:line="276" w:lineRule="auto"/>
        <w:ind w:firstLine="708"/>
        <w:jc w:val="both"/>
        <w:rPr>
          <w:rFonts w:ascii="Verdana" w:eastAsia="Calibri" w:hAnsi="Verdana" w:cs="Arial"/>
          <w:lang w:val="es-ES"/>
        </w:rPr>
      </w:pPr>
      <w:r w:rsidRPr="00750D25">
        <w:rPr>
          <w:rFonts w:ascii="Verdana" w:eastAsia="Calibri" w:hAnsi="Verdana" w:cs="Arial"/>
          <w:lang w:val="es-ES"/>
        </w:rPr>
        <w:t xml:space="preserve">Al respecto, resulta pertinente señalar que el literal j) del artículo 8.1 de la Ley 80 de 1993, </w:t>
      </w:r>
      <w:r w:rsidRPr="00750D25">
        <w:rPr>
          <w:rFonts w:ascii="Verdana" w:eastAsia="Verdana" w:hAnsi="Verdana" w:cs="Verdana"/>
          <w:lang w:val="es-ES"/>
        </w:rPr>
        <w:t>adicionado por la Ley 1150 de 2007</w:t>
      </w:r>
      <w:r w:rsidRPr="00750D25">
        <w:rPr>
          <w:rStyle w:val="Refdenotaalpie"/>
          <w:rFonts w:ascii="Verdana" w:eastAsia="Verdana" w:hAnsi="Verdana" w:cs="Verdana"/>
          <w:lang w:val="es-ES"/>
        </w:rPr>
        <w:footnoteReference w:id="6"/>
      </w:r>
      <w:r w:rsidRPr="00750D25">
        <w:rPr>
          <w:rFonts w:ascii="Verdana" w:eastAsia="Verdana" w:hAnsi="Verdana" w:cs="Verdana"/>
          <w:lang w:val="es-ES"/>
        </w:rPr>
        <w:t xml:space="preserve"> y posteriormente modificada mediante la Ley 1474 de 2011, la Ley 1778 de 2016 y la Ley 2014 de 2019, constituye un supuesto en </w:t>
      </w:r>
      <w:r w:rsidRPr="00750D25">
        <w:rPr>
          <w:rFonts w:ascii="Verdana" w:eastAsia="Verdana" w:hAnsi="Verdana" w:cs="Verdana"/>
        </w:rPr>
        <w:t xml:space="preserve">el que el legislador dispuso expresamente que una inhabilidad que recae sobre el representante legal se extiende a la persona jurídica. En efecto, esta norma </w:t>
      </w:r>
      <w:r w:rsidRPr="00750D25">
        <w:rPr>
          <w:rFonts w:ascii="Verdana" w:eastAsia="Verdana" w:hAnsi="Verdana" w:cs="Verdana"/>
          <w:lang w:val="es-ES"/>
        </w:rPr>
        <w:t xml:space="preserve">declara inhábiles para contratar con el Estado a las personas naturales que hayan sido declaradas responsables judicialmente por la comisión de delitos contra la Administración Pública, por cualquiera de los delitos o faltas contempladas en la Ley 1474 de 2011 y sus normas modificatorias, y por las conductas delictivas previstas en convenciones o tratados internacionales de lucha contra la corrupción suscritos y ratificados por Colombia. </w:t>
      </w:r>
    </w:p>
    <w:p w14:paraId="5AA1EB7E" w14:textId="77777777" w:rsidR="00060D8B" w:rsidRPr="00750D25" w:rsidRDefault="00060D8B" w:rsidP="00060D8B">
      <w:pPr>
        <w:spacing w:after="120" w:line="276" w:lineRule="auto"/>
        <w:ind w:firstLine="708"/>
        <w:jc w:val="both"/>
        <w:rPr>
          <w:rFonts w:ascii="Verdana" w:eastAsia="Verdana" w:hAnsi="Verdana" w:cs="Verdana"/>
          <w:lang w:val="es-ES"/>
        </w:rPr>
      </w:pPr>
      <w:r w:rsidRPr="00750D25">
        <w:rPr>
          <w:rFonts w:ascii="Verdana" w:eastAsia="Verdana" w:hAnsi="Verdana" w:cs="Verdana"/>
          <w:lang w:val="es-ES"/>
        </w:rPr>
        <w:t xml:space="preserve">De igual manera, la norma vigente señala que esta inhabilidad </w:t>
      </w:r>
      <w:r w:rsidRPr="00750D25">
        <w:rPr>
          <w:rFonts w:ascii="Verdana" w:eastAsia="Verdana" w:hAnsi="Verdana" w:cs="Verdana"/>
          <w:i/>
          <w:iCs/>
          <w:lang w:val="es-ES"/>
        </w:rPr>
        <w:t>se extiende</w:t>
      </w:r>
      <w:r w:rsidRPr="00750D25">
        <w:rPr>
          <w:rFonts w:ascii="Verdana" w:eastAsia="Verdana" w:hAnsi="Verdana" w:cs="Verdana"/>
          <w:lang w:val="es-ES"/>
        </w:rPr>
        <w:t xml:space="preserve"> más allá de la persona directamente responsable, al comprender también a las sociedades en las que estas personas participen en calidad de administradores</w:t>
      </w:r>
      <w:r w:rsidRPr="00750D25">
        <w:rPr>
          <w:rFonts w:ascii="Verdana" w:eastAsia="Verdana" w:hAnsi="Verdana" w:cs="Verdana"/>
          <w:i/>
          <w:iCs/>
          <w:lang w:val="es-ES"/>
        </w:rPr>
        <w:t xml:space="preserve">, representantes legales, </w:t>
      </w:r>
      <w:r w:rsidRPr="00750D25">
        <w:rPr>
          <w:rFonts w:ascii="Verdana" w:eastAsia="Verdana" w:hAnsi="Verdana" w:cs="Verdana"/>
          <w:lang w:val="es-ES"/>
        </w:rPr>
        <w:t xml:space="preserve">miembros de junta directiva o socios controlantes; se extiende también a sus matrices, subordinadas, grupos empresariales cuando la conducta delictiva haya sido parte de una política del grupo, y a las sucursales de sociedades extranjeras. </w:t>
      </w:r>
    </w:p>
    <w:p w14:paraId="10D4367D" w14:textId="77777777" w:rsidR="00060D8B" w:rsidRPr="00750D25" w:rsidRDefault="00060D8B" w:rsidP="00060D8B">
      <w:pPr>
        <w:spacing w:before="120" w:after="0" w:line="276" w:lineRule="auto"/>
        <w:ind w:firstLine="708"/>
        <w:jc w:val="both"/>
        <w:rPr>
          <w:rFonts w:ascii="Verdana" w:eastAsia="Verdana" w:hAnsi="Verdana" w:cs="Verdana"/>
          <w:lang w:val="es-ES"/>
        </w:rPr>
      </w:pPr>
      <w:r w:rsidRPr="00750D25">
        <w:rPr>
          <w:rFonts w:ascii="Verdana" w:eastAsia="Verdana" w:hAnsi="Verdana" w:cs="Verdana"/>
          <w:lang w:val="es-ES"/>
        </w:rPr>
        <w:t>En virtud de lo anterior, en el literal j) el legislador establece una inhabilidad que, en principio, afecta la capacidad jurídica tanto de personas naturales como de personas jurídicas, pero que, por virtud de los incisos 3 y 5 de la norma en cita, sus efectos se extienden a las sociedades de las que hagan parte dichas personas inhabilitadas, solo en la medida en que detenten las calidades que señala la norma. En ese orden, resulta</w:t>
      </w:r>
      <w:r w:rsidRPr="00750D25">
        <w:rPr>
          <w:rFonts w:ascii="Verdana" w:hAnsi="Verdana"/>
          <w:lang w:val="es-ES"/>
        </w:rPr>
        <w:t xml:space="preserve"> </w:t>
      </w:r>
      <w:r w:rsidRPr="00750D25">
        <w:rPr>
          <w:rFonts w:ascii="Verdana" w:eastAsia="Verdana" w:hAnsi="Verdana" w:cs="Verdana"/>
          <w:lang w:val="es-ES"/>
        </w:rPr>
        <w:t>pertinente enlistar los sujetos a quienes aplica la inhabilidad contemplada en el literal j), así:</w:t>
      </w:r>
    </w:p>
    <w:p w14:paraId="383B1A99" w14:textId="77777777" w:rsidR="00060D8B" w:rsidRPr="00750D25" w:rsidRDefault="00060D8B" w:rsidP="00060D8B">
      <w:pPr>
        <w:spacing w:before="120" w:after="0" w:line="276" w:lineRule="auto"/>
        <w:ind w:firstLine="708"/>
        <w:jc w:val="both"/>
        <w:rPr>
          <w:rFonts w:ascii="Verdana" w:eastAsia="Verdana" w:hAnsi="Verdana" w:cs="Verdana"/>
          <w:lang w:val="es-ES"/>
        </w:rPr>
      </w:pPr>
      <w:r w:rsidRPr="00750D25">
        <w:rPr>
          <w:rFonts w:ascii="Verdana" w:eastAsia="Verdana" w:hAnsi="Verdana" w:cs="Verdana"/>
          <w:lang w:val="es-ES"/>
        </w:rPr>
        <w:lastRenderedPageBreak/>
        <w:t xml:space="preserve">Esta inhabilidad es aplicable cuando las </w:t>
      </w:r>
      <w:r w:rsidRPr="00750D25">
        <w:rPr>
          <w:rFonts w:ascii="Verdana" w:eastAsia="Verdana" w:hAnsi="Verdana" w:cs="Verdana"/>
          <w:i/>
          <w:iCs/>
          <w:u w:val="single"/>
          <w:lang w:val="es-ES"/>
        </w:rPr>
        <w:t>personas naturales</w:t>
      </w:r>
      <w:r w:rsidRPr="00750D25">
        <w:rPr>
          <w:rFonts w:ascii="Verdana" w:eastAsia="Verdana" w:hAnsi="Verdana" w:cs="Verdana"/>
          <w:lang w:val="es-ES"/>
        </w:rPr>
        <w:t xml:space="preserve">: </w:t>
      </w:r>
    </w:p>
    <w:p w14:paraId="4E783A78" w14:textId="77777777" w:rsidR="00060D8B" w:rsidRPr="00750D25" w:rsidRDefault="00060D8B" w:rsidP="00060D8B">
      <w:pPr>
        <w:spacing w:before="120" w:after="0" w:line="276" w:lineRule="auto"/>
        <w:ind w:firstLine="708"/>
        <w:jc w:val="both"/>
        <w:rPr>
          <w:rFonts w:ascii="Verdana" w:eastAsia="Verdana" w:hAnsi="Verdana" w:cs="Verdana"/>
          <w:lang w:val="es-ES"/>
        </w:rPr>
      </w:pPr>
      <w:r w:rsidRPr="00750D25">
        <w:rPr>
          <w:rFonts w:ascii="Verdana" w:eastAsia="Verdana" w:hAnsi="Verdana" w:cs="Verdana"/>
          <w:lang w:val="es-ES"/>
        </w:rPr>
        <w:t xml:space="preserve">• Hayan sido declaradas responsables judicialmente por la comisión de delitos contra la Administración pública. </w:t>
      </w:r>
    </w:p>
    <w:p w14:paraId="7567F418" w14:textId="77777777" w:rsidR="00060D8B" w:rsidRPr="00750D25" w:rsidRDefault="00060D8B" w:rsidP="00060D8B">
      <w:pPr>
        <w:spacing w:before="120" w:after="0" w:line="276" w:lineRule="auto"/>
        <w:ind w:firstLine="708"/>
        <w:jc w:val="both"/>
        <w:rPr>
          <w:rFonts w:ascii="Verdana" w:eastAsia="Verdana" w:hAnsi="Verdana" w:cs="Verdana"/>
          <w:lang w:val="es-ES"/>
        </w:rPr>
      </w:pPr>
      <w:r w:rsidRPr="00750D25">
        <w:rPr>
          <w:rFonts w:ascii="Verdana" w:eastAsia="Verdana" w:hAnsi="Verdana" w:cs="Verdana"/>
          <w:lang w:val="es-ES"/>
        </w:rPr>
        <w:t xml:space="preserve">• Hayan sido declaradas responsables judicialmente por la comisión de cualquiera de los delitos o faltas contempladas por la Ley 1474 de 2011 y sus normas modificatorias. </w:t>
      </w:r>
    </w:p>
    <w:p w14:paraId="300C2924" w14:textId="77777777" w:rsidR="00060D8B" w:rsidRPr="00750D25" w:rsidRDefault="00060D8B" w:rsidP="00060D8B">
      <w:pPr>
        <w:spacing w:before="120" w:after="0" w:line="276" w:lineRule="auto"/>
        <w:ind w:firstLine="708"/>
        <w:jc w:val="both"/>
        <w:rPr>
          <w:rFonts w:ascii="Verdana" w:eastAsia="Verdana" w:hAnsi="Verdana" w:cs="Verdana"/>
          <w:lang w:val="es-ES"/>
        </w:rPr>
      </w:pPr>
      <w:r w:rsidRPr="00750D25">
        <w:rPr>
          <w:rFonts w:ascii="Verdana" w:eastAsia="Verdana" w:hAnsi="Verdana" w:cs="Verdana"/>
          <w:lang w:val="es-ES"/>
        </w:rPr>
        <w:t>• Hayan sido declaradas responsables judicialmente por la comisión de cualquiera de las conductas delictivas contempladas por las convenciones o tratados de lucha contra la corrupción suscritos y ratificados por Colombia. Es pertinente aclarar que el soborno transnacional está tipificado como uno de los delitos que pueden cometerse contra la Administración Pública (Título XV del Código Penal), está previsto en los tratados suscritos por Colombia en materia de lucha contra la corrupción y en la Ley 1474 de 2011.</w:t>
      </w:r>
    </w:p>
    <w:p w14:paraId="5D931D9F" w14:textId="77777777" w:rsidR="00060D8B" w:rsidRPr="00750D25" w:rsidRDefault="00060D8B" w:rsidP="00060D8B">
      <w:pPr>
        <w:spacing w:before="120" w:after="0" w:line="276" w:lineRule="auto"/>
        <w:ind w:firstLine="708"/>
        <w:jc w:val="both"/>
        <w:rPr>
          <w:rFonts w:ascii="Verdana" w:eastAsia="Verdana" w:hAnsi="Verdana" w:cs="Verdana"/>
          <w:lang w:val="es-ES"/>
        </w:rPr>
      </w:pPr>
      <w:r w:rsidRPr="00750D25">
        <w:rPr>
          <w:rFonts w:ascii="Verdana" w:eastAsia="Verdana" w:hAnsi="Verdana" w:cs="Verdana"/>
          <w:lang w:val="es-ES"/>
        </w:rPr>
        <w:t xml:space="preserve">Esta inhabilidad es aplicable cuando las </w:t>
      </w:r>
      <w:r w:rsidRPr="00750D25">
        <w:rPr>
          <w:rFonts w:ascii="Verdana" w:eastAsia="Verdana" w:hAnsi="Verdana" w:cs="Verdana"/>
          <w:i/>
          <w:iCs/>
          <w:u w:val="single"/>
          <w:lang w:val="es-ES"/>
        </w:rPr>
        <w:t>personas jurídicas</w:t>
      </w:r>
      <w:r w:rsidRPr="00750D25">
        <w:rPr>
          <w:rFonts w:ascii="Verdana" w:eastAsia="Verdana" w:hAnsi="Verdana" w:cs="Verdana"/>
          <w:lang w:val="es-ES"/>
        </w:rPr>
        <w:t xml:space="preserve">: </w:t>
      </w:r>
    </w:p>
    <w:p w14:paraId="6FE44AE7" w14:textId="77777777" w:rsidR="00060D8B" w:rsidRPr="00750D25" w:rsidRDefault="00060D8B" w:rsidP="00060D8B">
      <w:pPr>
        <w:pBdr>
          <w:top w:val="nil"/>
          <w:left w:val="nil"/>
          <w:bottom w:val="nil"/>
          <w:right w:val="nil"/>
          <w:between w:val="nil"/>
        </w:pBdr>
        <w:spacing w:before="120" w:after="0" w:line="276" w:lineRule="auto"/>
        <w:ind w:firstLine="708"/>
        <w:jc w:val="both"/>
        <w:rPr>
          <w:rFonts w:ascii="Verdana" w:eastAsia="Calibri" w:hAnsi="Verdana" w:cs="Arial"/>
          <w:lang w:val="es-ES"/>
        </w:rPr>
      </w:pPr>
      <w:r w:rsidRPr="00750D25">
        <w:rPr>
          <w:rFonts w:ascii="Verdana" w:eastAsia="Calibri" w:hAnsi="Verdana" w:cs="Arial"/>
          <w:lang w:val="es-ES"/>
        </w:rPr>
        <w:t xml:space="preserve">• Hayan sido declaradas responsables administrativamente por la conducta de soborno transnacional </w:t>
      </w:r>
    </w:p>
    <w:p w14:paraId="241A8092" w14:textId="77777777" w:rsidR="00060D8B" w:rsidRPr="00750D25" w:rsidRDefault="00060D8B" w:rsidP="00060D8B">
      <w:pPr>
        <w:pBdr>
          <w:top w:val="nil"/>
          <w:left w:val="nil"/>
          <w:bottom w:val="nil"/>
          <w:right w:val="nil"/>
          <w:between w:val="nil"/>
        </w:pBdr>
        <w:spacing w:before="120" w:after="0" w:line="276" w:lineRule="auto"/>
        <w:ind w:firstLine="708"/>
        <w:jc w:val="both"/>
        <w:rPr>
          <w:rFonts w:ascii="Verdana" w:eastAsia="Calibri" w:hAnsi="Verdana" w:cs="Arial"/>
          <w:lang w:val="es-ES"/>
        </w:rPr>
      </w:pPr>
      <w:r w:rsidRPr="00750D25">
        <w:rPr>
          <w:rFonts w:ascii="Verdana" w:eastAsia="Calibri" w:hAnsi="Verdana" w:cs="Arial"/>
          <w:lang w:val="es-ES"/>
        </w:rPr>
        <w:t xml:space="preserve">• O, se les haya ordenado la suspensión de la personería jurídica en los términos de ley </w:t>
      </w:r>
    </w:p>
    <w:p w14:paraId="27C3363C" w14:textId="77777777" w:rsidR="00060D8B" w:rsidRPr="00750D25" w:rsidRDefault="00060D8B" w:rsidP="00060D8B">
      <w:pPr>
        <w:pBdr>
          <w:top w:val="nil"/>
          <w:left w:val="nil"/>
          <w:bottom w:val="nil"/>
          <w:right w:val="nil"/>
          <w:between w:val="nil"/>
        </w:pBdr>
        <w:spacing w:before="120" w:after="0" w:line="276" w:lineRule="auto"/>
        <w:ind w:firstLine="708"/>
        <w:jc w:val="both"/>
        <w:rPr>
          <w:rFonts w:ascii="Verdana" w:eastAsia="Calibri" w:hAnsi="Verdana" w:cs="Arial"/>
          <w:lang w:val="es-ES"/>
        </w:rPr>
      </w:pPr>
      <w:r w:rsidRPr="00750D25">
        <w:rPr>
          <w:rFonts w:ascii="Verdana" w:eastAsia="Calibri" w:hAnsi="Verdana" w:cs="Arial"/>
          <w:lang w:val="es-ES"/>
        </w:rPr>
        <w:t>• O, sus representantes legales, administradores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w:t>
      </w:r>
    </w:p>
    <w:p w14:paraId="0704636F" w14:textId="77777777" w:rsidR="00060D8B" w:rsidRPr="00750D25" w:rsidRDefault="00060D8B" w:rsidP="00060D8B">
      <w:pPr>
        <w:pBdr>
          <w:top w:val="nil"/>
          <w:left w:val="nil"/>
          <w:bottom w:val="nil"/>
          <w:right w:val="nil"/>
          <w:between w:val="nil"/>
        </w:pBdr>
        <w:spacing w:before="120" w:after="0" w:line="276" w:lineRule="auto"/>
        <w:ind w:firstLine="708"/>
        <w:jc w:val="both"/>
        <w:rPr>
          <w:rFonts w:ascii="Verdana" w:eastAsia="Calibri" w:hAnsi="Verdana" w:cs="Arial"/>
          <w:lang w:val="es-ES"/>
        </w:rPr>
      </w:pPr>
      <w:r w:rsidRPr="00750D25">
        <w:rPr>
          <w:rFonts w:ascii="Verdana" w:eastAsia="Calibri" w:hAnsi="Verdana" w:cs="Arial"/>
          <w:lang w:val="es-ES"/>
        </w:rPr>
        <w:t xml:space="preserve">Visto lo anterior, es posible afirmar dos cosas: En primer lugar, para el caso de las inhabilidades dirigidas, en principio, para las </w:t>
      </w:r>
      <w:r w:rsidRPr="00750D25">
        <w:rPr>
          <w:rFonts w:ascii="Verdana" w:eastAsia="Calibri" w:hAnsi="Verdana" w:cs="Arial"/>
          <w:i/>
          <w:iCs/>
          <w:lang w:val="es-ES"/>
        </w:rPr>
        <w:t>personas naturales</w:t>
      </w:r>
      <w:r w:rsidRPr="00750D25">
        <w:rPr>
          <w:rFonts w:ascii="Verdana" w:eastAsia="Calibri" w:hAnsi="Verdana" w:cs="Arial"/>
          <w:lang w:val="es-ES"/>
        </w:rPr>
        <w:t xml:space="preserve">, que se configuran como consecuencia de procesos judiciales de responsabilidad penal, disciplinaria y/o fiscal, y las cuales proceden preventivamente aún en los casos en los que esté pendiente la decisión sobre la impugnación de la sentencia condenatoria; en segundo lugar, que sus efectos </w:t>
      </w:r>
      <w:r w:rsidRPr="00750D25">
        <w:rPr>
          <w:rFonts w:ascii="Verdana" w:eastAsia="Calibri" w:hAnsi="Verdana" w:cs="Arial"/>
          <w:i/>
          <w:iCs/>
          <w:lang w:val="es-ES"/>
        </w:rPr>
        <w:t xml:space="preserve">se extienden a las sociedades </w:t>
      </w:r>
      <w:r w:rsidRPr="00750D25">
        <w:rPr>
          <w:rFonts w:ascii="Verdana" w:eastAsia="Calibri" w:hAnsi="Verdana" w:cs="Arial"/>
          <w:lang w:val="es-ES"/>
        </w:rPr>
        <w:t xml:space="preserve">de las que hagan parte dichas personas siempre y cuando cumplan con tener la calidad de administradores, representantes legales, miembros de junta directiva o socios controlantes. También se extiende a sus matrices, a sus subordinadas, a los grupos empresariales a los que estas pertenezcan cuando la conducta </w:t>
      </w:r>
      <w:r w:rsidRPr="00750D25">
        <w:rPr>
          <w:rFonts w:ascii="Verdana" w:eastAsia="Calibri" w:hAnsi="Verdana" w:cs="Arial"/>
          <w:lang w:val="es-ES"/>
        </w:rPr>
        <w:lastRenderedPageBreak/>
        <w:t xml:space="preserve">delictiva haya sido parte de una política del grupo, y a las sucursales de sociedades extranjeras. </w:t>
      </w:r>
    </w:p>
    <w:p w14:paraId="4E673F50" w14:textId="77777777" w:rsidR="00060D8B" w:rsidRPr="00750D25" w:rsidRDefault="00060D8B" w:rsidP="00060D8B">
      <w:pPr>
        <w:pBdr>
          <w:top w:val="nil"/>
          <w:left w:val="nil"/>
          <w:bottom w:val="nil"/>
          <w:right w:val="nil"/>
          <w:between w:val="nil"/>
        </w:pBdr>
        <w:spacing w:before="120" w:after="0" w:line="276" w:lineRule="auto"/>
        <w:ind w:firstLine="708"/>
        <w:jc w:val="both"/>
        <w:rPr>
          <w:rFonts w:ascii="Verdana" w:eastAsia="Calibri" w:hAnsi="Verdana" w:cs="Arial"/>
          <w:lang w:val="es-ES"/>
        </w:rPr>
      </w:pPr>
      <w:r w:rsidRPr="00750D25">
        <w:rPr>
          <w:rFonts w:ascii="Verdana" w:eastAsia="Calibri" w:hAnsi="Verdana" w:cs="Arial"/>
          <w:lang w:val="es-ES"/>
        </w:rPr>
        <w:t xml:space="preserve">En el mismo sentido, el numeral 6 del artículo 58 de la Ley 80 de 1993 constituye otro supuesto en el que el legislador dispuso expresamente que una inhabilidad que recae sobre el representante legal se extiende a la persona jurídica que este representa. Esta disposición señala lo siguiente: </w:t>
      </w:r>
    </w:p>
    <w:p w14:paraId="69F4BD6C" w14:textId="77777777" w:rsidR="00060D8B" w:rsidRPr="00750D25" w:rsidRDefault="00060D8B" w:rsidP="00060D8B">
      <w:pPr>
        <w:pBdr>
          <w:top w:val="nil"/>
          <w:left w:val="nil"/>
          <w:bottom w:val="nil"/>
          <w:right w:val="nil"/>
          <w:between w:val="nil"/>
        </w:pBdr>
        <w:spacing w:before="120" w:after="0" w:line="276" w:lineRule="auto"/>
        <w:ind w:firstLine="708"/>
        <w:jc w:val="both"/>
        <w:rPr>
          <w:rFonts w:ascii="Verdana" w:eastAsia="Calibri" w:hAnsi="Verdana" w:cs="Arial"/>
          <w:lang w:val="es-ES"/>
        </w:rPr>
      </w:pPr>
    </w:p>
    <w:p w14:paraId="6D13BE82" w14:textId="77777777" w:rsidR="00060D8B" w:rsidRPr="00750D25" w:rsidRDefault="00060D8B" w:rsidP="00060D8B">
      <w:pPr>
        <w:pStyle w:val="NormalWeb"/>
        <w:shd w:val="clear" w:color="auto" w:fill="FFFFFF"/>
        <w:spacing w:before="0" w:beforeAutospacing="0" w:after="120" w:afterAutospacing="0"/>
        <w:ind w:left="709" w:right="709"/>
        <w:jc w:val="both"/>
        <w:rPr>
          <w:rFonts w:ascii="Verdana" w:hAnsi="Verdana" w:cs="Arial"/>
          <w:color w:val="000000" w:themeColor="text1"/>
          <w:sz w:val="20"/>
          <w:szCs w:val="20"/>
          <w:lang w:val="es-ES"/>
        </w:rPr>
      </w:pPr>
      <w:r w:rsidRPr="00750D25">
        <w:rPr>
          <w:rFonts w:ascii="Verdana" w:hAnsi="Verdana" w:cs="Arial"/>
          <w:color w:val="000000" w:themeColor="text1"/>
          <w:sz w:val="20"/>
          <w:szCs w:val="20"/>
          <w:lang w:val="es-ES"/>
        </w:rPr>
        <w:t xml:space="preserve"> “</w:t>
      </w:r>
      <w:r w:rsidRPr="00750D25">
        <w:rPr>
          <w:rFonts w:ascii="Verdana" w:hAnsi="Verdana" w:cs="Arial"/>
          <w:i/>
          <w:iCs/>
          <w:color w:val="000000" w:themeColor="text1"/>
          <w:sz w:val="20"/>
          <w:szCs w:val="20"/>
          <w:lang w:val="es-ES"/>
        </w:rPr>
        <w:t>En el evento en que se hubiere proferido medida de aseguramiento en firme al representante legal de una persona jurídica de derecho privado, como consecuencia de hechos u omisiones que se le imputen en relación con su actuación contractual, aquélla quedará inhabilitada para proponer y celebrar contratos con las entidades estatales por todo el término de duración de la medida de aseguramiento.</w:t>
      </w:r>
      <w:r w:rsidRPr="00750D25">
        <w:rPr>
          <w:rFonts w:ascii="Verdana" w:hAnsi="Verdana" w:cs="Arial"/>
          <w:color w:val="000000" w:themeColor="text1"/>
          <w:sz w:val="20"/>
          <w:szCs w:val="20"/>
          <w:lang w:val="es-ES"/>
        </w:rPr>
        <w:t xml:space="preserve"> </w:t>
      </w:r>
      <w:r w:rsidRPr="00750D25">
        <w:rPr>
          <w:rFonts w:ascii="Verdana" w:hAnsi="Verdana" w:cs="Arial"/>
          <w:i/>
          <w:iCs/>
          <w:color w:val="000000" w:themeColor="text1"/>
          <w:sz w:val="20"/>
          <w:szCs w:val="20"/>
          <w:lang w:val="es-ES"/>
        </w:rPr>
        <w:t xml:space="preserve">Si se profiere sentencia condenatoria contra dicho representante legal, la persona jurídica quedará inhabilitada para proponer y celebrar contratos con las entidades estatales por diez (10) años contados a partir de la fecha de ejecutoria de dicha sentencia. </w:t>
      </w:r>
      <w:r w:rsidRPr="00750D25">
        <w:rPr>
          <w:rFonts w:ascii="Verdana" w:hAnsi="Verdana" w:cs="Arial"/>
          <w:color w:val="000000" w:themeColor="text1"/>
          <w:sz w:val="20"/>
          <w:szCs w:val="20"/>
          <w:lang w:val="es-ES"/>
        </w:rPr>
        <w:t>A igual sanción estará sometida la persona jurídica declarada civilmente responsable por razón de hechos u omisiones que se le imputen en relación con su actuación contractual.”</w:t>
      </w:r>
    </w:p>
    <w:p w14:paraId="29807F1C" w14:textId="77777777" w:rsidR="00060D8B" w:rsidRPr="00750D25" w:rsidRDefault="00060D8B" w:rsidP="00060D8B">
      <w:pPr>
        <w:pStyle w:val="NormalWeb"/>
        <w:shd w:val="clear" w:color="auto" w:fill="FFFFFF"/>
        <w:spacing w:before="0" w:beforeAutospacing="0" w:after="120" w:afterAutospacing="0"/>
        <w:ind w:left="709" w:right="709"/>
        <w:jc w:val="both"/>
        <w:rPr>
          <w:rFonts w:ascii="Verdana" w:hAnsi="Verdana" w:cs="Arial"/>
          <w:color w:val="000000" w:themeColor="text1"/>
          <w:sz w:val="20"/>
          <w:szCs w:val="20"/>
          <w:lang w:val="es-ES"/>
        </w:rPr>
      </w:pPr>
    </w:p>
    <w:p w14:paraId="41990EA4" w14:textId="77777777" w:rsidR="00060D8B" w:rsidRPr="00750D25" w:rsidRDefault="00060D8B" w:rsidP="00060D8B">
      <w:pPr>
        <w:spacing w:after="120" w:line="276" w:lineRule="auto"/>
        <w:ind w:firstLine="709"/>
        <w:jc w:val="both"/>
        <w:rPr>
          <w:rFonts w:ascii="Verdana" w:eastAsia="Calibri" w:hAnsi="Verdana" w:cs="Arial"/>
          <w:color w:val="000000"/>
          <w:lang w:eastAsia="es-ES"/>
        </w:rPr>
      </w:pPr>
      <w:r w:rsidRPr="00750D25">
        <w:rPr>
          <w:rFonts w:ascii="Verdana" w:eastAsia="Calibri" w:hAnsi="Verdana" w:cs="Arial"/>
          <w:color w:val="000000"/>
          <w:lang w:val="es-ES_tradnl" w:eastAsia="es-ES"/>
        </w:rPr>
        <w:t xml:space="preserve">Sobre el particular, la Sala de Consulta y Servicio Civil del Consejo de Estado señalo que </w:t>
      </w:r>
      <w:r w:rsidRPr="00750D25">
        <w:rPr>
          <w:rFonts w:ascii="Verdana" w:eastAsia="Calibri" w:hAnsi="Verdana" w:cs="Arial"/>
          <w:color w:val="000000"/>
          <w:lang w:eastAsia="es-ES"/>
        </w:rPr>
        <w:t>dicho numeral contiene 3 causales de inhabilidad para participar en procesos de contratación y contratar con entidades del Estado, que</w:t>
      </w:r>
      <w:r w:rsidRPr="00750D25">
        <w:rPr>
          <w:rFonts w:ascii="Verdana" w:hAnsi="Verdana"/>
        </w:rPr>
        <w:t xml:space="preserve"> </w:t>
      </w:r>
      <w:r w:rsidRPr="00750D25">
        <w:rPr>
          <w:rFonts w:ascii="Verdana" w:eastAsia="Calibri" w:hAnsi="Verdana" w:cs="Arial"/>
          <w:color w:val="000000"/>
          <w:lang w:eastAsia="es-ES"/>
        </w:rPr>
        <w:t xml:space="preserve">deben sumarse al catálogo de inhabilidades e incompatibilidades previsto en el artículo 8º de la Ley 80 de 1993: </w:t>
      </w:r>
    </w:p>
    <w:p w14:paraId="27D38FA2" w14:textId="77777777" w:rsidR="00060D8B" w:rsidRPr="00750D25" w:rsidRDefault="00060D8B" w:rsidP="00060D8B">
      <w:pPr>
        <w:spacing w:after="0" w:line="240" w:lineRule="auto"/>
        <w:ind w:firstLine="709"/>
        <w:jc w:val="both"/>
        <w:rPr>
          <w:rFonts w:ascii="Verdana" w:eastAsia="Calibri" w:hAnsi="Verdana" w:cs="Arial"/>
          <w:color w:val="000000"/>
          <w:lang w:eastAsia="es-ES"/>
        </w:rPr>
      </w:pPr>
    </w:p>
    <w:p w14:paraId="7A39FC76" w14:textId="77777777" w:rsidR="00060D8B" w:rsidRPr="00750D25" w:rsidRDefault="00060D8B" w:rsidP="00060D8B">
      <w:pPr>
        <w:spacing w:after="0" w:line="240" w:lineRule="auto"/>
        <w:ind w:left="709" w:right="760"/>
        <w:jc w:val="both"/>
        <w:rPr>
          <w:rFonts w:ascii="Verdana" w:eastAsia="Times New Roman" w:hAnsi="Verdana" w:cs="Arial"/>
          <w:color w:val="000000" w:themeColor="text1"/>
          <w:sz w:val="20"/>
          <w:szCs w:val="20"/>
          <w:lang w:val="es-ES" w:eastAsia="es-CO"/>
        </w:rPr>
      </w:pPr>
      <w:r w:rsidRPr="00750D25">
        <w:rPr>
          <w:rFonts w:ascii="Verdana" w:eastAsia="Calibri" w:hAnsi="Verdana" w:cs="Arial"/>
          <w:color w:val="000000"/>
          <w:lang w:eastAsia="es-ES"/>
        </w:rPr>
        <w:t>“(</w:t>
      </w:r>
      <w:r w:rsidRPr="00750D25">
        <w:rPr>
          <w:rFonts w:ascii="Verdana" w:eastAsia="Times New Roman" w:hAnsi="Verdana" w:cs="Arial"/>
          <w:color w:val="000000" w:themeColor="text1"/>
          <w:sz w:val="20"/>
          <w:szCs w:val="20"/>
          <w:lang w:val="es-ES" w:eastAsia="es-CO"/>
        </w:rPr>
        <w:t xml:space="preserve">i) En primer lugar, una inhabilidad transitoria para la persona jurídica de derecho privado cuyo representante legal haya sido cobijado por una medida de aseguramiento en firme relacionada con hechos u omisiones que se le imputen en desarrollo de su actividad contractual. Esta inhabilidad tendría una duración equivalente al tiempo que se mantenga dicha medida de aseguramiento. </w:t>
      </w:r>
    </w:p>
    <w:p w14:paraId="1D972711" w14:textId="77777777" w:rsidR="00060D8B" w:rsidRPr="00750D25" w:rsidRDefault="00060D8B" w:rsidP="00060D8B">
      <w:pPr>
        <w:spacing w:after="0" w:line="240" w:lineRule="auto"/>
        <w:ind w:left="709" w:right="760"/>
        <w:jc w:val="both"/>
        <w:rPr>
          <w:rFonts w:ascii="Verdana" w:eastAsia="Times New Roman" w:hAnsi="Verdana" w:cs="Arial"/>
          <w:color w:val="000000" w:themeColor="text1"/>
          <w:sz w:val="20"/>
          <w:szCs w:val="20"/>
          <w:lang w:val="es-ES" w:eastAsia="es-CO"/>
        </w:rPr>
      </w:pPr>
    </w:p>
    <w:p w14:paraId="4AC275BE" w14:textId="77777777" w:rsidR="00060D8B" w:rsidRPr="00750D25" w:rsidRDefault="00060D8B" w:rsidP="00060D8B">
      <w:pPr>
        <w:spacing w:after="0" w:line="240" w:lineRule="auto"/>
        <w:ind w:left="709" w:right="760"/>
        <w:jc w:val="both"/>
        <w:rPr>
          <w:rFonts w:ascii="Verdana" w:eastAsia="Times New Roman" w:hAnsi="Verdana" w:cs="Arial"/>
          <w:color w:val="000000" w:themeColor="text1"/>
          <w:sz w:val="20"/>
          <w:szCs w:val="20"/>
          <w:lang w:val="es-ES" w:eastAsia="es-CO"/>
        </w:rPr>
      </w:pPr>
      <w:r w:rsidRPr="00750D25">
        <w:rPr>
          <w:rFonts w:ascii="Verdana" w:eastAsia="Times New Roman" w:hAnsi="Verdana" w:cs="Arial"/>
          <w:color w:val="000000" w:themeColor="text1"/>
          <w:sz w:val="20"/>
          <w:szCs w:val="20"/>
          <w:lang w:val="es-ES" w:eastAsia="es-CO"/>
        </w:rPr>
        <w:t>(</w:t>
      </w:r>
      <w:proofErr w:type="spellStart"/>
      <w:r w:rsidRPr="00750D25">
        <w:rPr>
          <w:rFonts w:ascii="Verdana" w:eastAsia="Times New Roman" w:hAnsi="Verdana" w:cs="Arial"/>
          <w:color w:val="000000" w:themeColor="text1"/>
          <w:sz w:val="20"/>
          <w:szCs w:val="20"/>
          <w:lang w:val="es-ES" w:eastAsia="es-CO"/>
        </w:rPr>
        <w:t>ii</w:t>
      </w:r>
      <w:proofErr w:type="spellEnd"/>
      <w:r w:rsidRPr="00750D25">
        <w:rPr>
          <w:rFonts w:ascii="Verdana" w:eastAsia="Times New Roman" w:hAnsi="Verdana" w:cs="Arial"/>
          <w:color w:val="000000" w:themeColor="text1"/>
          <w:sz w:val="20"/>
          <w:szCs w:val="20"/>
          <w:lang w:val="es-ES" w:eastAsia="es-CO"/>
        </w:rPr>
        <w:t xml:space="preserve">) En segundo lugar, una inhabilidad definitiva para la misma persona jurídica, por el término de diez (10) años, en el evento de que el representante legal de la misma sea condenado mediante sentencia judicial en firme. </w:t>
      </w:r>
    </w:p>
    <w:p w14:paraId="212BC734" w14:textId="77777777" w:rsidR="00060D8B" w:rsidRPr="00750D25" w:rsidRDefault="00060D8B" w:rsidP="00060D8B">
      <w:pPr>
        <w:spacing w:after="0" w:line="240" w:lineRule="auto"/>
        <w:ind w:left="709" w:right="760"/>
        <w:jc w:val="both"/>
        <w:rPr>
          <w:rFonts w:ascii="Verdana" w:eastAsia="Times New Roman" w:hAnsi="Verdana" w:cs="Arial"/>
          <w:color w:val="000000" w:themeColor="text1"/>
          <w:sz w:val="20"/>
          <w:szCs w:val="20"/>
          <w:lang w:val="es-ES" w:eastAsia="es-CO"/>
        </w:rPr>
      </w:pPr>
    </w:p>
    <w:p w14:paraId="2785CCD1" w14:textId="77777777" w:rsidR="00060D8B" w:rsidRPr="00750D25" w:rsidRDefault="00060D8B" w:rsidP="00060D8B">
      <w:pPr>
        <w:spacing w:after="0" w:line="240" w:lineRule="auto"/>
        <w:ind w:left="709" w:right="760"/>
        <w:jc w:val="both"/>
        <w:rPr>
          <w:rFonts w:ascii="Verdana" w:eastAsia="Times New Roman" w:hAnsi="Verdana" w:cs="Arial"/>
          <w:color w:val="000000" w:themeColor="text1"/>
          <w:sz w:val="20"/>
          <w:szCs w:val="20"/>
          <w:lang w:val="es-ES" w:eastAsia="es-CO"/>
        </w:rPr>
      </w:pPr>
      <w:r w:rsidRPr="00750D25">
        <w:rPr>
          <w:rFonts w:ascii="Verdana" w:eastAsia="Times New Roman" w:hAnsi="Verdana" w:cs="Arial"/>
          <w:color w:val="000000" w:themeColor="text1"/>
          <w:sz w:val="20"/>
          <w:szCs w:val="20"/>
          <w:lang w:val="es-ES" w:eastAsia="es-CO"/>
        </w:rPr>
        <w:lastRenderedPageBreak/>
        <w:t>(</w:t>
      </w:r>
      <w:proofErr w:type="spellStart"/>
      <w:r w:rsidRPr="00750D25">
        <w:rPr>
          <w:rFonts w:ascii="Verdana" w:eastAsia="Times New Roman" w:hAnsi="Verdana" w:cs="Arial"/>
          <w:color w:val="000000" w:themeColor="text1"/>
          <w:sz w:val="20"/>
          <w:szCs w:val="20"/>
          <w:lang w:val="es-ES" w:eastAsia="es-CO"/>
        </w:rPr>
        <w:t>iii</w:t>
      </w:r>
      <w:proofErr w:type="spellEnd"/>
      <w:r w:rsidRPr="00750D25">
        <w:rPr>
          <w:rFonts w:ascii="Verdana" w:eastAsia="Times New Roman" w:hAnsi="Verdana" w:cs="Arial"/>
          <w:color w:val="000000" w:themeColor="text1"/>
          <w:sz w:val="20"/>
          <w:szCs w:val="20"/>
          <w:lang w:val="es-ES" w:eastAsia="es-CO"/>
        </w:rPr>
        <w:t>) Finalmente, una inhabilidad por el mismo plazo para la persona jurídica que sea declarada civilmente responsable por hechos u omisiones relacionadas con su actividad contractual</w:t>
      </w:r>
      <w:r w:rsidRPr="00750D25">
        <w:rPr>
          <w:rStyle w:val="Refdenotaalpie"/>
          <w:rFonts w:ascii="Verdana" w:eastAsia="Times New Roman" w:hAnsi="Verdana" w:cs="Arial"/>
          <w:color w:val="000000" w:themeColor="text1"/>
          <w:sz w:val="20"/>
          <w:szCs w:val="20"/>
          <w:lang w:val="es-ES" w:eastAsia="es-CO"/>
        </w:rPr>
        <w:footnoteReference w:id="7"/>
      </w:r>
      <w:r w:rsidRPr="00750D25">
        <w:rPr>
          <w:rFonts w:ascii="Verdana" w:eastAsia="Times New Roman" w:hAnsi="Verdana" w:cs="Arial"/>
          <w:color w:val="000000" w:themeColor="text1"/>
          <w:sz w:val="20"/>
          <w:szCs w:val="20"/>
          <w:lang w:val="es-ES" w:eastAsia="es-CO"/>
        </w:rPr>
        <w:t>”</w:t>
      </w:r>
    </w:p>
    <w:p w14:paraId="530F26DF" w14:textId="77777777" w:rsidR="00060D8B" w:rsidRPr="00750D25" w:rsidRDefault="00060D8B" w:rsidP="00060D8B">
      <w:pPr>
        <w:spacing w:after="0" w:line="276" w:lineRule="auto"/>
        <w:ind w:left="709" w:right="760"/>
        <w:jc w:val="both"/>
        <w:rPr>
          <w:rFonts w:ascii="Verdana" w:eastAsia="Times New Roman" w:hAnsi="Verdana" w:cs="Arial"/>
          <w:color w:val="000000" w:themeColor="text1"/>
          <w:sz w:val="20"/>
          <w:szCs w:val="20"/>
          <w:lang w:val="es-ES" w:eastAsia="es-CO"/>
        </w:rPr>
      </w:pPr>
    </w:p>
    <w:p w14:paraId="075314A7" w14:textId="77777777" w:rsidR="00060D8B" w:rsidRPr="00750D25" w:rsidRDefault="00060D8B" w:rsidP="00060D8B">
      <w:pPr>
        <w:spacing w:after="120" w:line="276" w:lineRule="auto"/>
        <w:ind w:firstLine="709"/>
        <w:jc w:val="both"/>
        <w:rPr>
          <w:rFonts w:ascii="Verdana" w:eastAsia="Calibri" w:hAnsi="Verdana" w:cs="Arial"/>
          <w:color w:val="000000"/>
          <w:lang w:val="es-ES" w:eastAsia="es-ES"/>
        </w:rPr>
      </w:pPr>
      <w:proofErr w:type="spellStart"/>
      <w:r w:rsidRPr="00750D25">
        <w:rPr>
          <w:rFonts w:ascii="Verdana" w:eastAsia="Calibri" w:hAnsi="Verdana" w:cs="Arial"/>
          <w:color w:val="000000" w:themeColor="text1"/>
          <w:lang w:val="es-ES" w:eastAsia="es-ES"/>
        </w:rPr>
        <w:t>Asi</w:t>
      </w:r>
      <w:proofErr w:type="spellEnd"/>
      <w:r w:rsidRPr="00750D25">
        <w:rPr>
          <w:rFonts w:ascii="Verdana" w:eastAsia="Calibri" w:hAnsi="Verdana" w:cs="Arial"/>
          <w:color w:val="000000" w:themeColor="text1"/>
          <w:lang w:val="es-ES" w:eastAsia="es-ES"/>
        </w:rPr>
        <w:t xml:space="preserve"> las cosas, esta norma establece expresamente dos eventos en los que la inhabilidad del representante legal se extiende a la persona jurídica: i) cuando se profiera una medida de aseguramiento en firme contra el representante legal por hechos u omisiones relacionados con su actuación contractual, caso en el cual la persona jurídica quedará inhabilitada para presentar ofertas y celebrar contratos con entidades estatales durante todo el tiempo de duración de dicha medida; y </w:t>
      </w:r>
      <w:proofErr w:type="spellStart"/>
      <w:r w:rsidRPr="00750D25">
        <w:rPr>
          <w:rFonts w:ascii="Verdana" w:eastAsia="Calibri" w:hAnsi="Verdana" w:cs="Arial"/>
          <w:color w:val="000000" w:themeColor="text1"/>
          <w:lang w:val="es-ES" w:eastAsia="es-ES"/>
        </w:rPr>
        <w:t>ii</w:t>
      </w:r>
      <w:proofErr w:type="spellEnd"/>
      <w:r w:rsidRPr="00750D25">
        <w:rPr>
          <w:rFonts w:ascii="Verdana" w:eastAsia="Calibri" w:hAnsi="Verdana" w:cs="Arial"/>
          <w:color w:val="000000" w:themeColor="text1"/>
          <w:lang w:val="es-ES" w:eastAsia="es-ES"/>
        </w:rPr>
        <w:t>) cuando se profiera sentencia condenatoria contra el representante legal por los mismos hechos, la persona jurídica quedará inhabilitada para presentar ofertas y celebrar contratos con entidades estatales por el término de diez (10) años, contados a partir de la ejecutoria de la respectiva sentencia.</w:t>
      </w:r>
    </w:p>
    <w:p w14:paraId="194C03C4" w14:textId="77777777" w:rsidR="00060D8B" w:rsidRPr="00750D25" w:rsidRDefault="00060D8B" w:rsidP="00060D8B">
      <w:pPr>
        <w:spacing w:after="120" w:line="276" w:lineRule="auto"/>
        <w:ind w:firstLine="709"/>
        <w:jc w:val="both"/>
        <w:rPr>
          <w:rFonts w:ascii="Verdana" w:eastAsia="Calibri" w:hAnsi="Verdana" w:cs="Arial"/>
          <w:lang w:val="es-ES"/>
        </w:rPr>
      </w:pPr>
      <w:r w:rsidRPr="00750D25">
        <w:rPr>
          <w:rFonts w:ascii="Verdana" w:eastAsia="Calibri" w:hAnsi="Verdana" w:cs="Arial"/>
          <w:lang w:val="es-ES"/>
        </w:rPr>
        <w:t>En este contexto, cabe precisar que el régimen de inhabilidades corresponde a un conjunto de restricciones que afectan la capacidad para presentar ofertas, celebrar o ejecutar contratos con las entidades estatales que, si bien se encuentran reguladas, en su mayoría, en el artículo 8 de la Ley 80 de 1993, el ordenamiento jurídico contempla otras disposiciones que establecen inhabilidades específicas para determinados supuestos, como ocurre con el artículo 58 ibidem. En consecuencia, dado el carácter taxativo y restrictivo del régimen de inhabilidades los operadores jurídicos deben aplicar estas disposiciones de manera estricta, sin que resulte procedente extender sus efectos a situaciones no previstas expresamente por el legislador. En ese sentido, corresponderá a cada entidad estatal verificar, en el caso concreto, si se configura el supuesto de hecho previsto en la norma que da lugar a la respectiva inhabilidad o incompatibilidad y, por ende, a la restricción de la capacidad para contratar.</w:t>
      </w:r>
    </w:p>
    <w:p w14:paraId="1439396B" w14:textId="77777777" w:rsidR="00060D8B" w:rsidRPr="00750D25" w:rsidRDefault="00060D8B" w:rsidP="00060D8B">
      <w:pPr>
        <w:snapToGrid w:val="0"/>
        <w:spacing w:after="0" w:line="240" w:lineRule="auto"/>
        <w:jc w:val="both"/>
        <w:rPr>
          <w:rFonts w:ascii="Verdana" w:eastAsia="Calibri" w:hAnsi="Verdana" w:cs="Arial"/>
          <w:lang w:val="es-ES"/>
        </w:rPr>
      </w:pPr>
    </w:p>
    <w:p w14:paraId="725C6EB9" w14:textId="3B1AB026" w:rsidR="00060D8B" w:rsidRPr="00750D25" w:rsidRDefault="00060D8B" w:rsidP="00060D8B">
      <w:pPr>
        <w:spacing w:after="120" w:line="276" w:lineRule="auto"/>
        <w:ind w:right="49"/>
        <w:jc w:val="both"/>
        <w:rPr>
          <w:rFonts w:ascii="Verdana" w:eastAsia="Times New Roman" w:hAnsi="Verdana" w:cs="Arial"/>
          <w:lang w:eastAsia="es-MX"/>
        </w:rPr>
      </w:pPr>
      <w:proofErr w:type="spellStart"/>
      <w:r w:rsidRPr="00750D25">
        <w:rPr>
          <w:rFonts w:ascii="Verdana" w:eastAsia="Calibri" w:hAnsi="Verdana" w:cs="Arial"/>
          <w:lang w:val="es-ES"/>
        </w:rPr>
        <w:t>iii</w:t>
      </w:r>
      <w:proofErr w:type="spellEnd"/>
      <w:r w:rsidRPr="00750D25">
        <w:rPr>
          <w:rFonts w:ascii="Verdana" w:eastAsia="Calibri" w:hAnsi="Verdana" w:cs="Arial"/>
          <w:lang w:val="es-ES"/>
        </w:rPr>
        <w:t xml:space="preserve">. </w:t>
      </w:r>
      <w:r w:rsidR="0025392B" w:rsidRPr="00750D25">
        <w:rPr>
          <w:rFonts w:ascii="Verdana" w:eastAsia="Calibri" w:hAnsi="Verdana" w:cs="Arial"/>
          <w:lang w:val="es-ES"/>
        </w:rPr>
        <w:t>Por otro lado</w:t>
      </w:r>
      <w:r w:rsidRPr="00750D25">
        <w:rPr>
          <w:rFonts w:ascii="Verdana" w:eastAsia="Calibri" w:hAnsi="Verdana" w:cs="Arial"/>
          <w:lang w:val="es-ES"/>
        </w:rPr>
        <w:t xml:space="preserve">, es preciso señalar que </w:t>
      </w:r>
      <w:r w:rsidRPr="00750D25">
        <w:rPr>
          <w:rFonts w:ascii="Verdana" w:eastAsia="Times New Roman" w:hAnsi="Verdana" w:cs="Arial"/>
          <w:lang w:eastAsia="es-MX"/>
        </w:rPr>
        <w:t xml:space="preserve">de acuerdo con lo establecido en el literal d) del numeral 1 del artículo 8 de la Ley 80 de 1993, </w:t>
      </w:r>
      <w:r w:rsidRPr="00750D25">
        <w:rPr>
          <w:rFonts w:ascii="Verdana" w:eastAsia="Times New Roman" w:hAnsi="Verdana" w:cs="Arial"/>
          <w:i/>
          <w:iCs/>
          <w:lang w:eastAsia="es-MX"/>
        </w:rPr>
        <w:t>las personas naturales</w:t>
      </w:r>
      <w:r w:rsidRPr="00750D25">
        <w:rPr>
          <w:rFonts w:ascii="Verdana" w:eastAsia="Times New Roman" w:hAnsi="Verdana" w:cs="Arial"/>
          <w:lang w:eastAsia="es-MX"/>
        </w:rPr>
        <w:t xml:space="preserve"> a las que se les haya impuesto una pena accesoria de interdicción de derechos y funciones públicas, al igual que las que hayan sido sancionados disciplinariamente con destitución, </w:t>
      </w:r>
      <w:r w:rsidRPr="00750D25">
        <w:rPr>
          <w:rFonts w:ascii="Verdana" w:hAnsi="Verdana" w:cs="Arial"/>
        </w:rPr>
        <w:t xml:space="preserve">están incursas en la referida causal de </w:t>
      </w:r>
      <w:r w:rsidRPr="00750D25">
        <w:rPr>
          <w:rFonts w:ascii="Verdana" w:hAnsi="Verdana" w:cs="Arial"/>
        </w:rPr>
        <w:lastRenderedPageBreak/>
        <w:t xml:space="preserve">inhabilidad, por lo que no pueden contratar con entidades estatales. De esta manera, </w:t>
      </w:r>
      <w:r w:rsidRPr="00750D25">
        <w:rPr>
          <w:rFonts w:ascii="Verdana" w:eastAsia="Times New Roman" w:hAnsi="Verdana" w:cs="Arial"/>
          <w:lang w:eastAsia="es-MX"/>
        </w:rPr>
        <w:t xml:space="preserve">una vez en firme la providencia que dispone la pena o sanción, la inhabilidad comienza a surtir sus efectos restringiendo de ese momento en adelante la posibilidad de suscribir nuevos contratos o participar en procesos de contratación.  </w:t>
      </w:r>
    </w:p>
    <w:p w14:paraId="5F109987" w14:textId="77777777" w:rsidR="00060D8B" w:rsidRPr="00750D25" w:rsidRDefault="00060D8B" w:rsidP="00060D8B">
      <w:pPr>
        <w:spacing w:after="120" w:line="276" w:lineRule="auto"/>
        <w:ind w:right="49" w:firstLine="709"/>
        <w:jc w:val="both"/>
        <w:rPr>
          <w:rFonts w:ascii="Verdana" w:eastAsia="Times New Roman" w:hAnsi="Verdana" w:cs="Arial"/>
          <w:lang w:val="es-ES" w:eastAsia="es-MX"/>
        </w:rPr>
      </w:pPr>
      <w:r w:rsidRPr="00750D25">
        <w:rPr>
          <w:rFonts w:ascii="Verdana" w:eastAsia="Times New Roman" w:hAnsi="Verdana" w:cs="Arial"/>
          <w:lang w:val="es-ES" w:eastAsia="es-MX"/>
        </w:rPr>
        <w:t xml:space="preserve">Del mismo modo, según la normativa aplicable, el contratista estatal </w:t>
      </w:r>
      <w:r w:rsidRPr="00750D25">
        <w:rPr>
          <w:rFonts w:ascii="Verdana" w:eastAsia="Times New Roman" w:hAnsi="Verdana" w:cs="Arial"/>
          <w:i/>
          <w:iCs/>
          <w:lang w:val="es-ES" w:eastAsia="es-MX"/>
        </w:rPr>
        <w:t>persona natural</w:t>
      </w:r>
      <w:r w:rsidRPr="00750D25">
        <w:rPr>
          <w:rFonts w:ascii="Verdana" w:eastAsia="Times New Roman" w:hAnsi="Verdana" w:cs="Arial"/>
          <w:lang w:val="es-ES" w:eastAsia="es-MX"/>
        </w:rPr>
        <w:t xml:space="preserve"> que se encuentre ejecutando un contrato con una entidad estatal y sea condenado mediante sentencia judicial a la pena accesoria de interdicción de derechos y funciones públicas estará incurso en una  inhabilidad sobreviniente y, por tanto, según lo previsto en el artículo 9 de la Ley 80 de 1993, deberá ceder el contrato, si la entidad estatal lo autoriza por escrito o, en caso contrario, tendrá que renunciar a la ejecución del contrato.</w:t>
      </w:r>
    </w:p>
    <w:p w14:paraId="1ADEC6A8" w14:textId="77777777" w:rsidR="00060D8B" w:rsidRPr="00750D25" w:rsidRDefault="00060D8B" w:rsidP="00060D8B">
      <w:pPr>
        <w:spacing w:after="120" w:line="276" w:lineRule="auto"/>
        <w:ind w:right="49" w:firstLine="709"/>
        <w:jc w:val="both"/>
        <w:rPr>
          <w:rFonts w:ascii="Verdana" w:eastAsia="Times New Roman" w:hAnsi="Verdana" w:cs="Arial"/>
          <w:lang w:eastAsia="es-MX"/>
        </w:rPr>
      </w:pPr>
      <w:r w:rsidRPr="00750D25">
        <w:rPr>
          <w:rFonts w:ascii="Verdana" w:eastAsia="Times New Roman" w:hAnsi="Verdana" w:cs="Arial"/>
          <w:lang w:eastAsia="es-MX"/>
        </w:rPr>
        <w:t>No obstante, en la presente consulta se plantea la inquietud sobre si, de conformidad con el régimen de inhabilidades e incompatibilidades previsto en el Estatuto General de Contratación de la Administración Pública, se configura dicha causal cuando personas jurídicas pretendan participar en procesos de selección pública y su representante legal se encuentre incurso en dicha. En ese contexto, y con base en las consideraciones propuestas, se advierte que la causal del literal d), numeral 1 del artículo 8 de la Ley 80 de 1993 restringe y limita la capacidad jurídica exclusivamente de la persona natural condenada a la pena accesoria de interdicción de derechos y funciones públicas y a aquellas que fueron sancionadas disciplinariamente con destitución, sin que se pueda entender que sus efectos se extienden a las personas jurídicas en las cuales sobre su representante legal recaigan dichas sanciones y condenas.</w:t>
      </w:r>
    </w:p>
    <w:p w14:paraId="6F77E31C" w14:textId="77777777" w:rsidR="00060D8B" w:rsidRPr="00750D25" w:rsidRDefault="00060D8B" w:rsidP="00060D8B">
      <w:pPr>
        <w:spacing w:after="120" w:line="276" w:lineRule="auto"/>
        <w:ind w:right="49" w:firstLine="709"/>
        <w:jc w:val="both"/>
        <w:rPr>
          <w:rFonts w:ascii="Verdana" w:eastAsia="Arial MT" w:hAnsi="Verdana" w:cs="Arial"/>
          <w:lang w:eastAsia="es-ES" w:bidi="es-ES"/>
        </w:rPr>
      </w:pPr>
      <w:r w:rsidRPr="00750D25">
        <w:rPr>
          <w:rFonts w:ascii="Verdana" w:eastAsia="Arial MT" w:hAnsi="Verdana" w:cs="Arial"/>
          <w:lang w:eastAsia="es-ES" w:bidi="es-ES"/>
        </w:rPr>
        <w:t xml:space="preserve">En este caso, la norma no determina que dicha inhabilidad se extienda a la persona jurídica en caso de que el representante legal haya sido condenado </w:t>
      </w:r>
      <w:r w:rsidRPr="00750D25">
        <w:rPr>
          <w:rFonts w:ascii="Verdana" w:eastAsia="Times New Roman" w:hAnsi="Verdana" w:cs="Arial"/>
          <w:lang w:eastAsia="es-MX"/>
        </w:rPr>
        <w:t>a la pena accesoria de interdicción de derechos y funciones públicas y sancionado disciplinariamente con destitución</w:t>
      </w:r>
      <w:r w:rsidRPr="00750D25">
        <w:rPr>
          <w:rFonts w:ascii="Verdana" w:eastAsia="Arial MT" w:hAnsi="Verdana" w:cs="Arial"/>
          <w:lang w:eastAsia="es-ES" w:bidi="es-ES"/>
        </w:rPr>
        <w:t>, sin perjuicio de lo previsto en el numeral 6 del artículo 58 de la Ley 80 de 1993, como se explicó. En este sentido, el operador jurídico debe observar el principio de interpretación restrictiva del régimen de inhabilidades e incompatibilidades vigentes en Colombia, que consiste en que tales disposiciones deben interpretarse de forma estricta, literal y restringida, sin extender su alcance más allá de lo que expresamente dispone la norma.</w:t>
      </w:r>
    </w:p>
    <w:p w14:paraId="65509F55" w14:textId="77777777" w:rsidR="00060D8B" w:rsidRPr="00750D25" w:rsidRDefault="00060D8B" w:rsidP="00060D8B">
      <w:pPr>
        <w:spacing w:after="120" w:line="276" w:lineRule="auto"/>
        <w:ind w:right="49" w:firstLine="709"/>
        <w:jc w:val="both"/>
        <w:rPr>
          <w:rFonts w:ascii="Verdana" w:eastAsia="Arial MT" w:hAnsi="Verdana" w:cs="Arial"/>
          <w:lang w:eastAsia="es-ES" w:bidi="es-ES"/>
        </w:rPr>
      </w:pPr>
      <w:r w:rsidRPr="00750D25">
        <w:rPr>
          <w:rFonts w:ascii="Verdana" w:eastAsia="Arial MT" w:hAnsi="Verdana" w:cs="Arial"/>
          <w:lang w:eastAsia="es-ES" w:bidi="es-ES"/>
        </w:rPr>
        <w:lastRenderedPageBreak/>
        <w:t>Dicho esto, al no admitirse analogías ni interpretaciones extensivas, no se puede aplicar por semejanza tal limitación a las personas jurídicas que ostenten representantes legales condenados o sancionados, dado que dicha situación no se encuentra expresamente en la disposición estudiada, en procura de salvaguardar la seguridad jurídica y el principio de legalidad en materia de contratación pública.</w:t>
      </w:r>
    </w:p>
    <w:p w14:paraId="6D76008F" w14:textId="47ABC039" w:rsidR="00746601" w:rsidRPr="00750D25" w:rsidRDefault="00060D8B" w:rsidP="00746601">
      <w:pPr>
        <w:widowControl w:val="0"/>
        <w:autoSpaceDE w:val="0"/>
        <w:autoSpaceDN w:val="0"/>
        <w:spacing w:after="120" w:line="276" w:lineRule="auto"/>
        <w:jc w:val="both"/>
        <w:rPr>
          <w:rFonts w:ascii="Verdana" w:eastAsia="Calibri" w:hAnsi="Verdana" w:cs="Times New Roman"/>
        </w:rPr>
      </w:pPr>
      <w:proofErr w:type="spellStart"/>
      <w:r w:rsidRPr="00750D25">
        <w:rPr>
          <w:rFonts w:ascii="Verdana" w:eastAsia="Times New Roman" w:hAnsi="Verdana" w:cs="Arial"/>
          <w:lang w:eastAsia="es-MX"/>
        </w:rPr>
        <w:t>iv</w:t>
      </w:r>
      <w:proofErr w:type="spellEnd"/>
      <w:r w:rsidRPr="00750D25">
        <w:rPr>
          <w:rFonts w:ascii="Verdana" w:eastAsia="Times New Roman" w:hAnsi="Verdana" w:cs="Arial"/>
          <w:lang w:eastAsia="es-MX"/>
        </w:rPr>
        <w:t xml:space="preserve">. En relación con el tercer problema jurídico, </w:t>
      </w:r>
      <w:r w:rsidRPr="00750D25">
        <w:rPr>
          <w:rFonts w:ascii="Verdana" w:eastAsia="Calibri" w:hAnsi="Verdana" w:cs="Arial"/>
          <w:shd w:val="clear" w:color="auto" w:fill="FFFFFF"/>
        </w:rPr>
        <w:t xml:space="preserve">es preciso indicar que, </w:t>
      </w:r>
      <w:r w:rsidR="00746601" w:rsidRPr="00750D25">
        <w:rPr>
          <w:rFonts w:ascii="Verdana" w:eastAsia="Calibri" w:hAnsi="Verdana" w:cs="Arial"/>
          <w:shd w:val="clear" w:color="auto" w:fill="FFFFFF"/>
        </w:rPr>
        <w:t>el régimen de inhabilidades e incompatibilidades previsto legalmente para la contratación estatal no solo resulta aplicable a las Entidades Estatales sometidas al Estatuto General de Contratación de la Administración Pública, sino también a aquellas que cuentan con un régimen contractual exceptuado, pues el artículo 13 de la Ley 1150 de 2007 dispone que estas, además de aplicar los principios de la función administrativa y de la gestión fiscal, “estarán sometidas al régimen de inhabilidades e incompatibilidades previsto legalmente para la contratación estatal”</w:t>
      </w:r>
      <w:r w:rsidR="006B5E06" w:rsidRPr="00750D25">
        <w:rPr>
          <w:rStyle w:val="Refdenotaalpie"/>
          <w:rFonts w:ascii="Verdana" w:eastAsia="Calibri" w:hAnsi="Verdana" w:cs="Arial"/>
          <w:shd w:val="clear" w:color="auto" w:fill="FFFFFF"/>
        </w:rPr>
        <w:footnoteReference w:id="8"/>
      </w:r>
      <w:r w:rsidR="00746601" w:rsidRPr="00750D25">
        <w:rPr>
          <w:rFonts w:ascii="Verdana" w:eastAsia="Calibri" w:hAnsi="Verdana" w:cs="Arial"/>
          <w:shd w:val="clear" w:color="auto" w:fill="FFFFFF"/>
        </w:rPr>
        <w:t xml:space="preserve">. En consecuencia, las consideraciones expuestas sobre el alcance del literal d) del numeral 1 del artículo 8 de la Ley 80 de 1993 son predicables con </w:t>
      </w:r>
      <w:r w:rsidR="00746601" w:rsidRPr="00750D25">
        <w:rPr>
          <w:rFonts w:ascii="Verdana" w:eastAsia="Calibri" w:hAnsi="Verdana" w:cs="Times New Roman"/>
        </w:rPr>
        <w:t>pueden participar en procesos de selección ni celebrar contratos con entidades estatales. Una vez en firme la providencia que dispone la pena o sanción, la inhabilidad comienza a surtir sus efectos, restringiendo de ese momento en adelante la posibilidad de suscribir nuevos contratos o participar en procesos de contratación. En cuanto a su alcance temporal, el inciso final del numeral 1 del artículo 8 ibidem dispone que las inhabilidades de los literales c), d) e i) se extenderán por un término de cinco (5) años contados a partir de la fecha de ejecutoria del acto que declaró la caducidad, o de la sentencia que impuso la pena, o del acto que dispuso la destitución.</w:t>
      </w:r>
    </w:p>
    <w:p w14:paraId="1C60608D" w14:textId="77777777" w:rsidR="00746601" w:rsidRPr="00750D25" w:rsidRDefault="00746601" w:rsidP="00746601">
      <w:pPr>
        <w:widowControl w:val="0"/>
        <w:autoSpaceDE w:val="0"/>
        <w:autoSpaceDN w:val="0"/>
        <w:spacing w:after="120" w:line="276" w:lineRule="auto"/>
        <w:ind w:firstLine="743"/>
        <w:jc w:val="both"/>
        <w:rPr>
          <w:rFonts w:ascii="Verdana" w:hAnsi="Verdana"/>
        </w:rPr>
      </w:pPr>
      <w:r w:rsidRPr="00750D25">
        <w:rPr>
          <w:rFonts w:ascii="Verdana" w:hAnsi="Verdana"/>
        </w:rPr>
        <w:t xml:space="preserve">Ahora bien, en la línea expuesta por esta Agencia en los Conceptos C-827 de 2025 y reiterado recientemente en el C-991 del 09 de julio del 2026, la causal del literal d) del numeral 1 del artículo 8 de la Ley 80 de 1993 restringe y limita la capacidad jurídica exclusivamente de la persona natural condenada a la pena accesoria de interdicción de derechos y funciones públicas o sancionada disciplinariamente con destitución, sin que pueda entenderse que sus efectos se extienden a las personas jurídicas en las cuales dicha persona funja como representante legal. Verificado el régimen de inhabilidades e incompatibilidades </w:t>
      </w:r>
      <w:r w:rsidRPr="00750D25">
        <w:rPr>
          <w:rFonts w:ascii="Verdana" w:hAnsi="Verdana"/>
        </w:rPr>
        <w:lastRenderedPageBreak/>
        <w:t>contenido en la Ley 80 de 1993, no se identifica alguna causal que limite la capacidad jurídica de las personas jurídicas que pretendan contratar con el Estado por el hecho de que su representante legal haya sido sancionado disciplinariamente con destitución. Al no admitirse analogías ni interpretaciones extensivas en esta materia, no es posible aplicar por semejanza dicha limitación a la persona jurídica, pues tal supuesto no se encuentra previsto expresamente en la disposición, en procura de salvaguardar la seguridad jurídica y el principio de legalidad.</w:t>
      </w:r>
    </w:p>
    <w:p w14:paraId="55E8298D" w14:textId="6321A268" w:rsidR="00060D8B" w:rsidRPr="00750D25" w:rsidRDefault="00060D8B" w:rsidP="00746601">
      <w:pPr>
        <w:widowControl w:val="0"/>
        <w:autoSpaceDE w:val="0"/>
        <w:autoSpaceDN w:val="0"/>
        <w:spacing w:after="120" w:line="276" w:lineRule="auto"/>
        <w:ind w:firstLine="743"/>
        <w:jc w:val="both"/>
        <w:rPr>
          <w:rFonts w:ascii="Verdana" w:hAnsi="Verdana"/>
        </w:rPr>
      </w:pPr>
      <w:r w:rsidRPr="00750D25">
        <w:rPr>
          <w:rFonts w:ascii="Verdana" w:eastAsia="Calibri" w:hAnsi="Verdana" w:cs="Arial"/>
          <w:bCs/>
          <w:lang w:val="es-ES_tradnl"/>
        </w:rPr>
        <w:t xml:space="preserve">En todo caso, </w:t>
      </w:r>
      <w:r w:rsidRPr="00750D25">
        <w:rPr>
          <w:rFonts w:ascii="Verdana" w:eastAsia="Calibri" w:hAnsi="Verdana" w:cs="Arial"/>
          <w:bCs/>
        </w:rPr>
        <w:t>la entidad pública definirá en cada caso concreto lo relacionado con el tema objeto de consulta y teniendo en cuenta lo dispuesto en las normas previamente citadas.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p w14:paraId="67A44998" w14:textId="77777777" w:rsidR="001A33BF" w:rsidRPr="00750D25" w:rsidRDefault="001A33BF" w:rsidP="30821638">
      <w:pPr>
        <w:spacing w:after="0" w:line="240" w:lineRule="auto"/>
        <w:jc w:val="both"/>
        <w:rPr>
          <w:rFonts w:ascii="Verdana" w:eastAsia="Verdana" w:hAnsi="Verdana" w:cs="Verdana"/>
          <w:lang w:val="es-ES"/>
        </w:rPr>
      </w:pPr>
    </w:p>
    <w:p w14:paraId="3AA4DCF6" w14:textId="77777777" w:rsidR="002D2DD9" w:rsidRPr="00750D25" w:rsidRDefault="002D2DD9" w:rsidP="002D2DD9">
      <w:pPr>
        <w:pStyle w:val="Prrafodelista"/>
        <w:numPr>
          <w:ilvl w:val="0"/>
          <w:numId w:val="18"/>
        </w:numPr>
        <w:tabs>
          <w:tab w:val="left" w:pos="142"/>
          <w:tab w:val="left" w:pos="284"/>
        </w:tabs>
        <w:spacing w:after="0" w:line="276" w:lineRule="auto"/>
        <w:ind w:left="360"/>
        <w:contextualSpacing w:val="0"/>
        <w:jc w:val="both"/>
        <w:rPr>
          <w:rFonts w:ascii="Verdana" w:eastAsia="Century Gothic" w:hAnsi="Verdana" w:cs="Century Gothic"/>
          <w:b/>
          <w:bCs/>
        </w:rPr>
      </w:pPr>
      <w:r w:rsidRPr="00750D25">
        <w:rPr>
          <w:rFonts w:ascii="Verdana" w:eastAsia="Century Gothic" w:hAnsi="Verdana" w:cs="Century Gothic"/>
          <w:b/>
          <w:bCs/>
        </w:rPr>
        <w:t>Referencias normativas, jurisprudenciales y otras fuentes:</w:t>
      </w:r>
    </w:p>
    <w:p w14:paraId="61BD9079" w14:textId="77777777" w:rsidR="002D2DD9" w:rsidRPr="00750D25" w:rsidRDefault="002D2DD9" w:rsidP="002D2DD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D2DD9" w:rsidRPr="00750D25" w14:paraId="4EC718BD" w14:textId="77777777" w:rsidTr="00A45E54">
        <w:trPr>
          <w:trHeight w:val="595"/>
        </w:trPr>
        <w:tc>
          <w:tcPr>
            <w:tcW w:w="8647" w:type="dxa"/>
          </w:tcPr>
          <w:p w14:paraId="421ABB37" w14:textId="77777777" w:rsidR="00FA55C1" w:rsidRPr="00750D25" w:rsidRDefault="00FA55C1" w:rsidP="00FA55C1">
            <w:pPr>
              <w:pStyle w:val="Prrafodelista"/>
              <w:numPr>
                <w:ilvl w:val="0"/>
                <w:numId w:val="17"/>
              </w:numPr>
              <w:spacing w:line="276" w:lineRule="auto"/>
              <w:jc w:val="both"/>
              <w:rPr>
                <w:rFonts w:ascii="Verdana" w:hAnsi="Verdana" w:cs="Arial"/>
              </w:rPr>
            </w:pPr>
            <w:r w:rsidRPr="00750D25">
              <w:rPr>
                <w:rFonts w:ascii="Verdana" w:hAnsi="Verdana" w:cs="Arial"/>
              </w:rPr>
              <w:t>Constitución Política de 1991, artículos 6, 150 y 209.</w:t>
            </w:r>
          </w:p>
          <w:p w14:paraId="168D0EEA" w14:textId="77777777" w:rsidR="00FA55C1" w:rsidRPr="00750D25" w:rsidRDefault="00FA55C1" w:rsidP="00FA55C1">
            <w:pPr>
              <w:pStyle w:val="Prrafodelista"/>
              <w:numPr>
                <w:ilvl w:val="0"/>
                <w:numId w:val="17"/>
              </w:numPr>
              <w:spacing w:line="276" w:lineRule="auto"/>
              <w:jc w:val="both"/>
              <w:rPr>
                <w:rFonts w:ascii="Verdana" w:hAnsi="Verdana" w:cs="Arial"/>
              </w:rPr>
            </w:pPr>
            <w:r w:rsidRPr="00750D25">
              <w:rPr>
                <w:rFonts w:ascii="Verdana" w:hAnsi="Verdana" w:cs="Arial"/>
              </w:rPr>
              <w:t>Ley 80 de 1993, artículos 6, 8 (numeral 1, literales d), i) y j), e inciso final), 9 y 44.</w:t>
            </w:r>
          </w:p>
          <w:p w14:paraId="3C81E9FF" w14:textId="77777777" w:rsidR="00FA55C1" w:rsidRPr="00750D25" w:rsidRDefault="00FA55C1" w:rsidP="00FA55C1">
            <w:pPr>
              <w:pStyle w:val="Prrafodelista"/>
              <w:numPr>
                <w:ilvl w:val="0"/>
                <w:numId w:val="17"/>
              </w:numPr>
              <w:spacing w:line="276" w:lineRule="auto"/>
              <w:jc w:val="both"/>
              <w:rPr>
                <w:rFonts w:ascii="Verdana" w:hAnsi="Verdana" w:cs="Arial"/>
              </w:rPr>
            </w:pPr>
            <w:r w:rsidRPr="00750D25">
              <w:rPr>
                <w:rFonts w:ascii="Verdana" w:hAnsi="Verdana" w:cs="Arial"/>
              </w:rPr>
              <w:t>Ley 1150 de 2007, artículo 13.</w:t>
            </w:r>
          </w:p>
          <w:p w14:paraId="5EFA9DF2" w14:textId="77777777" w:rsidR="00FA55C1" w:rsidRPr="00750D25" w:rsidRDefault="00FA55C1" w:rsidP="00FA55C1">
            <w:pPr>
              <w:pStyle w:val="Prrafodelista"/>
              <w:numPr>
                <w:ilvl w:val="0"/>
                <w:numId w:val="17"/>
              </w:numPr>
              <w:spacing w:line="276" w:lineRule="auto"/>
              <w:jc w:val="both"/>
              <w:rPr>
                <w:rFonts w:ascii="Verdana" w:hAnsi="Verdana" w:cs="Arial"/>
              </w:rPr>
            </w:pPr>
            <w:r w:rsidRPr="00750D25">
              <w:rPr>
                <w:rFonts w:ascii="Verdana" w:hAnsi="Verdana" w:cs="Arial"/>
              </w:rPr>
              <w:t>Ley 2014 de 2019, artículo 2.</w:t>
            </w:r>
          </w:p>
          <w:p w14:paraId="4F8A439A" w14:textId="77777777" w:rsidR="00FA55C1" w:rsidRPr="00750D25" w:rsidRDefault="00FA55C1" w:rsidP="00FA55C1">
            <w:pPr>
              <w:pStyle w:val="Prrafodelista"/>
              <w:numPr>
                <w:ilvl w:val="0"/>
                <w:numId w:val="17"/>
              </w:numPr>
              <w:spacing w:line="276" w:lineRule="auto"/>
              <w:jc w:val="both"/>
              <w:rPr>
                <w:rFonts w:ascii="Verdana" w:hAnsi="Verdana" w:cs="Arial"/>
              </w:rPr>
            </w:pPr>
            <w:r w:rsidRPr="00750D25">
              <w:rPr>
                <w:rFonts w:ascii="Verdana" w:hAnsi="Verdana" w:cs="Arial"/>
              </w:rPr>
              <w:t xml:space="preserve">Corte Constitucional, sentencia C-489 del 26 de septiembre de 1996, M.P. Antonio Barrera Carbonell, </w:t>
            </w:r>
            <w:proofErr w:type="spellStart"/>
            <w:r w:rsidRPr="00750D25">
              <w:rPr>
                <w:rFonts w:ascii="Verdana" w:hAnsi="Verdana" w:cs="Arial"/>
              </w:rPr>
              <w:t>Exp</w:t>
            </w:r>
            <w:proofErr w:type="spellEnd"/>
            <w:r w:rsidRPr="00750D25">
              <w:rPr>
                <w:rFonts w:ascii="Verdana" w:hAnsi="Verdana" w:cs="Arial"/>
              </w:rPr>
              <w:t>. D-1264.</w:t>
            </w:r>
          </w:p>
          <w:p w14:paraId="283BC602" w14:textId="77777777" w:rsidR="002D0C41" w:rsidRPr="00750D25" w:rsidRDefault="002D0C41" w:rsidP="002D0C41">
            <w:pPr>
              <w:pStyle w:val="Prrafodelista"/>
              <w:numPr>
                <w:ilvl w:val="0"/>
                <w:numId w:val="17"/>
              </w:numPr>
              <w:spacing w:line="276" w:lineRule="auto"/>
              <w:jc w:val="both"/>
              <w:rPr>
                <w:rFonts w:ascii="Verdana" w:hAnsi="Verdana" w:cs="Arial"/>
              </w:rPr>
            </w:pPr>
            <w:r w:rsidRPr="00750D25">
              <w:rPr>
                <w:rFonts w:ascii="Verdana" w:hAnsi="Verdana" w:cs="Arial"/>
              </w:rPr>
              <w:t xml:space="preserve">Consejo de Estado, Sala de Consulta y Servicio Civil, Concepto del 30 de abril de 2015, </w:t>
            </w:r>
            <w:proofErr w:type="spellStart"/>
            <w:r w:rsidRPr="00750D25">
              <w:rPr>
                <w:rFonts w:ascii="Verdana" w:hAnsi="Verdana" w:cs="Arial"/>
              </w:rPr>
              <w:t>Exp</w:t>
            </w:r>
            <w:proofErr w:type="spellEnd"/>
            <w:r w:rsidRPr="00750D25">
              <w:rPr>
                <w:rFonts w:ascii="Verdana" w:hAnsi="Verdana" w:cs="Arial"/>
              </w:rPr>
              <w:t>. 2251, C.P. Álvaro Namén Vargas.</w:t>
            </w:r>
          </w:p>
          <w:p w14:paraId="1827F0E7" w14:textId="77777777" w:rsidR="002D0C41" w:rsidRPr="00750D25" w:rsidRDefault="002D0C41" w:rsidP="002D0C41">
            <w:pPr>
              <w:pStyle w:val="Prrafodelista"/>
              <w:numPr>
                <w:ilvl w:val="0"/>
                <w:numId w:val="17"/>
              </w:numPr>
              <w:spacing w:line="276" w:lineRule="auto"/>
              <w:jc w:val="both"/>
              <w:rPr>
                <w:rFonts w:ascii="Verdana" w:hAnsi="Verdana" w:cs="Arial"/>
              </w:rPr>
            </w:pPr>
            <w:r w:rsidRPr="00750D25">
              <w:rPr>
                <w:rFonts w:ascii="Verdana" w:hAnsi="Verdana" w:cs="Arial"/>
              </w:rPr>
              <w:t xml:space="preserve">Consejo de Estado, Sección Tercera, Subsección A, Sentencia del 24 de junio de 2015, </w:t>
            </w:r>
            <w:proofErr w:type="spellStart"/>
            <w:r w:rsidRPr="00750D25">
              <w:rPr>
                <w:rFonts w:ascii="Verdana" w:hAnsi="Verdana" w:cs="Arial"/>
              </w:rPr>
              <w:t>Exp</w:t>
            </w:r>
            <w:proofErr w:type="spellEnd"/>
            <w:r w:rsidRPr="00750D25">
              <w:rPr>
                <w:rFonts w:ascii="Verdana" w:hAnsi="Verdana" w:cs="Arial"/>
              </w:rPr>
              <w:t>. 40.635, C.P. Hernán Andrade Rincón (E).</w:t>
            </w:r>
          </w:p>
          <w:p w14:paraId="1A5E7530" w14:textId="77777777" w:rsidR="002D2DD9" w:rsidRPr="00750D25" w:rsidRDefault="002D0C41" w:rsidP="002D0C41">
            <w:pPr>
              <w:pStyle w:val="Prrafodelista"/>
              <w:numPr>
                <w:ilvl w:val="0"/>
                <w:numId w:val="17"/>
              </w:numPr>
              <w:spacing w:line="276" w:lineRule="auto"/>
              <w:jc w:val="both"/>
              <w:rPr>
                <w:rFonts w:ascii="Verdana" w:hAnsi="Verdana" w:cs="Arial"/>
              </w:rPr>
            </w:pPr>
            <w:r w:rsidRPr="00750D25">
              <w:rPr>
                <w:rFonts w:ascii="Verdana" w:hAnsi="Verdana" w:cs="Arial"/>
              </w:rPr>
              <w:t xml:space="preserve">Consejo de Estado, Sección Tercera, Subsección C, Sentencia del 22 de mayo de 2013, </w:t>
            </w:r>
            <w:proofErr w:type="spellStart"/>
            <w:r w:rsidRPr="00750D25">
              <w:rPr>
                <w:rFonts w:ascii="Verdana" w:hAnsi="Verdana" w:cs="Arial"/>
              </w:rPr>
              <w:t>Exp</w:t>
            </w:r>
            <w:proofErr w:type="spellEnd"/>
            <w:r w:rsidRPr="00750D25">
              <w:rPr>
                <w:rFonts w:ascii="Verdana" w:hAnsi="Verdana" w:cs="Arial"/>
              </w:rPr>
              <w:t xml:space="preserve">. 24.057, C.P. Olga Mélida Valle de </w:t>
            </w:r>
            <w:proofErr w:type="spellStart"/>
            <w:r w:rsidRPr="00750D25">
              <w:rPr>
                <w:rFonts w:ascii="Verdana" w:hAnsi="Verdana" w:cs="Arial"/>
              </w:rPr>
              <w:t>De</w:t>
            </w:r>
            <w:proofErr w:type="spellEnd"/>
            <w:r w:rsidRPr="00750D25">
              <w:rPr>
                <w:rFonts w:ascii="Verdana" w:hAnsi="Verdana" w:cs="Arial"/>
              </w:rPr>
              <w:t xml:space="preserve"> La Hoz.</w:t>
            </w:r>
          </w:p>
          <w:p w14:paraId="4F1409C1" w14:textId="4D53F0E2" w:rsidR="006816F8" w:rsidRPr="00750D25" w:rsidRDefault="006E422E" w:rsidP="006E422E">
            <w:pPr>
              <w:pStyle w:val="Prrafodelista"/>
              <w:numPr>
                <w:ilvl w:val="0"/>
                <w:numId w:val="17"/>
              </w:numPr>
              <w:spacing w:line="276" w:lineRule="auto"/>
              <w:jc w:val="both"/>
              <w:rPr>
                <w:rFonts w:ascii="Verdana" w:hAnsi="Verdana" w:cs="Arial"/>
                <w:lang w:val="es-CO"/>
              </w:rPr>
            </w:pPr>
            <w:r w:rsidRPr="00750D25">
              <w:rPr>
                <w:rFonts w:ascii="Verdana" w:hAnsi="Verdana" w:cs="Arial"/>
                <w:lang w:val="es-CO"/>
              </w:rPr>
              <w:t xml:space="preserve">Guía para la Gestión Contractual de Entidades Estatales con Régimen Especial disponible en el siguiente enlace: </w:t>
            </w:r>
            <w:hyperlink r:id="rId13" w:history="1">
              <w:r w:rsidRPr="00750D25">
                <w:rPr>
                  <w:rStyle w:val="Hipervnculo"/>
                  <w:rFonts w:ascii="Verdana" w:hAnsi="Verdana" w:cs="Arial"/>
                  <w:lang w:val="es-CO"/>
                </w:rPr>
                <w:t xml:space="preserve">Guía para la Gestión Contractual de Entidades Estatales con Régimen Especial </w:t>
              </w:r>
            </w:hyperlink>
            <w:r w:rsidRPr="00750D25">
              <w:rPr>
                <w:rFonts w:ascii="Verdana" w:hAnsi="Verdana" w:cs="Arial"/>
                <w:lang w:val="es-CO"/>
              </w:rPr>
              <w:t xml:space="preserve"> </w:t>
            </w:r>
          </w:p>
        </w:tc>
      </w:tr>
    </w:tbl>
    <w:p w14:paraId="470CEC84" w14:textId="77777777" w:rsidR="002D2DD9" w:rsidRPr="00750D25" w:rsidRDefault="002D2DD9" w:rsidP="002D2DD9">
      <w:pPr>
        <w:widowControl w:val="0"/>
        <w:autoSpaceDE w:val="0"/>
        <w:autoSpaceDN w:val="0"/>
        <w:spacing w:after="0" w:line="276" w:lineRule="auto"/>
        <w:jc w:val="both"/>
        <w:rPr>
          <w:rFonts w:ascii="Verdana" w:hAnsi="Verdana" w:cs="Arial"/>
        </w:rPr>
      </w:pPr>
    </w:p>
    <w:p w14:paraId="55DA6655" w14:textId="77777777" w:rsidR="002D2DD9" w:rsidRPr="00750D25" w:rsidRDefault="002D2DD9" w:rsidP="002D2DD9">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750D25">
        <w:rPr>
          <w:rFonts w:ascii="Verdana" w:eastAsia="Century Gothic" w:hAnsi="Verdana" w:cs="Arial"/>
          <w:b/>
          <w:bCs/>
        </w:rPr>
        <w:lastRenderedPageBreak/>
        <w:t>Doctrina de la Agencia Nacional de Contratación Pública:</w:t>
      </w:r>
    </w:p>
    <w:p w14:paraId="3694B7AD" w14:textId="77777777" w:rsidR="002D2DD9" w:rsidRPr="00750D25" w:rsidRDefault="002D2DD9" w:rsidP="002D2DD9">
      <w:pPr>
        <w:widowControl w:val="0"/>
        <w:autoSpaceDE w:val="0"/>
        <w:autoSpaceDN w:val="0"/>
        <w:spacing w:after="0" w:line="276" w:lineRule="auto"/>
        <w:jc w:val="both"/>
        <w:rPr>
          <w:rFonts w:ascii="Verdana" w:hAnsi="Verdana" w:cs="Arial"/>
          <w:highlight w:val="cyan"/>
        </w:rPr>
      </w:pPr>
    </w:p>
    <w:p w14:paraId="0E8367D9" w14:textId="42D84DB3" w:rsidR="00474533" w:rsidRPr="00750D25" w:rsidRDefault="00474533" w:rsidP="00474533">
      <w:pPr>
        <w:spacing w:after="120" w:line="278" w:lineRule="auto"/>
        <w:jc w:val="both"/>
        <w:rPr>
          <w:rFonts w:ascii="Verdana" w:eastAsia="Calibri" w:hAnsi="Verdana" w:cs="Arial"/>
          <w:b/>
          <w:bCs/>
          <w:color w:val="000000" w:themeColor="text1"/>
          <w:lang w:val="es-ES" w:eastAsia="es-ES"/>
        </w:rPr>
      </w:pPr>
      <w:r w:rsidRPr="00750D25">
        <w:rPr>
          <w:rFonts w:ascii="Verdana" w:eastAsia="Calibri" w:hAnsi="Verdana" w:cs="Arial"/>
          <w:lang w:val="es-ES_tradnl" w:eastAsia="es-ES_tradnl"/>
        </w:rPr>
        <w:t xml:space="preserve">Sobre el régimen de inhabilidades e incompatibilidades se pronunció esta Subdirección en los conceptos </w:t>
      </w:r>
      <w:r w:rsidRPr="00750D25">
        <w:rPr>
          <w:rFonts w:ascii="Verdana" w:eastAsia="Calibri" w:hAnsi="Verdana" w:cs="Arial"/>
          <w:lang w:val="es-MX"/>
        </w:rPr>
        <w:t xml:space="preserve">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C−190 del 30 de abril de 2021, C−210 del 12 de mayo de 2021, 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C-039 del 23 de abril de 2024, C-085 del 3 de marzo de 2025 y </w:t>
      </w:r>
      <w:r w:rsidRPr="00750D25">
        <w:rPr>
          <w:rFonts w:ascii="Verdana" w:hAnsi="Verdana"/>
        </w:rPr>
        <w:t>C-991 del 09 de julio del 2026, entre otros</w:t>
      </w:r>
      <w:r w:rsidRPr="00750D25">
        <w:rPr>
          <w:rFonts w:ascii="Verdana" w:hAnsi="Verdana" w:cs="Arial"/>
          <w:shd w:val="clear" w:color="auto" w:fill="FFFFFF"/>
          <w:lang w:val="es-ES"/>
        </w:rPr>
        <w:t>. Estos conceptos se encuentran disponibles para consulta en el Sistema de relatoría de la Agencia, al cual se puede acceder a través del</w:t>
      </w:r>
      <w:r w:rsidRPr="00750D25">
        <w:rPr>
          <w:rFonts w:ascii="Verdana" w:hAnsi="Verdana"/>
          <w:lang w:val="es-ES"/>
        </w:rPr>
        <w:t xml:space="preserve"> siguiente enlace:</w:t>
      </w:r>
      <w:r w:rsidRPr="00750D25">
        <w:rPr>
          <w:rFonts w:ascii="Verdana" w:hAnsi="Verdana" w:cs="Arial"/>
          <w:shd w:val="clear" w:color="auto" w:fill="FFFFFF"/>
          <w:lang w:val="es-ES"/>
        </w:rPr>
        <w:t xml:space="preserve"> </w:t>
      </w:r>
      <w:hyperlink r:id="rId14" w:history="1">
        <w:r w:rsidRPr="00750D25">
          <w:rPr>
            <w:rFonts w:ascii="Verdana" w:hAnsi="Verdana" w:cs="Arial"/>
            <w:color w:val="0000FF"/>
            <w:u w:val="single"/>
            <w:shd w:val="clear" w:color="auto" w:fill="FFFFFF"/>
            <w:lang w:val="es-ES"/>
          </w:rPr>
          <w:t>https://relatoria.colombiacompra.gov.co/busqueda/concept os</w:t>
        </w:r>
      </w:hyperlink>
      <w:r w:rsidRPr="00750D25">
        <w:rPr>
          <w:rFonts w:ascii="Verdana" w:hAnsi="Verdana" w:cs="Arial"/>
          <w:shd w:val="clear" w:color="auto" w:fill="FFFFFF"/>
          <w:lang w:val="es-ES"/>
        </w:rPr>
        <w:t>.</w:t>
      </w:r>
      <w:r w:rsidRPr="00750D25">
        <w:rPr>
          <w:rFonts w:ascii="Verdana" w:hAnsi="Verdana" w:cs="Arial"/>
          <w:color w:val="FF0000"/>
          <w:shd w:val="clear" w:color="auto" w:fill="FFFFFF"/>
          <w:lang w:val="es-ES"/>
        </w:rPr>
        <w:t xml:space="preserve"> </w:t>
      </w:r>
      <w:r w:rsidRPr="00750D25">
        <w:rPr>
          <w:rFonts w:ascii="Verdana" w:hAnsi="Verdana" w:cs="Arial"/>
          <w:color w:val="000000" w:themeColor="text1"/>
          <w:shd w:val="clear" w:color="auto" w:fill="FFFFFF"/>
          <w:lang w:val="es-ES"/>
        </w:rPr>
        <w:t>  </w:t>
      </w:r>
    </w:p>
    <w:p w14:paraId="3DE9C047" w14:textId="77777777" w:rsidR="002D2DD9" w:rsidRPr="00750D25" w:rsidRDefault="002D2DD9" w:rsidP="002D2DD9">
      <w:pPr>
        <w:widowControl w:val="0"/>
        <w:autoSpaceDE w:val="0"/>
        <w:autoSpaceDN w:val="0"/>
        <w:spacing w:after="240" w:line="276" w:lineRule="auto"/>
        <w:jc w:val="both"/>
        <w:rPr>
          <w:rFonts w:ascii="Verdana" w:hAnsi="Verdana" w:cs="Arial"/>
          <w:bCs/>
          <w:shd w:val="clear" w:color="auto" w:fill="FFFFFF"/>
        </w:rPr>
      </w:pPr>
      <w:r w:rsidRPr="00750D25">
        <w:rPr>
          <w:rFonts w:ascii="Verdana" w:hAnsi="Verdana" w:cs="Ari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750D25">
        <w:rPr>
          <w:rFonts w:ascii="Verdana" w:hAnsi="Verdana" w:cs="Arial"/>
          <w:b/>
          <w:bCs/>
        </w:rPr>
        <w:t>Guía para la Exigencia y Constitución de Garantías en los Procesos de Contratación</w:t>
      </w:r>
      <w:r w:rsidRPr="00750D25">
        <w:rPr>
          <w:rFonts w:ascii="Verdana" w:hAnsi="Verdana" w:cs="Ari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gtFrame="_blank" w:tooltip="Dirección URL original: https://www.colombiacompra.gov.co/archivos/manual/guia-de-garantias-en-procesos-de-contratacion. Haga clic o pulse si confía en este vínculo." w:history="1">
        <w:r w:rsidRPr="00750D25">
          <w:rPr>
            <w:rStyle w:val="Hipervnculo"/>
            <w:rFonts w:ascii="Verdana" w:hAnsi="Verdana" w:cs="Arial"/>
          </w:rPr>
          <w:t>https://www.colombiacompra.gov.co/archivos/manual/guia-de-garantias-en-procesos-de-contratacion</w:t>
        </w:r>
      </w:hyperlink>
    </w:p>
    <w:p w14:paraId="4B822AF9" w14:textId="77777777" w:rsidR="002D2DD9" w:rsidRPr="00750D25" w:rsidRDefault="002D2DD9" w:rsidP="002D2DD9">
      <w:pPr>
        <w:widowControl w:val="0"/>
        <w:autoSpaceDE w:val="0"/>
        <w:autoSpaceDN w:val="0"/>
        <w:spacing w:after="240" w:line="276" w:lineRule="auto"/>
        <w:jc w:val="both"/>
        <w:rPr>
          <w:rFonts w:ascii="Verdana" w:eastAsia="Calibri" w:hAnsi="Verdana" w:cs="Arial"/>
        </w:rPr>
      </w:pPr>
      <w:r w:rsidRPr="00750D25">
        <w:rPr>
          <w:rFonts w:ascii="Verdana" w:hAnsi="Verdana" w:cs="Arial"/>
        </w:rPr>
        <w:t xml:space="preserve">De otro lado, te contamos que el Decreto 287 del 19 de marzo de 2026 sustituyó los artículos 2.2.1.2.4.2.6., 2.2.1.2.4.2.7. y 2.2.1.2.4.2.8. del Decreto 1082 de </w:t>
      </w:r>
      <w:r w:rsidRPr="00750D25">
        <w:rPr>
          <w:rFonts w:ascii="Verdana" w:hAnsi="Verdana" w:cs="Arial"/>
        </w:rPr>
        <w:lastRenderedPageBreak/>
        <w:t>2015 y estructuró el </w:t>
      </w:r>
      <w:r w:rsidRPr="00750D25">
        <w:rPr>
          <w:rFonts w:ascii="Verdana" w:hAnsi="Verdana" w:cs="Arial"/>
          <w:b/>
          <w:bCs/>
        </w:rPr>
        <w:t>Sistema Integral de Preferencias en favor de las personas con discapacidad</w:t>
      </w:r>
      <w:r w:rsidRPr="00750D25">
        <w:rPr>
          <w:rFonts w:ascii="Verdana" w:hAnsi="Verdana" w:cs="Arial"/>
        </w:rPr>
        <w:t>, en cumplimiento del artículo 13 de la Ley Estatutaria 1618 de 2013. Para orientar su aplicación, esta Agencia expidió la </w:t>
      </w:r>
      <w:r w:rsidRPr="00750D25">
        <w:rPr>
          <w:rFonts w:ascii="Verdana" w:hAnsi="Verdana" w:cs="Arial"/>
          <w:b/>
          <w:bCs/>
        </w:rPr>
        <w:t>Circular Externa 003 del 12 de mayo de 2026, </w:t>
      </w:r>
      <w:r w:rsidRPr="00750D25">
        <w:rPr>
          <w:rFonts w:ascii="Verdana" w:hAnsi="Verdana" w:cs="Arial"/>
        </w:rPr>
        <w:t>en la que precisa quiénes son los beneficiarios, las cinco medidas que integran el sistema y su obligatoriedad según la modalidad de selección, y el régimen de transición aplicable a los procesos en curso. Consúltala aquí: </w:t>
      </w:r>
      <w:hyperlink r:id="rId16" w:tgtFrame="_blank" w:tooltip="Dirección URL original: https://www.colombiacompra.gov.co/archivos/circular/circular-externa-003-de-2026. Haga clic o pulse si confía en este vínculo." w:history="1">
        <w:r w:rsidRPr="00750D25">
          <w:rPr>
            <w:rStyle w:val="Hipervnculo"/>
            <w:rFonts w:ascii="Verdana" w:hAnsi="Verdana" w:cs="Arial"/>
          </w:rPr>
          <w:t>https://www.colombiacompra.gov.co/archivos/circular/circular-externa-003-de-2026</w:t>
        </w:r>
      </w:hyperlink>
    </w:p>
    <w:p w14:paraId="5BB781B9" w14:textId="77777777" w:rsidR="002D2DD9" w:rsidRPr="00750D25" w:rsidRDefault="002D2DD9" w:rsidP="002D2DD9">
      <w:pPr>
        <w:widowControl w:val="0"/>
        <w:autoSpaceDE w:val="0"/>
        <w:autoSpaceDN w:val="0"/>
        <w:spacing w:after="240" w:line="276" w:lineRule="auto"/>
        <w:jc w:val="both"/>
        <w:rPr>
          <w:rFonts w:ascii="Verdana" w:eastAsia="Calibri" w:hAnsi="Verdana" w:cs="Arial"/>
        </w:rPr>
      </w:pPr>
      <w:r w:rsidRPr="00750D25">
        <w:rPr>
          <w:rFonts w:ascii="Verdana" w:hAnsi="Verdana" w:cs="Arial"/>
        </w:rPr>
        <w:t>Recuerda también que la</w:t>
      </w:r>
      <w:r w:rsidRPr="00750D25">
        <w:rPr>
          <w:rFonts w:ascii="Verdana" w:hAnsi="Verdana" w:cs="Arial"/>
          <w:b/>
          <w:bCs/>
        </w:rPr>
        <w:t> información sobre sanciones e inhabilidades </w:t>
      </w:r>
      <w:r w:rsidRPr="00750D25">
        <w:rPr>
          <w:rFonts w:ascii="Verdana" w:hAnsi="Verdana" w:cs="Arial"/>
        </w:rPr>
        <w:t>solo cumple su función preventiva si llega oportunamente a los registros públicos. Sobre este deber, esta Agencia expidió la </w:t>
      </w:r>
      <w:r w:rsidRPr="00750D25">
        <w:rPr>
          <w:rFonts w:ascii="Verdana" w:hAnsi="Verdana" w:cs="Arial"/>
          <w:b/>
          <w:bCs/>
        </w:rPr>
        <w:t>Circular Externa 002 del 5 de mayo de 2026,</w:t>
      </w:r>
      <w:r w:rsidRPr="00750D25">
        <w:rPr>
          <w:rFonts w:ascii="Verdana" w:hAnsi="Verdana" w:cs="Ari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gtFrame="_blank" w:tooltip="Dirección URL original: https://www.colombiacompra.gov.co/archivos/circular/circular-externa-002-de-2026. Haga clic o pulse si confía en este vínculo." w:history="1">
        <w:r w:rsidRPr="00750D25">
          <w:rPr>
            <w:rStyle w:val="Hipervnculo"/>
            <w:rFonts w:ascii="Verdana" w:hAnsi="Verdana" w:cs="Arial"/>
          </w:rPr>
          <w:t>https://www.colombiacompra.gov.co/archivos/circular/circular-externa-002-de-2026</w:t>
        </w:r>
      </w:hyperlink>
    </w:p>
    <w:p w14:paraId="29F88C4C" w14:textId="77777777" w:rsidR="002D2DD9" w:rsidRPr="00750D25" w:rsidRDefault="002D2DD9" w:rsidP="002D2DD9">
      <w:pPr>
        <w:widowControl w:val="0"/>
        <w:autoSpaceDE w:val="0"/>
        <w:autoSpaceDN w:val="0"/>
        <w:spacing w:after="240" w:line="276" w:lineRule="auto"/>
        <w:jc w:val="both"/>
        <w:rPr>
          <w:rFonts w:ascii="Verdana" w:eastAsia="Calibri" w:hAnsi="Verdana" w:cs="Arial"/>
        </w:rPr>
      </w:pPr>
      <w:r w:rsidRPr="00750D25">
        <w:rPr>
          <w:rFonts w:ascii="Verdana" w:hAnsi="Verdana" w:cs="Arial"/>
        </w:rPr>
        <w:t>Finalmente, si quieres seguir de cerca la actividad de la Agencia, la tercera edición de 2026 del</w:t>
      </w:r>
      <w:r w:rsidRPr="00750D25">
        <w:rPr>
          <w:rFonts w:ascii="Verdana" w:hAnsi="Verdana" w:cs="Arial"/>
          <w:b/>
          <w:bCs/>
        </w:rPr>
        <w:t> Radar de la Compra Pública</w:t>
      </w:r>
      <w:r w:rsidRPr="00750D25">
        <w:rPr>
          <w:rFonts w:ascii="Verdana" w:hAnsi="Verdana" w:cs="Ari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gtFrame="_blank" w:tooltip="Dirección URL original: https://www.colombiacompra.gov.co/archivos/boletin/boletin-edicion-n-3-de-2026-radar-de-la-compra-publica. Haga clic o pulse si confía en este vínculo." w:history="1">
        <w:r w:rsidRPr="00750D25">
          <w:rPr>
            <w:rStyle w:val="Hipervnculo"/>
            <w:rFonts w:ascii="Verdana" w:hAnsi="Verdana" w:cs="Arial"/>
          </w:rPr>
          <w:t>https://www.colombiacompra.gov.co/archivos/boletin/boletin-edicion-n-3-de-2026-radar-de-la-compra-publica</w:t>
        </w:r>
      </w:hyperlink>
      <w:r w:rsidRPr="00750D25">
        <w:rPr>
          <w:rFonts w:ascii="Verdana" w:hAnsi="Verdana" w:cs="Arial"/>
        </w:rPr>
        <w:t>"</w:t>
      </w:r>
    </w:p>
    <w:p w14:paraId="3F2AFD47" w14:textId="77777777" w:rsidR="002D2DD9" w:rsidRPr="00750D25" w:rsidRDefault="002D2DD9" w:rsidP="002D2DD9">
      <w:pPr>
        <w:widowControl w:val="0"/>
        <w:autoSpaceDE w:val="0"/>
        <w:autoSpaceDN w:val="0"/>
        <w:spacing w:after="120" w:line="276" w:lineRule="auto"/>
        <w:jc w:val="both"/>
        <w:rPr>
          <w:rFonts w:ascii="Verdana" w:eastAsia="Calibri" w:hAnsi="Verdana" w:cs="Arial"/>
        </w:rPr>
      </w:pPr>
      <w:r w:rsidRPr="00750D25">
        <w:rPr>
          <w:rFonts w:ascii="Verdana" w:hAnsi="Verdana" w:cs="Arial"/>
        </w:rPr>
        <w:t xml:space="preserve">Por último, lo invitamos a seguirnos en las redes sociales en las cuales se difunde información institucional: </w:t>
      </w:r>
    </w:p>
    <w:p w14:paraId="6F435313" w14:textId="77777777" w:rsidR="002D2DD9" w:rsidRPr="00750D25" w:rsidRDefault="002D2DD9" w:rsidP="002D2DD9">
      <w:pPr>
        <w:spacing w:after="0" w:line="276" w:lineRule="auto"/>
        <w:jc w:val="both"/>
        <w:rPr>
          <w:rFonts w:ascii="Verdana" w:hAnsi="Verdana" w:cs="Arial"/>
        </w:rPr>
      </w:pPr>
      <w:r w:rsidRPr="00750D25">
        <w:rPr>
          <w:rFonts w:ascii="Verdana" w:hAnsi="Verdana" w:cs="Arial"/>
        </w:rPr>
        <w:t xml:space="preserve">Twitter: </w:t>
      </w:r>
      <w:r w:rsidRPr="00750D25">
        <w:rPr>
          <w:rStyle w:val="Hipervnculo"/>
          <w:rFonts w:ascii="Verdana" w:hAnsi="Verdana" w:cs="Arial"/>
          <w:color w:val="auto"/>
        </w:rPr>
        <w:t>@colombiacompra</w:t>
      </w:r>
      <w:r w:rsidRPr="00750D25">
        <w:rPr>
          <w:rFonts w:ascii="Verdana" w:hAnsi="Verdana" w:cs="Arial"/>
        </w:rPr>
        <w:t xml:space="preserve"> </w:t>
      </w:r>
    </w:p>
    <w:p w14:paraId="04D6E848" w14:textId="77777777" w:rsidR="002D2DD9" w:rsidRPr="00750D25" w:rsidRDefault="002D2DD9" w:rsidP="002D2DD9">
      <w:pPr>
        <w:spacing w:after="0" w:line="276" w:lineRule="auto"/>
        <w:jc w:val="both"/>
        <w:rPr>
          <w:rFonts w:ascii="Verdana" w:hAnsi="Verdana" w:cs="Arial"/>
        </w:rPr>
      </w:pPr>
      <w:r w:rsidRPr="00750D25">
        <w:rPr>
          <w:rFonts w:ascii="Verdana" w:hAnsi="Verdana" w:cs="Arial"/>
        </w:rPr>
        <w:t xml:space="preserve">Facebook: </w:t>
      </w:r>
      <w:proofErr w:type="spellStart"/>
      <w:r w:rsidRPr="00750D25">
        <w:rPr>
          <w:rStyle w:val="Hipervnculo"/>
          <w:rFonts w:ascii="Verdana" w:hAnsi="Verdana" w:cs="Arial"/>
          <w:color w:val="auto"/>
        </w:rPr>
        <w:t>ColombiaCompraEficiente</w:t>
      </w:r>
      <w:proofErr w:type="spellEnd"/>
    </w:p>
    <w:p w14:paraId="4399C6AE" w14:textId="77777777" w:rsidR="002D2DD9" w:rsidRPr="00750D25" w:rsidRDefault="002D2DD9" w:rsidP="002D2DD9">
      <w:pPr>
        <w:spacing w:after="0" w:line="276" w:lineRule="auto"/>
        <w:jc w:val="both"/>
        <w:rPr>
          <w:rStyle w:val="Hipervnculo"/>
          <w:rFonts w:ascii="Verdana" w:hAnsi="Verdana" w:cs="Arial"/>
          <w:color w:val="auto"/>
        </w:rPr>
      </w:pPr>
      <w:r w:rsidRPr="00750D25">
        <w:rPr>
          <w:rFonts w:ascii="Verdana" w:hAnsi="Verdana" w:cs="Arial"/>
        </w:rPr>
        <w:t xml:space="preserve">LinkedIn: </w:t>
      </w:r>
      <w:r w:rsidRPr="00750D25">
        <w:rPr>
          <w:rStyle w:val="Hipervnculo"/>
          <w:rFonts w:ascii="Verdana" w:hAnsi="Verdana" w:cs="Arial"/>
          <w:color w:val="auto"/>
        </w:rPr>
        <w:t>Agencia Nacional de Contratación Pública - Colombia Compra Eficiente</w:t>
      </w:r>
      <w:r w:rsidRPr="00750D25">
        <w:rPr>
          <w:rFonts w:ascii="Verdana" w:hAnsi="Verdana" w:cs="Arial"/>
        </w:rPr>
        <w:t xml:space="preserve"> Instagram: </w:t>
      </w:r>
      <w:r w:rsidRPr="00750D25">
        <w:rPr>
          <w:rStyle w:val="Hipervnculo"/>
          <w:rFonts w:ascii="Verdana" w:hAnsi="Verdana" w:cs="Arial"/>
          <w:color w:val="auto"/>
        </w:rPr>
        <w:t>@colombiacompraeficiente_cce</w:t>
      </w:r>
    </w:p>
    <w:p w14:paraId="7D67E7B6" w14:textId="77777777" w:rsidR="002D2DD9" w:rsidRPr="00750D25" w:rsidRDefault="002D2DD9" w:rsidP="002D2DD9">
      <w:pPr>
        <w:widowControl w:val="0"/>
        <w:autoSpaceDE w:val="0"/>
        <w:autoSpaceDN w:val="0"/>
        <w:spacing w:before="120" w:after="0" w:line="276" w:lineRule="auto"/>
        <w:jc w:val="both"/>
        <w:rPr>
          <w:rFonts w:ascii="Verdana" w:hAnsi="Verdana" w:cs="Arial"/>
          <w:lang w:val="es-ES_tradnl"/>
        </w:rPr>
      </w:pPr>
      <w:r w:rsidRPr="00750D25">
        <w:rPr>
          <w:rFonts w:ascii="Verdana" w:hAnsi="Verdana" w:cs="Arial"/>
        </w:rPr>
        <w:lastRenderedPageBreak/>
        <w:t xml:space="preserve">Este concepto tiene el alcance previsto en el artículo 28 del Código de Procedimiento Administrativo y de lo Contencioso Administrativo </w:t>
      </w:r>
      <w:r w:rsidRPr="00750D25">
        <w:rPr>
          <w:rFonts w:ascii="Verdana" w:hAnsi="Verdana" w:cs="Arial"/>
          <w:lang w:val="es-ES_tradnl"/>
        </w:rPr>
        <w:t>y las expresiones aquí utilizadas con mayúscula inicial deben ser entendidas con el significado que les otorga el artículo 2.2.1.1.1.3.1. del Decreto 1082 de 2015.</w:t>
      </w:r>
    </w:p>
    <w:p w14:paraId="16311D8B" w14:textId="77777777" w:rsidR="002D2DD9" w:rsidRPr="00750D25" w:rsidRDefault="002D2DD9" w:rsidP="002D2DD9">
      <w:pPr>
        <w:widowControl w:val="0"/>
        <w:autoSpaceDE w:val="0"/>
        <w:autoSpaceDN w:val="0"/>
        <w:spacing w:after="0" w:line="276" w:lineRule="auto"/>
        <w:jc w:val="both"/>
        <w:rPr>
          <w:rFonts w:ascii="Verdana" w:hAnsi="Verdana" w:cs="Arial"/>
        </w:rPr>
      </w:pPr>
    </w:p>
    <w:p w14:paraId="7C9026E2" w14:textId="7D89572D" w:rsidR="002A0DD0" w:rsidRPr="00750D25" w:rsidRDefault="002D2DD9" w:rsidP="00203F24">
      <w:pPr>
        <w:spacing w:after="0" w:line="276" w:lineRule="auto"/>
        <w:jc w:val="both"/>
        <w:rPr>
          <w:rFonts w:ascii="Verdana" w:hAnsi="Verdana" w:cs="Arial"/>
          <w:lang w:eastAsia="es-CO"/>
        </w:rPr>
      </w:pPr>
      <w:r w:rsidRPr="00750D25">
        <w:rPr>
          <w:rFonts w:ascii="Verdana" w:eastAsia="Times New Roman" w:hAnsi="Verdana" w:cs="Arial"/>
          <w:lang w:eastAsia="es-CO"/>
        </w:rPr>
        <w:t>Atentamente,</w:t>
      </w:r>
      <w:r w:rsidRPr="00750D25">
        <w:rPr>
          <w:rFonts w:ascii="Verdana" w:hAnsi="Verdana" w:cs="Arial"/>
          <w:lang w:eastAsia="es-CO"/>
        </w:rPr>
        <w:t xml:space="preserve"> </w:t>
      </w:r>
    </w:p>
    <w:p w14:paraId="1AD8AD38" w14:textId="18E24FF6" w:rsidR="00203F24" w:rsidRPr="00750D25" w:rsidRDefault="00203F24" w:rsidP="00203F24">
      <w:pPr>
        <w:tabs>
          <w:tab w:val="center" w:pos="4419"/>
        </w:tabs>
        <w:spacing w:after="0" w:line="240" w:lineRule="auto"/>
        <w:jc w:val="center"/>
        <w:textAlignment w:val="baseline"/>
        <w:rPr>
          <w:rFonts w:ascii="Verdana" w:eastAsia="Verdana" w:hAnsi="Verdana" w:cs="Verdana"/>
          <w:lang w:eastAsia="es-CO"/>
        </w:rPr>
      </w:pPr>
      <w:r w:rsidRPr="00750D25">
        <w:rPr>
          <w:rFonts w:ascii="Verdana" w:eastAsia="Verdana" w:hAnsi="Verdana" w:cs="Verdana"/>
          <w:noProof/>
          <w:lang w:eastAsia="es-CO"/>
        </w:rPr>
        <w:drawing>
          <wp:inline distT="0" distB="0" distL="0" distR="0" wp14:anchorId="28B75A91" wp14:editId="7BB22D86">
            <wp:extent cx="3733800" cy="1390470"/>
            <wp:effectExtent l="0" t="0" r="0" b="635"/>
            <wp:docPr id="124658151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37104" cy="1391700"/>
                    </a:xfrm>
                    <a:prstGeom prst="rect">
                      <a:avLst/>
                    </a:prstGeom>
                    <a:noFill/>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C044A" w:rsidRPr="00750D25" w14:paraId="7FB88EBA" w14:textId="77777777" w:rsidTr="004914CD">
        <w:trPr>
          <w:trHeight w:val="315"/>
        </w:trPr>
        <w:tc>
          <w:tcPr>
            <w:tcW w:w="893" w:type="dxa"/>
            <w:vAlign w:val="center"/>
            <w:hideMark/>
          </w:tcPr>
          <w:p w14:paraId="27C1DA03" w14:textId="77777777" w:rsidR="000C044A" w:rsidRPr="00750D25" w:rsidRDefault="000C044A" w:rsidP="004914CD">
            <w:pPr>
              <w:contextualSpacing/>
              <w:rPr>
                <w:rFonts w:ascii="Verdana" w:hAnsi="Verdana" w:cs="Arial"/>
                <w:sz w:val="16"/>
                <w:szCs w:val="16"/>
                <w:lang w:val="es-ES" w:eastAsia="es-ES"/>
              </w:rPr>
            </w:pPr>
            <w:r w:rsidRPr="00750D2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2D566F3" w14:textId="77777777" w:rsidR="000C044A" w:rsidRPr="00750D25" w:rsidRDefault="000C044A" w:rsidP="004914CD">
            <w:pPr>
              <w:contextualSpacing/>
              <w:rPr>
                <w:rFonts w:ascii="Verdana" w:eastAsia="Arial" w:hAnsi="Verdana" w:cs="Arial"/>
                <w:sz w:val="16"/>
                <w:szCs w:val="16"/>
              </w:rPr>
            </w:pPr>
            <w:r w:rsidRPr="00750D25">
              <w:rPr>
                <w:rFonts w:ascii="Verdana" w:eastAsia="Arial" w:hAnsi="Verdana" w:cs="Arial"/>
                <w:sz w:val="16"/>
                <w:szCs w:val="16"/>
              </w:rPr>
              <w:t>Ana María Ortiz Ballesteros</w:t>
            </w:r>
          </w:p>
          <w:p w14:paraId="5FDB6B84" w14:textId="77777777" w:rsidR="000C044A" w:rsidRPr="00750D25" w:rsidRDefault="000C044A" w:rsidP="004914CD">
            <w:pPr>
              <w:contextualSpacing/>
              <w:rPr>
                <w:rFonts w:ascii="Verdana" w:eastAsia="Arial" w:hAnsi="Verdana" w:cs="Arial"/>
                <w:sz w:val="16"/>
                <w:szCs w:val="16"/>
              </w:rPr>
            </w:pPr>
            <w:r w:rsidRPr="00750D25">
              <w:rPr>
                <w:rStyle w:val="normaltextrun"/>
                <w:rFonts w:ascii="Verdana" w:eastAsia="Arial" w:hAnsi="Verdana" w:cs="Arial"/>
                <w:sz w:val="16"/>
                <w:szCs w:val="16"/>
              </w:rPr>
              <w:t>C</w:t>
            </w:r>
            <w:r w:rsidRPr="00750D25">
              <w:rPr>
                <w:rStyle w:val="normaltextrun"/>
                <w:rFonts w:ascii="Verdana" w:hAnsi="Verdana"/>
                <w:sz w:val="16"/>
                <w:szCs w:val="16"/>
              </w:rPr>
              <w:t>ontratista</w:t>
            </w:r>
            <w:r w:rsidRPr="00750D25">
              <w:rPr>
                <w:rStyle w:val="normaltextrun"/>
                <w:rFonts w:ascii="Verdana" w:eastAsia="Arial" w:hAnsi="Verdana" w:cs="Arial"/>
                <w:sz w:val="16"/>
                <w:szCs w:val="16"/>
              </w:rPr>
              <w:t xml:space="preserve"> de la Subdirección de Gestión Contractual</w:t>
            </w:r>
          </w:p>
        </w:tc>
      </w:tr>
      <w:tr w:rsidR="000C044A" w:rsidRPr="00750D25" w14:paraId="79839C10" w14:textId="77777777" w:rsidTr="004914CD">
        <w:trPr>
          <w:trHeight w:val="330"/>
        </w:trPr>
        <w:tc>
          <w:tcPr>
            <w:tcW w:w="893" w:type="dxa"/>
            <w:vAlign w:val="center"/>
            <w:hideMark/>
          </w:tcPr>
          <w:p w14:paraId="6648655C" w14:textId="77777777" w:rsidR="000C044A" w:rsidRPr="00750D25" w:rsidRDefault="000C044A" w:rsidP="004914CD">
            <w:pPr>
              <w:contextualSpacing/>
              <w:rPr>
                <w:rFonts w:ascii="Verdana" w:hAnsi="Verdana" w:cs="Arial"/>
                <w:sz w:val="16"/>
                <w:szCs w:val="16"/>
                <w:lang w:val="es-ES" w:eastAsia="es-ES"/>
              </w:rPr>
            </w:pPr>
            <w:r w:rsidRPr="00750D2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1F415E0" w14:textId="06D68E6E" w:rsidR="00A27E4C" w:rsidRPr="00750D25" w:rsidRDefault="00A27E4C" w:rsidP="004914CD">
            <w:pPr>
              <w:pStyle w:val="paragraph"/>
              <w:spacing w:before="0" w:beforeAutospacing="0" w:after="0" w:afterAutospacing="0"/>
              <w:contextualSpacing/>
              <w:jc w:val="both"/>
              <w:textAlignment w:val="baseline"/>
              <w:rPr>
                <w:rFonts w:ascii="Verdana" w:hAnsi="Verdana" w:cs="Arial"/>
                <w:sz w:val="16"/>
                <w:szCs w:val="16"/>
              </w:rPr>
            </w:pPr>
            <w:r w:rsidRPr="00750D25">
              <w:rPr>
                <w:rFonts w:ascii="Verdana" w:hAnsi="Verdana" w:cs="Arial"/>
                <w:sz w:val="16"/>
                <w:szCs w:val="16"/>
              </w:rPr>
              <w:t xml:space="preserve">Adriana </w:t>
            </w:r>
            <w:proofErr w:type="spellStart"/>
            <w:r w:rsidRPr="00750D25">
              <w:rPr>
                <w:rFonts w:ascii="Verdana" w:hAnsi="Verdana" w:cs="Arial"/>
                <w:sz w:val="16"/>
                <w:szCs w:val="16"/>
              </w:rPr>
              <w:t>Katerine</w:t>
            </w:r>
            <w:proofErr w:type="spellEnd"/>
            <w:r w:rsidRPr="00750D25">
              <w:rPr>
                <w:rFonts w:ascii="Verdana" w:hAnsi="Verdana" w:cs="Arial"/>
                <w:sz w:val="16"/>
                <w:szCs w:val="16"/>
              </w:rPr>
              <w:t xml:space="preserve"> López Rodríguez</w:t>
            </w:r>
          </w:p>
          <w:p w14:paraId="0A299D48" w14:textId="1E5EB28A" w:rsidR="000C044A" w:rsidRPr="00750D25" w:rsidRDefault="000C044A" w:rsidP="004914CD">
            <w:pPr>
              <w:pStyle w:val="paragraph"/>
              <w:spacing w:before="0" w:beforeAutospacing="0" w:after="0" w:afterAutospacing="0"/>
              <w:contextualSpacing/>
              <w:jc w:val="both"/>
              <w:textAlignment w:val="baseline"/>
              <w:rPr>
                <w:rFonts w:ascii="Verdana" w:hAnsi="Verdana" w:cs="Arial"/>
                <w:sz w:val="16"/>
                <w:szCs w:val="16"/>
              </w:rPr>
            </w:pPr>
            <w:r w:rsidRPr="00750D25">
              <w:rPr>
                <w:rStyle w:val="normaltextrun"/>
                <w:rFonts w:ascii="Verdana" w:eastAsia="Arial" w:hAnsi="Verdana" w:cs="Arial"/>
                <w:sz w:val="16"/>
                <w:szCs w:val="16"/>
              </w:rPr>
              <w:t>C</w:t>
            </w:r>
            <w:r w:rsidRPr="00750D25">
              <w:rPr>
                <w:rStyle w:val="normaltextrun"/>
                <w:rFonts w:ascii="Verdana" w:hAnsi="Verdana"/>
                <w:sz w:val="16"/>
                <w:szCs w:val="16"/>
              </w:rPr>
              <w:t>ontratista</w:t>
            </w:r>
            <w:r w:rsidRPr="00750D25">
              <w:rPr>
                <w:rStyle w:val="normaltextrun"/>
                <w:rFonts w:ascii="Verdana" w:eastAsia="Arial" w:hAnsi="Verdana" w:cs="Arial"/>
                <w:sz w:val="16"/>
                <w:szCs w:val="16"/>
              </w:rPr>
              <w:t xml:space="preserve"> de la Subdirección de Gestión Contractual</w:t>
            </w:r>
          </w:p>
        </w:tc>
      </w:tr>
      <w:tr w:rsidR="000C044A" w:rsidRPr="00750D25" w14:paraId="65D7A8E4" w14:textId="77777777" w:rsidTr="004914CD">
        <w:trPr>
          <w:trHeight w:val="300"/>
        </w:trPr>
        <w:tc>
          <w:tcPr>
            <w:tcW w:w="893" w:type="dxa"/>
            <w:vAlign w:val="center"/>
          </w:tcPr>
          <w:p w14:paraId="4906F888" w14:textId="77777777" w:rsidR="000C044A" w:rsidRPr="00750D25" w:rsidRDefault="000C044A" w:rsidP="004914CD">
            <w:pPr>
              <w:contextualSpacing/>
              <w:rPr>
                <w:rFonts w:ascii="Verdana" w:hAnsi="Verdana" w:cs="Arial"/>
                <w:sz w:val="16"/>
                <w:szCs w:val="16"/>
                <w:lang w:val="es-ES" w:eastAsia="es-ES"/>
              </w:rPr>
            </w:pPr>
            <w:r w:rsidRPr="00750D2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B794529" w14:textId="77777777" w:rsidR="000C044A" w:rsidRPr="00750D25" w:rsidRDefault="000C044A" w:rsidP="004914CD">
            <w:pPr>
              <w:contextualSpacing/>
              <w:rPr>
                <w:rFonts w:ascii="Verdana" w:eastAsia="Calibri" w:hAnsi="Verdana" w:cs="Arial"/>
                <w:sz w:val="16"/>
                <w:szCs w:val="16"/>
                <w:lang w:val="pt-BR" w:eastAsia="es-ES"/>
              </w:rPr>
            </w:pPr>
            <w:r w:rsidRPr="00750D25">
              <w:rPr>
                <w:rFonts w:ascii="Verdana" w:eastAsia="Calibri" w:hAnsi="Verdana" w:cs="Arial"/>
                <w:sz w:val="16"/>
                <w:szCs w:val="16"/>
                <w:lang w:val="pt-BR" w:eastAsia="es-ES"/>
              </w:rPr>
              <w:t xml:space="preserve">William Javier Murcia </w:t>
            </w:r>
            <w:proofErr w:type="spellStart"/>
            <w:r w:rsidRPr="00750D25">
              <w:rPr>
                <w:rFonts w:ascii="Verdana" w:eastAsia="Calibri" w:hAnsi="Verdana" w:cs="Arial"/>
                <w:sz w:val="16"/>
                <w:szCs w:val="16"/>
                <w:lang w:val="pt-BR" w:eastAsia="es-ES"/>
              </w:rPr>
              <w:t>Acevedo</w:t>
            </w:r>
            <w:proofErr w:type="spellEnd"/>
          </w:p>
          <w:p w14:paraId="665F01DF" w14:textId="77777777" w:rsidR="000C044A" w:rsidRPr="00750D25" w:rsidRDefault="000C044A" w:rsidP="004914CD">
            <w:pPr>
              <w:contextualSpacing/>
              <w:rPr>
                <w:rFonts w:ascii="Verdana" w:eastAsia="Calibri" w:hAnsi="Verdana" w:cs="Arial"/>
                <w:sz w:val="16"/>
                <w:szCs w:val="16"/>
                <w:lang w:val="pt-BR" w:eastAsia="es-ES"/>
              </w:rPr>
            </w:pPr>
            <w:r w:rsidRPr="00750D25">
              <w:rPr>
                <w:rFonts w:ascii="Verdana" w:eastAsia="Calibri" w:hAnsi="Verdana" w:cs="Arial"/>
                <w:sz w:val="16"/>
                <w:szCs w:val="16"/>
                <w:lang w:eastAsia="es-ES"/>
              </w:rPr>
              <w:t>Subdirector</w:t>
            </w:r>
            <w:r w:rsidRPr="00750D25">
              <w:rPr>
                <w:rFonts w:ascii="Verdana" w:eastAsia="Calibri" w:hAnsi="Verdana" w:cs="Arial"/>
                <w:sz w:val="16"/>
                <w:szCs w:val="16"/>
                <w:lang w:val="pt-BR" w:eastAsia="es-ES"/>
              </w:rPr>
              <w:t xml:space="preserve"> de Gestión Contractual ANCP – CCE (E) </w:t>
            </w:r>
          </w:p>
        </w:tc>
      </w:tr>
    </w:tbl>
    <w:p w14:paraId="69BC4D14" w14:textId="15FED4C4" w:rsidR="00C15139" w:rsidRPr="00750D25" w:rsidRDefault="00C15139" w:rsidP="30821638">
      <w:pPr>
        <w:spacing w:after="0" w:line="240" w:lineRule="auto"/>
        <w:textAlignment w:val="baseline"/>
        <w:rPr>
          <w:rFonts w:ascii="Verdana" w:eastAsia="Verdana" w:hAnsi="Verdana" w:cs="Verdana"/>
          <w:lang w:eastAsia="es-CO"/>
        </w:rPr>
      </w:pPr>
      <w:r w:rsidRPr="00750D25">
        <w:rPr>
          <w:rFonts w:ascii="Verdana" w:eastAsia="Verdana" w:hAnsi="Verdana" w:cs="Verdana"/>
          <w:lang w:eastAsia="es-CO"/>
        </w:rPr>
        <w:t> </w:t>
      </w:r>
      <w:bookmarkEnd w:id="0"/>
    </w:p>
    <w:sectPr w:rsidR="00C15139" w:rsidRPr="00750D25"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EF699" w14:textId="77777777" w:rsidR="00DD7254" w:rsidRDefault="00DD7254" w:rsidP="004A1847">
      <w:pPr>
        <w:spacing w:after="0" w:line="240" w:lineRule="auto"/>
      </w:pPr>
      <w:r>
        <w:separator/>
      </w:r>
    </w:p>
  </w:endnote>
  <w:endnote w:type="continuationSeparator" w:id="0">
    <w:p w14:paraId="281C87BF" w14:textId="77777777" w:rsidR="00DD7254" w:rsidRDefault="00DD725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EB88E" w14:textId="77777777" w:rsidR="00DD7254" w:rsidRDefault="00DD7254" w:rsidP="004A1847">
      <w:pPr>
        <w:spacing w:after="0" w:line="240" w:lineRule="auto"/>
      </w:pPr>
      <w:r>
        <w:separator/>
      </w:r>
    </w:p>
  </w:footnote>
  <w:footnote w:type="continuationSeparator" w:id="0">
    <w:p w14:paraId="2F594F99" w14:textId="77777777" w:rsidR="00DD7254" w:rsidRDefault="00DD7254" w:rsidP="004A1847">
      <w:pPr>
        <w:spacing w:after="0" w:line="240" w:lineRule="auto"/>
      </w:pPr>
      <w:r>
        <w:continuationSeparator/>
      </w:r>
    </w:p>
  </w:footnote>
  <w:footnote w:id="1">
    <w:p w14:paraId="468ED905" w14:textId="77777777" w:rsidR="00060D8B" w:rsidRPr="00850DED" w:rsidRDefault="00060D8B" w:rsidP="00060D8B">
      <w:pPr>
        <w:pStyle w:val="Textonotapie"/>
        <w:ind w:firstLine="708"/>
        <w:jc w:val="both"/>
        <w:rPr>
          <w:rFonts w:ascii="Verdana" w:hAnsi="Verdana" w:cs="Arial"/>
          <w:color w:val="000000" w:themeColor="text1"/>
          <w:sz w:val="16"/>
          <w:szCs w:val="16"/>
        </w:rPr>
      </w:pPr>
      <w:r w:rsidRPr="00850DED">
        <w:rPr>
          <w:rStyle w:val="Refdenotaalpie"/>
          <w:rFonts w:ascii="Verdana" w:hAnsi="Verdana" w:cs="Arial"/>
          <w:color w:val="000000" w:themeColor="text1"/>
          <w:sz w:val="16"/>
          <w:szCs w:val="16"/>
        </w:rPr>
        <w:footnoteRef/>
      </w:r>
      <w:r w:rsidRPr="00850DED">
        <w:rPr>
          <w:rFonts w:ascii="Verdana" w:hAnsi="Verdana" w:cs="Arial"/>
          <w:color w:val="000000" w:themeColor="text1"/>
          <w:sz w:val="16"/>
          <w:szCs w:val="16"/>
        </w:rPr>
        <w:t xml:space="preserve"> CONSEJO DE ESTADO. Sección Tercera, Subsección A. Sentencia del 13 de noviembre de 2013. Rad. 25.646.C.P. Mauricio Fajardo Gómez. </w:t>
      </w:r>
    </w:p>
  </w:footnote>
  <w:footnote w:id="2">
    <w:p w14:paraId="358367B7" w14:textId="77777777" w:rsidR="00060D8B" w:rsidRPr="00850DED" w:rsidRDefault="00060D8B" w:rsidP="00060D8B">
      <w:pPr>
        <w:pStyle w:val="Textonotapie"/>
        <w:ind w:firstLine="708"/>
        <w:jc w:val="both"/>
        <w:rPr>
          <w:rFonts w:ascii="Verdana" w:hAnsi="Verdana"/>
          <w:sz w:val="16"/>
          <w:szCs w:val="16"/>
        </w:rPr>
      </w:pPr>
      <w:r w:rsidRPr="00850DED">
        <w:rPr>
          <w:rStyle w:val="Refdenotaalpie"/>
          <w:rFonts w:ascii="Verdana" w:hAnsi="Verdana"/>
          <w:sz w:val="16"/>
          <w:szCs w:val="16"/>
        </w:rPr>
        <w:footnoteRef/>
      </w:r>
      <w:r w:rsidRPr="00850DED">
        <w:rPr>
          <w:rFonts w:ascii="Verdana" w:hAnsi="Verdana"/>
          <w:sz w:val="16"/>
          <w:szCs w:val="16"/>
        </w:rPr>
        <w:t xml:space="preserve"> Por ejemplo,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 (Cfr. CORTE CONSTITUCIONAL. Sentencia T-1039 de 2006. M.P. Humberto Sierra Porto. La Corte Constitucional ha mantenido este criterio en las sentencias: C-903 de 2008. M.P. Jaime Araujo Rentería; C-101 de 2018. M.P. Gloria Stella Ortiz Delgado; entre otras). </w:t>
      </w:r>
    </w:p>
    <w:p w14:paraId="0D2EA8EE" w14:textId="77777777" w:rsidR="00060D8B" w:rsidRPr="00850DED" w:rsidRDefault="00060D8B" w:rsidP="00060D8B">
      <w:pPr>
        <w:pStyle w:val="Textonotapie"/>
        <w:ind w:firstLine="708"/>
        <w:jc w:val="both"/>
        <w:rPr>
          <w:rFonts w:ascii="Verdana" w:hAnsi="Verdana"/>
          <w:sz w:val="16"/>
          <w:szCs w:val="16"/>
          <w:lang w:val="es-CO"/>
        </w:rPr>
      </w:pPr>
      <w:r w:rsidRPr="00850DED">
        <w:rPr>
          <w:rFonts w:ascii="Verdana" w:hAnsi="Verdana"/>
          <w:sz w:val="16"/>
          <w:szCs w:val="16"/>
        </w:rPr>
        <w:t xml:space="preserve">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 (Cfr. CONSEJO DE ESTADO. Sala de Consulta y Servicio Civil. Concepto del 30 de abril de 2015. </w:t>
      </w:r>
      <w:proofErr w:type="spellStart"/>
      <w:r w:rsidRPr="00850DED">
        <w:rPr>
          <w:rFonts w:ascii="Verdana" w:hAnsi="Verdana"/>
          <w:sz w:val="16"/>
          <w:szCs w:val="16"/>
        </w:rPr>
        <w:t>Exp</w:t>
      </w:r>
      <w:proofErr w:type="spellEnd"/>
      <w:r w:rsidRPr="00850DED">
        <w:rPr>
          <w:rFonts w:ascii="Verdana" w:hAnsi="Verdana"/>
          <w:sz w:val="16"/>
          <w:szCs w:val="16"/>
        </w:rPr>
        <w:t xml:space="preserve">. 2251. C.P. Álvaro Namén Vargas. En un sentido similar, Sección Tercera. Subsección A. Sentencia del 24 de junio de 2015. </w:t>
      </w:r>
      <w:proofErr w:type="spellStart"/>
      <w:r w:rsidRPr="00850DED">
        <w:rPr>
          <w:rFonts w:ascii="Verdana" w:hAnsi="Verdana"/>
          <w:sz w:val="16"/>
          <w:szCs w:val="16"/>
        </w:rPr>
        <w:t>Exp</w:t>
      </w:r>
      <w:proofErr w:type="spellEnd"/>
      <w:r w:rsidRPr="00850DED">
        <w:rPr>
          <w:rFonts w:ascii="Verdana" w:hAnsi="Verdana"/>
          <w:sz w:val="16"/>
          <w:szCs w:val="16"/>
        </w:rPr>
        <w:t>. 40.635. C.P. Hernán Andrade Rincón (E) y Sección Tercera. Subsección C. Sentencia del 22 de mayo de 2013. Rad. 24.057. C.P. Olga Mélida Valle De De La Hoz).</w:t>
      </w:r>
    </w:p>
  </w:footnote>
  <w:footnote w:id="3">
    <w:p w14:paraId="521376F2" w14:textId="77777777" w:rsidR="00060D8B" w:rsidRPr="00850DED" w:rsidRDefault="00060D8B" w:rsidP="00060D8B">
      <w:pPr>
        <w:pStyle w:val="Textonotapie"/>
        <w:ind w:firstLine="708"/>
        <w:jc w:val="both"/>
        <w:rPr>
          <w:rFonts w:ascii="Verdana" w:hAnsi="Verdana" w:cs="Arial"/>
          <w:sz w:val="16"/>
          <w:szCs w:val="16"/>
        </w:rPr>
      </w:pPr>
      <w:r w:rsidRPr="00850DED">
        <w:rPr>
          <w:rStyle w:val="Refdenotaalpie"/>
          <w:rFonts w:ascii="Verdana" w:hAnsi="Verdana" w:cs="Arial"/>
          <w:sz w:val="16"/>
          <w:szCs w:val="16"/>
        </w:rPr>
        <w:footnoteRef/>
      </w:r>
      <w:r w:rsidRPr="00850DED">
        <w:rPr>
          <w:rFonts w:ascii="Verdana" w:hAnsi="Verdana" w:cs="Arial"/>
          <w:sz w:val="16"/>
          <w:szCs w:val="16"/>
        </w:rPr>
        <w:t xml:space="preserve"> Al respecto, “Se ha considerado […] que, respecto de la colectividad, la personificación no es un hecho natural, porque la colectividad no puede existir como persona </w:t>
      </w:r>
      <w:r w:rsidRPr="00850DED">
        <w:rPr>
          <w:rFonts w:ascii="Verdana" w:hAnsi="Verdana" w:cs="Arial"/>
          <w:i/>
          <w:iCs/>
          <w:sz w:val="16"/>
          <w:szCs w:val="16"/>
        </w:rPr>
        <w:t>jure propio</w:t>
      </w:r>
      <w:r w:rsidRPr="00850DED">
        <w:rPr>
          <w:rFonts w:ascii="Verdana" w:hAnsi="Verdana" w:cs="Arial"/>
          <w:sz w:val="16"/>
          <w:szCs w:val="16"/>
        </w:rPr>
        <w:t xml:space="preserve">; se ha querido, por tanto, investigar cómo puede ser sujeto de derechos un ente que no tiene existencia real y electiva, y se ha pensado que, además de los entes reales y efectivos, que son personas </w:t>
      </w:r>
      <w:r w:rsidRPr="00850DED">
        <w:rPr>
          <w:rFonts w:ascii="Verdana" w:hAnsi="Verdana" w:cs="Arial"/>
          <w:i/>
          <w:iCs/>
          <w:sz w:val="16"/>
          <w:szCs w:val="16"/>
        </w:rPr>
        <w:t>jure propio</w:t>
      </w:r>
      <w:r w:rsidRPr="00850DED">
        <w:rPr>
          <w:rFonts w:ascii="Verdana" w:hAnsi="Verdana" w:cs="Arial"/>
          <w:sz w:val="16"/>
          <w:szCs w:val="16"/>
        </w:rPr>
        <w:t>, pueden existir entes incorpóreos, entes morales, entes intelectuales, los cuales, aunque no tengan una existencia real, pueden, no obstante, ser reputados existentes como personas en consideración a los fines para que han sido constituidos y por los cuales se les ha atribuido la facultad de tener patrimonio, de contraer obligaciones y de ejercitar derechos patrimoniales” (FIORE, Pasquale. La personalidad jurídica de los entes morales y del estado en el interior y en el extranjero. Santiago: Ediciones Olejnik, 2020. p. 10).</w:t>
      </w:r>
    </w:p>
  </w:footnote>
  <w:footnote w:id="4">
    <w:p w14:paraId="4FC6FC80" w14:textId="77777777" w:rsidR="00060D8B" w:rsidRPr="00850DED" w:rsidRDefault="00060D8B" w:rsidP="00060D8B">
      <w:pPr>
        <w:pStyle w:val="Textonotapie"/>
        <w:ind w:firstLine="708"/>
        <w:jc w:val="both"/>
        <w:rPr>
          <w:rFonts w:ascii="Verdana" w:hAnsi="Verdana" w:cs="Arial"/>
          <w:sz w:val="16"/>
          <w:szCs w:val="16"/>
        </w:rPr>
      </w:pPr>
      <w:r w:rsidRPr="00850DED">
        <w:rPr>
          <w:rStyle w:val="Refdenotaalpie"/>
          <w:rFonts w:ascii="Verdana" w:hAnsi="Verdana" w:cs="Arial"/>
          <w:sz w:val="16"/>
          <w:szCs w:val="16"/>
        </w:rPr>
        <w:footnoteRef/>
      </w:r>
      <w:r w:rsidRPr="00850DED">
        <w:rPr>
          <w:rFonts w:ascii="Verdana" w:hAnsi="Verdana" w:cs="Arial"/>
          <w:sz w:val="16"/>
          <w:szCs w:val="16"/>
        </w:rPr>
        <w:t xml:space="preserve"> Así, “[…] podemos advertir que el concepto de persona jurídica está directamente ligado a la capacidad, y por la vía de la capacidad, llegaremos a un concepto afín, el de la separación patrimonial entre la persona jurídica y sus miembros. </w:t>
      </w:r>
    </w:p>
    <w:p w14:paraId="1FD1AB7F" w14:textId="77777777" w:rsidR="00060D8B" w:rsidRPr="00850DED" w:rsidRDefault="00060D8B" w:rsidP="00060D8B">
      <w:pPr>
        <w:pStyle w:val="Textonotapie"/>
        <w:ind w:firstLine="708"/>
        <w:jc w:val="both"/>
        <w:rPr>
          <w:rFonts w:ascii="Verdana" w:hAnsi="Verdana" w:cs="Arial"/>
          <w:sz w:val="16"/>
          <w:szCs w:val="16"/>
        </w:rPr>
      </w:pPr>
      <w:r w:rsidRPr="00850DED">
        <w:rPr>
          <w:rFonts w:ascii="Verdana" w:hAnsi="Verdana" w:cs="Arial"/>
          <w:sz w:val="16"/>
          <w:szCs w:val="16"/>
        </w:rPr>
        <w:t xml:space="preserve">En este sentido, al ser una persona jurídica un ente con aptitud para adquirir derechos y contraer obligaciones, es titular de un patrimonio propio, enteramente separado del de sus miembros, y es precisamente con este patrimonio con el que la persona jurídica va a responder por las obligaciones asumidas por quienes la representan (en ejercicio de tal representación). Paralelamente, todos los bienes que se adquieren por el ente se incorporan al patrimonio de la persona jurídica” (Cfr. CALCATERRA, Gabriela &amp; ADAD, Lisandro. Personas jurídicas. Buenos Aires: Astrea, 2019. p. 2).   </w:t>
      </w:r>
    </w:p>
  </w:footnote>
  <w:footnote w:id="5">
    <w:p w14:paraId="49ACD751" w14:textId="77777777" w:rsidR="00060D8B" w:rsidRPr="00850DED" w:rsidRDefault="00060D8B" w:rsidP="00060D8B">
      <w:pPr>
        <w:pStyle w:val="Textonotapie"/>
        <w:ind w:firstLine="708"/>
        <w:jc w:val="both"/>
        <w:rPr>
          <w:rFonts w:ascii="Verdana" w:hAnsi="Verdana" w:cs="Arial"/>
          <w:sz w:val="16"/>
          <w:szCs w:val="16"/>
        </w:rPr>
      </w:pPr>
      <w:r w:rsidRPr="00850DED">
        <w:rPr>
          <w:rStyle w:val="Refdenotaalpie"/>
          <w:rFonts w:ascii="Verdana" w:hAnsi="Verdana" w:cs="Arial"/>
          <w:sz w:val="16"/>
          <w:szCs w:val="16"/>
        </w:rPr>
        <w:footnoteRef/>
      </w:r>
      <w:r w:rsidRPr="00850DED">
        <w:rPr>
          <w:rFonts w:ascii="Verdana" w:hAnsi="Verdana" w:cs="Arial"/>
          <w:sz w:val="16"/>
          <w:szCs w:val="16"/>
        </w:rPr>
        <w:t xml:space="preserve"> CLARO SOLAR, Luis. Explicaciones de derecho civil chileno y comparado. Volumen II. Tomo V. Santiago: Editorial Jurídica de Chile, 2013. p. 353.</w:t>
      </w:r>
    </w:p>
  </w:footnote>
  <w:footnote w:id="6">
    <w:p w14:paraId="06CD1067" w14:textId="77777777" w:rsidR="00060D8B" w:rsidRPr="00850DED" w:rsidRDefault="00060D8B" w:rsidP="00060D8B">
      <w:pPr>
        <w:pStyle w:val="Textonotapie"/>
        <w:ind w:firstLine="709"/>
        <w:jc w:val="both"/>
        <w:rPr>
          <w:rFonts w:ascii="Verdana" w:hAnsi="Verdana"/>
          <w:sz w:val="16"/>
          <w:szCs w:val="16"/>
        </w:rPr>
      </w:pPr>
      <w:r w:rsidRPr="00850DED">
        <w:rPr>
          <w:rStyle w:val="Refdenotaalpie"/>
          <w:rFonts w:ascii="Verdana" w:hAnsi="Verdana"/>
          <w:sz w:val="16"/>
          <w:szCs w:val="16"/>
        </w:rPr>
        <w:footnoteRef/>
      </w:r>
      <w:r w:rsidRPr="00850DED">
        <w:rPr>
          <w:rFonts w:ascii="Verdana" w:hAnsi="Verdana"/>
          <w:sz w:val="16"/>
          <w:szCs w:val="16"/>
        </w:rPr>
        <w:t xml:space="preserve"> Artículo 18. De Las Inhabilidades Para Contratar. “Adiciónese un literal j) al numeral 1 y un inciso al parágrafo 1o, del artículo 8o de la Ley 80 de 1993, así: […] </w:t>
      </w:r>
      <w:r w:rsidRPr="00850DED">
        <w:rPr>
          <w:rFonts w:ascii="Verdana" w:hAnsi="Verdana"/>
          <w:sz w:val="16"/>
          <w:szCs w:val="16"/>
          <w:lang w:val="es-CO"/>
        </w:rPr>
        <w:t>j) Las personas naturales que hayan sido declaradas responsables judicialmente por la comisión de delitos de peculado, concusión, cohecho, prevaricato en todas sus modalidades y soborno transnacional, así como sus equivalentes en otras jurisdicciones. Esta inhabilidad se extenderá a las sociedades de que sean socias tales personas, con excepción de las sociedades anónimas abiertas”.</w:t>
      </w:r>
    </w:p>
  </w:footnote>
  <w:footnote w:id="7">
    <w:p w14:paraId="03FAE7F5" w14:textId="77777777" w:rsidR="00060D8B" w:rsidRPr="00850DED" w:rsidRDefault="00060D8B" w:rsidP="00060D8B">
      <w:pPr>
        <w:pStyle w:val="Textonotapie"/>
        <w:ind w:firstLine="709"/>
        <w:jc w:val="both"/>
        <w:rPr>
          <w:rFonts w:ascii="Verdana" w:hAnsi="Verdana"/>
          <w:sz w:val="16"/>
          <w:szCs w:val="16"/>
          <w:lang w:val="es-CO"/>
        </w:rPr>
      </w:pPr>
      <w:r w:rsidRPr="00850DED">
        <w:rPr>
          <w:rStyle w:val="Refdenotaalpie"/>
          <w:rFonts w:ascii="Verdana" w:hAnsi="Verdana"/>
          <w:sz w:val="16"/>
          <w:szCs w:val="16"/>
        </w:rPr>
        <w:footnoteRef/>
      </w:r>
      <w:r w:rsidRPr="00850DED">
        <w:rPr>
          <w:rFonts w:ascii="Verdana" w:hAnsi="Verdana"/>
          <w:sz w:val="16"/>
          <w:szCs w:val="16"/>
        </w:rPr>
        <w:t xml:space="preserve"> </w:t>
      </w:r>
      <w:r w:rsidRPr="00850DED">
        <w:rPr>
          <w:rFonts w:ascii="Verdana" w:hAnsi="Verdana" w:cs="Arial"/>
          <w:color w:val="000000" w:themeColor="text1"/>
          <w:sz w:val="16"/>
          <w:szCs w:val="16"/>
        </w:rPr>
        <w:t>Consejo de Estado. Sala de Consulta y Servicio Civil. Concepto del 10 de agosto de 2015. Exp. 2260. Consejero Ponente: Alvaro Namén Vargas</w:t>
      </w:r>
    </w:p>
  </w:footnote>
  <w:footnote w:id="8">
    <w:p w14:paraId="22FA26DF" w14:textId="002C7262" w:rsidR="006B5E06" w:rsidRPr="001A6E82" w:rsidRDefault="006B5E06" w:rsidP="001A6E82">
      <w:pPr>
        <w:pStyle w:val="Textonotapie"/>
        <w:ind w:firstLine="708"/>
        <w:jc w:val="both"/>
        <w:rPr>
          <w:rFonts w:ascii="Verdana" w:hAnsi="Verdana"/>
          <w:sz w:val="16"/>
          <w:szCs w:val="16"/>
          <w:lang w:val="es-ES"/>
        </w:rPr>
      </w:pPr>
      <w:r w:rsidRPr="001A6E82">
        <w:rPr>
          <w:rStyle w:val="Refdenotaalpie"/>
          <w:rFonts w:ascii="Verdana" w:hAnsi="Verdana"/>
          <w:sz w:val="16"/>
          <w:szCs w:val="16"/>
        </w:rPr>
        <w:footnoteRef/>
      </w:r>
      <w:r w:rsidRPr="001A6E82">
        <w:rPr>
          <w:rFonts w:ascii="Verdana" w:hAnsi="Verdana"/>
          <w:sz w:val="16"/>
          <w:szCs w:val="16"/>
        </w:rPr>
        <w:t xml:space="preserve"> </w:t>
      </w:r>
      <w:r w:rsidR="001A6E82" w:rsidRPr="001A6E82">
        <w:rPr>
          <w:rFonts w:ascii="Verdana" w:hAnsi="Verdana"/>
          <w:sz w:val="16"/>
          <w:szCs w:val="16"/>
        </w:rPr>
        <w:t>Agencia Nacional de Contratación Pública – Colombia Compra Eficiente. Guía para la Gestión Contractual de Entidades Estatales con Régimen Especial, numeral 4.3. Publicada el 30 de septiembre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44075"/>
    <w:multiLevelType w:val="hybridMultilevel"/>
    <w:tmpl w:val="8440F34C"/>
    <w:lvl w:ilvl="0" w:tplc="40685C34">
      <w:start w:val="4"/>
      <w:numFmt w:val="decimal"/>
      <w:lvlText w:val="%1."/>
      <w:lvlJc w:val="left"/>
      <w:pPr>
        <w:ind w:left="502" w:hanging="360"/>
      </w:pPr>
      <w:rPr>
        <w:rFonts w:hint="default"/>
        <w:lang w:val="es-CO"/>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56381677">
    <w:abstractNumId w:val="0"/>
  </w:num>
  <w:num w:numId="17" w16cid:durableId="725688978">
    <w:abstractNumId w:val="9"/>
  </w:num>
  <w:num w:numId="18" w16cid:durableId="11655582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177B6"/>
    <w:rsid w:val="00046945"/>
    <w:rsid w:val="00060D8B"/>
    <w:rsid w:val="00061B2A"/>
    <w:rsid w:val="00082362"/>
    <w:rsid w:val="00082384"/>
    <w:rsid w:val="00091DFE"/>
    <w:rsid w:val="000A6629"/>
    <w:rsid w:val="000A683E"/>
    <w:rsid w:val="000B19B9"/>
    <w:rsid w:val="000C044A"/>
    <w:rsid w:val="000D0334"/>
    <w:rsid w:val="000D5DA7"/>
    <w:rsid w:val="000E09F7"/>
    <w:rsid w:val="000E58D9"/>
    <w:rsid w:val="000E7073"/>
    <w:rsid w:val="000F6486"/>
    <w:rsid w:val="000F6F20"/>
    <w:rsid w:val="00116940"/>
    <w:rsid w:val="00125105"/>
    <w:rsid w:val="00127143"/>
    <w:rsid w:val="00127233"/>
    <w:rsid w:val="0015699B"/>
    <w:rsid w:val="00170E9E"/>
    <w:rsid w:val="00172015"/>
    <w:rsid w:val="001A2913"/>
    <w:rsid w:val="001A33BF"/>
    <w:rsid w:val="001A6E82"/>
    <w:rsid w:val="001C130F"/>
    <w:rsid w:val="001E4177"/>
    <w:rsid w:val="001F0B24"/>
    <w:rsid w:val="001F7DC6"/>
    <w:rsid w:val="00203F24"/>
    <w:rsid w:val="00210391"/>
    <w:rsid w:val="002116B7"/>
    <w:rsid w:val="002177CF"/>
    <w:rsid w:val="0022400B"/>
    <w:rsid w:val="00232F4C"/>
    <w:rsid w:val="002421BB"/>
    <w:rsid w:val="0025392B"/>
    <w:rsid w:val="0025796E"/>
    <w:rsid w:val="002707A2"/>
    <w:rsid w:val="0028309F"/>
    <w:rsid w:val="002951A0"/>
    <w:rsid w:val="002962BC"/>
    <w:rsid w:val="002A093D"/>
    <w:rsid w:val="002A0DD0"/>
    <w:rsid w:val="002A49AC"/>
    <w:rsid w:val="002A64FD"/>
    <w:rsid w:val="002C488D"/>
    <w:rsid w:val="002C7A84"/>
    <w:rsid w:val="002D0C41"/>
    <w:rsid w:val="002D2DD9"/>
    <w:rsid w:val="002D7875"/>
    <w:rsid w:val="002E2BF8"/>
    <w:rsid w:val="002E3AF6"/>
    <w:rsid w:val="002E4FD9"/>
    <w:rsid w:val="003026E6"/>
    <w:rsid w:val="0030657A"/>
    <w:rsid w:val="00322A85"/>
    <w:rsid w:val="00324168"/>
    <w:rsid w:val="00330834"/>
    <w:rsid w:val="00331317"/>
    <w:rsid w:val="003448F4"/>
    <w:rsid w:val="00353A1D"/>
    <w:rsid w:val="00374F5E"/>
    <w:rsid w:val="00377E3E"/>
    <w:rsid w:val="00393352"/>
    <w:rsid w:val="00395F24"/>
    <w:rsid w:val="003A779E"/>
    <w:rsid w:val="003B31D2"/>
    <w:rsid w:val="003D0F4D"/>
    <w:rsid w:val="003D12B7"/>
    <w:rsid w:val="003D5B0D"/>
    <w:rsid w:val="003E0499"/>
    <w:rsid w:val="003E4F80"/>
    <w:rsid w:val="003E6439"/>
    <w:rsid w:val="003F3941"/>
    <w:rsid w:val="003F6B0D"/>
    <w:rsid w:val="00406575"/>
    <w:rsid w:val="00414C74"/>
    <w:rsid w:val="004156EE"/>
    <w:rsid w:val="0042722E"/>
    <w:rsid w:val="0044528D"/>
    <w:rsid w:val="00456A4C"/>
    <w:rsid w:val="00457662"/>
    <w:rsid w:val="00466E39"/>
    <w:rsid w:val="00474533"/>
    <w:rsid w:val="004A1847"/>
    <w:rsid w:val="004A305D"/>
    <w:rsid w:val="004E6361"/>
    <w:rsid w:val="004F21C4"/>
    <w:rsid w:val="004F685F"/>
    <w:rsid w:val="00504E04"/>
    <w:rsid w:val="00542CDE"/>
    <w:rsid w:val="00554FA5"/>
    <w:rsid w:val="005566E8"/>
    <w:rsid w:val="00574867"/>
    <w:rsid w:val="00585EC9"/>
    <w:rsid w:val="00590286"/>
    <w:rsid w:val="00591460"/>
    <w:rsid w:val="005A65E0"/>
    <w:rsid w:val="005C3777"/>
    <w:rsid w:val="005C5CDC"/>
    <w:rsid w:val="005D476C"/>
    <w:rsid w:val="005E0980"/>
    <w:rsid w:val="006200BF"/>
    <w:rsid w:val="006219F8"/>
    <w:rsid w:val="006302F7"/>
    <w:rsid w:val="006443C9"/>
    <w:rsid w:val="00646B9F"/>
    <w:rsid w:val="006511D4"/>
    <w:rsid w:val="006549DA"/>
    <w:rsid w:val="00665D70"/>
    <w:rsid w:val="006816F8"/>
    <w:rsid w:val="006900D9"/>
    <w:rsid w:val="00693C51"/>
    <w:rsid w:val="006A0E68"/>
    <w:rsid w:val="006B5E06"/>
    <w:rsid w:val="006C260F"/>
    <w:rsid w:val="006E0B54"/>
    <w:rsid w:val="006E422E"/>
    <w:rsid w:val="006F374C"/>
    <w:rsid w:val="00701270"/>
    <w:rsid w:val="00706C16"/>
    <w:rsid w:val="00713910"/>
    <w:rsid w:val="007340C3"/>
    <w:rsid w:val="00746601"/>
    <w:rsid w:val="00750D25"/>
    <w:rsid w:val="0075235A"/>
    <w:rsid w:val="00756841"/>
    <w:rsid w:val="007649AB"/>
    <w:rsid w:val="00771D0C"/>
    <w:rsid w:val="007824FA"/>
    <w:rsid w:val="007833AC"/>
    <w:rsid w:val="00785CC5"/>
    <w:rsid w:val="007A110E"/>
    <w:rsid w:val="007B268C"/>
    <w:rsid w:val="007B7171"/>
    <w:rsid w:val="007B7A62"/>
    <w:rsid w:val="007C0C0F"/>
    <w:rsid w:val="007C3DC2"/>
    <w:rsid w:val="007C6C33"/>
    <w:rsid w:val="007D60D4"/>
    <w:rsid w:val="007E5497"/>
    <w:rsid w:val="00806F5F"/>
    <w:rsid w:val="00820278"/>
    <w:rsid w:val="008258C9"/>
    <w:rsid w:val="00844AE9"/>
    <w:rsid w:val="00846F4B"/>
    <w:rsid w:val="00867F95"/>
    <w:rsid w:val="008843B6"/>
    <w:rsid w:val="00891928"/>
    <w:rsid w:val="00893358"/>
    <w:rsid w:val="008A446D"/>
    <w:rsid w:val="008B25F1"/>
    <w:rsid w:val="008B45CF"/>
    <w:rsid w:val="008D13E2"/>
    <w:rsid w:val="008D180B"/>
    <w:rsid w:val="008F0EA7"/>
    <w:rsid w:val="00902ED1"/>
    <w:rsid w:val="00923EEF"/>
    <w:rsid w:val="009240B0"/>
    <w:rsid w:val="009419F9"/>
    <w:rsid w:val="00945558"/>
    <w:rsid w:val="0095685E"/>
    <w:rsid w:val="00961B09"/>
    <w:rsid w:val="00965334"/>
    <w:rsid w:val="0097093E"/>
    <w:rsid w:val="00995846"/>
    <w:rsid w:val="009A0DFA"/>
    <w:rsid w:val="009A1C6F"/>
    <w:rsid w:val="009B2D26"/>
    <w:rsid w:val="009C71FA"/>
    <w:rsid w:val="009C72E7"/>
    <w:rsid w:val="009C7F7E"/>
    <w:rsid w:val="009D3058"/>
    <w:rsid w:val="009F3A13"/>
    <w:rsid w:val="00A122D3"/>
    <w:rsid w:val="00A14468"/>
    <w:rsid w:val="00A17F13"/>
    <w:rsid w:val="00A20739"/>
    <w:rsid w:val="00A23AF9"/>
    <w:rsid w:val="00A27E4C"/>
    <w:rsid w:val="00A300DC"/>
    <w:rsid w:val="00A304C8"/>
    <w:rsid w:val="00A33C78"/>
    <w:rsid w:val="00A45E54"/>
    <w:rsid w:val="00A71697"/>
    <w:rsid w:val="00A72CCB"/>
    <w:rsid w:val="00AB0ADB"/>
    <w:rsid w:val="00AC1C58"/>
    <w:rsid w:val="00AD3E57"/>
    <w:rsid w:val="00AD58CF"/>
    <w:rsid w:val="00AF4CD3"/>
    <w:rsid w:val="00AF6FA6"/>
    <w:rsid w:val="00B00C0E"/>
    <w:rsid w:val="00B00C19"/>
    <w:rsid w:val="00B01B1A"/>
    <w:rsid w:val="00B0381D"/>
    <w:rsid w:val="00B44A47"/>
    <w:rsid w:val="00B72CD3"/>
    <w:rsid w:val="00B72FFF"/>
    <w:rsid w:val="00B800EE"/>
    <w:rsid w:val="00B84716"/>
    <w:rsid w:val="00BB2021"/>
    <w:rsid w:val="00BC3D36"/>
    <w:rsid w:val="00BC6636"/>
    <w:rsid w:val="00BD04FF"/>
    <w:rsid w:val="00BD54A6"/>
    <w:rsid w:val="00BD7F72"/>
    <w:rsid w:val="00BF2FEE"/>
    <w:rsid w:val="00BF7425"/>
    <w:rsid w:val="00C04FB3"/>
    <w:rsid w:val="00C11D8B"/>
    <w:rsid w:val="00C1264C"/>
    <w:rsid w:val="00C15139"/>
    <w:rsid w:val="00C330EB"/>
    <w:rsid w:val="00C50D69"/>
    <w:rsid w:val="00C5365C"/>
    <w:rsid w:val="00C637F0"/>
    <w:rsid w:val="00C754BE"/>
    <w:rsid w:val="00C76B1C"/>
    <w:rsid w:val="00C925AC"/>
    <w:rsid w:val="00CB6357"/>
    <w:rsid w:val="00CC1B26"/>
    <w:rsid w:val="00CE44FD"/>
    <w:rsid w:val="00D361FD"/>
    <w:rsid w:val="00D423A2"/>
    <w:rsid w:val="00D44E26"/>
    <w:rsid w:val="00D520D8"/>
    <w:rsid w:val="00D56906"/>
    <w:rsid w:val="00D63AC2"/>
    <w:rsid w:val="00D7383B"/>
    <w:rsid w:val="00D7788A"/>
    <w:rsid w:val="00D943C1"/>
    <w:rsid w:val="00DA0A78"/>
    <w:rsid w:val="00DA231B"/>
    <w:rsid w:val="00DC39FC"/>
    <w:rsid w:val="00DD1994"/>
    <w:rsid w:val="00DD7254"/>
    <w:rsid w:val="00DF5254"/>
    <w:rsid w:val="00DF6026"/>
    <w:rsid w:val="00E00FCA"/>
    <w:rsid w:val="00E014EA"/>
    <w:rsid w:val="00E02524"/>
    <w:rsid w:val="00E16408"/>
    <w:rsid w:val="00E20894"/>
    <w:rsid w:val="00E20F2B"/>
    <w:rsid w:val="00E245AB"/>
    <w:rsid w:val="00E2764C"/>
    <w:rsid w:val="00E27F2E"/>
    <w:rsid w:val="00E40264"/>
    <w:rsid w:val="00E50AFE"/>
    <w:rsid w:val="00E51681"/>
    <w:rsid w:val="00E540F3"/>
    <w:rsid w:val="00E75C92"/>
    <w:rsid w:val="00E771DC"/>
    <w:rsid w:val="00E8772A"/>
    <w:rsid w:val="00E9095B"/>
    <w:rsid w:val="00E90F6B"/>
    <w:rsid w:val="00E92C27"/>
    <w:rsid w:val="00E94338"/>
    <w:rsid w:val="00E958DA"/>
    <w:rsid w:val="00EA0E3D"/>
    <w:rsid w:val="00EC38A7"/>
    <w:rsid w:val="00EC4DDC"/>
    <w:rsid w:val="00EE1AA8"/>
    <w:rsid w:val="00F15708"/>
    <w:rsid w:val="00F23FEA"/>
    <w:rsid w:val="00F31EDC"/>
    <w:rsid w:val="00F42E87"/>
    <w:rsid w:val="00F462B3"/>
    <w:rsid w:val="00F5664F"/>
    <w:rsid w:val="00F666C4"/>
    <w:rsid w:val="00F76AFC"/>
    <w:rsid w:val="00F95668"/>
    <w:rsid w:val="00FA47C0"/>
    <w:rsid w:val="00FA55C1"/>
    <w:rsid w:val="00FB5DD1"/>
    <w:rsid w:val="00FC0F67"/>
    <w:rsid w:val="00FC19A9"/>
    <w:rsid w:val="00FC2B5D"/>
    <w:rsid w:val="00FD4621"/>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637F0"/>
    <w:rPr>
      <w:rFonts w:ascii="Geomanist Light" w:hAnsi="Geomanist Light"/>
      <w:lang w:val="es-ES"/>
    </w:rPr>
  </w:style>
  <w:style w:type="paragraph" w:customStyle="1" w:styleId="t">
    <w:name w:val="t"/>
    <w:basedOn w:val="Normal"/>
    <w:rsid w:val="00E51681"/>
    <w:pPr>
      <w:spacing w:before="320" w:after="200" w:line="240" w:lineRule="auto"/>
    </w:pPr>
    <w:rPr>
      <w:rFonts w:ascii="Times New Roman" w:eastAsiaTheme="minorEastAsia" w:hAnsi="Times New Roman" w:cs="Times New Roman"/>
      <w:b/>
      <w:bCs/>
      <w:sz w:val="24"/>
      <w:szCs w:val="24"/>
      <w:lang w:eastAsia="es-CO"/>
    </w:rPr>
  </w:style>
  <w:style w:type="paragraph" w:customStyle="1" w:styleId="Appelnotedebasde">
    <w:name w:val="Appel note de bas de..."/>
    <w:basedOn w:val="Normal"/>
    <w:link w:val="Refdenotaalpie"/>
    <w:uiPriority w:val="99"/>
    <w:rsid w:val="00060D8B"/>
    <w:pPr>
      <w:spacing w:line="240" w:lineRule="exact"/>
    </w:pPr>
    <w:rPr>
      <w:vertAlign w:val="superscript"/>
    </w:rPr>
  </w:style>
  <w:style w:type="character" w:customStyle="1" w:styleId="NormalWebCar">
    <w:name w:val="Normal (Web) Car"/>
    <w:link w:val="NormalWeb"/>
    <w:uiPriority w:val="99"/>
    <w:rsid w:val="00060D8B"/>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060D8B"/>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para-la-gestion-contractual-de-entidades-estatales-con-regimen-especial" TargetMode="External"/><Relationship Id="rId18" Type="http://schemas.openxmlformats.org/officeDocument/2006/relationships/hyperlink" Target="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alejoindustrial@yahoo.com" TargetMode="External"/><Relationship Id="rId17" Type="http://schemas.openxmlformats.org/officeDocument/2006/relationships/hyperlink" Target="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20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BC8C19-AF89-46B3-B86C-7EE77F1E28A3}"/>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B0F912-8C53-4187-B1F7-B3C4C9879CBD}">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21</Pages>
  <Words>7524</Words>
  <Characters>41384</Characters>
  <Application>Microsoft Office Word</Application>
  <DocSecurity>0</DocSecurity>
  <Lines>344</Lines>
  <Paragraphs>97</Paragraphs>
  <ScaleCrop>false</ScaleCrop>
  <Company/>
  <LinksUpToDate>false</LinksUpToDate>
  <CharactersWithSpaces>48811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34</cp:revision>
  <cp:lastPrinted>2023-01-10T21:18:00Z</cp:lastPrinted>
  <dcterms:created xsi:type="dcterms:W3CDTF">2026-10-20T14:14:00Z</dcterms:created>
  <dcterms:modified xsi:type="dcterms:W3CDTF">2026-10-20T14:41:00Z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