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D0891" w14:textId="77777777" w:rsidR="00915B95" w:rsidRPr="00915B95" w:rsidRDefault="00915B95" w:rsidP="00915B95">
      <w:pPr>
        <w:spacing w:after="0" w:line="276" w:lineRule="auto"/>
        <w:jc w:val="both"/>
        <w:rPr>
          <w:rFonts w:ascii="Verdana" w:eastAsia="Calibri" w:hAnsi="Verdana" w:cs="Arial"/>
          <w:b/>
          <w:bCs/>
          <w:lang w:val="es-ES_tradnl" w:eastAsia="es-MX"/>
        </w:rPr>
      </w:pPr>
      <w:bookmarkStart w:id="0" w:name="_Hlk143780582"/>
      <w:r w:rsidRPr="00915B95">
        <w:rPr>
          <w:rFonts w:ascii="Verdana" w:eastAsia="Calibri" w:hAnsi="Verdana" w:cs="Arial"/>
          <w:b/>
          <w:bCs/>
          <w:lang w:val="es-ES_tradnl" w:eastAsia="es-MX"/>
        </w:rPr>
        <w:t xml:space="preserve">DOCUMENTOS TIPO – Fundamento normativo – Obligatoriedad </w:t>
      </w:r>
    </w:p>
    <w:p w14:paraId="677E770B" w14:textId="77777777" w:rsidR="00915B95" w:rsidRPr="00915B95" w:rsidRDefault="00915B95" w:rsidP="00915B95">
      <w:pPr>
        <w:spacing w:after="0" w:line="276" w:lineRule="auto"/>
        <w:jc w:val="both"/>
        <w:rPr>
          <w:rFonts w:ascii="Verdana" w:eastAsia="Calibri" w:hAnsi="Verdana" w:cs="Arial"/>
          <w:b/>
          <w:bCs/>
          <w:sz w:val="20"/>
          <w:szCs w:val="20"/>
          <w:lang w:val="es-ES_tradnl" w:eastAsia="es-MX"/>
        </w:rPr>
      </w:pPr>
    </w:p>
    <w:p w14:paraId="79A9CF10" w14:textId="77777777" w:rsidR="00915B95" w:rsidRPr="00915B95" w:rsidRDefault="00915B95" w:rsidP="00915B95">
      <w:pPr>
        <w:tabs>
          <w:tab w:val="left" w:pos="709"/>
        </w:tabs>
        <w:spacing w:after="0" w:line="240" w:lineRule="auto"/>
        <w:jc w:val="both"/>
        <w:rPr>
          <w:rFonts w:ascii="Verdana" w:eastAsia="Calibri" w:hAnsi="Verdana" w:cs="Arial"/>
          <w:sz w:val="20"/>
          <w:szCs w:val="20"/>
          <w:lang w:val="es-ES" w:eastAsia="es-MX"/>
        </w:rPr>
      </w:pPr>
      <w:r w:rsidRPr="00915B95">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2799280" w14:textId="77777777" w:rsidR="00915B95" w:rsidRPr="00915B95" w:rsidRDefault="00915B95" w:rsidP="00915B95">
      <w:pPr>
        <w:spacing w:after="0" w:line="276" w:lineRule="auto"/>
        <w:jc w:val="both"/>
        <w:rPr>
          <w:rFonts w:ascii="Verdana" w:eastAsia="Calibri" w:hAnsi="Verdana" w:cs="Arial"/>
          <w:b/>
          <w:bCs/>
          <w:lang w:val="es-ES_tradnl" w:eastAsia="es-MX"/>
        </w:rPr>
      </w:pPr>
    </w:p>
    <w:p w14:paraId="0CF5EB61" w14:textId="77777777" w:rsidR="00915B95" w:rsidRPr="00915B95" w:rsidRDefault="00915B95" w:rsidP="00915B95">
      <w:pPr>
        <w:widowControl w:val="0"/>
        <w:autoSpaceDE w:val="0"/>
        <w:autoSpaceDN w:val="0"/>
        <w:spacing w:after="0" w:line="276" w:lineRule="auto"/>
        <w:jc w:val="both"/>
        <w:rPr>
          <w:rFonts w:ascii="Verdana" w:eastAsia="Calibri" w:hAnsi="Verdana" w:cs="Times New Roman"/>
          <w:b/>
          <w:bCs/>
          <w:lang w:val="es-ES" w:eastAsia="es-MX"/>
        </w:rPr>
      </w:pPr>
      <w:r w:rsidRPr="00915B95">
        <w:rPr>
          <w:rFonts w:ascii="Verdana" w:eastAsia="Calibri" w:hAnsi="Verdana" w:cs="Arial"/>
          <w:b/>
          <w:bCs/>
          <w:lang w:val="es-ES_tradnl" w:eastAsia="es-MX"/>
        </w:rPr>
        <w:t>SECTOR SOCIAL</w:t>
      </w:r>
      <w:r w:rsidRPr="00915B95">
        <w:rPr>
          <w:rFonts w:ascii="Verdana" w:eastAsia="Calibri" w:hAnsi="Verdana" w:cs="Times New Roman"/>
          <w:lang w:val="es-ES" w:eastAsia="es-MX"/>
        </w:rPr>
        <w:t xml:space="preserve"> </w:t>
      </w:r>
      <w:r w:rsidRPr="00915B95">
        <w:rPr>
          <w:rFonts w:ascii="Verdana" w:eastAsia="Calibri" w:hAnsi="Verdana" w:cs="Times New Roman"/>
          <w:b/>
          <w:bCs/>
          <w:lang w:val="es-ES" w:eastAsia="es-MX"/>
        </w:rPr>
        <w:t>– Documentos tipo – Vigentes</w:t>
      </w:r>
    </w:p>
    <w:p w14:paraId="5153A887" w14:textId="77777777" w:rsidR="00915B95" w:rsidRPr="00915B95" w:rsidRDefault="00915B95" w:rsidP="00915B95">
      <w:pPr>
        <w:widowControl w:val="0"/>
        <w:autoSpaceDE w:val="0"/>
        <w:autoSpaceDN w:val="0"/>
        <w:spacing w:after="0" w:line="276" w:lineRule="auto"/>
        <w:jc w:val="both"/>
        <w:rPr>
          <w:rFonts w:ascii="Verdana" w:eastAsia="Calibri" w:hAnsi="Verdana" w:cs="Times New Roman"/>
          <w:b/>
          <w:bCs/>
          <w:lang w:val="es-ES" w:eastAsia="es-MX"/>
        </w:rPr>
      </w:pPr>
    </w:p>
    <w:p w14:paraId="11752E09"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b/>
          <w:bCs/>
          <w:sz w:val="20"/>
          <w:szCs w:val="20"/>
          <w:lang w:val="es-ES" w:eastAsia="es-MX"/>
        </w:rPr>
      </w:pPr>
      <w:r w:rsidRPr="00915B95">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5773C225" w14:textId="77777777" w:rsidR="00915B95" w:rsidRPr="00915B95" w:rsidRDefault="00915B95" w:rsidP="00915B95">
      <w:pPr>
        <w:widowControl w:val="0"/>
        <w:autoSpaceDE w:val="0"/>
        <w:autoSpaceDN w:val="0"/>
        <w:spacing w:after="0" w:line="276" w:lineRule="auto"/>
        <w:jc w:val="both"/>
        <w:rPr>
          <w:rFonts w:ascii="Verdana" w:eastAsia="Calibri" w:hAnsi="Verdana" w:cs="Times New Roman"/>
          <w:lang w:val="es-ES" w:eastAsia="es-MX"/>
        </w:rPr>
      </w:pPr>
    </w:p>
    <w:p w14:paraId="0EEBEC19" w14:textId="77777777" w:rsidR="00915B95" w:rsidRPr="00915B95" w:rsidRDefault="00915B95" w:rsidP="00915B95">
      <w:pPr>
        <w:spacing w:after="0" w:line="276" w:lineRule="auto"/>
        <w:jc w:val="both"/>
        <w:rPr>
          <w:rFonts w:ascii="Verdana" w:eastAsia="Calibri" w:hAnsi="Verdana" w:cs="Times New Roman"/>
          <w:sz w:val="20"/>
          <w:szCs w:val="20"/>
          <w:lang w:val="es-ES" w:eastAsia="es-MX"/>
        </w:rPr>
      </w:pPr>
      <w:r w:rsidRPr="00915B95">
        <w:rPr>
          <w:rFonts w:ascii="Verdana" w:eastAsia="Calibri" w:hAnsi="Verdana" w:cs="Times New Roman"/>
          <w:b/>
          <w:bCs/>
          <w:lang w:val="es-ES" w:eastAsia="es-MX"/>
        </w:rPr>
        <w:t xml:space="preserve">DOCUMENTOS TIPO – Aplicación – Matriz de Experiencia </w:t>
      </w:r>
    </w:p>
    <w:p w14:paraId="0BCD28B8" w14:textId="77777777" w:rsidR="00915B95" w:rsidRPr="00915B95" w:rsidRDefault="00915B95" w:rsidP="00915B95">
      <w:pPr>
        <w:spacing w:after="0" w:line="240" w:lineRule="auto"/>
        <w:rPr>
          <w:rFonts w:ascii="Verdana" w:eastAsia="Geomanist Light" w:hAnsi="Verdana" w:cs="Arial"/>
          <w:lang w:val="es-MX" w:eastAsia="es-MX"/>
        </w:rPr>
      </w:pPr>
    </w:p>
    <w:p w14:paraId="589FBFB5"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r w:rsidRPr="00915B95">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38A6AAF"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p>
    <w:p w14:paraId="702B6C93"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r w:rsidRPr="00915B95">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CF13BA9"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p>
    <w:p w14:paraId="5D8AB0C3" w14:textId="77777777" w:rsidR="00915B95" w:rsidRPr="00915B95" w:rsidRDefault="00915B95" w:rsidP="00915B95">
      <w:pPr>
        <w:spacing w:after="0" w:line="276" w:lineRule="auto"/>
        <w:jc w:val="both"/>
        <w:rPr>
          <w:rFonts w:ascii="Verdana" w:eastAsia="Calibri" w:hAnsi="Verdana" w:cs="Times New Roman"/>
          <w:b/>
          <w:bCs/>
          <w:lang w:val="es-ES" w:eastAsia="es-MX"/>
        </w:rPr>
      </w:pPr>
      <w:r w:rsidRPr="00915B95">
        <w:rPr>
          <w:rFonts w:ascii="Verdana" w:eastAsia="Calibri" w:hAnsi="Verdana" w:cs="Times New Roman"/>
          <w:b/>
          <w:bCs/>
          <w:lang w:val="es-ES" w:eastAsia="es-MX"/>
        </w:rPr>
        <w:t xml:space="preserve">SEGURIDAD SOCIAL – Verificación – Pago – Persona natural – Persona jurídica </w:t>
      </w:r>
    </w:p>
    <w:p w14:paraId="2CAC1809" w14:textId="77777777" w:rsidR="00915B95" w:rsidRPr="00915B95" w:rsidRDefault="00915B95" w:rsidP="00915B95">
      <w:pPr>
        <w:spacing w:after="0" w:line="278" w:lineRule="auto"/>
        <w:ind w:left="2835" w:hanging="2835"/>
        <w:jc w:val="both"/>
        <w:rPr>
          <w:rFonts w:ascii="Verdana" w:eastAsia="Calibri" w:hAnsi="Verdana" w:cs="Arial"/>
          <w:b/>
          <w:noProof/>
          <w:color w:val="1A1A1A"/>
          <w:kern w:val="2"/>
          <w:sz w:val="20"/>
          <w:szCs w:val="20"/>
          <w:lang w:val="es-ES_tradnl"/>
          <w14:ligatures w14:val="standardContextual"/>
        </w:rPr>
      </w:pPr>
    </w:p>
    <w:p w14:paraId="6122DA06"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r w:rsidRPr="00915B95">
        <w:rPr>
          <w:rFonts w:ascii="Verdana" w:eastAsia="Aptos" w:hAnsi="Verdana" w:cs="Arial"/>
          <w:color w:val="1A1A1A"/>
          <w:kern w:val="2"/>
          <w:sz w:val="20"/>
          <w:szCs w:val="20"/>
          <w14:ligatures w14:val="standardContextual"/>
        </w:rPr>
        <w:t xml:space="preserve">[…] </w:t>
      </w:r>
      <w:r w:rsidRPr="00915B95">
        <w:rPr>
          <w:rFonts w:ascii="Verdana" w:eastAsia="Calibri" w:hAnsi="Verdana" w:cs="Arial"/>
          <w:kern w:val="2"/>
          <w:sz w:val="20"/>
          <w:szCs w:val="20"/>
          <w:lang w:val="es-ES"/>
          <w14:ligatures w14:val="standardContextual"/>
        </w:rPr>
        <w:t xml:space="preserve">el artículo 50 de la Ley 789 de 2002 previó una regla especial para las “personas jurídicas” que aspiran a celebrar contratos con las entidades estatales. Para presentar </w:t>
      </w:r>
      <w:r w:rsidRPr="00915B95">
        <w:rPr>
          <w:rFonts w:ascii="Verdana" w:eastAsia="Calibri" w:hAnsi="Verdana" w:cs="Arial"/>
          <w:kern w:val="2"/>
          <w:sz w:val="20"/>
          <w:szCs w:val="20"/>
          <w:lang w:val="es-ES"/>
          <w14:ligatures w14:val="standardContextual"/>
        </w:rPr>
        <w:lastRenderedPageBreak/>
        <w:t>“la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11130055"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p>
    <w:p w14:paraId="210082CA"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r w:rsidRPr="00915B95">
        <w:rPr>
          <w:rFonts w:ascii="Verdana" w:eastAsia="Calibri" w:hAnsi="Verdana" w:cs="Arial"/>
          <w:kern w:val="2"/>
          <w:sz w:val="20"/>
          <w:szCs w:val="20"/>
          <w:lang w:val="es-ES"/>
          <w14:ligatures w14:val="standardContextual"/>
        </w:rPr>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915B95">
        <w:rPr>
          <w:rFonts w:ascii="Verdana" w:eastAsia="Calibri" w:hAnsi="Verdana" w:cs="Arial"/>
          <w:kern w:val="2"/>
          <w:sz w:val="20"/>
          <w:szCs w:val="20"/>
          <w:lang w:val="es-ES"/>
          <w14:ligatures w14:val="standardContextual"/>
        </w:rPr>
        <w:t>ii</w:t>
      </w:r>
      <w:proofErr w:type="spellEnd"/>
      <w:r w:rsidRPr="00915B95">
        <w:rPr>
          <w:rFonts w:ascii="Verdana" w:eastAsia="Calibri" w:hAnsi="Verdana" w:cs="Arial"/>
          <w:kern w:val="2"/>
          <w:sz w:val="20"/>
          <w:szCs w:val="20"/>
          <w:lang w:val="es-ES"/>
          <w14:ligatures w14:val="standardContextual"/>
        </w:rPr>
        <w:t xml:space="preserve">) si se refiere a una persona jurídica, la acreditación del cumplimiento de las obligaciones relacionadas con el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2BA644EB"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p>
    <w:p w14:paraId="24AEB46E"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r w:rsidRPr="00915B95">
        <w:rPr>
          <w:rFonts w:ascii="Verdana" w:eastAsia="Calibri" w:hAnsi="Verdana" w:cs="Arial"/>
          <w:kern w:val="2"/>
          <w:sz w:val="20"/>
          <w:szCs w:val="20"/>
          <w:lang w:val="es-ES"/>
          <w14:ligatures w14:val="standardContextual"/>
        </w:rPr>
        <w:t xml:space="preserve">Así 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5D4C9742" w14:textId="77777777" w:rsidR="00915B95" w:rsidRPr="00915B95" w:rsidRDefault="00915B95" w:rsidP="00915B95">
      <w:pPr>
        <w:spacing w:after="0" w:line="278" w:lineRule="auto"/>
        <w:jc w:val="both"/>
        <w:rPr>
          <w:rFonts w:ascii="Verdana" w:eastAsia="Calibri" w:hAnsi="Verdana" w:cs="Arial"/>
          <w:kern w:val="2"/>
          <w:sz w:val="20"/>
          <w:szCs w:val="20"/>
          <w:lang w:val="es-ES"/>
          <w14:ligatures w14:val="standardContextual"/>
        </w:rPr>
      </w:pPr>
    </w:p>
    <w:p w14:paraId="5E539AC3" w14:textId="77777777" w:rsidR="00915B95" w:rsidRPr="00915B95" w:rsidRDefault="00915B95" w:rsidP="00915B95">
      <w:pPr>
        <w:spacing w:after="0" w:line="278" w:lineRule="auto"/>
        <w:jc w:val="both"/>
        <w:rPr>
          <w:rFonts w:ascii="Verdana" w:eastAsia="Calibri" w:hAnsi="Verdana" w:cs="Arial"/>
          <w:b/>
          <w:color w:val="1A1A1A"/>
          <w:kern w:val="2"/>
          <w:lang w:val="es-ES_tradnl"/>
          <w14:ligatures w14:val="standardContextual"/>
        </w:rPr>
      </w:pPr>
      <w:r w:rsidRPr="00915B95">
        <w:rPr>
          <w:rFonts w:ascii="Verdana" w:eastAsia="Calibri" w:hAnsi="Verdana" w:cs="Arial"/>
          <w:b/>
          <w:noProof/>
          <w:color w:val="1A1A1A"/>
          <w:kern w:val="2"/>
          <w:lang w:val="es-ES_tradnl"/>
          <w14:ligatures w14:val="standardContextual"/>
        </w:rPr>
        <w:t>DOCUMENTOS TIPO – Licitación de obra pública – Infraestructura social – Versión 2 – Seguridad social – Personas naturales – Personas jurídicas</w:t>
      </w:r>
    </w:p>
    <w:p w14:paraId="4865183C" w14:textId="77777777" w:rsidR="00915B95" w:rsidRPr="00915B95" w:rsidRDefault="00915B95" w:rsidP="00915B95">
      <w:pPr>
        <w:shd w:val="clear" w:color="auto" w:fill="FFFFFF"/>
        <w:spacing w:after="0" w:line="240" w:lineRule="auto"/>
        <w:jc w:val="both"/>
        <w:rPr>
          <w:rFonts w:ascii="Verdana" w:eastAsia="Aptos" w:hAnsi="Verdana" w:cs="Arial"/>
          <w:b/>
          <w:bCs/>
          <w:color w:val="000000"/>
          <w:kern w:val="2"/>
          <w:sz w:val="20"/>
          <w:szCs w:val="20"/>
          <w:shd w:val="clear" w:color="auto" w:fill="FFFFFF"/>
          <w14:ligatures w14:val="standardContextual"/>
        </w:rPr>
      </w:pPr>
    </w:p>
    <w:p w14:paraId="695F9720" w14:textId="77777777" w:rsidR="00915B95" w:rsidRPr="00915B95" w:rsidRDefault="00915B95" w:rsidP="00915B95">
      <w:pPr>
        <w:tabs>
          <w:tab w:val="left" w:pos="3374"/>
        </w:tabs>
        <w:spacing w:after="0" w:line="240" w:lineRule="auto"/>
        <w:jc w:val="both"/>
        <w:rPr>
          <w:rFonts w:ascii="Verdana" w:eastAsia="Calibri" w:hAnsi="Verdana" w:cs="Arial"/>
          <w:kern w:val="2"/>
          <w:sz w:val="20"/>
          <w:szCs w:val="20"/>
          <w:lang w:val="es-ES"/>
          <w14:ligatures w14:val="standardContextual"/>
        </w:rPr>
      </w:pPr>
      <w:r w:rsidRPr="00915B95">
        <w:rPr>
          <w:rFonts w:ascii="Verdana" w:eastAsia="Calibri" w:hAnsi="Verdana" w:cs="Arial"/>
          <w:kern w:val="2"/>
          <w:sz w:val="20"/>
          <w:szCs w:val="20"/>
          <w:lang w:val="es-ES"/>
          <w14:ligatures w14:val="standardContextual"/>
        </w:rPr>
        <w:t>En el “Documento Base” de los documentos tipo de licitación de obra pública de infraestructura social – versión 2, se establecen los requisitos habilitantes y los criterios para la ponderación de las propuestas, dentro de los cuales se encuentra la acreditación de pagos al Sistema de Seguridad Social […]</w:t>
      </w:r>
    </w:p>
    <w:p w14:paraId="1335A4F5" w14:textId="77777777" w:rsidR="00915B95" w:rsidRPr="00915B95" w:rsidRDefault="00915B95" w:rsidP="00915B95">
      <w:pPr>
        <w:tabs>
          <w:tab w:val="left" w:pos="3374"/>
        </w:tabs>
        <w:spacing w:after="0" w:line="240" w:lineRule="auto"/>
        <w:jc w:val="both"/>
        <w:rPr>
          <w:rFonts w:ascii="Verdana" w:eastAsia="Calibri" w:hAnsi="Verdana" w:cs="Arial"/>
          <w:kern w:val="2"/>
          <w:sz w:val="20"/>
          <w:szCs w:val="20"/>
          <w:lang w:val="es-ES"/>
          <w14:ligatures w14:val="standardContextual"/>
        </w:rPr>
      </w:pPr>
    </w:p>
    <w:p w14:paraId="0C0607ED"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r w:rsidRPr="00915B95">
        <w:rPr>
          <w:rFonts w:ascii="Verdana" w:eastAsia="Calibri" w:hAnsi="Verdana" w:cs="Arial"/>
          <w:kern w:val="2"/>
          <w:sz w:val="20"/>
          <w:szCs w:val="20"/>
          <w:lang w:val="es-ES"/>
          <w14:ligatures w14:val="standardContextual"/>
        </w:rPr>
        <w:t xml:space="preserve">En este sentido, en los numerales 3.4, 3.4.1, 3.4.2 y 3.4.3, se establece: i) las reglas para la acreditación de aportes al Sistema de Seguridad Social Integral y parafiscales, </w:t>
      </w:r>
      <w:proofErr w:type="spellStart"/>
      <w:r w:rsidRPr="00915B95">
        <w:rPr>
          <w:rFonts w:ascii="Verdana" w:eastAsia="Calibri" w:hAnsi="Verdana" w:cs="Arial"/>
          <w:kern w:val="2"/>
          <w:sz w:val="20"/>
          <w:szCs w:val="20"/>
          <w:lang w:val="es-ES"/>
          <w14:ligatures w14:val="standardContextual"/>
        </w:rPr>
        <w:t>ii</w:t>
      </w:r>
      <w:proofErr w:type="spellEnd"/>
      <w:r w:rsidRPr="00915B95">
        <w:rPr>
          <w:rFonts w:ascii="Verdana" w:eastAsia="Calibri" w:hAnsi="Verdana" w:cs="Arial"/>
          <w:kern w:val="2"/>
          <w:sz w:val="20"/>
          <w:szCs w:val="20"/>
          <w:lang w:val="es-ES"/>
          <w14:ligatures w14:val="standardContextual"/>
        </w:rPr>
        <w:t xml:space="preserve">) los proponentes personas jurídicas deben acreditar este requisito con la suscripción y presentación del “Formato 6 – Pagos de seguridad social y aportes legales”, </w:t>
      </w:r>
      <w:proofErr w:type="spellStart"/>
      <w:r w:rsidRPr="00915B95">
        <w:rPr>
          <w:rFonts w:ascii="Verdana" w:eastAsia="Calibri" w:hAnsi="Verdana" w:cs="Arial"/>
          <w:kern w:val="2"/>
          <w:sz w:val="20"/>
          <w:szCs w:val="20"/>
          <w:lang w:val="es-ES"/>
          <w14:ligatures w14:val="standardContextual"/>
        </w:rPr>
        <w:t>iii</w:t>
      </w:r>
      <w:proofErr w:type="spellEnd"/>
      <w:r w:rsidRPr="00915B95">
        <w:rPr>
          <w:rFonts w:ascii="Verdana" w:eastAsia="Calibri" w:hAnsi="Verdana" w:cs="Arial"/>
          <w:kern w:val="2"/>
          <w:sz w:val="20"/>
          <w:szCs w:val="20"/>
          <w:lang w:val="es-ES"/>
          <w14:ligatures w14:val="standardContextual"/>
        </w:rPr>
        <w:t xml:space="preserve">) los proponentes personas naturales deben acreditar la afiliación a los sistemas de seguridad social en salud y pensiones, aportando los certificados de afiliación respectivos o el certificado de pago de la correspondiente planilla, </w:t>
      </w:r>
      <w:proofErr w:type="spellStart"/>
      <w:r w:rsidRPr="00915B95">
        <w:rPr>
          <w:rFonts w:ascii="Verdana" w:eastAsia="Calibri" w:hAnsi="Verdana" w:cs="Arial"/>
          <w:kern w:val="2"/>
          <w:sz w:val="20"/>
          <w:szCs w:val="20"/>
          <w:lang w:val="es-ES"/>
          <w14:ligatures w14:val="standardContextual"/>
        </w:rPr>
        <w:t>iv</w:t>
      </w:r>
      <w:proofErr w:type="spellEnd"/>
      <w:r w:rsidRPr="00915B95">
        <w:rPr>
          <w:rFonts w:ascii="Verdana" w:eastAsia="Calibri" w:hAnsi="Verdana" w:cs="Arial"/>
          <w:kern w:val="2"/>
          <w:sz w:val="20"/>
          <w:szCs w:val="20"/>
          <w:lang w:val="es-ES"/>
          <w14:ligatures w14:val="standardContextual"/>
        </w:rPr>
        <w:t xml:space="preserve">) los integrantes de los proponentes plurales deben acreditar el cumplimiento con las obligaciones al Sistema de Seguridad Social Integral de manera independiente, según se trate de personas naturales o </w:t>
      </w:r>
      <w:r w:rsidRPr="00915B95">
        <w:rPr>
          <w:rFonts w:ascii="Verdana" w:eastAsia="Calibri" w:hAnsi="Verdana" w:cs="Arial"/>
          <w:kern w:val="2"/>
          <w:sz w:val="20"/>
          <w:szCs w:val="20"/>
          <w:lang w:val="es-ES"/>
          <w14:ligatures w14:val="standardContextual"/>
        </w:rPr>
        <w:lastRenderedPageBreak/>
        <w:t>jurídicas, en la forma enunciada anteriormente, y v) para efectos de la suscripción del contrato, el adjudicatario debe presentar declaración donde acredite el pago correspondiente a seguridad social y aportes legales cuando a ello haya lugar.</w:t>
      </w:r>
    </w:p>
    <w:p w14:paraId="5E6AB60F"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p>
    <w:p w14:paraId="3ED748AC" w14:textId="77777777" w:rsidR="00915B95" w:rsidRPr="00915B95" w:rsidRDefault="00915B95" w:rsidP="00915B95">
      <w:pPr>
        <w:spacing w:after="0" w:line="240" w:lineRule="auto"/>
        <w:jc w:val="both"/>
        <w:rPr>
          <w:rFonts w:ascii="Verdana" w:eastAsia="Calibri" w:hAnsi="Verdana" w:cs="Arial"/>
          <w:kern w:val="2"/>
          <w:sz w:val="20"/>
          <w:szCs w:val="20"/>
          <w:lang w:val="es-ES"/>
          <w14:ligatures w14:val="standardContextual"/>
        </w:rPr>
      </w:pPr>
      <w:r w:rsidRPr="00915B95">
        <w:rPr>
          <w:rFonts w:ascii="Verdana" w:eastAsia="Calibri" w:hAnsi="Verdana" w:cs="Arial"/>
          <w:kern w:val="2"/>
          <w:sz w:val="20"/>
          <w:szCs w:val="20"/>
          <w:lang w:val="es-ES"/>
          <w14:ligatures w14:val="standardContextual"/>
        </w:rPr>
        <w:t>Ahora bien, el “Documento Base” de los documentos tipo de licitación de obra pública de infraestructura social – versión 2, establece la acreditación de pagos de seguridad social y aportes legales de personas jurídicas, personas naturales y proponentes plurales para la suscripción del contrato y durante su ejecución.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 debe acreditar, para realizar cada pago del contrato, que se encuentra al día en los aportes parafiscales relativos al Sistema de Seguridad Social Integral (…)”. De estos numerales se deriva que las entidades estatales contratantes verificarán el cumplimiento del pago de los aportes al Sistema de Seguridad Social Integral, por parte de los contratistas del Estado, durante el procedimiento de selección, la suscripción del contrato y durante su ejecución, de la manera explicada.</w:t>
      </w:r>
    </w:p>
    <w:p w14:paraId="640BC58D" w14:textId="77777777" w:rsidR="00915B95" w:rsidRPr="00915B95" w:rsidRDefault="00915B95" w:rsidP="00915B95">
      <w:pPr>
        <w:spacing w:after="0"/>
        <w:rPr>
          <w:rFonts w:ascii="Geomanist Light" w:eastAsia="Arial" w:hAnsi="Geomanist Light" w:cs="Arial"/>
          <w:color w:val="000000"/>
          <w:kern w:val="2"/>
          <w:szCs w:val="24"/>
          <w:lang w:val="es-ES" w:eastAsia="es-MX"/>
          <w14:ligatures w14:val="standardContextual"/>
        </w:rPr>
      </w:pPr>
    </w:p>
    <w:p w14:paraId="32A68E9C" w14:textId="77777777" w:rsidR="00915B95" w:rsidRPr="00915B95" w:rsidRDefault="00915B95" w:rsidP="00915B95">
      <w:pPr>
        <w:spacing w:after="0"/>
        <w:rPr>
          <w:rFonts w:ascii="Verdana" w:eastAsia="Arial" w:hAnsi="Verdana" w:cs="Arial"/>
          <w:b/>
          <w:bCs/>
          <w:color w:val="000000"/>
          <w:kern w:val="2"/>
          <w:szCs w:val="24"/>
          <w:lang w:val="es-ES" w:eastAsia="es-MX"/>
          <w14:ligatures w14:val="standardContextual"/>
        </w:rPr>
      </w:pPr>
      <w:r w:rsidRPr="00915B95">
        <w:rPr>
          <w:rFonts w:ascii="Verdana" w:eastAsia="Arial" w:hAnsi="Verdana" w:cs="Arial"/>
          <w:b/>
          <w:bCs/>
          <w:color w:val="000000"/>
          <w:kern w:val="2"/>
          <w:szCs w:val="24"/>
          <w:lang w:val="es-ES" w:eastAsia="es-MX"/>
          <w14:ligatures w14:val="standardContextual"/>
        </w:rPr>
        <w:t xml:space="preserve">CAUSALES DE RECHAZO – Nominadas – La Ley – Pliegos de condiciones – Aplicación estricta – Interpretación restrictiva </w:t>
      </w:r>
    </w:p>
    <w:p w14:paraId="3AB9CF17" w14:textId="77777777" w:rsidR="00915B95" w:rsidRPr="00915B95" w:rsidRDefault="00915B95" w:rsidP="00915B95">
      <w:pPr>
        <w:spacing w:after="0"/>
        <w:rPr>
          <w:rFonts w:ascii="Geomanist Light" w:eastAsia="Arial" w:hAnsi="Geomanist Light" w:cs="Arial"/>
          <w:color w:val="000000"/>
          <w:kern w:val="2"/>
          <w:szCs w:val="24"/>
          <w:lang w:val="es-ES" w:eastAsia="es-MX"/>
          <w14:ligatures w14:val="standardContextual"/>
        </w:rPr>
      </w:pPr>
    </w:p>
    <w:p w14:paraId="054A65B9"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bCs/>
          <w:sz w:val="20"/>
          <w:szCs w:val="20"/>
          <w:lang w:val="es-ES"/>
        </w:rPr>
        <w:t>L</w:t>
      </w:r>
      <w:proofErr w:type="spellStart"/>
      <w:r w:rsidRPr="00915B95">
        <w:rPr>
          <w:rFonts w:ascii="Verdana" w:eastAsia="Calibri" w:hAnsi="Verdana" w:cs="Arial"/>
          <w:bCs/>
          <w:sz w:val="20"/>
          <w:szCs w:val="20"/>
        </w:rPr>
        <w:t>as</w:t>
      </w:r>
      <w:proofErr w:type="spellEnd"/>
      <w:r w:rsidRPr="00915B95">
        <w:rPr>
          <w:rFonts w:ascii="Verdana" w:eastAsia="Calibri" w:hAnsi="Verdana" w:cs="Arial"/>
          <w:bCs/>
          <w:sz w:val="20"/>
          <w:szCs w:val="20"/>
        </w:rPr>
        <w:t xml:space="preserve">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w:t>
      </w:r>
    </w:p>
    <w:p w14:paraId="122D1ECF" w14:textId="77777777" w:rsidR="00915B95" w:rsidRPr="00915B95" w:rsidRDefault="00915B95" w:rsidP="00915B95">
      <w:pPr>
        <w:spacing w:after="0" w:line="240" w:lineRule="auto"/>
        <w:jc w:val="both"/>
        <w:rPr>
          <w:rFonts w:ascii="Verdana" w:eastAsia="Calibri" w:hAnsi="Verdana" w:cs="Arial"/>
          <w:bCs/>
          <w:sz w:val="20"/>
          <w:szCs w:val="20"/>
        </w:rPr>
      </w:pPr>
    </w:p>
    <w:p w14:paraId="6803B24E"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bCs/>
          <w:sz w:val="20"/>
          <w:szCs w:val="20"/>
        </w:rPr>
        <w:t>(…)</w:t>
      </w:r>
    </w:p>
    <w:p w14:paraId="70DC42A2" w14:textId="77777777" w:rsidR="00915B95" w:rsidRPr="00915B95" w:rsidRDefault="00915B95" w:rsidP="00915B95">
      <w:pPr>
        <w:spacing w:after="0" w:line="240" w:lineRule="auto"/>
        <w:jc w:val="both"/>
        <w:rPr>
          <w:rFonts w:ascii="Verdana" w:eastAsia="Calibri" w:hAnsi="Verdana" w:cs="Arial"/>
          <w:bCs/>
          <w:sz w:val="20"/>
          <w:szCs w:val="20"/>
        </w:rPr>
      </w:pPr>
    </w:p>
    <w:p w14:paraId="4CF53B0F"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bCs/>
          <w:sz w:val="20"/>
          <w:szCs w:val="20"/>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w:t>
      </w:r>
    </w:p>
    <w:p w14:paraId="76E7922D" w14:textId="77777777" w:rsidR="00915B95" w:rsidRPr="00915B95" w:rsidRDefault="00915B95" w:rsidP="00915B95">
      <w:pPr>
        <w:spacing w:after="0" w:line="240" w:lineRule="auto"/>
        <w:jc w:val="both"/>
        <w:rPr>
          <w:rFonts w:ascii="Verdana" w:eastAsia="Calibri" w:hAnsi="Verdana" w:cs="Arial"/>
          <w:bCs/>
          <w:sz w:val="20"/>
          <w:szCs w:val="20"/>
        </w:rPr>
      </w:pPr>
    </w:p>
    <w:p w14:paraId="2CDFBF7C"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bCs/>
          <w:sz w:val="20"/>
          <w:szCs w:val="20"/>
        </w:rPr>
        <w:t>(…)</w:t>
      </w:r>
    </w:p>
    <w:p w14:paraId="1EC1CA8C" w14:textId="77777777" w:rsidR="00915B95" w:rsidRPr="00915B95" w:rsidRDefault="00915B95" w:rsidP="00915B95">
      <w:pPr>
        <w:spacing w:after="0" w:line="240" w:lineRule="auto"/>
        <w:jc w:val="both"/>
        <w:rPr>
          <w:rFonts w:ascii="Verdana" w:eastAsia="Calibri" w:hAnsi="Verdana" w:cs="Arial"/>
          <w:bCs/>
          <w:sz w:val="20"/>
          <w:szCs w:val="20"/>
        </w:rPr>
      </w:pPr>
    </w:p>
    <w:p w14:paraId="0B840FD0"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bCs/>
          <w:sz w:val="20"/>
          <w:szCs w:val="20"/>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645F65D1" w14:textId="77777777" w:rsidR="00915B95" w:rsidRPr="00915B95" w:rsidRDefault="00915B95" w:rsidP="00915B95">
      <w:pPr>
        <w:spacing w:after="0" w:line="240" w:lineRule="auto"/>
        <w:jc w:val="both"/>
        <w:rPr>
          <w:rFonts w:ascii="Verdana" w:eastAsia="Calibri" w:hAnsi="Verdana" w:cs="Arial"/>
          <w:bCs/>
          <w:sz w:val="20"/>
          <w:szCs w:val="20"/>
        </w:rPr>
      </w:pPr>
    </w:p>
    <w:p w14:paraId="3AD1F92A" w14:textId="77777777" w:rsidR="00915B95" w:rsidRPr="00915B95" w:rsidRDefault="00915B95" w:rsidP="00915B95">
      <w:pPr>
        <w:spacing w:after="0" w:line="240" w:lineRule="auto"/>
        <w:jc w:val="both"/>
        <w:rPr>
          <w:rFonts w:ascii="Verdana" w:eastAsia="Calibri" w:hAnsi="Verdana" w:cs="Arial"/>
          <w:b/>
          <w:bCs/>
          <w:kern w:val="2"/>
          <w14:ligatures w14:val="standardContextual"/>
        </w:rPr>
      </w:pPr>
      <w:r w:rsidRPr="00915B95">
        <w:rPr>
          <w:rFonts w:ascii="Verdana" w:eastAsia="Calibri" w:hAnsi="Verdana" w:cs="Arial"/>
          <w:b/>
          <w:bCs/>
          <w:kern w:val="2"/>
          <w14:ligatures w14:val="standardContextual"/>
        </w:rPr>
        <w:t xml:space="preserve">DOCUMENTOS TIPO </w:t>
      </w:r>
      <w:r w:rsidRPr="00915B95">
        <w:rPr>
          <w:rFonts w:ascii="Verdana" w:eastAsia="Calibri" w:hAnsi="Verdana" w:cs="Arial"/>
          <w:b/>
          <w:bCs/>
          <w:color w:val="000000"/>
          <w:kern w:val="2"/>
          <w14:ligatures w14:val="standardContextual"/>
        </w:rPr>
        <w:t xml:space="preserve">– Licitación de obra pública – Infraestructura social – Versión 2 – </w:t>
      </w:r>
      <w:r w:rsidRPr="00915B95">
        <w:rPr>
          <w:rFonts w:ascii="Verdana" w:eastAsia="Calibri" w:hAnsi="Verdana" w:cs="Arial"/>
          <w:b/>
          <w:bCs/>
          <w:kern w:val="2"/>
          <w14:ligatures w14:val="standardContextual"/>
        </w:rPr>
        <w:t>Causales de rechazo – Información Inexacta - Literal G</w:t>
      </w:r>
    </w:p>
    <w:p w14:paraId="24508BDD" w14:textId="77777777" w:rsidR="00915B95" w:rsidRPr="00915B95" w:rsidRDefault="00915B95" w:rsidP="00915B95">
      <w:pPr>
        <w:spacing w:after="0" w:line="240" w:lineRule="auto"/>
        <w:jc w:val="both"/>
        <w:rPr>
          <w:rFonts w:ascii="Arial" w:eastAsia="Calibri" w:hAnsi="Arial" w:cs="Arial"/>
          <w:b/>
          <w:bCs/>
          <w:kern w:val="2"/>
          <w:sz w:val="20"/>
          <w:szCs w:val="20"/>
          <w14:ligatures w14:val="standardContextual"/>
        </w:rPr>
      </w:pPr>
    </w:p>
    <w:p w14:paraId="41125B53"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15B95">
        <w:rPr>
          <w:rFonts w:ascii="Verdana" w:eastAsia="Times New Roman" w:hAnsi="Verdana" w:cs="Arial"/>
          <w:kern w:val="2"/>
          <w:sz w:val="20"/>
          <w:szCs w:val="20"/>
          <w:shd w:val="clear" w:color="auto" w:fill="FFFFFF"/>
          <w:lang w:val="es-ES_tradnl" w:eastAsia="es-ES_tradnl"/>
          <w14:ligatures w14:val="standardContextual"/>
        </w:rPr>
        <w:t xml:space="preserve">(…) la causal de rechazo del literal G del numeral 1.15 del documento tipo prescribe: “(…) Que el Proponente aporte información inexacta sobre la cual pueda existir una posible falsedad en los términos de la sección 1.11. del documento base”. Esta causal aplica en los supuestos en el que la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78466846"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401B3F90"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915B95">
        <w:rPr>
          <w:rFonts w:ascii="Verdana" w:eastAsia="Times New Roman" w:hAnsi="Verdana" w:cs="Arial"/>
          <w:kern w:val="2"/>
          <w:sz w:val="20"/>
          <w:szCs w:val="20"/>
          <w:shd w:val="clear" w:color="auto" w:fill="FFFFFF"/>
          <w:lang w:val="es-ES_tradnl" w:eastAsia="es-ES_tradnl"/>
          <w14:ligatures w14:val="standardContextual"/>
        </w:rPr>
        <w:t>Según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706253FF"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073D51EE" w14:textId="77777777" w:rsidR="00915B95" w:rsidRPr="00915B95" w:rsidRDefault="00915B95" w:rsidP="00915B95">
      <w:pPr>
        <w:spacing w:after="0" w:line="240" w:lineRule="auto"/>
        <w:jc w:val="both"/>
        <w:rPr>
          <w:rFonts w:ascii="Verdana" w:eastAsia="Calibri" w:hAnsi="Verdana" w:cs="Arial"/>
          <w:b/>
          <w:bCs/>
          <w:kern w:val="2"/>
          <w:lang w:val="es-MX"/>
          <w14:ligatures w14:val="standardContextual"/>
        </w:rPr>
      </w:pPr>
      <w:r w:rsidRPr="00915B95">
        <w:rPr>
          <w:rFonts w:ascii="Verdana" w:eastAsia="Calibri" w:hAnsi="Verdana" w:cs="Arial"/>
          <w:b/>
          <w:bCs/>
          <w:kern w:val="2"/>
          <w:lang w:val="es-MX"/>
          <w14:ligatures w14:val="standardContextual"/>
        </w:rPr>
        <w:t>INFORMACIÓN INEXACTA – Verificación – Información – Documentación – Aportada</w:t>
      </w:r>
    </w:p>
    <w:p w14:paraId="567CC757" w14:textId="77777777" w:rsidR="00915B95" w:rsidRPr="00915B95" w:rsidRDefault="00915B95" w:rsidP="00915B95">
      <w:pPr>
        <w:spacing w:after="0" w:line="240" w:lineRule="auto"/>
        <w:jc w:val="both"/>
        <w:rPr>
          <w:rFonts w:ascii="Verdana" w:eastAsia="Calibri" w:hAnsi="Verdana" w:cs="Arial"/>
          <w:b/>
          <w:bCs/>
          <w:kern w:val="2"/>
          <w:lang w:val="es-MX"/>
          <w14:ligatures w14:val="standardContextual"/>
        </w:rPr>
      </w:pPr>
    </w:p>
    <w:p w14:paraId="0BF83112"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kern w:val="2"/>
          <w:sz w:val="20"/>
          <w:szCs w:val="20"/>
          <w:lang w:val="es-MX"/>
          <w14:ligatures w14:val="standardContextual"/>
        </w:rPr>
        <w:t xml:space="preserve">La </w:t>
      </w:r>
      <w:r w:rsidRPr="00915B95">
        <w:rPr>
          <w:rFonts w:ascii="Verdana" w:eastAsia="Calibri" w:hAnsi="Verdana" w:cs="Arial"/>
          <w:kern w:val="2"/>
          <w:sz w:val="20"/>
          <w:szCs w:val="20"/>
          <w14:ligatures w14:val="standardContextual"/>
        </w:rPr>
        <w:t xml:space="preserve">regla de verificación de la información prevista en el numeral 1.11 del documento base aplica frente a la </w:t>
      </w:r>
      <w:r w:rsidRPr="00915B95">
        <w:rPr>
          <w:rFonts w:ascii="Verdana" w:eastAsia="Calibri" w:hAnsi="Verdana" w:cs="Arial"/>
          <w:i/>
          <w:iCs/>
          <w:kern w:val="2"/>
          <w:sz w:val="20"/>
          <w:szCs w:val="20"/>
          <w14:ligatures w14:val="standardContextual"/>
        </w:rPr>
        <w:t>totalidad de la información y documentación aportada para cumplir los requisitos exigidos en el pliego de condiciones</w:t>
      </w:r>
      <w:r w:rsidRPr="00915B95">
        <w:rPr>
          <w:rFonts w:ascii="Verdana" w:eastAsia="Calibri" w:hAnsi="Verdana" w:cs="Arial"/>
          <w:kern w:val="2"/>
          <w:sz w:val="20"/>
          <w:szCs w:val="20"/>
          <w14:ligatures w14:val="standardContextual"/>
        </w:rPr>
        <w:t xml:space="preserve">. Además, consagra dos supuestos, con consecuencias diferentes: el primero,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logre constatar con exactitud lo acreditado o la veracidad del mismo y ante esa duda, no tendrá en cuenta la documentación aportada, sin perjuicio de que el proponente cumpla con el requisito habilitante con los demás documentos que aporte. En este evento, se trata de inconsistencias que, aunque no se superan por la ausencia de otro medio probatorio, no tienen la connotación de falsedad. </w:t>
      </w:r>
    </w:p>
    <w:p w14:paraId="4B7F388F" w14:textId="77777777" w:rsidR="00915B95" w:rsidRPr="00915B95" w:rsidRDefault="00915B95" w:rsidP="00915B95">
      <w:pPr>
        <w:spacing w:after="0" w:line="240" w:lineRule="auto"/>
        <w:jc w:val="both"/>
        <w:rPr>
          <w:rFonts w:ascii="Verdana" w:eastAsia="Calibri" w:hAnsi="Verdana" w:cs="Arial"/>
          <w:kern w:val="2"/>
          <w:sz w:val="20"/>
          <w:szCs w:val="20"/>
          <w14:ligatures w14:val="standardContextual"/>
        </w:rPr>
      </w:pPr>
    </w:p>
    <w:p w14:paraId="6AA9A88D" w14:textId="77777777" w:rsidR="00915B95" w:rsidRPr="00915B95" w:rsidRDefault="00915B95" w:rsidP="00915B95">
      <w:pPr>
        <w:spacing w:after="0" w:line="240" w:lineRule="auto"/>
        <w:jc w:val="both"/>
        <w:rPr>
          <w:rFonts w:ascii="Verdana" w:eastAsia="Calibri" w:hAnsi="Verdana" w:cs="Arial"/>
          <w:b/>
          <w:bCs/>
          <w:kern w:val="2"/>
          <w14:ligatures w14:val="standardContextual"/>
        </w:rPr>
      </w:pPr>
      <w:r w:rsidRPr="00915B95">
        <w:rPr>
          <w:rFonts w:ascii="Verdana" w:eastAsia="Calibri" w:hAnsi="Verdana" w:cs="Arial"/>
          <w:b/>
          <w:bCs/>
          <w:kern w:val="2"/>
          <w14:ligatures w14:val="standardContextual"/>
        </w:rPr>
        <w:t xml:space="preserve">INFORMACIÓN INEXACTA – Presunta falsedad – Manifestación del proponente – Rechazo de la oferta </w:t>
      </w:r>
    </w:p>
    <w:p w14:paraId="09B42AED" w14:textId="77777777" w:rsidR="00915B95" w:rsidRPr="00915B95" w:rsidRDefault="00915B95" w:rsidP="00915B95">
      <w:pPr>
        <w:spacing w:after="0" w:line="240" w:lineRule="auto"/>
        <w:jc w:val="both"/>
        <w:rPr>
          <w:rFonts w:ascii="Verdana" w:eastAsia="Calibri" w:hAnsi="Verdana" w:cs="Arial"/>
          <w:kern w:val="2"/>
          <w:sz w:val="20"/>
          <w:szCs w:val="20"/>
          <w14:ligatures w14:val="standardContextual"/>
        </w:rPr>
      </w:pPr>
    </w:p>
    <w:p w14:paraId="5FDF89AE" w14:textId="77777777" w:rsidR="00915B95" w:rsidRPr="00915B95" w:rsidRDefault="00915B95" w:rsidP="00915B95">
      <w:pPr>
        <w:spacing w:after="0" w:line="240" w:lineRule="auto"/>
        <w:jc w:val="both"/>
        <w:rPr>
          <w:rFonts w:ascii="Verdana" w:eastAsia="Calibri" w:hAnsi="Verdana" w:cs="Arial"/>
          <w:bCs/>
          <w:sz w:val="20"/>
          <w:szCs w:val="20"/>
        </w:rPr>
      </w:pPr>
      <w:r w:rsidRPr="00915B95">
        <w:rPr>
          <w:rFonts w:ascii="Verdana" w:eastAsia="Calibri" w:hAnsi="Verdana" w:cs="Arial"/>
          <w:kern w:val="2"/>
          <w:sz w:val="20"/>
          <w:szCs w:val="20"/>
          <w14:ligatures w14:val="standardContextual"/>
        </w:rPr>
        <w:t xml:space="preserve">El segundo evento se configura cuando de la verificación se corrobora que las inconsistencias obedecerían a una presunta falsedad no desvirtuada por el proponente, caso en el cual se rechaza la oferta y se informa a las autoridades correspondientes. En ese sentido, cuando la entidad tiene el suficiente convencimiento de la existencia de la presunta falsedad, y luego de dar la oportunidad para que el proponente se manifieste, </w:t>
      </w:r>
      <w:r w:rsidRPr="00915B95">
        <w:rPr>
          <w:rFonts w:ascii="Verdana" w:eastAsia="Calibri" w:hAnsi="Verdana" w:cs="Arial"/>
          <w:kern w:val="2"/>
          <w:sz w:val="20"/>
          <w:szCs w:val="20"/>
          <w14:ligatures w14:val="standardContextual"/>
        </w:rPr>
        <w:lastRenderedPageBreak/>
        <w:t xml:space="preserve">es procedente rechazar la oferta y compulsar copias a las autoridades competentes, quienes adelantarán las respectivas investigaciones. </w:t>
      </w:r>
    </w:p>
    <w:p w14:paraId="1DB1D246" w14:textId="77777777" w:rsidR="00915B95" w:rsidRPr="00915B95" w:rsidRDefault="00915B95" w:rsidP="00915B95">
      <w:pPr>
        <w:spacing w:after="0" w:line="240" w:lineRule="auto"/>
        <w:jc w:val="both"/>
        <w:rPr>
          <w:rFonts w:ascii="Verdana" w:eastAsia="Times New Roman" w:hAnsi="Verdana" w:cs="Arial"/>
          <w:color w:val="000000"/>
          <w:kern w:val="2"/>
          <w:sz w:val="20"/>
          <w:szCs w:val="20"/>
          <w:shd w:val="clear" w:color="auto" w:fill="FFFFFF"/>
          <w:lang w:val="es-ES" w:eastAsia="es-MX"/>
          <w14:ligatures w14:val="standardContextual"/>
        </w:rPr>
      </w:pPr>
    </w:p>
    <w:p w14:paraId="49DC76C9"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p>
    <w:p w14:paraId="29C5CF11"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24A5950C" w14:textId="77777777" w:rsidR="00915B95" w:rsidRPr="00915B95" w:rsidRDefault="00915B95" w:rsidP="00915B9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7F53A6FA" w14:textId="77777777" w:rsidR="00915B95" w:rsidRPr="00915B95" w:rsidRDefault="00915B95" w:rsidP="00915B95">
      <w:pPr>
        <w:rPr>
          <w:rFonts w:ascii="Geomanist Light" w:eastAsia="Arial" w:hAnsi="Geomanist Light" w:cs="Arial"/>
          <w:b/>
          <w:kern w:val="2"/>
          <w:lang w:val="es-ES_tradnl"/>
          <w14:ligatures w14:val="standardContextual"/>
        </w:rPr>
      </w:pPr>
    </w:p>
    <w:p w14:paraId="4739B8CF"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p>
    <w:p w14:paraId="0C73BDEF" w14:textId="77777777" w:rsidR="00915B95" w:rsidRPr="00915B95" w:rsidRDefault="00915B95" w:rsidP="00915B95">
      <w:pPr>
        <w:widowControl w:val="0"/>
        <w:autoSpaceDE w:val="0"/>
        <w:autoSpaceDN w:val="0"/>
        <w:spacing w:after="0" w:line="240" w:lineRule="auto"/>
        <w:jc w:val="both"/>
        <w:rPr>
          <w:rFonts w:ascii="Verdana" w:eastAsia="Calibri" w:hAnsi="Verdana" w:cs="Times New Roman"/>
          <w:sz w:val="20"/>
          <w:szCs w:val="20"/>
          <w:lang w:val="es-ES" w:eastAsia="es-MX"/>
        </w:rPr>
      </w:pPr>
    </w:p>
    <w:p w14:paraId="4F4A4068" w14:textId="77777777" w:rsidR="00915B95" w:rsidRPr="00915B95" w:rsidRDefault="00915B95" w:rsidP="00915B95">
      <w:pPr>
        <w:spacing w:after="0" w:line="240" w:lineRule="auto"/>
        <w:jc w:val="both"/>
        <w:rPr>
          <w:rFonts w:ascii="Verdana" w:eastAsia="Aptos" w:hAnsi="Verdana" w:cs="Times New Roman"/>
          <w:color w:val="000000"/>
          <w:kern w:val="2"/>
          <w:sz w:val="24"/>
          <w:szCs w:val="24"/>
          <w:lang w:eastAsia="es-CO"/>
          <w14:ligatures w14:val="standardContextual"/>
        </w:rPr>
      </w:pPr>
    </w:p>
    <w:p w14:paraId="6E95B3AA"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01A7174"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117F29D0"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5673CCA8"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337F24CD"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FB39B60"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185C6F9E"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D32CDA7"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11083D90"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42E7224"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4DD84BB"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4139AF82"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5D0EE332"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1F2ECE42"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61AB6C54"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867AEC2"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CA7EC98"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12C4BD4"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3B65B7DE"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484B8DCC"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158BB642"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BDBD214"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B170369"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CEAAB30"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41B61453"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01367D5D" w14:textId="77777777" w:rsidR="00915B95" w:rsidRPr="00915B95" w:rsidRDefault="00915B95" w:rsidP="00915B95">
      <w:pPr>
        <w:spacing w:after="0" w:line="240" w:lineRule="auto"/>
        <w:jc w:val="both"/>
        <w:rPr>
          <w:rFonts w:ascii="Verdana" w:eastAsia="Calibri" w:hAnsi="Verdana" w:cs="Arial"/>
          <w:b/>
          <w:bCs/>
          <w:color w:val="000000"/>
          <w:sz w:val="24"/>
          <w:szCs w:val="24"/>
          <w:highlight w:val="yellow"/>
          <w:lang w:eastAsia="es-MX"/>
        </w:rPr>
      </w:pPr>
    </w:p>
    <w:p w14:paraId="2273F7A8" w14:textId="77777777" w:rsidR="00915B95" w:rsidRDefault="00915B95" w:rsidP="00915B95">
      <w:pPr>
        <w:spacing w:after="0" w:line="240" w:lineRule="auto"/>
        <w:rPr>
          <w:rFonts w:ascii="Verdana" w:eastAsia="Calibri" w:hAnsi="Verdana" w:cs="Arial"/>
          <w:b/>
          <w:bCs/>
          <w:color w:val="000000"/>
          <w:sz w:val="24"/>
          <w:szCs w:val="24"/>
          <w:lang w:eastAsia="es-MX"/>
        </w:rPr>
      </w:pPr>
    </w:p>
    <w:p w14:paraId="72EBC16D" w14:textId="77777777" w:rsidR="002C1924" w:rsidRDefault="002C1924" w:rsidP="00915B95">
      <w:pPr>
        <w:spacing w:after="0" w:line="240" w:lineRule="auto"/>
        <w:rPr>
          <w:rFonts w:ascii="Verdana" w:eastAsia="Calibri" w:hAnsi="Verdana" w:cs="Arial"/>
          <w:b/>
          <w:bCs/>
          <w:color w:val="000000"/>
          <w:sz w:val="24"/>
          <w:szCs w:val="24"/>
          <w:lang w:eastAsia="es-MX"/>
        </w:rPr>
      </w:pPr>
    </w:p>
    <w:p w14:paraId="16149F24" w14:textId="77777777" w:rsidR="002C1924" w:rsidRPr="00915B95" w:rsidRDefault="002C1924" w:rsidP="00915B95">
      <w:pPr>
        <w:spacing w:after="0" w:line="240" w:lineRule="auto"/>
        <w:rPr>
          <w:rFonts w:ascii="Verdana" w:eastAsia="Calibri" w:hAnsi="Verdana" w:cs="Arial"/>
          <w:b/>
          <w:bCs/>
          <w:color w:val="000000"/>
          <w:sz w:val="24"/>
          <w:szCs w:val="24"/>
          <w:lang w:eastAsia="es-MX"/>
        </w:rPr>
      </w:pPr>
    </w:p>
    <w:p w14:paraId="55F0BB94" w14:textId="4747487D" w:rsidR="00915B95" w:rsidRDefault="00915B95" w:rsidP="00915B95">
      <w:pPr>
        <w:spacing w:after="0" w:line="240" w:lineRule="auto"/>
        <w:rPr>
          <w:rFonts w:ascii="Verdana" w:eastAsia="Verdana" w:hAnsi="Verdana" w:cs="Verdana"/>
          <w:kern w:val="2"/>
          <w14:ligatures w14:val="standardContextual"/>
        </w:rPr>
      </w:pPr>
      <w:r w:rsidRPr="00915B95">
        <w:rPr>
          <w:rFonts w:ascii="Verdana" w:eastAsia="Verdana" w:hAnsi="Verdana" w:cs="Verdana"/>
          <w:kern w:val="2"/>
          <w14:ligatures w14:val="standardContextual"/>
        </w:rPr>
        <w:lastRenderedPageBreak/>
        <w:t xml:space="preserve">Bogotá D.C., </w:t>
      </w:r>
      <w:r w:rsidR="00616982">
        <w:rPr>
          <w:rFonts w:ascii="Verdana" w:eastAsia="Verdana" w:hAnsi="Verdana" w:cs="Verdana"/>
          <w:kern w:val="2"/>
          <w14:ligatures w14:val="standardContextual"/>
        </w:rPr>
        <w:t>23 de octubre de 2026</w:t>
      </w:r>
    </w:p>
    <w:p w14:paraId="7725D6E4" w14:textId="31C4A7D7" w:rsidR="00616982" w:rsidRDefault="003B5763" w:rsidP="00915B95">
      <w:pPr>
        <w:spacing w:after="0" w:line="240" w:lineRule="auto"/>
        <w:rPr>
          <w:rFonts w:ascii="Verdana" w:eastAsia="Verdana" w:hAnsi="Verdana" w:cs="Verdana"/>
          <w:kern w:val="2"/>
          <w14:ligatures w14:val="standardContextual"/>
        </w:rPr>
      </w:pPr>
      <w:r w:rsidRPr="00616982">
        <w:rPr>
          <w:rFonts w:ascii="Verdana" w:eastAsia="Verdana" w:hAnsi="Verdana" w:cs="Verdana"/>
          <w:noProof/>
          <w:kern w:val="2"/>
          <w14:ligatures w14:val="standardContextual"/>
        </w:rPr>
        <w:drawing>
          <wp:anchor distT="0" distB="0" distL="114300" distR="114300" simplePos="0" relativeHeight="251660288" behindDoc="0" locked="0" layoutInCell="1" allowOverlap="1" wp14:anchorId="5BF690A5" wp14:editId="39C1C822">
            <wp:simplePos x="0" y="0"/>
            <wp:positionH relativeFrom="margin">
              <wp:posOffset>2776220</wp:posOffset>
            </wp:positionH>
            <wp:positionV relativeFrom="paragraph">
              <wp:posOffset>6350</wp:posOffset>
            </wp:positionV>
            <wp:extent cx="2823210" cy="1009650"/>
            <wp:effectExtent l="0" t="0" r="0" b="0"/>
            <wp:wrapSquare wrapText="bothSides"/>
            <wp:docPr id="1713365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65874" name=""/>
                    <pic:cNvPicPr/>
                  </pic:nvPicPr>
                  <pic:blipFill>
                    <a:blip r:embed="rId10">
                      <a:extLst>
                        <a:ext uri="{28A0092B-C50C-407E-A947-70E740481C1C}">
                          <a14:useLocalDpi xmlns:a14="http://schemas.microsoft.com/office/drawing/2010/main" val="0"/>
                        </a:ext>
                      </a:extLst>
                    </a:blip>
                    <a:stretch>
                      <a:fillRect/>
                    </a:stretch>
                  </pic:blipFill>
                  <pic:spPr>
                    <a:xfrm>
                      <a:off x="0" y="0"/>
                      <a:ext cx="2823210" cy="1009650"/>
                    </a:xfrm>
                    <a:prstGeom prst="rect">
                      <a:avLst/>
                    </a:prstGeom>
                  </pic:spPr>
                </pic:pic>
              </a:graphicData>
            </a:graphic>
            <wp14:sizeRelH relativeFrom="margin">
              <wp14:pctWidth>0</wp14:pctWidth>
            </wp14:sizeRelH>
            <wp14:sizeRelV relativeFrom="margin">
              <wp14:pctHeight>0</wp14:pctHeight>
            </wp14:sizeRelV>
          </wp:anchor>
        </w:drawing>
      </w:r>
    </w:p>
    <w:p w14:paraId="1E9C683B" w14:textId="6EE3BC88" w:rsidR="00616982" w:rsidRPr="00915B95" w:rsidRDefault="00616982" w:rsidP="00616982">
      <w:pPr>
        <w:spacing w:after="0" w:line="240" w:lineRule="auto"/>
        <w:jc w:val="right"/>
        <w:rPr>
          <w:rFonts w:ascii="Verdana" w:eastAsia="Verdana" w:hAnsi="Verdana" w:cs="Verdana"/>
          <w:kern w:val="2"/>
          <w14:ligatures w14:val="standardContextual"/>
        </w:rPr>
      </w:pPr>
    </w:p>
    <w:p w14:paraId="0F58F00D" w14:textId="77777777" w:rsidR="00915B95" w:rsidRPr="00915B95" w:rsidRDefault="00915B95" w:rsidP="00915B95">
      <w:pPr>
        <w:spacing w:after="0" w:line="240" w:lineRule="auto"/>
        <w:rPr>
          <w:rFonts w:ascii="Verdana" w:eastAsia="Verdana" w:hAnsi="Verdana" w:cs="Verdana"/>
          <w:kern w:val="2"/>
          <w14:ligatures w14:val="standardContextual"/>
        </w:rPr>
      </w:pPr>
    </w:p>
    <w:p w14:paraId="61FDE555" w14:textId="77777777" w:rsidR="00915B95" w:rsidRPr="00915B95" w:rsidRDefault="00915B95" w:rsidP="00915B95">
      <w:pPr>
        <w:spacing w:after="0" w:line="240" w:lineRule="auto"/>
        <w:rPr>
          <w:rFonts w:ascii="Verdana" w:eastAsia="Calibri" w:hAnsi="Verdana" w:cs="Arial"/>
          <w:lang w:val="es-ES" w:eastAsia="es-ES"/>
        </w:rPr>
      </w:pPr>
      <w:r w:rsidRPr="00915B95">
        <w:rPr>
          <w:rFonts w:ascii="Verdana" w:eastAsia="Calibri" w:hAnsi="Verdana" w:cs="Arial"/>
          <w:lang w:val="es-ES" w:eastAsia="es-ES"/>
        </w:rPr>
        <w:t>Señor</w:t>
      </w:r>
    </w:p>
    <w:p w14:paraId="6453DA13" w14:textId="77777777" w:rsidR="00915B95" w:rsidRPr="00915B95" w:rsidRDefault="00915B95" w:rsidP="00915B95">
      <w:pPr>
        <w:spacing w:after="0" w:line="240" w:lineRule="auto"/>
        <w:rPr>
          <w:rFonts w:ascii="Verdana" w:eastAsia="Times New Roman" w:hAnsi="Verdana" w:cs="Times New Roman"/>
          <w:b/>
          <w:bCs/>
          <w:color w:val="242424"/>
          <w:shd w:val="clear" w:color="auto" w:fill="FFFFFF"/>
          <w:lang w:eastAsia="es-MX"/>
        </w:rPr>
      </w:pPr>
      <w:r w:rsidRPr="00915B95">
        <w:rPr>
          <w:rFonts w:ascii="Verdana" w:eastAsia="Times New Roman" w:hAnsi="Verdana" w:cs="Times New Roman"/>
          <w:b/>
          <w:bCs/>
          <w:color w:val="242424"/>
          <w:shd w:val="clear" w:color="auto" w:fill="FFFFFF"/>
          <w:lang w:eastAsia="es-MX"/>
        </w:rPr>
        <w:t xml:space="preserve">Juan Carlos Jacome Ropero </w:t>
      </w:r>
    </w:p>
    <w:p w14:paraId="7FE1EFD4" w14:textId="77777777" w:rsidR="00915B95" w:rsidRPr="00915B95" w:rsidRDefault="00915B95" w:rsidP="00915B95">
      <w:pPr>
        <w:spacing w:after="0" w:line="240" w:lineRule="auto"/>
        <w:rPr>
          <w:rFonts w:ascii="Verdana" w:eastAsia="Times New Roman" w:hAnsi="Verdana" w:cs="Times New Roman"/>
          <w:color w:val="242424"/>
          <w:shd w:val="clear" w:color="auto" w:fill="FFFFFF"/>
          <w:lang w:eastAsia="es-MX"/>
        </w:rPr>
      </w:pPr>
      <w:r w:rsidRPr="00915B95">
        <w:rPr>
          <w:rFonts w:ascii="Verdana" w:eastAsia="Times New Roman" w:hAnsi="Verdana" w:cs="Times New Roman"/>
          <w:color w:val="242424"/>
          <w:shd w:val="clear" w:color="auto" w:fill="FFFFFF"/>
          <w:lang w:eastAsia="es-MX"/>
        </w:rPr>
        <w:t>Abrego, Norte de Santander</w:t>
      </w:r>
    </w:p>
    <w:p w14:paraId="19BA8B8F" w14:textId="77777777" w:rsidR="00915B95" w:rsidRPr="00915B95" w:rsidRDefault="00915B95" w:rsidP="00915B95">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915B95" w:rsidRPr="00915B95" w14:paraId="37BAEF0F" w14:textId="77777777" w:rsidTr="00173079">
        <w:trPr>
          <w:trHeight w:val="326"/>
        </w:trPr>
        <w:tc>
          <w:tcPr>
            <w:tcW w:w="2268" w:type="dxa"/>
          </w:tcPr>
          <w:p w14:paraId="2488A3E0" w14:textId="77777777" w:rsidR="00915B95" w:rsidRPr="00915B95" w:rsidRDefault="00915B95" w:rsidP="00915B95">
            <w:pPr>
              <w:jc w:val="both"/>
              <w:rPr>
                <w:rFonts w:ascii="Verdana" w:eastAsia="Calibri" w:hAnsi="Verdana" w:cs="Arial"/>
                <w:b/>
                <w:bCs/>
                <w:lang w:val="es-ES_tradnl" w:eastAsia="es-ES_tradnl"/>
              </w:rPr>
            </w:pPr>
          </w:p>
        </w:tc>
        <w:tc>
          <w:tcPr>
            <w:tcW w:w="6100" w:type="dxa"/>
          </w:tcPr>
          <w:p w14:paraId="29038152" w14:textId="77777777" w:rsidR="00915B95" w:rsidRPr="00915B95" w:rsidRDefault="00915B95" w:rsidP="00915B95">
            <w:pPr>
              <w:jc w:val="both"/>
              <w:rPr>
                <w:rFonts w:ascii="Verdana" w:eastAsia="Calibri" w:hAnsi="Verdana" w:cs="Arial"/>
                <w:b/>
                <w:bCs/>
                <w:lang w:val="es-ES" w:eastAsia="es-ES"/>
              </w:rPr>
            </w:pPr>
            <w:r w:rsidRPr="00915B95">
              <w:rPr>
                <w:rFonts w:ascii="Verdana" w:eastAsia="Calibri" w:hAnsi="Verdana" w:cs="Arial"/>
                <w:b/>
                <w:bCs/>
                <w:lang w:val="es-ES" w:eastAsia="es-ES"/>
              </w:rPr>
              <w:t xml:space="preserve">Concepto </w:t>
            </w:r>
            <w:bookmarkStart w:id="1" w:name="OLE_LINK1"/>
            <w:r w:rsidRPr="00915B95">
              <w:rPr>
                <w:rFonts w:ascii="Verdana" w:eastAsia="Calibri" w:hAnsi="Verdana" w:cs="Arial"/>
                <w:b/>
                <w:bCs/>
                <w:lang w:val="es-ES" w:eastAsia="es-ES"/>
              </w:rPr>
              <w:t>C-1447 de 2026</w:t>
            </w:r>
            <w:bookmarkEnd w:id="1"/>
          </w:p>
          <w:p w14:paraId="0685026E" w14:textId="77777777" w:rsidR="00915B95" w:rsidRPr="00915B95" w:rsidRDefault="00915B95" w:rsidP="00915B95">
            <w:pPr>
              <w:jc w:val="both"/>
              <w:rPr>
                <w:rFonts w:ascii="Verdana" w:eastAsia="Calibri" w:hAnsi="Verdana" w:cs="Arial"/>
                <w:b/>
                <w:bCs/>
                <w:lang w:val="es-ES" w:eastAsia="es-ES"/>
              </w:rPr>
            </w:pPr>
          </w:p>
        </w:tc>
      </w:tr>
      <w:tr w:rsidR="00915B95" w:rsidRPr="00915B95" w14:paraId="2AF80BD0" w14:textId="77777777" w:rsidTr="00173079">
        <w:trPr>
          <w:trHeight w:val="884"/>
        </w:trPr>
        <w:tc>
          <w:tcPr>
            <w:tcW w:w="2268" w:type="dxa"/>
          </w:tcPr>
          <w:p w14:paraId="1971D5AA" w14:textId="77777777" w:rsidR="00915B95" w:rsidRPr="00915B95" w:rsidRDefault="00915B95" w:rsidP="00915B95">
            <w:pPr>
              <w:jc w:val="both"/>
              <w:rPr>
                <w:rFonts w:ascii="Verdana" w:eastAsia="Calibri" w:hAnsi="Verdana" w:cs="Arial"/>
                <w:lang w:val="es-ES_tradnl" w:eastAsia="es-ES_tradnl"/>
              </w:rPr>
            </w:pPr>
            <w:r w:rsidRPr="00915B95">
              <w:rPr>
                <w:rFonts w:ascii="Verdana" w:eastAsia="Calibri" w:hAnsi="Verdana" w:cs="Arial"/>
                <w:b/>
                <w:lang w:val="es-ES_tradnl" w:eastAsia="es-ES_tradnl"/>
              </w:rPr>
              <w:t>Temas:</w:t>
            </w:r>
            <w:r w:rsidRPr="00915B95">
              <w:rPr>
                <w:rFonts w:ascii="Verdana" w:eastAsia="Calibri" w:hAnsi="Verdana" w:cs="Arial"/>
                <w:lang w:val="es-ES_tradnl" w:eastAsia="es-ES_tradnl"/>
              </w:rPr>
              <w:t xml:space="preserve">                   </w:t>
            </w:r>
          </w:p>
        </w:tc>
        <w:tc>
          <w:tcPr>
            <w:tcW w:w="6100" w:type="dxa"/>
          </w:tcPr>
          <w:p w14:paraId="3F1E8B9D" w14:textId="77777777" w:rsidR="00915B95" w:rsidRPr="00915B95" w:rsidRDefault="00915B95" w:rsidP="00915B95">
            <w:pPr>
              <w:spacing w:line="276" w:lineRule="auto"/>
              <w:jc w:val="both"/>
              <w:rPr>
                <w:rFonts w:ascii="Verdana" w:eastAsia="Calibri" w:hAnsi="Verdana" w:cs="Arial"/>
                <w:lang w:val="es-ES_tradnl" w:eastAsia="es-MX"/>
              </w:rPr>
            </w:pPr>
            <w:r w:rsidRPr="00915B95">
              <w:rPr>
                <w:rFonts w:ascii="Verdana" w:eastAsia="Calibri" w:hAnsi="Verdana" w:cs="Arial"/>
                <w:lang w:val="es-ES_tradnl" w:eastAsia="es-MX"/>
              </w:rPr>
              <w:t>DOCUMENTOS TIPO – Fundamento normativo – Obligatoriedad / SECTOR SOCIAL</w:t>
            </w:r>
            <w:r w:rsidRPr="00915B95">
              <w:rPr>
                <w:rFonts w:ascii="Verdana" w:eastAsia="Calibri" w:hAnsi="Verdana" w:cs="Times New Roman"/>
                <w:lang w:val="es-ES" w:eastAsia="es-MX"/>
              </w:rPr>
              <w:t xml:space="preserve"> – Documentos tipo – Vigentes</w:t>
            </w:r>
            <w:r w:rsidRPr="00915B95">
              <w:rPr>
                <w:rFonts w:ascii="Verdana" w:eastAsia="Calibri" w:hAnsi="Verdana" w:cs="Arial"/>
                <w:lang w:val="es-ES_tradnl" w:eastAsia="es-MX"/>
              </w:rPr>
              <w:t xml:space="preserve"> / </w:t>
            </w:r>
            <w:r w:rsidRPr="00915B95">
              <w:rPr>
                <w:rFonts w:ascii="Verdana" w:eastAsia="Calibri" w:hAnsi="Verdana" w:cs="Times New Roman"/>
                <w:lang w:val="es-ES" w:eastAsia="es-MX"/>
              </w:rPr>
              <w:t xml:space="preserve">DOCUMENTOS TIPO – Aplicación – Matriz de Experiencia </w:t>
            </w:r>
            <w:r w:rsidRPr="00915B95">
              <w:rPr>
                <w:rFonts w:ascii="Verdana" w:eastAsia="Calibri" w:hAnsi="Verdana" w:cs="Arial"/>
                <w:lang w:val="es-ES_tradnl" w:eastAsia="es-MX"/>
              </w:rPr>
              <w:t xml:space="preserve">/ </w:t>
            </w:r>
            <w:r w:rsidRPr="00915B95">
              <w:rPr>
                <w:rFonts w:ascii="Verdana" w:eastAsia="Calibri" w:hAnsi="Verdana" w:cs="Times New Roman"/>
                <w:lang w:val="es-ES" w:eastAsia="es-MX"/>
              </w:rPr>
              <w:t xml:space="preserve">SEGURIDAD SOCIAL – Verificación – Pago – Persona natural – Persona jurídica </w:t>
            </w:r>
            <w:r w:rsidRPr="00915B95">
              <w:rPr>
                <w:rFonts w:ascii="Verdana" w:eastAsia="Calibri" w:hAnsi="Verdana" w:cs="Arial"/>
                <w:lang w:val="es-ES_tradnl" w:eastAsia="es-MX"/>
              </w:rPr>
              <w:t xml:space="preserve">/ </w:t>
            </w:r>
            <w:r w:rsidRPr="00915B95">
              <w:rPr>
                <w:rFonts w:ascii="Verdana" w:eastAsia="Calibri" w:hAnsi="Verdana" w:cs="Arial"/>
                <w:noProof/>
                <w:color w:val="1A1A1A"/>
                <w:lang w:val="es-ES_tradnl"/>
              </w:rPr>
              <w:t>DOCUMENTOS TIPO – Licitación de obra pública – Infraestructura social – Versión 2 – Seguridad social – Personas naturales – Personas jurídicas</w:t>
            </w:r>
            <w:r w:rsidRPr="00915B95">
              <w:rPr>
                <w:rFonts w:ascii="Verdana" w:eastAsia="Calibri" w:hAnsi="Verdana" w:cs="Arial"/>
                <w:lang w:val="es-ES_tradnl" w:eastAsia="es-MX"/>
              </w:rPr>
              <w:t xml:space="preserve"> / </w:t>
            </w:r>
            <w:r w:rsidRPr="00915B95">
              <w:rPr>
                <w:rFonts w:ascii="Verdana" w:eastAsia="Arial" w:hAnsi="Verdana" w:cs="Arial"/>
                <w:color w:val="000000"/>
                <w:lang w:val="es-ES" w:eastAsia="es-MX"/>
              </w:rPr>
              <w:t xml:space="preserve">CAUSALES DE RECHAZO – Nominadas – La Ley – Pliegos de condiciones – Aplicación estricta – Interpretación restrictiva </w:t>
            </w:r>
            <w:r w:rsidRPr="00915B95">
              <w:rPr>
                <w:rFonts w:ascii="Verdana" w:eastAsia="Calibri" w:hAnsi="Verdana" w:cs="Arial"/>
                <w:lang w:val="es-ES" w:eastAsia="es-MX"/>
              </w:rPr>
              <w:t xml:space="preserve">/ </w:t>
            </w:r>
            <w:r w:rsidRPr="00915B95">
              <w:rPr>
                <w:rFonts w:ascii="Verdana" w:eastAsia="Calibri" w:hAnsi="Verdana" w:cs="Arial"/>
              </w:rPr>
              <w:t xml:space="preserve">DOCUMENTOS TIPO </w:t>
            </w:r>
            <w:r w:rsidRPr="00915B95">
              <w:rPr>
                <w:rFonts w:ascii="Verdana" w:eastAsia="Calibri" w:hAnsi="Verdana" w:cs="Arial"/>
                <w:color w:val="000000"/>
              </w:rPr>
              <w:t xml:space="preserve">– Licitación de obra pública – Infraestructura social – Versión 2 – </w:t>
            </w:r>
            <w:r w:rsidRPr="00915B95">
              <w:rPr>
                <w:rFonts w:ascii="Verdana" w:eastAsia="Calibri" w:hAnsi="Verdana" w:cs="Arial"/>
              </w:rPr>
              <w:t>Causales de rechazo – Información Inexacta - Literal G</w:t>
            </w:r>
            <w:r w:rsidRPr="00915B95">
              <w:rPr>
                <w:rFonts w:ascii="Verdana" w:eastAsia="Calibri" w:hAnsi="Verdana" w:cs="Arial"/>
                <w:lang w:eastAsia="es-MX"/>
              </w:rPr>
              <w:t xml:space="preserve"> / </w:t>
            </w:r>
            <w:r w:rsidRPr="00915B95">
              <w:rPr>
                <w:rFonts w:ascii="Verdana" w:eastAsia="Calibri" w:hAnsi="Verdana" w:cs="Arial"/>
                <w:lang w:val="es-MX"/>
              </w:rPr>
              <w:t>INFORMACIÓN INEXACTA – Verificación – Información – Documentación – Aportada</w:t>
            </w:r>
            <w:r w:rsidRPr="00915B95">
              <w:rPr>
                <w:rFonts w:ascii="Verdana" w:eastAsia="Calibri" w:hAnsi="Verdana" w:cs="Arial"/>
                <w:lang w:val="es-ES_tradnl" w:eastAsia="es-MX"/>
              </w:rPr>
              <w:t xml:space="preserve"> / </w:t>
            </w:r>
            <w:r w:rsidRPr="00915B95">
              <w:rPr>
                <w:rFonts w:ascii="Verdana" w:eastAsia="Calibri" w:hAnsi="Verdana" w:cs="Arial"/>
              </w:rPr>
              <w:t xml:space="preserve">INFORMACIÓN INEXACTA – Presunta falsedad – Manifestación del proponente – Rechazo de la oferta </w:t>
            </w:r>
          </w:p>
          <w:p w14:paraId="11DECA00" w14:textId="77777777" w:rsidR="00915B95" w:rsidRPr="00915B95" w:rsidRDefault="00915B95" w:rsidP="00915B95">
            <w:pPr>
              <w:jc w:val="both"/>
              <w:rPr>
                <w:rFonts w:ascii="Verdana" w:eastAsia="Calibri" w:hAnsi="Verdana" w:cs="Arial"/>
                <w:bCs/>
                <w:lang w:eastAsia="es-ES"/>
              </w:rPr>
            </w:pPr>
          </w:p>
        </w:tc>
      </w:tr>
      <w:tr w:rsidR="00915B95" w:rsidRPr="00915B95" w14:paraId="3FE68CD4" w14:textId="77777777" w:rsidTr="00173079">
        <w:tc>
          <w:tcPr>
            <w:tcW w:w="2268" w:type="dxa"/>
          </w:tcPr>
          <w:p w14:paraId="08E9EBAE" w14:textId="77777777" w:rsidR="00915B95" w:rsidRPr="00915B95" w:rsidRDefault="00915B95" w:rsidP="00915B95">
            <w:pPr>
              <w:jc w:val="both"/>
              <w:rPr>
                <w:rFonts w:ascii="Verdana" w:eastAsia="Calibri" w:hAnsi="Verdana" w:cs="Arial"/>
                <w:b/>
                <w:lang w:val="es-ES_tradnl" w:eastAsia="es-ES_tradnl"/>
              </w:rPr>
            </w:pPr>
            <w:r w:rsidRPr="00915B95">
              <w:rPr>
                <w:rFonts w:ascii="Verdana" w:eastAsia="Calibri" w:hAnsi="Verdana" w:cs="Arial"/>
                <w:b/>
                <w:lang w:val="es-ES_tradnl" w:eastAsia="es-ES_tradnl"/>
              </w:rPr>
              <w:t>Radicación:</w:t>
            </w:r>
            <w:r w:rsidRPr="00915B95">
              <w:rPr>
                <w:rFonts w:ascii="Verdana" w:eastAsia="Calibri" w:hAnsi="Verdana" w:cs="Arial"/>
                <w:lang w:val="es-ES_tradnl" w:eastAsia="es-ES_tradnl"/>
              </w:rPr>
              <w:t xml:space="preserve">               </w:t>
            </w:r>
          </w:p>
        </w:tc>
        <w:tc>
          <w:tcPr>
            <w:tcW w:w="6100" w:type="dxa"/>
          </w:tcPr>
          <w:p w14:paraId="11031FC5" w14:textId="77777777" w:rsidR="00915B95" w:rsidRPr="00915B95" w:rsidRDefault="00915B95" w:rsidP="00915B95">
            <w:pPr>
              <w:ind w:left="3" w:hanging="3"/>
              <w:jc w:val="both"/>
              <w:rPr>
                <w:rFonts w:ascii="Verdana" w:eastAsia="Calibri" w:hAnsi="Verdana" w:cs="Arial"/>
                <w:lang w:val="es-ES_tradnl" w:eastAsia="es-ES_tradnl"/>
              </w:rPr>
            </w:pPr>
            <w:r w:rsidRPr="00915B95">
              <w:rPr>
                <w:rFonts w:ascii="Verdana" w:eastAsia="Calibri" w:hAnsi="Verdana" w:cs="Arial"/>
                <w:lang w:val="es-ES_tradnl" w:eastAsia="es-ES_tradnl"/>
              </w:rPr>
              <w:t>Respuesta a consulta con radicado No. 1_2026_09_14_012246</w:t>
            </w:r>
          </w:p>
        </w:tc>
      </w:tr>
    </w:tbl>
    <w:p w14:paraId="0AB566B4" w14:textId="77777777" w:rsidR="00915B95" w:rsidRPr="00915B95" w:rsidRDefault="00915B95" w:rsidP="00915B95">
      <w:pPr>
        <w:spacing w:after="0" w:line="240" w:lineRule="auto"/>
        <w:jc w:val="both"/>
        <w:rPr>
          <w:rFonts w:ascii="Verdana" w:eastAsia="Calibri" w:hAnsi="Verdana" w:cs="Arial"/>
          <w:lang w:val="es-ES_tradnl" w:eastAsia="es-ES_tradnl"/>
        </w:rPr>
      </w:pPr>
    </w:p>
    <w:p w14:paraId="6C31B804" w14:textId="77777777" w:rsidR="00915B95" w:rsidRPr="00915B95" w:rsidRDefault="00915B95" w:rsidP="00915B95">
      <w:pPr>
        <w:spacing w:after="0" w:line="276" w:lineRule="auto"/>
        <w:jc w:val="both"/>
        <w:rPr>
          <w:rFonts w:ascii="Verdana" w:eastAsia="Calibri" w:hAnsi="Verdana" w:cs="Arial"/>
          <w:lang w:val="es-ES" w:eastAsia="es-ES"/>
        </w:rPr>
      </w:pPr>
      <w:r w:rsidRPr="00915B95">
        <w:rPr>
          <w:rFonts w:ascii="Verdana" w:eastAsia="Calibri" w:hAnsi="Verdana" w:cs="Arial"/>
          <w:lang w:val="es-ES" w:eastAsia="es-ES"/>
        </w:rPr>
        <w:t xml:space="preserve">Estimado señor </w:t>
      </w:r>
      <w:r w:rsidRPr="00915B95">
        <w:rPr>
          <w:rFonts w:ascii="Verdana" w:eastAsia="Times New Roman" w:hAnsi="Verdana" w:cs="Times New Roman"/>
          <w:color w:val="242424"/>
          <w:shd w:val="clear" w:color="auto" w:fill="FFFFFF"/>
          <w:lang w:eastAsia="es-MX"/>
        </w:rPr>
        <w:t>Jacome Ropero</w:t>
      </w:r>
      <w:r w:rsidRPr="00915B95">
        <w:rPr>
          <w:rFonts w:ascii="Verdana" w:eastAsia="Calibri" w:hAnsi="Verdana" w:cs="Arial"/>
          <w:lang w:val="es-ES" w:eastAsia="es-ES"/>
        </w:rPr>
        <w:t xml:space="preserve">: </w:t>
      </w:r>
    </w:p>
    <w:p w14:paraId="4A6D6D3C" w14:textId="77777777" w:rsidR="00915B95" w:rsidRPr="00915B95" w:rsidRDefault="00915B95" w:rsidP="00915B95">
      <w:pPr>
        <w:tabs>
          <w:tab w:val="left" w:pos="3768"/>
        </w:tabs>
        <w:spacing w:after="0" w:line="276" w:lineRule="auto"/>
        <w:jc w:val="both"/>
        <w:rPr>
          <w:rFonts w:ascii="Verdana" w:eastAsia="Calibri" w:hAnsi="Verdana" w:cs="Arial"/>
          <w:lang w:val="es-ES" w:eastAsia="es-ES"/>
        </w:rPr>
      </w:pPr>
      <w:r w:rsidRPr="00915B95">
        <w:rPr>
          <w:rFonts w:ascii="Verdana" w:eastAsia="Calibri" w:hAnsi="Verdana" w:cs="Arial"/>
          <w:lang w:val="es-ES" w:eastAsia="es-ES"/>
        </w:rPr>
        <w:tab/>
      </w:r>
    </w:p>
    <w:p w14:paraId="63047355" w14:textId="77777777" w:rsidR="00915B95" w:rsidRPr="00915B95" w:rsidRDefault="00915B95" w:rsidP="00915B95">
      <w:pPr>
        <w:spacing w:after="0" w:line="276" w:lineRule="auto"/>
        <w:jc w:val="both"/>
        <w:rPr>
          <w:rFonts w:ascii="Verdana" w:eastAsia="Calibri" w:hAnsi="Verdana" w:cs="Arial"/>
          <w:lang w:val="es-ES" w:eastAsia="es-ES"/>
        </w:rPr>
      </w:pPr>
      <w:r w:rsidRPr="00915B95">
        <w:rPr>
          <w:rFonts w:ascii="Verdana" w:eastAsia="Calibri" w:hAnsi="Verdana" w:cs="Arial"/>
          <w:lang w:val="es-ES" w:eastAsia="es-ES"/>
        </w:rPr>
        <w:t>En ejercicio de la competencia otorgada por los artículos 3, numeral 5º, y 11, numeral 8º, del Decreto Ley 4170 de 2011,</w:t>
      </w:r>
      <w:r w:rsidRPr="00915B95">
        <w:rPr>
          <w:rFonts w:ascii="Verdana" w:eastAsia="Arial MT" w:hAnsi="Verdana" w:cs="Arial MT"/>
          <w:lang w:val="es-ES" w:eastAsia="es-ES"/>
        </w:rPr>
        <w:t xml:space="preserve"> </w:t>
      </w:r>
      <w:r w:rsidRPr="00915B95">
        <w:rPr>
          <w:rFonts w:ascii="Verdana" w:eastAsia="Calibri" w:hAnsi="Verdana" w:cs="Arial"/>
          <w:lang w:eastAsia="es-MX"/>
        </w:rPr>
        <w:t xml:space="preserve">así como lo establecido por la </w:t>
      </w:r>
      <w:r w:rsidRPr="00915B95">
        <w:rPr>
          <w:rFonts w:ascii="Verdana" w:eastAsia="Aptos" w:hAnsi="Verdana" w:cs="Arial"/>
          <w:bCs/>
          <w:lang w:eastAsia="es-ES" w:bidi="es-ES"/>
        </w:rPr>
        <w:t>Resolución 469 de 2025 expedida por esta Entidad</w:t>
      </w:r>
      <w:r w:rsidRPr="00915B95">
        <w:rPr>
          <w:rFonts w:ascii="Verdana" w:eastAsia="Calibri" w:hAnsi="Verdana" w:cs="Arial"/>
          <w:lang w:eastAsia="es-MX"/>
        </w:rPr>
        <w:t xml:space="preserve">, </w:t>
      </w:r>
      <w:r w:rsidRPr="00915B95">
        <w:rPr>
          <w:rFonts w:ascii="Verdana" w:eastAsia="Calibri" w:hAnsi="Verdana" w:cs="Arial"/>
          <w:lang w:val="es-ES" w:eastAsia="es-ES"/>
        </w:rPr>
        <w:t xml:space="preserve">la Agencia Nacional de Contratación Pública – Colombia Compra Eficiente– responde su solicitud de consulta del 13 de septiembre de 2026, en la cual manifiesta lo siguiente: </w:t>
      </w:r>
    </w:p>
    <w:p w14:paraId="3CC96A3B" w14:textId="77777777" w:rsidR="00915B95" w:rsidRPr="00915B95" w:rsidRDefault="00915B95" w:rsidP="00915B95">
      <w:pPr>
        <w:tabs>
          <w:tab w:val="left" w:pos="142"/>
          <w:tab w:val="left" w:pos="284"/>
        </w:tabs>
        <w:spacing w:after="0" w:line="276" w:lineRule="auto"/>
        <w:ind w:left="709" w:right="709"/>
        <w:jc w:val="both"/>
        <w:rPr>
          <w:rFonts w:ascii="Verdana" w:eastAsia="Century Gothic" w:hAnsi="Verdana" w:cs="Century Gothic"/>
          <w:b/>
          <w:bCs/>
          <w:lang w:eastAsia="es-MX"/>
        </w:rPr>
      </w:pPr>
    </w:p>
    <w:p w14:paraId="15FD37EC" w14:textId="77777777" w:rsidR="00915B95" w:rsidRPr="00915B95" w:rsidRDefault="00915B95" w:rsidP="00915B9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Times New Roman" w:hAnsi="Verdana" w:cs="Times New Roman"/>
          <w:color w:val="242424"/>
          <w:sz w:val="20"/>
          <w:szCs w:val="20"/>
          <w:lang w:eastAsia="es-MX"/>
        </w:rPr>
        <w:t>“</w:t>
      </w:r>
      <w:r w:rsidRPr="00915B95">
        <w:rPr>
          <w:rFonts w:ascii="Verdana" w:eastAsia="Aptos" w:hAnsi="Verdana" w:cs="Times New Roman"/>
          <w:kern w:val="2"/>
          <w:sz w:val="20"/>
          <w:szCs w:val="20"/>
          <w14:ligatures w14:val="standardContextual"/>
        </w:rPr>
        <w:t xml:space="preserve">I. OBJETO DE LA CONSULTA </w:t>
      </w:r>
    </w:p>
    <w:p w14:paraId="2E570E16" w14:textId="77777777" w:rsidR="00915B95" w:rsidRPr="00915B95" w:rsidRDefault="00915B95" w:rsidP="00915B9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La consulta busca establecer cuál debe ser el tratamiento jurídico que una Entidad Estatal debe dar, dentro de un proceso de selección sometido a Documentos Tipo, a estados de cuenta o reportes de cartera de una EPS que son obtenidos y aportados por una veeduría ciudadana con el propósito de controvertir la Certificación de Pagos de Seguridad Social y Aportes Legales – Formato 6 presentada por un proponente. </w:t>
      </w:r>
    </w:p>
    <w:p w14:paraId="5CC4220E" w14:textId="77777777" w:rsidR="00915B95" w:rsidRPr="00915B95" w:rsidRDefault="00915B95" w:rsidP="00915B9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En particular, interesa precisar si tales documentos pueden utilizarse directamente para desvirtuar el Formato 6 y sustentar una consecuencia adversa, incluida una eventual causal de rechazo, cuando el documento contiene datos personales de trabajadores sujetos a circulación restringida y no se encuentra acreditada la habilitación jurídica mediante la cual la veeduría accedió a esa información; o si, por el contrario, la observación debe ser tratada como una alerta que conduzca a una verificación propia e independiente de la Entidad Estatal, mediante canales institucionales y fuentes legítimas, con garantía de contradicción y debido proceso. </w:t>
      </w:r>
    </w:p>
    <w:p w14:paraId="6B5B5889" w14:textId="77777777" w:rsidR="00915B95" w:rsidRPr="00915B95" w:rsidRDefault="00915B95" w:rsidP="00915B95">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No se solicita a Colombia Compra Eficiente decidir la habilitación, rechazo o adjudicación de los procesos particulares que se mencionan a continuación. Estos se exponen únicamente como antecedentes ilustrativos de una situación que se ha presentado en más de una vigencia y respecto de distintos proponentes.</w:t>
      </w:r>
    </w:p>
    <w:p w14:paraId="2A607DBA"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II. ANTECEDENTES FÁCTICOS QUE MOTIVAN LA CONSULTA 1. </w:t>
      </w:r>
    </w:p>
    <w:p w14:paraId="52C40915"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Antecedente 2025 – Proceso AMJI LP-006-2025 En el proceso AMJI LP-006-2025 se presentaron observaciones de una veeduría ciudadana respecto del cumplimiento de aportes al Sistema de Seguridad Social de diferentes oferentes. Dentro de los documentos aportados a esta consulta aparecen cuestionamientos relacionados tanto con INCOAS S.A.S., NIT 901389045, como con CONSTRUCTORA CARGET S.A.S., NIT 901145118-1. </w:t>
      </w:r>
    </w:p>
    <w:p w14:paraId="459D5387"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La veeduría manifestó que, con el propósito de verificar el estado de cuenta de oferentes, realizó gestiones ante EPS y obtuvo información que posteriormente utilizó para confrontar las certificaciones aportadas por los proponentes. En los anexos aparecen documentos denominados “Estado de Cuenta Individual por Empleador”, atribuidos a EPS, que contienen convenciones tales como “M – Periodo en Mora”, “N – Normalización” y “S – Suspendido”, junto con información individualizada de trabajadores. </w:t>
      </w:r>
    </w:p>
    <w:p w14:paraId="3F9A4745"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El punto que genera la consulta no es impedir el control social ni desconocer la posibilidad de verificar información del proponente. La inquietud consiste en determinar si un tercero estaba jurídicamente habilitado para acceder a información de esa naturaleza y, especialmente, </w:t>
      </w:r>
      <w:r w:rsidRPr="00915B95">
        <w:rPr>
          <w:rFonts w:ascii="Verdana" w:eastAsia="Aptos" w:hAnsi="Verdana" w:cs="Times New Roman"/>
          <w:kern w:val="2"/>
          <w:sz w:val="20"/>
          <w:szCs w:val="20"/>
          <w14:ligatures w14:val="standardContextual"/>
        </w:rPr>
        <w:lastRenderedPageBreak/>
        <w:t xml:space="preserve">qué valor puede darle la Entidad Estatal al documento aportado por la veeduría cuando su habilitación de acceso y circulación no está acreditada. </w:t>
      </w:r>
    </w:p>
    <w:p w14:paraId="1CAD0B1E"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2. Antecedente 2026 – Proceso LP-GB-003-2026, Gobernación de Boyacá </w:t>
      </w:r>
    </w:p>
    <w:p w14:paraId="35904AB3"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En el proceso LP-GB-003-2026 se presentó nuevamente una observación de veeduría relacionada, para efectos de esta consulta, con CONSTRUCTORA CARGET S.A.S. En el documento allegado se afirma que dicha sociedad “se encuentra en mora” en el pago de aportes a salud, con fundamento en un estado de cuenta atribuido a NUEVA EPS. </w:t>
      </w:r>
    </w:p>
    <w:p w14:paraId="7B8E95D5"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En el mismo antecedente se reproduce la regla del numeral 3.4.1 del Documento Base sobre personas jurídicas y la presentación del Formato 6 – Pagos de seguridad social y aportes legales. De allí surge una cuestión práctica: cómo debe proceder la Entidad Estatal cuando una certificación presentada conforme al Documento Tipo es controvertida mediante información externa aportada por una veeduría, particularmente si esa información contiene datos protegidos y su forma de obtención o circulación no se encuentra jurídicamente esclarecida.</w:t>
      </w:r>
    </w:p>
    <w:p w14:paraId="2817004B"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w:t>
      </w:r>
    </w:p>
    <w:p w14:paraId="15731717"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V. PROBLEMAS JURÍDICOS Y PETICIONES DE CONCEPTO </w:t>
      </w:r>
    </w:p>
    <w:p w14:paraId="7B4978A9"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1. Cuando los Documentos Tipo establecen que una persona jurídica acredita el cumplimiento de los pagos al Sistema de Seguridad Social Integral y aportes legales mediante el Formato 6, ¿puede una observación presentada por una veeduría ciudadana, acompañada de un estado de cuenta atribuido a una EPS, desvirtuar por sí sola dicha certificación? </w:t>
      </w:r>
    </w:p>
    <w:p w14:paraId="4CA6EB26"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2. Si el estado de cuenta aportado por la veeduría contiene datos personales de trabajadores sujetos a protección y no se encuentra acreditada la autorización de los titulares ni una habilitación legal específica que permita a la veeduría acceder a ellos, ¿puede la Entidad Estatal otorgar a ese documento valor suficiente para adoptar una decisión adversa respecto de la oferta? </w:t>
      </w:r>
    </w:p>
    <w:p w14:paraId="3A97DF1B"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3. Si posteriormente se establece por la autoridad competente que el acceso, suministro o circulación del estado de cuenta a favor de la veeduría se produjo sin habilitación jurídica, ¿qué incidencia tendría esa circunstancia en la posibilidad de utilizar dicho documento para desvirtuar el Formato 6 o fundamentar una causal de rechazo? </w:t>
      </w:r>
    </w:p>
    <w:p w14:paraId="6F56E187"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4. Ante una observación que constituye un indicio serio de una posible inconsistencia del Formato 6, pero que se sustenta en un documento cuya forma de obtención o circulación por el tercero no está acreditada, ¿debe la Entidad Estatal tomar la observación como una alerta y realizar una verificación propia, independiente y por canales institucionales legalmente habilitados, garantizando al proponente el derecho de contradicción y el debido proceso? </w:t>
      </w:r>
    </w:p>
    <w:p w14:paraId="7316E642"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lastRenderedPageBreak/>
        <w:t>5. En ese escenario, ¿existe diferencia jurídica entre: (i) utilizar directamente el estado de cuenta entregado por la veeduría, y (</w:t>
      </w:r>
      <w:proofErr w:type="spellStart"/>
      <w:r w:rsidRPr="00915B95">
        <w:rPr>
          <w:rFonts w:ascii="Verdana" w:eastAsia="Aptos" w:hAnsi="Verdana" w:cs="Times New Roman"/>
          <w:kern w:val="2"/>
          <w:sz w:val="20"/>
          <w:szCs w:val="20"/>
          <w14:ligatures w14:val="standardContextual"/>
        </w:rPr>
        <w:t>ii</w:t>
      </w:r>
      <w:proofErr w:type="spellEnd"/>
      <w:r w:rsidRPr="00915B95">
        <w:rPr>
          <w:rFonts w:ascii="Verdana" w:eastAsia="Aptos" w:hAnsi="Verdana" w:cs="Times New Roman"/>
          <w:kern w:val="2"/>
          <w:sz w:val="20"/>
          <w:szCs w:val="20"/>
          <w14:ligatures w14:val="standardContextual"/>
        </w:rPr>
        <w:t xml:space="preserve">) que la Entidad Estatal, a partir de la alerta, consulte o solicite por sus propios canales a la autoridad o administradora competente la información estrictamente necesaria para verificar el requisito? </w:t>
      </w:r>
    </w:p>
    <w:p w14:paraId="508C79AC"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6. ¿Puede una Entidad Estatal, con ocasión de una observación de veeduría, exigir al proponente planillas PILA, paz y salvos u otros documentos adicionales cuando el Documento Tipo ha establecido la forma específica de acreditar el requisito mediante el Formato 6? De ser posible alguna verificación adicional, ¿cuáles son sus límites para no convertir la verificación en un requisito habilitante adicional o modificar el Documento Tipo? </w:t>
      </w:r>
    </w:p>
    <w:p w14:paraId="38249387"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7. ¿La sola aparición de una anotación histórica identificada como “Mora”, “Suspendido” o equivalente en un estado de cuenta de una EPS es suficiente, desde la perspectiva de la evaluación contractual, para concluir que el proponente incumplió el requisito certificado en el Formato 6, o debe establecerse previamente el período, valor, exigibilidad, situación a la fecha de cierre y la inexistencia de pagos, correcciones, conciliaciones, depuraciones o normalizaciones posteriores?</w:t>
      </w:r>
    </w:p>
    <w:p w14:paraId="6E3C65ED"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8. Si el reporte de EPS fue generado con posterioridad al cierre del proceso, ¿puede por sí solo acreditar cuál era la situación exacta del proponente a la fecha de cierre, o corresponde efectuar una verificación histórica específica antes de derivar consecuencias sobre el Formato 6? </w:t>
      </w:r>
    </w:p>
    <w:p w14:paraId="1E1F24AB"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9. Cuando existe contradicción entre un Formato 6 suscrito bajo gravedad de juramento y un estado de cuenta aportado por un tercero, ¿cuál es el procedimiento que, conforme a los Documentos Tipo, debe seguir la Entidad Estatal para verificar la información y garantizar el derecho de defensa y contradicción del proponente? </w:t>
      </w:r>
    </w:p>
    <w:p w14:paraId="2BCE796E"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10. ¿Puede una observación de veeduría generar, en la práctica, una causal autónoma de rechazo o una exigencia documental no prevista en los Documentos Tipo, o cualquier consecuencia adversa debe encuadrarse estrictamente en las causales y reglas previstas en el Documento Base y en la ley? </w:t>
      </w:r>
    </w:p>
    <w:p w14:paraId="2B154B7A"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11. En relación con la causal de rechazo por información inexacta sobre la cual pueda existir una posible falsedad, ¿qué estándar mínimo de verificación debe cumplir la Entidad Estatal antes de concluir que un estado de cuenta de EPS contradice de manera suficiente la certificación del Formato 6? </w:t>
      </w:r>
    </w:p>
    <w:p w14:paraId="6AFD4AFA"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 xml:space="preserve">12. Finalmente, se solicita indicar cuál considera la Agencia que es la actuación jurídicamente adecuada de una Entidad Estatal cuando recibe una observación de veeduría sustentada en información potencialmente relevante para la seguridad social del proponente, pero cuya legitimidad </w:t>
      </w:r>
      <w:r w:rsidRPr="00915B95">
        <w:rPr>
          <w:rFonts w:ascii="Verdana" w:eastAsia="Aptos" w:hAnsi="Verdana" w:cs="Times New Roman"/>
          <w:kern w:val="2"/>
          <w:sz w:val="20"/>
          <w:szCs w:val="20"/>
          <w14:ligatures w14:val="standardContextual"/>
        </w:rPr>
        <w:lastRenderedPageBreak/>
        <w:t>de acceso, circulación o divulgación por parte del tercero no ha sido establecida.</w:t>
      </w:r>
    </w:p>
    <w:p w14:paraId="123259DA" w14:textId="77777777" w:rsidR="00915B95" w:rsidRPr="00915B95" w:rsidRDefault="00915B95" w:rsidP="00915B95">
      <w:pPr>
        <w:spacing w:after="120" w:line="240" w:lineRule="auto"/>
        <w:ind w:left="709" w:right="709"/>
        <w:jc w:val="both"/>
        <w:rPr>
          <w:rFonts w:ascii="Verdana" w:eastAsia="Aptos" w:hAnsi="Verdana" w:cs="Times New Roman"/>
          <w:kern w:val="2"/>
          <w:sz w:val="20"/>
          <w:szCs w:val="20"/>
          <w14:ligatures w14:val="standardContextual"/>
        </w:rPr>
      </w:pPr>
      <w:r w:rsidRPr="00915B95">
        <w:rPr>
          <w:rFonts w:ascii="Verdana" w:eastAsia="Aptos" w:hAnsi="Verdana" w:cs="Times New Roman"/>
          <w:kern w:val="2"/>
          <w:sz w:val="20"/>
          <w:szCs w:val="20"/>
          <w14:ligatures w14:val="standardContextual"/>
        </w:rPr>
        <w:t>(…)”.</w:t>
      </w:r>
    </w:p>
    <w:p w14:paraId="30ADAB6E" w14:textId="77777777" w:rsidR="00915B95" w:rsidRPr="00915B95" w:rsidRDefault="00915B95" w:rsidP="00915B95">
      <w:pPr>
        <w:spacing w:after="0" w:line="240" w:lineRule="auto"/>
        <w:ind w:left="700" w:right="709"/>
        <w:jc w:val="both"/>
        <w:rPr>
          <w:rFonts w:ascii="Verdana" w:eastAsia="Aptos" w:hAnsi="Verdana" w:cs="Arial"/>
          <w:sz w:val="21"/>
          <w:szCs w:val="21"/>
          <w:lang w:eastAsia="es-MX"/>
        </w:rPr>
      </w:pPr>
    </w:p>
    <w:p w14:paraId="11966D63" w14:textId="77777777" w:rsidR="00915B95" w:rsidRPr="00915B95" w:rsidRDefault="00915B95" w:rsidP="00915B95">
      <w:pPr>
        <w:spacing w:after="120" w:line="276" w:lineRule="auto"/>
        <w:ind w:firstLine="709"/>
        <w:jc w:val="both"/>
        <w:rPr>
          <w:rFonts w:ascii="Verdana" w:eastAsia="Calibri" w:hAnsi="Verdana" w:cs="Arial"/>
          <w:color w:val="000000"/>
          <w:lang w:val="es-ES" w:eastAsia="es-ES"/>
        </w:rPr>
      </w:pPr>
      <w:r w:rsidRPr="00915B9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15B95">
        <w:rPr>
          <w:rFonts w:ascii="Verdana" w:eastAsia="Calibri" w:hAnsi="Verdana" w:cs="Arial"/>
          <w:color w:val="000000"/>
          <w:lang w:val="es-ES_tradnl" w:eastAsia="es-ES_tradnl"/>
        </w:rPr>
        <w:tab/>
      </w:r>
    </w:p>
    <w:p w14:paraId="52EF1AF2" w14:textId="77777777" w:rsidR="00915B95" w:rsidRPr="00915B95" w:rsidRDefault="00915B95" w:rsidP="00915B95">
      <w:pPr>
        <w:spacing w:after="0" w:line="276" w:lineRule="auto"/>
        <w:ind w:firstLine="709"/>
        <w:jc w:val="both"/>
        <w:rPr>
          <w:rFonts w:ascii="Verdana" w:eastAsia="Calibri" w:hAnsi="Verdana" w:cs="Arial"/>
          <w:color w:val="000000"/>
          <w:lang w:val="es-ES" w:eastAsia="es-ES"/>
        </w:rPr>
      </w:pPr>
      <w:r w:rsidRPr="00915B9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915B95">
        <w:rPr>
          <w:rFonts w:ascii="Verdana" w:eastAsia="Calibri" w:hAnsi="Verdana" w:cs="Arial"/>
          <w:color w:val="7030A0"/>
          <w:lang w:val="es-ES" w:eastAsia="es-ES"/>
        </w:rPr>
        <w:t xml:space="preserve"> </w:t>
      </w:r>
      <w:r w:rsidRPr="00915B95">
        <w:rPr>
          <w:rFonts w:ascii="Verdana" w:eastAsia="Calibri" w:hAnsi="Verdana" w:cs="Arial"/>
          <w:color w:val="000000"/>
          <w:lang w:val="es-ES" w:eastAsia="es-ES"/>
        </w:rPr>
        <w:t>problema</w:t>
      </w:r>
      <w:r w:rsidRPr="00915B95">
        <w:rPr>
          <w:rFonts w:ascii="Verdana" w:eastAsia="Calibri" w:hAnsi="Verdana" w:cs="Arial"/>
          <w:color w:val="7030A0"/>
          <w:lang w:val="es-ES" w:eastAsia="es-ES"/>
        </w:rPr>
        <w:t xml:space="preserve"> </w:t>
      </w:r>
      <w:r w:rsidRPr="00915B95">
        <w:rPr>
          <w:rFonts w:ascii="Verdana" w:eastAsia="Calibri" w:hAnsi="Verdana" w:cs="Arial"/>
          <w:color w:val="000000"/>
          <w:lang w:val="es-ES" w:eastAsia="es-ES"/>
        </w:rPr>
        <w:t>jurídico</w:t>
      </w:r>
      <w:r w:rsidRPr="00915B95">
        <w:rPr>
          <w:rFonts w:ascii="Verdana" w:eastAsia="Calibri" w:hAnsi="Verdana" w:cs="Arial"/>
          <w:color w:val="7030A0"/>
          <w:lang w:val="es-ES" w:eastAsia="es-ES"/>
        </w:rPr>
        <w:t xml:space="preserve"> </w:t>
      </w:r>
      <w:r w:rsidRPr="00915B95">
        <w:rPr>
          <w:rFonts w:ascii="Verdana" w:eastAsia="Calibri" w:hAnsi="Verdana" w:cs="Arial"/>
          <w:color w:val="000000"/>
          <w:lang w:val="es-ES" w:eastAsia="es-ES"/>
        </w:rPr>
        <w:t xml:space="preserve">de su consulta. </w:t>
      </w:r>
    </w:p>
    <w:p w14:paraId="39E9A7A8" w14:textId="77777777" w:rsidR="00915B95" w:rsidRPr="00915B95" w:rsidRDefault="00915B95" w:rsidP="00915B95">
      <w:pPr>
        <w:spacing w:after="0" w:line="276" w:lineRule="auto"/>
        <w:jc w:val="both"/>
        <w:rPr>
          <w:rFonts w:ascii="Verdana" w:eastAsia="Calibri" w:hAnsi="Verdana" w:cs="Arial"/>
          <w:lang w:val="es-ES" w:eastAsia="es-ES"/>
        </w:rPr>
      </w:pPr>
    </w:p>
    <w:p w14:paraId="53D1A787" w14:textId="77777777" w:rsidR="00915B95" w:rsidRPr="00915B95" w:rsidRDefault="00915B95" w:rsidP="00915B95">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915B95">
        <w:rPr>
          <w:rFonts w:ascii="Verdana" w:eastAsia="Century Gothic" w:hAnsi="Verdana" w:cs="Century Gothic"/>
          <w:b/>
          <w:bCs/>
          <w:lang w:eastAsia="es-MX"/>
        </w:rPr>
        <w:t>Problema planteado:</w:t>
      </w:r>
    </w:p>
    <w:p w14:paraId="2D14DB88" w14:textId="77777777" w:rsidR="00915B95" w:rsidRPr="00915B95" w:rsidRDefault="00915B95" w:rsidP="00915B95">
      <w:pPr>
        <w:tabs>
          <w:tab w:val="left" w:pos="426"/>
        </w:tabs>
        <w:spacing w:after="0" w:line="276" w:lineRule="auto"/>
        <w:jc w:val="both"/>
        <w:rPr>
          <w:rFonts w:ascii="Verdana" w:eastAsia="Century Gothic" w:hAnsi="Verdana" w:cs="Century Gothic"/>
          <w:lang w:val="es-ES" w:eastAsia="es-MX"/>
        </w:rPr>
      </w:pPr>
    </w:p>
    <w:p w14:paraId="1436C30E" w14:textId="77777777" w:rsidR="00915B95" w:rsidRPr="00915B95" w:rsidRDefault="00915B95" w:rsidP="00915B95">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r w:rsidRPr="00915B95">
        <w:rPr>
          <w:rFonts w:ascii="Verdana" w:eastAsia="Aptos" w:hAnsi="Verdana" w:cs="Times New Roman"/>
          <w:kern w:val="2"/>
          <w14:ligatures w14:val="standardContextual"/>
        </w:rPr>
        <w:t xml:space="preserve">De acuerdo con el contenido de su solicitud, esta Agencia resolverá los siguientes problemas jurídicos: </w:t>
      </w:r>
      <w:r w:rsidRPr="00915B95">
        <w:rPr>
          <w:rFonts w:ascii="Verdana" w:eastAsia="Calibri" w:hAnsi="Verdana" w:cs="Arial"/>
          <w:kern w:val="2"/>
          <w:lang w:val="es-ES_tradnl" w:eastAsia="es-MX"/>
          <w14:ligatures w14:val="standardContextual"/>
        </w:rPr>
        <w:t xml:space="preserve">i) ¿Cómo acredita el proponente persona jurídica el pago de los aportes al Sistema de Seguridad Social Integral y aportes legales en los procesos sometidos a los documentos tipo de licitación de obra pública de infraestructura social – versión 2, y puede la entidad estatal exigirle documentos distintos al Formato 6 – Pagos de seguridad social y aportes legales?; </w:t>
      </w:r>
      <w:proofErr w:type="spellStart"/>
      <w:r w:rsidRPr="00915B95">
        <w:rPr>
          <w:rFonts w:ascii="Verdana" w:eastAsia="Calibri" w:hAnsi="Verdana" w:cs="Arial"/>
          <w:kern w:val="2"/>
          <w:lang w:val="es-ES_tradnl" w:eastAsia="es-MX"/>
          <w14:ligatures w14:val="standardContextual"/>
        </w:rPr>
        <w:t>ii</w:t>
      </w:r>
      <w:proofErr w:type="spellEnd"/>
      <w:r w:rsidRPr="00915B95">
        <w:rPr>
          <w:rFonts w:ascii="Verdana" w:eastAsia="Calibri" w:hAnsi="Verdana" w:cs="Arial"/>
          <w:kern w:val="2"/>
          <w:lang w:val="es-ES_tradnl" w:eastAsia="es-MX"/>
          <w14:ligatures w14:val="standardContextual"/>
        </w:rPr>
        <w:t xml:space="preserve">) ¿Qué alcance tiene la facultad de verificación prevista en el numeral 1.11 del Documento Base cuando, en el traslado del informe de evaluación, se presentan observaciones que controvierten la información consignada en el Formato 6?; y </w:t>
      </w:r>
      <w:proofErr w:type="spellStart"/>
      <w:r w:rsidRPr="00915B95">
        <w:rPr>
          <w:rFonts w:ascii="Verdana" w:eastAsia="Calibri" w:hAnsi="Verdana" w:cs="Arial"/>
          <w:kern w:val="2"/>
          <w:lang w:val="es-ES_tradnl" w:eastAsia="es-MX"/>
          <w14:ligatures w14:val="standardContextual"/>
        </w:rPr>
        <w:t>iii</w:t>
      </w:r>
      <w:proofErr w:type="spellEnd"/>
      <w:r w:rsidRPr="00915B95">
        <w:rPr>
          <w:rFonts w:ascii="Verdana" w:eastAsia="Calibri" w:hAnsi="Verdana" w:cs="Arial"/>
          <w:kern w:val="2"/>
          <w:lang w:val="es-ES_tradnl" w:eastAsia="es-MX"/>
          <w14:ligatures w14:val="standardContextual"/>
        </w:rPr>
        <w:t xml:space="preserve">) ¿Cuándo se configura la causal de rechazo del literal G del numeral 1.15 del Documento Base, relativa a la información inexacta sobre la cual pueda existir </w:t>
      </w:r>
      <w:r w:rsidRPr="00915B95">
        <w:rPr>
          <w:rFonts w:ascii="Verdana" w:eastAsia="Calibri" w:hAnsi="Verdana" w:cs="Arial"/>
          <w:kern w:val="2"/>
          <w:lang w:val="es-ES_tradnl" w:eastAsia="es-MX"/>
          <w14:ligatures w14:val="standardContextual"/>
        </w:rPr>
        <w:lastRenderedPageBreak/>
        <w:t>una posible falsedad, y qué debe hacer la entidad estatal antes de rechazar la oferta?</w:t>
      </w:r>
    </w:p>
    <w:p w14:paraId="13E5B0FA" w14:textId="77777777" w:rsidR="00915B95" w:rsidRPr="00915B95" w:rsidRDefault="00915B95" w:rsidP="00915B95">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6DC325D5" w14:textId="77777777" w:rsidR="00915B95" w:rsidRPr="00915B95" w:rsidRDefault="00915B95" w:rsidP="00915B95">
      <w:pPr>
        <w:spacing w:after="0" w:line="276" w:lineRule="auto"/>
        <w:jc w:val="both"/>
        <w:rPr>
          <w:rFonts w:ascii="Aptos" w:eastAsia="Aptos" w:hAnsi="Aptos" w:cs="Times New Roman"/>
          <w:kern w:val="2"/>
          <w:sz w:val="24"/>
          <w:szCs w:val="24"/>
          <w14:ligatures w14:val="standardContextual"/>
        </w:rPr>
      </w:pPr>
      <w:r w:rsidRPr="00915B95">
        <w:rPr>
          <w:rFonts w:ascii="Verdana" w:eastAsia="Calibri" w:hAnsi="Verdana" w:cs="Arial"/>
          <w:kern w:val="2"/>
          <w:lang w:val="es-ES_tradnl" w:eastAsia="es-MX"/>
          <w14:ligatures w14:val="standardContextual"/>
        </w:rPr>
        <w:t>Mediante el oficio con radicado de salida 2_2026_09_21_010098 del 21 de septiembre de 2026, esta Agencia dio traslado al Ministerio de Salud y Protección Social de las preguntas 1, 2, 3, 5, 7 y 8 de su solicitud, de conformidad con el artículo 21 de la Ley 1437 de 2011, sustituido por el artículo 1 de la Ley 1755 de 2015. Por tanto, en este concepto se atenderán las preguntas 4, 6, 9, 10, 11 y 12, en lo que corresponde a la aplicación de las normas de compras y contratación pública.</w:t>
      </w:r>
    </w:p>
    <w:p w14:paraId="728F535D" w14:textId="77777777" w:rsidR="00915B95" w:rsidRPr="00915B95" w:rsidRDefault="00915B95" w:rsidP="00915B95">
      <w:pPr>
        <w:widowControl w:val="0"/>
        <w:autoSpaceDE w:val="0"/>
        <w:autoSpaceDN w:val="0"/>
        <w:spacing w:after="0" w:line="276" w:lineRule="auto"/>
        <w:jc w:val="both"/>
        <w:rPr>
          <w:rFonts w:ascii="Verdana" w:eastAsia="Calibri" w:hAnsi="Verdana" w:cs="Arial"/>
          <w:kern w:val="2"/>
          <w:lang w:eastAsia="es-MX"/>
          <w14:ligatures w14:val="standardContextual"/>
        </w:rPr>
      </w:pPr>
    </w:p>
    <w:p w14:paraId="7F7E01B4" w14:textId="77777777" w:rsidR="00915B95" w:rsidRPr="00915B95" w:rsidRDefault="00915B95" w:rsidP="00915B95">
      <w:pPr>
        <w:tabs>
          <w:tab w:val="left" w:pos="142"/>
          <w:tab w:val="left" w:pos="284"/>
        </w:tabs>
        <w:spacing w:after="0" w:line="276" w:lineRule="auto"/>
        <w:contextualSpacing/>
        <w:jc w:val="both"/>
        <w:rPr>
          <w:rFonts w:ascii="Verdana" w:eastAsia="Century Gothic" w:hAnsi="Verdana" w:cs="Century Gothic"/>
          <w:b/>
          <w:bCs/>
          <w:lang w:val="es-ES" w:eastAsia="es-MX"/>
        </w:rPr>
      </w:pPr>
      <w:r w:rsidRPr="00915B95">
        <w:rPr>
          <w:rFonts w:ascii="Verdana" w:eastAsia="Century Gothic" w:hAnsi="Verdana" w:cs="Century Gothic"/>
          <w:b/>
          <w:bCs/>
          <w:lang w:val="es-ES" w:eastAsia="es-MX"/>
        </w:rPr>
        <w:t>2. Respuestas:</w:t>
      </w:r>
    </w:p>
    <w:p w14:paraId="20145E63" w14:textId="77777777" w:rsidR="00915B95" w:rsidRPr="00915B95" w:rsidRDefault="00915B95" w:rsidP="00915B95">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5B95" w:rsidRPr="00915B95" w14:paraId="5EEB38AC" w14:textId="77777777" w:rsidTr="00173079">
        <w:trPr>
          <w:trHeight w:val="40"/>
        </w:trPr>
        <w:tc>
          <w:tcPr>
            <w:tcW w:w="8828" w:type="dxa"/>
            <w:tcBorders>
              <w:top w:val="dotted" w:sz="4" w:space="0" w:color="auto"/>
              <w:left w:val="dotted" w:sz="4" w:space="0" w:color="auto"/>
              <w:bottom w:val="dotted" w:sz="4" w:space="0" w:color="auto"/>
              <w:right w:val="dotted" w:sz="4" w:space="0" w:color="auto"/>
            </w:tcBorders>
          </w:tcPr>
          <w:p w14:paraId="4875C984" w14:textId="77777777" w:rsidR="00915B95" w:rsidRPr="00915B95" w:rsidRDefault="00915B95" w:rsidP="00915B95">
            <w:pPr>
              <w:spacing w:after="120" w:line="276" w:lineRule="auto"/>
              <w:jc w:val="both"/>
              <w:rPr>
                <w:rFonts w:ascii="Verdana" w:eastAsia="Calibri" w:hAnsi="Verdana" w:cs="Arial"/>
                <w:b/>
                <w:lang w:val="es-ES_tradnl" w:eastAsia="es-CO"/>
              </w:rPr>
            </w:pPr>
            <w:r w:rsidRPr="00915B95">
              <w:rPr>
                <w:rFonts w:ascii="Verdana" w:eastAsia="MS Mincho" w:hAnsi="Verdana" w:cs="Arial"/>
                <w:shd w:val="clear" w:color="auto" w:fill="FFFFFF"/>
                <w:lang w:eastAsia="es-CO"/>
              </w:rPr>
              <w:t>i. En los documentos tipo de licitación de obra pública de infraestructura social – versión 2, la forma como se acredita el cumplimiento de las obligaciones frente al Sistema de Seguridad Social Integral, particularmente, durante el procedimiento de selección, es atendiendo las reglas establecidas en los numeral 3.4, 3.4.1, 3.4.2 y 3.4.3, cuyo contenido es inalterable, pues en dichos aspectos el Documento Tipo no permite su modificación por parte de las entidades estatales.</w:t>
            </w:r>
          </w:p>
          <w:p w14:paraId="69C0A6B7" w14:textId="77777777" w:rsidR="00915B95" w:rsidRPr="00915B95" w:rsidRDefault="00915B95" w:rsidP="00915B95">
            <w:pPr>
              <w:widowControl w:val="0"/>
              <w:autoSpaceDE w:val="0"/>
              <w:autoSpaceDN w:val="0"/>
              <w:spacing w:after="120" w:line="276" w:lineRule="auto"/>
              <w:ind w:firstLine="709"/>
              <w:jc w:val="both"/>
              <w:rPr>
                <w:rFonts w:ascii="Verdana" w:eastAsia="Calibri" w:hAnsi="Verdana" w:cs="Arial"/>
                <w:bCs/>
                <w:noProof/>
                <w:lang w:val="es-ES_tradnl"/>
              </w:rPr>
            </w:pPr>
            <w:r w:rsidRPr="00915B95">
              <w:rPr>
                <w:rFonts w:ascii="Verdana" w:eastAsia="Arial" w:hAnsi="Verdana" w:cs="Arial"/>
                <w:lang w:val="es-ES"/>
              </w:rPr>
              <w:t>Ahora bien, en lo concerniente al tema de consulta, obedeciendo al marco legal previsto en la materia, e</w:t>
            </w:r>
            <w:r w:rsidRPr="00915B95">
              <w:rPr>
                <w:rFonts w:ascii="Verdana" w:eastAsia="Calibri" w:hAnsi="Verdana" w:cs="Arial"/>
                <w:bCs/>
                <w:noProof/>
                <w:lang w:val="es-ES_tradnl"/>
              </w:rPr>
              <w:t xml:space="preserve">l numeral 3.4.1. del “Documento Base” del documento Tipo de </w:t>
            </w:r>
            <w:r w:rsidRPr="00915B95">
              <w:rPr>
                <w:rFonts w:ascii="Verdana" w:eastAsia="Calibri" w:hAnsi="Verdana" w:cs="Arial"/>
                <w:noProof/>
                <w:lang w:val="es-ES_tradnl"/>
              </w:rPr>
              <w:t>licitación de obra pública de infraestructura social – Versión 2</w:t>
            </w:r>
            <w:r w:rsidRPr="00915B95">
              <w:rPr>
                <w:rFonts w:ascii="Verdana" w:eastAsia="Calibri" w:hAnsi="Verdana" w:cs="Arial"/>
              </w:rPr>
              <w:t>,</w:t>
            </w:r>
            <w:r w:rsidRPr="00915B95">
              <w:rPr>
                <w:rFonts w:ascii="Verdana" w:eastAsia="Calibri" w:hAnsi="Verdana" w:cs="Arial"/>
                <w:noProof/>
                <w:lang w:val="es-ES_tradnl"/>
              </w:rPr>
              <w:t xml:space="preserve"> establecen que las personas jurídicas deben presentar el </w:t>
            </w:r>
            <w:r w:rsidRPr="00915B95">
              <w:rPr>
                <w:rFonts w:ascii="Verdana" w:eastAsia="Calibri" w:hAnsi="Verdana" w:cs="Arial"/>
                <w:bCs/>
                <w:noProof/>
                <w:lang w:val="es-ES_tradnl"/>
              </w:rPr>
              <w:t xml:space="preserve">Formato 6 – Pagos de seguridad social y aportes legales suscrito por el representante legal de la persona jurídica o el revisor fiscal, según corresponda, </w:t>
            </w:r>
            <w:r w:rsidRPr="00915B95">
              <w:rPr>
                <w:rFonts w:ascii="Verdana" w:eastAsia="Calibri" w:hAnsi="Verdana" w:cs="Arial"/>
                <w:noProof/>
                <w:lang w:val="es-ES_tradnl"/>
              </w:rPr>
              <w:t>bajo la gravedad del juramento. En dicho numeral se establece que basta con la presentación de dicho formato, aclarando expresamente que</w:t>
            </w:r>
            <w:r w:rsidRPr="00915B95">
              <w:rPr>
                <w:rFonts w:ascii="Verdana" w:eastAsia="Calibri" w:hAnsi="Verdana" w:cs="Arial"/>
                <w:bCs/>
                <w:noProof/>
                <w:lang w:val="es-ES_tradnl"/>
              </w:rPr>
              <w:t xml:space="preserve"> “La entidad no exigirá las planillas de pago. Bastará el certificado suscrito por el revisor fiscal, en los casos requeridos por la ley, o por el representante legal que así lo acredite”. Lo anterior de conformidad con lo establecido en los incisos 3 y 4 del artículo 50 de la Ley 789 de 2002.</w:t>
            </w:r>
          </w:p>
          <w:p w14:paraId="1EC8AB8D" w14:textId="77777777" w:rsidR="00915B95" w:rsidRPr="00915B95" w:rsidRDefault="00915B95" w:rsidP="00915B95">
            <w:pPr>
              <w:spacing w:after="120" w:line="276" w:lineRule="auto"/>
              <w:ind w:firstLine="708"/>
              <w:jc w:val="both"/>
              <w:rPr>
                <w:rFonts w:ascii="Aptos" w:eastAsia="Aptos" w:hAnsi="Aptos" w:cs="Times New Roman"/>
              </w:rPr>
            </w:pPr>
            <w:r w:rsidRPr="00915B95">
              <w:rPr>
                <w:rFonts w:ascii="Verdana" w:eastAsia="Calibri" w:hAnsi="Verdana" w:cs="Arial"/>
                <w:lang w:val="es-ES_tradnl" w:eastAsia="es-MX"/>
              </w:rPr>
              <w:t xml:space="preserve">En consecuencia, la entidad estatal no puede exigir al proponente persona jurídica planillas de pago u otros documentos adicionales al Formato 6 como condición para acreditar este requisito, aun cuando se presenten </w:t>
            </w:r>
            <w:r w:rsidRPr="00915B95">
              <w:rPr>
                <w:rFonts w:ascii="Verdana" w:eastAsia="Calibri" w:hAnsi="Verdana" w:cs="Arial"/>
                <w:lang w:val="es-ES_tradnl" w:eastAsia="es-MX"/>
              </w:rPr>
              <w:lastRenderedPageBreak/>
              <w:t>observaciones sobre su contenido. Si surgen dudas sobre la veracidad de la certificación, la entidad puede acudir a la facultad de verificación del numeral 1.11 del Documento Base, en los términos que se explican más adelante.</w:t>
            </w:r>
          </w:p>
          <w:p w14:paraId="1369F75F" w14:textId="77777777" w:rsidR="00915B95" w:rsidRPr="00915B95" w:rsidRDefault="00915B95" w:rsidP="00915B95">
            <w:pPr>
              <w:spacing w:after="120" w:line="276" w:lineRule="auto"/>
              <w:ind w:firstLine="709"/>
              <w:jc w:val="both"/>
              <w:rPr>
                <w:rFonts w:ascii="Verdana" w:eastAsia="Arial" w:hAnsi="Verdana" w:cs="Arial"/>
                <w:color w:val="000000"/>
                <w:lang w:val="es-ES" w:eastAsia="es-MX"/>
              </w:rPr>
            </w:pPr>
            <w:r w:rsidRPr="00915B95">
              <w:rPr>
                <w:rFonts w:ascii="Verdana" w:eastAsia="Arial" w:hAnsi="Verdana" w:cs="Arial"/>
                <w:color w:val="000000"/>
                <w:lang w:val="es-ES" w:eastAsia="es-MX"/>
              </w:rPr>
              <w:t xml:space="preserve">Con todo, debe advertirse que, la acreditación de pago de aportes a seguridad social constituye un requisito habilitante, por lo que, en principio, sería susceptible de subsanación, conforme a lo señalado en el parágrafo 1 del artículo 5 de la Ley 1150 de 2007 y el numeral 1.6 del documento base. No obstante, dicha subsanación no será válida cuando comporte la acreditación de circunstancia ocurridas con posterioridad al cierre, ni cuando se verifique la que inexactitud es imputable a una posible falsedad en la declaración contenida en el Formato 6 presentado inicialmente. </w:t>
            </w:r>
          </w:p>
          <w:p w14:paraId="6343C55C" w14:textId="77777777" w:rsidR="00915B95" w:rsidRPr="00915B95" w:rsidRDefault="00915B95" w:rsidP="00915B95">
            <w:pPr>
              <w:spacing w:after="120" w:line="276" w:lineRule="auto"/>
              <w:jc w:val="both"/>
              <w:rPr>
                <w:rFonts w:ascii="Verdana" w:eastAsia="Calibri" w:hAnsi="Verdana" w:cs="Arial"/>
                <w:bCs/>
              </w:rPr>
            </w:pPr>
            <w:proofErr w:type="spellStart"/>
            <w:r w:rsidRPr="00915B95">
              <w:rPr>
                <w:rFonts w:ascii="Verdana" w:eastAsia="Calibri" w:hAnsi="Verdana" w:cs="Arial"/>
                <w:bCs/>
              </w:rPr>
              <w:t>ii</w:t>
            </w:r>
            <w:proofErr w:type="spellEnd"/>
            <w:r w:rsidRPr="00915B95">
              <w:rPr>
                <w:rFonts w:ascii="Verdana" w:eastAsia="Calibri" w:hAnsi="Verdana" w:cs="Arial"/>
                <w:bCs/>
              </w:rPr>
              <w:t>. El numeral 1.11 del Documento Base faculta a la entidad estatal para verificar la información aportada, para lo cual podrá acudir a las autoridades, personas, empresas o entidades que estén en posición de verificar la información. No obstante, tal verificación es potestativa, no obligatoria, ya que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 Conforme a ello, la prerrogativa de verificación es una herramienta para que la Administración adquiera certeza en el cumplimiento de los requisitos del procedimiento de selección y del comportamiento leal que se exige a los proponentes.</w:t>
            </w:r>
          </w:p>
          <w:p w14:paraId="39F7500F"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lang w:val="es-MX"/>
              </w:rPr>
              <w:t xml:space="preserve">La </w:t>
            </w:r>
            <w:r w:rsidRPr="00915B95">
              <w:rPr>
                <w:rFonts w:ascii="Verdana" w:eastAsia="Calibri" w:hAnsi="Verdana" w:cs="Arial"/>
              </w:rPr>
              <w:t xml:space="preserve">regla de verificación de la información prevista en el numeral 1.11 del documento base aplica frente a la </w:t>
            </w:r>
            <w:r w:rsidRPr="00915B95">
              <w:rPr>
                <w:rFonts w:ascii="Verdana" w:eastAsia="Calibri" w:hAnsi="Verdana" w:cs="Arial"/>
                <w:i/>
                <w:iCs/>
              </w:rPr>
              <w:t>totalidad de la información y documentación aportada para cumplir los requisitos exigidos en el pliego de condiciones</w:t>
            </w:r>
            <w:r w:rsidRPr="00915B95">
              <w:rPr>
                <w:rFonts w:ascii="Verdana" w:eastAsia="Calibri" w:hAnsi="Verdana" w:cs="Arial"/>
              </w:rPr>
              <w:t xml:space="preserve">. Además, consagra dos supuestos, con consecuencias diferentes: el primero,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logre constatar con exactitud lo acreditado o la veracidad del mismo y ante esa duda, no tendrá en cuenta la documentación aportada, sin perjuicio de que el proponente cumpla con el requisito habilitante con los demás </w:t>
            </w:r>
            <w:r w:rsidRPr="00915B95">
              <w:rPr>
                <w:rFonts w:ascii="Verdana" w:eastAsia="Calibri" w:hAnsi="Verdana" w:cs="Arial"/>
              </w:rPr>
              <w:lastRenderedPageBreak/>
              <w:t xml:space="preserve">documentos que aporte. En este evento, se trata de inconsistencias que, aunque no se superan por la ausencia de otro medio probatorio, no tienen la connotación de falsedad. </w:t>
            </w:r>
          </w:p>
          <w:p w14:paraId="5FC73008" w14:textId="77777777" w:rsidR="00915B95" w:rsidRPr="00915B95" w:rsidRDefault="00915B95" w:rsidP="00915B95">
            <w:pPr>
              <w:spacing w:after="120" w:line="276" w:lineRule="auto"/>
              <w:ind w:firstLine="708"/>
              <w:jc w:val="both"/>
              <w:rPr>
                <w:rFonts w:ascii="Aptos" w:eastAsia="Aptos" w:hAnsi="Aptos" w:cs="Times New Roman"/>
              </w:rPr>
            </w:pPr>
            <w:r w:rsidRPr="00915B95">
              <w:rPr>
                <w:rFonts w:ascii="Verdana" w:eastAsia="Calibri" w:hAnsi="Verdana" w:cs="Arial"/>
                <w:lang w:val="es-ES_tradnl" w:eastAsia="es-MX"/>
              </w:rPr>
              <w:t>Así, las observaciones que se presenten durante el traslado del informe de evaluación, incluidas las formuladas por veedurías ciudadanas, deben ser respondidas de manera motivada por la entidad estatal y pueden dar lugar a que esta ejerza la facultad de verificación del numeral 1.11. Sin embargo, la inconsistencia que lleva a tener la información por no acreditada es la que exista entre lo suministrado por el proponente y lo que efectivamente verifique la entidad. Por tanto, a esta le corresponde valorar en cada caso los elementos con los que cuenta, entre ellos si se refieren al periodo que cubre la certificación del Formato 6.</w:t>
            </w:r>
          </w:p>
          <w:p w14:paraId="778A81EA" w14:textId="77777777" w:rsidR="00915B95" w:rsidRPr="00915B95" w:rsidRDefault="00915B95" w:rsidP="00915B95">
            <w:pPr>
              <w:spacing w:after="120" w:line="276" w:lineRule="auto"/>
              <w:jc w:val="both"/>
              <w:rPr>
                <w:rFonts w:ascii="Verdana" w:eastAsia="Calibri" w:hAnsi="Verdana" w:cs="Arial"/>
                <w:bCs/>
              </w:rPr>
            </w:pPr>
            <w:proofErr w:type="spellStart"/>
            <w:r w:rsidRPr="00915B95">
              <w:rPr>
                <w:rFonts w:ascii="Verdana" w:eastAsia="Calibri" w:hAnsi="Verdana" w:cs="Arial"/>
                <w:bCs/>
              </w:rPr>
              <w:t>iii</w:t>
            </w:r>
            <w:proofErr w:type="spellEnd"/>
            <w:r w:rsidRPr="00915B95">
              <w:rPr>
                <w:rFonts w:ascii="Verdana" w:eastAsia="Calibri" w:hAnsi="Verdana" w:cs="Arial"/>
                <w:bCs/>
              </w:rPr>
              <w:t>. 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17A6D423" w14:textId="77777777" w:rsidR="00915B95" w:rsidRPr="00915B95" w:rsidRDefault="00915B95" w:rsidP="00915B95">
            <w:pPr>
              <w:spacing w:after="120" w:line="276" w:lineRule="auto"/>
              <w:ind w:firstLine="708"/>
              <w:jc w:val="both"/>
              <w:rPr>
                <w:rFonts w:ascii="Aptos" w:eastAsia="Aptos" w:hAnsi="Aptos" w:cs="Times New Roman"/>
              </w:rPr>
            </w:pPr>
            <w:r w:rsidRPr="00915B95">
              <w:rPr>
                <w:rFonts w:ascii="Verdana" w:eastAsia="Calibri" w:hAnsi="Verdana" w:cs="Arial"/>
                <w:lang w:val="es-ES_tradnl" w:eastAsia="es-MX"/>
              </w:rPr>
              <w:t>De acuerdo con lo anterior, una observación presentada en el procedimiento de selección no crea por sí sola una causal de rechazo distinta de las previstas en la ley o en el Documento Base. Cualquier consecuencia para la oferta debe derivarse de la verificación que realice la entidad y, en el caso del literal G, de haber dado antes al proponente la oportunidad de manifestarse.</w:t>
            </w:r>
          </w:p>
          <w:p w14:paraId="76250C5E"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En ese sentido,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06586132"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Times New Roman" w:hAnsi="Verdana" w:cs="Arial"/>
                <w:color w:val="000000"/>
                <w:shd w:val="clear" w:color="auto" w:fill="FFFFFF"/>
                <w:lang w:val="es-ES" w:eastAsia="es-MX"/>
              </w:rPr>
              <w:t xml:space="preserve">En este último caso, </w:t>
            </w:r>
            <w:r w:rsidRPr="00915B95">
              <w:rPr>
                <w:rFonts w:ascii="Verdana" w:eastAsia="Calibri" w:hAnsi="Verdana" w:cs="Arial"/>
              </w:rPr>
              <w:t xml:space="preserve">no se puede subsanar el estar incurso en la causal de rechazo del literal G, pues el rechazo procede de forma automática, es </w:t>
            </w:r>
            <w:r w:rsidRPr="00915B95">
              <w:rPr>
                <w:rFonts w:ascii="Verdana" w:eastAsia="Calibri" w:hAnsi="Verdana" w:cs="Arial"/>
              </w:rPr>
              <w:lastRenderedPageBreak/>
              <w:t>decir, sin permitirle al proponente subsanar la “inexactitud” de la oferta o la presunta falsedad sobre un documento aportado</w:t>
            </w:r>
            <w:r w:rsidRPr="00915B95">
              <w:rPr>
                <w:rFonts w:ascii="Verdana" w:eastAsia="Aptos" w:hAnsi="Verdana" w:cs="Arial"/>
              </w:rPr>
              <w:t>.</w:t>
            </w:r>
          </w:p>
          <w:p w14:paraId="079575FD" w14:textId="77777777" w:rsidR="00915B95" w:rsidRPr="00915B95" w:rsidRDefault="00915B95" w:rsidP="00915B95">
            <w:pPr>
              <w:spacing w:after="120" w:line="276" w:lineRule="auto"/>
              <w:ind w:firstLine="709"/>
              <w:jc w:val="both"/>
              <w:rPr>
                <w:rFonts w:ascii="Verdana" w:eastAsia="Calibri" w:hAnsi="Verdana" w:cs="Arial"/>
                <w:bCs/>
                <w:color w:val="000000"/>
                <w:lang w:eastAsia="es-MX"/>
              </w:rPr>
            </w:pPr>
            <w:r w:rsidRPr="00915B95">
              <w:rPr>
                <w:rFonts w:ascii="Verdana" w:eastAsia="Calibri" w:hAnsi="Verdana" w:cs="Arial"/>
              </w:rPr>
              <w:t>En este sentido, la configuración de la causal se determinará teniendo en cuenta si la información inexacta conduce a una posible falsedad de los documentos sujetos de verificación y/o evaluación por parte de la Entidad Estatal, tanto para requisitos habilitantes como de calificación o ponderables. Por consiguiente, la entidad estatal deberá analizar concretamente cada uno de los casos en concreto para determinar si existe una posible falsedad, caso en el cual, luego de dar la oportunidad para que el proponente se manifieste, es procedente rechazar la oferta y remitir copias a las autoridades competentes, quienes adelantarán las respectivas investigaciones.</w:t>
            </w:r>
            <w:r w:rsidRPr="00915B95">
              <w:rPr>
                <w:rFonts w:ascii="Verdana" w:eastAsia="Calibri" w:hAnsi="Verdana" w:cs="Arial"/>
                <w:bCs/>
                <w:color w:val="000000"/>
                <w:lang w:eastAsia="es-MX"/>
              </w:rPr>
              <w:t xml:space="preserve"> </w:t>
            </w:r>
          </w:p>
          <w:p w14:paraId="0BDC0E94" w14:textId="77777777" w:rsidR="00915B95" w:rsidRPr="00915B95" w:rsidRDefault="00915B95" w:rsidP="00915B95">
            <w:pPr>
              <w:spacing w:after="120" w:line="276" w:lineRule="auto"/>
              <w:jc w:val="both"/>
              <w:rPr>
                <w:rFonts w:ascii="Verdana" w:eastAsia="Times New Roman" w:hAnsi="Verdana" w:cs="Times New Roman"/>
                <w:lang w:eastAsia="es-MX"/>
              </w:rPr>
            </w:pPr>
            <w:r w:rsidRPr="00915B95">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2808ED" w14:textId="77777777" w:rsidR="00915B95" w:rsidRPr="00915B95" w:rsidRDefault="00915B95" w:rsidP="00915B95">
            <w:pPr>
              <w:spacing w:line="276" w:lineRule="auto"/>
              <w:ind w:firstLine="708"/>
              <w:jc w:val="both"/>
              <w:rPr>
                <w:rFonts w:ascii="Verdana" w:eastAsia="Calibri" w:hAnsi="Verdana" w:cs="Arial"/>
                <w:bCs/>
                <w:color w:val="000000"/>
                <w:lang w:eastAsia="es-MX"/>
              </w:rPr>
            </w:pPr>
            <w:r w:rsidRPr="00915B95">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00EA10C1" w14:textId="77777777" w:rsidR="00915B95" w:rsidRPr="00915B95" w:rsidRDefault="00915B95" w:rsidP="00915B95">
      <w:pPr>
        <w:tabs>
          <w:tab w:val="left" w:pos="142"/>
          <w:tab w:val="left" w:pos="284"/>
        </w:tabs>
        <w:spacing w:after="0" w:line="276" w:lineRule="auto"/>
        <w:jc w:val="both"/>
        <w:rPr>
          <w:rFonts w:ascii="Verdana" w:eastAsia="Century Gothic" w:hAnsi="Verdana" w:cs="Century Gothic"/>
          <w:b/>
          <w:bCs/>
          <w:lang w:val="es-ES" w:eastAsia="es-MX"/>
        </w:rPr>
      </w:pPr>
    </w:p>
    <w:p w14:paraId="2E916FAA" w14:textId="77777777" w:rsidR="00915B95" w:rsidRPr="00915B95" w:rsidRDefault="00915B95" w:rsidP="00915B95">
      <w:pPr>
        <w:tabs>
          <w:tab w:val="left" w:pos="142"/>
          <w:tab w:val="left" w:pos="284"/>
        </w:tabs>
        <w:spacing w:after="0" w:line="276" w:lineRule="auto"/>
        <w:jc w:val="both"/>
        <w:rPr>
          <w:rFonts w:ascii="Verdana" w:eastAsia="Century Gothic" w:hAnsi="Verdana" w:cs="Century Gothic"/>
          <w:b/>
          <w:bCs/>
          <w:lang w:val="es-ES" w:eastAsia="es-MX"/>
        </w:rPr>
      </w:pPr>
      <w:r w:rsidRPr="00915B95">
        <w:rPr>
          <w:rFonts w:ascii="Verdana" w:eastAsia="Century Gothic" w:hAnsi="Verdana" w:cs="Century Gothic"/>
          <w:b/>
          <w:bCs/>
          <w:lang w:val="es-ES" w:eastAsia="es-MX"/>
        </w:rPr>
        <w:t>3. Razones de la respuesta:</w:t>
      </w:r>
    </w:p>
    <w:p w14:paraId="1C75A567" w14:textId="77777777" w:rsidR="00915B95" w:rsidRPr="00915B95" w:rsidRDefault="00915B95" w:rsidP="00915B95">
      <w:pPr>
        <w:spacing w:after="0" w:line="276" w:lineRule="auto"/>
        <w:jc w:val="both"/>
        <w:rPr>
          <w:rFonts w:ascii="Verdana" w:eastAsia="Calibri" w:hAnsi="Verdana" w:cs="Arial"/>
          <w:lang w:val="es-ES" w:eastAsia="es-MX"/>
        </w:rPr>
      </w:pPr>
    </w:p>
    <w:p w14:paraId="68571AD3" w14:textId="77777777" w:rsidR="00915B95" w:rsidRPr="00915B95" w:rsidRDefault="00915B95" w:rsidP="00915B95">
      <w:pPr>
        <w:spacing w:after="0" w:line="276" w:lineRule="auto"/>
        <w:jc w:val="both"/>
        <w:rPr>
          <w:rFonts w:ascii="Verdana" w:eastAsia="Calibri" w:hAnsi="Verdana" w:cs="Arial"/>
          <w:lang w:val="es-ES" w:eastAsia="es-MX"/>
        </w:rPr>
      </w:pPr>
      <w:r w:rsidRPr="00915B95">
        <w:rPr>
          <w:rFonts w:ascii="Verdana" w:eastAsia="Calibri" w:hAnsi="Verdana" w:cs="Arial"/>
          <w:lang w:val="es-ES" w:eastAsia="es-MX"/>
        </w:rPr>
        <w:t xml:space="preserve">Lo anterior se sustenta en las siguientes consideraciones: </w:t>
      </w:r>
    </w:p>
    <w:p w14:paraId="70ACEDE6" w14:textId="77777777" w:rsidR="00915B95" w:rsidRPr="00915B95" w:rsidRDefault="00915B95" w:rsidP="00915B95">
      <w:pPr>
        <w:spacing w:after="0" w:line="276" w:lineRule="auto"/>
        <w:jc w:val="both"/>
        <w:rPr>
          <w:rFonts w:ascii="Verdana" w:eastAsia="Calibri" w:hAnsi="Verdana" w:cs="Arial"/>
          <w:lang w:val="es-ES" w:eastAsia="es-MX"/>
        </w:rPr>
      </w:pPr>
    </w:p>
    <w:p w14:paraId="352F7F99" w14:textId="77777777" w:rsidR="00915B95" w:rsidRPr="00915B95" w:rsidRDefault="00915B95" w:rsidP="00915B95">
      <w:pPr>
        <w:spacing w:after="120" w:line="276" w:lineRule="auto"/>
        <w:jc w:val="both"/>
        <w:rPr>
          <w:rFonts w:ascii="Verdana" w:eastAsia="Aptos" w:hAnsi="Verdana" w:cs="Arial"/>
          <w:lang w:eastAsia="es-MX"/>
        </w:rPr>
      </w:pPr>
      <w:r w:rsidRPr="00915B95">
        <w:rPr>
          <w:rFonts w:ascii="Verdana" w:eastAsia="Aptos" w:hAnsi="Verdana" w:cs="Arial"/>
          <w:lang w:eastAsia="es-MX"/>
        </w:rPr>
        <w:lastRenderedPageBreak/>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A3EF1C3" w14:textId="77777777" w:rsidR="00915B95" w:rsidRPr="00915B95" w:rsidRDefault="00915B95" w:rsidP="00915B95">
      <w:pPr>
        <w:spacing w:after="120" w:line="276" w:lineRule="auto"/>
        <w:ind w:firstLine="708"/>
        <w:jc w:val="both"/>
        <w:rPr>
          <w:rFonts w:ascii="Verdana" w:eastAsia="Aptos" w:hAnsi="Verdana" w:cs="Arial"/>
          <w:lang w:eastAsia="es-MX"/>
        </w:rPr>
      </w:pPr>
      <w:r w:rsidRPr="00915B95">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BCDB63B"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r w:rsidRPr="00915B95">
        <w:rPr>
          <w:rFonts w:ascii="Verdana" w:eastAsia="Aptos" w:hAnsi="Verdana" w:cs="Arial"/>
          <w:lang w:eastAsia="es-MX"/>
        </w:rPr>
        <w:t xml:space="preserve">En el sector social, </w:t>
      </w:r>
      <w:r w:rsidRPr="00915B95">
        <w:rPr>
          <w:rFonts w:ascii="Verdana" w:eastAsia="Calibri" w:hAnsi="Verdana" w:cs="Arial"/>
          <w:lang w:val="es-MX" w:eastAsia="es-MX"/>
        </w:rPr>
        <w:t xml:space="preserve">la Agencia Nacional de Contratación Pública – Colombia Compra </w:t>
      </w:r>
      <w:r w:rsidRPr="00915B95">
        <w:rPr>
          <w:rFonts w:ascii="Verdana" w:eastAsia="Calibri" w:hAnsi="Verdana" w:cs="Arial"/>
          <w:lang w:eastAsia="es-MX"/>
        </w:rPr>
        <w:t xml:space="preserve">Eficiente </w:t>
      </w:r>
      <w:r w:rsidRPr="00915B95">
        <w:rPr>
          <w:rFonts w:ascii="Verdana" w:eastAsia="Times New Roman" w:hAnsi="Verdana" w:cs="Times New Roman"/>
          <w:color w:val="000000"/>
          <w:lang w:eastAsia="es-CO"/>
        </w:rPr>
        <w:t>en el segundo semestre del año 2025 adoptó las siguientes Resoluciones para contratar obra pública y concurso de méritos:</w:t>
      </w:r>
    </w:p>
    <w:p w14:paraId="7DD4E0F4"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r w:rsidRPr="00915B95">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AC6E394"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r w:rsidRPr="00915B95">
        <w:rPr>
          <w:rFonts w:ascii="Verdana" w:eastAsia="Times New Roman" w:hAnsi="Verdana" w:cs="Times New Roman"/>
          <w:color w:val="000000"/>
          <w:lang w:eastAsia="es-CO"/>
        </w:rPr>
        <w:t xml:space="preserve"> </w:t>
      </w:r>
      <w:proofErr w:type="spellStart"/>
      <w:r w:rsidRPr="00915B95">
        <w:rPr>
          <w:rFonts w:ascii="Verdana" w:eastAsia="Times New Roman" w:hAnsi="Verdana" w:cs="Times New Roman"/>
          <w:color w:val="000000"/>
          <w:lang w:eastAsia="es-CO"/>
        </w:rPr>
        <w:t>ii</w:t>
      </w:r>
      <w:proofErr w:type="spellEnd"/>
      <w:r w:rsidRPr="00915B95">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B159707"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proofErr w:type="spellStart"/>
      <w:r w:rsidRPr="00915B95">
        <w:rPr>
          <w:rFonts w:ascii="Verdana" w:eastAsia="Times New Roman" w:hAnsi="Verdana" w:cs="Times New Roman"/>
          <w:color w:val="000000"/>
          <w:lang w:eastAsia="es-CO"/>
        </w:rPr>
        <w:lastRenderedPageBreak/>
        <w:t>iii</w:t>
      </w:r>
      <w:proofErr w:type="spellEnd"/>
      <w:r w:rsidRPr="00915B95">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64FE7E5"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proofErr w:type="spellStart"/>
      <w:r w:rsidRPr="00915B95">
        <w:rPr>
          <w:rFonts w:ascii="Verdana" w:eastAsia="Times New Roman" w:hAnsi="Verdana" w:cs="Times New Roman"/>
          <w:color w:val="000000"/>
          <w:lang w:eastAsia="es-CO"/>
        </w:rPr>
        <w:t>iv</w:t>
      </w:r>
      <w:proofErr w:type="spellEnd"/>
      <w:r w:rsidRPr="00915B95">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2801BE0" w14:textId="77777777" w:rsidR="00915B95" w:rsidRPr="00915B95" w:rsidRDefault="00915B95" w:rsidP="00915B95">
      <w:pPr>
        <w:spacing w:after="120" w:line="276" w:lineRule="auto"/>
        <w:ind w:firstLine="708"/>
        <w:jc w:val="both"/>
        <w:rPr>
          <w:rFonts w:ascii="Verdana" w:eastAsia="Times New Roman" w:hAnsi="Verdana" w:cs="Times New Roman"/>
          <w:color w:val="000000"/>
          <w:lang w:eastAsia="es-CO"/>
        </w:rPr>
      </w:pPr>
      <w:r w:rsidRPr="00915B95">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915B95">
        <w:rPr>
          <w:rFonts w:ascii="Verdana" w:eastAsia="Aptos" w:hAnsi="Verdana" w:cs="Times New Roman"/>
          <w:lang w:eastAsia="es-MX"/>
        </w:rPr>
        <w:t xml:space="preserve"> </w:t>
      </w:r>
    </w:p>
    <w:p w14:paraId="77BA387D" w14:textId="77777777" w:rsidR="00915B95" w:rsidRPr="00915B95" w:rsidRDefault="00915B95" w:rsidP="00915B95">
      <w:pPr>
        <w:spacing w:after="120" w:line="276" w:lineRule="auto"/>
        <w:ind w:firstLine="708"/>
        <w:jc w:val="both"/>
        <w:textAlignment w:val="baseline"/>
        <w:rPr>
          <w:rFonts w:ascii="Verdana" w:eastAsia="Calibri" w:hAnsi="Verdana" w:cs="Arial"/>
          <w:lang w:eastAsia="es-MX"/>
        </w:rPr>
      </w:pPr>
      <w:r w:rsidRPr="00915B95">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915B95">
        <w:rPr>
          <w:rFonts w:ascii="Verdana" w:eastAsia="Calibri" w:hAnsi="Verdana" w:cs="Arial"/>
          <w:vertAlign w:val="superscript"/>
          <w:lang w:eastAsia="es-MX"/>
        </w:rPr>
        <w:footnoteReference w:id="1"/>
      </w:r>
      <w:r w:rsidRPr="00915B95">
        <w:rPr>
          <w:rFonts w:ascii="Verdana" w:eastAsia="Calibri" w:hAnsi="Verdana" w:cs="Arial"/>
          <w:lang w:eastAsia="es-MX"/>
        </w:rPr>
        <w:t>.</w:t>
      </w:r>
    </w:p>
    <w:p w14:paraId="3E1604A1" w14:textId="77777777" w:rsidR="00915B95" w:rsidRPr="00915B95" w:rsidRDefault="00915B95" w:rsidP="00915B95">
      <w:pPr>
        <w:widowControl w:val="0"/>
        <w:autoSpaceDE w:val="0"/>
        <w:autoSpaceDN w:val="0"/>
        <w:spacing w:after="12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915B95">
        <w:rPr>
          <w:rFonts w:ascii="Verdana" w:eastAsia="Calibri" w:hAnsi="Verdana" w:cs="Times New Roman"/>
          <w:shd w:val="clear" w:color="auto" w:fill="E8E8E8"/>
          <w:lang w:val="es-ES" w:eastAsia="es-MX"/>
        </w:rPr>
        <w:t>–[texto]–,</w:t>
      </w:r>
      <w:r w:rsidRPr="00915B95">
        <w:rPr>
          <w:rFonts w:ascii="Verdana" w:eastAsia="Calibri" w:hAnsi="Verdana" w:cs="Times New Roman"/>
          <w:lang w:val="es-ES" w:eastAsia="es-MX"/>
        </w:rPr>
        <w:t xml:space="preserve"> para lo cual deberán observarse las instrucciones contenidas en los mismos para su diligenciamiento.</w:t>
      </w:r>
    </w:p>
    <w:p w14:paraId="6DBC59A5" w14:textId="77777777" w:rsidR="00915B95" w:rsidRPr="00915B95" w:rsidRDefault="00915B95" w:rsidP="00915B95">
      <w:pPr>
        <w:widowControl w:val="0"/>
        <w:autoSpaceDE w:val="0"/>
        <w:autoSpaceDN w:val="0"/>
        <w:spacing w:after="12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DC801E1" w14:textId="77777777" w:rsidR="00915B95" w:rsidRPr="00915B95" w:rsidRDefault="00915B95" w:rsidP="00915B95">
      <w:pPr>
        <w:widowControl w:val="0"/>
        <w:autoSpaceDE w:val="0"/>
        <w:autoSpaceDN w:val="0"/>
        <w:spacing w:after="12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CFD0701" w14:textId="77777777" w:rsidR="00915B95" w:rsidRPr="00915B95" w:rsidRDefault="00915B95" w:rsidP="00915B95">
      <w:pPr>
        <w:widowControl w:val="0"/>
        <w:autoSpaceDE w:val="0"/>
        <w:autoSpaceDN w:val="0"/>
        <w:spacing w:after="12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t xml:space="preserve">Uno de los elementos comunes a los diferentes documentos tipo es la “Matriz – Experiencia”. Esta consta de unas celdas en las que se describe la experiencia requerida en relación con el objeto a contratar, definiendo además </w:t>
      </w:r>
      <w:r w:rsidRPr="00915B95">
        <w:rPr>
          <w:rFonts w:ascii="Verdana" w:eastAsia="Calibri" w:hAnsi="Verdana" w:cs="Times New Roman"/>
          <w:lang w:val="es-ES" w:eastAsia="es-MX"/>
        </w:rPr>
        <w:lastRenderedPageBreak/>
        <w:t>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2028B5B" w14:textId="77777777" w:rsidR="00915B95" w:rsidRPr="00915B95" w:rsidRDefault="00915B95" w:rsidP="00915B95">
      <w:pPr>
        <w:widowControl w:val="0"/>
        <w:autoSpaceDE w:val="0"/>
        <w:autoSpaceDN w:val="0"/>
        <w:spacing w:after="12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6A8DB4E" w14:textId="77777777" w:rsidR="00915B95" w:rsidRPr="00915B95" w:rsidRDefault="00915B95" w:rsidP="00915B95">
      <w:pPr>
        <w:widowControl w:val="0"/>
        <w:autoSpaceDE w:val="0"/>
        <w:autoSpaceDN w:val="0"/>
        <w:spacing w:after="0" w:line="276" w:lineRule="auto"/>
        <w:ind w:firstLine="708"/>
        <w:jc w:val="both"/>
        <w:rPr>
          <w:rFonts w:ascii="Verdana" w:eastAsia="Calibri" w:hAnsi="Verdana" w:cs="Times New Roman"/>
          <w:lang w:val="es-ES" w:eastAsia="es-MX"/>
        </w:rPr>
      </w:pPr>
      <w:r w:rsidRPr="00915B95">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6F2107D" w14:textId="77777777" w:rsidR="00915B95" w:rsidRPr="00915B95" w:rsidRDefault="00915B95" w:rsidP="00915B95">
      <w:pPr>
        <w:spacing w:after="0" w:line="276" w:lineRule="auto"/>
        <w:jc w:val="both"/>
        <w:rPr>
          <w:rFonts w:ascii="Verdana" w:eastAsia="Calibri" w:hAnsi="Verdana" w:cs="Times New Roman"/>
          <w:lang w:val="es-ES" w:eastAsia="es-MX"/>
        </w:rPr>
      </w:pPr>
    </w:p>
    <w:p w14:paraId="0F6F4B07" w14:textId="77777777" w:rsidR="00915B95" w:rsidRPr="00915B95" w:rsidRDefault="00915B95" w:rsidP="00915B95">
      <w:pPr>
        <w:spacing w:after="120" w:line="276" w:lineRule="auto"/>
        <w:jc w:val="both"/>
        <w:rPr>
          <w:rFonts w:ascii="Verdana" w:eastAsia="Calibri" w:hAnsi="Verdana" w:cs="Arial"/>
          <w:lang w:val="es-ES"/>
        </w:rPr>
      </w:pPr>
      <w:proofErr w:type="spellStart"/>
      <w:r w:rsidRPr="00915B95">
        <w:rPr>
          <w:rFonts w:ascii="Verdana" w:eastAsia="Calibri" w:hAnsi="Verdana" w:cs="Times New Roman"/>
          <w:lang w:val="es-ES" w:eastAsia="es-MX"/>
        </w:rPr>
        <w:t>ii</w:t>
      </w:r>
      <w:proofErr w:type="spellEnd"/>
      <w:r w:rsidRPr="00915B95">
        <w:rPr>
          <w:rFonts w:ascii="Verdana" w:eastAsia="Calibri" w:hAnsi="Verdana" w:cs="Times New Roman"/>
          <w:lang w:val="es-ES" w:eastAsia="es-MX"/>
        </w:rPr>
        <w:t xml:space="preserve">. </w:t>
      </w:r>
      <w:r w:rsidRPr="00915B95">
        <w:rPr>
          <w:rFonts w:ascii="Verdana" w:eastAsia="Calibri" w:hAnsi="Verdana" w:cs="Arial"/>
          <w:lang w:val="es-ES"/>
        </w:rPr>
        <w:t xml:space="preserve">La Ley 80 de 1993, en el texto original del artículo 41, estableció que los requisitos para perfeccionar el contrato eran: i) llegar a un acuerdo sobre el objeto y la contraprestación y </w:t>
      </w:r>
      <w:proofErr w:type="spellStart"/>
      <w:r w:rsidRPr="00915B95">
        <w:rPr>
          <w:rFonts w:ascii="Verdana" w:eastAsia="Calibri" w:hAnsi="Verdana" w:cs="Arial"/>
          <w:lang w:val="es-ES"/>
        </w:rPr>
        <w:t>ii</w:t>
      </w:r>
      <w:proofErr w:type="spellEnd"/>
      <w:r w:rsidRPr="00915B95">
        <w:rPr>
          <w:rFonts w:ascii="Verdana" w:eastAsia="Calibri" w:hAnsi="Verdana" w:cs="Arial"/>
          <w:lang w:val="es-ES"/>
        </w:rPr>
        <w:t xml:space="preserve">) que conste por escrito. Por su parte, para iniciar la ejecución se requería: i) la constitución y aprobación de la garantía y </w:t>
      </w:r>
      <w:proofErr w:type="spellStart"/>
      <w:r w:rsidRPr="00915B95">
        <w:rPr>
          <w:rFonts w:ascii="Verdana" w:eastAsia="Calibri" w:hAnsi="Verdana" w:cs="Arial"/>
          <w:lang w:val="es-ES"/>
        </w:rPr>
        <w:t>ii</w:t>
      </w:r>
      <w:proofErr w:type="spellEnd"/>
      <w:r w:rsidRPr="00915B95">
        <w:rPr>
          <w:rFonts w:ascii="Verdana" w:eastAsia="Calibri" w:hAnsi="Verdana" w:cs="Arial"/>
          <w:lang w:val="es-ES"/>
        </w:rPr>
        <w:t>) la existencia del registro presupuestal.</w:t>
      </w:r>
    </w:p>
    <w:p w14:paraId="3B9E0730" w14:textId="77777777" w:rsidR="00915B95" w:rsidRPr="00915B95" w:rsidRDefault="00915B95" w:rsidP="00915B95">
      <w:pPr>
        <w:spacing w:after="120" w:line="276" w:lineRule="auto"/>
        <w:ind w:firstLine="708"/>
        <w:jc w:val="both"/>
        <w:rPr>
          <w:rFonts w:ascii="Verdana" w:eastAsia="Calibri" w:hAnsi="Verdana" w:cs="Arial"/>
          <w:lang w:val="es-ES"/>
        </w:rPr>
      </w:pPr>
      <w:r w:rsidRPr="00915B95">
        <w:rPr>
          <w:rFonts w:ascii="Verdana" w:eastAsia="Calibri" w:hAnsi="Verdana" w:cs="Arial"/>
          <w:lang w:val="es-E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w:t>
      </w:r>
      <w:r w:rsidRPr="00915B95">
        <w:rPr>
          <w:rFonts w:ascii="Verdana" w:eastAsia="Calibri" w:hAnsi="Verdana" w:cs="Arial"/>
          <w:lang w:val="es-ES"/>
        </w:rPr>
        <w:lastRenderedPageBreak/>
        <w:t xml:space="preserve">aportes mencionados, durante toda su vigencia, estableciendo una correcta relación entre el monto cancelado y las sumas que debió cotizar. </w:t>
      </w:r>
    </w:p>
    <w:p w14:paraId="38868664" w14:textId="77777777" w:rsidR="00915B95" w:rsidRPr="00915B95" w:rsidRDefault="00915B95" w:rsidP="00915B95">
      <w:pPr>
        <w:spacing w:after="120" w:line="276" w:lineRule="auto"/>
        <w:ind w:firstLine="708"/>
        <w:jc w:val="both"/>
        <w:rPr>
          <w:rFonts w:ascii="Verdana" w:eastAsia="Calibri" w:hAnsi="Verdana" w:cs="Arial"/>
          <w:lang w:val="es-ES"/>
        </w:rPr>
      </w:pPr>
      <w:r w:rsidRPr="00915B95">
        <w:rPr>
          <w:rFonts w:ascii="Verdana" w:eastAsia="Calibri" w:hAnsi="Verdana" w:cs="Arial"/>
          <w:lang w:val="es-ES"/>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–inciso tercero–. En este sentido, la ley señala que para presentar la oferta las </w:t>
      </w:r>
      <w:r w:rsidRPr="00915B95">
        <w:rPr>
          <w:rFonts w:ascii="Verdana" w:eastAsia="Calibri" w:hAnsi="Verdana" w:cs="Arial"/>
          <w:i/>
          <w:iCs/>
          <w:lang w:val="es-ES"/>
        </w:rPr>
        <w:t>personas jurídicas</w:t>
      </w:r>
      <w:r w:rsidRPr="00915B95">
        <w:rPr>
          <w:rFonts w:ascii="Verdana" w:eastAsia="Calibri" w:hAnsi="Verdana" w:cs="Arial"/>
          <w:lang w:val="es-ES"/>
        </w:rPr>
        <w:t xml:space="preserve"> deben acreditar el requisito señalado anteriormente, es decir, el pago al sistema de seguridad social de sus empleados –inciso 4–.</w:t>
      </w:r>
    </w:p>
    <w:p w14:paraId="1BDE8EE2" w14:textId="77777777" w:rsidR="00915B95" w:rsidRPr="00915B95" w:rsidRDefault="00915B95" w:rsidP="00915B95">
      <w:pPr>
        <w:spacing w:after="120" w:line="276" w:lineRule="auto"/>
        <w:ind w:firstLine="708"/>
        <w:jc w:val="both"/>
        <w:rPr>
          <w:rFonts w:ascii="Verdana" w:eastAsia="Calibri" w:hAnsi="Verdana" w:cs="Arial"/>
          <w:lang w:val="es-ES"/>
        </w:rPr>
      </w:pPr>
      <w:r w:rsidRPr="00915B95">
        <w:rPr>
          <w:rFonts w:ascii="Verdana" w:eastAsia="Calibri" w:hAnsi="Verdana" w:cs="Arial"/>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 De igual forma, esa Corporación consideró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915B95">
        <w:rPr>
          <w:rFonts w:ascii="Verdana" w:eastAsia="Calibri" w:hAnsi="Verdana" w:cs="Arial"/>
          <w:vertAlign w:val="superscript"/>
          <w:lang w:val="es-ES"/>
        </w:rPr>
        <w:footnoteReference w:id="2"/>
      </w:r>
      <w:r w:rsidRPr="00915B95">
        <w:rPr>
          <w:rFonts w:ascii="Verdana" w:eastAsia="Calibri" w:hAnsi="Verdana" w:cs="Arial"/>
          <w:lang w:val="es-ES"/>
        </w:rPr>
        <w:t xml:space="preserve">. Por lo tanto, la jurisprudencia reiteró la necesidad de que las entidades estatales, durante la ejecución del contrato, verifiquen el cumplimiento de las obligaciones del Sistema de Seguridad Social Integral por parte de los contratistas. </w:t>
      </w:r>
    </w:p>
    <w:p w14:paraId="441C44CD" w14:textId="77777777" w:rsidR="00915B95" w:rsidRPr="00915B95" w:rsidRDefault="00915B95" w:rsidP="00915B95">
      <w:pPr>
        <w:spacing w:after="0" w:line="276" w:lineRule="auto"/>
        <w:ind w:firstLine="708"/>
        <w:jc w:val="both"/>
        <w:rPr>
          <w:rFonts w:ascii="Verdana" w:eastAsia="Calibri" w:hAnsi="Verdana" w:cs="Arial"/>
          <w:lang w:val="es-ES"/>
        </w:rPr>
      </w:pPr>
      <w:r w:rsidRPr="00915B95">
        <w:rPr>
          <w:rFonts w:ascii="Verdana" w:eastAsia="Calibri" w:hAnsi="Verdana" w:cs="Arial"/>
          <w:lang w:val="es-ES"/>
        </w:rPr>
        <w:t>Posteriormente,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0B883801" w14:textId="77777777" w:rsidR="00915B95" w:rsidRPr="00915B95" w:rsidRDefault="00915B95" w:rsidP="00915B95">
      <w:pPr>
        <w:spacing w:after="0" w:line="276" w:lineRule="auto"/>
        <w:ind w:firstLine="708"/>
        <w:jc w:val="both"/>
        <w:rPr>
          <w:rFonts w:ascii="Geomanist Light" w:eastAsia="Calibri" w:hAnsi="Geomanist Light" w:cs="Arial"/>
          <w:lang w:val="es-ES"/>
        </w:rPr>
      </w:pPr>
    </w:p>
    <w:p w14:paraId="03D93571" w14:textId="77777777" w:rsidR="00915B95" w:rsidRPr="00915B95" w:rsidRDefault="00915B95" w:rsidP="00915B95">
      <w:pPr>
        <w:spacing w:after="0" w:line="240" w:lineRule="auto"/>
        <w:ind w:left="709" w:right="709"/>
        <w:jc w:val="both"/>
        <w:rPr>
          <w:rFonts w:ascii="Verdana" w:eastAsia="Times New Roman" w:hAnsi="Verdana" w:cs="Arial"/>
          <w:sz w:val="21"/>
          <w:szCs w:val="21"/>
          <w:lang w:val="es-ES" w:eastAsia="es-CO"/>
        </w:rPr>
      </w:pPr>
      <w:r w:rsidRPr="00915B95">
        <w:rPr>
          <w:rFonts w:ascii="Verdana" w:eastAsia="Times New Roman" w:hAnsi="Verdana" w:cs="Arial"/>
          <w:sz w:val="21"/>
          <w:szCs w:val="21"/>
          <w:lang w:val="es-ES" w:eastAsia="es-CO"/>
        </w:rPr>
        <w:t>“(…)</w:t>
      </w:r>
    </w:p>
    <w:p w14:paraId="3EE3D092" w14:textId="77777777" w:rsidR="00915B95" w:rsidRPr="00915B95" w:rsidRDefault="00915B95" w:rsidP="00915B95">
      <w:pPr>
        <w:tabs>
          <w:tab w:val="left" w:pos="7938"/>
          <w:tab w:val="left" w:pos="8080"/>
        </w:tabs>
        <w:spacing w:after="120" w:line="240" w:lineRule="auto"/>
        <w:ind w:left="709" w:right="709"/>
        <w:jc w:val="both"/>
        <w:rPr>
          <w:rFonts w:ascii="Verdana" w:eastAsia="Times New Roman" w:hAnsi="Verdana" w:cs="Arial"/>
          <w:sz w:val="21"/>
          <w:szCs w:val="21"/>
          <w:lang w:val="es-ES" w:eastAsia="es-CO"/>
        </w:rPr>
      </w:pPr>
      <w:r w:rsidRPr="00915B95">
        <w:rPr>
          <w:rFonts w:ascii="Verdana" w:eastAsia="Times New Roman" w:hAnsi="Verdana" w:cs="Arial"/>
          <w:sz w:val="21"/>
          <w:szCs w:val="21"/>
          <w:lang w:val="es-ES" w:eastAsia="es-CO"/>
        </w:rPr>
        <w:t xml:space="preserve">Para la ejecución se requerirá de la aprobación de la garantía y de la existencia de las disponibilidades presupuestales correspondientes, salvo que se trate de la contratación con recursos de vigencias fiscales </w:t>
      </w:r>
      <w:r w:rsidRPr="00915B95">
        <w:rPr>
          <w:rFonts w:ascii="Verdana" w:eastAsia="Times New Roman" w:hAnsi="Verdana" w:cs="Arial"/>
          <w:sz w:val="21"/>
          <w:szCs w:val="21"/>
          <w:lang w:val="es-ES" w:eastAsia="es-CO"/>
        </w:rPr>
        <w:lastRenderedPageBreak/>
        <w:t>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4C5446F" w14:textId="77777777" w:rsidR="00915B95" w:rsidRPr="00915B95" w:rsidRDefault="00915B95" w:rsidP="00915B95">
      <w:pPr>
        <w:spacing w:after="120" w:line="240" w:lineRule="auto"/>
        <w:ind w:left="709" w:right="709"/>
        <w:jc w:val="both"/>
        <w:rPr>
          <w:rFonts w:ascii="Verdana" w:eastAsia="Times New Roman" w:hAnsi="Verdana" w:cs="Arial"/>
          <w:sz w:val="21"/>
          <w:szCs w:val="21"/>
          <w:lang w:val="es-ES" w:eastAsia="es-CO"/>
        </w:rPr>
      </w:pPr>
      <w:r w:rsidRPr="00915B95">
        <w:rPr>
          <w:rFonts w:ascii="Verdana" w:eastAsia="Times New Roman" w:hAnsi="Verdana" w:cs="Arial"/>
          <w:bCs/>
          <w:sz w:val="21"/>
          <w:szCs w:val="21"/>
          <w:lang w:val="es-ES" w:eastAsia="es-CO"/>
        </w:rPr>
        <w:t>Parágrafo 1.</w:t>
      </w:r>
      <w:r w:rsidRPr="00915B95">
        <w:rPr>
          <w:rFonts w:ascii="Verdana" w:eastAsia="Times New Roman" w:hAnsi="Verdana" w:cs="Arial"/>
          <w:sz w:val="21"/>
          <w:szCs w:val="21"/>
          <w:lang w:val="es-ES" w:eastAsia="es-CO"/>
        </w:rPr>
        <w:t> El requisito establecido en la parte final del inciso segundo de este artículo deberá acreditarse para la realización de cada pago derivado del contrato estatal.</w:t>
      </w:r>
    </w:p>
    <w:p w14:paraId="5EDF3688" w14:textId="77777777" w:rsidR="00915B95" w:rsidRPr="00915B95" w:rsidRDefault="00915B95" w:rsidP="00915B95">
      <w:pPr>
        <w:spacing w:after="0" w:line="240" w:lineRule="auto"/>
        <w:ind w:left="709" w:right="709"/>
        <w:jc w:val="both"/>
        <w:rPr>
          <w:rFonts w:ascii="Verdana" w:eastAsia="Times New Roman" w:hAnsi="Verdana" w:cs="Arial"/>
          <w:sz w:val="21"/>
          <w:szCs w:val="21"/>
          <w:lang w:val="es-ES" w:eastAsia="es-CO"/>
        </w:rPr>
      </w:pPr>
      <w:r w:rsidRPr="00915B95">
        <w:rPr>
          <w:rFonts w:ascii="Verdana" w:eastAsia="Times New Roman" w:hAnsi="Verdana" w:cs="Arial"/>
          <w:sz w:val="21"/>
          <w:szCs w:val="21"/>
          <w:lang w:val="es-ES" w:eastAsia="es-CO"/>
        </w:rPr>
        <w:t>El servidor público que sin justa causa no verifique el pago de los aportes a que se refiere el presente artículo, incurrirá en causal de mala conducta, que será sancionada con arreglo al régimen disciplinario vigente”.</w:t>
      </w:r>
    </w:p>
    <w:p w14:paraId="343BE1F0" w14:textId="77777777" w:rsidR="00915B95" w:rsidRPr="00915B95" w:rsidRDefault="00915B95" w:rsidP="00915B95">
      <w:pPr>
        <w:spacing w:after="0" w:line="240" w:lineRule="auto"/>
        <w:ind w:left="709" w:right="709"/>
        <w:jc w:val="both"/>
        <w:rPr>
          <w:rFonts w:ascii="Geomanist Light" w:eastAsia="Times New Roman" w:hAnsi="Geomanist Light" w:cs="Arial"/>
          <w:sz w:val="21"/>
          <w:szCs w:val="21"/>
          <w:lang w:val="es-ES" w:eastAsia="es-CO"/>
        </w:rPr>
      </w:pPr>
    </w:p>
    <w:p w14:paraId="7857888E" w14:textId="77777777" w:rsidR="00915B95" w:rsidRPr="00915B95" w:rsidRDefault="00915B95" w:rsidP="00915B95">
      <w:pPr>
        <w:spacing w:after="120" w:line="276" w:lineRule="auto"/>
        <w:ind w:firstLine="709"/>
        <w:jc w:val="both"/>
        <w:rPr>
          <w:rFonts w:ascii="Verdana" w:eastAsia="Calibri" w:hAnsi="Verdana" w:cs="Arial"/>
          <w:lang w:val="es-ES"/>
        </w:rPr>
      </w:pPr>
      <w:r w:rsidRPr="00915B95">
        <w:rPr>
          <w:rFonts w:ascii="Verdana" w:eastAsia="Calibri" w:hAnsi="Verdana" w:cs="Arial"/>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para la ejecución del contrato y cuando realicen los pagos del contrato, es decir, durante la ejecución.</w:t>
      </w:r>
    </w:p>
    <w:p w14:paraId="511E9DA8" w14:textId="77777777" w:rsidR="00915B95" w:rsidRPr="00915B95" w:rsidRDefault="00915B95" w:rsidP="00915B95">
      <w:pPr>
        <w:spacing w:after="120" w:line="276" w:lineRule="auto"/>
        <w:ind w:firstLine="709"/>
        <w:jc w:val="both"/>
        <w:rPr>
          <w:rFonts w:ascii="Verdana" w:eastAsia="Calibri" w:hAnsi="Verdana" w:cs="Arial"/>
          <w:lang w:val="es-ES"/>
        </w:rPr>
      </w:pPr>
      <w:r w:rsidRPr="00915B95">
        <w:rPr>
          <w:rFonts w:ascii="Verdana" w:eastAsia="Calibri" w:hAnsi="Verdana" w:cs="Arial"/>
          <w:lang w:val="es-E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1E93096E" w14:textId="77777777" w:rsidR="00915B95" w:rsidRPr="00915B95" w:rsidRDefault="00915B95" w:rsidP="00915B95">
      <w:pPr>
        <w:spacing w:after="120" w:line="276" w:lineRule="auto"/>
        <w:ind w:firstLine="709"/>
        <w:jc w:val="both"/>
        <w:rPr>
          <w:rFonts w:ascii="Verdana" w:eastAsia="Calibri" w:hAnsi="Verdana" w:cs="Arial"/>
          <w:lang w:val="es-ES"/>
        </w:rPr>
      </w:pPr>
      <w:r w:rsidRPr="00915B95">
        <w:rPr>
          <w:rFonts w:ascii="Verdana" w:eastAsia="Calibri" w:hAnsi="Verdana" w:cs="Arial"/>
          <w:lang w:val="es-ES"/>
        </w:rPr>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915B95">
        <w:rPr>
          <w:rFonts w:ascii="Verdana" w:eastAsia="Calibri" w:hAnsi="Verdana" w:cs="Arial"/>
          <w:lang w:val="es-ES"/>
        </w:rPr>
        <w:t>ii</w:t>
      </w:r>
      <w:proofErr w:type="spellEnd"/>
      <w:r w:rsidRPr="00915B95">
        <w:rPr>
          <w:rFonts w:ascii="Verdana" w:eastAsia="Calibri" w:hAnsi="Verdana" w:cs="Arial"/>
          <w:lang w:val="es-ES"/>
        </w:rPr>
        <w:t xml:space="preserve">) si se refiere a una persona jurídica, la acreditación del cumplimiento de las obligaciones relacionadas con el Sistema de Seguridad Social Integral de sus empleados se </w:t>
      </w:r>
      <w:r w:rsidRPr="00915B95">
        <w:rPr>
          <w:rFonts w:ascii="Verdana" w:eastAsia="Calibri" w:hAnsi="Verdana" w:cs="Arial"/>
          <w:lang w:val="es-ES"/>
        </w:rPr>
        <w:lastRenderedPageBreak/>
        <w:t xml:space="preserve">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09DD7ACF" w14:textId="77777777" w:rsidR="00915B95" w:rsidRPr="00915B95" w:rsidRDefault="00915B95" w:rsidP="00915B95">
      <w:pPr>
        <w:spacing w:after="120" w:line="276" w:lineRule="auto"/>
        <w:ind w:firstLine="709"/>
        <w:jc w:val="both"/>
        <w:rPr>
          <w:rFonts w:ascii="Verdana" w:eastAsia="Calibri" w:hAnsi="Verdana" w:cs="Arial"/>
          <w:lang w:val="es-ES"/>
        </w:rPr>
      </w:pPr>
      <w:r w:rsidRPr="00915B95">
        <w:rPr>
          <w:rFonts w:ascii="Verdana" w:eastAsia="Calibri" w:hAnsi="Verdana" w:cs="Arial"/>
          <w:lang w:val="es-ES"/>
        </w:rPr>
        <w:t xml:space="preserve">Así 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0BD135F" w14:textId="77777777" w:rsidR="00915B95" w:rsidRPr="00915B95" w:rsidRDefault="00915B95" w:rsidP="00915B95">
      <w:pPr>
        <w:spacing w:after="120" w:line="276" w:lineRule="auto"/>
        <w:ind w:firstLine="709"/>
        <w:jc w:val="both"/>
        <w:rPr>
          <w:rFonts w:ascii="Verdana" w:eastAsia="Calibri" w:hAnsi="Verdana" w:cs="Arial"/>
          <w:lang w:val="es-ES"/>
        </w:rPr>
      </w:pPr>
      <w:r w:rsidRPr="00915B95">
        <w:rPr>
          <w:rFonts w:ascii="Verdana" w:eastAsia="Calibri" w:hAnsi="Verdana" w:cs="Arial"/>
          <w:lang w:val="es-ES"/>
        </w:rPr>
        <w:t>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w:t>
      </w:r>
    </w:p>
    <w:p w14:paraId="409CD185" w14:textId="77777777" w:rsidR="00915B95" w:rsidRPr="00915B95" w:rsidRDefault="00915B95" w:rsidP="00915B95">
      <w:pPr>
        <w:spacing w:after="0" w:line="276" w:lineRule="auto"/>
        <w:ind w:firstLine="709"/>
        <w:jc w:val="both"/>
        <w:rPr>
          <w:rFonts w:ascii="Verdana" w:eastAsia="Calibri" w:hAnsi="Verdana" w:cs="Arial"/>
          <w:lang w:val="es-ES"/>
        </w:rPr>
      </w:pPr>
      <w:r w:rsidRPr="00915B95">
        <w:rPr>
          <w:rFonts w:ascii="Verdana" w:eastAsia="Calibri" w:hAnsi="Verdana" w:cs="Arial"/>
          <w:lang w:val="es-ES"/>
        </w:rPr>
        <w:t xml:space="preserve">En armonía con las consideraciones anteriores, que constituyen el fundamento de la forma como se acredita el cumplimiento de las obligaciones con el Sistema de Seguridad Social Integral, de acuerdo con la normativa vigente, se analizará la regulación de este aspecto en los documentos Tipo de licitación de obra pública de infraestructura social – versión 2. </w:t>
      </w:r>
    </w:p>
    <w:p w14:paraId="5B1EA305" w14:textId="77777777" w:rsidR="00915B95" w:rsidRPr="00915B95" w:rsidRDefault="00915B95" w:rsidP="00915B95">
      <w:pPr>
        <w:spacing w:after="0" w:line="276" w:lineRule="auto"/>
        <w:ind w:firstLine="709"/>
        <w:jc w:val="both"/>
        <w:rPr>
          <w:rFonts w:ascii="Verdana" w:eastAsia="Calibri" w:hAnsi="Verdana" w:cs="Arial"/>
        </w:rPr>
      </w:pPr>
    </w:p>
    <w:p w14:paraId="4160F080" w14:textId="77777777" w:rsidR="00915B95" w:rsidRPr="00915B95" w:rsidRDefault="00915B95" w:rsidP="00915B95">
      <w:pPr>
        <w:tabs>
          <w:tab w:val="left" w:pos="426"/>
        </w:tabs>
        <w:spacing w:after="0" w:line="276" w:lineRule="auto"/>
        <w:jc w:val="both"/>
        <w:rPr>
          <w:rFonts w:ascii="Verdana" w:eastAsia="Calibri" w:hAnsi="Verdana" w:cs="Arial"/>
          <w:b/>
          <w:bCs/>
          <w:noProof/>
          <w:lang w:val="es-ES_tradnl"/>
        </w:rPr>
      </w:pPr>
      <w:bookmarkStart w:id="2" w:name="_Hlk60290519"/>
      <w:r w:rsidRPr="00915B95">
        <w:rPr>
          <w:rFonts w:ascii="Verdana" w:eastAsia="Calibri" w:hAnsi="Verdana" w:cs="Arial"/>
          <w:noProof/>
        </w:rPr>
        <w:t>iv.</w:t>
      </w:r>
      <w:r w:rsidRPr="00915B95">
        <w:rPr>
          <w:rFonts w:ascii="Verdana" w:eastAsia="Calibri" w:hAnsi="Verdana" w:cs="Arial"/>
          <w:b/>
          <w:bCs/>
          <w:noProof/>
        </w:rPr>
        <w:t xml:space="preserve"> </w:t>
      </w:r>
      <w:bookmarkEnd w:id="2"/>
      <w:r w:rsidRPr="00915B95">
        <w:rPr>
          <w:rFonts w:ascii="Verdana" w:eastAsia="Arial" w:hAnsi="Verdana" w:cs="Arial"/>
          <w:lang w:val="es-ES"/>
        </w:rPr>
        <w:t xml:space="preserve">En el </w:t>
      </w:r>
      <w:r w:rsidRPr="00915B95">
        <w:rPr>
          <w:rFonts w:ascii="Verdana" w:eastAsia="Calibri" w:hAnsi="Verdana" w:cs="Arial"/>
          <w:noProof/>
          <w:lang w:val="es-ES_tradnl"/>
        </w:rPr>
        <w:t xml:space="preserve">“Documento Base” de los </w:t>
      </w:r>
      <w:r w:rsidRPr="00915B95">
        <w:rPr>
          <w:rFonts w:ascii="Verdana" w:eastAsia="Calibri" w:hAnsi="Verdana" w:cs="Arial"/>
          <w:lang w:val="es-ES"/>
        </w:rPr>
        <w:t xml:space="preserve">documentos tipo de licitación de obra pública de infraestructura social – versión 2, </w:t>
      </w:r>
      <w:r w:rsidRPr="00915B95">
        <w:rPr>
          <w:rFonts w:ascii="Verdana" w:eastAsia="Arial" w:hAnsi="Verdana" w:cs="Arial"/>
          <w:lang w:val="es-ES"/>
        </w:rPr>
        <w:t>se establecen los requisitos habilitantes y los criterios para la ponderación de las propuestas, dentro de los cuales se encuentra la acreditación de pagos al Sistema de Seguridad Social, de la siguiente forma:</w:t>
      </w:r>
    </w:p>
    <w:p w14:paraId="3EF737BD" w14:textId="77777777" w:rsidR="00915B95" w:rsidRPr="00915B95" w:rsidRDefault="00915B95" w:rsidP="00915B95">
      <w:pPr>
        <w:widowControl w:val="0"/>
        <w:autoSpaceDE w:val="0"/>
        <w:autoSpaceDN w:val="0"/>
        <w:spacing w:after="0" w:line="278" w:lineRule="auto"/>
        <w:jc w:val="both"/>
        <w:rPr>
          <w:rFonts w:ascii="Geomanist Light" w:eastAsia="Arial" w:hAnsi="Geomanist Light" w:cs="Arial"/>
          <w:lang w:val="es-ES"/>
        </w:rPr>
      </w:pPr>
    </w:p>
    <w:p w14:paraId="2D223450" w14:textId="77777777" w:rsidR="00915B95" w:rsidRPr="00915B95" w:rsidRDefault="00915B95" w:rsidP="00915B95">
      <w:pPr>
        <w:keepNext/>
        <w:keepLines/>
        <w:spacing w:after="120" w:line="240" w:lineRule="auto"/>
        <w:ind w:left="709" w:right="709"/>
        <w:jc w:val="both"/>
        <w:outlineLvl w:val="1"/>
        <w:rPr>
          <w:rFonts w:ascii="Verdana" w:eastAsia="Times New Roman" w:hAnsi="Verdana" w:cs="Times New Roman"/>
          <w:b/>
          <w:bCs/>
          <w:color w:val="000000"/>
          <w:kern w:val="2"/>
          <w:sz w:val="21"/>
          <w:szCs w:val="21"/>
          <w14:ligatures w14:val="standardContextual"/>
        </w:rPr>
      </w:pPr>
      <w:bookmarkStart w:id="3" w:name="_Toc67583290"/>
      <w:bookmarkStart w:id="4" w:name="_Toc78789445"/>
      <w:bookmarkStart w:id="5" w:name="_Toc204960028"/>
      <w:r w:rsidRPr="00915B95">
        <w:rPr>
          <w:rFonts w:ascii="Verdana" w:eastAsia="Times New Roman" w:hAnsi="Verdana" w:cs="Times New Roman"/>
          <w:b/>
          <w:bCs/>
          <w:color w:val="000000"/>
          <w:kern w:val="2"/>
          <w:sz w:val="21"/>
          <w:szCs w:val="21"/>
          <w14:ligatures w14:val="standardContextual"/>
        </w:rPr>
        <w:t>“3.4. CERTIFICACIÓN DE PAGOS DE SEGURIDAD SOCIAL Y APORTES LEGALES</w:t>
      </w:r>
      <w:bookmarkEnd w:id="3"/>
      <w:bookmarkEnd w:id="4"/>
      <w:bookmarkEnd w:id="5"/>
    </w:p>
    <w:p w14:paraId="143DB50F" w14:textId="77777777" w:rsidR="00915B95" w:rsidRPr="00915B95" w:rsidRDefault="00915B95" w:rsidP="00915B95">
      <w:pPr>
        <w:keepNext/>
        <w:keepLines/>
        <w:spacing w:before="160" w:after="120" w:line="240" w:lineRule="auto"/>
        <w:ind w:left="709" w:right="709"/>
        <w:jc w:val="both"/>
        <w:outlineLvl w:val="2"/>
        <w:rPr>
          <w:rFonts w:ascii="Verdana" w:eastAsia="Times New Roman" w:hAnsi="Verdana" w:cs="Times New Roman"/>
          <w:b/>
          <w:bCs/>
          <w:color w:val="000000"/>
          <w:kern w:val="2"/>
          <w:sz w:val="21"/>
          <w:szCs w:val="21"/>
          <w:lang w:val="es-MX"/>
          <w14:ligatures w14:val="standardContextual"/>
        </w:rPr>
      </w:pPr>
      <w:bookmarkStart w:id="6" w:name="_Toc67583291"/>
      <w:bookmarkStart w:id="7" w:name="_Toc78789446"/>
      <w:bookmarkStart w:id="8" w:name="_Toc204960029"/>
      <w:r w:rsidRPr="00915B95">
        <w:rPr>
          <w:rFonts w:ascii="Verdana" w:eastAsia="Times New Roman" w:hAnsi="Verdana" w:cs="Times New Roman"/>
          <w:b/>
          <w:bCs/>
          <w:color w:val="000000"/>
          <w:kern w:val="2"/>
          <w:sz w:val="21"/>
          <w:szCs w:val="21"/>
          <w14:ligatures w14:val="standardContextual"/>
        </w:rPr>
        <w:t>3.4.1. PERSONAS</w:t>
      </w:r>
      <w:r w:rsidRPr="00915B95">
        <w:rPr>
          <w:rFonts w:ascii="Verdana" w:eastAsia="Times New Roman" w:hAnsi="Verdana" w:cs="Times New Roman"/>
          <w:b/>
          <w:bCs/>
          <w:color w:val="000000"/>
          <w:kern w:val="2"/>
          <w:sz w:val="21"/>
          <w:szCs w:val="21"/>
          <w:lang w:val="es-MX"/>
          <w14:ligatures w14:val="standardContextual"/>
        </w:rPr>
        <w:t xml:space="preserve"> JURÍDICAS</w:t>
      </w:r>
      <w:bookmarkEnd w:id="6"/>
      <w:bookmarkEnd w:id="7"/>
      <w:bookmarkEnd w:id="8"/>
    </w:p>
    <w:p w14:paraId="1E57CBAE"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 xml:space="preserve">El Proponente persona jurídica debe presentar el Formato 6 – Pagos de seguridad social y aportes legales suscrito por el revisor fiscal, de acuerdo con los requerimientos de ley o por el representante legal, </w:t>
      </w:r>
      <w:r w:rsidRPr="00915B95">
        <w:rPr>
          <w:rFonts w:ascii="Verdana" w:eastAsia="Aptos" w:hAnsi="Verdana" w:cs="Times New Roman"/>
          <w:color w:val="000000"/>
          <w:kern w:val="2"/>
          <w:sz w:val="21"/>
          <w:szCs w:val="21"/>
          <w:lang w:val="es-MX"/>
          <w14:ligatures w14:val="standardContextual"/>
        </w:rPr>
        <w:lastRenderedPageBreak/>
        <w:t xml:space="preserve">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292D93C6"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 xml:space="preserve">La Entidad no exigirá las planillas de pago. Bastará el certificado suscrito por el revisor fiscal, en los casos requeridos por la ley, o por el representante legal que así lo acredite. </w:t>
      </w:r>
    </w:p>
    <w:p w14:paraId="548AEA4C"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 xml:space="preserve">Cuando la persona jurídica está exonerada en los términos previstos en el artículo 65 de la Ley 1819 de 2016 debe indicarlo en el Formato 6 – Pagos de seguridad social y aportes legales. </w:t>
      </w:r>
    </w:p>
    <w:p w14:paraId="704B3781"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Esta misma previsión aplica para las personas jurídicas extranjeras con domicilio o sucursal en Colombia, las cuales deben acreditar este requisito respecto del personal vinculado en Colombia.</w:t>
      </w:r>
    </w:p>
    <w:p w14:paraId="109D3E29" w14:textId="77777777" w:rsidR="00915B95" w:rsidRPr="00915B95" w:rsidRDefault="00915B95" w:rsidP="00915B95">
      <w:pPr>
        <w:keepNext/>
        <w:keepLines/>
        <w:spacing w:before="160" w:after="120" w:line="240" w:lineRule="auto"/>
        <w:ind w:left="709" w:right="709"/>
        <w:jc w:val="both"/>
        <w:outlineLvl w:val="2"/>
        <w:rPr>
          <w:rFonts w:ascii="Verdana" w:eastAsia="Times New Roman" w:hAnsi="Verdana" w:cs="Times New Roman"/>
          <w:b/>
          <w:bCs/>
          <w:color w:val="000000"/>
          <w:kern w:val="2"/>
          <w:sz w:val="21"/>
          <w:szCs w:val="21"/>
          <w:lang w:val="es-MX"/>
          <w14:ligatures w14:val="standardContextual"/>
        </w:rPr>
      </w:pPr>
      <w:bookmarkStart w:id="9" w:name="_Toc67583292"/>
      <w:bookmarkStart w:id="10" w:name="_Toc78789447"/>
      <w:bookmarkStart w:id="11" w:name="_Toc204960030"/>
      <w:r w:rsidRPr="00915B95">
        <w:rPr>
          <w:rFonts w:ascii="Verdana" w:eastAsia="Times New Roman" w:hAnsi="Verdana" w:cs="Times New Roman"/>
          <w:b/>
          <w:bCs/>
          <w:color w:val="000000"/>
          <w:kern w:val="2"/>
          <w:sz w:val="21"/>
          <w:szCs w:val="21"/>
          <w14:ligatures w14:val="standardContextual"/>
        </w:rPr>
        <w:t>3.4.2. PERSONAS</w:t>
      </w:r>
      <w:r w:rsidRPr="00915B95">
        <w:rPr>
          <w:rFonts w:ascii="Verdana" w:eastAsia="Times New Roman" w:hAnsi="Verdana" w:cs="Times New Roman"/>
          <w:b/>
          <w:bCs/>
          <w:color w:val="000000"/>
          <w:kern w:val="2"/>
          <w:sz w:val="21"/>
          <w:szCs w:val="21"/>
          <w:lang w:val="es-MX"/>
          <w14:ligatures w14:val="standardContextual"/>
        </w:rPr>
        <w:t xml:space="preserve"> NATURALES</w:t>
      </w:r>
      <w:bookmarkEnd w:id="9"/>
      <w:bookmarkEnd w:id="10"/>
      <w:bookmarkEnd w:id="11"/>
    </w:p>
    <w:p w14:paraId="7B666CC1"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 xml:space="preserve">El </w:t>
      </w:r>
      <w:r w:rsidRPr="00915B95" w:rsidDel="2C87D955">
        <w:rPr>
          <w:rFonts w:ascii="Verdana" w:eastAsia="Aptos" w:hAnsi="Verdana" w:cs="Times New Roman"/>
          <w:color w:val="000000"/>
          <w:kern w:val="2"/>
          <w:sz w:val="21"/>
          <w:szCs w:val="21"/>
          <w:lang w:val="es-MX"/>
          <w14:ligatures w14:val="standardContextual"/>
        </w:rPr>
        <w:t>P</w:t>
      </w:r>
      <w:r w:rsidRPr="00915B95">
        <w:rPr>
          <w:rFonts w:ascii="Verdana" w:eastAsia="Aptos" w:hAnsi="Verdana" w:cs="Times New Roman"/>
          <w:color w:val="000000"/>
          <w:kern w:val="2"/>
          <w:sz w:val="21"/>
          <w:szCs w:val="21"/>
          <w:lang w:val="es-MX"/>
          <w14:ligatures w14:val="standardContextual"/>
        </w:rPr>
        <w:t>roponente persona natural debe acreditar la afiliación a los sistemas de seguridad social en salud y pensiones, aportando los certificados de afiliación respectivos o con el certificado de pago de la correspondiente planilla, con fecha de expedición no mayor a treinta (30) días calendario, anteriores a la fecha de cierre del Proceso de contratación o copia de la planilla de seguridad social paga.</w:t>
      </w:r>
    </w:p>
    <w:p w14:paraId="23671B5B" w14:textId="77777777" w:rsidR="00915B95" w:rsidRPr="00915B95" w:rsidRDefault="00915B95" w:rsidP="00915B95">
      <w:pPr>
        <w:spacing w:after="120" w:line="240" w:lineRule="auto"/>
        <w:ind w:left="709" w:right="709"/>
        <w:jc w:val="both"/>
        <w:rPr>
          <w:rFonts w:ascii="Verdana" w:eastAsia="Times New Roman"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En caso de modificarse la fecha de cierre del Proceso de Contratación, se tendrá como referencia para establecer el plazo de vigencia de los certificados de afiliación la fecha originalmente establecida en el</w:t>
      </w:r>
      <w:r w:rsidRPr="00915B95">
        <w:rPr>
          <w:rFonts w:ascii="Verdana" w:eastAsia="Aptos" w:hAnsi="Verdana" w:cs="Times New Roman"/>
          <w:color w:val="000000"/>
          <w:kern w:val="2"/>
          <w:sz w:val="21"/>
          <w:szCs w:val="21"/>
          <w14:ligatures w14:val="standardContextual"/>
        </w:rPr>
        <w:t xml:space="preserve"> P</w:t>
      </w:r>
      <w:r w:rsidRPr="00915B95">
        <w:rPr>
          <w:rFonts w:ascii="Verdana" w:eastAsia="Aptos" w:hAnsi="Verdana" w:cs="Times New Roman"/>
          <w:color w:val="000000"/>
          <w:kern w:val="2"/>
          <w:sz w:val="21"/>
          <w:szCs w:val="21"/>
          <w:lang w:val="es-MX"/>
          <w14:ligatures w14:val="standardContextual"/>
        </w:rPr>
        <w:t>liego de Condiciones definitivo.</w:t>
      </w:r>
    </w:p>
    <w:p w14:paraId="45913379"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 xml:space="preserve">La persona natural que reúna los requisitos para acceder a la pensión de vejez, o presente resolución de reconocimiento de pensión o indemnización sustitutiva, presentará el documento que lo acredite y, además, la afiliación al sistema de salud. </w:t>
      </w:r>
    </w:p>
    <w:p w14:paraId="6E707262"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De igual forma, quienes se encuentren en condición legal de no estar obligados a realizar cotización de pensión tendrán que presentar el documento que así lo acredite y, adicionalmente, el certificado de afiliación al sistema de salud.</w:t>
      </w:r>
    </w:p>
    <w:p w14:paraId="6AE11A1A"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Esta misma previsión aplica para las personas naturales extranjeras con domicilio en Colombia las cuales deberán acreditar este requisito respecto del personal vinculado en Colombia.</w:t>
      </w:r>
    </w:p>
    <w:p w14:paraId="58B34510" w14:textId="77777777" w:rsidR="00915B95" w:rsidRPr="00915B95" w:rsidRDefault="00915B95" w:rsidP="00915B95">
      <w:pPr>
        <w:keepNext/>
        <w:keepLines/>
        <w:spacing w:before="160" w:after="120" w:line="240" w:lineRule="auto"/>
        <w:ind w:left="709" w:right="709"/>
        <w:jc w:val="both"/>
        <w:outlineLvl w:val="2"/>
        <w:rPr>
          <w:rFonts w:ascii="Verdana" w:eastAsia="Times New Roman" w:hAnsi="Verdana" w:cs="Times New Roman"/>
          <w:b/>
          <w:bCs/>
          <w:color w:val="000000"/>
          <w:kern w:val="2"/>
          <w:sz w:val="21"/>
          <w:szCs w:val="21"/>
          <w:lang w:val="es-MX"/>
          <w14:ligatures w14:val="standardContextual"/>
        </w:rPr>
      </w:pPr>
      <w:bookmarkStart w:id="12" w:name="_Toc67583293"/>
      <w:bookmarkStart w:id="13" w:name="_Toc78789448"/>
      <w:bookmarkStart w:id="14" w:name="_Toc204960031"/>
      <w:r w:rsidRPr="00915B95">
        <w:rPr>
          <w:rFonts w:ascii="Verdana" w:eastAsia="Times New Roman" w:hAnsi="Verdana" w:cs="Times New Roman"/>
          <w:b/>
          <w:bCs/>
          <w:color w:val="000000"/>
          <w:kern w:val="2"/>
          <w:sz w:val="21"/>
          <w:szCs w:val="21"/>
          <w14:ligatures w14:val="standardContextual"/>
        </w:rPr>
        <w:lastRenderedPageBreak/>
        <w:t>3.4.3. PROPONENTES</w:t>
      </w:r>
      <w:r w:rsidRPr="00915B95">
        <w:rPr>
          <w:rFonts w:ascii="Verdana" w:eastAsia="Times New Roman" w:hAnsi="Verdana" w:cs="Times New Roman"/>
          <w:b/>
          <w:bCs/>
          <w:color w:val="000000"/>
          <w:kern w:val="2"/>
          <w:sz w:val="21"/>
          <w:szCs w:val="21"/>
          <w:lang w:val="es-MX"/>
          <w14:ligatures w14:val="standardContextual"/>
        </w:rPr>
        <w:t xml:space="preserve"> PLURALES</w:t>
      </w:r>
      <w:bookmarkEnd w:id="12"/>
      <w:bookmarkEnd w:id="13"/>
      <w:bookmarkEnd w:id="14"/>
    </w:p>
    <w:p w14:paraId="706D6D1F" w14:textId="77777777" w:rsidR="00915B95" w:rsidRPr="00915B95" w:rsidRDefault="00915B95" w:rsidP="00915B95">
      <w:pPr>
        <w:spacing w:after="120" w:line="240" w:lineRule="auto"/>
        <w:ind w:left="709" w:right="709"/>
        <w:jc w:val="both"/>
        <w:rPr>
          <w:rFonts w:ascii="Verdana" w:eastAsia="Aptos" w:hAnsi="Verdana" w:cs="Times New Roman"/>
          <w:color w:val="000000"/>
          <w:kern w:val="2"/>
          <w:sz w:val="21"/>
          <w:szCs w:val="21"/>
          <w:lang w:val="es-MX"/>
          <w14:ligatures w14:val="standardContextual"/>
        </w:rPr>
      </w:pPr>
      <w:r w:rsidRPr="00915B95">
        <w:rPr>
          <w:rFonts w:ascii="Verdana" w:eastAsia="Aptos" w:hAnsi="Verdana" w:cs="Times New Roman"/>
          <w:color w:val="000000"/>
          <w:kern w:val="2"/>
          <w:sz w:val="21"/>
          <w:szCs w:val="21"/>
          <w:lang w:val="es-MX"/>
          <w14:ligatures w14:val="standardContextual"/>
        </w:rPr>
        <w:t>Cada uno de los integrantes del Proponente Plural debe acreditar por separado los requisitos de que tratan los numerales anteriores”.</w:t>
      </w:r>
    </w:p>
    <w:p w14:paraId="31003732" w14:textId="77777777" w:rsidR="00915B95" w:rsidRPr="00915B95" w:rsidRDefault="00915B95" w:rsidP="00915B95">
      <w:pPr>
        <w:spacing w:after="0" w:line="240" w:lineRule="auto"/>
        <w:ind w:left="709" w:right="709"/>
        <w:jc w:val="both"/>
        <w:rPr>
          <w:rFonts w:ascii="Geomanist Light" w:eastAsia="Calibri" w:hAnsi="Geomanist Light" w:cs="Times New Roman"/>
          <w:color w:val="000000"/>
          <w:sz w:val="21"/>
          <w:szCs w:val="21"/>
          <w:lang w:val="es-MX"/>
        </w:rPr>
      </w:pPr>
    </w:p>
    <w:p w14:paraId="70525972" w14:textId="77777777" w:rsidR="00915B95" w:rsidRPr="00915B95" w:rsidRDefault="00915B95" w:rsidP="00915B95">
      <w:pPr>
        <w:spacing w:after="120" w:line="276" w:lineRule="auto"/>
        <w:ind w:firstLine="708"/>
        <w:jc w:val="both"/>
        <w:rPr>
          <w:rFonts w:ascii="Verdana" w:eastAsia="MS Mincho" w:hAnsi="Verdana" w:cs="Arial"/>
          <w:shd w:val="clear" w:color="auto" w:fill="FFFFFF"/>
          <w:lang w:eastAsia="es-CO"/>
        </w:rPr>
      </w:pPr>
      <w:r w:rsidRPr="00915B95">
        <w:rPr>
          <w:rFonts w:ascii="Verdana" w:eastAsia="Arial" w:hAnsi="Verdana" w:cs="Arial"/>
          <w:lang w:val="es-ES"/>
        </w:rPr>
        <w:t xml:space="preserve">En este sentido, en los numerales 3.4, 3.4.1, 3.4.2 y 3.4.3, se establece: i) las reglas para la acreditación de aportes al Sistema de Seguridad Social Integral y parafiscales, </w:t>
      </w:r>
      <w:proofErr w:type="spellStart"/>
      <w:r w:rsidRPr="00915B95">
        <w:rPr>
          <w:rFonts w:ascii="Verdana" w:eastAsia="Arial" w:hAnsi="Verdana" w:cs="Arial"/>
          <w:lang w:val="es-ES"/>
        </w:rPr>
        <w:t>ii</w:t>
      </w:r>
      <w:proofErr w:type="spellEnd"/>
      <w:r w:rsidRPr="00915B95">
        <w:rPr>
          <w:rFonts w:ascii="Verdana" w:eastAsia="Arial" w:hAnsi="Verdana" w:cs="Arial"/>
          <w:lang w:val="es-ES"/>
        </w:rPr>
        <w:t xml:space="preserve">) los proponentes personas jurídicas deben acreditar este requisito con la suscripción y presentación del “Formato 6 – Pagos de seguridad social y aportes legales”, </w:t>
      </w:r>
      <w:proofErr w:type="spellStart"/>
      <w:r w:rsidRPr="00915B95">
        <w:rPr>
          <w:rFonts w:ascii="Verdana" w:eastAsia="Arial" w:hAnsi="Verdana" w:cs="Arial"/>
          <w:lang w:val="es-ES"/>
        </w:rPr>
        <w:t>iii</w:t>
      </w:r>
      <w:proofErr w:type="spellEnd"/>
      <w:r w:rsidRPr="00915B95">
        <w:rPr>
          <w:rFonts w:ascii="Verdana" w:eastAsia="Arial" w:hAnsi="Verdana" w:cs="Arial"/>
          <w:lang w:val="es-ES"/>
        </w:rPr>
        <w:t xml:space="preserve">) los proponentes personas naturales </w:t>
      </w:r>
      <w:r w:rsidRPr="00915B95">
        <w:rPr>
          <w:rFonts w:ascii="Verdana" w:eastAsia="Calibri" w:hAnsi="Verdana" w:cs="Arial"/>
          <w:bCs/>
          <w:noProof/>
          <w:lang w:val="es-ES_tradnl"/>
        </w:rPr>
        <w:t>deben acreditar la afiliación a los sistemas de seguridad social en salud y pensiones, aportando los certificados de afiliación respectivos o el certificado de pago de la correspondiente planilla</w:t>
      </w:r>
      <w:r w:rsidRPr="00915B95">
        <w:rPr>
          <w:rFonts w:ascii="Verdana" w:eastAsia="Arial" w:hAnsi="Verdana" w:cs="Arial"/>
          <w:lang w:val="es-ES"/>
        </w:rPr>
        <w:t xml:space="preserve">, </w:t>
      </w:r>
      <w:proofErr w:type="spellStart"/>
      <w:r w:rsidRPr="00915B95">
        <w:rPr>
          <w:rFonts w:ascii="Verdana" w:eastAsia="Arial" w:hAnsi="Verdana" w:cs="Arial"/>
          <w:lang w:val="es-ES"/>
        </w:rPr>
        <w:t>iv</w:t>
      </w:r>
      <w:proofErr w:type="spellEnd"/>
      <w:r w:rsidRPr="00915B95">
        <w:rPr>
          <w:rFonts w:ascii="Verdana" w:eastAsia="Arial" w:hAnsi="Verdana" w:cs="Arial"/>
          <w:lang w:val="es-ES"/>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proofErr w:type="spellStart"/>
      <w:r w:rsidRPr="00915B95">
        <w:rPr>
          <w:rFonts w:ascii="Verdana" w:eastAsia="MS Mincho" w:hAnsi="Verdana" w:cs="Arial"/>
          <w:shd w:val="clear" w:color="auto" w:fill="FFFFFF"/>
          <w:lang w:eastAsia="es-CO"/>
        </w:rPr>
        <w:t>ugar</w:t>
      </w:r>
      <w:proofErr w:type="spellEnd"/>
      <w:r w:rsidRPr="00915B95">
        <w:rPr>
          <w:rFonts w:ascii="Verdana" w:eastAsia="MS Mincho" w:hAnsi="Verdana" w:cs="Arial"/>
          <w:shd w:val="clear" w:color="auto" w:fill="FFFFFF"/>
          <w:lang w:eastAsia="es-CO"/>
        </w:rPr>
        <w:t>.</w:t>
      </w:r>
    </w:p>
    <w:p w14:paraId="223E53EA" w14:textId="77777777" w:rsidR="00915B95" w:rsidRPr="00915B95" w:rsidRDefault="00915B95" w:rsidP="00915B95">
      <w:pPr>
        <w:spacing w:after="120" w:line="276" w:lineRule="auto"/>
        <w:ind w:firstLine="708"/>
        <w:jc w:val="both"/>
        <w:rPr>
          <w:rFonts w:ascii="Verdana" w:eastAsia="Calibri" w:hAnsi="Verdana" w:cs="Arial"/>
          <w:b/>
          <w:lang w:val="es-ES_tradnl" w:eastAsia="es-CO"/>
        </w:rPr>
      </w:pPr>
      <w:r w:rsidRPr="00915B95">
        <w:rPr>
          <w:rFonts w:ascii="Verdana" w:eastAsia="MS Mincho" w:hAnsi="Verdana" w:cs="Arial"/>
          <w:shd w:val="clear" w:color="auto" w:fill="FFFFFF"/>
          <w:lang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y 3.4.3, cuyo contenido es inalterable, pues en dichos aspectos el Documento Tipo no permite su modificación por parte de las entidades estatales.</w:t>
      </w:r>
    </w:p>
    <w:p w14:paraId="4C260841" w14:textId="77777777" w:rsidR="00915B95" w:rsidRPr="00915B95" w:rsidRDefault="00915B95" w:rsidP="00915B95">
      <w:pPr>
        <w:widowControl w:val="0"/>
        <w:autoSpaceDE w:val="0"/>
        <w:autoSpaceDN w:val="0"/>
        <w:spacing w:after="120" w:line="276" w:lineRule="auto"/>
        <w:ind w:firstLine="709"/>
        <w:jc w:val="both"/>
        <w:rPr>
          <w:rFonts w:ascii="Verdana" w:eastAsia="Calibri" w:hAnsi="Verdana" w:cs="Arial"/>
          <w:bCs/>
          <w:noProof/>
          <w:lang w:val="es-ES_tradnl"/>
        </w:rPr>
      </w:pPr>
      <w:r w:rsidRPr="00915B95">
        <w:rPr>
          <w:rFonts w:ascii="Verdana" w:eastAsia="Arial" w:hAnsi="Verdana" w:cs="Arial"/>
          <w:lang w:val="es-ES"/>
        </w:rPr>
        <w:t xml:space="preserve">Ahora bien, </w:t>
      </w:r>
      <w:bookmarkStart w:id="15" w:name="_Hlk87263796"/>
      <w:r w:rsidRPr="00915B95">
        <w:rPr>
          <w:rFonts w:ascii="Verdana" w:eastAsia="Arial" w:hAnsi="Verdana" w:cs="Arial"/>
          <w:lang w:val="es-ES"/>
        </w:rPr>
        <w:t>en lo concerniente al tema de consulta, obedeciendo al marco legal previsto en la materia, e</w:t>
      </w:r>
      <w:r w:rsidRPr="00915B95">
        <w:rPr>
          <w:rFonts w:ascii="Verdana" w:eastAsia="Calibri" w:hAnsi="Verdana" w:cs="Arial"/>
          <w:bCs/>
          <w:noProof/>
          <w:lang w:val="es-ES_tradnl"/>
        </w:rPr>
        <w:t xml:space="preserve">l numeral 3.4.1. del “Documento Base” del documento Tipo de </w:t>
      </w:r>
      <w:r w:rsidRPr="00915B95">
        <w:rPr>
          <w:rFonts w:ascii="Verdana" w:eastAsia="Calibri" w:hAnsi="Verdana" w:cs="Arial"/>
          <w:noProof/>
          <w:lang w:val="es-ES_tradnl"/>
        </w:rPr>
        <w:t>licitación de obra pública de infraestructura social – Versión 2</w:t>
      </w:r>
      <w:r w:rsidRPr="00915B95">
        <w:rPr>
          <w:rFonts w:ascii="Verdana" w:eastAsia="Calibri" w:hAnsi="Verdana" w:cs="Arial"/>
        </w:rPr>
        <w:t>,</w:t>
      </w:r>
      <w:r w:rsidRPr="00915B95">
        <w:rPr>
          <w:rFonts w:ascii="Verdana" w:eastAsia="Calibri" w:hAnsi="Verdana" w:cs="Arial"/>
          <w:noProof/>
          <w:lang w:val="es-ES_tradnl"/>
        </w:rPr>
        <w:t xml:space="preserve"> establecen que las personas jurídicas deben presentar el </w:t>
      </w:r>
      <w:r w:rsidRPr="00915B95">
        <w:rPr>
          <w:rFonts w:ascii="Verdana" w:eastAsia="Calibri" w:hAnsi="Verdana" w:cs="Arial"/>
          <w:bCs/>
          <w:noProof/>
          <w:lang w:val="es-ES_tradnl"/>
        </w:rPr>
        <w:t xml:space="preserve">Formato 6 – Pagos de seguridad social y aportes legales suscrito por el representante legal de la persona jurídica o el revisor fiscal, según corresponda, </w:t>
      </w:r>
      <w:r w:rsidRPr="00915B95">
        <w:rPr>
          <w:rFonts w:ascii="Verdana" w:eastAsia="Calibri" w:hAnsi="Verdana" w:cs="Arial"/>
          <w:noProof/>
          <w:lang w:val="es-ES_tradnl"/>
        </w:rPr>
        <w:t>bajo la gravedad del juramento. En dicho numeral se establece que basta con la presentación de dicho formato, aclarando expresamente que</w:t>
      </w:r>
      <w:r w:rsidRPr="00915B95">
        <w:rPr>
          <w:rFonts w:ascii="Verdana" w:eastAsia="Calibri" w:hAnsi="Verdana" w:cs="Arial"/>
          <w:bCs/>
          <w:noProof/>
          <w:lang w:val="es-ES_tradnl"/>
        </w:rPr>
        <w:t xml:space="preserve"> “La entidad no exigirá las planillas de pago. Bastará el certificado suscrito por el revisor fiscal, en los casos requeridos por la ley, o por el representante legal que así lo acredite”. Lo anterior de conformidad con lo establecido en los incisos 3 y 4 del artículo 50 de la Ley 789 </w:t>
      </w:r>
      <w:r w:rsidRPr="00915B95">
        <w:rPr>
          <w:rFonts w:ascii="Verdana" w:eastAsia="Calibri" w:hAnsi="Verdana" w:cs="Arial"/>
          <w:bCs/>
          <w:noProof/>
          <w:lang w:val="es-ES_tradnl"/>
        </w:rPr>
        <w:lastRenderedPageBreak/>
        <w:t>de 2002.</w:t>
      </w:r>
    </w:p>
    <w:p w14:paraId="6A17940E" w14:textId="77777777" w:rsidR="00915B95" w:rsidRPr="00915B95" w:rsidRDefault="00915B95" w:rsidP="00915B95">
      <w:pPr>
        <w:tabs>
          <w:tab w:val="left" w:pos="426"/>
        </w:tabs>
        <w:spacing w:after="120" w:line="276" w:lineRule="auto"/>
        <w:ind w:firstLine="709"/>
        <w:jc w:val="both"/>
        <w:rPr>
          <w:rFonts w:ascii="Verdana" w:eastAsia="Calibri" w:hAnsi="Verdana" w:cs="Arial"/>
          <w:bCs/>
          <w:noProof/>
          <w:lang w:val="es-ES_tradnl"/>
        </w:rPr>
      </w:pPr>
      <w:r w:rsidRPr="00915B95">
        <w:rPr>
          <w:rFonts w:ascii="Verdana" w:eastAsia="Calibri" w:hAnsi="Verdana" w:cs="Arial"/>
          <w:bCs/>
          <w:noProof/>
          <w:lang w:val="es-ES_tradnl"/>
        </w:rPr>
        <w:t xml:space="preserve">En cuanto a los proponentes personas naturales, el numeral 3.4.2. del </w:t>
      </w:r>
      <w:r w:rsidRPr="00915B95">
        <w:rPr>
          <w:rFonts w:ascii="Verdana" w:eastAsia="Calibri" w:hAnsi="Verdana" w:cs="Arial"/>
          <w:noProof/>
          <w:lang w:val="es-ES_tradnl"/>
        </w:rPr>
        <w:t xml:space="preserve">“Documento Base” </w:t>
      </w:r>
      <w:r w:rsidRPr="00915B95">
        <w:rPr>
          <w:rFonts w:ascii="Verdana" w:eastAsia="Calibri" w:hAnsi="Verdana" w:cs="Arial"/>
          <w:bCs/>
          <w:noProof/>
          <w:lang w:val="es-ES_tradnl"/>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915B95">
        <w:rPr>
          <w:rFonts w:ascii="Verdana" w:eastAsia="Calibri" w:hAnsi="Verdana" w:cs="Arial"/>
          <w:noProof/>
          <w:lang w:val="es-ES_tradnl"/>
        </w:rPr>
        <w:t>“</w:t>
      </w:r>
      <w:r w:rsidRPr="00915B95">
        <w:rPr>
          <w:rFonts w:ascii="Verdana" w:eastAsia="Calibri" w:hAnsi="Verdana" w:cs="Arial"/>
          <w:bCs/>
          <w:noProof/>
          <w:lang w:val="es-ES_tradnl"/>
        </w:rPr>
        <w:t>o</w:t>
      </w:r>
      <w:r w:rsidRPr="00915B95">
        <w:rPr>
          <w:rFonts w:ascii="Verdana" w:eastAsia="Calibri" w:hAnsi="Verdana" w:cs="Arial"/>
          <w:noProof/>
          <w:lang w:val="es-ES_tradnl"/>
        </w:rPr>
        <w:t>”</w:t>
      </w:r>
      <w:r w:rsidRPr="00915B95">
        <w:rPr>
          <w:rFonts w:ascii="Verdana" w:eastAsia="Calibri" w:hAnsi="Verdana" w:cs="Arial"/>
          <w:bCs/>
          <w:noProof/>
          <w:lang w:val="es-ES_tradnl"/>
        </w:rPr>
        <w:t xml:space="preserve"> permite inferir que dicha acreditación se surtirá con alguna de las dos opciones, por lo que bien puede la persona aportar solo los certificados de afiliación u optar por allegar el certificado de pago</w:t>
      </w:r>
      <w:r w:rsidRPr="00915B95">
        <w:rPr>
          <w:rFonts w:ascii="Verdana" w:eastAsia="Calibri" w:hAnsi="Verdana" w:cs="Arial"/>
          <w:bCs/>
          <w:noProof/>
          <w:vertAlign w:val="superscript"/>
          <w:lang w:val="es-ES_tradnl"/>
        </w:rPr>
        <w:footnoteReference w:id="3"/>
      </w:r>
      <w:r w:rsidRPr="00915B95">
        <w:rPr>
          <w:rFonts w:ascii="Verdana" w:eastAsia="Calibri" w:hAnsi="Verdana" w:cs="Arial"/>
          <w:bCs/>
          <w:noProof/>
          <w:lang w:val="es-ES_tradnl"/>
        </w:rPr>
        <w:t>. En consecuencia, la entidad no podría rechazar al proponente que eligió cumplir con este requisito allegando solo los certificados de afiliación, sin perjuicio de las normas que regulan lo relativo a la afiliación, oportunidad en el pago de dichos aportes y el  requerimiento de presentar una declaración donde acredite el pago en caso de resultar adjudicatario, correspondiendo a las entidades estatales su verificación.</w:t>
      </w:r>
    </w:p>
    <w:p w14:paraId="2597D340" w14:textId="77777777" w:rsidR="00915B95" w:rsidRPr="00915B95" w:rsidRDefault="00915B95" w:rsidP="00915B95">
      <w:pPr>
        <w:spacing w:after="120" w:line="276" w:lineRule="auto"/>
        <w:ind w:firstLine="708"/>
        <w:jc w:val="both"/>
        <w:rPr>
          <w:rFonts w:ascii="Verdana" w:eastAsia="Times New Roman" w:hAnsi="Verdana" w:cs="Arial"/>
          <w:lang w:eastAsia="es-CO"/>
        </w:rPr>
      </w:pPr>
      <w:r w:rsidRPr="00915B95">
        <w:rPr>
          <w:rFonts w:ascii="Verdana" w:eastAsia="Calibri" w:hAnsi="Verdana" w:cs="Arial"/>
          <w:bCs/>
          <w:noProof/>
          <w:lang w:val="es-ES_tradnl" w:eastAsia="es-CO"/>
        </w:rPr>
        <w:t xml:space="preserve">Ahora bien, </w:t>
      </w:r>
      <w:r w:rsidRPr="00915B95">
        <w:rPr>
          <w:rFonts w:ascii="Verdana" w:eastAsia="Arial" w:hAnsi="Verdana" w:cs="Arial"/>
          <w:lang w:val="es-ES" w:eastAsia="es-CO"/>
        </w:rPr>
        <w:t xml:space="preserve">el </w:t>
      </w:r>
      <w:r w:rsidRPr="00915B95">
        <w:rPr>
          <w:rFonts w:ascii="Verdana" w:eastAsia="Calibri" w:hAnsi="Verdana" w:cs="Arial"/>
          <w:noProof/>
          <w:lang w:val="es-ES_tradnl" w:eastAsia="es-CO"/>
        </w:rPr>
        <w:t xml:space="preserve">“Documento Base” de los </w:t>
      </w:r>
      <w:r w:rsidRPr="00915B95">
        <w:rPr>
          <w:rFonts w:ascii="Verdana" w:eastAsia="Times New Roman" w:hAnsi="Verdana" w:cs="Arial"/>
          <w:lang w:val="es-ES" w:eastAsia="es-CO"/>
        </w:rPr>
        <w:t>documentos tipo de licitación de obra pública de infraestructura social – Versión 2</w:t>
      </w:r>
      <w:r w:rsidRPr="00915B95">
        <w:rPr>
          <w:rFonts w:ascii="Verdana" w:eastAsia="Times New Roman" w:hAnsi="Verdana" w:cs="Arial"/>
          <w:lang w:eastAsia="es-CO"/>
        </w:rPr>
        <w:t xml:space="preserve">, establece la acreditación de pagos de seguridad social y aportes legales de personas jurídicas, personas naturales y proponentes plurales para la suscripción del contrato y durante su ejecución.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 debe acreditar, para realizar cada pago del contrato, que se encuentra al día en los aportes parafiscales relativos al Sistema de Seguridad Social Integral (…)”. De estos numerales se deriva que </w:t>
      </w:r>
      <w:r w:rsidRPr="00915B95">
        <w:rPr>
          <w:rFonts w:ascii="Verdana" w:eastAsia="Calibri" w:hAnsi="Verdana" w:cs="Arial"/>
          <w:lang w:val="es-ES" w:eastAsia="es-CO"/>
        </w:rPr>
        <w:t>las entidades estatales contratantes verificarán el cumplimiento del pago de los aportes al Sistema de Seguridad Social Integral, por parte de los contratistas del Estado, durante el procedimiento de selección, la suscripción del contrato y durante su ejecución, de la manera explicada.</w:t>
      </w:r>
    </w:p>
    <w:bookmarkEnd w:id="15"/>
    <w:p w14:paraId="4C9002E2" w14:textId="77777777" w:rsidR="00915B95" w:rsidRPr="00915B95" w:rsidRDefault="00915B95" w:rsidP="00915B95">
      <w:pPr>
        <w:spacing w:after="120" w:line="276" w:lineRule="auto"/>
        <w:ind w:firstLine="709"/>
        <w:jc w:val="both"/>
        <w:rPr>
          <w:rFonts w:ascii="Verdana" w:eastAsia="MS Mincho" w:hAnsi="Verdana" w:cs="Arial"/>
          <w:shd w:val="clear" w:color="auto" w:fill="FFFFFF"/>
          <w:lang w:eastAsia="es-CO"/>
        </w:rPr>
      </w:pPr>
      <w:r w:rsidRPr="00915B95">
        <w:rPr>
          <w:rFonts w:ascii="Verdana" w:eastAsia="MS Mincho" w:hAnsi="Verdana" w:cs="Arial"/>
          <w:shd w:val="clear" w:color="auto" w:fill="FFFFFF"/>
          <w:lang w:eastAsia="es-CO"/>
        </w:rPr>
        <w:lastRenderedPageBreak/>
        <w:t xml:space="preserve">Sin perjuicio de lo anterior, las circunstancias que acrediten los proponentes en los procedimientos de selección deben ser veraces, lo que incluso puede traer consecuencias en el procedimiento de selección, pues una de las causales de rechazo establecidas en el numeral 1.15 del “Documento Base” consiste en “que el Proponente aporte información inexacta sobre la cual pueda existir una posible falsedad en los términos de la sección </w:t>
      </w:r>
      <w:r w:rsidRPr="00915B95">
        <w:rPr>
          <w:rFonts w:ascii="Verdana" w:eastAsia="MS Mincho" w:hAnsi="Verdana" w:cs="Arial"/>
          <w:shd w:val="clear" w:color="auto" w:fill="FFFFFF"/>
          <w:lang w:eastAsia="es-CO"/>
        </w:rPr>
        <w:fldChar w:fldCharType="begin"/>
      </w:r>
      <w:r w:rsidRPr="00915B95">
        <w:rPr>
          <w:rFonts w:ascii="Verdana" w:eastAsia="MS Mincho" w:hAnsi="Verdana" w:cs="Arial"/>
          <w:shd w:val="clear" w:color="auto" w:fill="FFFFFF"/>
          <w:lang w:eastAsia="es-CO"/>
        </w:rPr>
        <w:instrText xml:space="preserve"> REF _Ref4940712 \r \h  \* MERGEFORMAT </w:instrText>
      </w:r>
      <w:r w:rsidRPr="00915B95">
        <w:rPr>
          <w:rFonts w:ascii="Verdana" w:eastAsia="MS Mincho" w:hAnsi="Verdana" w:cs="Arial"/>
          <w:shd w:val="clear" w:color="auto" w:fill="FFFFFF"/>
          <w:lang w:eastAsia="es-CO"/>
        </w:rPr>
      </w:r>
      <w:r w:rsidRPr="00915B95">
        <w:rPr>
          <w:rFonts w:ascii="Verdana" w:eastAsia="MS Mincho" w:hAnsi="Verdana" w:cs="Arial"/>
          <w:shd w:val="clear" w:color="auto" w:fill="FFFFFF"/>
          <w:lang w:eastAsia="es-CO"/>
        </w:rPr>
        <w:fldChar w:fldCharType="separate"/>
      </w:r>
      <w:r w:rsidRPr="00915B95">
        <w:rPr>
          <w:rFonts w:ascii="Verdana" w:eastAsia="MS Mincho" w:hAnsi="Verdana" w:cs="Arial"/>
          <w:shd w:val="clear" w:color="auto" w:fill="FFFFFF"/>
          <w:lang w:eastAsia="es-CO"/>
        </w:rPr>
        <w:t>1.11</w:t>
      </w:r>
      <w:r w:rsidRPr="00915B95">
        <w:rPr>
          <w:rFonts w:ascii="Verdana" w:eastAsia="MS Mincho" w:hAnsi="Verdana" w:cs="Arial"/>
          <w:shd w:val="clear" w:color="auto" w:fill="FFFFFF"/>
          <w:lang w:eastAsia="es-CO"/>
        </w:rPr>
        <w:fldChar w:fldCharType="end"/>
      </w:r>
      <w:r w:rsidRPr="00915B95">
        <w:rPr>
          <w:rFonts w:ascii="Verdana" w:eastAsia="MS Mincho" w:hAnsi="Verdana" w:cs="Arial"/>
          <w:shd w:val="clear" w:color="auto" w:fill="FFFFFF"/>
          <w:lang w:eastAsia="es-CO"/>
        </w:rPr>
        <w:t>.”. En este sentido, aportar información inexacta sobre la cual pueda existir una posible falsedad da lugar al rechazo de la oferta.</w:t>
      </w:r>
    </w:p>
    <w:p w14:paraId="4BCB80A0" w14:textId="77777777" w:rsidR="00915B95" w:rsidRPr="00915B95" w:rsidRDefault="00915B95" w:rsidP="00915B95">
      <w:pPr>
        <w:spacing w:after="0" w:line="276" w:lineRule="auto"/>
        <w:jc w:val="both"/>
        <w:rPr>
          <w:rFonts w:ascii="Verdana" w:eastAsia="Arial" w:hAnsi="Verdana" w:cs="Arial"/>
          <w:color w:val="000000"/>
          <w:szCs w:val="24"/>
          <w:lang w:val="es-ES" w:eastAsia="es-MX"/>
        </w:rPr>
      </w:pPr>
      <w:r w:rsidRPr="00915B95">
        <w:rPr>
          <w:rFonts w:ascii="Verdana" w:eastAsia="Arial" w:hAnsi="Verdana" w:cs="Arial"/>
          <w:color w:val="000000"/>
          <w:szCs w:val="24"/>
          <w:lang w:val="es-ES" w:eastAsia="es-MX"/>
        </w:rPr>
        <w:tab/>
        <w:t xml:space="preserve">Con todo, debe advertirse que, la acreditación de pago de aportes a seguridad social constituye un requisito habilitante, por lo que, en principio, sería susceptible de subsanación, conforme a lo señalado en el parágrafo 1 del artículo 65 de la Ley 1150 de 2007 y el numeral 1.6 del documento base. No obstante, dicha subsanación no será válida cuando comporte la acreditación de circunstancia ocurridas con posterioridad al cierre, ni cuando se verifique la que inexactitud es imputable a una posible falsedad en la declaración contenida en el Formato 6 presentado inicialmente. </w:t>
      </w:r>
    </w:p>
    <w:p w14:paraId="591262E0" w14:textId="77777777" w:rsidR="00915B95" w:rsidRPr="00915B95" w:rsidRDefault="00915B95" w:rsidP="00915B95">
      <w:pPr>
        <w:spacing w:after="0" w:line="276" w:lineRule="auto"/>
        <w:jc w:val="both"/>
        <w:rPr>
          <w:rFonts w:ascii="Verdana" w:eastAsia="Arial" w:hAnsi="Verdana" w:cs="Arial"/>
          <w:color w:val="000000"/>
          <w:szCs w:val="24"/>
          <w:lang w:val="es-ES" w:eastAsia="es-MX"/>
        </w:rPr>
      </w:pPr>
    </w:p>
    <w:p w14:paraId="316802AB" w14:textId="77777777" w:rsidR="00915B95" w:rsidRPr="00915B95" w:rsidRDefault="00915B95" w:rsidP="00915B95">
      <w:pPr>
        <w:spacing w:after="0" w:line="276" w:lineRule="auto"/>
        <w:jc w:val="both"/>
        <w:rPr>
          <w:rFonts w:ascii="Verdana" w:eastAsia="Calibri" w:hAnsi="Verdana" w:cs="Arial"/>
          <w:bCs/>
        </w:rPr>
      </w:pPr>
      <w:r w:rsidRPr="00915B95">
        <w:rPr>
          <w:rFonts w:ascii="Verdana" w:eastAsia="Arial" w:hAnsi="Verdana" w:cs="Arial"/>
          <w:color w:val="000000"/>
          <w:szCs w:val="24"/>
          <w:lang w:val="es-ES" w:eastAsia="es-MX"/>
        </w:rPr>
        <w:t xml:space="preserve">v. </w:t>
      </w:r>
      <w:r w:rsidRPr="00915B95">
        <w:rPr>
          <w:rFonts w:ascii="Verdana" w:eastAsia="Calibri" w:hAnsi="Verdana" w:cs="Arial"/>
          <w:bCs/>
          <w:lang w:val="es-ES"/>
        </w:rPr>
        <w:t>L</w:t>
      </w:r>
      <w:proofErr w:type="spellStart"/>
      <w:r w:rsidRPr="00915B95">
        <w:rPr>
          <w:rFonts w:ascii="Verdana" w:eastAsia="Calibri" w:hAnsi="Verdana" w:cs="Arial"/>
          <w:bCs/>
        </w:rPr>
        <w:t>as</w:t>
      </w:r>
      <w:proofErr w:type="spellEnd"/>
      <w:r w:rsidRPr="00915B95">
        <w:rPr>
          <w:rFonts w:ascii="Verdana" w:eastAsia="Calibri" w:hAnsi="Verdana" w:cs="Arial"/>
          <w:bCs/>
        </w:rPr>
        <w:t xml:space="preserve">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7E3B250C" w14:textId="77777777" w:rsidR="00915B95" w:rsidRPr="00915B95" w:rsidRDefault="00915B95" w:rsidP="00915B95">
      <w:pPr>
        <w:spacing w:after="0" w:line="276" w:lineRule="auto"/>
        <w:ind w:left="720"/>
        <w:jc w:val="both"/>
        <w:rPr>
          <w:rFonts w:ascii="Verdana" w:eastAsia="Calibri" w:hAnsi="Verdana" w:cs="Arial"/>
          <w:bCs/>
        </w:rPr>
      </w:pPr>
    </w:p>
    <w:p w14:paraId="3E092FC6" w14:textId="77777777" w:rsidR="00915B95" w:rsidRPr="00915B95" w:rsidRDefault="00915B95" w:rsidP="00915B95">
      <w:pPr>
        <w:spacing w:after="0" w:line="240" w:lineRule="auto"/>
        <w:ind w:left="709" w:right="709"/>
        <w:jc w:val="both"/>
        <w:rPr>
          <w:rFonts w:ascii="Verdana" w:eastAsia="Calibri" w:hAnsi="Verdana" w:cs="Arial"/>
          <w:bCs/>
          <w:sz w:val="21"/>
          <w:szCs w:val="21"/>
        </w:rPr>
      </w:pPr>
      <w:r w:rsidRPr="00915B95">
        <w:rPr>
          <w:rFonts w:ascii="Verdana" w:eastAsia="Calibri" w:hAnsi="Verdana" w:cs="Arial"/>
          <w:bCs/>
          <w:sz w:val="21"/>
          <w:szCs w:val="21"/>
        </w:rPr>
        <w:t xml:space="preserve">“Quiere con esto destacar la Sala que las causales de rechazo de las propuestas pueden ser legales y por lo mismo generan el efecto del descarte o exclusión de la oferta </w:t>
      </w:r>
      <w:proofErr w:type="spellStart"/>
      <w:r w:rsidRPr="00915B95">
        <w:rPr>
          <w:rFonts w:ascii="Verdana" w:eastAsia="Calibri" w:hAnsi="Verdana" w:cs="Arial"/>
          <w:bCs/>
          <w:sz w:val="21"/>
          <w:szCs w:val="21"/>
        </w:rPr>
        <w:t>ope</w:t>
      </w:r>
      <w:proofErr w:type="spellEnd"/>
      <w:r w:rsidRPr="00915B95">
        <w:rPr>
          <w:rFonts w:ascii="Verdana" w:eastAsia="Calibri" w:hAnsi="Verdana" w:cs="Arial"/>
          <w:bCs/>
          <w:sz w:val="21"/>
          <w:szCs w:val="21"/>
        </w:rPr>
        <w:t xml:space="preserve"> </w:t>
      </w:r>
      <w:proofErr w:type="spellStart"/>
      <w:r w:rsidRPr="00915B95">
        <w:rPr>
          <w:rFonts w:ascii="Verdana" w:eastAsia="Calibri" w:hAnsi="Verdana" w:cs="Arial"/>
          <w:bCs/>
          <w:sz w:val="21"/>
          <w:szCs w:val="21"/>
        </w:rPr>
        <w:t>legis</w:t>
      </w:r>
      <w:proofErr w:type="spellEnd"/>
      <w:r w:rsidRPr="00915B95">
        <w:rPr>
          <w:rFonts w:ascii="Verdana" w:eastAsia="Calibri" w:hAnsi="Verdana" w:cs="Arial"/>
          <w:bCs/>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017AA6DC" w14:textId="77777777" w:rsidR="00915B95" w:rsidRPr="00915B95" w:rsidRDefault="00915B95" w:rsidP="00915B95">
      <w:pPr>
        <w:spacing w:after="0" w:line="276" w:lineRule="auto"/>
        <w:ind w:left="720"/>
        <w:jc w:val="both"/>
        <w:rPr>
          <w:rFonts w:ascii="Verdana" w:eastAsia="Calibri" w:hAnsi="Verdana" w:cs="Arial"/>
          <w:bCs/>
        </w:rPr>
      </w:pPr>
    </w:p>
    <w:p w14:paraId="595FF6EC" w14:textId="77777777" w:rsidR="00915B95" w:rsidRPr="00915B95" w:rsidRDefault="00915B95" w:rsidP="00915B95">
      <w:pPr>
        <w:spacing w:after="0" w:line="276" w:lineRule="auto"/>
        <w:ind w:firstLine="708"/>
        <w:jc w:val="both"/>
        <w:rPr>
          <w:rFonts w:ascii="Verdana" w:eastAsia="Calibri" w:hAnsi="Verdana" w:cs="Arial"/>
          <w:bCs/>
        </w:rPr>
      </w:pPr>
      <w:r w:rsidRPr="00915B95">
        <w:rPr>
          <w:rFonts w:ascii="Verdana" w:eastAsia="Calibri" w:hAnsi="Verdana" w:cs="Arial"/>
          <w:bCs/>
        </w:rPr>
        <w:lastRenderedPageBreak/>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 </w:t>
      </w:r>
    </w:p>
    <w:p w14:paraId="5190B3FF" w14:textId="77777777" w:rsidR="00915B95" w:rsidRPr="00915B95" w:rsidRDefault="00915B95" w:rsidP="00915B95">
      <w:pPr>
        <w:spacing w:after="0" w:line="276" w:lineRule="auto"/>
        <w:ind w:left="720"/>
        <w:jc w:val="both"/>
        <w:rPr>
          <w:rFonts w:ascii="Verdana" w:eastAsia="Calibri" w:hAnsi="Verdana" w:cs="Arial"/>
          <w:bCs/>
        </w:rPr>
      </w:pPr>
    </w:p>
    <w:p w14:paraId="37561108" w14:textId="77777777" w:rsidR="00915B95" w:rsidRPr="00915B95" w:rsidRDefault="00915B95" w:rsidP="00915B95">
      <w:pPr>
        <w:spacing w:after="0" w:line="240" w:lineRule="auto"/>
        <w:ind w:left="709" w:right="709"/>
        <w:jc w:val="both"/>
        <w:rPr>
          <w:rFonts w:ascii="Verdana" w:eastAsia="Calibri" w:hAnsi="Verdana" w:cs="Arial"/>
          <w:bCs/>
          <w:sz w:val="21"/>
          <w:szCs w:val="21"/>
        </w:rPr>
      </w:pPr>
      <w:r w:rsidRPr="00915B95">
        <w:rPr>
          <w:rFonts w:ascii="Verdana" w:eastAsia="Calibri" w:hAnsi="Verdana" w:cs="Arial"/>
          <w:bCs/>
          <w:sz w:val="21"/>
          <w:szCs w:val="21"/>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7BD8401C" w14:textId="77777777" w:rsidR="00915B95" w:rsidRPr="00915B95" w:rsidRDefault="00915B95" w:rsidP="00915B95">
      <w:pPr>
        <w:spacing w:after="0" w:line="276" w:lineRule="auto"/>
        <w:ind w:left="720"/>
        <w:jc w:val="both"/>
        <w:rPr>
          <w:rFonts w:ascii="Verdana" w:eastAsia="Calibri" w:hAnsi="Verdana" w:cs="Arial"/>
          <w:bCs/>
        </w:rPr>
      </w:pPr>
    </w:p>
    <w:p w14:paraId="32207B11"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bC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231E0F9F"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bCs/>
        </w:rPr>
        <w:t xml:space="preserve">Adicionalmente, la Agencia Nacional de Contratación Pública – Colombia Compra Eficiente, mediante los conceptos con radicados Nos. 2201913000007117 del 25 de septiembre de 2019, 2201913000009538 del 23 de diciembre de 2019, C-716 del 30 de octubre de 2020 y C-128 del 2 de agosto de 2024,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w:t>
      </w:r>
      <w:r w:rsidRPr="00915B95">
        <w:rPr>
          <w:rFonts w:ascii="Verdana" w:eastAsia="Calibri" w:hAnsi="Verdana" w:cs="Arial"/>
          <w:bCs/>
        </w:rPr>
        <w:lastRenderedPageBreak/>
        <w:t>juicio de la Agencia Nacional de Contratación Pública– significa que su interpretación gramatical prevalece sobre una interpretación extensiva o de otra índole, mediante la cual se pretenda ampliar su alcance.</w:t>
      </w:r>
    </w:p>
    <w:p w14:paraId="534A1570"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bCs/>
        </w:rPr>
        <w:t xml:space="preserve">Ahora bien, los documentos tipo contienen parámetros obligatorios para las entidades estatales sometidas al Estatuto General de Contratación de la Administración Pública que adelanten la tipología contractual que estos se encarguen de desarrollar. En la versión 2 de los documentos tipo de licitación pública de obra de infraestructura social, se incluyeron las causales de rechazo de las ofertas, entre ellas, la relacionada con la presente consulta –causal G–, la cual se transcribe en los siguientes términos:    </w:t>
      </w:r>
    </w:p>
    <w:p w14:paraId="5C2538E3" w14:textId="77777777" w:rsidR="00915B95" w:rsidRPr="00915B95" w:rsidRDefault="00915B95" w:rsidP="00915B95">
      <w:pPr>
        <w:spacing w:after="0" w:line="240" w:lineRule="auto"/>
        <w:ind w:left="709" w:right="709"/>
        <w:jc w:val="both"/>
        <w:rPr>
          <w:rFonts w:ascii="Verdana" w:eastAsia="Calibri" w:hAnsi="Verdana" w:cs="Arial"/>
          <w:bCs/>
          <w:sz w:val="21"/>
          <w:szCs w:val="21"/>
        </w:rPr>
      </w:pPr>
    </w:p>
    <w:p w14:paraId="1B043615" w14:textId="77777777" w:rsidR="00915B95" w:rsidRPr="00915B95" w:rsidRDefault="00915B95" w:rsidP="00915B95">
      <w:pPr>
        <w:spacing w:after="0" w:line="240" w:lineRule="auto"/>
        <w:ind w:left="709" w:right="709"/>
        <w:jc w:val="both"/>
        <w:rPr>
          <w:rFonts w:ascii="Verdana" w:eastAsia="Calibri" w:hAnsi="Verdana" w:cs="Arial"/>
          <w:bCs/>
          <w:sz w:val="21"/>
          <w:szCs w:val="21"/>
        </w:rPr>
      </w:pPr>
      <w:r w:rsidRPr="00915B95">
        <w:rPr>
          <w:rFonts w:ascii="Verdana" w:eastAsia="Calibri" w:hAnsi="Verdana" w:cs="Arial"/>
          <w:bCs/>
          <w:sz w:val="21"/>
          <w:szCs w:val="21"/>
        </w:rPr>
        <w:t xml:space="preserve">G. “Que el proponente aporte información inexacta sobre la cual pueda existir una posible falsedad en los términos de la sección 1.11 del Documento Base.” </w:t>
      </w:r>
    </w:p>
    <w:p w14:paraId="0B9B8066" w14:textId="77777777" w:rsidR="00915B95" w:rsidRPr="00915B95" w:rsidRDefault="00915B95" w:rsidP="00915B95">
      <w:pPr>
        <w:spacing w:after="0" w:line="240" w:lineRule="auto"/>
        <w:ind w:left="709" w:right="709"/>
        <w:jc w:val="both"/>
        <w:rPr>
          <w:rFonts w:ascii="Verdana" w:eastAsia="Calibri" w:hAnsi="Verdana" w:cs="Arial"/>
          <w:bCs/>
          <w:sz w:val="21"/>
          <w:szCs w:val="21"/>
        </w:rPr>
      </w:pPr>
    </w:p>
    <w:p w14:paraId="67998871" w14:textId="77777777" w:rsidR="00915B95" w:rsidRPr="00915B95" w:rsidRDefault="00915B95" w:rsidP="00915B95">
      <w:pPr>
        <w:spacing w:after="0" w:line="276" w:lineRule="auto"/>
        <w:ind w:firstLine="708"/>
        <w:jc w:val="both"/>
        <w:rPr>
          <w:rFonts w:ascii="Verdana" w:eastAsia="Calibri" w:hAnsi="Verdana" w:cs="Arial"/>
          <w:bCs/>
        </w:rPr>
      </w:pPr>
      <w:r w:rsidRPr="00915B95">
        <w:rPr>
          <w:rFonts w:ascii="Verdana" w:eastAsia="Calibri" w:hAnsi="Verdana" w:cs="Arial"/>
          <w:bCs/>
        </w:rPr>
        <w:t xml:space="preserve">Esta Agencia ha señalado que, esta causal de rechazo aplica cuando el proponente aporta información inexacta, de acuerdo con lo señalado en el numeral 1.11. del documento base: </w:t>
      </w:r>
    </w:p>
    <w:p w14:paraId="08144A85" w14:textId="77777777" w:rsidR="00915B95" w:rsidRPr="00915B95" w:rsidRDefault="00915B95" w:rsidP="00915B95">
      <w:pPr>
        <w:spacing w:after="0" w:line="276" w:lineRule="auto"/>
        <w:jc w:val="both"/>
        <w:rPr>
          <w:rFonts w:ascii="Arial" w:eastAsia="Calibri" w:hAnsi="Arial" w:cs="Arial"/>
          <w:lang w:val="es-MX"/>
        </w:rPr>
      </w:pPr>
    </w:p>
    <w:p w14:paraId="0D7B8046" w14:textId="77777777" w:rsidR="00915B95" w:rsidRPr="00915B95" w:rsidRDefault="00915B95" w:rsidP="00915B95">
      <w:pPr>
        <w:spacing w:after="120" w:line="240" w:lineRule="auto"/>
        <w:ind w:left="709" w:right="709"/>
        <w:jc w:val="both"/>
        <w:rPr>
          <w:rFonts w:ascii="Verdana" w:eastAsia="Calibri" w:hAnsi="Verdana" w:cs="Arial"/>
          <w:b/>
          <w:bCs/>
          <w:sz w:val="21"/>
          <w:szCs w:val="21"/>
        </w:rPr>
      </w:pPr>
      <w:bookmarkStart w:id="16" w:name="_Toc508648251"/>
      <w:bookmarkStart w:id="17" w:name="_Toc508984035"/>
      <w:bookmarkStart w:id="18" w:name="_Toc509843865"/>
      <w:bookmarkStart w:id="19" w:name="_Toc511924773"/>
      <w:bookmarkStart w:id="20" w:name="_Toc520226862"/>
      <w:bookmarkStart w:id="21" w:name="_Toc520297832"/>
      <w:bookmarkStart w:id="22" w:name="_Toc520317097"/>
      <w:bookmarkStart w:id="23" w:name="_Toc533083698"/>
      <w:bookmarkStart w:id="24" w:name="_Ref4940712"/>
      <w:bookmarkStart w:id="25" w:name="_Toc5006129"/>
      <w:r w:rsidRPr="00915B95">
        <w:rPr>
          <w:rFonts w:ascii="Verdana" w:eastAsia="Calibri" w:hAnsi="Verdana" w:cs="Arial"/>
          <w:b/>
          <w:bCs/>
          <w:sz w:val="21"/>
          <w:szCs w:val="21"/>
        </w:rPr>
        <w:t>“1.11 INFORMACIÓN INEXACTA</w:t>
      </w:r>
      <w:bookmarkEnd w:id="16"/>
      <w:bookmarkEnd w:id="17"/>
      <w:bookmarkEnd w:id="18"/>
      <w:bookmarkEnd w:id="19"/>
      <w:bookmarkEnd w:id="20"/>
      <w:bookmarkEnd w:id="21"/>
      <w:bookmarkEnd w:id="22"/>
      <w:bookmarkEnd w:id="23"/>
      <w:bookmarkEnd w:id="24"/>
      <w:bookmarkEnd w:id="25"/>
      <w:r w:rsidRPr="00915B95">
        <w:rPr>
          <w:rFonts w:ascii="Verdana" w:eastAsia="Calibri" w:hAnsi="Verdana" w:cs="Arial"/>
          <w:b/>
          <w:bCs/>
          <w:sz w:val="21"/>
          <w:szCs w:val="21"/>
        </w:rPr>
        <w:t xml:space="preserve"> </w:t>
      </w:r>
    </w:p>
    <w:p w14:paraId="55F4BA7F" w14:textId="77777777" w:rsidR="00915B95" w:rsidRPr="00915B95" w:rsidRDefault="00915B95" w:rsidP="00915B95">
      <w:pPr>
        <w:spacing w:after="120" w:line="240" w:lineRule="auto"/>
        <w:ind w:left="709" w:right="709"/>
        <w:jc w:val="both"/>
        <w:rPr>
          <w:rFonts w:ascii="Verdana" w:eastAsia="Calibri" w:hAnsi="Verdana" w:cs="Arial"/>
          <w:sz w:val="21"/>
          <w:szCs w:val="21"/>
        </w:rPr>
      </w:pPr>
      <w:r w:rsidRPr="00915B95">
        <w:rPr>
          <w:rFonts w:ascii="Verdana" w:eastAsia="Calibri" w:hAnsi="Verdana" w:cs="Arial"/>
          <w:sz w:val="21"/>
          <w:szCs w:val="21"/>
        </w:rPr>
        <w:t xml:space="preserve">La Entidad se reserva el derecho de verificar integralmente la información aportada por el Proponente. Para esto, puede acudir a las autoridades, personas, empresas o entidades respectivas. </w:t>
      </w:r>
    </w:p>
    <w:p w14:paraId="28A37567" w14:textId="77777777" w:rsidR="00915B95" w:rsidRPr="00915B95" w:rsidRDefault="00915B95" w:rsidP="00915B95">
      <w:pPr>
        <w:spacing w:after="120" w:line="240" w:lineRule="auto"/>
        <w:ind w:left="709" w:right="709"/>
        <w:jc w:val="both"/>
        <w:rPr>
          <w:rFonts w:ascii="Verdana" w:eastAsia="Calibri" w:hAnsi="Verdana" w:cs="Arial"/>
          <w:sz w:val="21"/>
          <w:szCs w:val="21"/>
        </w:rPr>
      </w:pPr>
      <w:r w:rsidRPr="00915B95">
        <w:rPr>
          <w:rFonts w:ascii="Verdana" w:eastAsia="Calibri" w:hAnsi="Verdana"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21DBAD0A" w14:textId="77777777" w:rsidR="00915B95" w:rsidRPr="00915B95" w:rsidRDefault="00915B95" w:rsidP="00915B95">
      <w:pPr>
        <w:spacing w:after="0" w:line="240" w:lineRule="auto"/>
        <w:ind w:left="709" w:right="709"/>
        <w:jc w:val="both"/>
        <w:rPr>
          <w:rFonts w:ascii="Verdana" w:eastAsia="Calibri" w:hAnsi="Verdana" w:cs="Arial"/>
          <w:sz w:val="21"/>
          <w:szCs w:val="21"/>
        </w:rPr>
      </w:pPr>
      <w:r w:rsidRPr="00915B95">
        <w:rPr>
          <w:rFonts w:ascii="Verdana" w:eastAsia="Calibri" w:hAnsi="Verdana"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038A0A17" w14:textId="77777777" w:rsidR="00915B95" w:rsidRPr="00915B95" w:rsidRDefault="00915B95" w:rsidP="00915B95">
      <w:pPr>
        <w:spacing w:after="0" w:line="276" w:lineRule="auto"/>
        <w:jc w:val="both"/>
        <w:rPr>
          <w:rFonts w:ascii="Arial" w:eastAsia="Calibri" w:hAnsi="Arial" w:cs="Arial"/>
        </w:rPr>
      </w:pPr>
    </w:p>
    <w:p w14:paraId="61B1C355"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bCs/>
        </w:rPr>
        <w:t xml:space="preserve">Este numeral faculta a la entidad estatal para verificar la información aportada, para lo cual podrá acudir a las autoridades, personas, empresas o entidades que estén en posición de verificar la información. No obstante, tal verificación es potestativa, no obligatoria, ya que los procedimientos de selección exigen que los proponentes actúen conforme al principio de la buena fe, “que se </w:t>
      </w:r>
      <w:r w:rsidRPr="00915B95">
        <w:rPr>
          <w:rFonts w:ascii="Verdana" w:eastAsia="Calibri" w:hAnsi="Verdana" w:cs="Arial"/>
          <w:bCs/>
        </w:rPr>
        <w:lastRenderedPageBreak/>
        <w:t>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915B95">
        <w:rPr>
          <w:rFonts w:ascii="Verdana" w:eastAsia="Calibri" w:hAnsi="Verdana" w:cs="Arial"/>
          <w:bCs/>
          <w:vertAlign w:val="superscript"/>
        </w:rPr>
        <w:footnoteReference w:id="4"/>
      </w:r>
      <w:r w:rsidRPr="00915B95">
        <w:rPr>
          <w:rFonts w:ascii="Verdana" w:eastAsia="Calibri" w:hAnsi="Verdana" w:cs="Arial"/>
          <w:bCs/>
        </w:rPr>
        <w:t>. Conforme a ello, la prerrogativa de verificación es una herramienta para que la Administración adquiera certeza en el cumplimiento de los requisitos del procedimiento de selección y del comportamiento leal que se exige a los proponentes.</w:t>
      </w:r>
    </w:p>
    <w:p w14:paraId="7B9F8FCF"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bCs/>
          <w:kern w:val="2"/>
          <w:lang w:val="es-ES_tradnl"/>
          <w14:ligatures w14:val="standardContextual"/>
        </w:rPr>
        <w:t>En este sentido, la causal</w:t>
      </w:r>
      <w:r w:rsidRPr="00915B95">
        <w:rPr>
          <w:rFonts w:ascii="Verdana" w:eastAsia="Calibri" w:hAnsi="Verdana" w:cs="Arial"/>
          <w:bCs/>
          <w:kern w:val="2"/>
          <w14:ligatures w14:val="standardContextual"/>
        </w:rPr>
        <w:t xml:space="preserve"> de rechazo contenida en el literal H del numeral 1.15 de los documentos tipo de licitación de obra pública de infraestructura de social – versión 2, aplica en los supuestos en el que la</w:t>
      </w:r>
      <w:r w:rsidRPr="00915B95">
        <w:rPr>
          <w:rFonts w:ascii="Verdana" w:eastAsia="Aptos" w:hAnsi="Verdana" w:cs="Arial"/>
          <w:kern w:val="2"/>
          <w14:ligatures w14:val="standardContextual"/>
        </w:rPr>
        <w:t xml:space="preserve">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335CE2AC" w14:textId="77777777" w:rsidR="00915B95" w:rsidRPr="00915B95" w:rsidRDefault="00915B95" w:rsidP="00915B95">
      <w:pPr>
        <w:spacing w:after="120" w:line="276" w:lineRule="auto"/>
        <w:ind w:firstLine="708"/>
        <w:jc w:val="both"/>
        <w:rPr>
          <w:rFonts w:ascii="Verdana" w:eastAsia="Calibri" w:hAnsi="Verdana" w:cs="Arial"/>
          <w:bCs/>
          <w:lang w:val="es-MX"/>
        </w:rPr>
      </w:pPr>
      <w:r w:rsidRPr="00915B95">
        <w:rPr>
          <w:rFonts w:ascii="Verdana" w:eastAsia="Aptos" w:hAnsi="Verdana" w:cs="Arial"/>
          <w:kern w:val="2"/>
          <w:lang w:eastAsia="es-CO"/>
          <w14:ligatures w14:val="standardContextual"/>
        </w:rPr>
        <w:t>Según</w:t>
      </w:r>
      <w:r w:rsidRPr="00915B95">
        <w:rPr>
          <w:rFonts w:ascii="Verdana" w:eastAsia="Aptos" w:hAnsi="Verdana" w:cs="Arial"/>
          <w:kern w:val="2"/>
          <w:lang w:val="es-MX" w:eastAsia="es-CO"/>
          <w14:ligatures w14:val="standardContextual"/>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0D70BEAC"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kern w:val="2"/>
          <w:lang w:val="es-MX"/>
          <w14:ligatures w14:val="standardContextual"/>
        </w:rPr>
        <w:lastRenderedPageBreak/>
        <w:t xml:space="preserve">La </w:t>
      </w:r>
      <w:r w:rsidRPr="00915B95">
        <w:rPr>
          <w:rFonts w:ascii="Verdana" w:eastAsia="Calibri" w:hAnsi="Verdana" w:cs="Arial"/>
          <w:kern w:val="2"/>
          <w14:ligatures w14:val="standardContextual"/>
        </w:rPr>
        <w:t>regla de verificación de la información prevista en el numeral 1.11</w:t>
      </w:r>
      <w:r w:rsidRPr="00915B95">
        <w:rPr>
          <w:rFonts w:ascii="Verdana" w:eastAsia="Calibri" w:hAnsi="Verdana" w:cs="Arial"/>
          <w:kern w:val="2"/>
          <w:vertAlign w:val="superscript"/>
          <w14:ligatures w14:val="standardContextual"/>
        </w:rPr>
        <w:footnoteReference w:id="5"/>
      </w:r>
      <w:r w:rsidRPr="00915B95">
        <w:rPr>
          <w:rFonts w:ascii="Verdana" w:eastAsia="Calibri" w:hAnsi="Verdana" w:cs="Arial"/>
          <w:kern w:val="2"/>
          <w14:ligatures w14:val="standardContextual"/>
        </w:rPr>
        <w:t xml:space="preserve"> del documento base aplica frente a la </w:t>
      </w:r>
      <w:r w:rsidRPr="00915B95">
        <w:rPr>
          <w:rFonts w:ascii="Verdana" w:eastAsia="Calibri" w:hAnsi="Verdana" w:cs="Arial"/>
          <w:i/>
          <w:iCs/>
          <w:kern w:val="2"/>
          <w14:ligatures w14:val="standardContextual"/>
        </w:rPr>
        <w:t>totalidad de la información y documentación aportada para cumplir los requisitos exigidos en el pliego de condiciones</w:t>
      </w:r>
      <w:r w:rsidRPr="00915B95">
        <w:rPr>
          <w:rFonts w:ascii="Verdana" w:eastAsia="Calibri" w:hAnsi="Verdana" w:cs="Arial"/>
          <w:kern w:val="2"/>
          <w14:ligatures w14:val="standardContextual"/>
        </w:rPr>
        <w:t xml:space="preserve">. Además, consagra dos supuestos, con consecuencias diferentes: el primero,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logre constatar con exactitud lo acreditado o la veracidad del mismo y ante esa duda, no tendrá en cuenta la documentación aportada, sin perjuicio de que el proponente cumpla con el requisito habilitante con los demás documentos que aporte. En este evento, se trata de inconsistencias que, aunque no se superan por la ausencia de otro medio probatorio, no tienen la connotación de falsedad. </w:t>
      </w:r>
    </w:p>
    <w:p w14:paraId="394F8C53"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kern w:val="2"/>
          <w14:ligatures w14:val="standardContextual"/>
        </w:rPr>
        <w:t xml:space="preserve">El segundo evento se configura cuando de la verificación se corrobora que las inconsistencias obedecerían a una presunta falsedad no desvirtuada por el proponente, caso en el cual se rechaza la oferta y se informa a las autoridades correspondientes. En ese sentido,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3BC71CB3"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Times New Roman" w:hAnsi="Verdana" w:cs="Arial"/>
          <w:color w:val="000000"/>
          <w:kern w:val="2"/>
          <w:shd w:val="clear" w:color="auto" w:fill="FFFFFF"/>
          <w:lang w:val="es-ES" w:eastAsia="es-MX"/>
          <w14:ligatures w14:val="standardContextual"/>
        </w:rPr>
        <w:lastRenderedPageBreak/>
        <w:t xml:space="preserve">En este último caso, </w:t>
      </w:r>
      <w:r w:rsidRPr="00915B95">
        <w:rPr>
          <w:rFonts w:ascii="Verdana" w:eastAsia="Calibri" w:hAnsi="Verdana" w:cs="Arial"/>
          <w:kern w:val="2"/>
          <w14:ligatures w14:val="standardContextual"/>
        </w:rPr>
        <w:t>no se puede subsanar el estar incurso en la causal de rechazo del literal G, pues el rechazo procede de forma automática, es decir, sin permitirle al proponente subsanar la “inexactitud” de la oferta o la presunta falsedad sobre un documento aportado</w:t>
      </w:r>
      <w:r w:rsidRPr="00915B95">
        <w:rPr>
          <w:rFonts w:ascii="Verdana" w:eastAsia="Aptos" w:hAnsi="Verdana" w:cs="Arial"/>
          <w:kern w:val="2"/>
          <w14:ligatures w14:val="standardContextual"/>
        </w:rPr>
        <w:t>.</w:t>
      </w:r>
    </w:p>
    <w:p w14:paraId="60A4E2FB"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Aptos" w:hAnsi="Verdana" w:cs="Arial"/>
          <w:noProof/>
          <w:kern w:val="2"/>
          <w14:ligatures w14:val="standardContextual"/>
        </w:rPr>
        <w:t>Ahora bien, es importante precisar teniendo en cuenta su petición que lo</w:t>
      </w:r>
      <w:r w:rsidRPr="00915B95">
        <w:rPr>
          <w:rFonts w:ascii="Verdana" w:eastAsia="Aptos" w:hAnsi="Verdana" w:cs="Arial"/>
          <w:kern w:val="2"/>
          <w14:ligatures w14:val="standardContextual"/>
        </w:rPr>
        <w:t xml:space="preserve"> expresado en el párrafo precedente tan sólo es exigible con la documentación objeto de verificación y de evaluación por parte de la Entidad Estatal, tanto para requisitos habilitantes como de calificación o ponderables, lo que no contradice lo dispuesto en el artículo 5, parágrafo 1, de la Ley 1150 de 2007, adicionado por el artículo 5 de la Ley 1882 de 2018, norma que dispone que “(…)</w:t>
      </w:r>
      <w:r w:rsidRPr="00915B95">
        <w:rPr>
          <w:rFonts w:ascii="Verdana" w:eastAsia="Aptos" w:hAnsi="Verdana" w:cs="Times New Roman"/>
          <w:kern w:val="2"/>
          <w14:ligatures w14:val="standardContextual"/>
        </w:rPr>
        <w:t xml:space="preserve"> </w:t>
      </w:r>
      <w:r w:rsidRPr="00915B95">
        <w:rPr>
          <w:rFonts w:ascii="Verdana" w:eastAsia="Aptos" w:hAnsi="Verdana" w:cs="Arial"/>
          <w:kern w:val="2"/>
          <w14:ligatures w14:val="standardContextual"/>
        </w:rPr>
        <w:t xml:space="preserve">todos aquellos requisitos de la propuesta que no afecten la asignación de puntaje deberán ser solicitados por las entidades estatales y deberán ser entregados por los proponentes”. Sin embargo, los supuestos de hecho en los que se fundamenta la causal de rechazo del literal G, esto es por presunta falsedad, no permite subsanación, sin que en esto sea relevante que se otorguen o no puntos a la propuesta, pues ocurridos los eventos que contienen se configura el supuesto que da lugar al rechazo </w:t>
      </w:r>
      <w:r w:rsidRPr="00915B95">
        <w:rPr>
          <w:rFonts w:ascii="Verdana" w:eastAsia="Calibri" w:hAnsi="Verdana" w:cs="Arial"/>
          <w:kern w:val="2"/>
          <w14:ligatures w14:val="standardContextual"/>
        </w:rPr>
        <w:t xml:space="preserve">dado a que la finalidad que persigue la causal </w:t>
      </w:r>
      <w:r w:rsidRPr="00915B95">
        <w:rPr>
          <w:rFonts w:ascii="Verdana" w:eastAsia="Calibri" w:hAnsi="Verdana" w:cs="Arial"/>
          <w:i/>
          <w:kern w:val="2"/>
          <w14:ligatures w14:val="standardContextual"/>
        </w:rPr>
        <w:t>sub examine</w:t>
      </w:r>
      <w:r w:rsidRPr="00915B95">
        <w:rPr>
          <w:rFonts w:ascii="Verdana" w:eastAsia="Calibri" w:hAnsi="Verdana" w:cs="Arial"/>
          <w:kern w:val="2"/>
          <w14:ligatures w14:val="standardContextual"/>
        </w:rPr>
        <w:t xml:space="preserve"> es desincentivar todas las prácticas delictivas en los procesos de contratación estatal.</w:t>
      </w:r>
      <w:bookmarkStart w:id="27" w:name="_Hlk88745204"/>
    </w:p>
    <w:p w14:paraId="30A49CDD" w14:textId="77777777" w:rsidR="00915B95" w:rsidRPr="00915B95" w:rsidRDefault="00915B95" w:rsidP="00915B95">
      <w:pPr>
        <w:spacing w:after="120" w:line="276" w:lineRule="auto"/>
        <w:ind w:firstLine="708"/>
        <w:jc w:val="both"/>
        <w:rPr>
          <w:rFonts w:ascii="Verdana" w:eastAsia="Calibri" w:hAnsi="Verdana" w:cs="Arial"/>
          <w:bCs/>
        </w:rPr>
      </w:pPr>
      <w:r w:rsidRPr="00915B95">
        <w:rPr>
          <w:rFonts w:ascii="Verdana" w:eastAsia="Calibri" w:hAnsi="Verdana" w:cs="Arial"/>
          <w:kern w:val="2"/>
          <w14:ligatures w14:val="standardContextual"/>
        </w:rPr>
        <w:t>En este sentido, la configuración de la causal se determinará teniendo en cuenta si la información inexacta conduce a una posible falsedad de los documentos sujetos de verificación y/o evaluación por parte de la Entidad Estatal, tanto para requisitos habilitantes como de calificación o ponderables.</w:t>
      </w:r>
      <w:bookmarkEnd w:id="27"/>
      <w:r w:rsidRPr="00915B95">
        <w:rPr>
          <w:rFonts w:ascii="Verdana" w:eastAsia="Calibri" w:hAnsi="Verdana" w:cs="Arial"/>
          <w:kern w:val="2"/>
          <w14:ligatures w14:val="standardContextual"/>
        </w:rPr>
        <w:t xml:space="preserve"> Por consiguiente, la entidad estatal deberá analizar concretamente cada uno de los casos en concreto para determinar si existe una posible falsedad, caso en el cual, luego de dar la oportunidad para que el proponente se manifieste, es procedente rechazar la oferta y remitir copias a las autoridades competentes, quienes adelantarán las respectivas investigaciones.</w:t>
      </w:r>
    </w:p>
    <w:p w14:paraId="3622906B" w14:textId="77777777" w:rsidR="00915B95" w:rsidRPr="00915B95" w:rsidRDefault="00915B95" w:rsidP="00915B95">
      <w:pPr>
        <w:spacing w:after="0" w:line="276" w:lineRule="auto"/>
        <w:ind w:firstLine="708"/>
        <w:jc w:val="both"/>
        <w:rPr>
          <w:rFonts w:ascii="Verdana" w:eastAsia="Calibri" w:hAnsi="Verdana" w:cs="Arial"/>
          <w:bCs/>
        </w:rPr>
      </w:pPr>
      <w:r w:rsidRPr="00915B95">
        <w:rPr>
          <w:rFonts w:ascii="Verdana" w:eastAsia="Calibri" w:hAnsi="Verdana" w:cs="Arial"/>
          <w:kern w:val="2"/>
          <w14:ligatures w14:val="standardContextual"/>
        </w:rPr>
        <w:t xml:space="preserve">Finalmente, es pertinente resaltar que el alcance de la causal de rechazo analizada es restrictivo, en la medida en que podría configurarse el supuesto siempre la entidad que adelante el proceso analice en caso concreto si esta procede, considerando los elementos señalados en este concepto. </w:t>
      </w:r>
    </w:p>
    <w:p w14:paraId="670B334F" w14:textId="77777777" w:rsidR="00915B95" w:rsidRPr="00915B95" w:rsidRDefault="00915B95" w:rsidP="00915B95">
      <w:pPr>
        <w:spacing w:after="0" w:line="276" w:lineRule="auto"/>
        <w:jc w:val="both"/>
        <w:rPr>
          <w:rFonts w:ascii="Verdana" w:eastAsia="Arial" w:hAnsi="Verdana" w:cs="Arial"/>
          <w:color w:val="000000"/>
          <w:szCs w:val="24"/>
          <w:lang w:eastAsia="es-MX"/>
        </w:rPr>
      </w:pPr>
    </w:p>
    <w:p w14:paraId="33BC40C1" w14:textId="77777777" w:rsidR="00915B95" w:rsidRPr="00915B95" w:rsidRDefault="00915B95" w:rsidP="00915B95">
      <w:pPr>
        <w:spacing w:after="120" w:line="276" w:lineRule="auto"/>
        <w:jc w:val="both"/>
        <w:rPr>
          <w:rFonts w:ascii="Verdana" w:eastAsia="Times New Roman" w:hAnsi="Verdana" w:cs="Times New Roman"/>
          <w:lang w:eastAsia="es-MX"/>
        </w:rPr>
      </w:pPr>
      <w:r w:rsidRPr="00915B95">
        <w:rPr>
          <w:rFonts w:ascii="Verdana" w:eastAsia="Calibri" w:hAnsi="Verdana" w:cs="Arial"/>
          <w:lang w:eastAsia="es-MX"/>
        </w:rPr>
        <w:t xml:space="preserve">vi. </w:t>
      </w:r>
      <w:r w:rsidRPr="00915B95">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w:t>
      </w:r>
      <w:r w:rsidRPr="00915B95">
        <w:rPr>
          <w:rFonts w:ascii="Verdana" w:eastAsia="Calibri" w:hAnsi="Verdana" w:cs="Arial"/>
          <w:bCs/>
          <w:color w:val="000000"/>
          <w:lang w:eastAsia="es-MX"/>
        </w:rPr>
        <w:lastRenderedPageBreak/>
        <w:t>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0D0AE5" w14:textId="77777777" w:rsidR="00915B95" w:rsidRPr="00915B95" w:rsidRDefault="00915B95" w:rsidP="00915B95">
      <w:pPr>
        <w:spacing w:after="0" w:line="276" w:lineRule="auto"/>
        <w:ind w:firstLine="708"/>
        <w:jc w:val="both"/>
        <w:rPr>
          <w:rFonts w:ascii="Verdana" w:eastAsia="Calibri" w:hAnsi="Verdana" w:cs="Arial"/>
          <w:bCs/>
          <w:color w:val="000000"/>
          <w:lang w:eastAsia="es-MX"/>
        </w:rPr>
      </w:pPr>
      <w:r w:rsidRPr="00915B95">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767EAC8" w14:textId="77777777" w:rsidR="00915B95" w:rsidRPr="00915B95" w:rsidRDefault="00915B95" w:rsidP="00915B95">
      <w:pPr>
        <w:spacing w:after="0" w:line="276" w:lineRule="auto"/>
        <w:jc w:val="both"/>
        <w:rPr>
          <w:rFonts w:ascii="Verdana" w:eastAsia="Calibri" w:hAnsi="Verdana" w:cs="Times New Roman"/>
          <w:lang w:eastAsia="es-MX"/>
        </w:rPr>
      </w:pPr>
    </w:p>
    <w:p w14:paraId="38A6AA3D" w14:textId="77777777" w:rsidR="00915B95" w:rsidRPr="00915B95" w:rsidRDefault="00915B95" w:rsidP="00915B95">
      <w:pPr>
        <w:tabs>
          <w:tab w:val="left" w:pos="142"/>
          <w:tab w:val="left" w:pos="284"/>
        </w:tabs>
        <w:spacing w:after="0" w:line="276" w:lineRule="auto"/>
        <w:jc w:val="both"/>
        <w:rPr>
          <w:rFonts w:ascii="Verdana" w:eastAsia="Century Gothic" w:hAnsi="Verdana" w:cs="Century Gothic"/>
          <w:b/>
          <w:bCs/>
          <w:lang w:val="es-ES_tradnl" w:eastAsia="es-MX"/>
        </w:rPr>
      </w:pPr>
      <w:r w:rsidRPr="00915B95">
        <w:rPr>
          <w:rFonts w:ascii="Verdana" w:eastAsia="Century Gothic" w:hAnsi="Verdana" w:cs="Century Gothic"/>
          <w:b/>
          <w:bCs/>
          <w:lang w:val="es-ES_tradnl" w:eastAsia="es-MX"/>
        </w:rPr>
        <w:t>4. Referencias normativas, jurisprudenciales y otras fuentes:</w:t>
      </w:r>
    </w:p>
    <w:p w14:paraId="6CDDA6BF" w14:textId="77777777" w:rsidR="00915B95" w:rsidRPr="00915B95" w:rsidRDefault="00915B95" w:rsidP="00915B95">
      <w:pPr>
        <w:spacing w:after="0"/>
        <w:ind w:left="-15840"/>
        <w:jc w:val="both"/>
        <w:rPr>
          <w:rFonts w:ascii="Verdana" w:eastAsia="Calibri" w:hAnsi="Verdana" w:cs="Arial"/>
          <w:b/>
          <w:bCs/>
          <w:lang w:eastAsia="es-MX"/>
        </w:rPr>
      </w:pPr>
      <w:r w:rsidRPr="00915B95">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15B95" w:rsidRPr="00915B95" w14:paraId="38F713E8" w14:textId="77777777" w:rsidTr="00173079">
        <w:trPr>
          <w:trHeight w:val="870"/>
        </w:trPr>
        <w:tc>
          <w:tcPr>
            <w:tcW w:w="8647" w:type="dxa"/>
            <w:tcBorders>
              <w:top w:val="dotted" w:sz="4" w:space="0" w:color="auto"/>
              <w:left w:val="dotted" w:sz="4" w:space="0" w:color="auto"/>
              <w:bottom w:val="dotted" w:sz="4" w:space="0" w:color="auto"/>
              <w:right w:val="dotted" w:sz="4" w:space="0" w:color="auto"/>
            </w:tcBorders>
          </w:tcPr>
          <w:p w14:paraId="0E52DD42" w14:textId="77777777" w:rsidR="00915B95" w:rsidRPr="00915B95" w:rsidRDefault="00915B95" w:rsidP="00915B95">
            <w:pPr>
              <w:contextualSpacing/>
              <w:jc w:val="both"/>
              <w:rPr>
                <w:rFonts w:ascii="Verdana" w:eastAsia="Calibri" w:hAnsi="Verdana" w:cs="Arial"/>
                <w:bCs/>
                <w:lang w:eastAsia="es-MX"/>
              </w:rPr>
            </w:pPr>
          </w:p>
          <w:p w14:paraId="1BFEE7CC" w14:textId="77777777" w:rsidR="00915B95" w:rsidRPr="00915B95" w:rsidRDefault="00915B95" w:rsidP="00915B95">
            <w:pPr>
              <w:widowControl w:val="0"/>
              <w:numPr>
                <w:ilvl w:val="0"/>
                <w:numId w:val="16"/>
              </w:numPr>
              <w:autoSpaceDE w:val="0"/>
              <w:autoSpaceDN w:val="0"/>
              <w:ind w:left="714" w:hanging="357"/>
              <w:jc w:val="both"/>
              <w:rPr>
                <w:rFonts w:ascii="Verdana" w:eastAsia="Calibri" w:hAnsi="Verdana" w:cs="Arial"/>
                <w:lang w:val="es-ES_tradnl" w:eastAsia="es-MX"/>
              </w:rPr>
            </w:pPr>
            <w:r w:rsidRPr="00915B95">
              <w:rPr>
                <w:rFonts w:ascii="Verdana" w:eastAsia="Calibri" w:hAnsi="Verdana" w:cs="Arial"/>
                <w:lang w:val="es-ES_tradnl" w:eastAsia="es-MX"/>
              </w:rPr>
              <w:t>Ley 80 de 1993, artículo 25, numeral 15, artículo 30, numeral 8, y artículo 41.</w:t>
            </w:r>
          </w:p>
          <w:p w14:paraId="1D0F4724" w14:textId="77777777" w:rsidR="00915B95" w:rsidRPr="00915B95" w:rsidRDefault="00915B95" w:rsidP="00915B95">
            <w:pPr>
              <w:widowControl w:val="0"/>
              <w:numPr>
                <w:ilvl w:val="0"/>
                <w:numId w:val="16"/>
              </w:numPr>
              <w:autoSpaceDE w:val="0"/>
              <w:autoSpaceDN w:val="0"/>
              <w:ind w:left="714" w:hanging="357"/>
              <w:jc w:val="both"/>
              <w:rPr>
                <w:rFonts w:ascii="Verdana" w:eastAsia="Aptos" w:hAnsi="Verdana" w:cs="Times New Roman"/>
              </w:rPr>
            </w:pPr>
            <w:r w:rsidRPr="00915B95">
              <w:rPr>
                <w:rFonts w:ascii="Verdana" w:eastAsia="Calibri" w:hAnsi="Verdana" w:cs="Arial"/>
                <w:lang w:val="es-ES_tradnl" w:eastAsia="es-MX"/>
              </w:rPr>
              <w:t>Ley 789 de 2002, artículo 50.</w:t>
            </w:r>
          </w:p>
          <w:p w14:paraId="6E28F53C" w14:textId="77777777" w:rsidR="00915B95" w:rsidRPr="00915B95" w:rsidRDefault="00915B95" w:rsidP="00915B95">
            <w:pPr>
              <w:widowControl w:val="0"/>
              <w:numPr>
                <w:ilvl w:val="0"/>
                <w:numId w:val="16"/>
              </w:numPr>
              <w:autoSpaceDE w:val="0"/>
              <w:autoSpaceDN w:val="0"/>
              <w:ind w:left="714" w:hanging="357"/>
              <w:jc w:val="both"/>
              <w:rPr>
                <w:rFonts w:ascii="Verdana" w:eastAsia="Aptos" w:hAnsi="Verdana" w:cs="Times New Roman"/>
              </w:rPr>
            </w:pPr>
            <w:r w:rsidRPr="00915B95">
              <w:rPr>
                <w:rFonts w:ascii="Verdana" w:eastAsia="Calibri" w:hAnsi="Verdana" w:cs="Arial"/>
                <w:lang w:val="es-ES_tradnl" w:eastAsia="es-MX"/>
              </w:rPr>
              <w:t>Ley 1150 de 2007, artículo 5, parágrafo 1, adicionado por el artículo 5 de la Ley 1882 de 2018, y artículo 23.</w:t>
            </w:r>
          </w:p>
          <w:p w14:paraId="3454F1BD" w14:textId="77777777" w:rsidR="00915B95" w:rsidRPr="00915B95" w:rsidRDefault="00915B95" w:rsidP="00915B95">
            <w:pPr>
              <w:widowControl w:val="0"/>
              <w:numPr>
                <w:ilvl w:val="0"/>
                <w:numId w:val="16"/>
              </w:numPr>
              <w:autoSpaceDE w:val="0"/>
              <w:autoSpaceDN w:val="0"/>
              <w:ind w:left="714" w:hanging="357"/>
              <w:jc w:val="both"/>
              <w:rPr>
                <w:rFonts w:ascii="Verdana" w:eastAsia="Aptos" w:hAnsi="Verdana" w:cs="Times New Roman"/>
              </w:rPr>
            </w:pPr>
            <w:r w:rsidRPr="00915B95">
              <w:rPr>
                <w:rFonts w:ascii="Verdana" w:eastAsia="Calibri" w:hAnsi="Verdana" w:cs="Arial"/>
                <w:lang w:val="es-ES_tradnl" w:eastAsia="es-MX"/>
              </w:rPr>
              <w:t>Ley 1819 de 2016, artículo 65.</w:t>
            </w:r>
          </w:p>
          <w:p w14:paraId="39CAAB90" w14:textId="77777777" w:rsidR="00915B95" w:rsidRPr="00915B95" w:rsidRDefault="00915B95" w:rsidP="00915B95">
            <w:pPr>
              <w:widowControl w:val="0"/>
              <w:numPr>
                <w:ilvl w:val="0"/>
                <w:numId w:val="16"/>
              </w:numPr>
              <w:autoSpaceDE w:val="0"/>
              <w:autoSpaceDN w:val="0"/>
              <w:ind w:left="714" w:hanging="357"/>
              <w:jc w:val="both"/>
              <w:rPr>
                <w:rFonts w:ascii="Verdana" w:eastAsia="Aptos" w:hAnsi="Verdana" w:cs="Times New Roman"/>
              </w:rPr>
            </w:pPr>
            <w:r w:rsidRPr="00915B95">
              <w:rPr>
                <w:rFonts w:ascii="Verdana" w:eastAsia="Calibri" w:hAnsi="Verdana" w:cs="Arial"/>
                <w:lang w:val="es-ES_tradnl" w:eastAsia="es-MX"/>
              </w:rPr>
              <w:t>Consejo de Estado. Sección Tercera. Sentencia del 8 de junio de 2011. Rad. 20001-23-31-000-2005-00409-01(AP). C.P. Enrique Gil Botero.</w:t>
            </w:r>
          </w:p>
          <w:p w14:paraId="2F248D3A" w14:textId="77777777" w:rsidR="00915B95" w:rsidRPr="00915B95" w:rsidRDefault="00915B95" w:rsidP="00915B95">
            <w:pPr>
              <w:widowControl w:val="0"/>
              <w:numPr>
                <w:ilvl w:val="0"/>
                <w:numId w:val="16"/>
              </w:numPr>
              <w:autoSpaceDE w:val="0"/>
              <w:autoSpaceDN w:val="0"/>
              <w:ind w:left="714" w:hanging="357"/>
              <w:jc w:val="both"/>
              <w:rPr>
                <w:rFonts w:ascii="Verdana" w:eastAsia="Calibri" w:hAnsi="Verdana" w:cs="Arial"/>
                <w:lang w:val="es-ES_tradnl" w:eastAsia="es-MX"/>
              </w:rPr>
            </w:pPr>
            <w:r w:rsidRPr="00915B95">
              <w:rPr>
                <w:rFonts w:ascii="Verdana" w:eastAsia="Calibri" w:hAnsi="Verdana" w:cs="Arial"/>
                <w:lang w:val="es-ES_tradnl" w:eastAsia="es-MX"/>
              </w:rPr>
              <w:t xml:space="preserve">Ley 2022 de 2020, artículo 1. </w:t>
            </w:r>
          </w:p>
          <w:p w14:paraId="284AC2B6" w14:textId="77777777" w:rsidR="00915B95" w:rsidRPr="00915B95" w:rsidRDefault="00915B95" w:rsidP="00915B95">
            <w:pPr>
              <w:widowControl w:val="0"/>
              <w:numPr>
                <w:ilvl w:val="0"/>
                <w:numId w:val="16"/>
              </w:numPr>
              <w:autoSpaceDE w:val="0"/>
              <w:autoSpaceDN w:val="0"/>
              <w:contextualSpacing/>
              <w:jc w:val="both"/>
              <w:rPr>
                <w:rFonts w:ascii="Verdana" w:eastAsia="Calibri" w:hAnsi="Verdana" w:cs="Arial"/>
                <w:lang w:eastAsia="es-MX"/>
              </w:rPr>
            </w:pPr>
            <w:r w:rsidRPr="00915B95">
              <w:rPr>
                <w:rFonts w:ascii="Verdana" w:eastAsia="Calibri" w:hAnsi="Verdana" w:cs="Arial"/>
                <w:lang w:val="es-ES_tradnl" w:eastAsia="es-MX"/>
              </w:rPr>
              <w:t xml:space="preserve">Documentos Tipo. Disponibles en: </w:t>
            </w:r>
            <w:hyperlink r:id="rId11" w:history="1">
              <w:r w:rsidRPr="00915B95">
                <w:rPr>
                  <w:rFonts w:ascii="Verdana" w:eastAsia="Calibri" w:hAnsi="Verdana" w:cs="Arial"/>
                  <w:color w:val="0000FF"/>
                  <w:u w:val="single"/>
                  <w:lang w:val="es-ES_tradnl" w:eastAsia="es-MX"/>
                </w:rPr>
                <w:t>https://www.colombiacompra.gov.co/documentos-tipo/documentos-tipo</w:t>
              </w:r>
            </w:hyperlink>
            <w:r w:rsidRPr="00915B95">
              <w:rPr>
                <w:rFonts w:ascii="Verdana" w:eastAsia="Calibri" w:hAnsi="Verdana" w:cs="Arial"/>
                <w:lang w:val="es-ES_tradnl" w:eastAsia="es-MX"/>
              </w:rPr>
              <w:t>.</w:t>
            </w:r>
          </w:p>
          <w:p w14:paraId="571C9562" w14:textId="77777777" w:rsidR="00915B95" w:rsidRPr="00915B95" w:rsidRDefault="00915B95" w:rsidP="00915B95">
            <w:pPr>
              <w:widowControl w:val="0"/>
              <w:numPr>
                <w:ilvl w:val="0"/>
                <w:numId w:val="16"/>
              </w:numPr>
              <w:autoSpaceDE w:val="0"/>
              <w:autoSpaceDN w:val="0"/>
              <w:snapToGrid w:val="0"/>
              <w:jc w:val="both"/>
              <w:rPr>
                <w:rFonts w:ascii="Verdana" w:eastAsia="Calibri" w:hAnsi="Verdana" w:cs="Arial"/>
                <w:lang w:val="es-ES"/>
              </w:rPr>
            </w:pPr>
            <w:r w:rsidRPr="00915B95">
              <w:rPr>
                <w:rFonts w:ascii="Verdana" w:eastAsia="Calibri" w:hAnsi="Verdana" w:cs="Arial"/>
                <w:lang w:val="es-ES"/>
              </w:rPr>
              <w:t xml:space="preserve">Consejo de Estado. Sección Tercera. Sentencia del 27 de abril de 2011. </w:t>
            </w:r>
            <w:proofErr w:type="spellStart"/>
            <w:r w:rsidRPr="00915B95">
              <w:rPr>
                <w:rFonts w:ascii="Verdana" w:eastAsia="Calibri" w:hAnsi="Verdana" w:cs="Arial"/>
                <w:lang w:val="es-ES"/>
              </w:rPr>
              <w:t>Exp</w:t>
            </w:r>
            <w:proofErr w:type="spellEnd"/>
            <w:r w:rsidRPr="00915B95">
              <w:rPr>
                <w:rFonts w:ascii="Verdana" w:eastAsia="Calibri" w:hAnsi="Verdana" w:cs="Arial"/>
                <w:lang w:val="es-ES"/>
              </w:rPr>
              <w:t>. 18.293. C.P. Ruth Stella Correa Palacio.</w:t>
            </w:r>
          </w:p>
          <w:p w14:paraId="7E9BC590" w14:textId="77777777" w:rsidR="00915B95" w:rsidRPr="00915B95" w:rsidRDefault="00915B95" w:rsidP="00915B95">
            <w:pPr>
              <w:widowControl w:val="0"/>
              <w:numPr>
                <w:ilvl w:val="0"/>
                <w:numId w:val="16"/>
              </w:numPr>
              <w:autoSpaceDE w:val="0"/>
              <w:autoSpaceDN w:val="0"/>
              <w:snapToGrid w:val="0"/>
              <w:jc w:val="both"/>
              <w:rPr>
                <w:rFonts w:ascii="Verdana" w:eastAsia="Calibri" w:hAnsi="Verdana" w:cs="Arial"/>
                <w:lang w:val="es-ES"/>
              </w:rPr>
            </w:pPr>
            <w:r w:rsidRPr="00915B95">
              <w:rPr>
                <w:rFonts w:ascii="Verdana" w:eastAsia="Calibri" w:hAnsi="Verdana" w:cs="Arial"/>
                <w:lang w:val="es-ES"/>
              </w:rPr>
              <w:t xml:space="preserve">Consejo de Estado. Sección Tercera. Sentencia del 21 de noviembre de 2013. </w:t>
            </w:r>
            <w:proofErr w:type="spellStart"/>
            <w:r w:rsidRPr="00915B95">
              <w:rPr>
                <w:rFonts w:ascii="Verdana" w:eastAsia="Calibri" w:hAnsi="Verdana" w:cs="Arial"/>
                <w:lang w:val="es-ES"/>
              </w:rPr>
              <w:t>Exp</w:t>
            </w:r>
            <w:proofErr w:type="spellEnd"/>
            <w:r w:rsidRPr="00915B95">
              <w:rPr>
                <w:rFonts w:ascii="Verdana" w:eastAsia="Calibri" w:hAnsi="Verdana" w:cs="Arial"/>
                <w:lang w:val="es-ES"/>
              </w:rPr>
              <w:t>. 25397. C.P. Carlos Alberto Zambrano Barrera.</w:t>
            </w:r>
          </w:p>
        </w:tc>
      </w:tr>
    </w:tbl>
    <w:p w14:paraId="79C38903" w14:textId="77777777" w:rsidR="00915B95" w:rsidRPr="00915B95" w:rsidRDefault="00915B95" w:rsidP="00915B95">
      <w:pPr>
        <w:tabs>
          <w:tab w:val="left" w:pos="142"/>
          <w:tab w:val="left" w:pos="284"/>
        </w:tabs>
        <w:spacing w:after="0" w:line="276" w:lineRule="auto"/>
        <w:jc w:val="both"/>
        <w:rPr>
          <w:rFonts w:ascii="Verdana" w:eastAsia="Calibri" w:hAnsi="Verdana" w:cs="Arial"/>
          <w:lang w:eastAsia="es-MX"/>
        </w:rPr>
      </w:pPr>
    </w:p>
    <w:p w14:paraId="5D6C4135" w14:textId="77777777" w:rsidR="00915B95" w:rsidRPr="00915B95" w:rsidRDefault="00915B95" w:rsidP="00915B95">
      <w:pPr>
        <w:tabs>
          <w:tab w:val="left" w:pos="142"/>
          <w:tab w:val="left" w:pos="284"/>
        </w:tabs>
        <w:spacing w:after="0" w:line="276" w:lineRule="auto"/>
        <w:jc w:val="both"/>
        <w:rPr>
          <w:rFonts w:ascii="Verdana" w:eastAsia="Century Gothic" w:hAnsi="Verdana" w:cs="Century Gothic"/>
          <w:b/>
          <w:bCs/>
          <w:lang w:val="es-ES" w:eastAsia="es-MX"/>
        </w:rPr>
      </w:pPr>
      <w:r w:rsidRPr="00915B95">
        <w:rPr>
          <w:rFonts w:ascii="Verdana" w:eastAsia="Calibri" w:hAnsi="Verdana" w:cs="Arial"/>
          <w:b/>
          <w:bCs/>
          <w:lang w:eastAsia="es-MX"/>
        </w:rPr>
        <w:lastRenderedPageBreak/>
        <w:t>5</w:t>
      </w:r>
      <w:r w:rsidRPr="00915B95">
        <w:rPr>
          <w:rFonts w:ascii="Verdana" w:eastAsia="Calibri" w:hAnsi="Verdana" w:cs="Arial"/>
          <w:lang w:eastAsia="es-MX"/>
        </w:rPr>
        <w:t>.</w:t>
      </w:r>
      <w:r w:rsidRPr="00915B95">
        <w:rPr>
          <w:rFonts w:ascii="Verdana" w:eastAsia="Century Gothic" w:hAnsi="Verdana" w:cs="Century Gothic"/>
          <w:b/>
          <w:bCs/>
          <w:lang w:val="es-ES" w:eastAsia="es-MX"/>
        </w:rPr>
        <w:t>Doctrina de la Agencia Nacional de Contratación Pública:</w:t>
      </w:r>
    </w:p>
    <w:p w14:paraId="1D0E7788" w14:textId="77777777" w:rsidR="00915B95" w:rsidRPr="00915B95" w:rsidRDefault="00915B95" w:rsidP="00915B95">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4F0C57C0" w14:textId="77777777" w:rsidR="00915B95" w:rsidRPr="00915B95" w:rsidRDefault="00915B95" w:rsidP="00915B95">
      <w:pPr>
        <w:spacing w:after="0" w:line="276" w:lineRule="auto"/>
        <w:jc w:val="both"/>
        <w:rPr>
          <w:rFonts w:ascii="Verdana" w:eastAsia="Aptos" w:hAnsi="Verdana" w:cs="Times New Roman"/>
          <w:kern w:val="2"/>
          <w14:ligatures w14:val="standardContextual"/>
        </w:rPr>
      </w:pPr>
      <w:r w:rsidRPr="00915B95">
        <w:rPr>
          <w:rFonts w:ascii="Verdana" w:eastAsia="Aptos" w:hAnsi="Verdana" w:cs="Times New Roman"/>
          <w:kern w:val="2"/>
          <w14:ligatures w14:val="standardContextual"/>
        </w:rPr>
        <w:t>La Agencia Nacional de Contratación Pública – Colombia Compra Eficiente se pronunció sobre la acreditación de pagos al Sistema de Seguridad Social Integral en procesos de contratación en los conceptos con radicado 2201913000006970 del 19 de septiembre de 2019, 4201913000005594 del 30 de septiembre de 2019, 4201913000006384 del 21 de octubre de 2019, 4201912000007492 del 17 de diciembre de 2019, C-040 del 5 de febrero de 2020, C-042 del 5 de febrero de 2020, C-024 del 23 de marzo de 2020, C-205 del 7 de abril de 2020, C-614 del 16 de septiembre de 2020, C-747 del 6 de enero de 2021, C-096 del 24 de marzo de 2021, C-134 del 7 de abril de 2021, C-624 del 8 de noviembre de 2021, C-181 del 7 de abril de 2022, C-778 del 29 de noviembre de 2022, C-130 del 29 de julio de 2024, C-167 del 19 de marzo de 2025, C-312 del 9 de abril de 2026 y C-1371 del 20 de septiembre de 2026, entre otros. La tesis expuesta en estos conceptos se reitera a continuación.</w:t>
      </w:r>
    </w:p>
    <w:p w14:paraId="278F3532" w14:textId="77777777" w:rsidR="00915B95" w:rsidRPr="00915B95" w:rsidRDefault="00915B95" w:rsidP="00915B95">
      <w:pPr>
        <w:spacing w:after="0" w:line="240" w:lineRule="auto"/>
        <w:jc w:val="both"/>
        <w:rPr>
          <w:rFonts w:ascii="Verdana" w:eastAsia="Calibri" w:hAnsi="Verdana" w:cs="Arial"/>
          <w:color w:val="000000"/>
          <w:kern w:val="2"/>
          <w:shd w:val="clear" w:color="auto" w:fill="FFFFFF"/>
          <w:lang w:val="es-ES" w:eastAsia="es-MX"/>
          <w14:ligatures w14:val="standardContextual"/>
        </w:rPr>
      </w:pPr>
    </w:p>
    <w:p w14:paraId="3BF88DD7" w14:textId="77777777" w:rsidR="00915B95" w:rsidRPr="00915B95" w:rsidRDefault="00915B95" w:rsidP="00915B95">
      <w:pPr>
        <w:widowControl w:val="0"/>
        <w:autoSpaceDE w:val="0"/>
        <w:autoSpaceDN w:val="0"/>
        <w:spacing w:after="0" w:line="276" w:lineRule="auto"/>
        <w:jc w:val="both"/>
        <w:rPr>
          <w:rFonts w:ascii="Verdana" w:eastAsia="Calibri" w:hAnsi="Verdana" w:cs="Arial"/>
          <w:color w:val="000000"/>
          <w:kern w:val="2"/>
          <w:shd w:val="clear" w:color="auto" w:fill="FFFFFF"/>
          <w:lang w:eastAsia="es-MX"/>
          <w14:ligatures w14:val="standardContextual"/>
        </w:rPr>
      </w:pPr>
      <w:r w:rsidRPr="00915B95">
        <w:rPr>
          <w:rFonts w:ascii="Verdana" w:eastAsia="Calibri" w:hAnsi="Verdana" w:cs="Arial"/>
          <w:color w:val="000000"/>
          <w:kern w:val="2"/>
          <w:shd w:val="clear" w:color="auto" w:fill="FFFFFF"/>
          <w:lang w:eastAsia="es-MX"/>
          <w14:ligatures w14:val="standardContextual"/>
        </w:rPr>
        <w:t>La Agencia Nacional de Contratación Pública – Colombia Compra Eficiente se pronunció sobre la causal de rechazo por información inexacta prevista en el literal H del numeral 1.15 de los documentos tipo, en los conceptos con radicado 2201913000008148 del 30 de octubre de 2019, C-147 de 2021, C-536 de 2022, C-742 de 2022, C-080 de 2023, C-280 de 2023, C-421 del 13 de septiembre de 2024, C-656 del 4 de julio de 2025, C-767 del 17 de julio de 2025, C-944 de 2025, C-687 del 5 de junio de 2026 y C-942 del 24 de julio de 2026, entre otros.</w:t>
      </w:r>
    </w:p>
    <w:p w14:paraId="4966404E" w14:textId="77777777" w:rsidR="00915B95" w:rsidRPr="00915B95" w:rsidRDefault="00915B95" w:rsidP="00915B95">
      <w:pPr>
        <w:spacing w:after="0" w:line="240" w:lineRule="auto"/>
        <w:jc w:val="both"/>
        <w:rPr>
          <w:rFonts w:ascii="Verdana" w:eastAsia="Calibri" w:hAnsi="Verdana" w:cs="Arial"/>
          <w:color w:val="000000"/>
          <w:kern w:val="2"/>
          <w:shd w:val="clear" w:color="auto" w:fill="FFFFFF"/>
          <w:lang w:eastAsia="es-MX"/>
          <w14:ligatures w14:val="standardContextual"/>
        </w:rPr>
      </w:pPr>
    </w:p>
    <w:p w14:paraId="72BDC9F3" w14:textId="77777777" w:rsidR="00915B95" w:rsidRPr="00915B95" w:rsidRDefault="00915B95" w:rsidP="00915B95">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915B95">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15B95">
          <w:rPr>
            <w:rFonts w:ascii="Verdana" w:eastAsia="Calibri" w:hAnsi="Verdana" w:cs="Arial"/>
            <w:color w:val="0000FF"/>
            <w:kern w:val="2"/>
            <w:u w:val="single"/>
            <w:shd w:val="clear" w:color="auto" w:fill="FFFFFF"/>
            <w:lang w:eastAsia="es-MX"/>
            <w14:ligatures w14:val="standardContextual"/>
          </w:rPr>
          <w:t>https://relatoria.colombiacompra.gov.co/</w:t>
        </w:r>
      </w:hyperlink>
      <w:r w:rsidRPr="00915B95">
        <w:rPr>
          <w:rFonts w:ascii="Verdana" w:eastAsia="Calibri" w:hAnsi="Verdana" w:cs="Arial"/>
          <w:color w:val="0000FF"/>
          <w:kern w:val="2"/>
          <w:u w:val="single"/>
          <w:shd w:val="clear" w:color="auto" w:fill="FFFFFF"/>
          <w:lang w:eastAsia="es-MX"/>
          <w14:ligatures w14:val="standardContextual"/>
        </w:rPr>
        <w:t> .</w:t>
      </w:r>
    </w:p>
    <w:p w14:paraId="75F95268" w14:textId="77777777" w:rsidR="00915B95" w:rsidRPr="00915B95" w:rsidRDefault="00915B95" w:rsidP="00915B95">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78DB459B" w14:textId="77777777" w:rsidR="00915B95" w:rsidRPr="00915B95" w:rsidRDefault="00915B95" w:rsidP="00915B95">
      <w:pPr>
        <w:spacing w:after="0" w:line="276" w:lineRule="auto"/>
        <w:jc w:val="both"/>
        <w:rPr>
          <w:rFonts w:ascii="Verdana" w:eastAsia="Aptos" w:hAnsi="Verdana" w:cs="Times New Roman"/>
          <w:kern w:val="2"/>
          <w14:ligatures w14:val="standardContextual"/>
        </w:rPr>
      </w:pPr>
      <w:r w:rsidRPr="00915B95">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15B95">
        <w:rPr>
          <w:rFonts w:ascii="Verdana" w:eastAsia="Aptos" w:hAnsi="Verdana" w:cs="Times New Roman"/>
          <w:b/>
          <w:bCs/>
          <w:color w:val="000000"/>
          <w:kern w:val="2"/>
          <w14:ligatures w14:val="standardContextual"/>
        </w:rPr>
        <w:t>Guía para la Exigencia y Constitución de Garantías en los Procesos de Contratación</w:t>
      </w:r>
      <w:r w:rsidRPr="00915B95">
        <w:rPr>
          <w:rFonts w:ascii="Verdana" w:eastAsia="Aptos" w:hAnsi="Verdana" w:cs="Times New Roman"/>
          <w:color w:val="000000"/>
          <w:kern w:val="2"/>
          <w14:ligatures w14:val="standardContextual"/>
        </w:rPr>
        <w:t xml:space="preserve">, dirigida a las entidades sometidas al EGCAP y a las de regímenes exceptuados, así como a proveedores y órganos de control. Encontrarás orientaciones sobre las clases de garantías </w:t>
      </w:r>
      <w:r w:rsidRPr="00915B95">
        <w:rPr>
          <w:rFonts w:ascii="Verdana" w:eastAsia="Aptos" w:hAnsi="Verdana" w:cs="Times New Roman"/>
          <w:color w:val="000000"/>
          <w:kern w:val="2"/>
          <w14:ligatures w14:val="standardContextual"/>
        </w:rPr>
        <w:lastRenderedPageBreak/>
        <w:t>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915B95">
          <w:rPr>
            <w:rFonts w:ascii="Verdana" w:eastAsia="Aptos" w:hAnsi="Verdana" w:cs="Times New Roman"/>
            <w:color w:val="0078D7"/>
            <w:kern w:val="2"/>
            <w:u w:val="single"/>
            <w14:ligatures w14:val="standardContextual"/>
          </w:rPr>
          <w:t>https://www.colombiacompra.gov.co/archivos/manual/guia-de-garantias-en-procesos-de-contratacion</w:t>
        </w:r>
      </w:hyperlink>
    </w:p>
    <w:p w14:paraId="0F0A45D2" w14:textId="77777777" w:rsidR="00915B95" w:rsidRPr="00915B95" w:rsidRDefault="00915B95" w:rsidP="00915B95">
      <w:pPr>
        <w:spacing w:after="0" w:line="276" w:lineRule="auto"/>
        <w:jc w:val="both"/>
        <w:rPr>
          <w:rFonts w:ascii="Verdana" w:eastAsia="Aptos" w:hAnsi="Verdana" w:cs="Times New Roman"/>
          <w:kern w:val="2"/>
          <w14:ligatures w14:val="standardContextual"/>
        </w:rPr>
      </w:pPr>
    </w:p>
    <w:p w14:paraId="18253C2B" w14:textId="77777777" w:rsidR="00915B95" w:rsidRPr="00915B95" w:rsidRDefault="00915B95" w:rsidP="00915B95">
      <w:pPr>
        <w:spacing w:after="0" w:line="276" w:lineRule="auto"/>
        <w:jc w:val="both"/>
        <w:rPr>
          <w:rFonts w:ascii="Verdana" w:eastAsia="Aptos" w:hAnsi="Verdana" w:cs="Times New Roman"/>
          <w:kern w:val="2"/>
          <w14:ligatures w14:val="standardContextual"/>
        </w:rPr>
      </w:pPr>
      <w:r w:rsidRPr="00915B95">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915B95">
        <w:rPr>
          <w:rFonts w:ascii="Verdana" w:eastAsia="Aptos" w:hAnsi="Verdana" w:cs="Times New Roman"/>
          <w:b/>
          <w:bCs/>
          <w:color w:val="000000"/>
          <w:kern w:val="2"/>
          <w14:ligatures w14:val="standardContextual"/>
        </w:rPr>
        <w:t>Sistema Integral de Preferencias en favor de las personas con discapacidad</w:t>
      </w:r>
      <w:r w:rsidRPr="00915B95">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915B95">
        <w:rPr>
          <w:rFonts w:ascii="Verdana" w:eastAsia="Aptos" w:hAnsi="Verdana" w:cs="Times New Roman"/>
          <w:b/>
          <w:bCs/>
          <w:color w:val="000000"/>
          <w:kern w:val="2"/>
          <w14:ligatures w14:val="standardContextual"/>
        </w:rPr>
        <w:t>Circular Externa 003 del 12 de mayo de 2026, </w:t>
      </w:r>
      <w:r w:rsidRPr="00915B95">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915B95">
          <w:rPr>
            <w:rFonts w:ascii="Verdana" w:eastAsia="Aptos" w:hAnsi="Verdana" w:cs="Times New Roman"/>
            <w:color w:val="0078D7"/>
            <w:kern w:val="2"/>
            <w:u w:val="single"/>
            <w14:ligatures w14:val="standardContextual"/>
          </w:rPr>
          <w:t>https://www.colombiacompra.gov.co/archivos/circular/circular-externa-003-de-2026</w:t>
        </w:r>
      </w:hyperlink>
    </w:p>
    <w:p w14:paraId="6781FDE8" w14:textId="77777777" w:rsidR="00915B95" w:rsidRPr="00915B95" w:rsidRDefault="00915B95" w:rsidP="00915B95">
      <w:pPr>
        <w:spacing w:after="0" w:line="276" w:lineRule="auto"/>
        <w:jc w:val="both"/>
        <w:rPr>
          <w:rFonts w:ascii="Verdana" w:eastAsia="Aptos" w:hAnsi="Verdana" w:cs="Times New Roman"/>
          <w:color w:val="000000"/>
          <w:kern w:val="2"/>
          <w14:ligatures w14:val="standardContextual"/>
        </w:rPr>
      </w:pPr>
    </w:p>
    <w:p w14:paraId="00F6A7A5" w14:textId="77777777" w:rsidR="00915B95" w:rsidRPr="00915B95" w:rsidRDefault="00915B95" w:rsidP="00915B95">
      <w:pPr>
        <w:spacing w:after="0" w:line="276" w:lineRule="auto"/>
        <w:jc w:val="both"/>
        <w:rPr>
          <w:rFonts w:ascii="Verdana" w:eastAsia="Aptos" w:hAnsi="Verdana" w:cs="Times New Roman"/>
          <w:kern w:val="2"/>
          <w14:ligatures w14:val="standardContextual"/>
        </w:rPr>
      </w:pPr>
      <w:r w:rsidRPr="00915B95">
        <w:rPr>
          <w:rFonts w:ascii="Verdana" w:eastAsia="Aptos" w:hAnsi="Verdana" w:cs="Times New Roman"/>
          <w:color w:val="000000"/>
          <w:kern w:val="2"/>
          <w14:ligatures w14:val="standardContextual"/>
        </w:rPr>
        <w:t>Recuerda también que la</w:t>
      </w:r>
      <w:r w:rsidRPr="00915B95">
        <w:rPr>
          <w:rFonts w:ascii="Verdana" w:eastAsia="Aptos" w:hAnsi="Verdana" w:cs="Times New Roman"/>
          <w:b/>
          <w:bCs/>
          <w:color w:val="000000"/>
          <w:kern w:val="2"/>
          <w14:ligatures w14:val="standardContextual"/>
        </w:rPr>
        <w:t> información sobre sanciones e inhabilidades </w:t>
      </w:r>
      <w:r w:rsidRPr="00915B95">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915B95">
        <w:rPr>
          <w:rFonts w:ascii="Verdana" w:eastAsia="Aptos" w:hAnsi="Verdana" w:cs="Times New Roman"/>
          <w:b/>
          <w:bCs/>
          <w:color w:val="000000"/>
          <w:kern w:val="2"/>
          <w14:ligatures w14:val="standardContextual"/>
        </w:rPr>
        <w:t>Circular Externa 002 del 5 de mayo de 2026,</w:t>
      </w:r>
      <w:r w:rsidRPr="00915B95">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915B95">
          <w:rPr>
            <w:rFonts w:ascii="Verdana" w:eastAsia="Aptos" w:hAnsi="Verdana" w:cs="Times New Roman"/>
            <w:color w:val="0078D7"/>
            <w:kern w:val="2"/>
            <w:u w:val="single"/>
            <w14:ligatures w14:val="standardContextual"/>
          </w:rPr>
          <w:t>https://www.colombiacompra.gov.co/archivos/circular/circular-externa-002-de-2026</w:t>
        </w:r>
      </w:hyperlink>
    </w:p>
    <w:p w14:paraId="118A09CF" w14:textId="77777777" w:rsidR="00915B95" w:rsidRPr="00915B95" w:rsidRDefault="00915B95" w:rsidP="00915B95">
      <w:pPr>
        <w:spacing w:after="0" w:line="276" w:lineRule="auto"/>
        <w:jc w:val="both"/>
        <w:rPr>
          <w:rFonts w:ascii="Verdana" w:eastAsia="Aptos" w:hAnsi="Verdana" w:cs="Times New Roman"/>
          <w:color w:val="000000"/>
          <w:kern w:val="2"/>
          <w14:ligatures w14:val="standardContextual"/>
        </w:rPr>
      </w:pPr>
    </w:p>
    <w:p w14:paraId="77A70BC2" w14:textId="77777777" w:rsidR="00915B95" w:rsidRPr="00915B95" w:rsidRDefault="00915B95" w:rsidP="00915B95">
      <w:pPr>
        <w:spacing w:after="0" w:line="276" w:lineRule="auto"/>
        <w:jc w:val="both"/>
        <w:rPr>
          <w:rFonts w:ascii="Verdana" w:eastAsia="Aptos" w:hAnsi="Verdana" w:cs="Times New Roman"/>
          <w:color w:val="000000"/>
          <w:kern w:val="2"/>
          <w14:ligatures w14:val="standardContextual"/>
        </w:rPr>
      </w:pPr>
      <w:r w:rsidRPr="00915B95">
        <w:rPr>
          <w:rFonts w:ascii="Verdana" w:eastAsia="Aptos" w:hAnsi="Verdana" w:cs="Times New Roman"/>
          <w:color w:val="000000"/>
          <w:kern w:val="2"/>
          <w14:ligatures w14:val="standardContextual"/>
        </w:rPr>
        <w:t>Finalmente, si quieres seguir de cerca la actividad de la Agencia, la tercera edición de 2026 del</w:t>
      </w:r>
      <w:r w:rsidRPr="00915B95">
        <w:rPr>
          <w:rFonts w:ascii="Verdana" w:eastAsia="Aptos" w:hAnsi="Verdana" w:cs="Times New Roman"/>
          <w:b/>
          <w:bCs/>
          <w:color w:val="000000"/>
          <w:kern w:val="2"/>
          <w14:ligatures w14:val="standardContextual"/>
        </w:rPr>
        <w:t> Radar de la Compra Pública</w:t>
      </w:r>
      <w:r w:rsidRPr="00915B95">
        <w:rPr>
          <w:rFonts w:ascii="Verdana" w:eastAsia="Aptos" w:hAnsi="Verdana" w:cs="Times New Roman"/>
          <w:color w:val="000000"/>
          <w:kern w:val="2"/>
          <w14:ligatures w14:val="standardContextu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915B95">
        <w:rPr>
          <w:rFonts w:ascii="Verdana" w:eastAsia="Aptos" w:hAnsi="Verdana" w:cs="Times New Roman"/>
          <w:color w:val="000000"/>
          <w:kern w:val="2"/>
          <w14:ligatures w14:val="standardContextual"/>
        </w:rPr>
        <w:lastRenderedPageBreak/>
        <w:t>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915B95">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915B95">
        <w:rPr>
          <w:rFonts w:ascii="Verdana" w:eastAsia="Aptos" w:hAnsi="Verdana" w:cs="Times New Roman"/>
          <w:color w:val="000000"/>
          <w:kern w:val="2"/>
          <w14:ligatures w14:val="standardContextual"/>
        </w:rPr>
        <w:t>"</w:t>
      </w:r>
    </w:p>
    <w:p w14:paraId="5E7B1AB5" w14:textId="77777777" w:rsidR="00915B95" w:rsidRPr="00915B95" w:rsidRDefault="00915B95" w:rsidP="00915B95">
      <w:pPr>
        <w:spacing w:after="0" w:line="276" w:lineRule="auto"/>
        <w:jc w:val="both"/>
        <w:rPr>
          <w:rFonts w:ascii="Verdana" w:eastAsia="Aptos" w:hAnsi="Verdana" w:cs="Times New Roman"/>
          <w:color w:val="000000"/>
          <w:kern w:val="2"/>
          <w14:ligatures w14:val="standardContextual"/>
        </w:rPr>
      </w:pPr>
    </w:p>
    <w:p w14:paraId="33BC7256" w14:textId="77777777" w:rsidR="00915B95" w:rsidRPr="00915B95" w:rsidRDefault="00915B95" w:rsidP="00915B95">
      <w:pPr>
        <w:spacing w:after="0" w:line="276" w:lineRule="auto"/>
        <w:jc w:val="both"/>
        <w:rPr>
          <w:rFonts w:ascii="Verdana" w:eastAsia="Aptos" w:hAnsi="Verdana" w:cs="Times New Roman"/>
          <w:kern w:val="2"/>
          <w:lang w:eastAsia="es-MX"/>
          <w14:ligatures w14:val="standardContextual"/>
        </w:rPr>
      </w:pPr>
      <w:r w:rsidRPr="00915B95">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5F7B2C40" w14:textId="77777777" w:rsidR="00915B95" w:rsidRPr="00915B95" w:rsidRDefault="00915B95" w:rsidP="00915B95">
      <w:pPr>
        <w:spacing w:after="0" w:line="276" w:lineRule="auto"/>
        <w:jc w:val="both"/>
        <w:rPr>
          <w:rFonts w:ascii="Verdana" w:eastAsia="Calibri" w:hAnsi="Verdana" w:cs="Times New Roman"/>
          <w:kern w:val="2"/>
          <w:lang w:eastAsia="es-MX"/>
          <w14:ligatures w14:val="standardContextual"/>
        </w:rPr>
      </w:pPr>
    </w:p>
    <w:p w14:paraId="135D7961" w14:textId="77777777" w:rsidR="00915B95" w:rsidRPr="00915B95" w:rsidRDefault="00915B95" w:rsidP="00915B95">
      <w:pPr>
        <w:spacing w:after="0" w:line="276" w:lineRule="auto"/>
        <w:jc w:val="both"/>
        <w:rPr>
          <w:rFonts w:ascii="Verdana" w:eastAsia="Aptos" w:hAnsi="Verdana" w:cs="Times New Roman"/>
          <w:kern w:val="2"/>
          <w:lang w:eastAsia="es-MX"/>
          <w14:ligatures w14:val="standardContextual"/>
        </w:rPr>
      </w:pPr>
      <w:r w:rsidRPr="00915B95">
        <w:rPr>
          <w:rFonts w:ascii="Verdana" w:eastAsia="Aptos" w:hAnsi="Verdana" w:cs="Times New Roman"/>
          <w:kern w:val="2"/>
          <w:lang w:eastAsia="es-MX"/>
          <w14:ligatures w14:val="standardContextual"/>
        </w:rPr>
        <w:t xml:space="preserve">Twitter: </w:t>
      </w:r>
      <w:r w:rsidRPr="00915B95">
        <w:rPr>
          <w:rFonts w:ascii="Verdana" w:eastAsia="Calibri" w:hAnsi="Verdana" w:cs="Times New Roman"/>
          <w:color w:val="156082"/>
          <w:kern w:val="2"/>
          <w:u w:val="single"/>
          <w:lang w:eastAsia="es-MX"/>
          <w14:ligatures w14:val="standardContextual"/>
        </w:rPr>
        <w:t>@colombiacompra</w:t>
      </w:r>
      <w:r w:rsidRPr="00915B95">
        <w:rPr>
          <w:rFonts w:ascii="Verdana" w:eastAsia="Calibri" w:hAnsi="Verdana" w:cs="Times New Roman"/>
          <w:color w:val="156082"/>
          <w:kern w:val="2"/>
          <w:lang w:eastAsia="es-MX"/>
          <w14:ligatures w14:val="standardContextual"/>
        </w:rPr>
        <w:t xml:space="preserve"> </w:t>
      </w:r>
    </w:p>
    <w:p w14:paraId="040647D2" w14:textId="77777777" w:rsidR="00915B95" w:rsidRPr="00915B95" w:rsidRDefault="00915B95" w:rsidP="00915B95">
      <w:pPr>
        <w:spacing w:after="0" w:line="276" w:lineRule="auto"/>
        <w:jc w:val="both"/>
        <w:rPr>
          <w:rFonts w:ascii="Verdana" w:eastAsia="Aptos" w:hAnsi="Verdana" w:cs="Times New Roman"/>
          <w:kern w:val="2"/>
          <w:lang w:eastAsia="es-MX"/>
          <w14:ligatures w14:val="standardContextual"/>
        </w:rPr>
      </w:pPr>
      <w:r w:rsidRPr="00915B95">
        <w:rPr>
          <w:rFonts w:ascii="Verdana" w:eastAsia="Aptos" w:hAnsi="Verdana" w:cs="Times New Roman"/>
          <w:kern w:val="2"/>
          <w:lang w:eastAsia="es-MX"/>
          <w14:ligatures w14:val="standardContextual"/>
        </w:rPr>
        <w:t xml:space="preserve">Facebook: </w:t>
      </w:r>
      <w:proofErr w:type="spellStart"/>
      <w:r w:rsidRPr="00915B95">
        <w:rPr>
          <w:rFonts w:ascii="Verdana" w:eastAsia="Calibri" w:hAnsi="Verdana" w:cs="Times New Roman"/>
          <w:color w:val="156082"/>
          <w:kern w:val="2"/>
          <w:u w:val="single"/>
          <w:lang w:eastAsia="es-MX"/>
          <w14:ligatures w14:val="standardContextual"/>
        </w:rPr>
        <w:t>ColombiaCompraEficiente</w:t>
      </w:r>
      <w:proofErr w:type="spellEnd"/>
    </w:p>
    <w:p w14:paraId="7FFE04FF" w14:textId="77777777" w:rsidR="00915B95" w:rsidRPr="00915B95" w:rsidRDefault="00915B95" w:rsidP="00915B95">
      <w:pPr>
        <w:spacing w:after="0" w:line="276" w:lineRule="auto"/>
        <w:jc w:val="both"/>
        <w:rPr>
          <w:rFonts w:ascii="Verdana" w:eastAsia="Aptos" w:hAnsi="Verdana" w:cs="Times New Roman"/>
          <w:kern w:val="2"/>
          <w:lang w:eastAsia="es-MX"/>
          <w14:ligatures w14:val="standardContextual"/>
        </w:rPr>
      </w:pPr>
      <w:r w:rsidRPr="00915B95">
        <w:rPr>
          <w:rFonts w:ascii="Verdana" w:eastAsia="Aptos" w:hAnsi="Verdana" w:cs="Times New Roman"/>
          <w:kern w:val="2"/>
          <w:lang w:eastAsia="es-MX"/>
          <w14:ligatures w14:val="standardContextual"/>
        </w:rPr>
        <w:t xml:space="preserve">LinkedIn: </w:t>
      </w:r>
      <w:r w:rsidRPr="00915B95">
        <w:rPr>
          <w:rFonts w:ascii="Verdana" w:eastAsia="Calibri" w:hAnsi="Verdana" w:cs="Times New Roman"/>
          <w:color w:val="156082"/>
          <w:kern w:val="2"/>
          <w:u w:val="single"/>
          <w:lang w:eastAsia="es-MX"/>
          <w14:ligatures w14:val="standardContextual"/>
        </w:rPr>
        <w:t>Agencia Nacional de Contratación Pública - Colombia Compra Eficiente</w:t>
      </w:r>
      <w:r w:rsidRPr="00915B95">
        <w:rPr>
          <w:rFonts w:ascii="Verdana" w:eastAsia="Calibri" w:hAnsi="Verdana" w:cs="Times New Roman"/>
          <w:color w:val="156082"/>
          <w:kern w:val="2"/>
          <w:lang w:eastAsia="es-MX"/>
          <w14:ligatures w14:val="standardContextual"/>
        </w:rPr>
        <w:t xml:space="preserve"> </w:t>
      </w:r>
      <w:r w:rsidRPr="00915B95">
        <w:rPr>
          <w:rFonts w:ascii="Verdana" w:eastAsia="Aptos" w:hAnsi="Verdana" w:cs="Times New Roman"/>
          <w:kern w:val="2"/>
          <w:lang w:eastAsia="es-MX"/>
          <w14:ligatures w14:val="standardContextual"/>
        </w:rPr>
        <w:t xml:space="preserve">Instagram: </w:t>
      </w:r>
      <w:r w:rsidRPr="00915B95">
        <w:rPr>
          <w:rFonts w:ascii="Verdana" w:eastAsia="Calibri" w:hAnsi="Verdana" w:cs="Times New Roman"/>
          <w:color w:val="156082"/>
          <w:kern w:val="2"/>
          <w:u w:val="single"/>
          <w:lang w:eastAsia="es-MX"/>
          <w14:ligatures w14:val="standardContextual"/>
        </w:rPr>
        <w:t>@colombiacompraeficiente_cce</w:t>
      </w:r>
    </w:p>
    <w:p w14:paraId="4F12B64D" w14:textId="77777777" w:rsidR="00915B95" w:rsidRPr="00915B95" w:rsidRDefault="00915B95" w:rsidP="00915B95">
      <w:pPr>
        <w:spacing w:after="0" w:line="276" w:lineRule="auto"/>
        <w:jc w:val="both"/>
        <w:rPr>
          <w:rFonts w:ascii="Verdana" w:eastAsia="Aptos" w:hAnsi="Verdana" w:cs="Times New Roman"/>
          <w:kern w:val="2"/>
          <w:lang w:eastAsia="es-MX"/>
          <w14:ligatures w14:val="standardContextual"/>
        </w:rPr>
      </w:pPr>
    </w:p>
    <w:p w14:paraId="3CE89AB3" w14:textId="77777777" w:rsidR="00616982" w:rsidRDefault="00915B95" w:rsidP="00915B95">
      <w:pPr>
        <w:spacing w:after="0" w:line="276" w:lineRule="auto"/>
        <w:jc w:val="both"/>
        <w:rPr>
          <w:rFonts w:ascii="Verdana" w:eastAsia="Calibri" w:hAnsi="Verdana" w:cs="Times New Roman"/>
          <w:bCs/>
          <w:kern w:val="2"/>
          <w:lang w:val="es-ES_tradnl" w:eastAsia="es-MX"/>
          <w14:ligatures w14:val="standardContextual"/>
        </w:rPr>
      </w:pPr>
      <w:r w:rsidRPr="00915B95">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D9DC5E4" w14:textId="77777777" w:rsidR="00616982" w:rsidRDefault="00616982" w:rsidP="00915B95">
      <w:pPr>
        <w:spacing w:after="0" w:line="276" w:lineRule="auto"/>
        <w:jc w:val="both"/>
        <w:rPr>
          <w:rFonts w:ascii="Verdana" w:eastAsia="Calibri" w:hAnsi="Verdana" w:cs="Times New Roman"/>
          <w:bCs/>
          <w:kern w:val="2"/>
          <w:lang w:val="es-ES_tradnl" w:eastAsia="es-MX"/>
          <w14:ligatures w14:val="standardContextual"/>
        </w:rPr>
      </w:pPr>
    </w:p>
    <w:p w14:paraId="451BB3F4" w14:textId="42839952" w:rsidR="00915B95" w:rsidRDefault="00915B95" w:rsidP="00915B95">
      <w:pPr>
        <w:spacing w:after="0" w:line="276" w:lineRule="auto"/>
        <w:jc w:val="both"/>
        <w:rPr>
          <w:rFonts w:ascii="Verdana" w:eastAsia="Calibri" w:hAnsi="Verdana" w:cs="Times New Roman"/>
          <w:kern w:val="2"/>
          <w:lang w:eastAsia="es-MX"/>
          <w14:ligatures w14:val="standardContextual"/>
        </w:rPr>
      </w:pPr>
      <w:r w:rsidRPr="00915B95">
        <w:rPr>
          <w:rFonts w:ascii="Verdana" w:eastAsia="Calibri" w:hAnsi="Verdana" w:cs="Times New Roman"/>
          <w:kern w:val="2"/>
          <w:lang w:eastAsia="es-MX"/>
          <w14:ligatures w14:val="standardContextual"/>
        </w:rPr>
        <w:t>Atentamente,</w:t>
      </w:r>
    </w:p>
    <w:p w14:paraId="5BC796EE" w14:textId="1B731EFF" w:rsidR="00616982" w:rsidRDefault="00D2767F" w:rsidP="00915B95">
      <w:pPr>
        <w:spacing w:after="0" w:line="276" w:lineRule="auto"/>
        <w:jc w:val="both"/>
        <w:rPr>
          <w:rFonts w:ascii="Verdana" w:eastAsia="Calibri" w:hAnsi="Verdana" w:cs="Times New Roman"/>
          <w:kern w:val="2"/>
          <w:lang w:eastAsia="es-MX"/>
          <w14:ligatures w14:val="standardContextual"/>
        </w:rPr>
      </w:pPr>
      <w:r w:rsidRPr="004A2E53">
        <w:rPr>
          <w:noProof/>
        </w:rPr>
        <w:drawing>
          <wp:anchor distT="0" distB="0" distL="114300" distR="114300" simplePos="0" relativeHeight="251659264" behindDoc="1" locked="0" layoutInCell="1" allowOverlap="1" wp14:anchorId="0ECBF830" wp14:editId="367CA13F">
            <wp:simplePos x="0" y="0"/>
            <wp:positionH relativeFrom="column">
              <wp:posOffset>1662870</wp:posOffset>
            </wp:positionH>
            <wp:positionV relativeFrom="paragraph">
              <wp:posOffset>73464</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35B975" w14:textId="1F6F1B4E" w:rsidR="00616982" w:rsidRPr="00616982" w:rsidRDefault="00616982" w:rsidP="00915B95">
      <w:pPr>
        <w:spacing w:after="0" w:line="276" w:lineRule="auto"/>
        <w:jc w:val="both"/>
        <w:rPr>
          <w:rFonts w:ascii="Verdana" w:eastAsia="Calibri" w:hAnsi="Verdana" w:cs="Times New Roman"/>
          <w:bCs/>
          <w:kern w:val="2"/>
          <w:lang w:val="es-ES_tradnl" w:eastAsia="es-MX"/>
          <w14:ligatures w14:val="standardContextual"/>
        </w:rPr>
      </w:pPr>
    </w:p>
    <w:p w14:paraId="52D378D2" w14:textId="72E02187" w:rsidR="00915B95" w:rsidRPr="00915B95" w:rsidRDefault="00915B95" w:rsidP="00915B95">
      <w:pPr>
        <w:tabs>
          <w:tab w:val="left" w:pos="1320"/>
        </w:tabs>
        <w:spacing w:after="0" w:line="278" w:lineRule="auto"/>
        <w:rPr>
          <w:rFonts w:ascii="Verdana" w:eastAsia="Calibri" w:hAnsi="Verdana" w:cs="Times New Roman"/>
          <w:kern w:val="2"/>
          <w:lang w:eastAsia="es-MX"/>
          <w14:ligatures w14:val="standardContextual"/>
        </w:rPr>
      </w:pPr>
    </w:p>
    <w:p w14:paraId="6631F4B4" w14:textId="77777777" w:rsidR="00915B95" w:rsidRDefault="00915B95" w:rsidP="00915B95">
      <w:pPr>
        <w:tabs>
          <w:tab w:val="left" w:pos="1320"/>
        </w:tabs>
        <w:spacing w:after="0" w:line="278" w:lineRule="auto"/>
        <w:rPr>
          <w:rFonts w:ascii="Verdana" w:eastAsia="Calibri" w:hAnsi="Verdana" w:cs="Times New Roman"/>
          <w:kern w:val="2"/>
          <w:sz w:val="24"/>
          <w:szCs w:val="24"/>
          <w:lang w:eastAsia="es-MX"/>
          <w14:ligatures w14:val="standardContextual"/>
        </w:rPr>
      </w:pPr>
    </w:p>
    <w:p w14:paraId="7B21D42F" w14:textId="77777777" w:rsidR="00D2767F" w:rsidRPr="00915B95" w:rsidRDefault="00D2767F" w:rsidP="00915B95">
      <w:pPr>
        <w:tabs>
          <w:tab w:val="left" w:pos="1320"/>
        </w:tabs>
        <w:spacing w:after="0" w:line="278" w:lineRule="auto"/>
        <w:rPr>
          <w:rFonts w:ascii="Verdana" w:eastAsia="Calibri" w:hAnsi="Verdana"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915B95" w:rsidRPr="00915B95" w14:paraId="59C4A9E3" w14:textId="77777777" w:rsidTr="00173079">
        <w:trPr>
          <w:trHeight w:val="323"/>
        </w:trPr>
        <w:tc>
          <w:tcPr>
            <w:tcW w:w="1041" w:type="dxa"/>
            <w:vAlign w:val="center"/>
            <w:hideMark/>
          </w:tcPr>
          <w:p w14:paraId="25859C65"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1CDA3F7" w14:textId="77777777" w:rsidR="00915B95" w:rsidRPr="00915B95" w:rsidRDefault="00915B95" w:rsidP="00915B95">
            <w:pPr>
              <w:rPr>
                <w:rFonts w:ascii="Verdana" w:eastAsia="Arial" w:hAnsi="Verdana" w:cs="Arial"/>
                <w:sz w:val="16"/>
                <w:szCs w:val="16"/>
                <w:lang w:val="es-ES" w:eastAsia="es-MX"/>
              </w:rPr>
            </w:pPr>
            <w:r w:rsidRPr="00915B95">
              <w:rPr>
                <w:rFonts w:ascii="Verdana" w:eastAsia="Arial" w:hAnsi="Verdana" w:cs="Arial"/>
                <w:sz w:val="16"/>
                <w:szCs w:val="16"/>
                <w:lang w:val="es-ES" w:eastAsia="es-MX"/>
              </w:rPr>
              <w:t xml:space="preserve">Carlos Mario Castrillón Endo </w:t>
            </w:r>
          </w:p>
          <w:p w14:paraId="1917E2F8" w14:textId="77777777" w:rsidR="00915B95" w:rsidRPr="00915B95" w:rsidRDefault="00915B95" w:rsidP="00915B95">
            <w:pPr>
              <w:rPr>
                <w:rFonts w:ascii="Verdana" w:eastAsia="Arial" w:hAnsi="Verdana" w:cs="Arial"/>
                <w:sz w:val="16"/>
                <w:szCs w:val="16"/>
                <w:lang w:val="es-ES_tradnl" w:eastAsia="es-MX"/>
              </w:rPr>
            </w:pPr>
            <w:r w:rsidRPr="00915B95">
              <w:rPr>
                <w:rFonts w:ascii="Verdana" w:eastAsia="Arial" w:hAnsi="Verdana" w:cs="Arial"/>
                <w:sz w:val="16"/>
                <w:szCs w:val="16"/>
                <w:lang w:val="es-ES_tradnl" w:eastAsia="es-MX"/>
              </w:rPr>
              <w:t>Contratista de la Subdirección de Gestión Contractual</w:t>
            </w:r>
          </w:p>
          <w:p w14:paraId="446B0C53" w14:textId="77777777" w:rsidR="00915B95" w:rsidRPr="00915B95" w:rsidRDefault="00915B95" w:rsidP="00915B95">
            <w:pPr>
              <w:rPr>
                <w:rFonts w:ascii="Verdana" w:eastAsia="Arial" w:hAnsi="Verdana" w:cs="Arial"/>
                <w:sz w:val="16"/>
                <w:szCs w:val="16"/>
                <w:lang w:val="es-ES_tradnl" w:eastAsia="es-MX"/>
              </w:rPr>
            </w:pPr>
          </w:p>
        </w:tc>
      </w:tr>
      <w:tr w:rsidR="00915B95" w:rsidRPr="00915B95" w14:paraId="7014C440" w14:textId="77777777" w:rsidTr="00173079">
        <w:trPr>
          <w:trHeight w:val="338"/>
        </w:trPr>
        <w:tc>
          <w:tcPr>
            <w:tcW w:w="1041" w:type="dxa"/>
            <w:vAlign w:val="center"/>
            <w:hideMark/>
          </w:tcPr>
          <w:p w14:paraId="68B64C38"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496E99E" w14:textId="77777777" w:rsidR="00915B95" w:rsidRPr="00915B95" w:rsidRDefault="00915B95" w:rsidP="00915B95">
            <w:pPr>
              <w:rPr>
                <w:rFonts w:ascii="Verdana" w:eastAsia="Arial" w:hAnsi="Verdana" w:cs="Arial"/>
                <w:sz w:val="16"/>
                <w:szCs w:val="16"/>
                <w:lang w:val="es-ES_tradnl" w:eastAsia="es-MX"/>
              </w:rPr>
            </w:pPr>
            <w:r w:rsidRPr="00915B95">
              <w:rPr>
                <w:rFonts w:ascii="Verdana" w:eastAsia="Arial" w:hAnsi="Verdana" w:cs="Arial"/>
                <w:sz w:val="16"/>
                <w:szCs w:val="16"/>
                <w:lang w:val="es-ES_tradnl" w:eastAsia="es-MX"/>
              </w:rPr>
              <w:t xml:space="preserve">Juan David Cárdenas Cabezas </w:t>
            </w:r>
          </w:p>
          <w:p w14:paraId="1C8D341B" w14:textId="77777777" w:rsidR="00915B95" w:rsidRPr="00915B95" w:rsidRDefault="00915B95" w:rsidP="00915B95">
            <w:pPr>
              <w:rPr>
                <w:rFonts w:ascii="Verdana" w:eastAsia="Arial" w:hAnsi="Verdana" w:cs="Arial"/>
                <w:sz w:val="16"/>
                <w:szCs w:val="16"/>
                <w:lang w:val="es-ES" w:eastAsia="es-MX"/>
              </w:rPr>
            </w:pPr>
            <w:r w:rsidRPr="00915B95">
              <w:rPr>
                <w:rFonts w:ascii="Verdana" w:eastAsia="Arial" w:hAnsi="Verdana" w:cs="Arial"/>
                <w:sz w:val="16"/>
                <w:szCs w:val="16"/>
                <w:lang w:val="es-ES_tradnl" w:eastAsia="es-MX"/>
              </w:rPr>
              <w:t>Contratista de la Subdirección de Gestión Contractual</w:t>
            </w:r>
          </w:p>
        </w:tc>
      </w:tr>
      <w:tr w:rsidR="00915B95" w:rsidRPr="00915B95" w14:paraId="38F226A8" w14:textId="77777777" w:rsidTr="00173079">
        <w:trPr>
          <w:trHeight w:val="308"/>
        </w:trPr>
        <w:tc>
          <w:tcPr>
            <w:tcW w:w="1041" w:type="dxa"/>
            <w:vAlign w:val="center"/>
          </w:tcPr>
          <w:p w14:paraId="67B9C049"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5C12A615"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William Javier Murcia Acevedo</w:t>
            </w:r>
          </w:p>
          <w:p w14:paraId="527A4D3E"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Subdirector de Gestión Contractual (E) ANCP-CCE</w:t>
            </w:r>
          </w:p>
        </w:tc>
      </w:tr>
      <w:tr w:rsidR="00915B95" w:rsidRPr="00915B95" w14:paraId="42764F8F" w14:textId="77777777" w:rsidTr="00173079">
        <w:trPr>
          <w:trHeight w:val="308"/>
        </w:trPr>
        <w:tc>
          <w:tcPr>
            <w:tcW w:w="1041" w:type="dxa"/>
            <w:vAlign w:val="center"/>
          </w:tcPr>
          <w:p w14:paraId="3CC1BA6C"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 xml:space="preserve">Anexos:      </w:t>
            </w:r>
          </w:p>
        </w:tc>
        <w:tc>
          <w:tcPr>
            <w:tcW w:w="6561" w:type="dxa"/>
            <w:tcBorders>
              <w:top w:val="dotted" w:sz="4" w:space="0" w:color="7F7F7F"/>
              <w:left w:val="nil"/>
              <w:bottom w:val="dotted" w:sz="4" w:space="0" w:color="7F7F7F"/>
              <w:right w:val="nil"/>
            </w:tcBorders>
            <w:vAlign w:val="center"/>
          </w:tcPr>
          <w:p w14:paraId="6F198E55" w14:textId="77777777" w:rsidR="00915B95" w:rsidRPr="00915B95" w:rsidRDefault="00915B95" w:rsidP="00915B95">
            <w:pPr>
              <w:rPr>
                <w:rFonts w:ascii="Verdana" w:eastAsia="Calibri" w:hAnsi="Verdana" w:cs="Arial"/>
                <w:sz w:val="16"/>
                <w:szCs w:val="16"/>
                <w:lang w:val="es-ES_tradnl" w:eastAsia="es-ES"/>
              </w:rPr>
            </w:pPr>
            <w:r w:rsidRPr="00915B95">
              <w:rPr>
                <w:rFonts w:ascii="Verdana" w:eastAsia="Calibri" w:hAnsi="Verdana" w:cs="Arial"/>
                <w:sz w:val="16"/>
                <w:szCs w:val="16"/>
                <w:lang w:val="es-ES_tradnl" w:eastAsia="es-ES"/>
              </w:rPr>
              <w:t>Radicado de salida 2_2026_09_21_010098 del 21 de septiembre de 2026</w:t>
            </w:r>
          </w:p>
        </w:tc>
      </w:tr>
    </w:tbl>
    <w:p w14:paraId="4FD70461" w14:textId="77777777" w:rsidR="00915B95" w:rsidRPr="00915B95" w:rsidRDefault="00915B95" w:rsidP="00915B95">
      <w:pPr>
        <w:spacing w:after="0" w:line="278" w:lineRule="auto"/>
        <w:rPr>
          <w:rFonts w:ascii="Verdana" w:eastAsia="Calibri" w:hAnsi="Verdana" w:cs="Times New Roman"/>
          <w:kern w:val="2"/>
          <w:sz w:val="24"/>
          <w:szCs w:val="24"/>
          <w:lang w:eastAsia="es-MX"/>
          <w14:ligatures w14:val="standardContextual"/>
        </w:rPr>
      </w:pPr>
    </w:p>
    <w:p w14:paraId="06CFD881" w14:textId="77777777" w:rsidR="00915B95" w:rsidRPr="00915B95" w:rsidRDefault="00915B95" w:rsidP="00915B95">
      <w:pPr>
        <w:spacing w:after="0" w:line="240" w:lineRule="auto"/>
        <w:jc w:val="both"/>
        <w:textAlignment w:val="baseline"/>
        <w:rPr>
          <w:rFonts w:ascii="Verdana" w:eastAsia="Verdana" w:hAnsi="Verdana" w:cs="Verdana"/>
          <w:kern w:val="2"/>
          <w:sz w:val="24"/>
          <w:szCs w:val="24"/>
          <w:lang w:eastAsia="es-CO"/>
          <w14:ligatures w14:val="standardContextual"/>
        </w:rPr>
      </w:pPr>
    </w:p>
    <w:p w14:paraId="6EB1897A" w14:textId="77777777" w:rsidR="00915B95" w:rsidRPr="00915B95" w:rsidRDefault="00915B95" w:rsidP="00915B95">
      <w:pPr>
        <w:spacing w:after="0" w:line="240" w:lineRule="auto"/>
        <w:textAlignment w:val="baseline"/>
        <w:rPr>
          <w:rFonts w:ascii="Verdana" w:eastAsia="Verdana" w:hAnsi="Verdana" w:cs="Verdana"/>
          <w:kern w:val="2"/>
          <w:sz w:val="24"/>
          <w:szCs w:val="24"/>
          <w:lang w:eastAsia="es-CO"/>
          <w14:ligatures w14:val="standardContextual"/>
        </w:rPr>
      </w:pPr>
      <w:r w:rsidRPr="00915B95">
        <w:rPr>
          <w:rFonts w:ascii="Verdana" w:eastAsia="Verdana" w:hAnsi="Verdana" w:cs="Verdana"/>
          <w:kern w:val="2"/>
          <w:sz w:val="24"/>
          <w:szCs w:val="24"/>
          <w:lang w:eastAsia="es-CO"/>
          <w14:ligatures w14:val="standardContextual"/>
        </w:rPr>
        <w:t> </w:t>
      </w:r>
    </w:p>
    <w:p w14:paraId="2BF40B80" w14:textId="77777777" w:rsidR="00915B95" w:rsidRPr="00915B95" w:rsidRDefault="00915B95" w:rsidP="00915B95">
      <w:pPr>
        <w:spacing w:after="0" w:line="276" w:lineRule="auto"/>
        <w:jc w:val="both"/>
        <w:rPr>
          <w:rFonts w:ascii="Verdana" w:eastAsia="Calibri" w:hAnsi="Verdana" w:cs="Times New Roman"/>
          <w:kern w:val="2"/>
          <w:lang w:eastAsia="es-MX"/>
          <w14:ligatures w14:val="standardContextual"/>
        </w:rPr>
      </w:pPr>
    </w:p>
    <w:bookmarkEnd w:id="0"/>
    <w:p w14:paraId="0F293BF4" w14:textId="04C40849" w:rsidR="00127233" w:rsidRPr="00334CE4" w:rsidRDefault="00127233" w:rsidP="00334CE4"/>
    <w:sectPr w:rsidR="00127233" w:rsidRPr="00334CE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AEF89" w14:textId="77777777" w:rsidR="00890365" w:rsidRDefault="00890365" w:rsidP="004A1847">
      <w:pPr>
        <w:spacing w:after="0" w:line="240" w:lineRule="auto"/>
      </w:pPr>
      <w:r>
        <w:separator/>
      </w:r>
    </w:p>
  </w:endnote>
  <w:endnote w:type="continuationSeparator" w:id="0">
    <w:p w14:paraId="6A1CFB54" w14:textId="77777777" w:rsidR="00890365" w:rsidRDefault="008903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915B95">
      <w:rPr>
        <w:rFonts w:ascii="Verdana" w:eastAsia="Verdana" w:hAnsi="Verdana" w:cs="Verdana"/>
        <w:b/>
        <w:bCs/>
        <w:color w:val="000000"/>
        <w:sz w:val="18"/>
        <w:szCs w:val="18"/>
        <w:lang w:eastAsia="es-CO"/>
      </w:rPr>
      <w:t xml:space="preserve">Código: </w:t>
    </w:r>
    <w:r w:rsidRPr="00915B95">
      <w:rPr>
        <w:rFonts w:ascii="Verdana" w:eastAsia="Verdana" w:hAnsi="Verdana" w:cs="Verdana"/>
        <w:color w:val="000000"/>
        <w:sz w:val="18"/>
        <w:szCs w:val="18"/>
        <w:lang w:eastAsia="es-CO"/>
      </w:rPr>
      <w:t xml:space="preserve">CCE-REC-FM-17 </w:t>
    </w:r>
    <w:r w:rsidRPr="00915B95">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2F3EA" w14:textId="77777777" w:rsidR="00890365" w:rsidRDefault="00890365" w:rsidP="004A1847">
      <w:pPr>
        <w:spacing w:after="0" w:line="240" w:lineRule="auto"/>
      </w:pPr>
      <w:r>
        <w:separator/>
      </w:r>
    </w:p>
  </w:footnote>
  <w:footnote w:type="continuationSeparator" w:id="0">
    <w:p w14:paraId="5C1D7CE9" w14:textId="77777777" w:rsidR="00890365" w:rsidRDefault="00890365" w:rsidP="004A1847">
      <w:pPr>
        <w:spacing w:after="0" w:line="240" w:lineRule="auto"/>
      </w:pPr>
      <w:r>
        <w:continuationSeparator/>
      </w:r>
    </w:p>
  </w:footnote>
  <w:footnote w:id="1">
    <w:p w14:paraId="5363EE45" w14:textId="77777777" w:rsidR="00915B95" w:rsidRPr="0047661B" w:rsidRDefault="00915B95" w:rsidP="00915B95">
      <w:pPr>
        <w:pStyle w:val="Textonotapie"/>
        <w:ind w:firstLine="708"/>
        <w:jc w:val="both"/>
        <w:rPr>
          <w:rFonts w:ascii="Verdana" w:hAnsi="Verdana"/>
          <w:sz w:val="18"/>
          <w:szCs w:val="18"/>
        </w:rPr>
      </w:pPr>
      <w:r w:rsidRPr="0047661B">
        <w:rPr>
          <w:rStyle w:val="Refdenotaalpie"/>
          <w:rFonts w:ascii="Verdana" w:hAnsi="Verdana"/>
          <w:sz w:val="18"/>
          <w:szCs w:val="18"/>
        </w:rPr>
        <w:footnoteRef/>
      </w:r>
      <w:r w:rsidRPr="0047661B">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3BB8A5A2" w14:textId="77777777" w:rsidR="00915B95" w:rsidRPr="0047661B" w:rsidRDefault="00915B95" w:rsidP="00915B95">
      <w:pPr>
        <w:pStyle w:val="Textonotapie"/>
        <w:ind w:firstLine="708"/>
        <w:jc w:val="both"/>
        <w:rPr>
          <w:rFonts w:ascii="Verdana" w:hAnsi="Verdana"/>
          <w:sz w:val="18"/>
          <w:szCs w:val="18"/>
        </w:rPr>
      </w:pPr>
    </w:p>
    <w:p w14:paraId="35B70627" w14:textId="77777777" w:rsidR="00915B95" w:rsidRPr="0047661B" w:rsidRDefault="00915B95" w:rsidP="00915B95">
      <w:pPr>
        <w:pStyle w:val="Textonotapie"/>
        <w:ind w:firstLine="708"/>
        <w:jc w:val="both"/>
        <w:rPr>
          <w:rFonts w:ascii="Verdana" w:hAnsi="Verdana"/>
          <w:sz w:val="18"/>
          <w:szCs w:val="18"/>
        </w:rPr>
      </w:pPr>
      <w:r w:rsidRPr="0047661B">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4973D8E3" w14:textId="77777777" w:rsidR="00915B95" w:rsidRPr="0047661B" w:rsidRDefault="00915B95" w:rsidP="00915B95">
      <w:pPr>
        <w:pStyle w:val="Textonotapie"/>
        <w:ind w:firstLine="708"/>
        <w:jc w:val="both"/>
        <w:rPr>
          <w:rFonts w:ascii="Verdana" w:hAnsi="Verdana"/>
          <w:sz w:val="18"/>
          <w:szCs w:val="18"/>
        </w:rPr>
      </w:pPr>
    </w:p>
    <w:p w14:paraId="7C546AAE" w14:textId="77777777" w:rsidR="00915B95" w:rsidRPr="0047661B" w:rsidRDefault="00915B95" w:rsidP="00915B95">
      <w:pPr>
        <w:pStyle w:val="Textonotapie"/>
        <w:ind w:firstLine="708"/>
        <w:jc w:val="both"/>
        <w:rPr>
          <w:rFonts w:ascii="Verdana" w:hAnsi="Verdana"/>
          <w:sz w:val="18"/>
          <w:szCs w:val="18"/>
        </w:rPr>
      </w:pPr>
      <w:r w:rsidRPr="0047661B">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D8D9CD5" w14:textId="77777777" w:rsidR="00915B95" w:rsidRPr="0047661B" w:rsidRDefault="00915B95" w:rsidP="00915B95">
      <w:pPr>
        <w:pStyle w:val="Textonotapie"/>
        <w:ind w:firstLine="708"/>
        <w:jc w:val="both"/>
        <w:rPr>
          <w:rFonts w:ascii="Verdana" w:hAnsi="Verdana"/>
          <w:sz w:val="18"/>
          <w:szCs w:val="18"/>
        </w:rPr>
      </w:pPr>
    </w:p>
    <w:p w14:paraId="4CC66860" w14:textId="77777777" w:rsidR="00915B95" w:rsidRPr="0047661B" w:rsidRDefault="00915B95" w:rsidP="00915B95">
      <w:pPr>
        <w:pStyle w:val="Textonotapie"/>
        <w:ind w:firstLine="708"/>
        <w:jc w:val="both"/>
        <w:rPr>
          <w:rFonts w:ascii="Verdana" w:hAnsi="Verdana"/>
          <w:sz w:val="18"/>
          <w:szCs w:val="18"/>
        </w:rPr>
      </w:pPr>
      <w:r w:rsidRPr="0047661B">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729F1246" w14:textId="77777777" w:rsidR="00915B95" w:rsidRPr="0047661B" w:rsidRDefault="00915B95" w:rsidP="00915B95">
      <w:pPr>
        <w:pStyle w:val="Textonotapie"/>
        <w:ind w:firstLine="708"/>
        <w:jc w:val="both"/>
        <w:rPr>
          <w:rFonts w:ascii="Verdana" w:hAnsi="Verdana"/>
          <w:sz w:val="18"/>
          <w:szCs w:val="18"/>
        </w:rPr>
      </w:pPr>
    </w:p>
    <w:p w14:paraId="5B8CFABE" w14:textId="77777777" w:rsidR="00915B95" w:rsidRPr="0047661B" w:rsidRDefault="00915B95" w:rsidP="00915B95">
      <w:pPr>
        <w:pStyle w:val="Textonotapie"/>
        <w:ind w:firstLine="708"/>
        <w:jc w:val="both"/>
        <w:rPr>
          <w:rFonts w:ascii="Verdana" w:hAnsi="Verdana"/>
          <w:sz w:val="18"/>
          <w:szCs w:val="18"/>
        </w:rPr>
      </w:pPr>
      <w:r w:rsidRPr="0047661B">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
    <w:p w14:paraId="4A7C39D8" w14:textId="77777777" w:rsidR="00915B95" w:rsidRPr="00ED36A1" w:rsidRDefault="00915B95" w:rsidP="00915B95">
      <w:pPr>
        <w:pStyle w:val="Textonotapie"/>
        <w:ind w:firstLine="709"/>
        <w:jc w:val="both"/>
        <w:rPr>
          <w:rFonts w:ascii="Geomanist Light" w:hAnsi="Geomanist Light" w:cs="Arial"/>
          <w:color w:val="000000"/>
          <w:sz w:val="19"/>
          <w:szCs w:val="19"/>
        </w:rPr>
      </w:pPr>
      <w:r w:rsidRPr="00ED36A1">
        <w:rPr>
          <w:rStyle w:val="Refdenotaalpie"/>
          <w:rFonts w:ascii="Geomanist Light" w:hAnsi="Geomanist Light" w:cs="Arial"/>
          <w:color w:val="000000"/>
          <w:sz w:val="19"/>
          <w:szCs w:val="19"/>
        </w:rPr>
        <w:footnoteRef/>
      </w:r>
      <w:r w:rsidRPr="00ED36A1">
        <w:rPr>
          <w:rFonts w:ascii="Geomanist Light" w:hAnsi="Geomanist Light" w:cs="Arial"/>
          <w:color w:val="000000"/>
          <w:sz w:val="19"/>
          <w:szCs w:val="19"/>
        </w:rPr>
        <w:t xml:space="preserve"> Consejo de Estado. Sección Tercera. Sentencia del 8 de junio de 2011. Rad. 20001-23-31-000-2005-00409-01[AP]. Consejero Ponente: Enrique Gil Botero.</w:t>
      </w:r>
    </w:p>
  </w:footnote>
  <w:footnote w:id="3">
    <w:p w14:paraId="1AC3DFC0" w14:textId="77777777" w:rsidR="00915B95" w:rsidRPr="007A03A5" w:rsidRDefault="00915B95" w:rsidP="00915B95">
      <w:pPr>
        <w:pStyle w:val="Textonotapie"/>
        <w:ind w:firstLine="708"/>
        <w:jc w:val="both"/>
        <w:rPr>
          <w:rFonts w:ascii="Arial" w:hAnsi="Arial" w:cs="Arial"/>
          <w:sz w:val="19"/>
          <w:szCs w:val="19"/>
          <w:lang w:val="es-CO"/>
        </w:rPr>
      </w:pPr>
      <w:r w:rsidRPr="00ED36A1">
        <w:rPr>
          <w:rStyle w:val="Refdenotaalpie"/>
          <w:rFonts w:ascii="Geomanist Light" w:hAnsi="Geomanist Light" w:cs="Arial"/>
          <w:sz w:val="19"/>
          <w:szCs w:val="19"/>
        </w:rPr>
        <w:footnoteRef/>
      </w:r>
      <w:r w:rsidRPr="00ED36A1">
        <w:rPr>
          <w:rFonts w:ascii="Geomanist Light" w:hAnsi="Geomanist Light" w:cs="Arial"/>
          <w:sz w:val="19"/>
          <w:szCs w:val="19"/>
        </w:rPr>
        <w:t xml:space="preserve"> Esta misma regla se infiere de lo establecido en el «Formato 6 – Pagos de seguridad social y aportes legales» para personas naturales, donde se señala que: «El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w:t>
      </w:r>
    </w:p>
  </w:footnote>
  <w:footnote w:id="4">
    <w:p w14:paraId="676B78C7" w14:textId="77777777" w:rsidR="00915B95" w:rsidRPr="00F50E2F" w:rsidRDefault="00915B95" w:rsidP="00915B95">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F50E2F">
        <w:rPr>
          <w:rFonts w:ascii="Arial" w:hAnsi="Arial" w:cs="Arial"/>
          <w:i/>
          <w:iCs/>
          <w:sz w:val="19"/>
          <w:szCs w:val="19"/>
        </w:rPr>
        <w:t>Ibídem</w:t>
      </w:r>
      <w:r w:rsidRPr="00F50E2F">
        <w:rPr>
          <w:rFonts w:ascii="Arial" w:hAnsi="Arial" w:cs="Arial"/>
          <w:sz w:val="19"/>
          <w:szCs w:val="19"/>
        </w:rPr>
        <w:t xml:space="preserve"> </w:t>
      </w:r>
    </w:p>
  </w:footnote>
  <w:footnote w:id="5">
    <w:p w14:paraId="210554B1" w14:textId="77777777" w:rsidR="00915B95" w:rsidRPr="002D2FBE" w:rsidRDefault="00915B95" w:rsidP="00915B95">
      <w:pPr>
        <w:pStyle w:val="Ttulo21"/>
        <w:spacing w:line="240" w:lineRule="auto"/>
        <w:ind w:firstLine="708"/>
        <w:jc w:val="both"/>
        <w:rPr>
          <w:rFonts w:ascii="Verdana" w:eastAsia="Aptos" w:hAnsi="Verdana"/>
          <w:color w:val="auto"/>
          <w:sz w:val="18"/>
          <w:szCs w:val="18"/>
        </w:rPr>
      </w:pPr>
      <w:r w:rsidRPr="00E71BC8">
        <w:rPr>
          <w:rStyle w:val="Refdenotaalpie"/>
          <w:rFonts w:ascii="Verdana" w:hAnsi="Verdana"/>
          <w:sz w:val="18"/>
          <w:szCs w:val="18"/>
        </w:rPr>
        <w:footnoteRef/>
      </w:r>
      <w:r w:rsidRPr="008D6724">
        <w:rPr>
          <w:rFonts w:ascii="Verdana" w:hAnsi="Verdana"/>
          <w:sz w:val="18"/>
          <w:szCs w:val="18"/>
        </w:rPr>
        <w:t xml:space="preserve"> </w:t>
      </w:r>
      <w:bookmarkStart w:id="26" w:name="_Toc176242633"/>
      <w:r w:rsidRPr="002D2FBE">
        <w:rPr>
          <w:rFonts w:ascii="Verdana" w:eastAsia="Aptos" w:hAnsi="Verdana"/>
          <w:color w:val="auto"/>
          <w:sz w:val="18"/>
          <w:szCs w:val="18"/>
        </w:rPr>
        <w:t xml:space="preserve">Documento base de los documentos tipo de licitación de obra pública de infraestructura de </w:t>
      </w:r>
      <w:r>
        <w:rPr>
          <w:rFonts w:ascii="Verdana" w:eastAsia="Aptos" w:hAnsi="Verdana"/>
          <w:color w:val="auto"/>
          <w:sz w:val="18"/>
          <w:szCs w:val="18"/>
        </w:rPr>
        <w:t xml:space="preserve">social </w:t>
      </w:r>
      <w:r w:rsidRPr="002D2FBE">
        <w:rPr>
          <w:rFonts w:ascii="Verdana" w:eastAsia="Aptos" w:hAnsi="Verdana"/>
          <w:color w:val="auto"/>
          <w:sz w:val="18"/>
          <w:szCs w:val="18"/>
        </w:rPr>
        <w:t xml:space="preserve">– versión </w:t>
      </w:r>
      <w:r>
        <w:rPr>
          <w:rFonts w:ascii="Verdana" w:eastAsia="Aptos" w:hAnsi="Verdana"/>
          <w:color w:val="auto"/>
          <w:sz w:val="18"/>
          <w:szCs w:val="18"/>
        </w:rPr>
        <w:t>2</w:t>
      </w:r>
      <w:r w:rsidRPr="002D2FBE">
        <w:rPr>
          <w:rFonts w:ascii="Verdana" w:eastAsia="Aptos" w:hAnsi="Verdana"/>
          <w:color w:val="auto"/>
          <w:sz w:val="18"/>
          <w:szCs w:val="18"/>
        </w:rPr>
        <w:t>, numeral 1.11:</w:t>
      </w:r>
    </w:p>
    <w:p w14:paraId="648EE171" w14:textId="77777777" w:rsidR="00915B95" w:rsidRPr="002D2FBE" w:rsidRDefault="00915B95" w:rsidP="00915B95">
      <w:pPr>
        <w:pStyle w:val="Ttulo21"/>
        <w:spacing w:line="240" w:lineRule="auto"/>
        <w:ind w:firstLine="708"/>
        <w:jc w:val="both"/>
        <w:rPr>
          <w:rFonts w:ascii="Verdana" w:eastAsia="Aptos" w:hAnsi="Verdana"/>
          <w:color w:val="auto"/>
          <w:sz w:val="18"/>
          <w:szCs w:val="18"/>
        </w:rPr>
      </w:pPr>
      <w:r w:rsidRPr="002D2FBE">
        <w:rPr>
          <w:rFonts w:ascii="Verdana" w:eastAsia="Aptos" w:hAnsi="Verdana"/>
          <w:color w:val="auto"/>
          <w:sz w:val="18"/>
          <w:szCs w:val="18"/>
        </w:rPr>
        <w:t>“INFORMACIÓN INEXACTA</w:t>
      </w:r>
      <w:bookmarkEnd w:id="26"/>
      <w:r w:rsidRPr="002D2FBE">
        <w:rPr>
          <w:rFonts w:ascii="Verdana" w:eastAsia="Aptos" w:hAnsi="Verdana"/>
          <w:color w:val="auto"/>
          <w:sz w:val="18"/>
          <w:szCs w:val="18"/>
        </w:rPr>
        <w:t>:</w:t>
      </w:r>
    </w:p>
    <w:p w14:paraId="586B8F68" w14:textId="77777777" w:rsidR="00915B95" w:rsidRPr="008D6724" w:rsidRDefault="00915B95" w:rsidP="00915B95">
      <w:pPr>
        <w:spacing w:line="240" w:lineRule="auto"/>
        <w:ind w:left="708"/>
        <w:jc w:val="both"/>
        <w:rPr>
          <w:rFonts w:ascii="Verdana" w:hAnsi="Verdana"/>
          <w:sz w:val="18"/>
          <w:szCs w:val="18"/>
        </w:rPr>
      </w:pPr>
      <w:r w:rsidRPr="008D6724">
        <w:rPr>
          <w:rFonts w:ascii="Verdana" w:hAnsi="Verdana"/>
          <w:sz w:val="18"/>
          <w:szCs w:val="18"/>
        </w:rPr>
        <w:t xml:space="preserve">La entidad se reserva el derecho de verificar integralmente la información aportada por el proponente. Para esto, puede acudir a las autoridades, personas, empresas o entidades   respectivas. </w:t>
      </w:r>
    </w:p>
    <w:p w14:paraId="31695D14" w14:textId="77777777" w:rsidR="00915B95" w:rsidRPr="008D6724" w:rsidRDefault="00915B95" w:rsidP="00915B95">
      <w:pPr>
        <w:spacing w:line="240" w:lineRule="auto"/>
        <w:ind w:left="708"/>
        <w:jc w:val="both"/>
        <w:rPr>
          <w:rFonts w:ascii="Verdana" w:hAnsi="Verdana"/>
          <w:sz w:val="18"/>
          <w:szCs w:val="18"/>
        </w:rPr>
      </w:pPr>
      <w:r w:rsidRPr="008D6724">
        <w:rPr>
          <w:rFonts w:ascii="Verdana" w:hAnsi="Verdana"/>
          <w:sz w:val="18"/>
          <w:szCs w:val="18"/>
        </w:rPr>
        <w:t xml:space="preserve">Cuando exista inconsistencia entre la información suministrada por el proponente y la verificada por la entidad, la información que pretende demostrar el proponente se tendrá por no acreditada. </w:t>
      </w:r>
    </w:p>
    <w:p w14:paraId="32248901" w14:textId="77777777" w:rsidR="00915B95" w:rsidRPr="008D6724" w:rsidRDefault="00915B95" w:rsidP="00915B95">
      <w:pPr>
        <w:spacing w:line="240" w:lineRule="auto"/>
        <w:ind w:left="708"/>
        <w:jc w:val="both"/>
        <w:rPr>
          <w:rFonts w:ascii="Verdana" w:hAnsi="Verdana"/>
          <w:sz w:val="18"/>
          <w:szCs w:val="18"/>
        </w:rPr>
      </w:pPr>
      <w:r w:rsidRPr="008D6724">
        <w:rPr>
          <w:rFonts w:ascii="Verdana" w:hAnsi="Verdana"/>
          <w:sz w:val="18"/>
          <w:szCs w:val="18"/>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r>
        <w:rPr>
          <w:rFonts w:ascii="Verdana" w:hAnsi="Verdana"/>
          <w:sz w:val="18"/>
          <w:szCs w:val="18"/>
        </w:rPr>
        <w:t>”</w:t>
      </w:r>
      <w:r w:rsidRPr="008D6724">
        <w:rPr>
          <w:rFonts w:ascii="Verdana" w:hAnsi="Verdana"/>
          <w:sz w:val="18"/>
          <w:szCs w:val="18"/>
        </w:rPr>
        <w:t xml:space="preserve">. </w:t>
      </w:r>
    </w:p>
    <w:p w14:paraId="3EA8C2CE" w14:textId="77777777" w:rsidR="00915B95" w:rsidRPr="008D6724" w:rsidRDefault="00915B95" w:rsidP="00915B95">
      <w:pPr>
        <w:pStyle w:val="Textonotapie"/>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1924"/>
    <w:rsid w:val="002C7A84"/>
    <w:rsid w:val="002E2BF8"/>
    <w:rsid w:val="002E4FD9"/>
    <w:rsid w:val="0030657A"/>
    <w:rsid w:val="00322A85"/>
    <w:rsid w:val="00324168"/>
    <w:rsid w:val="00330834"/>
    <w:rsid w:val="00334CE4"/>
    <w:rsid w:val="003448F4"/>
    <w:rsid w:val="00374F5E"/>
    <w:rsid w:val="00376B9D"/>
    <w:rsid w:val="00377E3E"/>
    <w:rsid w:val="003A779E"/>
    <w:rsid w:val="003B5763"/>
    <w:rsid w:val="003D0F4D"/>
    <w:rsid w:val="003D5B0D"/>
    <w:rsid w:val="003E0499"/>
    <w:rsid w:val="003E12AC"/>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16982"/>
    <w:rsid w:val="006200BF"/>
    <w:rsid w:val="006219F8"/>
    <w:rsid w:val="006302F7"/>
    <w:rsid w:val="00646B9F"/>
    <w:rsid w:val="00665D70"/>
    <w:rsid w:val="006900D9"/>
    <w:rsid w:val="006951A6"/>
    <w:rsid w:val="00706C16"/>
    <w:rsid w:val="00707772"/>
    <w:rsid w:val="007340C3"/>
    <w:rsid w:val="00737B6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0365"/>
    <w:rsid w:val="00891928"/>
    <w:rsid w:val="008A446D"/>
    <w:rsid w:val="008B25F1"/>
    <w:rsid w:val="008D180B"/>
    <w:rsid w:val="008F0EA7"/>
    <w:rsid w:val="00915B95"/>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767F"/>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3A39"/>
    <w:rsid w:val="00EA0E3D"/>
    <w:rsid w:val="00EC38A7"/>
    <w:rsid w:val="00EE1AA8"/>
    <w:rsid w:val="00F23FEA"/>
    <w:rsid w:val="00F31EDC"/>
    <w:rsid w:val="00F462B3"/>
    <w:rsid w:val="00F5664F"/>
    <w:rsid w:val="00F666C4"/>
    <w:rsid w:val="00F76AFC"/>
    <w:rsid w:val="00F87151"/>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91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15B95"/>
    <w:pPr>
      <w:spacing w:after="0" w:line="240" w:lineRule="exact"/>
    </w:pPr>
    <w:rPr>
      <w:vertAlign w:val="superscript"/>
    </w:rPr>
  </w:style>
  <w:style w:type="paragraph" w:customStyle="1" w:styleId="Ttulo21">
    <w:name w:val="Título 21"/>
    <w:basedOn w:val="Normal"/>
    <w:next w:val="Normal"/>
    <w:uiPriority w:val="9"/>
    <w:unhideWhenUsed/>
    <w:qFormat/>
    <w:rsid w:val="00915B95"/>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EFD8E2D-8A4F-4B77-B930-15ACA1262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34</Pages>
  <Words>12313</Words>
  <Characters>67722</Characters>
  <Application>Microsoft Office Word</Application>
  <DocSecurity>0</DocSecurity>
  <Lines>564</Lines>
  <Paragraphs>159</Paragraphs>
  <ScaleCrop>false</ScaleCrop>
  <Company/>
  <LinksUpToDate>false</LinksUpToDate>
  <CharactersWithSpaces>79876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2026-10-22T15:28:00Z</dcterms:created>
  <dcterms:modified xsi:type="dcterms:W3CDTF">2026-10-27T13:59:00Z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