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FAFDF" w14:textId="77777777" w:rsidR="00165D29" w:rsidRPr="00165D29" w:rsidRDefault="00165D29" w:rsidP="00165D29">
      <w:pPr>
        <w:spacing w:after="0" w:line="276" w:lineRule="auto"/>
        <w:jc w:val="both"/>
        <w:rPr>
          <w:rFonts w:ascii="Verdana" w:eastAsia="Calibri" w:hAnsi="Verdana" w:cs="Arial"/>
          <w:b/>
          <w:bCs/>
          <w:lang w:val="es-ES_tradnl" w:eastAsia="es-MX"/>
        </w:rPr>
      </w:pPr>
      <w:bookmarkStart w:id="0" w:name="_Hlk143780582"/>
      <w:r w:rsidRPr="00165D29">
        <w:rPr>
          <w:rFonts w:ascii="Verdana" w:eastAsia="Calibri" w:hAnsi="Verdana" w:cs="Arial"/>
          <w:b/>
          <w:bCs/>
          <w:lang w:val="es-ES_tradnl" w:eastAsia="es-MX"/>
        </w:rPr>
        <w:t xml:space="preserve">DOCUMENTOS TIPO – Fundamento normativo – Obligatoriedad </w:t>
      </w:r>
    </w:p>
    <w:p w14:paraId="78FAC1AB" w14:textId="77777777" w:rsidR="00165D29" w:rsidRPr="00165D29" w:rsidRDefault="00165D29" w:rsidP="00165D29">
      <w:pPr>
        <w:spacing w:after="0" w:line="276" w:lineRule="auto"/>
        <w:jc w:val="both"/>
        <w:rPr>
          <w:rFonts w:ascii="Verdana" w:eastAsia="Calibri" w:hAnsi="Verdana" w:cs="Arial"/>
          <w:b/>
          <w:bCs/>
          <w:sz w:val="20"/>
          <w:szCs w:val="20"/>
          <w:lang w:val="es-ES_tradnl" w:eastAsia="es-MX"/>
        </w:rPr>
      </w:pPr>
    </w:p>
    <w:p w14:paraId="46E4BE26" w14:textId="77777777" w:rsidR="00165D29" w:rsidRPr="00165D29" w:rsidRDefault="00165D29" w:rsidP="00165D29">
      <w:pPr>
        <w:tabs>
          <w:tab w:val="left" w:pos="709"/>
        </w:tabs>
        <w:spacing w:after="0" w:line="240" w:lineRule="auto"/>
        <w:jc w:val="both"/>
        <w:rPr>
          <w:rFonts w:ascii="Verdana" w:eastAsia="Calibri" w:hAnsi="Verdana" w:cs="Arial"/>
          <w:sz w:val="20"/>
          <w:szCs w:val="20"/>
          <w:lang w:val="es-ES" w:eastAsia="es-MX"/>
        </w:rPr>
      </w:pPr>
      <w:r w:rsidRPr="00165D29">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05F8967" w14:textId="77777777" w:rsidR="00165D29" w:rsidRPr="00165D29" w:rsidRDefault="00165D29" w:rsidP="00165D29">
      <w:pPr>
        <w:spacing w:after="0" w:line="276" w:lineRule="auto"/>
        <w:jc w:val="both"/>
        <w:rPr>
          <w:rFonts w:ascii="Verdana" w:eastAsia="Calibri" w:hAnsi="Verdana" w:cs="Arial"/>
          <w:b/>
          <w:bCs/>
          <w:lang w:val="es-ES_tradnl" w:eastAsia="es-MX"/>
        </w:rPr>
      </w:pPr>
    </w:p>
    <w:p w14:paraId="7C2706D6" w14:textId="77777777" w:rsidR="00165D29" w:rsidRPr="00165D29" w:rsidRDefault="00165D29" w:rsidP="00165D29">
      <w:pPr>
        <w:widowControl w:val="0"/>
        <w:autoSpaceDE w:val="0"/>
        <w:autoSpaceDN w:val="0"/>
        <w:spacing w:after="0" w:line="276" w:lineRule="auto"/>
        <w:jc w:val="both"/>
        <w:rPr>
          <w:rFonts w:ascii="Verdana" w:eastAsia="Calibri" w:hAnsi="Verdana" w:cs="Times New Roman"/>
          <w:b/>
          <w:bCs/>
          <w:lang w:val="es-ES" w:eastAsia="es-MX"/>
        </w:rPr>
      </w:pPr>
      <w:r w:rsidRPr="00165D29">
        <w:rPr>
          <w:rFonts w:ascii="Verdana" w:eastAsia="Calibri" w:hAnsi="Verdana" w:cs="Arial"/>
          <w:b/>
          <w:bCs/>
          <w:lang w:val="es-ES_tradnl" w:eastAsia="es-MX"/>
        </w:rPr>
        <w:t>SECTOR SOCIAL</w:t>
      </w:r>
      <w:r w:rsidRPr="00165D29">
        <w:rPr>
          <w:rFonts w:ascii="Verdana" w:eastAsia="Calibri" w:hAnsi="Verdana" w:cs="Times New Roman"/>
          <w:lang w:val="es-ES" w:eastAsia="es-MX"/>
        </w:rPr>
        <w:t xml:space="preserve"> </w:t>
      </w:r>
      <w:r w:rsidRPr="00165D29">
        <w:rPr>
          <w:rFonts w:ascii="Verdana" w:eastAsia="Calibri" w:hAnsi="Verdana" w:cs="Times New Roman"/>
          <w:b/>
          <w:bCs/>
          <w:lang w:val="es-ES" w:eastAsia="es-MX"/>
        </w:rPr>
        <w:t>– Documentos tipo – Vigentes</w:t>
      </w:r>
    </w:p>
    <w:p w14:paraId="003E3875" w14:textId="77777777" w:rsidR="00165D29" w:rsidRPr="00165D29" w:rsidRDefault="00165D29" w:rsidP="00165D29">
      <w:pPr>
        <w:widowControl w:val="0"/>
        <w:autoSpaceDE w:val="0"/>
        <w:autoSpaceDN w:val="0"/>
        <w:spacing w:after="0" w:line="276" w:lineRule="auto"/>
        <w:jc w:val="both"/>
        <w:rPr>
          <w:rFonts w:ascii="Verdana" w:eastAsia="Calibri" w:hAnsi="Verdana" w:cs="Times New Roman"/>
          <w:b/>
          <w:bCs/>
          <w:lang w:val="es-ES" w:eastAsia="es-MX"/>
        </w:rPr>
      </w:pPr>
    </w:p>
    <w:p w14:paraId="6E088597"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b/>
          <w:bCs/>
          <w:sz w:val="20"/>
          <w:szCs w:val="20"/>
          <w:lang w:val="es-ES" w:eastAsia="es-MX"/>
        </w:rPr>
      </w:pPr>
      <w:r w:rsidRPr="00165D29">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57F9EEB0" w14:textId="77777777" w:rsidR="00165D29" w:rsidRPr="00165D29" w:rsidRDefault="00165D29" w:rsidP="00165D29">
      <w:pPr>
        <w:widowControl w:val="0"/>
        <w:autoSpaceDE w:val="0"/>
        <w:autoSpaceDN w:val="0"/>
        <w:spacing w:after="0" w:line="276" w:lineRule="auto"/>
        <w:jc w:val="both"/>
        <w:rPr>
          <w:rFonts w:ascii="Verdana" w:eastAsia="Calibri" w:hAnsi="Verdana" w:cs="Times New Roman"/>
          <w:lang w:val="es-ES" w:eastAsia="es-MX"/>
        </w:rPr>
      </w:pPr>
    </w:p>
    <w:p w14:paraId="2A46AF54" w14:textId="77777777" w:rsidR="00165D29" w:rsidRPr="00165D29" w:rsidRDefault="00165D29" w:rsidP="00165D29">
      <w:pPr>
        <w:spacing w:after="0" w:line="276" w:lineRule="auto"/>
        <w:jc w:val="both"/>
        <w:rPr>
          <w:rFonts w:ascii="Verdana" w:eastAsia="Calibri" w:hAnsi="Verdana" w:cs="Times New Roman"/>
          <w:sz w:val="20"/>
          <w:szCs w:val="20"/>
          <w:lang w:val="es-ES" w:eastAsia="es-MX"/>
        </w:rPr>
      </w:pPr>
      <w:r w:rsidRPr="00165D29">
        <w:rPr>
          <w:rFonts w:ascii="Verdana" w:eastAsia="Calibri" w:hAnsi="Verdana" w:cs="Times New Roman"/>
          <w:b/>
          <w:bCs/>
          <w:lang w:val="es-ES" w:eastAsia="es-MX"/>
        </w:rPr>
        <w:t xml:space="preserve">DOCUMENTOS TIPO – Aplicación – Matriz de Experiencia </w:t>
      </w:r>
    </w:p>
    <w:p w14:paraId="74C0F7BD" w14:textId="77777777" w:rsidR="00165D29" w:rsidRPr="00165D29" w:rsidRDefault="00165D29" w:rsidP="00165D29">
      <w:pPr>
        <w:spacing w:after="0" w:line="240" w:lineRule="auto"/>
        <w:rPr>
          <w:rFonts w:ascii="Verdana" w:eastAsia="Geomanist Light" w:hAnsi="Verdana" w:cs="Arial"/>
          <w:lang w:val="es-MX" w:eastAsia="es-MX"/>
        </w:rPr>
      </w:pPr>
    </w:p>
    <w:p w14:paraId="29ECFFC7"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sz w:val="20"/>
          <w:szCs w:val="20"/>
          <w:lang w:val="es-ES" w:eastAsia="es-MX"/>
        </w:rPr>
      </w:pPr>
      <w:r w:rsidRPr="00165D29">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41D4159"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sz w:val="20"/>
          <w:szCs w:val="20"/>
          <w:lang w:val="es-ES" w:eastAsia="es-MX"/>
        </w:rPr>
      </w:pPr>
    </w:p>
    <w:p w14:paraId="7160B4D1"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sz w:val="20"/>
          <w:szCs w:val="20"/>
          <w:lang w:val="es-ES" w:eastAsia="es-MX"/>
        </w:rPr>
      </w:pPr>
      <w:r w:rsidRPr="00165D29">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605ACB0"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sz w:val="20"/>
          <w:szCs w:val="20"/>
          <w:lang w:val="es-ES" w:eastAsia="es-MX"/>
        </w:rPr>
      </w:pPr>
    </w:p>
    <w:p w14:paraId="42BEB208"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b/>
          <w:bCs/>
          <w:lang w:val="es-ES" w:eastAsia="es-MX"/>
        </w:rPr>
      </w:pPr>
      <w:r w:rsidRPr="00165D29">
        <w:rPr>
          <w:rFonts w:ascii="Verdana" w:eastAsia="Calibri" w:hAnsi="Verdana" w:cs="Times New Roman"/>
          <w:b/>
          <w:bCs/>
          <w:lang w:val="es-ES" w:eastAsia="es-MX"/>
        </w:rPr>
        <w:t>DOCUMENTOS TIPO – Sector social – Infraestructura de servicio público – NSR-10</w:t>
      </w:r>
    </w:p>
    <w:p w14:paraId="28C0AB6F"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b/>
          <w:bCs/>
          <w:sz w:val="20"/>
          <w:szCs w:val="20"/>
          <w:lang w:val="es-ES" w:eastAsia="es-MX"/>
        </w:rPr>
      </w:pPr>
    </w:p>
    <w:p w14:paraId="027D8297" w14:textId="77777777" w:rsidR="00165D29" w:rsidRPr="00165D29" w:rsidRDefault="00165D29" w:rsidP="00165D29">
      <w:pPr>
        <w:spacing w:after="0" w:line="240" w:lineRule="auto"/>
        <w:jc w:val="both"/>
        <w:rPr>
          <w:rFonts w:ascii="Verdana" w:eastAsia="Calibri" w:hAnsi="Verdana" w:cs="Arial"/>
          <w:color w:val="0D0D0D"/>
          <w:sz w:val="20"/>
          <w:szCs w:val="20"/>
          <w:lang w:eastAsia="es-MX"/>
        </w:rPr>
      </w:pPr>
      <w:r w:rsidRPr="00165D29">
        <w:rPr>
          <w:rFonts w:ascii="Verdana" w:eastAsia="Calibri" w:hAnsi="Verdana" w:cs="Arial"/>
          <w:sz w:val="20"/>
          <w:szCs w:val="20"/>
          <w:lang w:val="es-ES_tradnl" w:eastAsia="es-MX"/>
        </w:rPr>
        <w:t xml:space="preserve">Como se indicó, las actividades señaladas recaen sobre </w:t>
      </w:r>
      <w:r w:rsidRPr="00165D29">
        <w:rPr>
          <w:rFonts w:ascii="Verdana" w:eastAsia="Times New Roman" w:hAnsi="Verdana" w:cs="Calibri"/>
          <w:sz w:val="20"/>
          <w:szCs w:val="20"/>
          <w:lang w:eastAsia="es-MX"/>
        </w:rPr>
        <w:t xml:space="preserve">obras en proyectos de infraestructura institucional de servicio público. De esta forma, para determinar qué abarca este tipo de infraestructura, debe indicarse que, de conformidad con la norma </w:t>
      </w:r>
      <w:r w:rsidRPr="00165D29">
        <w:rPr>
          <w:rFonts w:ascii="Verdana" w:eastAsia="Calibri" w:hAnsi="Verdana" w:cs="Arial"/>
          <w:color w:val="0D0D0D"/>
          <w:sz w:val="20"/>
          <w:szCs w:val="20"/>
          <w:lang w:eastAsia="es-MX"/>
        </w:rPr>
        <w:lastRenderedPageBreak/>
        <w:t>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2407965A" w14:textId="77777777" w:rsidR="00165D29" w:rsidRPr="00165D29" w:rsidRDefault="00165D29" w:rsidP="00165D29">
      <w:pPr>
        <w:spacing w:after="0" w:line="278" w:lineRule="auto"/>
        <w:jc w:val="both"/>
        <w:rPr>
          <w:rFonts w:ascii="Verdana" w:eastAsia="Calibri" w:hAnsi="Verdana" w:cs="Arial"/>
          <w:color w:val="0D0D0D"/>
          <w:kern w:val="2"/>
          <w:sz w:val="20"/>
          <w:szCs w:val="20"/>
          <w:lang w:eastAsia="es-MX"/>
          <w14:ligatures w14:val="standardContextual"/>
        </w:rPr>
      </w:pPr>
    </w:p>
    <w:p w14:paraId="521FB6B7" w14:textId="77777777" w:rsidR="00165D29" w:rsidRPr="00165D29" w:rsidRDefault="00165D29" w:rsidP="00165D29">
      <w:pPr>
        <w:spacing w:after="0" w:line="240" w:lineRule="auto"/>
        <w:jc w:val="both"/>
        <w:rPr>
          <w:rFonts w:ascii="Verdana" w:eastAsia="Calibri" w:hAnsi="Verdana" w:cs="Arial"/>
          <w:color w:val="0D0D0D"/>
          <w:sz w:val="20"/>
          <w:szCs w:val="20"/>
          <w:lang w:eastAsia="es-MX"/>
        </w:rPr>
      </w:pPr>
      <w:r w:rsidRPr="00165D29">
        <w:rPr>
          <w:rFonts w:ascii="Verdana" w:eastAsia="Calibri" w:hAnsi="Verdana" w:cs="Arial"/>
          <w:color w:val="0D0D0D"/>
          <w:sz w:val="20"/>
          <w:szCs w:val="20"/>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25B167EB"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b/>
          <w:bCs/>
          <w:lang w:val="es-ES" w:eastAsia="es-MX"/>
        </w:rPr>
      </w:pPr>
    </w:p>
    <w:p w14:paraId="21EC6941"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b/>
          <w:bCs/>
          <w:lang w:val="es-ES" w:eastAsia="es-MX"/>
        </w:rPr>
      </w:pPr>
      <w:r w:rsidRPr="00165D29">
        <w:rPr>
          <w:rFonts w:ascii="Verdana" w:eastAsia="Calibri" w:hAnsi="Verdana" w:cs="Times New Roman"/>
          <w:b/>
          <w:bCs/>
          <w:lang w:val="es-ES" w:eastAsia="es-MX"/>
        </w:rPr>
        <w:t xml:space="preserve">INFRAESTRUCTURA DE SERVICIO PÚBLICO – Documentos tipo – Sector – Instituto Nacional de Medicina Legal y Ciencias Forenses – Aplicación </w:t>
      </w:r>
    </w:p>
    <w:p w14:paraId="058EB603" w14:textId="77777777" w:rsidR="00165D29" w:rsidRPr="00165D29" w:rsidRDefault="00165D29" w:rsidP="00165D29">
      <w:pPr>
        <w:widowControl w:val="0"/>
        <w:autoSpaceDE w:val="0"/>
        <w:autoSpaceDN w:val="0"/>
        <w:spacing w:after="0" w:line="240" w:lineRule="auto"/>
        <w:jc w:val="both"/>
        <w:rPr>
          <w:rFonts w:ascii="Verdana" w:eastAsia="Calibri" w:hAnsi="Verdana" w:cs="Times New Roman"/>
          <w:b/>
          <w:bCs/>
          <w:lang w:val="es-ES" w:eastAsia="es-MX"/>
        </w:rPr>
      </w:pPr>
    </w:p>
    <w:p w14:paraId="4EE94AEF" w14:textId="77777777" w:rsidR="00165D29" w:rsidRPr="00165D29" w:rsidRDefault="00165D29" w:rsidP="00165D29">
      <w:pPr>
        <w:spacing w:after="0" w:line="240" w:lineRule="auto"/>
        <w:jc w:val="both"/>
        <w:rPr>
          <w:rFonts w:ascii="Verdana" w:eastAsia="Calibri" w:hAnsi="Verdana" w:cs="Arial"/>
          <w:color w:val="000000"/>
          <w:sz w:val="20"/>
          <w:szCs w:val="20"/>
          <w:lang w:eastAsia="es-MX"/>
        </w:rPr>
      </w:pPr>
      <w:r w:rsidRPr="00165D29">
        <w:rPr>
          <w:rFonts w:ascii="Verdana" w:eastAsia="Calibri" w:hAnsi="Verdana" w:cs="Arial"/>
          <w:color w:val="000000"/>
          <w:sz w:val="20"/>
          <w:szCs w:val="20"/>
          <w:lang w:eastAsia="es-MX"/>
        </w:rPr>
        <w:t xml:space="preserve">Considerando que el Instituto Nacional de Medicina Legal y Ciencias Forenses pertenece a la Rama Judicial y se encuentra adscrito a la Fiscalía General de la Nación, y que su </w:t>
      </w:r>
      <w:r w:rsidRPr="00165D29">
        <w:rPr>
          <w:rFonts w:ascii="Verdana" w:eastAsia="Calibri" w:hAnsi="Verdana" w:cs="Arial"/>
          <w:i/>
          <w:iCs/>
          <w:color w:val="000000"/>
          <w:sz w:val="20"/>
          <w:szCs w:val="20"/>
          <w:lang w:eastAsia="es-MX"/>
        </w:rPr>
        <w:t>“(…) misión</w:t>
      </w:r>
      <w:r w:rsidRPr="00165D29">
        <w:rPr>
          <w:rFonts w:ascii="Verdana" w:eastAsia="Aptos" w:hAnsi="Verdana" w:cs="Times New Roman"/>
          <w:i/>
          <w:iCs/>
          <w:color w:val="000000"/>
          <w:kern w:val="2"/>
          <w:sz w:val="20"/>
          <w:szCs w:val="20"/>
          <w:shd w:val="clear" w:color="auto" w:fill="FFFFFF"/>
          <w14:ligatures w14:val="standardContextual"/>
        </w:rPr>
        <w:t xml:space="preserve"> fundamental (…) es prestar auxilio y soporte científico y técnico a la administración de justicia en todo el territorio nacional, en lo concerniente a medicina legal y las ciencias forenses”</w:t>
      </w:r>
      <w:r w:rsidRPr="00165D29">
        <w:rPr>
          <w:rFonts w:ascii="Verdana" w:eastAsia="Calibri" w:hAnsi="Verdana" w:cs="Arial"/>
          <w:i/>
          <w:iCs/>
          <w:color w:val="000000"/>
          <w:sz w:val="20"/>
          <w:szCs w:val="20"/>
          <w:lang w:eastAsia="es-MX"/>
        </w:rPr>
        <w:t>;</w:t>
      </w:r>
      <w:r w:rsidRPr="00165D29">
        <w:rPr>
          <w:rFonts w:ascii="Verdana" w:eastAsia="Calibri" w:hAnsi="Verdana" w:cs="Arial"/>
          <w:color w:val="000000"/>
          <w:sz w:val="20"/>
          <w:szCs w:val="20"/>
          <w:lang w:eastAsia="es-MX"/>
        </w:rPr>
        <w:t xml:space="preserve"> bajo este contexto, las actividades desarrolladas por el Instituto revisten la naturaleza de un servicio asociado a la administración de justicia, en la medida en que realiza labores médico-legales, periciales, científicas, extra-periciales, entre otras, requeridas por los jueces, fiscales, policía judicial, defensoría pública y demás autoridades competentes en todo el territorio nacional. </w:t>
      </w:r>
    </w:p>
    <w:p w14:paraId="66EC955A" w14:textId="77777777" w:rsidR="00165D29" w:rsidRPr="00165D29" w:rsidRDefault="00165D29" w:rsidP="00165D29">
      <w:pPr>
        <w:spacing w:after="0" w:line="240" w:lineRule="auto"/>
        <w:jc w:val="both"/>
        <w:rPr>
          <w:rFonts w:ascii="Verdana" w:eastAsia="Calibri" w:hAnsi="Verdana" w:cs="Arial"/>
          <w:color w:val="000000"/>
          <w:sz w:val="20"/>
          <w:szCs w:val="20"/>
          <w:lang w:eastAsia="es-MX"/>
        </w:rPr>
      </w:pPr>
    </w:p>
    <w:p w14:paraId="1D2A986E" w14:textId="77777777" w:rsidR="00165D29" w:rsidRPr="00165D29" w:rsidRDefault="00165D29" w:rsidP="00165D29">
      <w:pPr>
        <w:spacing w:after="0" w:line="240" w:lineRule="auto"/>
        <w:jc w:val="both"/>
        <w:rPr>
          <w:rFonts w:ascii="Verdana" w:eastAsia="Calibri" w:hAnsi="Verdana" w:cs="Arial"/>
          <w:color w:val="000000"/>
          <w:sz w:val="20"/>
          <w:szCs w:val="20"/>
          <w:lang w:eastAsia="es-MX"/>
        </w:rPr>
      </w:pPr>
      <w:r w:rsidRPr="00165D29">
        <w:rPr>
          <w:rFonts w:ascii="Verdana" w:eastAsia="Calibri" w:hAnsi="Verdana" w:cs="Arial"/>
          <w:color w:val="000000"/>
          <w:sz w:val="20"/>
          <w:szCs w:val="20"/>
          <w:lang w:eastAsia="es-MX"/>
        </w:rPr>
        <w:t>Teniendo en cuenta la naturaleza jurídica, funcional y misional del Instituto Nacional de Medicina Legal y Ciencias Forenses, así como el uso y la destinación de sus edificaciones, orientadas al ejercicio de funciones asociadas al auxilio y soporte científico y técnico a la administración de justicia, estas deben clasificarse dentro del Subgrupo de Ocupación Institucional de Servicio Público. En consecuencia, les resultan aplicables los documentos tipo del sector institucional, particularmente las actividades contenidas en el capítulo 2 “Obras en proyectos de infraestructura institucional de servicio público”.</w:t>
      </w:r>
    </w:p>
    <w:p w14:paraId="06267BAC" w14:textId="77777777" w:rsidR="00165D29" w:rsidRPr="00165D29" w:rsidRDefault="00165D29" w:rsidP="00165D29">
      <w:pPr>
        <w:spacing w:after="0" w:line="240" w:lineRule="auto"/>
        <w:jc w:val="both"/>
        <w:rPr>
          <w:rFonts w:ascii="Verdana" w:eastAsia="Calibri" w:hAnsi="Verdana" w:cs="Arial"/>
          <w:color w:val="000000"/>
          <w:sz w:val="20"/>
          <w:szCs w:val="20"/>
          <w:lang w:eastAsia="es-MX"/>
        </w:rPr>
      </w:pPr>
    </w:p>
    <w:p w14:paraId="0D632272" w14:textId="77777777" w:rsidR="00165D29" w:rsidRPr="00165D29" w:rsidRDefault="00165D29" w:rsidP="00165D29">
      <w:pPr>
        <w:spacing w:after="0" w:line="240" w:lineRule="auto"/>
        <w:jc w:val="both"/>
        <w:rPr>
          <w:rFonts w:ascii="Verdana" w:eastAsia="Calibri" w:hAnsi="Verdana" w:cs="Arial"/>
          <w:b/>
          <w:bCs/>
          <w:kern w:val="2"/>
          <w:lang w:eastAsia="es-ES_tradnl"/>
          <w14:ligatures w14:val="standardContextual"/>
        </w:rPr>
      </w:pPr>
      <w:r w:rsidRPr="00165D29">
        <w:rPr>
          <w:rFonts w:ascii="Verdana" w:eastAsia="Calibri" w:hAnsi="Verdana" w:cs="Arial"/>
          <w:b/>
          <w:bCs/>
          <w:kern w:val="2"/>
          <w:lang w:eastAsia="es-ES_tradnl"/>
          <w14:ligatures w14:val="standardContextual"/>
        </w:rPr>
        <w:t>DOCUMENTOS TIPO – Sector institucional – Infraestructura de servicio público – Actividad de mantenimiento – Subestaciones eléctricas – Motobombas – Tanques de almacenamiento – Sistemas de bombeo</w:t>
      </w:r>
    </w:p>
    <w:p w14:paraId="2F2D224B" w14:textId="77777777" w:rsidR="00165D29" w:rsidRPr="00165D29" w:rsidRDefault="00165D29" w:rsidP="00165D29">
      <w:pPr>
        <w:spacing w:after="0" w:line="240" w:lineRule="auto"/>
        <w:jc w:val="both"/>
        <w:rPr>
          <w:rFonts w:ascii="Verdana" w:eastAsia="Calibri" w:hAnsi="Verdana" w:cs="Arial"/>
          <w:kern w:val="2"/>
          <w:sz w:val="20"/>
          <w:szCs w:val="20"/>
          <w:lang w:eastAsia="es-ES_tradnl"/>
          <w14:ligatures w14:val="standardContextual"/>
        </w:rPr>
      </w:pPr>
    </w:p>
    <w:p w14:paraId="71895788" w14:textId="77777777" w:rsidR="00165D29" w:rsidRPr="00165D29" w:rsidRDefault="00165D29" w:rsidP="00165D29">
      <w:pPr>
        <w:snapToGrid w:val="0"/>
        <w:spacing w:after="0" w:line="240" w:lineRule="auto"/>
        <w:jc w:val="both"/>
        <w:textAlignment w:val="baseline"/>
        <w:rPr>
          <w:rFonts w:ascii="Verdana" w:eastAsia="Times New Roman" w:hAnsi="Verdana" w:cs="Arial"/>
          <w:color w:val="000000"/>
          <w:kern w:val="2"/>
          <w:sz w:val="20"/>
          <w:szCs w:val="20"/>
          <w:lang w:val="es-ES" w:eastAsia="es-MX"/>
          <w14:ligatures w14:val="standardContextual"/>
        </w:rPr>
      </w:pPr>
      <w:r w:rsidRPr="00165D29">
        <w:rPr>
          <w:rFonts w:ascii="Verdana" w:eastAsia="Times New Roman" w:hAnsi="Verdana" w:cs="Arial"/>
          <w:color w:val="000000"/>
          <w:kern w:val="2"/>
          <w:sz w:val="20"/>
          <w:szCs w:val="20"/>
          <w:lang w:val="es-ES" w:eastAsia="es-MX"/>
          <w14:ligatures w14:val="standardContextual"/>
        </w:rPr>
        <w:t xml:space="preserve">En su solicitud se indaga sobre la aplicación de los Documentos Tipo del Sector Institucional – Infraestructura institucional de servicio público, para realizar el mantenimiento o instalación de sistemas o equipos como subestaciones eléctricas, </w:t>
      </w:r>
      <w:r w:rsidRPr="00165D29">
        <w:rPr>
          <w:rFonts w:ascii="Verdana" w:eastAsia="Times New Roman" w:hAnsi="Verdana" w:cs="Arial"/>
          <w:color w:val="000000"/>
          <w:kern w:val="2"/>
          <w:sz w:val="20"/>
          <w:szCs w:val="20"/>
          <w:lang w:val="es-ES" w:eastAsia="es-MX"/>
          <w14:ligatures w14:val="standardContextual"/>
        </w:rPr>
        <w:lastRenderedPageBreak/>
        <w:t xml:space="preserve">motobombas, redes contra incendios, almacenamiento, sistemas de bombeo, tanques de almacenamiento, aires acondicionados y líneas telefónicas.  De esta forma, resulta pertinente establecer qué actividades de los Documentos Tipo mencionados recaen sobre los elementos indicados y si estas resultan adecuadas para adelantar el proceso que requiere la entidad. </w:t>
      </w:r>
    </w:p>
    <w:p w14:paraId="3CEFF6C4" w14:textId="77777777" w:rsidR="00165D29" w:rsidRPr="00165D29" w:rsidRDefault="00165D29" w:rsidP="00165D29">
      <w:pPr>
        <w:spacing w:after="0" w:line="240" w:lineRule="auto"/>
        <w:jc w:val="both"/>
        <w:rPr>
          <w:rFonts w:ascii="Verdana" w:eastAsia="Aptos" w:hAnsi="Verdana" w:cs="Times New Roman"/>
          <w:color w:val="000000"/>
          <w:kern w:val="2"/>
          <w:sz w:val="20"/>
          <w:szCs w:val="20"/>
          <w:lang w:eastAsia="es-CO"/>
          <w14:ligatures w14:val="standardContextual"/>
        </w:rPr>
      </w:pPr>
    </w:p>
    <w:p w14:paraId="5CDA8881" w14:textId="77777777" w:rsidR="00165D29" w:rsidRPr="00165D29" w:rsidRDefault="00165D29" w:rsidP="00165D29">
      <w:pPr>
        <w:spacing w:after="0" w:line="240" w:lineRule="auto"/>
        <w:jc w:val="both"/>
        <w:rPr>
          <w:rFonts w:ascii="Verdana" w:eastAsia="Aptos" w:hAnsi="Verdana" w:cs="Times New Roman"/>
          <w:color w:val="000000"/>
          <w:kern w:val="2"/>
          <w:sz w:val="20"/>
          <w:szCs w:val="20"/>
          <w:lang w:eastAsia="es-CO"/>
          <w14:ligatures w14:val="standardContextual"/>
        </w:rPr>
      </w:pPr>
      <w:r w:rsidRPr="00165D29">
        <w:rPr>
          <w:rFonts w:ascii="Verdana" w:eastAsia="Times New Roman" w:hAnsi="Verdana" w:cs="Times New Roman"/>
          <w:color w:val="000000"/>
          <w:kern w:val="2"/>
          <w:sz w:val="20"/>
          <w:szCs w:val="20"/>
          <w:lang w:eastAsia="es-CO"/>
          <w14:ligatures w14:val="standardContextual"/>
        </w:rPr>
        <w:t>(…)</w:t>
      </w:r>
    </w:p>
    <w:p w14:paraId="46B3ABC2" w14:textId="77777777" w:rsidR="00165D29" w:rsidRPr="00165D29" w:rsidRDefault="00165D29" w:rsidP="00165D29">
      <w:pPr>
        <w:spacing w:after="0" w:line="240" w:lineRule="auto"/>
        <w:jc w:val="both"/>
        <w:rPr>
          <w:rFonts w:ascii="Verdana" w:eastAsia="Times New Roman" w:hAnsi="Verdana" w:cs="Times New Roman"/>
          <w:color w:val="000000"/>
          <w:kern w:val="2"/>
          <w:sz w:val="20"/>
          <w:szCs w:val="20"/>
          <w:lang w:eastAsia="es-CO"/>
          <w14:ligatures w14:val="standardContextual"/>
        </w:rPr>
      </w:pPr>
    </w:p>
    <w:p w14:paraId="75D104B8" w14:textId="77777777" w:rsidR="00165D29" w:rsidRPr="00165D29" w:rsidRDefault="00165D29" w:rsidP="00165D29">
      <w:pPr>
        <w:spacing w:after="0" w:line="240" w:lineRule="auto"/>
        <w:jc w:val="both"/>
        <w:rPr>
          <w:rFonts w:ascii="Verdana" w:eastAsia="Times New Roman" w:hAnsi="Verdana" w:cs="Times New Roman"/>
          <w:color w:val="000000"/>
          <w:kern w:val="2"/>
          <w:sz w:val="20"/>
          <w:szCs w:val="20"/>
          <w:lang w:eastAsia="es-CO"/>
          <w14:ligatures w14:val="standardContextual"/>
        </w:rPr>
      </w:pPr>
      <w:r w:rsidRPr="00165D29">
        <w:rPr>
          <w:rFonts w:ascii="Verdana" w:eastAsia="Times New Roman" w:hAnsi="Verdana" w:cs="Times New Roman"/>
          <w:color w:val="000000"/>
          <w:kern w:val="2"/>
          <w:sz w:val="20"/>
          <w:szCs w:val="20"/>
          <w:lang w:eastAsia="es-CO"/>
          <w14:ligatures w14:val="standardContextual"/>
        </w:rPr>
        <w:t xml:space="preserve">Como se aprecia, las actividades indicadas aplican a los procesos que adelanten las entidades obligadas a utilizar los documentos tipo, cuando correspondan —para efectos de su solicitud— al mantenimiento de: i) tanques de almacenamiento y/o sistemas de bombeo y/o redes contra incendios (actividad 2.6); </w:t>
      </w:r>
      <w:proofErr w:type="spellStart"/>
      <w:r w:rsidRPr="00165D29">
        <w:rPr>
          <w:rFonts w:ascii="Verdana" w:eastAsia="Times New Roman" w:hAnsi="Verdana" w:cs="Times New Roman"/>
          <w:color w:val="000000"/>
          <w:kern w:val="2"/>
          <w:sz w:val="20"/>
          <w:szCs w:val="20"/>
          <w:lang w:eastAsia="es-CO"/>
          <w14:ligatures w14:val="standardContextual"/>
        </w:rPr>
        <w:t>ii</w:t>
      </w:r>
      <w:proofErr w:type="spellEnd"/>
      <w:r w:rsidRPr="00165D29">
        <w:rPr>
          <w:rFonts w:ascii="Verdana" w:eastAsia="Times New Roman" w:hAnsi="Verdana" w:cs="Times New Roman"/>
          <w:color w:val="000000"/>
          <w:kern w:val="2"/>
          <w:sz w:val="20"/>
          <w:szCs w:val="20"/>
          <w:lang w:eastAsia="es-CO"/>
          <w14:ligatures w14:val="standardContextual"/>
        </w:rPr>
        <w:t>) plantas eléctricas y/o subestaciones y/o redes de telefonía (actividad 2.9). Asimismo, dentro de las actividades señaladas se incluye el suministro e instalación de sistemas de aire acondicionado, sistemas de ventilación o similares sobre infraestructura de servicio público (actividad 2.14).</w:t>
      </w:r>
    </w:p>
    <w:p w14:paraId="6EAEFF7A" w14:textId="77777777" w:rsidR="00165D29" w:rsidRPr="00165D29" w:rsidRDefault="00165D29" w:rsidP="00165D29">
      <w:pPr>
        <w:spacing w:after="0" w:line="240" w:lineRule="auto"/>
        <w:jc w:val="both"/>
        <w:rPr>
          <w:rFonts w:ascii="Verdana" w:eastAsia="Aptos" w:hAnsi="Verdana" w:cs="Times New Roman"/>
          <w:color w:val="000000"/>
          <w:kern w:val="2"/>
          <w:sz w:val="24"/>
          <w:szCs w:val="24"/>
          <w:lang w:eastAsia="es-CO"/>
          <w14:ligatures w14:val="standardContextual"/>
        </w:rPr>
      </w:pPr>
    </w:p>
    <w:p w14:paraId="4A8BD618" w14:textId="77777777" w:rsidR="00165D29" w:rsidRPr="00165D29" w:rsidRDefault="00165D29" w:rsidP="00165D29">
      <w:pPr>
        <w:spacing w:after="0" w:line="240" w:lineRule="auto"/>
        <w:jc w:val="both"/>
        <w:rPr>
          <w:rFonts w:ascii="Verdana" w:eastAsia="Aptos" w:hAnsi="Verdana" w:cs="Arial"/>
          <w:b/>
          <w:bCs/>
          <w:kern w:val="2"/>
          <w:lang w:val="es-ES_tradnl" w:eastAsia="es-ES" w:bidi="es-ES"/>
          <w14:ligatures w14:val="standardContextual"/>
        </w:rPr>
      </w:pPr>
      <w:r w:rsidRPr="00165D29">
        <w:rPr>
          <w:rFonts w:ascii="Verdana" w:eastAsia="Arial" w:hAnsi="Verdana" w:cs="Arial"/>
          <w:b/>
          <w:kern w:val="2"/>
          <w:lang w:val="es-ES"/>
          <w14:ligatures w14:val="standardContextual"/>
        </w:rPr>
        <w:t>PRINCIPIO DE PUBLICIDAD – Concepto – Fundamento axiológico – Fundamento constitucional</w:t>
      </w:r>
      <w:r w:rsidRPr="00165D29">
        <w:rPr>
          <w:rFonts w:ascii="Verdana" w:eastAsia="Aptos" w:hAnsi="Verdana" w:cs="Arial"/>
          <w:b/>
          <w:bCs/>
          <w:kern w:val="2"/>
          <w:lang w:val="es-ES_tradnl" w:eastAsia="es-ES" w:bidi="es-ES"/>
          <w14:ligatures w14:val="standardContextual"/>
        </w:rPr>
        <w:t xml:space="preserve"> </w:t>
      </w:r>
    </w:p>
    <w:p w14:paraId="71A12A69" w14:textId="77777777" w:rsidR="00165D29" w:rsidRPr="00165D29" w:rsidRDefault="00165D29" w:rsidP="00165D29">
      <w:pPr>
        <w:spacing w:after="0" w:line="240" w:lineRule="auto"/>
        <w:jc w:val="both"/>
        <w:rPr>
          <w:rFonts w:ascii="Verdana" w:eastAsia="Aptos" w:hAnsi="Verdana" w:cs="Arial"/>
          <w:b/>
          <w:bCs/>
          <w:kern w:val="2"/>
          <w:sz w:val="24"/>
          <w:szCs w:val="24"/>
          <w:lang w:val="es-ES_tradnl" w:eastAsia="es-ES" w:bidi="es-ES"/>
          <w14:ligatures w14:val="standardContextual"/>
        </w:rPr>
      </w:pPr>
    </w:p>
    <w:p w14:paraId="4EE4FA3A" w14:textId="77777777" w:rsidR="00165D29" w:rsidRPr="00165D29" w:rsidRDefault="00165D29" w:rsidP="00165D29">
      <w:pPr>
        <w:spacing w:after="0" w:line="240" w:lineRule="auto"/>
        <w:jc w:val="both"/>
        <w:rPr>
          <w:rFonts w:ascii="Verdana" w:eastAsia="Aptos" w:hAnsi="Verdana" w:cs="Arial"/>
          <w:bCs/>
          <w:kern w:val="2"/>
          <w:sz w:val="20"/>
          <w:szCs w:val="20"/>
          <w:lang w:val="es-ES" w:eastAsia="es-ES" w:bidi="es-ES"/>
          <w14:ligatures w14:val="standardContextual"/>
        </w:rPr>
      </w:pPr>
      <w:r w:rsidRPr="00165D29">
        <w:rPr>
          <w:rFonts w:ascii="Verdana" w:eastAsia="Aptos" w:hAnsi="Verdana" w:cs="Arial"/>
          <w:bCs/>
          <w:kern w:val="2"/>
          <w:sz w:val="20"/>
          <w:szCs w:val="20"/>
          <w:lang w:val="es-ES" w:eastAsia="es-ES" w:bidi="es-ES"/>
          <w14:ligatures w14:val="standardContextual"/>
        </w:rPr>
        <w:t xml:space="preserve">Uno de los postulados más importantes de un Estado Social y Democrático de Derecho es el principio de </w:t>
      </w:r>
      <w:r w:rsidRPr="00165D29">
        <w:rPr>
          <w:rFonts w:ascii="Verdana" w:eastAsia="Aptos" w:hAnsi="Verdana" w:cs="Arial"/>
          <w:bCs/>
          <w:i/>
          <w:iCs/>
          <w:kern w:val="2"/>
          <w:sz w:val="20"/>
          <w:szCs w:val="20"/>
          <w:lang w:val="es-ES" w:eastAsia="es-ES" w:bidi="es-ES"/>
          <w14:ligatures w14:val="standardContextual"/>
        </w:rPr>
        <w:t>publicidad</w:t>
      </w:r>
      <w:r w:rsidRPr="00165D29">
        <w:rPr>
          <w:rFonts w:ascii="Verdana" w:eastAsia="Aptos" w:hAnsi="Verdana" w:cs="Arial"/>
          <w:bCs/>
          <w:kern w:val="2"/>
          <w:sz w:val="20"/>
          <w:szCs w:val="20"/>
          <w:lang w:val="es-ES" w:eastAsia="es-ES" w:bidi="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w:t>
      </w:r>
    </w:p>
    <w:p w14:paraId="4160551E" w14:textId="77777777" w:rsidR="00165D29" w:rsidRPr="00165D29" w:rsidRDefault="00165D29" w:rsidP="00165D29">
      <w:pPr>
        <w:spacing w:after="0" w:line="240" w:lineRule="auto"/>
        <w:jc w:val="both"/>
        <w:rPr>
          <w:rFonts w:ascii="Verdana" w:eastAsia="Aptos" w:hAnsi="Verdana" w:cs="Arial"/>
          <w:bCs/>
          <w:kern w:val="2"/>
          <w:sz w:val="20"/>
          <w:szCs w:val="20"/>
          <w:lang w:val="es-ES" w:eastAsia="es-ES" w:bidi="es-ES"/>
          <w14:ligatures w14:val="standardContextual"/>
        </w:rPr>
      </w:pPr>
      <w:r w:rsidRPr="00165D29">
        <w:rPr>
          <w:rFonts w:ascii="Verdana" w:eastAsia="Aptos" w:hAnsi="Verdana" w:cs="Arial"/>
          <w:bCs/>
          <w:kern w:val="2"/>
          <w:sz w:val="20"/>
          <w:szCs w:val="20"/>
          <w:lang w:val="es-ES" w:eastAsia="es-ES" w:bidi="es-ES"/>
          <w14:ligatures w14:val="standardContextual"/>
        </w:rPr>
        <w:t xml:space="preserve"> </w:t>
      </w:r>
    </w:p>
    <w:p w14:paraId="27AE35C5" w14:textId="77777777" w:rsidR="00165D29" w:rsidRPr="00165D29" w:rsidRDefault="00165D29" w:rsidP="00165D29">
      <w:pPr>
        <w:spacing w:after="0" w:line="240" w:lineRule="auto"/>
        <w:jc w:val="both"/>
        <w:rPr>
          <w:rFonts w:ascii="Verdana" w:eastAsia="Aptos" w:hAnsi="Verdana" w:cs="Arial"/>
          <w:bCs/>
          <w:kern w:val="2"/>
          <w:sz w:val="20"/>
          <w:szCs w:val="20"/>
          <w:lang w:val="es-ES" w:eastAsia="es-ES" w:bidi="es-ES"/>
          <w14:ligatures w14:val="standardContextual"/>
        </w:rPr>
      </w:pPr>
      <w:r w:rsidRPr="00165D29">
        <w:rPr>
          <w:rFonts w:ascii="Verdana" w:eastAsia="Aptos" w:hAnsi="Verdana" w:cs="Arial"/>
          <w:bCs/>
          <w:kern w:val="2"/>
          <w:sz w:val="20"/>
          <w:szCs w:val="20"/>
          <w:lang w:val="es-ES" w:eastAsia="es-ES" w:bidi="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6151802F" w14:textId="77777777" w:rsidR="00165D29" w:rsidRPr="00165D29" w:rsidRDefault="00165D29" w:rsidP="00165D29">
      <w:pPr>
        <w:spacing w:after="0" w:line="240" w:lineRule="auto"/>
        <w:jc w:val="both"/>
        <w:rPr>
          <w:rFonts w:ascii="Verdana" w:eastAsia="Aptos" w:hAnsi="Verdana" w:cs="Arial"/>
          <w:b/>
          <w:bCs/>
          <w:kern w:val="2"/>
          <w:sz w:val="24"/>
          <w:szCs w:val="24"/>
          <w:lang w:val="es-ES" w:eastAsia="es-ES" w:bidi="es-ES"/>
          <w14:ligatures w14:val="standardContextual"/>
        </w:rPr>
      </w:pPr>
    </w:p>
    <w:p w14:paraId="0EAF7F11" w14:textId="77777777" w:rsidR="00165D29" w:rsidRPr="00165D29" w:rsidRDefault="00165D29" w:rsidP="00165D29">
      <w:pPr>
        <w:spacing w:after="0" w:line="240" w:lineRule="auto"/>
        <w:jc w:val="both"/>
        <w:rPr>
          <w:rFonts w:ascii="Verdana" w:eastAsia="Aptos" w:hAnsi="Verdana" w:cs="Arial"/>
          <w:b/>
          <w:bCs/>
          <w:kern w:val="2"/>
          <w:lang w:val="es-ES_tradnl" w:eastAsia="es-ES" w:bidi="es-ES"/>
          <w14:ligatures w14:val="standardContextual"/>
        </w:rPr>
      </w:pPr>
      <w:r w:rsidRPr="00165D29">
        <w:rPr>
          <w:rFonts w:ascii="Verdana" w:eastAsia="Aptos" w:hAnsi="Verdana" w:cs="Arial"/>
          <w:b/>
          <w:bCs/>
          <w:kern w:val="2"/>
          <w:lang w:val="es-ES_tradnl" w:eastAsia="es-ES" w:bidi="es-ES"/>
          <w14:ligatures w14:val="standardContextual"/>
        </w:rPr>
        <w:t xml:space="preserve">PRINCIPIO DE PUBLICIDAD – SECOP – Documentos del proceso – Deber de publicación </w:t>
      </w:r>
    </w:p>
    <w:p w14:paraId="7DAA698B" w14:textId="77777777" w:rsidR="00165D29" w:rsidRPr="00165D29" w:rsidRDefault="00165D29" w:rsidP="00165D29">
      <w:pPr>
        <w:spacing w:after="0" w:line="240" w:lineRule="auto"/>
        <w:jc w:val="both"/>
        <w:rPr>
          <w:rFonts w:ascii="Verdana" w:eastAsia="Aptos" w:hAnsi="Verdana" w:cs="Arial"/>
          <w:b/>
          <w:bCs/>
          <w:kern w:val="2"/>
          <w:sz w:val="24"/>
          <w:szCs w:val="24"/>
          <w:lang w:val="es-ES_tradnl" w:eastAsia="es-ES" w:bidi="es-ES"/>
          <w14:ligatures w14:val="standardContextual"/>
        </w:rPr>
      </w:pPr>
    </w:p>
    <w:p w14:paraId="0D9FE672" w14:textId="77777777" w:rsidR="00165D29" w:rsidRPr="00165D29" w:rsidRDefault="00165D29" w:rsidP="00165D29">
      <w:pPr>
        <w:spacing w:after="0" w:line="240" w:lineRule="auto"/>
        <w:jc w:val="both"/>
        <w:rPr>
          <w:rFonts w:ascii="Verdana" w:eastAsia="Aptos" w:hAnsi="Verdana" w:cs="Arial"/>
          <w:bCs/>
          <w:kern w:val="2"/>
          <w:sz w:val="20"/>
          <w:szCs w:val="20"/>
          <w:lang w:eastAsia="es-ES" w:bidi="es-ES"/>
          <w14:ligatures w14:val="standardContextual"/>
        </w:rPr>
      </w:pPr>
      <w:r w:rsidRPr="00165D29">
        <w:rPr>
          <w:rFonts w:ascii="Verdana" w:eastAsia="Aptos" w:hAnsi="Verdana" w:cs="Arial"/>
          <w:bCs/>
          <w:kern w:val="2"/>
          <w:sz w:val="20"/>
          <w:szCs w:val="20"/>
          <w:lang w:eastAsia="es-ES" w:bidi="es-ES"/>
          <w14:ligatures w14:val="standardContextual"/>
        </w:rPr>
        <w:t xml:space="preserve">La expresión </w:t>
      </w:r>
      <w:r w:rsidRPr="00165D29">
        <w:rPr>
          <w:rFonts w:ascii="Verdana" w:eastAsia="Aptos" w:hAnsi="Verdana" w:cs="Arial"/>
          <w:bCs/>
          <w:i/>
          <w:iCs/>
          <w:kern w:val="2"/>
          <w:sz w:val="20"/>
          <w:szCs w:val="20"/>
          <w:lang w:eastAsia="es-ES" w:bidi="es-ES"/>
          <w14:ligatures w14:val="standardContextual"/>
        </w:rPr>
        <w:t xml:space="preserve">Documentos del Proceso </w:t>
      </w:r>
      <w:r w:rsidRPr="00165D29">
        <w:rPr>
          <w:rFonts w:ascii="Verdana" w:eastAsia="Aptos" w:hAnsi="Verdana" w:cs="Arial"/>
          <w:bCs/>
          <w:kern w:val="2"/>
          <w:sz w:val="20"/>
          <w:szCs w:val="20"/>
          <w:lang w:eastAsia="es-ES" w:bidi="es-ES"/>
          <w14:ligatures w14:val="standardContextual"/>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165D29">
        <w:rPr>
          <w:rFonts w:ascii="Verdana" w:eastAsia="Aptos" w:hAnsi="Verdana" w:cs="Arial"/>
          <w:bCs/>
          <w:i/>
          <w:iCs/>
          <w:kern w:val="2"/>
          <w:sz w:val="20"/>
          <w:szCs w:val="20"/>
          <w:lang w:eastAsia="es-ES" w:bidi="es-ES"/>
          <w14:ligatures w14:val="standardContextual"/>
        </w:rPr>
        <w:t xml:space="preserve">y cualquier otro </w:t>
      </w:r>
      <w:r w:rsidRPr="00165D29">
        <w:rPr>
          <w:rFonts w:ascii="Verdana" w:eastAsia="Aptos" w:hAnsi="Verdana" w:cs="Arial"/>
          <w:bCs/>
          <w:i/>
          <w:iCs/>
          <w:kern w:val="2"/>
          <w:sz w:val="20"/>
          <w:szCs w:val="20"/>
          <w:lang w:eastAsia="es-ES" w:bidi="es-ES"/>
          <w14:ligatures w14:val="standardContextual"/>
        </w:rPr>
        <w:lastRenderedPageBreak/>
        <w:t>documento expedido por la Entidad Estatal durante el Proceso de Contratación</w:t>
      </w:r>
      <w:r w:rsidRPr="00165D29">
        <w:rPr>
          <w:rFonts w:ascii="Verdana" w:eastAsia="Aptos" w:hAnsi="Verdana" w:cs="Arial"/>
          <w:bCs/>
          <w:kern w:val="2"/>
          <w:sz w:val="20"/>
          <w:szCs w:val="20"/>
          <w:lang w:eastAsia="es-ES" w:bidi="es-ES"/>
          <w14:ligatures w14:val="standardContextual"/>
        </w:rPr>
        <w:t>”. (Énfasis fuera de texto).</w:t>
      </w:r>
    </w:p>
    <w:p w14:paraId="4A585AF0" w14:textId="77777777" w:rsidR="00165D29" w:rsidRPr="00165D29" w:rsidRDefault="00165D29" w:rsidP="00165D29">
      <w:pPr>
        <w:spacing w:after="0" w:line="240" w:lineRule="auto"/>
        <w:jc w:val="both"/>
        <w:rPr>
          <w:rFonts w:ascii="Verdana" w:eastAsia="Aptos" w:hAnsi="Verdana" w:cs="Arial"/>
          <w:bCs/>
          <w:kern w:val="2"/>
          <w:sz w:val="20"/>
          <w:szCs w:val="20"/>
          <w:lang w:eastAsia="es-ES" w:bidi="es-ES"/>
          <w14:ligatures w14:val="standardContextual"/>
        </w:rPr>
      </w:pPr>
    </w:p>
    <w:p w14:paraId="3AA57384" w14:textId="77777777" w:rsidR="00165D29" w:rsidRPr="00165D29" w:rsidRDefault="00165D29" w:rsidP="00165D29">
      <w:pPr>
        <w:spacing w:after="0" w:line="240" w:lineRule="auto"/>
        <w:jc w:val="both"/>
        <w:rPr>
          <w:rFonts w:ascii="Verdana" w:eastAsia="Aptos" w:hAnsi="Verdana" w:cs="Arial"/>
          <w:bCs/>
          <w:kern w:val="2"/>
          <w:sz w:val="20"/>
          <w:szCs w:val="20"/>
          <w:lang w:eastAsia="es-ES" w:bidi="es-ES"/>
          <w14:ligatures w14:val="standardContextual"/>
        </w:rPr>
      </w:pPr>
      <w:r w:rsidRPr="00165D29">
        <w:rPr>
          <w:rFonts w:ascii="Verdana" w:eastAsia="Aptos" w:hAnsi="Verdana" w:cs="Arial"/>
          <w:bCs/>
          <w:kern w:val="2"/>
          <w:sz w:val="20"/>
          <w:szCs w:val="20"/>
          <w:lang w:eastAsia="es-ES" w:bidi="es-ES"/>
          <w14:ligatures w14:val="standardContextual"/>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165D29">
        <w:rPr>
          <w:rFonts w:ascii="Verdana" w:eastAsia="Aptos" w:hAnsi="Verdana" w:cs="Arial"/>
          <w:bCs/>
          <w:i/>
          <w:iCs/>
          <w:kern w:val="2"/>
          <w:sz w:val="20"/>
          <w:szCs w:val="20"/>
          <w:lang w:eastAsia="es-ES" w:bidi="es-ES"/>
          <w14:ligatures w14:val="standardContextual"/>
        </w:rPr>
        <w:t>Ibidem</w:t>
      </w:r>
      <w:r w:rsidRPr="00165D29">
        <w:rPr>
          <w:rFonts w:ascii="Verdana" w:eastAsia="Aptos" w:hAnsi="Verdana" w:cs="Arial"/>
          <w:bCs/>
          <w:kern w:val="2"/>
          <w:sz w:val="20"/>
          <w:szCs w:val="20"/>
          <w:lang w:eastAsia="es-ES" w:bidi="es-ES"/>
          <w14:ligatures w14:val="standardContextual"/>
        </w:rPr>
        <w:t xml:space="preserve"> recoge en la noción de Documentos del Proceso “cualquier otro documento expedido por la Entidad Estatal durante el Proceso de Contratación”, esto es, aquellos documentos definitivos que se desarrollan dentro del proceso de contratación. </w:t>
      </w:r>
    </w:p>
    <w:p w14:paraId="784D6FFB" w14:textId="77777777" w:rsidR="00165D29" w:rsidRPr="00165D29" w:rsidRDefault="00165D29" w:rsidP="00165D29">
      <w:pPr>
        <w:spacing w:after="0" w:line="240" w:lineRule="auto"/>
        <w:jc w:val="both"/>
        <w:rPr>
          <w:rFonts w:ascii="Verdana" w:eastAsia="Aptos" w:hAnsi="Verdana" w:cs="Arial"/>
          <w:bCs/>
          <w:kern w:val="2"/>
          <w:sz w:val="20"/>
          <w:szCs w:val="20"/>
          <w:lang w:eastAsia="es-ES" w:bidi="es-ES"/>
          <w14:ligatures w14:val="standardContextual"/>
        </w:rPr>
      </w:pPr>
      <w:r w:rsidRPr="00165D29">
        <w:rPr>
          <w:rFonts w:ascii="Verdana" w:eastAsia="Aptos" w:hAnsi="Verdana" w:cs="Arial"/>
          <w:bCs/>
          <w:kern w:val="2"/>
          <w:sz w:val="20"/>
          <w:szCs w:val="20"/>
          <w:lang w:eastAsia="es-ES" w:bidi="es-ES"/>
          <w14:ligatures w14:val="standardContextual"/>
        </w:rPr>
        <w:t xml:space="preserve"> </w:t>
      </w:r>
    </w:p>
    <w:p w14:paraId="4DCDF901" w14:textId="77777777" w:rsidR="00165D29" w:rsidRPr="00165D29" w:rsidRDefault="00165D29" w:rsidP="00165D29">
      <w:pPr>
        <w:spacing w:after="0" w:line="240" w:lineRule="auto"/>
        <w:jc w:val="both"/>
        <w:rPr>
          <w:rFonts w:ascii="Verdana" w:eastAsia="Aptos" w:hAnsi="Verdana" w:cs="Arial"/>
          <w:bCs/>
          <w:kern w:val="2"/>
          <w:sz w:val="20"/>
          <w:szCs w:val="20"/>
          <w:lang w:eastAsia="es-ES" w:bidi="es-ES"/>
          <w14:ligatures w14:val="standardContextual"/>
        </w:rPr>
      </w:pPr>
      <w:r w:rsidRPr="00165D29">
        <w:rPr>
          <w:rFonts w:ascii="Verdana" w:eastAsia="Aptos" w:hAnsi="Verdana" w:cs="Arial"/>
          <w:bCs/>
          <w:kern w:val="2"/>
          <w:sz w:val="20"/>
          <w:szCs w:val="20"/>
          <w:lang w:eastAsia="es-ES" w:bidi="es-ES"/>
          <w14:ligatures w14:val="standardContextual"/>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71D668C3" w14:textId="77777777" w:rsidR="00165D29" w:rsidRPr="00165D29" w:rsidRDefault="00165D29" w:rsidP="00165D29">
      <w:pPr>
        <w:spacing w:after="0" w:line="240" w:lineRule="auto"/>
        <w:jc w:val="both"/>
        <w:rPr>
          <w:rFonts w:ascii="Verdana" w:eastAsia="Aptos" w:hAnsi="Verdana" w:cs="Arial"/>
          <w:bCs/>
          <w:kern w:val="2"/>
          <w:sz w:val="20"/>
          <w:szCs w:val="20"/>
          <w:lang w:eastAsia="es-ES" w:bidi="es-ES"/>
          <w14:ligatures w14:val="standardContextual"/>
        </w:rPr>
      </w:pPr>
    </w:p>
    <w:p w14:paraId="497DF308" w14:textId="77777777" w:rsidR="00165D29" w:rsidRPr="00165D29" w:rsidRDefault="00165D29" w:rsidP="00165D29">
      <w:pPr>
        <w:spacing w:after="0" w:line="240" w:lineRule="auto"/>
        <w:jc w:val="both"/>
        <w:rPr>
          <w:rFonts w:ascii="Verdana" w:eastAsia="Aptos" w:hAnsi="Verdana" w:cs="Arial"/>
          <w:bCs/>
          <w:kern w:val="2"/>
          <w:sz w:val="20"/>
          <w:szCs w:val="20"/>
          <w:lang w:eastAsia="es-ES" w:bidi="es-ES"/>
          <w14:ligatures w14:val="standardContextual"/>
        </w:rPr>
      </w:pPr>
      <w:r w:rsidRPr="00165D29">
        <w:rPr>
          <w:rFonts w:ascii="Verdana" w:eastAsia="Aptos" w:hAnsi="Verdana" w:cs="Arial"/>
          <w:bCs/>
          <w:kern w:val="2"/>
          <w:sz w:val="20"/>
          <w:szCs w:val="20"/>
          <w:lang w:eastAsia="es-ES" w:bidi="es-ES"/>
          <w14:ligatures w14:val="standardContextual"/>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165D29">
        <w:rPr>
          <w:rFonts w:ascii="Verdana" w:eastAsia="Aptos" w:hAnsi="Verdana" w:cs="Arial"/>
          <w:bCs/>
          <w:kern w:val="2"/>
          <w:sz w:val="20"/>
          <w:szCs w:val="20"/>
          <w:lang w:eastAsia="es-ES" w:bidi="es-ES"/>
          <w14:ligatures w14:val="standardContextual"/>
        </w:rPr>
        <w:t>postcontractual</w:t>
      </w:r>
      <w:proofErr w:type="spellEnd"/>
      <w:r w:rsidRPr="00165D29">
        <w:rPr>
          <w:rFonts w:ascii="Verdana" w:eastAsia="Aptos" w:hAnsi="Verdana" w:cs="Arial"/>
          <w:bCs/>
          <w:kern w:val="2"/>
          <w:sz w:val="20"/>
          <w:szCs w:val="20"/>
          <w:lang w:eastAsia="es-ES" w:bidi="es-ES"/>
          <w14:ligatures w14:val="standardContextual"/>
        </w:rPr>
        <w:t xml:space="preserve"> deberán publicarse en SECOP dentro de los tres (3) días siguientes a su expedición, para cumplir el deber de publicidad regulado por el artículo 2.2.1.1.1.7.1. del Decreto 1082 de 2015.</w:t>
      </w:r>
    </w:p>
    <w:p w14:paraId="7FE14CD9" w14:textId="77777777" w:rsidR="00165D29" w:rsidRPr="00165D29" w:rsidRDefault="00165D29" w:rsidP="00165D29">
      <w:pPr>
        <w:spacing w:after="0" w:line="240" w:lineRule="auto"/>
        <w:jc w:val="both"/>
        <w:rPr>
          <w:rFonts w:ascii="Verdana" w:eastAsia="Aptos" w:hAnsi="Verdana" w:cs="Arial"/>
          <w:b/>
          <w:bCs/>
          <w:kern w:val="2"/>
          <w:sz w:val="24"/>
          <w:szCs w:val="24"/>
          <w:lang w:eastAsia="es-ES" w:bidi="es-ES"/>
          <w14:ligatures w14:val="standardContextual"/>
        </w:rPr>
      </w:pPr>
    </w:p>
    <w:p w14:paraId="014E23F6" w14:textId="77777777" w:rsidR="00165D29" w:rsidRPr="00165D29" w:rsidRDefault="00165D29" w:rsidP="00165D29">
      <w:pPr>
        <w:spacing w:after="0" w:line="240" w:lineRule="auto"/>
        <w:jc w:val="both"/>
        <w:rPr>
          <w:rFonts w:ascii="Verdana" w:eastAsia="Aptos" w:hAnsi="Verdana" w:cs="Arial"/>
          <w:b/>
          <w:bCs/>
          <w:kern w:val="2"/>
          <w:lang w:val="es-ES_tradnl" w:eastAsia="es-ES" w:bidi="es-ES"/>
          <w14:ligatures w14:val="standardContextual"/>
        </w:rPr>
      </w:pPr>
      <w:r w:rsidRPr="00165D29">
        <w:rPr>
          <w:rFonts w:ascii="Verdana" w:eastAsia="Aptos" w:hAnsi="Verdana" w:cs="Arial"/>
          <w:b/>
          <w:bCs/>
          <w:kern w:val="2"/>
          <w:lang w:val="es-ES_tradnl" w:eastAsia="es-ES" w:bidi="es-ES"/>
          <w14:ligatures w14:val="standardContextual"/>
        </w:rPr>
        <w:t xml:space="preserve">SECOP II – Procedimiento Administrativo Electrónico – Autenticidad </w:t>
      </w:r>
    </w:p>
    <w:p w14:paraId="2DC642E6" w14:textId="77777777" w:rsidR="00165D29" w:rsidRPr="00165D29" w:rsidRDefault="00165D29" w:rsidP="00165D29">
      <w:pPr>
        <w:spacing w:after="0" w:line="240" w:lineRule="auto"/>
        <w:jc w:val="both"/>
        <w:rPr>
          <w:rFonts w:ascii="Verdana" w:eastAsia="Aptos" w:hAnsi="Verdana" w:cs="Arial"/>
          <w:b/>
          <w:bCs/>
          <w:kern w:val="2"/>
          <w:sz w:val="24"/>
          <w:szCs w:val="24"/>
          <w:lang w:val="es-ES_tradnl" w:eastAsia="es-ES" w:bidi="es-ES"/>
          <w14:ligatures w14:val="standardContextual"/>
        </w:rPr>
      </w:pPr>
    </w:p>
    <w:p w14:paraId="2A0143AE" w14:textId="77777777" w:rsidR="00165D29" w:rsidRPr="00165D29" w:rsidRDefault="00165D29" w:rsidP="00165D29">
      <w:pPr>
        <w:spacing w:after="0" w:line="240" w:lineRule="auto"/>
        <w:jc w:val="both"/>
        <w:rPr>
          <w:rFonts w:ascii="Verdana" w:eastAsia="Aptos" w:hAnsi="Verdana" w:cs="Arial"/>
          <w:bCs/>
          <w:kern w:val="2"/>
          <w:sz w:val="20"/>
          <w:szCs w:val="24"/>
          <w:lang w:eastAsia="es-ES" w:bidi="es-ES"/>
          <w14:ligatures w14:val="standardContextual"/>
        </w:rPr>
      </w:pPr>
      <w:r w:rsidRPr="00165D29">
        <w:rPr>
          <w:rFonts w:ascii="Verdana" w:eastAsia="Aptos" w:hAnsi="Verdana" w:cs="Arial"/>
          <w:bCs/>
          <w:kern w:val="2"/>
          <w:sz w:val="20"/>
          <w:szCs w:val="24"/>
          <w:lang w:eastAsia="es-ES" w:bidi="es-ES"/>
          <w14:ligatures w14:val="standardContextual"/>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D8E2C30" w14:textId="77777777" w:rsidR="00165D29" w:rsidRPr="00165D29" w:rsidRDefault="00165D29" w:rsidP="00165D29">
      <w:pPr>
        <w:spacing w:after="0" w:line="240" w:lineRule="auto"/>
        <w:jc w:val="both"/>
        <w:rPr>
          <w:rFonts w:ascii="Verdana" w:eastAsia="Aptos" w:hAnsi="Verdana" w:cs="Arial"/>
          <w:bCs/>
          <w:kern w:val="2"/>
          <w:sz w:val="20"/>
          <w:szCs w:val="24"/>
          <w:lang w:val="es-ES" w:eastAsia="es-ES" w:bidi="es-ES"/>
          <w14:ligatures w14:val="standardContextual"/>
        </w:rPr>
      </w:pPr>
    </w:p>
    <w:p w14:paraId="2241F196" w14:textId="77777777" w:rsidR="00165D29" w:rsidRPr="00165D29" w:rsidRDefault="00165D29" w:rsidP="00165D29">
      <w:pPr>
        <w:spacing w:after="0" w:line="240" w:lineRule="auto"/>
        <w:jc w:val="both"/>
        <w:rPr>
          <w:rFonts w:ascii="Verdana" w:eastAsia="Aptos" w:hAnsi="Verdana" w:cs="Arial"/>
          <w:bCs/>
          <w:kern w:val="2"/>
          <w:sz w:val="20"/>
          <w:szCs w:val="24"/>
          <w:lang w:eastAsia="es-ES" w:bidi="es-ES"/>
          <w14:ligatures w14:val="standardContextual"/>
        </w:rPr>
      </w:pPr>
      <w:r w:rsidRPr="00165D29">
        <w:rPr>
          <w:rFonts w:ascii="Verdana" w:eastAsia="Aptos" w:hAnsi="Verdana" w:cs="Arial"/>
          <w:bCs/>
          <w:kern w:val="2"/>
          <w:sz w:val="20"/>
          <w:szCs w:val="24"/>
          <w:lang w:eastAsia="es-ES" w:bidi="es-ES"/>
          <w14:ligatures w14:val="standardContextual"/>
        </w:rPr>
        <w:t xml:space="preserve">En esta línea, el artículo 53 de la Ley 1437 de 2011 –en adelante CPACA- dispone que los procedimientos y trámites administrativos pueden realizarse por medios electrónicos, que se aplicarán de acuerdo a su compatibilidad con la Ley 527 de 1999. A partir de lo anterior, el CPACA establece reglas básicas para el uso de los medios electrónicos en los procedimientos administrativos, en las que se destaca: i) los documentos públicos en medios electrónicos que tienen la validez y fuerza probatoria que le confiere el Código </w:t>
      </w:r>
      <w:r w:rsidRPr="00165D29">
        <w:rPr>
          <w:rFonts w:ascii="Verdana" w:eastAsia="Aptos" w:hAnsi="Verdana" w:cs="Arial"/>
          <w:bCs/>
          <w:kern w:val="2"/>
          <w:sz w:val="20"/>
          <w:szCs w:val="24"/>
          <w:lang w:eastAsia="es-ES" w:bidi="es-ES"/>
          <w14:ligatures w14:val="standardContextual"/>
        </w:rPr>
        <w:lastRenderedPageBreak/>
        <w:t xml:space="preserve">General del Proceso –artículo 55–; </w:t>
      </w:r>
      <w:proofErr w:type="spellStart"/>
      <w:r w:rsidRPr="00165D29">
        <w:rPr>
          <w:rFonts w:ascii="Verdana" w:eastAsia="Aptos" w:hAnsi="Verdana" w:cs="Arial"/>
          <w:bCs/>
          <w:kern w:val="2"/>
          <w:sz w:val="20"/>
          <w:szCs w:val="24"/>
          <w:lang w:eastAsia="es-ES" w:bidi="es-ES"/>
          <w14:ligatures w14:val="standardContextual"/>
        </w:rPr>
        <w:t>ii</w:t>
      </w:r>
      <w:proofErr w:type="spellEnd"/>
      <w:r w:rsidRPr="00165D29">
        <w:rPr>
          <w:rFonts w:ascii="Verdana" w:eastAsia="Aptos" w:hAnsi="Verdana" w:cs="Arial"/>
          <w:bCs/>
          <w:kern w:val="2"/>
          <w:sz w:val="20"/>
          <w:szCs w:val="24"/>
          <w:lang w:eastAsia="es-ES" w:bidi="es-ES"/>
          <w14:ligatures w14:val="standardContextual"/>
        </w:rPr>
        <w:t xml:space="preserve">) la expedición de actos administrativos electrónicos –artículo 57–; </w:t>
      </w:r>
      <w:proofErr w:type="spellStart"/>
      <w:r w:rsidRPr="00165D29">
        <w:rPr>
          <w:rFonts w:ascii="Verdana" w:eastAsia="Aptos" w:hAnsi="Verdana" w:cs="Arial"/>
          <w:bCs/>
          <w:kern w:val="2"/>
          <w:sz w:val="20"/>
          <w:szCs w:val="24"/>
          <w:lang w:eastAsia="es-ES" w:bidi="es-ES"/>
          <w14:ligatures w14:val="standardContextual"/>
        </w:rPr>
        <w:t>iii</w:t>
      </w:r>
      <w:proofErr w:type="spellEnd"/>
      <w:r w:rsidRPr="00165D29">
        <w:rPr>
          <w:rFonts w:ascii="Verdana" w:eastAsia="Aptos" w:hAnsi="Verdana" w:cs="Arial"/>
          <w:bCs/>
          <w:kern w:val="2"/>
          <w:sz w:val="20"/>
          <w:szCs w:val="24"/>
          <w:lang w:eastAsia="es-ES" w:bidi="es-ES"/>
          <w14:ligatures w14:val="standardContextual"/>
        </w:rPr>
        <w:t xml:space="preserve">) el archivo electrónico de documentos –artículo 58–; </w:t>
      </w:r>
      <w:proofErr w:type="spellStart"/>
      <w:r w:rsidRPr="00165D29">
        <w:rPr>
          <w:rFonts w:ascii="Verdana" w:eastAsia="Aptos" w:hAnsi="Verdana" w:cs="Arial"/>
          <w:bCs/>
          <w:kern w:val="2"/>
          <w:sz w:val="20"/>
          <w:szCs w:val="24"/>
          <w:lang w:eastAsia="es-ES" w:bidi="es-ES"/>
          <w14:ligatures w14:val="standardContextual"/>
        </w:rPr>
        <w:t>iv</w:t>
      </w:r>
      <w:proofErr w:type="spellEnd"/>
      <w:r w:rsidRPr="00165D29">
        <w:rPr>
          <w:rFonts w:ascii="Verdana" w:eastAsia="Aptos" w:hAnsi="Verdana" w:cs="Arial"/>
          <w:bCs/>
          <w:kern w:val="2"/>
          <w:sz w:val="20"/>
          <w:szCs w:val="24"/>
          <w:lang w:eastAsia="es-ES" w:bidi="es-ES"/>
          <w14:ligatures w14:val="standardContextual"/>
        </w:rPr>
        <w:t xml:space="preserve">) la recepción de documentos electrónicos por parte de las autoridades –artículo 61, entre otros. </w:t>
      </w:r>
    </w:p>
    <w:p w14:paraId="56DDD5E7" w14:textId="77777777" w:rsidR="00165D29" w:rsidRPr="00165D29" w:rsidRDefault="00165D29" w:rsidP="00165D29">
      <w:pPr>
        <w:spacing w:after="0" w:line="240" w:lineRule="auto"/>
        <w:jc w:val="both"/>
        <w:rPr>
          <w:rFonts w:ascii="Verdana" w:eastAsia="Aptos" w:hAnsi="Verdana" w:cs="Arial"/>
          <w:b/>
          <w:bCs/>
          <w:kern w:val="2"/>
          <w:sz w:val="24"/>
          <w:szCs w:val="24"/>
          <w:lang w:val="es-ES_tradnl" w:eastAsia="es-ES" w:bidi="es-ES"/>
          <w14:ligatures w14:val="standardContextual"/>
        </w:rPr>
      </w:pPr>
    </w:p>
    <w:p w14:paraId="1763EF47" w14:textId="77777777" w:rsidR="00165D29" w:rsidRPr="00165D29" w:rsidRDefault="00165D29" w:rsidP="00165D29">
      <w:pPr>
        <w:spacing w:after="0" w:line="240" w:lineRule="auto"/>
        <w:jc w:val="both"/>
        <w:rPr>
          <w:rFonts w:ascii="Verdana" w:eastAsia="Aptos" w:hAnsi="Verdana" w:cs="Arial"/>
          <w:b/>
          <w:bCs/>
          <w:kern w:val="2"/>
          <w:lang w:val="es-ES_tradnl" w:eastAsia="es-ES" w:bidi="es-ES"/>
          <w14:ligatures w14:val="standardContextual"/>
        </w:rPr>
      </w:pPr>
      <w:r w:rsidRPr="00165D29">
        <w:rPr>
          <w:rFonts w:ascii="Verdana" w:eastAsia="Aptos" w:hAnsi="Verdana" w:cs="Arial"/>
          <w:b/>
          <w:bCs/>
          <w:kern w:val="2"/>
          <w:lang w:val="es-ES_tradnl" w:eastAsia="es-ES" w:bidi="es-ES"/>
          <w14:ligatures w14:val="standardContextual"/>
        </w:rPr>
        <w:t>PRINCIPIO DE PUBLICIDAD – Ámbito de aplicación – Decreto 1081 de 2015 – Decreto 1600 de 2024</w:t>
      </w:r>
    </w:p>
    <w:p w14:paraId="6FDF2552" w14:textId="77777777" w:rsidR="00165D29" w:rsidRPr="00165D29" w:rsidRDefault="00165D29" w:rsidP="00165D29">
      <w:pPr>
        <w:spacing w:after="0" w:line="240" w:lineRule="auto"/>
        <w:jc w:val="both"/>
        <w:rPr>
          <w:rFonts w:ascii="Verdana" w:eastAsia="Aptos" w:hAnsi="Verdana" w:cs="Arial"/>
          <w:b/>
          <w:bCs/>
          <w:kern w:val="2"/>
          <w:sz w:val="24"/>
          <w:szCs w:val="24"/>
          <w:lang w:val="es-ES_tradnl" w:eastAsia="es-ES" w:bidi="es-ES"/>
          <w14:ligatures w14:val="standardContextual"/>
        </w:rPr>
      </w:pPr>
    </w:p>
    <w:p w14:paraId="5EA7B346" w14:textId="77777777" w:rsidR="00165D29" w:rsidRPr="00165D29" w:rsidRDefault="00165D29" w:rsidP="00165D29">
      <w:pPr>
        <w:spacing w:after="0" w:line="240" w:lineRule="auto"/>
        <w:jc w:val="both"/>
        <w:rPr>
          <w:rFonts w:ascii="Verdana" w:eastAsia="Aptos" w:hAnsi="Verdana" w:cs="Arial"/>
          <w:bCs/>
          <w:iCs/>
          <w:kern w:val="2"/>
          <w:sz w:val="20"/>
          <w:szCs w:val="24"/>
          <w:lang w:eastAsia="es-ES" w:bidi="es-ES"/>
          <w14:ligatures w14:val="standardContextual"/>
        </w:rPr>
      </w:pPr>
      <w:r w:rsidRPr="00165D29">
        <w:rPr>
          <w:rFonts w:ascii="Verdana" w:eastAsia="Aptos" w:hAnsi="Verdana" w:cs="Arial"/>
          <w:bCs/>
          <w:iCs/>
          <w:kern w:val="2"/>
          <w:sz w:val="20"/>
          <w:szCs w:val="24"/>
          <w:lang w:val="es-ES_tradnl" w:eastAsia="es-ES" w:bidi="es-ES"/>
          <w14:ligatures w14:val="standardContextual"/>
        </w:rPr>
        <w:t xml:space="preserve">Por tanto, La regla dispuesta en el </w:t>
      </w:r>
      <w:r w:rsidRPr="00165D29">
        <w:rPr>
          <w:rFonts w:ascii="Verdana" w:eastAsia="Aptos" w:hAnsi="Verdana" w:cs="Arial"/>
          <w:bCs/>
          <w:iCs/>
          <w:kern w:val="2"/>
          <w:sz w:val="20"/>
          <w:szCs w:val="24"/>
          <w:lang w:eastAsia="es-ES" w:bidi="es-ES"/>
          <w14:ligatures w14:val="standardContextual"/>
        </w:rPr>
        <w:t xml:space="preserve">artículo 2.1.4.3.2.2 del Decreto 1081 de 2015 </w:t>
      </w:r>
      <w:r w:rsidRPr="00165D29">
        <w:rPr>
          <w:rFonts w:ascii="Verdana" w:eastAsia="Aptos" w:hAnsi="Verdana" w:cs="Arial"/>
          <w:bCs/>
          <w:iCs/>
          <w:kern w:val="2"/>
          <w:sz w:val="20"/>
          <w:szCs w:val="24"/>
          <w:lang w:val="es-ES_tradnl" w:eastAsia="es-ES" w:bidi="es-ES"/>
          <w14:ligatures w14:val="standardContextual"/>
        </w:rPr>
        <w:t>–</w:t>
      </w:r>
      <w:r w:rsidRPr="00165D29">
        <w:rPr>
          <w:rFonts w:ascii="Verdana" w:eastAsia="Aptos" w:hAnsi="Verdana" w:cs="Arial"/>
          <w:bCs/>
          <w:i/>
          <w:iCs/>
          <w:kern w:val="2"/>
          <w:sz w:val="20"/>
          <w:szCs w:val="24"/>
          <w:lang w:val="es-ES_tradnl" w:eastAsia="es-ES" w:bidi="es-ES"/>
          <w14:ligatures w14:val="standardContextual"/>
        </w:rPr>
        <w:t>regla especial</w:t>
      </w:r>
      <w:r w:rsidRPr="00165D29">
        <w:rPr>
          <w:rFonts w:ascii="Verdana" w:eastAsia="Aptos" w:hAnsi="Verdana" w:cs="Arial"/>
          <w:bCs/>
          <w:iCs/>
          <w:kern w:val="2"/>
          <w:sz w:val="20"/>
          <w:szCs w:val="24"/>
          <w:lang w:val="es-ES_tradnl" w:eastAsia="es-ES" w:bidi="es-ES"/>
          <w14:ligatures w14:val="standardContextual"/>
        </w:rPr>
        <w:t xml:space="preserve">– modificada por el Decreto 1600 de 2024 debe tenerse en cuenta sobre el entendimiento y aplicación del artículo </w:t>
      </w:r>
      <w:r w:rsidRPr="00165D29">
        <w:rPr>
          <w:rFonts w:ascii="Verdana" w:eastAsia="Aptos" w:hAnsi="Verdana" w:cs="Arial"/>
          <w:bCs/>
          <w:iCs/>
          <w:kern w:val="2"/>
          <w:sz w:val="20"/>
          <w:szCs w:val="24"/>
          <w:lang w:eastAsia="es-ES" w:bidi="es-ES"/>
          <w14:ligatures w14:val="standardContextual"/>
        </w:rPr>
        <w:t>2.2.1.1.1.7.1. del Decreto 1082 de 2015</w:t>
      </w:r>
      <w:r w:rsidRPr="00165D29">
        <w:rPr>
          <w:rFonts w:ascii="Verdana" w:eastAsia="Aptos" w:hAnsi="Verdana" w:cs="Arial"/>
          <w:bCs/>
          <w:iCs/>
          <w:kern w:val="2"/>
          <w:sz w:val="20"/>
          <w:szCs w:val="24"/>
          <w:lang w:val="es-ES_tradnl" w:eastAsia="es-ES" w:bidi="es-ES"/>
          <w14:ligatures w14:val="standardContextual"/>
        </w:rPr>
        <w:t xml:space="preserve"> –</w:t>
      </w:r>
      <w:r w:rsidRPr="00165D29">
        <w:rPr>
          <w:rFonts w:ascii="Verdana" w:eastAsia="Aptos" w:hAnsi="Verdana" w:cs="Arial"/>
          <w:bCs/>
          <w:i/>
          <w:iCs/>
          <w:kern w:val="2"/>
          <w:sz w:val="20"/>
          <w:szCs w:val="24"/>
          <w:lang w:val="es-ES_tradnl" w:eastAsia="es-ES" w:bidi="es-ES"/>
          <w14:ligatures w14:val="standardContextual"/>
        </w:rPr>
        <w:t>regla general</w:t>
      </w:r>
      <w:r w:rsidRPr="00165D29">
        <w:rPr>
          <w:rFonts w:ascii="Verdana" w:eastAsia="Aptos" w:hAnsi="Verdana" w:cs="Arial"/>
          <w:bCs/>
          <w:iCs/>
          <w:kern w:val="2"/>
          <w:sz w:val="20"/>
          <w:szCs w:val="24"/>
          <w:lang w:val="es-ES_tradnl" w:eastAsia="es-ES" w:bidi="es-ES"/>
          <w14:ligatures w14:val="standardContextual"/>
        </w:rPr>
        <w:t xml:space="preserve">–, esto es, deben interpretarse armónicamente. Esto no significa que la </w:t>
      </w:r>
      <w:r w:rsidRPr="00165D29">
        <w:rPr>
          <w:rFonts w:ascii="Verdana" w:eastAsia="Aptos" w:hAnsi="Verdana" w:cs="Arial"/>
          <w:bCs/>
          <w:i/>
          <w:iCs/>
          <w:kern w:val="2"/>
          <w:sz w:val="20"/>
          <w:szCs w:val="24"/>
          <w:lang w:val="es-ES_tradnl" w:eastAsia="es-ES" w:bidi="es-ES"/>
          <w14:ligatures w14:val="standardContextual"/>
        </w:rPr>
        <w:t>regla general</w:t>
      </w:r>
      <w:r w:rsidRPr="00165D29">
        <w:rPr>
          <w:rFonts w:ascii="Verdana" w:eastAsia="Aptos" w:hAnsi="Verdana" w:cs="Arial"/>
          <w:bCs/>
          <w:iCs/>
          <w:kern w:val="2"/>
          <w:sz w:val="20"/>
          <w:szCs w:val="24"/>
          <w:lang w:val="es-ES_tradnl" w:eastAsia="es-ES" w:bidi="es-ES"/>
          <w14:ligatures w14:val="standardContextual"/>
        </w:rPr>
        <w:t xml:space="preserve"> desaparezca del ordenamiento jurídico; todo lo contrario, esta aplica en todos los supuestos que regula, y se interpreta de forma integral con los supuestos previstos en la </w:t>
      </w:r>
      <w:r w:rsidRPr="00165D29">
        <w:rPr>
          <w:rFonts w:ascii="Verdana" w:eastAsia="Aptos" w:hAnsi="Verdana" w:cs="Arial"/>
          <w:bCs/>
          <w:i/>
          <w:iCs/>
          <w:kern w:val="2"/>
          <w:sz w:val="20"/>
          <w:szCs w:val="24"/>
          <w:lang w:val="es-ES_tradnl" w:eastAsia="es-ES" w:bidi="es-ES"/>
          <w14:ligatures w14:val="standardContextual"/>
        </w:rPr>
        <w:t>regla especial</w:t>
      </w:r>
      <w:r w:rsidRPr="00165D29">
        <w:rPr>
          <w:rFonts w:ascii="Verdana" w:eastAsia="Aptos" w:hAnsi="Verdana" w:cs="Arial"/>
          <w:bCs/>
          <w:iCs/>
          <w:kern w:val="2"/>
          <w:sz w:val="20"/>
          <w:szCs w:val="24"/>
          <w:lang w:val="es-ES_tradnl" w:eastAsia="es-ES" w:bidi="es-ES"/>
          <w14:ligatures w14:val="standardContextual"/>
        </w:rPr>
        <w:t xml:space="preserve">. De esta manera, el término de diez (10) días es un plazo máximo para las entidades y </w:t>
      </w:r>
      <w:r w:rsidRPr="00165D29">
        <w:rPr>
          <w:rFonts w:ascii="Verdana" w:eastAsia="Aptos" w:hAnsi="Verdana" w:cs="Arial"/>
          <w:bCs/>
          <w:i/>
          <w:iCs/>
          <w:kern w:val="2"/>
          <w:sz w:val="20"/>
          <w:szCs w:val="24"/>
          <w:lang w:eastAsia="es-ES" w:bidi="es-ES"/>
          <w14:ligatures w14:val="standardContextual"/>
        </w:rPr>
        <w:t xml:space="preserve">empresas del Estado </w:t>
      </w:r>
      <w:r w:rsidRPr="00165D29">
        <w:rPr>
          <w:rFonts w:ascii="Verdana" w:eastAsia="Aptos" w:hAnsi="Verdana" w:cs="Arial"/>
          <w:bCs/>
          <w:iCs/>
          <w:kern w:val="2"/>
          <w:sz w:val="20"/>
          <w:szCs w:val="24"/>
          <w:lang w:eastAsia="es-ES" w:bidi="es-ES"/>
          <w14:ligatures w14:val="standardContextual"/>
        </w:rPr>
        <w:t xml:space="preserve">del orden nacional y pertenecientes a la Rama Ejecutiva del Poder Público para publicar en SECOP, en todo caso los documentos de carácter definitivo, precisando la regla general sigue vigente, y que, en un principio, el término para publicar tres (3) días siguientes a la expedición, esto es, a partir desde que el documento se encuentra perfeccionado por la parte o las partes intervinientes, de conformidad a lo prescrito en el Decreto 1082 de 2015. </w:t>
      </w:r>
    </w:p>
    <w:p w14:paraId="62956144" w14:textId="77777777" w:rsidR="00165D29" w:rsidRPr="00165D29" w:rsidRDefault="00165D29" w:rsidP="00165D29">
      <w:pPr>
        <w:spacing w:after="0" w:line="240" w:lineRule="auto"/>
        <w:jc w:val="both"/>
        <w:rPr>
          <w:rFonts w:ascii="Verdana" w:eastAsia="Aptos" w:hAnsi="Verdana" w:cs="Arial"/>
          <w:bCs/>
          <w:iCs/>
          <w:kern w:val="2"/>
          <w:sz w:val="20"/>
          <w:szCs w:val="24"/>
          <w:lang w:eastAsia="es-ES" w:bidi="es-ES"/>
          <w14:ligatures w14:val="standardContextual"/>
        </w:rPr>
      </w:pPr>
    </w:p>
    <w:p w14:paraId="17C14991" w14:textId="77777777" w:rsidR="00165D29" w:rsidRPr="00165D29" w:rsidRDefault="00165D29" w:rsidP="00165D29">
      <w:pPr>
        <w:spacing w:after="0" w:line="240" w:lineRule="auto"/>
        <w:jc w:val="both"/>
        <w:rPr>
          <w:rFonts w:ascii="Verdana" w:eastAsia="Aptos" w:hAnsi="Verdana" w:cs="Arial"/>
          <w:bCs/>
          <w:iCs/>
          <w:kern w:val="2"/>
          <w:sz w:val="20"/>
          <w:szCs w:val="24"/>
          <w:lang w:eastAsia="es-ES" w:bidi="es-ES"/>
          <w14:ligatures w14:val="standardContextual"/>
        </w:rPr>
      </w:pPr>
      <w:r w:rsidRPr="00165D29">
        <w:rPr>
          <w:rFonts w:ascii="Verdana" w:eastAsia="Aptos" w:hAnsi="Verdana" w:cs="Arial"/>
          <w:bCs/>
          <w:iCs/>
          <w:kern w:val="2"/>
          <w:sz w:val="20"/>
          <w:szCs w:val="24"/>
          <w:lang w:eastAsia="es-ES" w:bidi="es-ES"/>
          <w14:ligatures w14:val="standardContextual"/>
        </w:rPr>
        <w:t xml:space="preserve">Ahora bien, las demás entidades que no están sujetas al Decreto 1600 de 2024 que modifica el Decreto 1081 de 2015 tienen el deber de aplicar el término de publicación de los tres (3) días siguientes a su expedición como regla general y no le es aplicable el término máximo de diez (10) días desde la ocurrencia del hecho, esto es, a partir de la generación del documento definitivo. En tal sentido, las entidades del orden territorial, así como sus descentralizadas deben seguir aplicando el término general de tres (3) días, y no podrán hacer una interpretación extensiva ni analógica, puesto que se rigen bajo el principio de legalidad que implica una interpretación literal y estricta de las disposiciones normativas.  </w:t>
      </w:r>
    </w:p>
    <w:p w14:paraId="6D300DAC" w14:textId="77777777" w:rsidR="00165D29" w:rsidRPr="00165D29" w:rsidRDefault="00165D29" w:rsidP="00165D29">
      <w:pPr>
        <w:spacing w:after="0" w:line="240" w:lineRule="auto"/>
        <w:jc w:val="both"/>
        <w:rPr>
          <w:rFonts w:ascii="Verdana" w:eastAsia="Aptos" w:hAnsi="Verdana" w:cs="Arial"/>
          <w:b/>
          <w:bCs/>
          <w:kern w:val="2"/>
          <w:sz w:val="24"/>
          <w:szCs w:val="24"/>
          <w:lang w:eastAsia="es-ES" w:bidi="es-ES"/>
          <w14:ligatures w14:val="standardContextual"/>
        </w:rPr>
      </w:pPr>
    </w:p>
    <w:p w14:paraId="6789830E" w14:textId="48701373" w:rsidR="00165D29" w:rsidRPr="00165D29" w:rsidRDefault="00165D29" w:rsidP="00165D29">
      <w:pPr>
        <w:spacing w:after="0" w:line="240" w:lineRule="auto"/>
        <w:jc w:val="both"/>
        <w:rPr>
          <w:rFonts w:ascii="Verdana" w:eastAsia="Aptos" w:hAnsi="Verdana" w:cs="Times New Roman"/>
          <w:b/>
          <w:kern w:val="2"/>
          <w14:ligatures w14:val="standardContextual"/>
        </w:rPr>
      </w:pPr>
      <w:r w:rsidRPr="00165D29">
        <w:rPr>
          <w:rFonts w:ascii="Verdana" w:eastAsia="Aptos" w:hAnsi="Verdana" w:cs="Arial"/>
          <w:b/>
          <w:bCs/>
          <w:kern w:val="2"/>
          <w:lang w:val="es-ES_tradnl" w:eastAsia="es-ES" w:bidi="es-ES"/>
          <w14:ligatures w14:val="standardContextual"/>
        </w:rPr>
        <w:t>PRINCIPIO DE PUBLICIDAD – término de publicación – interpretación armónica - documentos de ejecución – SECOP II – SECOP I</w:t>
      </w:r>
    </w:p>
    <w:p w14:paraId="2175AECB" w14:textId="77777777" w:rsidR="00165D29" w:rsidRPr="00165D29" w:rsidRDefault="00165D29" w:rsidP="00165D29">
      <w:pPr>
        <w:spacing w:after="0" w:line="278" w:lineRule="auto"/>
        <w:rPr>
          <w:rFonts w:ascii="Verdana" w:eastAsia="Aptos" w:hAnsi="Verdana" w:cs="Times New Roman"/>
          <w:kern w:val="2"/>
          <w:sz w:val="24"/>
          <w:szCs w:val="24"/>
          <w14:ligatures w14:val="standardContextual"/>
        </w:rPr>
      </w:pPr>
    </w:p>
    <w:p w14:paraId="3ABF5B24" w14:textId="77777777" w:rsidR="00165D29" w:rsidRPr="00165D29" w:rsidRDefault="00165D29" w:rsidP="00165D29">
      <w:pPr>
        <w:spacing w:after="0" w:line="240" w:lineRule="auto"/>
        <w:jc w:val="both"/>
        <w:rPr>
          <w:rFonts w:ascii="Verdana" w:eastAsia="Aptos" w:hAnsi="Verdana" w:cs="Times New Roman"/>
          <w:bCs/>
          <w:iCs/>
          <w:kern w:val="2"/>
          <w:sz w:val="20"/>
          <w:szCs w:val="24"/>
          <w:lang w:val="es-ES"/>
          <w14:ligatures w14:val="standardContextual"/>
        </w:rPr>
      </w:pPr>
      <w:r w:rsidRPr="00165D29">
        <w:rPr>
          <w:rFonts w:ascii="Verdana" w:eastAsia="Aptos" w:hAnsi="Verdana" w:cs="Times New Roman"/>
          <w:bCs/>
          <w:iCs/>
          <w:kern w:val="2"/>
          <w:sz w:val="20"/>
          <w:szCs w:val="24"/>
          <w:lang w:val="es-ES"/>
          <w14:ligatures w14:val="standardContextual"/>
        </w:rPr>
        <w:t>Es decir, 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definitivos, esto es, aquellos que están firmados por las partes y luego se publican en dicha plataforma, en los términos ya expuestos, dependiendo de la naturaleza de la entidad y de las reglas prescritas en los Decretos 1081 y 1082 de 2015.</w:t>
      </w:r>
    </w:p>
    <w:p w14:paraId="5A185329" w14:textId="77777777" w:rsidR="00165D29" w:rsidRPr="00165D29" w:rsidRDefault="00165D29" w:rsidP="00165D29">
      <w:pPr>
        <w:spacing w:after="0" w:line="240" w:lineRule="auto"/>
        <w:jc w:val="both"/>
        <w:rPr>
          <w:rFonts w:ascii="Verdana" w:eastAsia="Aptos" w:hAnsi="Verdana" w:cs="Times New Roman"/>
          <w:bCs/>
          <w:iCs/>
          <w:kern w:val="2"/>
          <w:sz w:val="20"/>
          <w:szCs w:val="24"/>
          <w:lang w:val="es-ES"/>
          <w14:ligatures w14:val="standardContextual"/>
        </w:rPr>
      </w:pPr>
    </w:p>
    <w:p w14:paraId="723B38FD" w14:textId="77777777" w:rsidR="00165D29" w:rsidRPr="00165D29" w:rsidRDefault="00165D29" w:rsidP="00165D29">
      <w:pPr>
        <w:spacing w:after="0" w:line="240" w:lineRule="auto"/>
        <w:jc w:val="both"/>
        <w:rPr>
          <w:rFonts w:ascii="Verdana" w:eastAsia="Aptos" w:hAnsi="Verdana" w:cs="Times New Roman"/>
          <w:kern w:val="2"/>
          <w:sz w:val="20"/>
          <w:szCs w:val="24"/>
          <w14:ligatures w14:val="standardContextual"/>
        </w:rPr>
      </w:pPr>
      <w:r w:rsidRPr="00165D29">
        <w:rPr>
          <w:rFonts w:ascii="Verdana" w:eastAsia="Aptos" w:hAnsi="Verdana" w:cs="Times New Roman"/>
          <w:bCs/>
          <w:iCs/>
          <w:kern w:val="2"/>
          <w:sz w:val="20"/>
          <w:szCs w:val="24"/>
          <w:lang w:val="es-ES"/>
          <w14:ligatures w14:val="standardContextual"/>
        </w:rPr>
        <w:lastRenderedPageBreak/>
        <w:t xml:space="preserve">En torno a los documentos de ejecución debe precisarse que algunos de estos no tienen un carácter transaccional en SECOP II, pues dentro de la numeral 7° del Proceso de Contratación “Ejecución del contrato” se encuentra la Sección “Documentos de Ejecución del contrato”, en el que </w:t>
      </w:r>
      <w:r w:rsidRPr="00165D29">
        <w:rPr>
          <w:rFonts w:ascii="Verdana" w:eastAsia="Aptos" w:hAnsi="Verdana" w:cs="Times New Roman"/>
          <w:bCs/>
          <w:iCs/>
          <w:kern w:val="2"/>
          <w:sz w:val="20"/>
          <w:szCs w:val="24"/>
          <w14:ligatures w14:val="standardContextual"/>
        </w:rPr>
        <w:t>tanto la Entidad Estatal como el Proveedor podrán cargar cualquier documento adicional resultado de la ejecución del contrato por ejemplo, acta de inicio, actas de entrega, informes de avance, requerimientos de la supervisión, solicitud de ampliación de pólizas, entre otros. Dichos documentos deberán estar suscritos por la parte o partes que los generan y subirse en la plataforma en SECOP II dentro de los términos dispuestos por el Decreto 1082 de 2015, esto es, tres (3) días siguientes. Sin perjuicio, d</w:t>
      </w:r>
      <w:r w:rsidRPr="00165D29">
        <w:rPr>
          <w:rFonts w:ascii="Verdana" w:eastAsia="Aptos" w:hAnsi="Verdana" w:cs="Times New Roman"/>
          <w:bCs/>
          <w:iCs/>
          <w:kern w:val="2"/>
          <w:sz w:val="20"/>
          <w:szCs w:val="24"/>
          <w:lang w:val="es-ES"/>
          <w14:ligatures w14:val="standardContextual"/>
        </w:rPr>
        <w:t>el término de diez (10) días como un límite máximo para publicar por parte de las entidades del orden nacional sometidas a lo dispuesto en el Decreto 1600 de 2024 que modifica el Decreto 1081 de 2015.</w:t>
      </w:r>
    </w:p>
    <w:p w14:paraId="65062DBB" w14:textId="77777777" w:rsidR="00165D29" w:rsidRPr="00165D29" w:rsidRDefault="00165D29" w:rsidP="00165D29">
      <w:pPr>
        <w:spacing w:after="0" w:line="240" w:lineRule="auto"/>
        <w:jc w:val="both"/>
        <w:rPr>
          <w:rFonts w:ascii="Verdana" w:eastAsia="Aptos" w:hAnsi="Verdana" w:cs="Times New Roman"/>
          <w:color w:val="000000"/>
          <w:kern w:val="2"/>
          <w:sz w:val="24"/>
          <w:szCs w:val="24"/>
          <w:lang w:eastAsia="es-CO"/>
          <w14:ligatures w14:val="standardContextual"/>
        </w:rPr>
      </w:pPr>
    </w:p>
    <w:p w14:paraId="47750FD5" w14:textId="77777777" w:rsidR="00165D29" w:rsidRDefault="00165D29" w:rsidP="0037514F">
      <w:pPr>
        <w:spacing w:after="0" w:line="240" w:lineRule="auto"/>
        <w:rPr>
          <w:rFonts w:ascii="Verdana" w:eastAsia="Verdana" w:hAnsi="Verdana" w:cs="Verdana"/>
          <w:kern w:val="2"/>
          <w14:ligatures w14:val="standardContextual"/>
        </w:rPr>
      </w:pPr>
    </w:p>
    <w:p w14:paraId="1B562DF8" w14:textId="77777777" w:rsidR="00165D29" w:rsidRDefault="00165D29" w:rsidP="0037514F">
      <w:pPr>
        <w:spacing w:after="0" w:line="240" w:lineRule="auto"/>
        <w:rPr>
          <w:rFonts w:ascii="Verdana" w:eastAsia="Verdana" w:hAnsi="Verdana" w:cs="Verdana"/>
          <w:kern w:val="2"/>
          <w14:ligatures w14:val="standardContextual"/>
        </w:rPr>
      </w:pPr>
    </w:p>
    <w:p w14:paraId="0E93D253" w14:textId="77777777" w:rsidR="00165D29" w:rsidRDefault="00165D29" w:rsidP="0037514F">
      <w:pPr>
        <w:spacing w:after="0" w:line="240" w:lineRule="auto"/>
        <w:rPr>
          <w:rFonts w:ascii="Verdana" w:eastAsia="Verdana" w:hAnsi="Verdana" w:cs="Verdana"/>
          <w:kern w:val="2"/>
          <w14:ligatures w14:val="standardContextual"/>
        </w:rPr>
      </w:pPr>
    </w:p>
    <w:p w14:paraId="6F19FC19" w14:textId="77777777" w:rsidR="00165D29" w:rsidRDefault="00165D29" w:rsidP="0037514F">
      <w:pPr>
        <w:spacing w:after="0" w:line="240" w:lineRule="auto"/>
        <w:rPr>
          <w:rFonts w:ascii="Verdana" w:eastAsia="Verdana" w:hAnsi="Verdana" w:cs="Verdana"/>
          <w:kern w:val="2"/>
          <w14:ligatures w14:val="standardContextual"/>
        </w:rPr>
      </w:pPr>
    </w:p>
    <w:p w14:paraId="5B531D2E" w14:textId="77777777" w:rsidR="00165D29" w:rsidRDefault="00165D29" w:rsidP="0037514F">
      <w:pPr>
        <w:spacing w:after="0" w:line="240" w:lineRule="auto"/>
        <w:rPr>
          <w:rFonts w:ascii="Verdana" w:eastAsia="Verdana" w:hAnsi="Verdana" w:cs="Verdana"/>
          <w:kern w:val="2"/>
          <w14:ligatures w14:val="standardContextual"/>
        </w:rPr>
      </w:pPr>
    </w:p>
    <w:p w14:paraId="16F57251" w14:textId="77777777" w:rsidR="00165D29" w:rsidRDefault="00165D29" w:rsidP="0037514F">
      <w:pPr>
        <w:spacing w:after="0" w:line="240" w:lineRule="auto"/>
        <w:rPr>
          <w:rFonts w:ascii="Verdana" w:eastAsia="Verdana" w:hAnsi="Verdana" w:cs="Verdana"/>
          <w:kern w:val="2"/>
          <w14:ligatures w14:val="standardContextual"/>
        </w:rPr>
      </w:pPr>
    </w:p>
    <w:p w14:paraId="6BA05DAF" w14:textId="77777777" w:rsidR="00165D29" w:rsidRDefault="00165D29" w:rsidP="0037514F">
      <w:pPr>
        <w:spacing w:after="0" w:line="240" w:lineRule="auto"/>
        <w:rPr>
          <w:rFonts w:ascii="Verdana" w:eastAsia="Verdana" w:hAnsi="Verdana" w:cs="Verdana"/>
          <w:kern w:val="2"/>
          <w14:ligatures w14:val="standardContextual"/>
        </w:rPr>
      </w:pPr>
    </w:p>
    <w:p w14:paraId="11B4D203" w14:textId="77777777" w:rsidR="00165D29" w:rsidRDefault="00165D29" w:rsidP="0037514F">
      <w:pPr>
        <w:spacing w:after="0" w:line="240" w:lineRule="auto"/>
        <w:rPr>
          <w:rFonts w:ascii="Verdana" w:eastAsia="Verdana" w:hAnsi="Verdana" w:cs="Verdana"/>
          <w:kern w:val="2"/>
          <w14:ligatures w14:val="standardContextual"/>
        </w:rPr>
      </w:pPr>
    </w:p>
    <w:p w14:paraId="7A3C490F" w14:textId="77777777" w:rsidR="00165D29" w:rsidRDefault="00165D29" w:rsidP="0037514F">
      <w:pPr>
        <w:spacing w:after="0" w:line="240" w:lineRule="auto"/>
        <w:rPr>
          <w:rFonts w:ascii="Verdana" w:eastAsia="Verdana" w:hAnsi="Verdana" w:cs="Verdana"/>
          <w:kern w:val="2"/>
          <w14:ligatures w14:val="standardContextual"/>
        </w:rPr>
      </w:pPr>
    </w:p>
    <w:p w14:paraId="231C253F" w14:textId="77777777" w:rsidR="00165D29" w:rsidRDefault="00165D29" w:rsidP="0037514F">
      <w:pPr>
        <w:spacing w:after="0" w:line="240" w:lineRule="auto"/>
        <w:rPr>
          <w:rFonts w:ascii="Verdana" w:eastAsia="Verdana" w:hAnsi="Verdana" w:cs="Verdana"/>
          <w:kern w:val="2"/>
          <w14:ligatures w14:val="standardContextual"/>
        </w:rPr>
      </w:pPr>
    </w:p>
    <w:p w14:paraId="337CADB1" w14:textId="77777777" w:rsidR="00165D29" w:rsidRDefault="00165D29" w:rsidP="0037514F">
      <w:pPr>
        <w:spacing w:after="0" w:line="240" w:lineRule="auto"/>
        <w:rPr>
          <w:rFonts w:ascii="Verdana" w:eastAsia="Verdana" w:hAnsi="Verdana" w:cs="Verdana"/>
          <w:kern w:val="2"/>
          <w14:ligatures w14:val="standardContextual"/>
        </w:rPr>
      </w:pPr>
    </w:p>
    <w:p w14:paraId="5D28A125" w14:textId="77777777" w:rsidR="00165D29" w:rsidRDefault="00165D29" w:rsidP="0037514F">
      <w:pPr>
        <w:spacing w:after="0" w:line="240" w:lineRule="auto"/>
        <w:rPr>
          <w:rFonts w:ascii="Verdana" w:eastAsia="Verdana" w:hAnsi="Verdana" w:cs="Verdana"/>
          <w:kern w:val="2"/>
          <w14:ligatures w14:val="standardContextual"/>
        </w:rPr>
      </w:pPr>
    </w:p>
    <w:p w14:paraId="6F9029ED" w14:textId="77777777" w:rsidR="00165D29" w:rsidRDefault="00165D29" w:rsidP="0037514F">
      <w:pPr>
        <w:spacing w:after="0" w:line="240" w:lineRule="auto"/>
        <w:rPr>
          <w:rFonts w:ascii="Verdana" w:eastAsia="Verdana" w:hAnsi="Verdana" w:cs="Verdana"/>
          <w:kern w:val="2"/>
          <w14:ligatures w14:val="standardContextual"/>
        </w:rPr>
      </w:pPr>
    </w:p>
    <w:p w14:paraId="4D60B9BC" w14:textId="77777777" w:rsidR="00165D29" w:rsidRDefault="00165D29" w:rsidP="0037514F">
      <w:pPr>
        <w:spacing w:after="0" w:line="240" w:lineRule="auto"/>
        <w:rPr>
          <w:rFonts w:ascii="Verdana" w:eastAsia="Verdana" w:hAnsi="Verdana" w:cs="Verdana"/>
          <w:kern w:val="2"/>
          <w14:ligatures w14:val="standardContextual"/>
        </w:rPr>
      </w:pPr>
    </w:p>
    <w:p w14:paraId="4282C6F2" w14:textId="77777777" w:rsidR="00165D29" w:rsidRDefault="00165D29" w:rsidP="0037514F">
      <w:pPr>
        <w:spacing w:after="0" w:line="240" w:lineRule="auto"/>
        <w:rPr>
          <w:rFonts w:ascii="Verdana" w:eastAsia="Verdana" w:hAnsi="Verdana" w:cs="Verdana"/>
          <w:kern w:val="2"/>
          <w14:ligatures w14:val="standardContextual"/>
        </w:rPr>
      </w:pPr>
    </w:p>
    <w:p w14:paraId="61080C82" w14:textId="77777777" w:rsidR="00165D29" w:rsidRDefault="00165D29" w:rsidP="0037514F">
      <w:pPr>
        <w:spacing w:after="0" w:line="240" w:lineRule="auto"/>
        <w:rPr>
          <w:rFonts w:ascii="Verdana" w:eastAsia="Verdana" w:hAnsi="Verdana" w:cs="Verdana"/>
          <w:kern w:val="2"/>
          <w14:ligatures w14:val="standardContextual"/>
        </w:rPr>
      </w:pPr>
    </w:p>
    <w:p w14:paraId="11A678EB" w14:textId="77777777" w:rsidR="00165D29" w:rsidRDefault="00165D29" w:rsidP="0037514F">
      <w:pPr>
        <w:spacing w:after="0" w:line="240" w:lineRule="auto"/>
        <w:rPr>
          <w:rFonts w:ascii="Verdana" w:eastAsia="Verdana" w:hAnsi="Verdana" w:cs="Verdana"/>
          <w:kern w:val="2"/>
          <w14:ligatures w14:val="standardContextual"/>
        </w:rPr>
      </w:pPr>
    </w:p>
    <w:p w14:paraId="63C5A32E" w14:textId="77777777" w:rsidR="00165D29" w:rsidRDefault="00165D29" w:rsidP="0037514F">
      <w:pPr>
        <w:spacing w:after="0" w:line="240" w:lineRule="auto"/>
        <w:rPr>
          <w:rFonts w:ascii="Verdana" w:eastAsia="Verdana" w:hAnsi="Verdana" w:cs="Verdana"/>
          <w:kern w:val="2"/>
          <w14:ligatures w14:val="standardContextual"/>
        </w:rPr>
      </w:pPr>
    </w:p>
    <w:p w14:paraId="415596B9" w14:textId="77777777" w:rsidR="00165D29" w:rsidRDefault="00165D29" w:rsidP="0037514F">
      <w:pPr>
        <w:spacing w:after="0" w:line="240" w:lineRule="auto"/>
        <w:rPr>
          <w:rFonts w:ascii="Verdana" w:eastAsia="Verdana" w:hAnsi="Verdana" w:cs="Verdana"/>
          <w:kern w:val="2"/>
          <w14:ligatures w14:val="standardContextual"/>
        </w:rPr>
      </w:pPr>
    </w:p>
    <w:p w14:paraId="65945F43" w14:textId="77777777" w:rsidR="00165D29" w:rsidRDefault="00165D29" w:rsidP="0037514F">
      <w:pPr>
        <w:spacing w:after="0" w:line="240" w:lineRule="auto"/>
        <w:rPr>
          <w:rFonts w:ascii="Verdana" w:eastAsia="Verdana" w:hAnsi="Verdana" w:cs="Verdana"/>
          <w:kern w:val="2"/>
          <w14:ligatures w14:val="standardContextual"/>
        </w:rPr>
      </w:pPr>
    </w:p>
    <w:p w14:paraId="0617734A" w14:textId="77777777" w:rsidR="00165D29" w:rsidRDefault="00165D29" w:rsidP="0037514F">
      <w:pPr>
        <w:spacing w:after="0" w:line="240" w:lineRule="auto"/>
        <w:rPr>
          <w:rFonts w:ascii="Verdana" w:eastAsia="Verdana" w:hAnsi="Verdana" w:cs="Verdana"/>
          <w:kern w:val="2"/>
          <w14:ligatures w14:val="standardContextual"/>
        </w:rPr>
      </w:pPr>
    </w:p>
    <w:p w14:paraId="61A65599" w14:textId="77777777" w:rsidR="00165D29" w:rsidRDefault="00165D29" w:rsidP="0037514F">
      <w:pPr>
        <w:spacing w:after="0" w:line="240" w:lineRule="auto"/>
        <w:rPr>
          <w:rFonts w:ascii="Verdana" w:eastAsia="Verdana" w:hAnsi="Verdana" w:cs="Verdana"/>
          <w:kern w:val="2"/>
          <w14:ligatures w14:val="standardContextual"/>
        </w:rPr>
      </w:pPr>
    </w:p>
    <w:p w14:paraId="2D9ABF65" w14:textId="77777777" w:rsidR="00165D29" w:rsidRDefault="00165D29" w:rsidP="0037514F">
      <w:pPr>
        <w:spacing w:after="0" w:line="240" w:lineRule="auto"/>
        <w:rPr>
          <w:rFonts w:ascii="Verdana" w:eastAsia="Verdana" w:hAnsi="Verdana" w:cs="Verdana"/>
          <w:kern w:val="2"/>
          <w14:ligatures w14:val="standardContextual"/>
        </w:rPr>
      </w:pPr>
    </w:p>
    <w:p w14:paraId="275F76CD" w14:textId="77777777" w:rsidR="00165D29" w:rsidRDefault="00165D29" w:rsidP="0037514F">
      <w:pPr>
        <w:spacing w:after="0" w:line="240" w:lineRule="auto"/>
        <w:rPr>
          <w:rFonts w:ascii="Verdana" w:eastAsia="Verdana" w:hAnsi="Verdana" w:cs="Verdana"/>
          <w:kern w:val="2"/>
          <w14:ligatures w14:val="standardContextual"/>
        </w:rPr>
      </w:pPr>
    </w:p>
    <w:p w14:paraId="5ADF15F5" w14:textId="77777777" w:rsidR="00165D29" w:rsidRDefault="00165D29" w:rsidP="0037514F">
      <w:pPr>
        <w:spacing w:after="0" w:line="240" w:lineRule="auto"/>
        <w:rPr>
          <w:rFonts w:ascii="Verdana" w:eastAsia="Verdana" w:hAnsi="Verdana" w:cs="Verdana"/>
          <w:kern w:val="2"/>
          <w14:ligatures w14:val="standardContextual"/>
        </w:rPr>
      </w:pPr>
    </w:p>
    <w:p w14:paraId="0D652696" w14:textId="77777777" w:rsidR="00165D29" w:rsidRDefault="00165D29" w:rsidP="0037514F">
      <w:pPr>
        <w:spacing w:after="0" w:line="240" w:lineRule="auto"/>
        <w:rPr>
          <w:rFonts w:ascii="Verdana" w:eastAsia="Verdana" w:hAnsi="Verdana" w:cs="Verdana"/>
          <w:kern w:val="2"/>
          <w14:ligatures w14:val="standardContextual"/>
        </w:rPr>
      </w:pPr>
    </w:p>
    <w:p w14:paraId="3A261605" w14:textId="77777777" w:rsidR="00165D29" w:rsidRDefault="00165D29" w:rsidP="0037514F">
      <w:pPr>
        <w:spacing w:after="0" w:line="240" w:lineRule="auto"/>
        <w:rPr>
          <w:rFonts w:ascii="Verdana" w:eastAsia="Verdana" w:hAnsi="Verdana" w:cs="Verdana"/>
          <w:kern w:val="2"/>
          <w14:ligatures w14:val="standardContextual"/>
        </w:rPr>
      </w:pPr>
    </w:p>
    <w:p w14:paraId="202085AD" w14:textId="77777777" w:rsidR="00165D29" w:rsidRDefault="00165D29" w:rsidP="0037514F">
      <w:pPr>
        <w:spacing w:after="0" w:line="240" w:lineRule="auto"/>
        <w:rPr>
          <w:rFonts w:ascii="Verdana" w:eastAsia="Verdana" w:hAnsi="Verdana" w:cs="Verdana"/>
          <w:kern w:val="2"/>
          <w14:ligatures w14:val="standardContextual"/>
        </w:rPr>
      </w:pPr>
    </w:p>
    <w:p w14:paraId="2D8BECF1" w14:textId="77777777" w:rsidR="00165D29" w:rsidRDefault="00165D29" w:rsidP="0037514F">
      <w:pPr>
        <w:spacing w:after="0" w:line="240" w:lineRule="auto"/>
        <w:rPr>
          <w:rFonts w:ascii="Verdana" w:eastAsia="Verdana" w:hAnsi="Verdana" w:cs="Verdana"/>
          <w:kern w:val="2"/>
          <w14:ligatures w14:val="standardContextual"/>
        </w:rPr>
      </w:pPr>
    </w:p>
    <w:p w14:paraId="09900621" w14:textId="77777777" w:rsidR="00291460" w:rsidRDefault="00291460" w:rsidP="0037514F">
      <w:pPr>
        <w:spacing w:after="0" w:line="240" w:lineRule="auto"/>
        <w:rPr>
          <w:rFonts w:ascii="Verdana" w:eastAsia="Verdana" w:hAnsi="Verdana" w:cs="Verdana"/>
          <w:kern w:val="2"/>
          <w14:ligatures w14:val="standardContextual"/>
        </w:rPr>
      </w:pPr>
    </w:p>
    <w:p w14:paraId="501FE1BB" w14:textId="5B5C9369" w:rsidR="0037514F" w:rsidRDefault="0037514F" w:rsidP="0037514F">
      <w:pPr>
        <w:spacing w:after="0" w:line="240" w:lineRule="auto"/>
        <w:rPr>
          <w:rFonts w:ascii="Verdana" w:eastAsia="Verdana" w:hAnsi="Verdana" w:cs="Verdana"/>
          <w:kern w:val="2"/>
          <w14:ligatures w14:val="standardContextual"/>
        </w:rPr>
      </w:pPr>
      <w:r w:rsidRPr="0037514F">
        <w:rPr>
          <w:rFonts w:ascii="Verdana" w:eastAsia="Verdana" w:hAnsi="Verdana" w:cs="Verdana"/>
          <w:kern w:val="2"/>
          <w14:ligatures w14:val="standardContextual"/>
        </w:rPr>
        <w:lastRenderedPageBreak/>
        <w:t xml:space="preserve">Bogotá D.C., </w:t>
      </w:r>
      <w:r w:rsidR="00EA4D61">
        <w:rPr>
          <w:rFonts w:ascii="Verdana" w:eastAsia="Verdana" w:hAnsi="Verdana" w:cs="Verdana"/>
          <w:kern w:val="2"/>
          <w14:ligatures w14:val="standardContextual"/>
        </w:rPr>
        <w:t>22 de octubre de 2026</w:t>
      </w:r>
    </w:p>
    <w:p w14:paraId="0E8DEA02" w14:textId="6D682AD3" w:rsidR="00EA4D61" w:rsidRDefault="00EA4D61" w:rsidP="0037514F">
      <w:pPr>
        <w:spacing w:after="0" w:line="240" w:lineRule="auto"/>
        <w:rPr>
          <w:rFonts w:ascii="Verdana" w:eastAsia="Verdana" w:hAnsi="Verdana" w:cs="Verdana"/>
          <w:kern w:val="2"/>
          <w14:ligatures w14:val="standardContextual"/>
        </w:rPr>
      </w:pPr>
    </w:p>
    <w:p w14:paraId="77D5556F" w14:textId="58169558" w:rsidR="00EA4D61" w:rsidRPr="0037514F" w:rsidRDefault="00EA4D61" w:rsidP="00EA4D61">
      <w:pPr>
        <w:spacing w:after="0" w:line="240" w:lineRule="auto"/>
        <w:jc w:val="right"/>
        <w:rPr>
          <w:rFonts w:ascii="Verdana" w:eastAsia="Verdana" w:hAnsi="Verdana" w:cs="Verdana"/>
          <w:kern w:val="2"/>
          <w14:ligatures w14:val="standardContextual"/>
        </w:rPr>
      </w:pPr>
    </w:p>
    <w:p w14:paraId="722394D4" w14:textId="503FD23E" w:rsidR="0037514F" w:rsidRPr="0037514F" w:rsidRDefault="00291460" w:rsidP="0037514F">
      <w:pPr>
        <w:spacing w:after="0" w:line="240" w:lineRule="auto"/>
        <w:rPr>
          <w:rFonts w:ascii="Verdana" w:eastAsia="Verdana" w:hAnsi="Verdana" w:cs="Verdana"/>
          <w:kern w:val="2"/>
          <w14:ligatures w14:val="standardContextual"/>
        </w:rPr>
      </w:pPr>
      <w:r w:rsidRPr="00EA4D61">
        <w:rPr>
          <w:rFonts w:ascii="Verdana" w:eastAsia="Verdana" w:hAnsi="Verdana" w:cs="Verdana"/>
          <w:noProof/>
          <w:kern w:val="2"/>
          <w14:ligatures w14:val="standardContextual"/>
        </w:rPr>
        <w:drawing>
          <wp:anchor distT="0" distB="0" distL="114300" distR="114300" simplePos="0" relativeHeight="251660288" behindDoc="0" locked="0" layoutInCell="1" allowOverlap="1" wp14:anchorId="31215452" wp14:editId="3B717C73">
            <wp:simplePos x="0" y="0"/>
            <wp:positionH relativeFrom="margin">
              <wp:align>right</wp:align>
            </wp:positionH>
            <wp:positionV relativeFrom="paragraph">
              <wp:posOffset>5715</wp:posOffset>
            </wp:positionV>
            <wp:extent cx="2534920" cy="882015"/>
            <wp:effectExtent l="0" t="0" r="0" b="0"/>
            <wp:wrapSquare wrapText="bothSides"/>
            <wp:docPr id="1752276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76425" name=""/>
                    <pic:cNvPicPr/>
                  </pic:nvPicPr>
                  <pic:blipFill>
                    <a:blip r:embed="rId10">
                      <a:extLst>
                        <a:ext uri="{28A0092B-C50C-407E-A947-70E740481C1C}">
                          <a14:useLocalDpi xmlns:a14="http://schemas.microsoft.com/office/drawing/2010/main" val="0"/>
                        </a:ext>
                      </a:extLst>
                    </a:blip>
                    <a:stretch>
                      <a:fillRect/>
                    </a:stretch>
                  </pic:blipFill>
                  <pic:spPr>
                    <a:xfrm>
                      <a:off x="0" y="0"/>
                      <a:ext cx="2534920" cy="882015"/>
                    </a:xfrm>
                    <a:prstGeom prst="rect">
                      <a:avLst/>
                    </a:prstGeom>
                  </pic:spPr>
                </pic:pic>
              </a:graphicData>
            </a:graphic>
            <wp14:sizeRelH relativeFrom="margin">
              <wp14:pctWidth>0</wp14:pctWidth>
            </wp14:sizeRelH>
            <wp14:sizeRelV relativeFrom="margin">
              <wp14:pctHeight>0</wp14:pctHeight>
            </wp14:sizeRelV>
          </wp:anchor>
        </w:drawing>
      </w:r>
    </w:p>
    <w:p w14:paraId="5A11774F" w14:textId="77777777" w:rsidR="0037514F" w:rsidRPr="0037514F" w:rsidRDefault="0037514F" w:rsidP="0037514F">
      <w:pPr>
        <w:spacing w:after="0" w:line="240" w:lineRule="auto"/>
        <w:rPr>
          <w:rFonts w:ascii="Verdana" w:eastAsia="Calibri" w:hAnsi="Verdana" w:cs="Arial"/>
          <w:lang w:val="es-ES" w:eastAsia="es-ES"/>
        </w:rPr>
      </w:pPr>
      <w:r w:rsidRPr="0037514F">
        <w:rPr>
          <w:rFonts w:ascii="Verdana" w:eastAsia="Calibri" w:hAnsi="Verdana" w:cs="Arial"/>
          <w:lang w:val="es-ES" w:eastAsia="es-ES"/>
        </w:rPr>
        <w:t>Señor</w:t>
      </w:r>
    </w:p>
    <w:p w14:paraId="6B1AF9EC" w14:textId="77777777" w:rsidR="0037514F" w:rsidRPr="0037514F" w:rsidRDefault="0037514F" w:rsidP="0037514F">
      <w:pPr>
        <w:spacing w:after="0" w:line="240" w:lineRule="auto"/>
        <w:rPr>
          <w:rFonts w:ascii="Verdana" w:eastAsia="Times New Roman" w:hAnsi="Verdana" w:cs="Times New Roman"/>
          <w:b/>
          <w:bCs/>
          <w:color w:val="242424"/>
          <w:shd w:val="clear" w:color="auto" w:fill="FFFFFF"/>
          <w:lang w:eastAsia="es-MX"/>
        </w:rPr>
      </w:pPr>
      <w:r w:rsidRPr="0037514F">
        <w:rPr>
          <w:rFonts w:ascii="Verdana" w:eastAsia="Times New Roman" w:hAnsi="Verdana" w:cs="Times New Roman"/>
          <w:b/>
          <w:bCs/>
          <w:color w:val="242424"/>
          <w:shd w:val="clear" w:color="auto" w:fill="FFFFFF"/>
          <w:lang w:eastAsia="es-MX"/>
        </w:rPr>
        <w:t>León Adel Haouchar Ramírez</w:t>
      </w:r>
    </w:p>
    <w:p w14:paraId="04F2C5FA" w14:textId="77777777" w:rsidR="0037514F" w:rsidRPr="0037514F" w:rsidRDefault="0037514F" w:rsidP="0037514F">
      <w:pPr>
        <w:spacing w:after="0" w:line="240" w:lineRule="auto"/>
        <w:rPr>
          <w:rFonts w:ascii="Verdana" w:eastAsia="Times New Roman" w:hAnsi="Verdana" w:cs="Times New Roman"/>
          <w:color w:val="242424"/>
          <w:shd w:val="clear" w:color="auto" w:fill="FFFFFF"/>
          <w:lang w:eastAsia="es-MX"/>
        </w:rPr>
      </w:pPr>
      <w:r w:rsidRPr="0037514F">
        <w:rPr>
          <w:rFonts w:ascii="Verdana" w:eastAsia="Times New Roman" w:hAnsi="Verdana" w:cs="Times New Roman"/>
          <w:color w:val="242424"/>
          <w:shd w:val="clear" w:color="auto" w:fill="FFFFFF"/>
          <w:lang w:eastAsia="es-MX"/>
        </w:rPr>
        <w:t>Profesional Especializado</w:t>
      </w:r>
    </w:p>
    <w:p w14:paraId="70A1C93B" w14:textId="77777777" w:rsidR="0037514F" w:rsidRPr="0037514F" w:rsidRDefault="0037514F" w:rsidP="0037514F">
      <w:pPr>
        <w:spacing w:after="0" w:line="240" w:lineRule="auto"/>
        <w:rPr>
          <w:rFonts w:ascii="Verdana" w:eastAsia="Times New Roman" w:hAnsi="Verdana" w:cs="Times New Roman"/>
          <w:color w:val="242424"/>
          <w:shd w:val="clear" w:color="auto" w:fill="FFFFFF"/>
          <w:lang w:eastAsia="es-MX"/>
        </w:rPr>
      </w:pPr>
      <w:r w:rsidRPr="0037514F">
        <w:rPr>
          <w:rFonts w:ascii="Verdana" w:eastAsia="Times New Roman" w:hAnsi="Verdana" w:cs="Times New Roman"/>
          <w:color w:val="242424"/>
          <w:shd w:val="clear" w:color="auto" w:fill="FFFFFF"/>
          <w:lang w:eastAsia="es-MX"/>
        </w:rPr>
        <w:t>Coordinador GRADF-DROC</w:t>
      </w:r>
    </w:p>
    <w:p w14:paraId="09B1CC3B" w14:textId="77777777" w:rsidR="0037514F" w:rsidRPr="0037514F" w:rsidRDefault="0037514F" w:rsidP="0037514F">
      <w:pPr>
        <w:spacing w:after="0" w:line="240" w:lineRule="auto"/>
        <w:rPr>
          <w:rFonts w:ascii="Verdana" w:eastAsia="Aptos" w:hAnsi="Verdana" w:cs="Times New Roman"/>
          <w:lang w:eastAsia="es-MX"/>
        </w:rPr>
      </w:pPr>
      <w:r w:rsidRPr="0037514F">
        <w:rPr>
          <w:rFonts w:ascii="Verdana" w:eastAsia="Aptos" w:hAnsi="Verdana" w:cs="Times New Roman"/>
          <w:lang w:eastAsia="es-MX"/>
        </w:rPr>
        <w:t>Instituto Nacional de Medicina Legal y Ciencias Forenses</w:t>
      </w:r>
    </w:p>
    <w:p w14:paraId="04F4A737" w14:textId="77777777" w:rsidR="0037514F" w:rsidRPr="0037514F" w:rsidRDefault="0037514F" w:rsidP="0037514F">
      <w:pPr>
        <w:spacing w:after="0" w:line="240" w:lineRule="auto"/>
        <w:rPr>
          <w:rFonts w:ascii="Verdana" w:eastAsia="Calibri" w:hAnsi="Verdana" w:cs="Arial"/>
          <w:b/>
          <w:bCs/>
          <w:lang w:val="es-ES_tradnl" w:eastAsia="es-ES_tradnl"/>
        </w:rPr>
      </w:pPr>
      <w:r w:rsidRPr="0037514F">
        <w:rPr>
          <w:rFonts w:ascii="Verdana" w:eastAsia="Aptos" w:hAnsi="Verdana" w:cs="Times New Roman"/>
          <w:lang w:eastAsia="es-MX"/>
        </w:rPr>
        <w:t>Ciudad</w:t>
      </w:r>
    </w:p>
    <w:p w14:paraId="38BF89CD" w14:textId="77777777" w:rsidR="0037514F" w:rsidRPr="0037514F" w:rsidRDefault="0037514F" w:rsidP="0037514F">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37514F" w:rsidRPr="0037514F" w14:paraId="5B64A256" w14:textId="77777777" w:rsidTr="00173079">
        <w:trPr>
          <w:trHeight w:val="326"/>
        </w:trPr>
        <w:tc>
          <w:tcPr>
            <w:tcW w:w="2268" w:type="dxa"/>
          </w:tcPr>
          <w:p w14:paraId="27164661" w14:textId="77777777" w:rsidR="0037514F" w:rsidRPr="0037514F" w:rsidRDefault="0037514F" w:rsidP="0037514F">
            <w:pPr>
              <w:jc w:val="both"/>
              <w:rPr>
                <w:rFonts w:ascii="Verdana" w:eastAsia="Calibri" w:hAnsi="Verdana" w:cs="Arial"/>
                <w:b/>
                <w:bCs/>
                <w:lang w:val="es-ES_tradnl" w:eastAsia="es-ES_tradnl"/>
              </w:rPr>
            </w:pPr>
          </w:p>
        </w:tc>
        <w:tc>
          <w:tcPr>
            <w:tcW w:w="6100" w:type="dxa"/>
          </w:tcPr>
          <w:p w14:paraId="1C96C6F7" w14:textId="77777777" w:rsidR="0037514F" w:rsidRPr="0037514F" w:rsidRDefault="0037514F" w:rsidP="0037514F">
            <w:pPr>
              <w:jc w:val="both"/>
              <w:rPr>
                <w:rFonts w:ascii="Verdana" w:eastAsia="Calibri" w:hAnsi="Verdana" w:cs="Arial"/>
                <w:b/>
                <w:bCs/>
                <w:lang w:val="es-ES" w:eastAsia="es-ES"/>
              </w:rPr>
            </w:pPr>
            <w:r w:rsidRPr="0037514F">
              <w:rPr>
                <w:rFonts w:ascii="Verdana" w:eastAsia="Calibri" w:hAnsi="Verdana" w:cs="Arial"/>
                <w:b/>
                <w:bCs/>
                <w:lang w:val="es-ES" w:eastAsia="es-ES"/>
              </w:rPr>
              <w:t xml:space="preserve">Concepto </w:t>
            </w:r>
            <w:bookmarkStart w:id="1" w:name="OLE_LINK1"/>
            <w:r w:rsidRPr="0037514F">
              <w:rPr>
                <w:rFonts w:ascii="Verdana" w:eastAsia="Calibri" w:hAnsi="Verdana" w:cs="Arial"/>
                <w:b/>
                <w:bCs/>
                <w:lang w:val="es-ES" w:eastAsia="es-ES"/>
              </w:rPr>
              <w:t>C-1453 de 2026</w:t>
            </w:r>
            <w:bookmarkEnd w:id="1"/>
          </w:p>
          <w:p w14:paraId="5F5BAF65" w14:textId="77777777" w:rsidR="0037514F" w:rsidRPr="0037514F" w:rsidRDefault="0037514F" w:rsidP="0037514F">
            <w:pPr>
              <w:jc w:val="both"/>
              <w:rPr>
                <w:rFonts w:ascii="Verdana" w:eastAsia="Calibri" w:hAnsi="Verdana" w:cs="Arial"/>
                <w:b/>
                <w:bCs/>
                <w:lang w:val="es-ES" w:eastAsia="es-ES"/>
              </w:rPr>
            </w:pPr>
          </w:p>
        </w:tc>
      </w:tr>
      <w:tr w:rsidR="0037514F" w:rsidRPr="0037514F" w14:paraId="65904F6D" w14:textId="77777777" w:rsidTr="00173079">
        <w:trPr>
          <w:trHeight w:val="884"/>
        </w:trPr>
        <w:tc>
          <w:tcPr>
            <w:tcW w:w="2268" w:type="dxa"/>
          </w:tcPr>
          <w:p w14:paraId="3EB4A59E" w14:textId="77777777" w:rsidR="0037514F" w:rsidRPr="0037514F" w:rsidRDefault="0037514F" w:rsidP="0037514F">
            <w:pPr>
              <w:jc w:val="both"/>
              <w:rPr>
                <w:rFonts w:ascii="Verdana" w:eastAsia="Calibri" w:hAnsi="Verdana" w:cs="Arial"/>
                <w:lang w:val="es-ES_tradnl" w:eastAsia="es-ES_tradnl"/>
              </w:rPr>
            </w:pPr>
            <w:r w:rsidRPr="0037514F">
              <w:rPr>
                <w:rFonts w:ascii="Verdana" w:eastAsia="Calibri" w:hAnsi="Verdana" w:cs="Arial"/>
                <w:b/>
                <w:lang w:val="es-ES_tradnl" w:eastAsia="es-ES_tradnl"/>
              </w:rPr>
              <w:t>Temas:</w:t>
            </w:r>
            <w:r w:rsidRPr="0037514F">
              <w:rPr>
                <w:rFonts w:ascii="Verdana" w:eastAsia="Calibri" w:hAnsi="Verdana" w:cs="Arial"/>
                <w:lang w:val="es-ES_tradnl" w:eastAsia="es-ES_tradnl"/>
              </w:rPr>
              <w:t xml:space="preserve">                   </w:t>
            </w:r>
          </w:p>
        </w:tc>
        <w:tc>
          <w:tcPr>
            <w:tcW w:w="6100" w:type="dxa"/>
          </w:tcPr>
          <w:p w14:paraId="33427936" w14:textId="69B44555" w:rsidR="0037514F" w:rsidRPr="0037514F" w:rsidRDefault="0037514F" w:rsidP="0037514F">
            <w:pPr>
              <w:spacing w:line="276" w:lineRule="auto"/>
              <w:jc w:val="both"/>
              <w:rPr>
                <w:rFonts w:ascii="Verdana" w:eastAsia="Aptos" w:hAnsi="Verdana" w:cs="Arial"/>
                <w:lang w:val="es-ES_tradnl" w:eastAsia="es-ES" w:bidi="es-ES"/>
              </w:rPr>
            </w:pPr>
            <w:r w:rsidRPr="0037514F">
              <w:rPr>
                <w:rFonts w:ascii="Verdana" w:eastAsia="Calibri" w:hAnsi="Verdana" w:cs="Arial"/>
                <w:lang w:val="es-ES_tradnl" w:eastAsia="es-MX"/>
              </w:rPr>
              <w:t>DOCUMENTOS TIPO – Fundamento normativo – Obligatoriedad  / SECTOR SOCIAL</w:t>
            </w:r>
            <w:r w:rsidRPr="0037514F">
              <w:rPr>
                <w:rFonts w:ascii="Verdana" w:eastAsia="Calibri" w:hAnsi="Verdana" w:cs="Times New Roman"/>
                <w:lang w:val="es-ES" w:eastAsia="es-MX"/>
              </w:rPr>
              <w:t xml:space="preserve"> – Documentos tipo – Vigentes / DOCUMENTOS TIPO – Aplicación – Matriz de Experiencia </w:t>
            </w:r>
            <w:r w:rsidRPr="0037514F">
              <w:rPr>
                <w:rFonts w:ascii="Verdana" w:eastAsia="Calibri" w:hAnsi="Verdana" w:cs="Times New Roman"/>
                <w:sz w:val="20"/>
                <w:szCs w:val="20"/>
                <w:lang w:val="es-ES" w:eastAsia="es-MX"/>
              </w:rPr>
              <w:t xml:space="preserve"> / </w:t>
            </w:r>
            <w:r w:rsidRPr="0037514F">
              <w:rPr>
                <w:rFonts w:ascii="Verdana" w:eastAsia="Calibri" w:hAnsi="Verdana" w:cs="Times New Roman"/>
                <w:lang w:val="es-ES" w:eastAsia="es-MX"/>
              </w:rPr>
              <w:t xml:space="preserve">DOCUMENTOS TIPO – Sector social – Infraestructura de servicio público – NSR-10 / INFRAESTRUCTURA DE SERVICIO PÚBLICO – Documentos tipo – Sector – Instituto Nacional de Medicina Legal y Ciencias Forenses – Aplicación / </w:t>
            </w:r>
            <w:r w:rsidRPr="0037514F">
              <w:rPr>
                <w:rFonts w:ascii="Verdana" w:eastAsia="Calibri" w:hAnsi="Verdana" w:cs="Arial"/>
                <w:lang w:eastAsia="es-ES_tradnl"/>
              </w:rPr>
              <w:t xml:space="preserve">DOCUMENTOS TIPO – Sector institucional – Infraestructura de servicio público – Actividad de mantenimiento – Subestaciones eléctricas – Motobombas – Tanques de almacenamiento – Sistemas de bombeo / </w:t>
            </w:r>
            <w:r w:rsidRPr="0037514F">
              <w:rPr>
                <w:rFonts w:ascii="Verdana" w:eastAsia="Arial" w:hAnsi="Verdana" w:cs="Arial"/>
                <w:lang w:val="es-ES"/>
              </w:rPr>
              <w:t>PRINCIPIO DE PUBLICIDAD – Concepto – Fundamento axiológico – Fundamento constitucional</w:t>
            </w:r>
            <w:r w:rsidRPr="0037514F">
              <w:rPr>
                <w:rFonts w:ascii="Verdana" w:eastAsia="Aptos" w:hAnsi="Verdana" w:cs="Arial"/>
                <w:lang w:val="es-ES_tradnl" w:eastAsia="es-ES" w:bidi="es-ES"/>
              </w:rPr>
              <w:t xml:space="preserve"> / PRINCIPIO DE PUBLICIDAD – SECOP – Documentos del proceso – Deber de publicación / SECOP II – Procedimiento Administrativo Electrónico – Autenticidad / PRINCIPIO DE PUBLICIDAD – Ámbito de aplicación – Decreto 1081 de 2015 – Decreto 1600 de 2024 / PRINCIPIO DE PUBLICIDAD – término de publicación – interpretación armónica - documentos de ejecución – SECOP II – SECOP I</w:t>
            </w:r>
          </w:p>
          <w:p w14:paraId="1830EC27" w14:textId="77777777" w:rsidR="0037514F" w:rsidRPr="0037514F" w:rsidRDefault="0037514F" w:rsidP="0037514F">
            <w:pPr>
              <w:jc w:val="both"/>
              <w:rPr>
                <w:rFonts w:ascii="Verdana" w:eastAsia="Calibri" w:hAnsi="Verdana" w:cs="Arial"/>
                <w:b/>
                <w:bCs/>
                <w:lang w:eastAsia="es-ES_tradnl"/>
              </w:rPr>
            </w:pPr>
          </w:p>
          <w:p w14:paraId="27E05E59" w14:textId="77777777" w:rsidR="0037514F" w:rsidRPr="0037514F" w:rsidRDefault="0037514F" w:rsidP="0037514F">
            <w:pPr>
              <w:jc w:val="both"/>
              <w:rPr>
                <w:rFonts w:ascii="Verdana" w:eastAsia="Calibri" w:hAnsi="Verdana" w:cs="Arial"/>
                <w:bCs/>
                <w:lang w:eastAsia="es-ES"/>
              </w:rPr>
            </w:pPr>
          </w:p>
        </w:tc>
      </w:tr>
      <w:tr w:rsidR="0037514F" w:rsidRPr="0037514F" w14:paraId="02C1184A" w14:textId="77777777" w:rsidTr="00173079">
        <w:tc>
          <w:tcPr>
            <w:tcW w:w="2268" w:type="dxa"/>
          </w:tcPr>
          <w:p w14:paraId="6C43F34B" w14:textId="77777777" w:rsidR="0037514F" w:rsidRPr="0037514F" w:rsidRDefault="0037514F" w:rsidP="0037514F">
            <w:pPr>
              <w:jc w:val="both"/>
              <w:rPr>
                <w:rFonts w:ascii="Verdana" w:eastAsia="Calibri" w:hAnsi="Verdana" w:cs="Arial"/>
                <w:b/>
                <w:lang w:val="es-ES_tradnl" w:eastAsia="es-ES_tradnl"/>
              </w:rPr>
            </w:pPr>
            <w:r w:rsidRPr="0037514F">
              <w:rPr>
                <w:rFonts w:ascii="Verdana" w:eastAsia="Calibri" w:hAnsi="Verdana" w:cs="Arial"/>
                <w:b/>
                <w:lang w:val="es-ES_tradnl" w:eastAsia="es-ES_tradnl"/>
              </w:rPr>
              <w:lastRenderedPageBreak/>
              <w:t>Radicación:</w:t>
            </w:r>
            <w:r w:rsidRPr="0037514F">
              <w:rPr>
                <w:rFonts w:ascii="Verdana" w:eastAsia="Calibri" w:hAnsi="Verdana" w:cs="Arial"/>
                <w:lang w:val="es-ES_tradnl" w:eastAsia="es-ES_tradnl"/>
              </w:rPr>
              <w:t xml:space="preserve">               </w:t>
            </w:r>
          </w:p>
        </w:tc>
        <w:tc>
          <w:tcPr>
            <w:tcW w:w="6100" w:type="dxa"/>
          </w:tcPr>
          <w:p w14:paraId="05D97744" w14:textId="77777777" w:rsidR="0037514F" w:rsidRPr="0037514F" w:rsidRDefault="0037514F" w:rsidP="0037514F">
            <w:pPr>
              <w:ind w:left="3" w:hanging="3"/>
              <w:jc w:val="both"/>
              <w:rPr>
                <w:rFonts w:ascii="Verdana" w:eastAsia="Calibri" w:hAnsi="Verdana" w:cs="Arial"/>
                <w:lang w:val="es-ES_tradnl" w:eastAsia="es-ES_tradnl"/>
              </w:rPr>
            </w:pPr>
            <w:r w:rsidRPr="0037514F">
              <w:rPr>
                <w:rFonts w:ascii="Verdana" w:eastAsia="Calibri" w:hAnsi="Verdana" w:cs="Arial"/>
                <w:lang w:val="es-ES_tradnl" w:eastAsia="es-ES_tradnl"/>
              </w:rPr>
              <w:t>Respuesta a consulta con radicado No. 1_2026_09_15_012293</w:t>
            </w:r>
          </w:p>
        </w:tc>
      </w:tr>
    </w:tbl>
    <w:p w14:paraId="44CD8548" w14:textId="77777777" w:rsidR="0037514F" w:rsidRPr="0037514F" w:rsidRDefault="0037514F" w:rsidP="0037514F">
      <w:pPr>
        <w:spacing w:after="0" w:line="240" w:lineRule="auto"/>
        <w:jc w:val="both"/>
        <w:rPr>
          <w:rFonts w:ascii="Verdana" w:eastAsia="Calibri" w:hAnsi="Verdana" w:cs="Arial"/>
          <w:lang w:val="es-ES_tradnl" w:eastAsia="es-ES_tradnl"/>
        </w:rPr>
      </w:pPr>
    </w:p>
    <w:p w14:paraId="1B7EF00E" w14:textId="77777777" w:rsidR="0037514F" w:rsidRPr="0037514F" w:rsidRDefault="0037514F" w:rsidP="0037514F">
      <w:pPr>
        <w:spacing w:after="0" w:line="276" w:lineRule="auto"/>
        <w:jc w:val="both"/>
        <w:rPr>
          <w:rFonts w:ascii="Verdana" w:eastAsia="Calibri" w:hAnsi="Verdana" w:cs="Arial"/>
          <w:lang w:val="es-ES" w:eastAsia="es-ES"/>
        </w:rPr>
      </w:pPr>
      <w:r w:rsidRPr="0037514F">
        <w:rPr>
          <w:rFonts w:ascii="Verdana" w:eastAsia="Calibri" w:hAnsi="Verdana" w:cs="Arial"/>
          <w:lang w:val="es-ES" w:eastAsia="es-ES"/>
        </w:rPr>
        <w:t xml:space="preserve">Estimado señor </w:t>
      </w:r>
      <w:proofErr w:type="spellStart"/>
      <w:r w:rsidRPr="0037514F">
        <w:rPr>
          <w:rFonts w:ascii="Verdana" w:eastAsia="Times New Roman" w:hAnsi="Verdana" w:cs="Times New Roman"/>
          <w:color w:val="242424"/>
          <w:shd w:val="clear" w:color="auto" w:fill="FFFFFF"/>
          <w:lang w:eastAsia="es-MX"/>
        </w:rPr>
        <w:t>Haouchar</w:t>
      </w:r>
      <w:proofErr w:type="spellEnd"/>
      <w:r w:rsidRPr="0037514F">
        <w:rPr>
          <w:rFonts w:ascii="Verdana" w:eastAsia="Times New Roman" w:hAnsi="Verdana" w:cs="Times New Roman"/>
          <w:color w:val="242424"/>
          <w:shd w:val="clear" w:color="auto" w:fill="FFFFFF"/>
          <w:lang w:eastAsia="es-MX"/>
        </w:rPr>
        <w:t xml:space="preserve"> Ramírez</w:t>
      </w:r>
      <w:r w:rsidRPr="0037514F">
        <w:rPr>
          <w:rFonts w:ascii="Verdana" w:eastAsia="Calibri" w:hAnsi="Verdana" w:cs="Arial"/>
          <w:lang w:val="es-ES" w:eastAsia="es-ES"/>
        </w:rPr>
        <w:t xml:space="preserve">: </w:t>
      </w:r>
    </w:p>
    <w:p w14:paraId="6FCC0BD8" w14:textId="77777777" w:rsidR="0037514F" w:rsidRPr="0037514F" w:rsidRDefault="0037514F" w:rsidP="0037514F">
      <w:pPr>
        <w:tabs>
          <w:tab w:val="left" w:pos="3768"/>
        </w:tabs>
        <w:spacing w:after="0" w:line="276" w:lineRule="auto"/>
        <w:jc w:val="both"/>
        <w:rPr>
          <w:rFonts w:ascii="Verdana" w:eastAsia="Calibri" w:hAnsi="Verdana" w:cs="Arial"/>
          <w:lang w:val="es-ES" w:eastAsia="es-ES"/>
        </w:rPr>
      </w:pPr>
      <w:r w:rsidRPr="0037514F">
        <w:rPr>
          <w:rFonts w:ascii="Verdana" w:eastAsia="Calibri" w:hAnsi="Verdana" w:cs="Arial"/>
          <w:lang w:val="es-ES" w:eastAsia="es-ES"/>
        </w:rPr>
        <w:tab/>
      </w:r>
    </w:p>
    <w:p w14:paraId="01EF579B" w14:textId="77777777" w:rsidR="0037514F" w:rsidRPr="0037514F" w:rsidRDefault="0037514F" w:rsidP="0037514F">
      <w:pPr>
        <w:spacing w:after="0" w:line="276" w:lineRule="auto"/>
        <w:jc w:val="both"/>
        <w:rPr>
          <w:rFonts w:ascii="Verdana" w:eastAsia="Calibri" w:hAnsi="Verdana" w:cs="Arial"/>
          <w:lang w:val="es-ES" w:eastAsia="es-ES"/>
        </w:rPr>
      </w:pPr>
      <w:r w:rsidRPr="0037514F">
        <w:rPr>
          <w:rFonts w:ascii="Verdana" w:eastAsia="Calibri" w:hAnsi="Verdana" w:cs="Arial"/>
          <w:lang w:val="es-ES" w:eastAsia="es-ES"/>
        </w:rPr>
        <w:t>En ejercicio de la competencia otorgada por los artículos 3, numeral 5º, y 11, numeral 8º, del Decreto Ley 4170 de 2011,</w:t>
      </w:r>
      <w:r w:rsidRPr="0037514F">
        <w:rPr>
          <w:rFonts w:ascii="Verdana" w:eastAsia="Arial MT" w:hAnsi="Verdana" w:cs="Arial MT"/>
          <w:lang w:val="es-ES" w:eastAsia="es-ES"/>
        </w:rPr>
        <w:t xml:space="preserve"> </w:t>
      </w:r>
      <w:r w:rsidRPr="0037514F">
        <w:rPr>
          <w:rFonts w:ascii="Verdana" w:eastAsia="Calibri" w:hAnsi="Verdana" w:cs="Arial"/>
          <w:lang w:eastAsia="es-MX"/>
        </w:rPr>
        <w:t xml:space="preserve">así como lo establecido por la </w:t>
      </w:r>
      <w:r w:rsidRPr="0037514F">
        <w:rPr>
          <w:rFonts w:ascii="Verdana" w:eastAsia="Aptos" w:hAnsi="Verdana" w:cs="Arial"/>
          <w:bCs/>
          <w:lang w:eastAsia="es-ES" w:bidi="es-ES"/>
        </w:rPr>
        <w:t>Resolución 469 de 2025 expedida por esta Entidad</w:t>
      </w:r>
      <w:r w:rsidRPr="0037514F">
        <w:rPr>
          <w:rFonts w:ascii="Verdana" w:eastAsia="Calibri" w:hAnsi="Verdana" w:cs="Arial"/>
          <w:lang w:eastAsia="es-MX"/>
        </w:rPr>
        <w:t xml:space="preserve">, </w:t>
      </w:r>
      <w:r w:rsidRPr="0037514F">
        <w:rPr>
          <w:rFonts w:ascii="Verdana" w:eastAsia="Calibri" w:hAnsi="Verdana" w:cs="Arial"/>
          <w:lang w:val="es-ES" w:eastAsia="es-ES"/>
        </w:rPr>
        <w:t xml:space="preserve">la Agencia Nacional de Contratación Pública – Colombia Compra Eficiente– responde su solicitud de consulta del 15 de septiembre de 2026, en la cual manifiesta lo siguiente: </w:t>
      </w:r>
    </w:p>
    <w:p w14:paraId="56008BA1" w14:textId="77777777" w:rsidR="0037514F" w:rsidRPr="0037514F" w:rsidRDefault="0037514F" w:rsidP="0037514F">
      <w:pPr>
        <w:tabs>
          <w:tab w:val="left" w:pos="142"/>
          <w:tab w:val="left" w:pos="284"/>
        </w:tabs>
        <w:spacing w:after="0" w:line="276" w:lineRule="auto"/>
        <w:ind w:left="709" w:right="709"/>
        <w:jc w:val="both"/>
        <w:rPr>
          <w:rFonts w:ascii="Verdana" w:eastAsia="Century Gothic" w:hAnsi="Verdana" w:cs="Century Gothic"/>
          <w:b/>
          <w:bCs/>
          <w:lang w:eastAsia="es-MX"/>
        </w:rPr>
      </w:pPr>
    </w:p>
    <w:p w14:paraId="6DF993C7" w14:textId="77777777" w:rsidR="0037514F" w:rsidRPr="0037514F" w:rsidRDefault="0037514F" w:rsidP="0037514F">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7514F">
        <w:rPr>
          <w:rFonts w:ascii="Verdana" w:eastAsia="Times New Roman" w:hAnsi="Verdana" w:cs="Times New Roman"/>
          <w:color w:val="242424"/>
          <w:sz w:val="20"/>
          <w:szCs w:val="20"/>
          <w:lang w:eastAsia="es-MX"/>
        </w:rPr>
        <w:t>“</w:t>
      </w:r>
      <w:r w:rsidRPr="0037514F">
        <w:rPr>
          <w:rFonts w:ascii="Verdana" w:eastAsia="Aptos" w:hAnsi="Verdana" w:cs="Times New Roman"/>
          <w:kern w:val="2"/>
          <w:sz w:val="20"/>
          <w:szCs w:val="20"/>
          <w14:ligatures w14:val="standardContextual"/>
        </w:rPr>
        <w:t xml:space="preserve">1.2 SOLICITUD RESPECTO A DOCUMENTOS TIPO </w:t>
      </w:r>
    </w:p>
    <w:p w14:paraId="1AA7268B" w14:textId="77777777" w:rsidR="0037514F" w:rsidRPr="0037514F" w:rsidRDefault="0037514F" w:rsidP="0037514F">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El Instituto Nacional de Medicina Legal y Ciencias Forenses es un establecimiento público del orden nacional, creado en la Constitución Colombiana de 1991, y por medio de la Ley 938 de 2004 - Estatuto Orgánico de la Fiscalía General de la Nación se define todo lo relacionado con los aspectos de ser una entidad adscrita a la Fiscalía, lo que nos convierte en una entidad perteneciente a la rama judicial. Con base en lo anterior, respetuosamente solicitamos a ustedes conceptuar lo siguiente: </w:t>
      </w:r>
    </w:p>
    <w:p w14:paraId="197E4F88" w14:textId="77777777" w:rsidR="0037514F" w:rsidRPr="0037514F" w:rsidRDefault="0037514F" w:rsidP="0037514F">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1.2.1 Si la aplicación de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son de aplicación obligatoria para el Instituto Nacional de Medicina Legal y Ciencias Forenses, institución que dentro de su misionalidad presta apoyo técnico-científico a la administración de justicia. Lo anterior en el entendido que no observo que se encuentre enmarcado dentro de los sectores anteriormente citados en el marco normativo. </w:t>
      </w:r>
    </w:p>
    <w:p w14:paraId="1DBDCE41" w14:textId="77777777" w:rsidR="0037514F" w:rsidRPr="0037514F" w:rsidRDefault="0037514F" w:rsidP="0037514F">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1.2.2 Si con base en las definiciones de obra púbica indicadas en las norma señaladas en la parte inicial del presente documento, que corresponden a intervenciones sobre inmuebles, los procesos de selección a los cuales se les debe aplicar los documentos tipo, ¿deben taxativamente corresponder precisamente a obras públicas sobre inmuebles?, ya que se puede estar asociando esta parte a contratos, cuya tipología contractual corresponde de servicios de mantenimiento; tales como el mantenimiento de un aire acondicionado, mantenimiento de una planta eléctrica, así como otros equipos, que si bien deben estar ubicados de una u otra forma en la edificación, son independientes del inmueble, es decir, son equipos inventariados como tal en los activos fijos de la entidad. </w:t>
      </w:r>
    </w:p>
    <w:p w14:paraId="159E4FC9" w14:textId="77777777" w:rsidR="0037514F" w:rsidRPr="0037514F" w:rsidRDefault="0037514F" w:rsidP="0037514F">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lastRenderedPageBreak/>
        <w:t>Lo anterior, en el entendido que si bien es cierto que un proceso realmente de obra pública sobre un inmueble por mínima cuantía, según el presupuesto de cada entidad, debe aplicársela los documentos tipo definidos por la ANCP - CCE, que al pasar de 12 o 15 folios a más o menos 110 a 120 folios ya de por sí es desgastante, tanto para la entidad pública como para los proveedores y proponentes, también lo es que el considerar un servicio de mantenimiento de equipos que no son inmuebles, desgasta la contratación de mínima, que por esencia normativa de orden legal y reglamentaria corresponden a procesos simples y sencillos para agilizar la contratación, desde luego cumpliendo con la normatividad y principios de la contratación.</w:t>
      </w:r>
    </w:p>
    <w:p w14:paraId="75678006"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2. PUBLICIDAD DE DOCUMENTOS EN EL SECOP 2.1 NORMATIVIDAD Y POSIBLES SITUACIONES PRESENTADAS </w:t>
      </w:r>
    </w:p>
    <w:p w14:paraId="1EA75440"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En el artículo 2.2.1.1.1.7.1 del Decreto 1082 de 2015, se establece que las entidades estatales tienen la obligación de publicar los documentos del proceso y los actos administrativos del proceso de contratación en el SECOP dentro de los tres (3) días siguientes a su expedición. </w:t>
      </w:r>
    </w:p>
    <w:p w14:paraId="1457EEA6"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La oferta que debe ser publicada es la del adjudicatario del proceso de contratación. Los documentos de las operaciones que se realicen en bolsa de productos no tienen que ser publicadas en el SECOP. La entidad estatal está obligada a publicar oportunamente el aviso de convocatoria o la invitación en los procesos de contratación de mínima cuantía y el proyecto de pliego de condiciones en el SECOP, para que los interesados en el proceso de contratación puedan presentar observaciones o solicitar aclaraciones en el término previsto para efecto en el artículo 2.2.1.1.2.1.4 del presente decreto. Soy un completo convencido que el espíritu de la norma indicada, los lineamientos de la ANCP – CCE y la plataforma del SECOP fortalecen los principios de publicidad y transparencia en la contratación pública, por lo que con la publicación de todos los documentos expedidos dentro y durante el proceso de contratación se fortalece la contratación pública y la confianza que las entidades deben brindar a la comunidad y participantes en los procesos de selección. </w:t>
      </w:r>
    </w:p>
    <w:p w14:paraId="0C6B1027"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Si bien lo anterior es cierto, también lo es que, dentro de la dinámica de la contratación pública se presentan múltiples situaciones que, cumpliendo con los términos legales de cada una, pueden no alcanzarse a publicar el mismo día, tales como; i) Una prórroga, una modificación del valor, una aclaración o cualquier otra situación que no se pudo publicar el mismo día en que se realizaron. </w:t>
      </w:r>
      <w:proofErr w:type="spellStart"/>
      <w:r w:rsidRPr="0037514F">
        <w:rPr>
          <w:rFonts w:ascii="Verdana" w:eastAsia="Aptos" w:hAnsi="Verdana" w:cs="Times New Roman"/>
          <w:kern w:val="2"/>
          <w:sz w:val="20"/>
          <w:szCs w:val="20"/>
          <w14:ligatures w14:val="standardContextual"/>
        </w:rPr>
        <w:t>ii</w:t>
      </w:r>
      <w:proofErr w:type="spellEnd"/>
      <w:r w:rsidRPr="0037514F">
        <w:rPr>
          <w:rFonts w:ascii="Verdana" w:eastAsia="Aptos" w:hAnsi="Verdana" w:cs="Times New Roman"/>
          <w:kern w:val="2"/>
          <w:sz w:val="20"/>
          <w:szCs w:val="20"/>
          <w14:ligatures w14:val="standardContextual"/>
        </w:rPr>
        <w:t xml:space="preserve">) Dificultades de conectividad, fallas eléctricas o cualquier otro aspecto técnico que de igual forma pueden dificultar la publicación. </w:t>
      </w:r>
      <w:proofErr w:type="spellStart"/>
      <w:r w:rsidRPr="0037514F">
        <w:rPr>
          <w:rFonts w:ascii="Verdana" w:eastAsia="Aptos" w:hAnsi="Verdana" w:cs="Times New Roman"/>
          <w:kern w:val="2"/>
          <w:sz w:val="20"/>
          <w:szCs w:val="20"/>
          <w14:ligatures w14:val="standardContextual"/>
        </w:rPr>
        <w:t>iii</w:t>
      </w:r>
      <w:proofErr w:type="spellEnd"/>
      <w:r w:rsidRPr="0037514F">
        <w:rPr>
          <w:rFonts w:ascii="Verdana" w:eastAsia="Aptos" w:hAnsi="Verdana" w:cs="Times New Roman"/>
          <w:kern w:val="2"/>
          <w:sz w:val="20"/>
          <w:szCs w:val="20"/>
          <w14:ligatures w14:val="standardContextual"/>
        </w:rPr>
        <w:t xml:space="preserve">) Documentos no recibidos a tiempo por parte de un contratista. </w:t>
      </w:r>
      <w:proofErr w:type="spellStart"/>
      <w:r w:rsidRPr="0037514F">
        <w:rPr>
          <w:rFonts w:ascii="Verdana" w:eastAsia="Aptos" w:hAnsi="Verdana" w:cs="Times New Roman"/>
          <w:kern w:val="2"/>
          <w:sz w:val="20"/>
          <w:szCs w:val="20"/>
          <w14:ligatures w14:val="standardContextual"/>
        </w:rPr>
        <w:t>iv</w:t>
      </w:r>
      <w:proofErr w:type="spellEnd"/>
      <w:r w:rsidRPr="0037514F">
        <w:rPr>
          <w:rFonts w:ascii="Verdana" w:eastAsia="Aptos" w:hAnsi="Verdana" w:cs="Times New Roman"/>
          <w:kern w:val="2"/>
          <w:sz w:val="20"/>
          <w:szCs w:val="20"/>
          <w14:ligatures w14:val="standardContextual"/>
        </w:rPr>
        <w:t xml:space="preserve">) Siendo sincero, se puede presentar un error humano, que es factible dentro de la ya compleja contratación pública, el cual, no se logró publicar el mismo día de la generación del documento, por lo que se debe publicar el día hábil siguiente, de acuerdo al citado artículo. Aclaro </w:t>
      </w:r>
      <w:r w:rsidRPr="0037514F">
        <w:rPr>
          <w:rFonts w:ascii="Verdana" w:eastAsia="Aptos" w:hAnsi="Verdana" w:cs="Times New Roman"/>
          <w:kern w:val="2"/>
          <w:sz w:val="20"/>
          <w:szCs w:val="20"/>
          <w14:ligatures w14:val="standardContextual"/>
        </w:rPr>
        <w:lastRenderedPageBreak/>
        <w:t xml:space="preserve">que no estoy refiriéndome a situaciones reiteras ni sistemáticas; nada más faltaba, si no a situaciones puntuales que eventualmente se pueden presentar, y que la administración pública debe atender que, para este tema en particular es acudir a lo contemplado en el 2.2.1.1.1.7.1 del Decreto 1082 de 2015 para publicar un documento puntual. </w:t>
      </w:r>
    </w:p>
    <w:p w14:paraId="02576457"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2.2 SOLICITUD De la exposición presentada y amparado estrictamente en lo establecido en el artículo 2.2.1.1.1.7.1 del Decreto 1082 de 2015, respetuosamente solicito a ustedes informarme si publicar un documento posterior al desarrollo del contrato el día hábil siguiente en la plataforma del SECOP II, desde luego, con el cumplimiento de los términos en su generación, constituye un proceder indebido en la contratación pública. Lo anterior, en el entendido que es importante contar con criterios unificados dentro de cualquier entidad pública, evitando así posiciones diferentes que pueden dificultar la misma contratación.</w:t>
      </w:r>
    </w:p>
    <w:p w14:paraId="6DB10B9C"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3. OBLIGACIONES POSTERIOR A LA LIQUIDACIÓN </w:t>
      </w:r>
    </w:p>
    <w:p w14:paraId="3C174DBF"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3.1 NORMATIVIDAD </w:t>
      </w:r>
    </w:p>
    <w:p w14:paraId="650E5C58"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Artículo 2.2.1.1.2.4.3 del Decreto 1082 de 2015 - obligaciones posteriores a la liquidación: Indica taxativamente que “vencidos los términos de las garantías de calidad, estabilidad y mantenimiento, o las condiciones de disposición final o recuperación ambiental de las obras o bienes, la entidad estatal debe dejar constancia del cierre del expediente del proceso de contratación”. </w:t>
      </w:r>
    </w:p>
    <w:p w14:paraId="72F99281" w14:textId="77777777" w:rsidR="0037514F" w:rsidRPr="0037514F" w:rsidRDefault="0037514F" w:rsidP="0037514F">
      <w:pPr>
        <w:spacing w:after="12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 xml:space="preserve">Resalto con negrilla el componente del título del artículo, donde taxativamente indica obligaciones posteriores a la liquidación, lo que considero no permite una posición distinta a lo que el espíritu de dicha norma expresa, es decir, todo contrato que por su tipología sea objeto de liquidación, tales como contratos de obra, tracto sucesivo por servicios y suministros. Inclusive, y pudiendo estar equivocado, me atrevería a considerar que lo indicado en el citado artículo hace referencia a contratos de obra. </w:t>
      </w:r>
    </w:p>
    <w:p w14:paraId="6B764656" w14:textId="77777777" w:rsidR="0037514F" w:rsidRPr="0037514F" w:rsidRDefault="0037514F" w:rsidP="0037514F">
      <w:pPr>
        <w:spacing w:after="0" w:line="240" w:lineRule="auto"/>
        <w:ind w:left="700" w:right="709"/>
        <w:jc w:val="both"/>
        <w:rPr>
          <w:rFonts w:ascii="Verdana" w:eastAsia="Aptos" w:hAnsi="Verdana" w:cs="Times New Roman"/>
          <w:kern w:val="2"/>
          <w:sz w:val="20"/>
          <w:szCs w:val="20"/>
          <w14:ligatures w14:val="standardContextual"/>
        </w:rPr>
      </w:pPr>
      <w:r w:rsidRPr="0037514F">
        <w:rPr>
          <w:rFonts w:ascii="Verdana" w:eastAsia="Aptos" w:hAnsi="Verdana" w:cs="Times New Roman"/>
          <w:kern w:val="2"/>
          <w:sz w:val="20"/>
          <w:szCs w:val="20"/>
          <w14:ligatures w14:val="standardContextual"/>
        </w:rPr>
        <w:t>3.2 SOLICITUD Con base en lo anterior y amparados estrictamente en lo establecido en el artículo 2.2.1.1.2.4.3, respetuosamente solicito a ustedes indicarme si todos los procesos de contratación, incluyendo los que no son objeto de liquidación debe ser objeto de cierre al expediente contractual.”.</w:t>
      </w:r>
    </w:p>
    <w:p w14:paraId="33754B9A" w14:textId="77777777" w:rsidR="0037514F" w:rsidRPr="0037514F" w:rsidRDefault="0037514F" w:rsidP="0037514F">
      <w:pPr>
        <w:spacing w:after="0" w:line="240" w:lineRule="auto"/>
        <w:ind w:left="700" w:right="709"/>
        <w:jc w:val="both"/>
        <w:rPr>
          <w:rFonts w:ascii="Verdana" w:eastAsia="Aptos" w:hAnsi="Verdana" w:cs="Arial"/>
          <w:sz w:val="21"/>
          <w:szCs w:val="21"/>
          <w:lang w:eastAsia="es-MX"/>
        </w:rPr>
      </w:pPr>
    </w:p>
    <w:p w14:paraId="35E21E40" w14:textId="77777777" w:rsidR="0037514F" w:rsidRPr="0037514F" w:rsidRDefault="0037514F" w:rsidP="0037514F">
      <w:pPr>
        <w:spacing w:after="120" w:line="276" w:lineRule="auto"/>
        <w:ind w:firstLine="709"/>
        <w:jc w:val="both"/>
        <w:rPr>
          <w:rFonts w:ascii="Verdana" w:eastAsia="Calibri" w:hAnsi="Verdana" w:cs="Arial"/>
          <w:color w:val="000000"/>
          <w:lang w:val="es-ES" w:eastAsia="es-ES"/>
        </w:rPr>
      </w:pPr>
      <w:r w:rsidRPr="0037514F">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37514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7514F">
        <w:rPr>
          <w:rFonts w:ascii="Verdana" w:eastAsia="Calibri" w:hAnsi="Verdana" w:cs="Arial"/>
          <w:color w:val="000000"/>
          <w:lang w:val="es-ES_tradnl" w:eastAsia="es-ES_tradnl"/>
        </w:rPr>
        <w:tab/>
      </w:r>
    </w:p>
    <w:p w14:paraId="3EAF45C8" w14:textId="77777777" w:rsidR="0037514F" w:rsidRPr="0037514F" w:rsidRDefault="0037514F" w:rsidP="0037514F">
      <w:pPr>
        <w:spacing w:after="0" w:line="276" w:lineRule="auto"/>
        <w:ind w:firstLine="709"/>
        <w:jc w:val="both"/>
        <w:rPr>
          <w:rFonts w:ascii="Verdana" w:eastAsia="Calibri" w:hAnsi="Verdana" w:cs="Arial"/>
          <w:color w:val="000000"/>
          <w:lang w:val="es-ES" w:eastAsia="es-ES"/>
        </w:rPr>
      </w:pPr>
      <w:r w:rsidRPr="0037514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37514F">
        <w:rPr>
          <w:rFonts w:ascii="Verdana" w:eastAsia="Calibri" w:hAnsi="Verdana" w:cs="Arial"/>
          <w:color w:val="7030A0"/>
          <w:lang w:val="es-ES" w:eastAsia="es-ES"/>
        </w:rPr>
        <w:t xml:space="preserve"> </w:t>
      </w:r>
      <w:r w:rsidRPr="0037514F">
        <w:rPr>
          <w:rFonts w:ascii="Verdana" w:eastAsia="Calibri" w:hAnsi="Verdana" w:cs="Arial"/>
          <w:color w:val="000000"/>
          <w:lang w:val="es-ES" w:eastAsia="es-ES"/>
        </w:rPr>
        <w:t>problema</w:t>
      </w:r>
      <w:r w:rsidRPr="0037514F">
        <w:rPr>
          <w:rFonts w:ascii="Verdana" w:eastAsia="Calibri" w:hAnsi="Verdana" w:cs="Arial"/>
          <w:color w:val="7030A0"/>
          <w:lang w:val="es-ES" w:eastAsia="es-ES"/>
        </w:rPr>
        <w:t xml:space="preserve"> </w:t>
      </w:r>
      <w:r w:rsidRPr="0037514F">
        <w:rPr>
          <w:rFonts w:ascii="Verdana" w:eastAsia="Calibri" w:hAnsi="Verdana" w:cs="Arial"/>
          <w:color w:val="000000"/>
          <w:lang w:val="es-ES" w:eastAsia="es-ES"/>
        </w:rPr>
        <w:t>jurídico</w:t>
      </w:r>
      <w:r w:rsidRPr="0037514F">
        <w:rPr>
          <w:rFonts w:ascii="Verdana" w:eastAsia="Calibri" w:hAnsi="Verdana" w:cs="Arial"/>
          <w:color w:val="7030A0"/>
          <w:lang w:val="es-ES" w:eastAsia="es-ES"/>
        </w:rPr>
        <w:t xml:space="preserve"> </w:t>
      </w:r>
      <w:r w:rsidRPr="0037514F">
        <w:rPr>
          <w:rFonts w:ascii="Verdana" w:eastAsia="Calibri" w:hAnsi="Verdana" w:cs="Arial"/>
          <w:color w:val="000000"/>
          <w:lang w:val="es-ES" w:eastAsia="es-ES"/>
        </w:rPr>
        <w:t xml:space="preserve">de su consulta. </w:t>
      </w:r>
    </w:p>
    <w:p w14:paraId="6514DCE6" w14:textId="77777777" w:rsidR="0037514F" w:rsidRPr="0037514F" w:rsidRDefault="0037514F" w:rsidP="0037514F">
      <w:pPr>
        <w:spacing w:after="0" w:line="276" w:lineRule="auto"/>
        <w:jc w:val="both"/>
        <w:rPr>
          <w:rFonts w:ascii="Verdana" w:eastAsia="Calibri" w:hAnsi="Verdana" w:cs="Arial"/>
          <w:lang w:val="es-ES" w:eastAsia="es-ES"/>
        </w:rPr>
      </w:pPr>
    </w:p>
    <w:p w14:paraId="6C6B5C30" w14:textId="77777777" w:rsidR="0037514F" w:rsidRPr="0037514F" w:rsidRDefault="0037514F" w:rsidP="0037514F">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37514F">
        <w:rPr>
          <w:rFonts w:ascii="Verdana" w:eastAsia="Century Gothic" w:hAnsi="Verdana" w:cs="Century Gothic"/>
          <w:b/>
          <w:bCs/>
          <w:lang w:eastAsia="es-MX"/>
        </w:rPr>
        <w:t>Problema planteado:</w:t>
      </w:r>
    </w:p>
    <w:p w14:paraId="6DBC8835" w14:textId="77777777" w:rsidR="0037514F" w:rsidRPr="0037514F" w:rsidRDefault="0037514F" w:rsidP="0037514F">
      <w:pPr>
        <w:tabs>
          <w:tab w:val="left" w:pos="426"/>
        </w:tabs>
        <w:spacing w:after="0" w:line="276" w:lineRule="auto"/>
        <w:jc w:val="both"/>
        <w:rPr>
          <w:rFonts w:ascii="Verdana" w:eastAsia="Century Gothic" w:hAnsi="Verdana" w:cs="Century Gothic"/>
          <w:lang w:val="es-ES" w:eastAsia="es-MX"/>
        </w:rPr>
      </w:pPr>
    </w:p>
    <w:p w14:paraId="74C2534F" w14:textId="77777777" w:rsidR="0037514F" w:rsidRPr="0037514F" w:rsidRDefault="0037514F" w:rsidP="0037514F">
      <w:pPr>
        <w:spacing w:after="0" w:line="276" w:lineRule="auto"/>
        <w:jc w:val="both"/>
        <w:rPr>
          <w:rFonts w:ascii="Verdana" w:eastAsia="Times New Roman" w:hAnsi="Verdana" w:cs="Arial"/>
          <w:lang w:val="es-ES" w:eastAsia="es-ES"/>
          <w14:ligatures w14:val="standardContextual"/>
        </w:rPr>
      </w:pPr>
      <w:r w:rsidRPr="0037514F">
        <w:rPr>
          <w:rFonts w:ascii="Verdana" w:eastAsia="Aptos" w:hAnsi="Verdana" w:cs="Times New Roman"/>
          <w:kern w:val="2"/>
          <w14:ligatures w14:val="standardContextual"/>
        </w:rPr>
        <w:t xml:space="preserve">De acuerdo con el contenido de su solicitud, esta Agencia resolverá los siguientes problemas jurídicos: i) ¿Qué documentos tipo del sector institucional debe implementar el Instituto Nacional de Medicina Legal y Ciencias Forenses para adelantar actividades de obra pública en sus sedes?; y </w:t>
      </w:r>
      <w:proofErr w:type="spellStart"/>
      <w:r w:rsidRPr="0037514F">
        <w:rPr>
          <w:rFonts w:ascii="Verdana" w:eastAsia="Aptos" w:hAnsi="Verdana" w:cs="Times New Roman"/>
          <w:kern w:val="2"/>
          <w14:ligatures w14:val="standardContextual"/>
        </w:rPr>
        <w:t>ii</w:t>
      </w:r>
      <w:proofErr w:type="spellEnd"/>
      <w:r w:rsidRPr="0037514F">
        <w:rPr>
          <w:rFonts w:ascii="Verdana" w:eastAsia="Aptos" w:hAnsi="Verdana" w:cs="Times New Roman"/>
          <w:kern w:val="2"/>
          <w14:ligatures w14:val="standardContextual"/>
        </w:rPr>
        <w:t xml:space="preserve">) </w:t>
      </w:r>
      <w:r w:rsidRPr="0037514F">
        <w:rPr>
          <w:rFonts w:ascii="Verdana" w:eastAsia="Calibri" w:hAnsi="Verdana" w:cs="Arial"/>
          <w:bCs/>
          <w:kern w:val="2"/>
          <w:lang w:val="es-ES_tradnl" w:eastAsia="es-ES_tradnl"/>
          <w14:ligatures w14:val="standardContextual"/>
        </w:rPr>
        <w:t xml:space="preserve">Aplican los documentos tipo del sector institucional para </w:t>
      </w:r>
      <w:r w:rsidRPr="0037514F">
        <w:rPr>
          <w:rFonts w:ascii="Verdana" w:eastAsia="Times New Roman" w:hAnsi="Verdana" w:cs="Times New Roman"/>
          <w:color w:val="000000"/>
          <w:kern w:val="2"/>
          <w:lang w:eastAsia="es-CO"/>
          <w14:ligatures w14:val="standardContextual"/>
        </w:rPr>
        <w:t xml:space="preserve">realizar el mantenimiento o instalación de sistemas o equipos como subestaciones eléctricas, motobombas, redes contra incendios, almacenamiento, sistemas de bombeo, tanques de almacenamiento, aires acondicionados y/o líneas telefónicas? y </w:t>
      </w:r>
      <w:proofErr w:type="spellStart"/>
      <w:r w:rsidRPr="0037514F">
        <w:rPr>
          <w:rFonts w:ascii="Verdana" w:eastAsia="Times New Roman" w:hAnsi="Verdana" w:cs="Times New Roman"/>
          <w:color w:val="000000"/>
          <w:kern w:val="2"/>
          <w:lang w:eastAsia="es-CO"/>
          <w14:ligatures w14:val="standardContextual"/>
        </w:rPr>
        <w:t>iii</w:t>
      </w:r>
      <w:proofErr w:type="spellEnd"/>
      <w:r w:rsidRPr="0037514F">
        <w:rPr>
          <w:rFonts w:ascii="Verdana" w:eastAsia="Times New Roman" w:hAnsi="Verdana" w:cs="Times New Roman"/>
          <w:color w:val="000000"/>
          <w:kern w:val="2"/>
          <w:lang w:eastAsia="es-CO"/>
          <w14:ligatures w14:val="standardContextual"/>
        </w:rPr>
        <w:t xml:space="preserve">) </w:t>
      </w:r>
      <w:r w:rsidRPr="0037514F">
        <w:rPr>
          <w:rFonts w:ascii="Verdana" w:eastAsia="Times New Roman" w:hAnsi="Verdana" w:cs="Arial"/>
          <w:lang w:val="es-ES" w:eastAsia="es-ES"/>
          <w14:ligatures w14:val="standardContextual"/>
        </w:rPr>
        <w:t>¿dentro de qué término deben publicarse en el SECOP II los documentos expedidos durante la ejecución del contrato, de conformidad con el artículo 2.2.1.1.1.7.1 del Decreto 1082 de 2015?</w:t>
      </w:r>
    </w:p>
    <w:p w14:paraId="5E02F9DB" w14:textId="77777777" w:rsidR="0037514F" w:rsidRPr="0037514F" w:rsidRDefault="0037514F" w:rsidP="0037514F">
      <w:pPr>
        <w:spacing w:after="0" w:line="276" w:lineRule="auto"/>
        <w:jc w:val="both"/>
        <w:rPr>
          <w:rFonts w:ascii="Verdana" w:eastAsia="Century Gothic" w:hAnsi="Verdana" w:cs="Century Gothic"/>
          <w:lang w:val="es-ES_tradnl" w:eastAsia="es-MX"/>
        </w:rPr>
      </w:pPr>
    </w:p>
    <w:p w14:paraId="33381FA6" w14:textId="77777777" w:rsidR="0037514F" w:rsidRPr="0037514F" w:rsidRDefault="0037514F" w:rsidP="0037514F">
      <w:pPr>
        <w:spacing w:after="0" w:line="276" w:lineRule="auto"/>
        <w:jc w:val="both"/>
        <w:rPr>
          <w:rFonts w:ascii="Verdana" w:eastAsia="Century Gothic" w:hAnsi="Verdana" w:cs="Century Gothic"/>
          <w:lang w:val="es-ES_tradnl" w:eastAsia="es-MX"/>
        </w:rPr>
      </w:pPr>
      <w:r w:rsidRPr="0037514F">
        <w:rPr>
          <w:rFonts w:ascii="Verdana" w:eastAsia="Century Gothic" w:hAnsi="Verdana" w:cs="Century Gothic"/>
          <w:lang w:val="es-ES_tradnl" w:eastAsia="es-MX"/>
        </w:rPr>
        <w:t>Para atender la tercera pregunta de su solicitud, esto es, “</w:t>
      </w:r>
      <w:r w:rsidRPr="0037514F">
        <w:rPr>
          <w:rFonts w:ascii="Verdana" w:eastAsia="Aptos" w:hAnsi="Verdana" w:cs="Times New Roman"/>
          <w:kern w:val="2"/>
          <w14:ligatures w14:val="standardContextual"/>
        </w:rPr>
        <w:t>respetuosamente solicito a ustedes indicarme si todos los procesos de contratación, incluyendo los que no son objeto de liquidación debe ser objeto de cierre al expediente contractual</w:t>
      </w:r>
      <w:r w:rsidRPr="0037514F">
        <w:rPr>
          <w:rFonts w:ascii="Verdana" w:eastAsia="Century Gothic" w:hAnsi="Verdana" w:cs="Century Gothic"/>
          <w:lang w:val="es-ES_tradnl" w:eastAsia="es-MX"/>
        </w:rPr>
        <w:t>”, esta Agencia le comparte en formato PDF el documento de asunto “</w:t>
      </w:r>
      <w:r w:rsidRPr="0037514F">
        <w:rPr>
          <w:rFonts w:ascii="Verdana" w:eastAsia="Aptos" w:hAnsi="Verdana" w:cs="Times New Roman"/>
          <w:kern w:val="2"/>
          <w14:ligatures w14:val="standardContextual"/>
        </w:rPr>
        <w:t>Respuesta a la petición con número de radicado 1_2026_09_15_012293</w:t>
      </w:r>
      <w:r w:rsidRPr="0037514F">
        <w:rPr>
          <w:rFonts w:ascii="Verdana" w:eastAsia="Century Gothic" w:hAnsi="Verdana" w:cs="Century Gothic"/>
          <w:lang w:val="es-ES_tradnl" w:eastAsia="es-MX"/>
        </w:rPr>
        <w:t>”.</w:t>
      </w:r>
    </w:p>
    <w:p w14:paraId="0B22FC06" w14:textId="77777777" w:rsidR="0037514F" w:rsidRPr="0037514F" w:rsidRDefault="0037514F" w:rsidP="0037514F">
      <w:pPr>
        <w:spacing w:after="0" w:line="276" w:lineRule="auto"/>
        <w:jc w:val="both"/>
        <w:rPr>
          <w:rFonts w:ascii="Verdana" w:eastAsia="Century Gothic" w:hAnsi="Verdana" w:cs="Century Gothic"/>
          <w:lang w:val="es-ES_tradnl" w:eastAsia="es-MX"/>
        </w:rPr>
      </w:pPr>
    </w:p>
    <w:p w14:paraId="582B280D" w14:textId="77777777" w:rsidR="0037514F" w:rsidRPr="0037514F" w:rsidRDefault="0037514F" w:rsidP="0037514F">
      <w:pPr>
        <w:tabs>
          <w:tab w:val="left" w:pos="142"/>
          <w:tab w:val="left" w:pos="284"/>
        </w:tabs>
        <w:spacing w:after="0" w:line="276" w:lineRule="auto"/>
        <w:contextualSpacing/>
        <w:jc w:val="both"/>
        <w:rPr>
          <w:rFonts w:ascii="Verdana" w:eastAsia="Century Gothic" w:hAnsi="Verdana" w:cs="Century Gothic"/>
          <w:b/>
          <w:bCs/>
          <w:lang w:val="es-ES" w:eastAsia="es-MX"/>
        </w:rPr>
      </w:pPr>
      <w:r w:rsidRPr="0037514F">
        <w:rPr>
          <w:rFonts w:ascii="Verdana" w:eastAsia="Century Gothic" w:hAnsi="Verdana" w:cs="Century Gothic"/>
          <w:b/>
          <w:bCs/>
          <w:lang w:val="es-ES" w:eastAsia="es-MX"/>
        </w:rPr>
        <w:t>2. Respuestas:</w:t>
      </w:r>
    </w:p>
    <w:p w14:paraId="0AAC6B91" w14:textId="77777777" w:rsidR="0037514F" w:rsidRPr="0037514F" w:rsidRDefault="0037514F" w:rsidP="0037514F">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7514F" w:rsidRPr="0037514F" w14:paraId="47436E2C" w14:textId="77777777" w:rsidTr="00173079">
        <w:trPr>
          <w:trHeight w:val="40"/>
        </w:trPr>
        <w:tc>
          <w:tcPr>
            <w:tcW w:w="8828" w:type="dxa"/>
            <w:tcBorders>
              <w:top w:val="dotted" w:sz="4" w:space="0" w:color="auto"/>
              <w:left w:val="dotted" w:sz="4" w:space="0" w:color="auto"/>
              <w:bottom w:val="dotted" w:sz="4" w:space="0" w:color="auto"/>
              <w:right w:val="dotted" w:sz="4" w:space="0" w:color="auto"/>
            </w:tcBorders>
          </w:tcPr>
          <w:p w14:paraId="13A76249" w14:textId="77777777" w:rsidR="0037514F" w:rsidRPr="0037514F" w:rsidRDefault="0037514F" w:rsidP="0037514F">
            <w:pPr>
              <w:spacing w:after="120" w:line="276" w:lineRule="auto"/>
              <w:jc w:val="both"/>
              <w:rPr>
                <w:rFonts w:ascii="Verdana" w:eastAsia="Arial" w:hAnsi="Verdana" w:cs="Aptos"/>
                <w:lang w:eastAsia="es-ES"/>
              </w:rPr>
            </w:pPr>
            <w:r w:rsidRPr="0037514F">
              <w:rPr>
                <w:rFonts w:ascii="Verdana" w:eastAsia="Times New Roman" w:hAnsi="Verdana" w:cs="Times New Roman"/>
                <w:color w:val="000000"/>
                <w:lang w:eastAsia="es-CO"/>
              </w:rPr>
              <w:lastRenderedPageBreak/>
              <w:t xml:space="preserve">i. En los documentos tipo complementarios del sector Institucional, en la modalidad de licitación pública, selección abreviada de menor cuantía y mínima cuantía, la Matriz 1 contiene </w:t>
            </w:r>
            <w:r w:rsidRPr="0037514F">
              <w:rPr>
                <w:rFonts w:ascii="Verdana" w:eastAsia="Calibri" w:hAnsi="Verdana" w:cs="Times New Roman"/>
                <w:lang w:eastAsia="es-MX"/>
              </w:rPr>
              <w:t>el Capítulo dos (2) “</w:t>
            </w:r>
            <w:r w:rsidRPr="0037514F">
              <w:rPr>
                <w:rFonts w:ascii="Verdana" w:eastAsia="Arial" w:hAnsi="Verdana" w:cs="Aptos"/>
                <w:lang w:eastAsia="es-ES"/>
              </w:rPr>
              <w:t xml:space="preserve">Obras en proyectos de infraestructura institucional de servicio público”. </w:t>
            </w:r>
          </w:p>
          <w:p w14:paraId="17723E5F" w14:textId="77777777" w:rsidR="0037514F" w:rsidRPr="0037514F" w:rsidRDefault="0037514F" w:rsidP="0037514F">
            <w:pPr>
              <w:spacing w:after="120" w:line="276" w:lineRule="auto"/>
              <w:ind w:firstLine="708"/>
              <w:jc w:val="both"/>
              <w:rPr>
                <w:rFonts w:ascii="Verdana" w:eastAsia="Times New Roman" w:hAnsi="Verdana" w:cs="Aptos"/>
                <w:lang w:eastAsia="es-MX"/>
              </w:rPr>
            </w:pPr>
            <w:r w:rsidRPr="0037514F">
              <w:rPr>
                <w:rFonts w:ascii="Verdana" w:eastAsia="Times New Roman" w:hAnsi="Verdana" w:cs="Aptos"/>
                <w:lang w:eastAsia="es-MX"/>
              </w:rPr>
              <w:t xml:space="preserve">En el capítulo 2 “Obras en proyectos de infraestructura institucional de servicio público” de los documentos tipo del sector institucional, se encuentran actividades que corresponden de manera general, a las siguientes: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edificaciones, cubiertas, comedores, zonas de almacenamiento y/o conservación de alimentos y/o zonas de alimentación, y de bienes de interés cultural y/o patrimonial; y/o demolición y/o construcción y/o intervención de cerramientos; y/o construcción, intervención o terminación de baterías sanitarias y/o redes hidrosanitarias y/o tanques de almacenamiento y/o sistemas de bombeo y/o redes contra incendios; de redes eléctricas y/o circuitos cerrados de televisión y/o sistemas de seguridad y/o circuitos de voz y datos y/o plantas eléctricas y/o subestaciones y/o redes de telemática, comunicación, sonido o telefonía y/o redes o sistemas de iluminación o luminarias interiores o exteriores; de redes de vapor y/o redes de gases y/o redes de gas natural y/o sistemas de cocción; y/o construcción y/o habilitación de zonas verdes y/o actividades de urbanismo y/o paisajismo; y/o suministro y/o instalación de dotación y/o mobiliario interno y externo; y/o suministro y/o instalación de equipos especiales y/o electromecánicos y/o electrónicos y/o maquinaria u otros tipos de equipos; y/o suministro y/o instalación de sistemas de aires acondicionados o sistemas de ventilación o similares. Todos estos proyectos sobre infraestructura de servicio público. </w:t>
            </w:r>
          </w:p>
          <w:p w14:paraId="14CF90AA" w14:textId="77777777" w:rsidR="0037514F" w:rsidRPr="0037514F" w:rsidRDefault="0037514F" w:rsidP="0037514F">
            <w:pPr>
              <w:spacing w:after="120" w:line="276" w:lineRule="auto"/>
              <w:ind w:firstLine="708"/>
              <w:jc w:val="both"/>
              <w:rPr>
                <w:rFonts w:ascii="Verdana" w:eastAsia="Times New Roman" w:hAnsi="Verdana" w:cs="Aptos"/>
                <w:lang w:eastAsia="es-MX"/>
              </w:rPr>
            </w:pPr>
            <w:r w:rsidRPr="0037514F">
              <w:rPr>
                <w:rFonts w:ascii="Verdana" w:eastAsia="Times New Roman" w:hAnsi="Verdana" w:cs="Aptos"/>
                <w:lang w:eastAsia="es-MX"/>
              </w:rPr>
              <w:t xml:space="preserve">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w:t>
            </w:r>
            <w:r w:rsidRPr="0037514F">
              <w:rPr>
                <w:rFonts w:ascii="Verdana" w:eastAsia="Times New Roman" w:hAnsi="Verdana" w:cs="Aptos"/>
                <w:lang w:eastAsia="es-MX"/>
              </w:rPr>
              <w:lastRenderedPageBreak/>
              <w:t>materia, así como en la NSR 10 o aquellas que los modifiquen, adicionen o sustituyan, así como a las definiciones contenidas en el "Anexo - Glosario del Sector Social””.</w:t>
            </w:r>
          </w:p>
          <w:p w14:paraId="79ED8E8A" w14:textId="77777777" w:rsidR="0037514F" w:rsidRPr="0037514F" w:rsidRDefault="0037514F" w:rsidP="0037514F">
            <w:pPr>
              <w:spacing w:after="120" w:line="276" w:lineRule="auto"/>
              <w:ind w:firstLine="708"/>
              <w:jc w:val="both"/>
              <w:rPr>
                <w:rFonts w:ascii="Verdana" w:eastAsia="Calibri" w:hAnsi="Verdana" w:cs="Arial"/>
                <w:color w:val="0D0D0D"/>
                <w:lang w:eastAsia="es-MX"/>
              </w:rPr>
            </w:pPr>
            <w:r w:rsidRPr="0037514F">
              <w:rPr>
                <w:rFonts w:ascii="Verdana" w:eastAsia="Calibri" w:hAnsi="Verdana" w:cs="Arial"/>
                <w:lang w:val="es-ES_tradnl" w:eastAsia="es-MX"/>
              </w:rPr>
              <w:t xml:space="preserve">Ahora bien, como se precisó las actividades señaladas recaen sobre </w:t>
            </w:r>
            <w:r w:rsidRPr="0037514F">
              <w:rPr>
                <w:rFonts w:ascii="Verdana" w:eastAsia="Times New Roman" w:hAnsi="Verdana" w:cs="Calibri"/>
                <w:lang w:eastAsia="es-MX"/>
              </w:rPr>
              <w:t xml:space="preserve">obras en proyectos de infraestructura institucional de servicio público. De esta forma, para determinar qué abarca este tipo de infraestructura, debe indicarse que, de conformidad con la norma </w:t>
            </w:r>
            <w:r w:rsidRPr="0037514F">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29823A99" w14:textId="77777777" w:rsidR="0037514F" w:rsidRPr="0037514F" w:rsidRDefault="0037514F" w:rsidP="0037514F">
            <w:pPr>
              <w:spacing w:after="120" w:line="276" w:lineRule="auto"/>
              <w:ind w:firstLine="708"/>
              <w:jc w:val="both"/>
              <w:rPr>
                <w:rFonts w:ascii="Verdana" w:eastAsia="Calibri" w:hAnsi="Verdana" w:cs="Arial"/>
                <w:color w:val="0D0D0D"/>
                <w:lang w:eastAsia="es-MX"/>
              </w:rPr>
            </w:pPr>
            <w:r w:rsidRPr="0037514F">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040EB9CE" w14:textId="77777777" w:rsidR="0037514F" w:rsidRPr="0037514F" w:rsidRDefault="0037514F" w:rsidP="0037514F">
            <w:pPr>
              <w:spacing w:after="120" w:line="276" w:lineRule="auto"/>
              <w:ind w:firstLine="708"/>
              <w:jc w:val="both"/>
              <w:rPr>
                <w:rFonts w:ascii="Verdana" w:eastAsia="Calibri" w:hAnsi="Verdana" w:cs="Arial"/>
                <w:color w:val="000000"/>
                <w:lang w:eastAsia="es-MX"/>
              </w:rPr>
            </w:pPr>
            <w:r w:rsidRPr="0037514F">
              <w:rPr>
                <w:rFonts w:ascii="Verdana" w:eastAsia="Calibri" w:hAnsi="Verdana" w:cs="Arial"/>
                <w:color w:val="000000"/>
                <w:lang w:eastAsia="es-MX"/>
              </w:rPr>
              <w:t xml:space="preserve">De acuerdo con la definición del Subgrupo de Ocupación Institucional y las edificaciones que este comprende, dentro de este se encuentran las edificaciones institucionales judiciales, entendidas estas como el lugar físico –edificio, sedes u oficinas– destinados al funcionamiento de los órganos que integran la administración de justicia, tales como tribunales, juzgados, fiscalías y demás entidades que cumplen funciones relacionadas con la actividad judicial y de apoyo a esta. </w:t>
            </w:r>
          </w:p>
          <w:p w14:paraId="43FACC7B" w14:textId="77777777" w:rsidR="0037514F" w:rsidRPr="0037514F" w:rsidRDefault="0037514F" w:rsidP="0037514F">
            <w:pPr>
              <w:spacing w:after="120" w:line="276" w:lineRule="auto"/>
              <w:ind w:firstLine="708"/>
              <w:jc w:val="both"/>
              <w:rPr>
                <w:rFonts w:ascii="Verdana" w:eastAsia="Calibri" w:hAnsi="Verdana" w:cs="Arial"/>
                <w:color w:val="000000"/>
                <w:lang w:eastAsia="es-MX"/>
              </w:rPr>
            </w:pPr>
            <w:r w:rsidRPr="0037514F">
              <w:rPr>
                <w:rFonts w:ascii="Verdana" w:eastAsia="Calibri" w:hAnsi="Verdana" w:cs="Arial"/>
                <w:color w:val="000000"/>
                <w:lang w:eastAsia="es-MX"/>
              </w:rPr>
              <w:t xml:space="preserve">Considerando que el Instituto Nacional de Medicina Legal y Ciencias Forenses pertenece a la Rama Judicial y se encuentra adscrito a la Fiscalía General de la Nación, y que su </w:t>
            </w:r>
            <w:r w:rsidRPr="0037514F">
              <w:rPr>
                <w:rFonts w:ascii="Verdana" w:eastAsia="Calibri" w:hAnsi="Verdana" w:cs="Arial"/>
                <w:i/>
                <w:iCs/>
                <w:color w:val="000000"/>
                <w:lang w:eastAsia="es-MX"/>
              </w:rPr>
              <w:t>“(…) misión</w:t>
            </w:r>
            <w:r w:rsidRPr="0037514F">
              <w:rPr>
                <w:rFonts w:ascii="Verdana" w:eastAsia="Aptos" w:hAnsi="Verdana" w:cs="Times New Roman"/>
                <w:i/>
                <w:iCs/>
                <w:color w:val="000000"/>
                <w:shd w:val="clear" w:color="auto" w:fill="FFFFFF"/>
              </w:rPr>
              <w:t xml:space="preserve"> fundamental (…) es prestar auxilio </w:t>
            </w:r>
            <w:r w:rsidRPr="0037514F">
              <w:rPr>
                <w:rFonts w:ascii="Verdana" w:eastAsia="Aptos" w:hAnsi="Verdana" w:cs="Times New Roman"/>
                <w:i/>
                <w:iCs/>
                <w:color w:val="000000"/>
                <w:shd w:val="clear" w:color="auto" w:fill="FFFFFF"/>
              </w:rPr>
              <w:lastRenderedPageBreak/>
              <w:t>y soporte científico y técnico a la administración de justicia en todo el territorio nacional, en lo concerniente a medicina legal y las ciencias forenses”</w:t>
            </w:r>
            <w:r w:rsidRPr="0037514F">
              <w:rPr>
                <w:rFonts w:ascii="Verdana" w:eastAsia="Calibri" w:hAnsi="Verdana" w:cs="Arial"/>
                <w:i/>
                <w:iCs/>
                <w:color w:val="000000"/>
                <w:lang w:eastAsia="es-MX"/>
              </w:rPr>
              <w:t>;</w:t>
            </w:r>
            <w:r w:rsidRPr="0037514F">
              <w:rPr>
                <w:rFonts w:ascii="Verdana" w:eastAsia="Calibri" w:hAnsi="Verdana" w:cs="Arial"/>
                <w:color w:val="000000"/>
                <w:lang w:eastAsia="es-MX"/>
              </w:rPr>
              <w:t xml:space="preserve"> bajo este contexto, las actividades desarrolladas por el Instituto revisten la naturaleza de un servicio asociado a la administración de justicia, en la medida en que realiza labores médico-legales, periciales, científicas, extra-periciales, entre otras, requeridas por los jueces, fiscales, policía judicial, defensoría pública y demás autoridades competentes en todo el territorio nacional. </w:t>
            </w:r>
          </w:p>
          <w:p w14:paraId="078370D1" w14:textId="77777777" w:rsidR="0037514F" w:rsidRPr="0037514F" w:rsidRDefault="0037514F" w:rsidP="0037514F">
            <w:pPr>
              <w:spacing w:line="276" w:lineRule="auto"/>
              <w:ind w:firstLine="708"/>
              <w:jc w:val="both"/>
              <w:rPr>
                <w:rFonts w:ascii="Verdana" w:eastAsia="Calibri" w:hAnsi="Verdana" w:cs="Arial"/>
                <w:color w:val="000000"/>
                <w:lang w:eastAsia="es-MX"/>
              </w:rPr>
            </w:pPr>
            <w:r w:rsidRPr="0037514F">
              <w:rPr>
                <w:rFonts w:ascii="Verdana" w:eastAsia="Calibri" w:hAnsi="Verdana" w:cs="Arial"/>
                <w:color w:val="000000"/>
                <w:lang w:eastAsia="es-MX"/>
              </w:rPr>
              <w:t xml:space="preserve">Teniendo en cuenta la naturaleza jurídica, funcional y misional del Instituto Nacional de Medicina Legal y Ciencias Forenses, así como el uso y la destinación de sus edificaciones, orientadas al ejercicio de funciones asociadas al auxilio y soporte científico y técnico a la administración de justicia, estas deben clasificarse dentro del Subgrupo de Ocupación Institucional de Servicio Público. </w:t>
            </w:r>
            <w:r w:rsidRPr="0037514F">
              <w:rPr>
                <w:rFonts w:ascii="Verdana" w:eastAsia="Aptos" w:hAnsi="Verdana" w:cs="Times New Roman"/>
              </w:rPr>
              <w:t>En consecuencia, les resultan aplicables los documentos tipo del sector institucional en las distintas modalidades de selección en las que esta Agencia los adoptó, en particular en lo que respecta a las actividades contenidas en el capítulo 2, “Obras en proyectos de infraestructura institucional de servicio público”.</w:t>
            </w:r>
          </w:p>
          <w:p w14:paraId="588BA524" w14:textId="77777777" w:rsidR="0037514F" w:rsidRPr="0037514F" w:rsidRDefault="0037514F" w:rsidP="0037514F">
            <w:pPr>
              <w:spacing w:line="276" w:lineRule="auto"/>
              <w:jc w:val="both"/>
              <w:rPr>
                <w:rFonts w:ascii="Verdana" w:eastAsia="Calibri" w:hAnsi="Verdana" w:cs="Arial"/>
                <w:color w:val="000000"/>
                <w:lang w:eastAsia="es-MX"/>
              </w:rPr>
            </w:pPr>
          </w:p>
          <w:p w14:paraId="004B3E28" w14:textId="77777777" w:rsidR="0037514F" w:rsidRPr="0037514F" w:rsidRDefault="0037514F" w:rsidP="0037514F">
            <w:pPr>
              <w:spacing w:after="120" w:line="276" w:lineRule="auto"/>
              <w:jc w:val="both"/>
              <w:rPr>
                <w:rFonts w:ascii="Verdana" w:eastAsia="Aptos" w:hAnsi="Verdana" w:cs="Aptos"/>
                <w:kern w:val="2"/>
                <w14:ligatures w14:val="standardContextual"/>
              </w:rPr>
            </w:pPr>
            <w:proofErr w:type="spellStart"/>
            <w:r w:rsidRPr="0037514F">
              <w:rPr>
                <w:rFonts w:ascii="Verdana" w:eastAsia="Calibri" w:hAnsi="Verdana" w:cs="Arial"/>
                <w:color w:val="000000"/>
                <w:lang w:eastAsia="es-MX"/>
              </w:rPr>
              <w:t>ii</w:t>
            </w:r>
            <w:proofErr w:type="spellEnd"/>
            <w:r w:rsidRPr="0037514F">
              <w:rPr>
                <w:rFonts w:ascii="Verdana" w:eastAsia="Calibri" w:hAnsi="Verdana" w:cs="Arial"/>
                <w:color w:val="000000"/>
                <w:lang w:eastAsia="es-MX"/>
              </w:rPr>
              <w:t>. Ahora bien, aclarado que los documentos tipo del sector institucional,</w:t>
            </w:r>
            <w:r w:rsidRPr="0037514F">
              <w:rPr>
                <w:rFonts w:ascii="Verdana" w:eastAsia="Aptos" w:hAnsi="Verdana" w:cs="Aptos"/>
              </w:rPr>
              <w:t xml:space="preserve"> específicamente los del capítulo 2 “Obras en proyectos de infraestructura institucional de servicio público”, resultan aplicables a las actividades que adelante el Instituto Nacional de Medicina Legal y Ciencias Forenses sobre sus sedes, conviene referirse puntualmente al segundo problema jurídico planteado en este concepto, en el cual se indaga si resulta obligatoria la aplicación de los pliegos tipo en procesos cuyo objeto corresponda al mantenimiento de aires acondicionados, plantas eléctricas entre otros equipos</w:t>
            </w:r>
            <w:r w:rsidRPr="0037514F">
              <w:rPr>
                <w:rFonts w:ascii="Verdana" w:eastAsia="Times New Roman" w:hAnsi="Verdana" w:cs="Times New Roman"/>
                <w:color w:val="000000"/>
                <w:lang w:eastAsia="es-CO"/>
              </w:rPr>
              <w:t xml:space="preserve">. Sobre el particular, resulta pertinente establecer qué actividades de los Documentos Tipo mencionados recaen sobre los elementos indicados y si estas resultan adecuadas para adelantar el proceso que requiere la entidad. </w:t>
            </w:r>
          </w:p>
          <w:p w14:paraId="619C4378" w14:textId="77777777" w:rsidR="0037514F" w:rsidRPr="0037514F" w:rsidRDefault="0037514F" w:rsidP="0037514F">
            <w:pPr>
              <w:spacing w:line="276" w:lineRule="auto"/>
              <w:ind w:firstLine="708"/>
              <w:jc w:val="both"/>
              <w:rPr>
                <w:rFonts w:ascii="Verdana" w:eastAsia="Aptos" w:hAnsi="Verdana" w:cs="Times New Roman"/>
              </w:rPr>
            </w:pPr>
            <w:r w:rsidRPr="0037514F">
              <w:rPr>
                <w:rFonts w:ascii="Verdana" w:eastAsia="Aptos" w:hAnsi="Verdana" w:cs="Times New Roman"/>
              </w:rPr>
              <w:t>En este sentido, le indicamos que, una vez revisadas las actividades contenidas en la Matriz 1 – Experiencia de los Documentos Tipo del Sector Institucional – Infraestructura de Servicio Público, las siguientes corresponden a los elementos señalados en el párrafo precedente, dentro del sector indicado:</w:t>
            </w:r>
          </w:p>
          <w:p w14:paraId="42D5429D" w14:textId="77777777" w:rsidR="0037514F" w:rsidRPr="0037514F" w:rsidRDefault="0037514F" w:rsidP="0037514F">
            <w:pPr>
              <w:spacing w:line="276" w:lineRule="auto"/>
              <w:jc w:val="both"/>
              <w:rPr>
                <w:rFonts w:ascii="Verdana" w:eastAsia="Times New Roman" w:hAnsi="Verdana" w:cs="Times New Roman"/>
                <w:color w:val="000000"/>
                <w:lang w:eastAsia="es-CO"/>
              </w:rPr>
            </w:pPr>
          </w:p>
          <w:p w14:paraId="0A69581B" w14:textId="77777777" w:rsidR="0037514F" w:rsidRPr="0037514F" w:rsidRDefault="0037514F" w:rsidP="0037514F">
            <w:pPr>
              <w:shd w:val="clear" w:color="auto" w:fill="FFFFFF"/>
              <w:spacing w:after="120" w:line="276" w:lineRule="auto"/>
              <w:ind w:left="709" w:right="709"/>
              <w:jc w:val="both"/>
              <w:rPr>
                <w:rFonts w:ascii="Verdana" w:eastAsia="Times New Roman" w:hAnsi="Verdana" w:cs="Arial"/>
                <w:color w:val="242424"/>
                <w:sz w:val="21"/>
                <w:szCs w:val="21"/>
                <w:lang w:eastAsia="es-MX"/>
              </w:rPr>
            </w:pPr>
            <w:r w:rsidRPr="0037514F">
              <w:rPr>
                <w:rFonts w:ascii="Verdana" w:eastAsia="Times New Roman" w:hAnsi="Verdana" w:cs="Arial"/>
                <w:color w:val="242424"/>
                <w:sz w:val="21"/>
                <w:szCs w:val="21"/>
                <w:lang w:eastAsia="es-MX"/>
              </w:rPr>
              <w:lastRenderedPageBreak/>
              <w:t xml:space="preserve">“2.6.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 </w:t>
            </w:r>
          </w:p>
          <w:p w14:paraId="0665B9D6" w14:textId="77777777" w:rsidR="0037514F" w:rsidRPr="0037514F" w:rsidRDefault="0037514F" w:rsidP="0037514F">
            <w:pPr>
              <w:shd w:val="clear" w:color="auto" w:fill="FFFFFF"/>
              <w:spacing w:after="120" w:line="276" w:lineRule="auto"/>
              <w:ind w:left="709" w:right="709"/>
              <w:jc w:val="both"/>
              <w:rPr>
                <w:rFonts w:ascii="Verdana" w:eastAsia="Times New Roman" w:hAnsi="Verdana" w:cs="Arial"/>
                <w:color w:val="242424"/>
                <w:sz w:val="21"/>
                <w:szCs w:val="21"/>
                <w:lang w:eastAsia="es-MX"/>
              </w:rPr>
            </w:pPr>
            <w:r w:rsidRPr="0037514F">
              <w:rPr>
                <w:rFonts w:ascii="Verdana" w:eastAsia="Times New Roman" w:hAnsi="Verdana" w:cs="Arial"/>
                <w:color w:val="242424"/>
                <w:sz w:val="21"/>
                <w:szCs w:val="21"/>
                <w:lang w:eastAsia="es-MX"/>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PUBLICO</w:t>
            </w:r>
          </w:p>
          <w:p w14:paraId="0796F8CC" w14:textId="77777777" w:rsidR="0037514F" w:rsidRPr="0037514F" w:rsidRDefault="0037514F" w:rsidP="0037514F">
            <w:pPr>
              <w:shd w:val="clear" w:color="auto" w:fill="FFFFFF"/>
              <w:spacing w:line="276" w:lineRule="auto"/>
              <w:ind w:left="709" w:right="709"/>
              <w:jc w:val="both"/>
              <w:rPr>
                <w:rFonts w:ascii="Verdana" w:eastAsia="Times New Roman" w:hAnsi="Verdana" w:cs="Arial"/>
                <w:color w:val="242424"/>
                <w:sz w:val="21"/>
                <w:szCs w:val="21"/>
                <w:lang w:eastAsia="es-MX"/>
              </w:rPr>
            </w:pPr>
            <w:r w:rsidRPr="0037514F">
              <w:rPr>
                <w:rFonts w:ascii="Verdana" w:eastAsia="Times New Roman" w:hAnsi="Verdana" w:cs="Arial"/>
                <w:color w:val="242424"/>
                <w:sz w:val="21"/>
                <w:szCs w:val="21"/>
                <w:lang w:eastAsia="es-MX"/>
              </w:rPr>
              <w:t>2.14. PROYECTOS DE SUMINISTRO Y/O INSTALACIÓN DE SISTEMAS DE AIRES ACONDICIONADOS O SISTEMAS DE VENTILACIÓN O SIMILARES PARA INFRAESTRUCTURA DE SERVICIO PUBLICO”.</w:t>
            </w:r>
          </w:p>
          <w:p w14:paraId="45D36A79" w14:textId="77777777" w:rsidR="0037514F" w:rsidRPr="0037514F" w:rsidRDefault="0037514F" w:rsidP="0037514F">
            <w:pPr>
              <w:spacing w:line="276" w:lineRule="auto"/>
              <w:jc w:val="both"/>
              <w:rPr>
                <w:rFonts w:ascii="Verdana" w:eastAsia="Times New Roman" w:hAnsi="Verdana" w:cs="Times New Roman"/>
                <w:color w:val="000000"/>
                <w:lang w:eastAsia="es-CO"/>
              </w:rPr>
            </w:pPr>
          </w:p>
          <w:p w14:paraId="5AA87EEB"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Como se aprecia, las actividades indicadas aplican a los procesos que adelanten las entidades obligadas a utilizar los documentos tipo, cuando correspondan —para efectos de su solicitud— al mantenimiento de: i) tanques de almacenamiento y/o sistemas de bombeo y/o redes contra incendios (actividad 2.6); </w:t>
            </w:r>
            <w:proofErr w:type="spellStart"/>
            <w:r w:rsidRPr="0037514F">
              <w:rPr>
                <w:rFonts w:ascii="Verdana" w:eastAsia="Times New Roman" w:hAnsi="Verdana" w:cs="Times New Roman"/>
                <w:color w:val="000000"/>
                <w:lang w:eastAsia="es-CO"/>
              </w:rPr>
              <w:t>ii</w:t>
            </w:r>
            <w:proofErr w:type="spellEnd"/>
            <w:r w:rsidRPr="0037514F">
              <w:rPr>
                <w:rFonts w:ascii="Verdana" w:eastAsia="Times New Roman" w:hAnsi="Verdana" w:cs="Times New Roman"/>
                <w:color w:val="000000"/>
                <w:lang w:eastAsia="es-CO"/>
              </w:rPr>
              <w:t>) plantas eléctricas y/o subestaciones y/o redes de telefonía (actividad 2.9). Asimismo, dentro de las actividades señaladas se incluye el suministro e instalación de sistemas de aire acondicionado, sistemas de ventilación o similares sobre infraestructura de servicio público (actividad 2.14).</w:t>
            </w:r>
          </w:p>
          <w:p w14:paraId="0D19EAD8" w14:textId="77777777" w:rsidR="0037514F" w:rsidRPr="0037514F" w:rsidRDefault="0037514F" w:rsidP="0037514F">
            <w:pPr>
              <w:spacing w:after="120" w:line="276" w:lineRule="auto"/>
              <w:ind w:firstLine="708"/>
              <w:jc w:val="both"/>
              <w:rPr>
                <w:rFonts w:ascii="Verdana" w:eastAsia="Calibri" w:hAnsi="Verdana" w:cs="Times New Roman"/>
                <w:color w:val="000000"/>
                <w:sz w:val="21"/>
                <w:szCs w:val="21"/>
                <w:lang w:val="es-ES_tradnl"/>
              </w:rPr>
            </w:pPr>
            <w:r w:rsidRPr="0037514F">
              <w:rPr>
                <w:rFonts w:ascii="Verdana" w:eastAsia="Times New Roman" w:hAnsi="Verdana" w:cs="Times New Roman"/>
                <w:color w:val="000000"/>
                <w:lang w:eastAsia="es-CO"/>
              </w:rPr>
              <w:lastRenderedPageBreak/>
              <w:t>Desde una perspectiva técnica y jurídica, los elementos señalados pueden ser considerados bienes inmuebles por destinación o por adhesión, en la medida en que concurran los criterios establecidos en el Código Civil y desarrollados por la doctrina y la jurisprudencia, particularmente en relación con su incorporación física, destinación funcional y vocación de permanencia respecto del inmueble al cual sirven –criterios desarrollados en por esta Agencia en el concepto C-452 de 2026</w:t>
            </w:r>
            <w:r w:rsidRPr="0037514F">
              <w:rPr>
                <w:rFonts w:ascii="Verdana" w:eastAsia="Times New Roman" w:hAnsi="Verdana" w:cs="Times New Roman"/>
                <w:color w:val="000000"/>
                <w:vertAlign w:val="superscript"/>
                <w:lang w:eastAsia="es-CO"/>
              </w:rPr>
              <w:footnoteReference w:id="2"/>
            </w:r>
            <w:r w:rsidRPr="0037514F">
              <w:rPr>
                <w:rFonts w:ascii="Verdana" w:eastAsia="Times New Roman" w:hAnsi="Verdana" w:cs="Times New Roman"/>
                <w:color w:val="000000"/>
                <w:lang w:eastAsia="es-CO"/>
              </w:rPr>
              <w:t xml:space="preserve">–. </w:t>
            </w:r>
          </w:p>
          <w:p w14:paraId="36532268"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Bajo este marco, los tanques de almacenamiento, sistemas de bombeo y redes contra incendios, en la medida en que se encuentren anclados, empotrados o integrados a las redes hidráulicas de la infraestructura de servicio público, y cumplan una función esencial de seguridad o funcionamiento del inmueble, pueden ser calificados como inmuebles por adhesión o por destinación, según el grado de incorporación física. En particular, las redes contra incendios —por su integración estructural— tienden a configurarse como inmuebles por adhesión, mientras que equipos como bombas o tanques, aun siendo susceptibles de individualización, adquieren la calidad de inmuebles por destinación cuando su uso está permanentemente ligado al servicio del inmueble.</w:t>
            </w:r>
          </w:p>
          <w:p w14:paraId="2E5BC3A1"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En relación con las plantas eléctricas, subestaciones y redes de telefonía, cuando están instaladas de manera fija, conectadas a la infraestructura eléctrica o de comunicaciones y destinadas de forma permanente al funcionamiento del inmueble, participan de la misma naturaleza jurídica. Así, las redes de telecomunicaciones, por su carácter de integración física, suelen constituir inmuebles por adhesión, mientras que equipos como plantas eléctricas o transformadores pueden considerarse inmuebles por destinación, siempre que su remoción afecte la operatividad del bien principal o evidencie su vocación de permanencia.</w:t>
            </w:r>
          </w:p>
          <w:p w14:paraId="116CB4C8"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Por su parte, la instalación de sistemas de aire acondicionado, ventilación o similares sobre infraestructura de servicio público refuerza este análisis, en la medida en que dichos sistemas, una vez instalados, se integran funcionalmente y, en muchos casos, físicamente a la edificación, a través de ductos, redes eléctricas y anclajes estructurales. En tales condiciones, los </w:t>
            </w:r>
            <w:r w:rsidRPr="0037514F">
              <w:rPr>
                <w:rFonts w:ascii="Verdana" w:eastAsia="Times New Roman" w:hAnsi="Verdana" w:cs="Times New Roman"/>
                <w:color w:val="000000"/>
                <w:lang w:eastAsia="es-CO"/>
              </w:rPr>
              <w:lastRenderedPageBreak/>
              <w:t>componentes fijos del sistema tienden a ser considerados inmuebles por adhesión, mientras que ciertos equipos individualizables pueden adquirir la calidad de inmuebles por destinación, en tanto estén permanentemente afectados al uso del inmueble. No obstante, debe precisarse que, la actividad 2.14. que recae sobre la instalación de aires acondiciones, no se hace referencia expresa a actividades de mantenimiento de sistemas</w:t>
            </w:r>
            <w:r w:rsidRPr="0037514F">
              <w:rPr>
                <w:rFonts w:ascii="Verdana" w:eastAsia="Aptos" w:hAnsi="Verdana" w:cs="Times New Roman"/>
                <w:lang w:eastAsia="es-CO"/>
              </w:rPr>
              <w:t xml:space="preserve"> de aire acondicionado.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w:t>
            </w:r>
          </w:p>
          <w:p w14:paraId="12602677"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Teniendo en cuenta las consideraciones desarrolladas, y considerando el pronunciamiento de esta Agencia en el concepto C-452 de 2026, es posible concluir que, la inclusión en los documentos tipo del sector institucional – infraestructura institucional de servicio público de actividades relacionadas con el mantenimiento de sistemas y equipos tales como subestaciones eléctrica, motobombas, redes contra incendios, sistemas de almacenamiento, bombeo y líneas telefónicas y la actividad de instalación de aires acondicionados, resultan plenamente coherente con el marco normativo que regula el contrato de obra pública en Colombia. En efecto, conforme con lo dispuesto en el numeral 1 del artículo 32 de la Ley 80 de 1993, el contrato de obra comprende no solo la construcción, sino también el mantenimiento, la instalación y, en general, cualquier trabajo material realizado sobre inmuebles. En este sentido, las actividades –2.6,2.9 y 2.14– previstas en la Matriz 1 – Experiencia del Sector Institucional – Infraestructura de Servicio Público se ajustan a dicha definición, en tanto que recaen sobre infraestructura institucional y suponen intervenciones materiales dirigidas a garantizar su funcionalidad, conservación y adecuada operación. </w:t>
            </w:r>
          </w:p>
          <w:p w14:paraId="0DB0537D"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La inclusión de las actividades señaladas, sobre los objetos indicados – subestaciones eléctricas, motobombas, redes contra incendios, sistemas de almacenamiento, bombeo, líneas telefónicas y aires acondicionados–, encuentra sustento en la noción de bienes inmuebles por adhesión y/o destinación prevista en los artículos 656 a 658 del Código Civil. Así, los sistemas y/o equipos mencionados, cuando se encuentran incorporados física o funcionalmente a la infraestructura de servicio público y destinados de </w:t>
            </w:r>
            <w:r w:rsidRPr="0037514F">
              <w:rPr>
                <w:rFonts w:ascii="Verdana" w:eastAsia="Times New Roman" w:hAnsi="Verdana" w:cs="Times New Roman"/>
                <w:color w:val="000000"/>
                <w:lang w:eastAsia="es-CO"/>
              </w:rPr>
              <w:lastRenderedPageBreak/>
              <w:t xml:space="preserve">manera permanente a su uso, adquieren la calidad de inmuebles, ya sea por su destinación material o por su afectación al servicio del bien principal –la infraestructura de servicio público–. </w:t>
            </w:r>
          </w:p>
          <w:p w14:paraId="407F94FD"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En este sentido, la naturaleza del contrato de obra pública se define por la intervención material sobre bienes inmuebles, independientemente de algunos de sus componentes hayan sido originalmente muebles. En consecuencia, actividades como el mantenimiento de sistemas y equipos tales como subestaciones eléctricas, motobombas, redes contra incendios, sistemas de almacenamiento, bombeo y líneas telefónicas y la actividad de instalación de aires acondicionados, en la medida en que impliquen una incorporación o afectación permanente al inmueble, se subsumen válidamente en la tipología del contrato de obra.</w:t>
            </w:r>
          </w:p>
          <w:p w14:paraId="798378AF"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Es así como, las actividades de mantenimiento constituyen contrato de obra cuando recaen sobre un bien inmueble, se incorporan a este y tienen como finalidad garantizar su adecuado funcionamiento, criterios que se reflejan en las actividades –2.6,2.9 y 2.14– previstas en la Matriz 1 – Experiencia del Sector Institucional – Infraestructura de Servicio Público. Por tanto, la decisión de la Agencia Nacional de Contratación Pública – Colombia Compra Eficiente de incorporar dichas actividades no solo responde a una lógica técnica de la infraestructura institucional, sino que se encuentra jurídicamente respaldada por la ley, la doctrina y la jurisprudencia, en cuanto reconoce que estos sistemas y equipos, al integrarse estructuralmente o funcionalmente al inmueble, hacen parte de este por lo que, las intervenciones sobre ellos pueden estructurarse válidamente como contratos de obra pública bajo los documentos tipo complementario del sector de infraestructura institucional.</w:t>
            </w:r>
          </w:p>
          <w:p w14:paraId="43B9DC6B"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Finalmente, debe indicarse que los argumentos expuestos con anterioridad, se alinean con la tesis expuesta por esta Agencia en el concepto C-440 del 2 de septiembre de 2021, en el que se indicó que “(…) entidad estatal contratante, después de analizar detalladamente el objeto contractual, y previa integración del régimen jurídico aplicable, debe determinar si al desarrollo de la actividad de mantenimiento a contratar concurren los siguientes tres elementos: (i)  la ejecución de una prestación consistente en la realización de trabajos materiales sobre un  bien inmueble –bien sea por naturaleza, adhesión o destinación-, (</w:t>
            </w:r>
            <w:proofErr w:type="spellStart"/>
            <w:r w:rsidRPr="0037514F">
              <w:rPr>
                <w:rFonts w:ascii="Verdana" w:eastAsia="Times New Roman" w:hAnsi="Verdana" w:cs="Times New Roman"/>
                <w:color w:val="000000"/>
                <w:lang w:eastAsia="es-CO"/>
              </w:rPr>
              <w:t>ii</w:t>
            </w:r>
            <w:proofErr w:type="spellEnd"/>
            <w:r w:rsidRPr="0037514F">
              <w:rPr>
                <w:rFonts w:ascii="Verdana" w:eastAsia="Times New Roman" w:hAnsi="Verdana" w:cs="Times New Roman"/>
                <w:color w:val="000000"/>
                <w:lang w:eastAsia="es-CO"/>
              </w:rPr>
              <w:t xml:space="preserve">) que los trabajos materiales queden </w:t>
            </w:r>
            <w:r w:rsidRPr="0037514F">
              <w:rPr>
                <w:rFonts w:ascii="Verdana" w:eastAsia="Times New Roman" w:hAnsi="Verdana" w:cs="Times New Roman"/>
                <w:color w:val="000000"/>
                <w:lang w:eastAsia="es-CO"/>
              </w:rPr>
              <w:lastRenderedPageBreak/>
              <w:t>incorporados al inmueble y (</w:t>
            </w:r>
            <w:proofErr w:type="spellStart"/>
            <w:r w:rsidRPr="0037514F">
              <w:rPr>
                <w:rFonts w:ascii="Verdana" w:eastAsia="Times New Roman" w:hAnsi="Verdana" w:cs="Times New Roman"/>
                <w:color w:val="000000"/>
                <w:lang w:eastAsia="es-CO"/>
              </w:rPr>
              <w:t>iii</w:t>
            </w:r>
            <w:proofErr w:type="spellEnd"/>
            <w:r w:rsidRPr="0037514F">
              <w:rPr>
                <w:rFonts w:ascii="Verdana" w:eastAsia="Times New Roman" w:hAnsi="Verdana" w:cs="Times New Roman"/>
                <w:color w:val="000000"/>
                <w:lang w:eastAsia="es-CO"/>
              </w:rPr>
              <w:t>) que estos sean requeridos para el adecuado funcionamiento del inmueble, de concurrir estos elementos el contrato a celebrar corresponderá al tipo de obra pública”.</w:t>
            </w:r>
          </w:p>
          <w:p w14:paraId="4C49BEAD" w14:textId="77777777" w:rsidR="0037514F" w:rsidRPr="0037514F" w:rsidRDefault="0037514F" w:rsidP="0037514F">
            <w:pPr>
              <w:spacing w:line="276" w:lineRule="auto"/>
              <w:ind w:firstLine="708"/>
              <w:jc w:val="both"/>
              <w:rPr>
                <w:rFonts w:ascii="Verdana" w:eastAsia="Times New Roman" w:hAnsi="Verdana" w:cs="Arial"/>
                <w:shd w:val="clear" w:color="auto" w:fill="FFFFFF"/>
                <w:lang w:val="es-ES_tradnl" w:eastAsia="es-ES_tradnl"/>
              </w:rPr>
            </w:pPr>
            <w:r w:rsidRPr="0037514F">
              <w:rPr>
                <w:rFonts w:ascii="Verdana" w:eastAsia="Aptos" w:hAnsi="Verdana" w:cs="Aptos"/>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37514F">
              <w:rPr>
                <w:rFonts w:ascii="Verdana" w:eastAsia="Times New Roman" w:hAnsi="Verdana" w:cs="Arial"/>
                <w:shd w:val="clear" w:color="auto" w:fill="FFFFFF"/>
                <w:lang w:val="es-ES_tradnl" w:eastAsia="es-ES_tradnl"/>
              </w:rPr>
              <w:t xml:space="preserve"> </w:t>
            </w:r>
          </w:p>
          <w:p w14:paraId="4424C977" w14:textId="77777777" w:rsidR="0037514F" w:rsidRPr="0037514F" w:rsidRDefault="0037514F" w:rsidP="0037514F">
            <w:pPr>
              <w:spacing w:line="276" w:lineRule="auto"/>
              <w:jc w:val="both"/>
              <w:rPr>
                <w:rFonts w:ascii="Verdana" w:eastAsia="Calibri" w:hAnsi="Verdana" w:cs="Arial"/>
                <w:color w:val="000000"/>
                <w:lang w:val="es-ES_tradnl" w:eastAsia="es-MX"/>
              </w:rPr>
            </w:pPr>
          </w:p>
          <w:p w14:paraId="5251B32B" w14:textId="77777777" w:rsidR="0037514F" w:rsidRPr="0037514F" w:rsidRDefault="0037514F" w:rsidP="0037514F">
            <w:pPr>
              <w:spacing w:after="120" w:line="276" w:lineRule="auto"/>
              <w:jc w:val="both"/>
              <w:rPr>
                <w:rFonts w:ascii="Verdana" w:eastAsia="Times New Roman" w:hAnsi="Verdana" w:cs="Arial"/>
                <w:lang w:val="es-ES" w:eastAsia="es-ES"/>
              </w:rPr>
            </w:pPr>
            <w:proofErr w:type="spellStart"/>
            <w:r w:rsidRPr="0037514F">
              <w:rPr>
                <w:rFonts w:ascii="Verdana" w:eastAsia="Calibri" w:hAnsi="Verdana" w:cs="Arial"/>
                <w:color w:val="000000"/>
                <w:lang w:val="es-ES_tradnl" w:eastAsia="es-MX"/>
              </w:rPr>
              <w:t>iii</w:t>
            </w:r>
            <w:proofErr w:type="spellEnd"/>
            <w:r w:rsidRPr="0037514F">
              <w:rPr>
                <w:rFonts w:ascii="Verdana" w:eastAsia="Calibri" w:hAnsi="Verdana" w:cs="Arial"/>
                <w:color w:val="000000"/>
                <w:lang w:val="es-ES_tradnl" w:eastAsia="es-MX"/>
              </w:rPr>
              <w:t xml:space="preserve">. </w:t>
            </w:r>
            <w:r w:rsidRPr="0037514F">
              <w:rPr>
                <w:rFonts w:ascii="Verdana" w:eastAsia="Times New Roman" w:hAnsi="Verdana" w:cs="Arial"/>
                <w:lang w:val="es-ES" w:eastAsia="es-ES"/>
              </w:rPr>
              <w:t xml:space="preserve">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37514F">
              <w:rPr>
                <w:rFonts w:ascii="Verdana" w:eastAsia="Times New Roman" w:hAnsi="Verdana" w:cs="Arial"/>
                <w:lang w:val="es-ES" w:eastAsia="es-ES"/>
              </w:rPr>
              <w:t>postcontractual</w:t>
            </w:r>
            <w:proofErr w:type="spellEnd"/>
            <w:r w:rsidRPr="0037514F">
              <w:rPr>
                <w:rFonts w:ascii="Verdana" w:eastAsia="Times New Roman" w:hAnsi="Verdana" w:cs="Arial"/>
                <w:lang w:val="es-ES" w:eastAsia="es-ES"/>
              </w:rPr>
              <w:t xml:space="preserve"> deberán publicarse en SECOP dentro de los tres (3) días siguientes a su expedición, para cumplir el deber de publicidad regulado por el artículo 2.2.1.1.1.7.1. del Decreto 1082 de 2015.</w:t>
            </w:r>
          </w:p>
          <w:p w14:paraId="235369C4" w14:textId="77777777" w:rsidR="0037514F" w:rsidRPr="0037514F" w:rsidRDefault="0037514F" w:rsidP="0037514F">
            <w:pPr>
              <w:spacing w:after="120" w:line="276" w:lineRule="auto"/>
              <w:ind w:firstLine="709"/>
              <w:jc w:val="both"/>
              <w:rPr>
                <w:rFonts w:ascii="Verdana" w:eastAsia="Times New Roman" w:hAnsi="Verdana" w:cs="Arial"/>
                <w:lang w:val="es-ES" w:eastAsia="es-ES"/>
              </w:rPr>
            </w:pPr>
            <w:r w:rsidRPr="0037514F">
              <w:rPr>
                <w:rFonts w:ascii="Verdana" w:eastAsia="Times New Roman" w:hAnsi="Verdana" w:cs="Arial"/>
                <w:lang w:val="es-ES" w:eastAsia="es-ES"/>
              </w:rPr>
              <w:t>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definitivos, esto es, aquellos que están firmados por las partes y luego se publican en dicha plataforma, en los términos ya expuestos, dependiendo de la naturaleza de la entidad y de las reglas prescritas en los Decretos 1081 y 1082 de 2015.</w:t>
            </w:r>
          </w:p>
          <w:p w14:paraId="520D4251" w14:textId="77777777" w:rsidR="0037514F" w:rsidRPr="0037514F" w:rsidRDefault="0037514F" w:rsidP="0037514F">
            <w:pPr>
              <w:spacing w:after="120" w:line="276" w:lineRule="auto"/>
              <w:ind w:firstLine="709"/>
              <w:jc w:val="both"/>
              <w:rPr>
                <w:rFonts w:ascii="Verdana" w:eastAsia="Times New Roman" w:hAnsi="Verdana" w:cs="Arial"/>
                <w:lang w:val="es-ES" w:eastAsia="es-ES"/>
              </w:rPr>
            </w:pPr>
            <w:r w:rsidRPr="0037514F">
              <w:rPr>
                <w:rFonts w:ascii="Verdana" w:eastAsia="Times New Roman" w:hAnsi="Verdana" w:cs="Arial"/>
                <w:lang w:val="es-ES" w:eastAsia="es-ES"/>
              </w:rPr>
              <w:t xml:space="preserve">En torno a los documentos de ejecución debe precisarse que algunos de estos no tienen un carácter transaccional en SECOP II, pues dentro de la numeral 7° del Proceso de Contratación “Ejecución del contrato” se encuentra la Sección “Documentos de Ejecución del contrato”, en el que tanto la Entidad Estatal como el Proveedor podrán cargar cualquier documento adicional resultado de la ejecución del contrato por ejemplo, acta de inicio, actas de entrega, informes de avance, requerimientos de la supervisión, solicitud de </w:t>
            </w:r>
            <w:r w:rsidRPr="0037514F">
              <w:rPr>
                <w:rFonts w:ascii="Verdana" w:eastAsia="Times New Roman" w:hAnsi="Verdana" w:cs="Arial"/>
                <w:lang w:val="es-ES" w:eastAsia="es-ES"/>
              </w:rPr>
              <w:lastRenderedPageBreak/>
              <w:t>ampliación de pólizas, entre otros. Dichos documentos deberán estar suscritos por la parte o partes que los generan y subirse en la plataforma en SECOP II dentro de los términos dispuestos por el Decreto 1082 de 2015, esto es, tres (3) días siguientes. Sin perjuicio, del término de diez (10) días como un límite máximo para publicar por parte de las entidades del orden nacional sometidas a lo dispuesto en el Decreto 1600 de 2024 que modifica el Decreto 1081 de 2015.</w:t>
            </w:r>
          </w:p>
          <w:p w14:paraId="61B60D84" w14:textId="77777777" w:rsidR="0037514F" w:rsidRPr="0037514F" w:rsidRDefault="0037514F" w:rsidP="0037514F">
            <w:pPr>
              <w:spacing w:after="120" w:line="276" w:lineRule="auto"/>
              <w:ind w:firstLine="709"/>
              <w:jc w:val="both"/>
              <w:rPr>
                <w:rFonts w:ascii="Verdana" w:eastAsia="Times New Roman" w:hAnsi="Verdana" w:cs="Arial"/>
                <w:lang w:val="es-ES" w:eastAsia="es-ES"/>
              </w:rPr>
            </w:pPr>
            <w:r w:rsidRPr="0037514F">
              <w:rPr>
                <w:rFonts w:ascii="Verdana" w:eastAsia="Times New Roman" w:hAnsi="Verdana" w:cs="Arial"/>
                <w:lang w:val="es-ES" w:eastAsia="es-ES"/>
              </w:rPr>
              <w:t>El término de diez (10) días es un plazo máximo para las entidades y empresas del Estado del orden nacional y pertenecientes a la Rama Ejecutiva del Poder Público para publicar en SECOP, en todo caso los documentos de carácter definitivo, precisando la regla general sigue vigente, y que, en un principio, el término para publicar tres (3) días siguientes a la expedición, esto es, a partir desde que el documento se encuentra perfeccionado por la parte o las partes intervinientes, de conformidad a lo prescrito en el Decreto 1082 de 2015.</w:t>
            </w:r>
          </w:p>
          <w:p w14:paraId="203176F8" w14:textId="77777777" w:rsidR="0037514F" w:rsidRPr="0037514F" w:rsidRDefault="0037514F" w:rsidP="0037514F">
            <w:pPr>
              <w:spacing w:after="120" w:line="276" w:lineRule="auto"/>
              <w:ind w:firstLine="709"/>
              <w:jc w:val="both"/>
              <w:rPr>
                <w:rFonts w:ascii="Verdana" w:eastAsia="Times New Roman" w:hAnsi="Verdana" w:cs="Arial"/>
                <w:lang w:val="es-ES" w:eastAsia="es-ES"/>
              </w:rPr>
            </w:pPr>
            <w:r w:rsidRPr="0037514F">
              <w:rPr>
                <w:rFonts w:ascii="Verdana" w:eastAsia="Times New Roman" w:hAnsi="Verdana" w:cs="Arial"/>
                <w:lang w:val="es-ES" w:eastAsia="es-ES"/>
              </w:rPr>
              <w:t>Las entidades del orden territorial, así como sus descentralizadas deben seguir aplicando el término general de tres (3) días, y no podrán hacer una interpretación extensiva ni analógica, puesto que se rigen bajo el principio de legalidad que implica una interpretación literal y estricta de las disposiciones normativas.</w:t>
            </w:r>
          </w:p>
          <w:p w14:paraId="24ADBECB" w14:textId="77777777" w:rsidR="0037514F" w:rsidRPr="0037514F" w:rsidRDefault="0037514F" w:rsidP="0037514F">
            <w:pPr>
              <w:spacing w:after="120" w:line="276" w:lineRule="auto"/>
              <w:ind w:firstLine="709"/>
              <w:jc w:val="both"/>
              <w:rPr>
                <w:rFonts w:ascii="Verdana" w:eastAsia="Times New Roman" w:hAnsi="Verdana" w:cs="Arial"/>
                <w:lang w:val="es-ES" w:eastAsia="es-ES"/>
              </w:rPr>
            </w:pPr>
            <w:r w:rsidRPr="0037514F">
              <w:rPr>
                <w:rFonts w:ascii="Verdana" w:eastAsia="Times New Roman" w:hAnsi="Verdana" w:cs="Arial"/>
                <w:lang w:val="es-ES" w:eastAsia="es-ES"/>
              </w:rPr>
              <w:t>Corresponderá a la Entidad Estatal, previo concepto de sus órganos asesores, cumplir con la publicación de los documentos que expiden dentro de un Proceso de Contratación en el SECOP, ya sea en SECOP I o en SECOP II en cumplimiento de las disposiciones legales y reglamentarias.</w:t>
            </w:r>
          </w:p>
          <w:p w14:paraId="387D3C27" w14:textId="77777777" w:rsidR="0037514F" w:rsidRPr="0037514F" w:rsidRDefault="0037514F" w:rsidP="0037514F">
            <w:pPr>
              <w:spacing w:after="120" w:line="276" w:lineRule="auto"/>
              <w:jc w:val="both"/>
              <w:rPr>
                <w:rFonts w:ascii="Verdana" w:eastAsia="Times New Roman" w:hAnsi="Verdana" w:cs="Times New Roman"/>
                <w:lang w:eastAsia="es-MX"/>
              </w:rPr>
            </w:pPr>
            <w:r w:rsidRPr="0037514F">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77965CE" w14:textId="77777777" w:rsidR="0037514F" w:rsidRPr="0037514F" w:rsidRDefault="0037514F" w:rsidP="0037514F">
            <w:pPr>
              <w:spacing w:line="276" w:lineRule="auto"/>
              <w:ind w:firstLine="708"/>
              <w:jc w:val="both"/>
              <w:rPr>
                <w:rFonts w:ascii="Verdana" w:eastAsia="Calibri" w:hAnsi="Verdana" w:cs="Arial"/>
                <w:bCs/>
                <w:color w:val="000000"/>
                <w:lang w:eastAsia="es-MX"/>
              </w:rPr>
            </w:pPr>
            <w:r w:rsidRPr="0037514F">
              <w:rPr>
                <w:rFonts w:ascii="Verdana" w:eastAsia="Calibri" w:hAnsi="Verdana" w:cs="Arial"/>
                <w:bCs/>
                <w:color w:val="000000"/>
                <w:lang w:eastAsia="es-MX"/>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00E65BC4" w14:textId="77777777" w:rsidR="0037514F" w:rsidRPr="0037514F" w:rsidRDefault="0037514F" w:rsidP="0037514F">
      <w:pPr>
        <w:tabs>
          <w:tab w:val="left" w:pos="142"/>
          <w:tab w:val="left" w:pos="284"/>
        </w:tabs>
        <w:spacing w:after="0" w:line="276" w:lineRule="auto"/>
        <w:jc w:val="both"/>
        <w:rPr>
          <w:rFonts w:ascii="Verdana" w:eastAsia="Century Gothic" w:hAnsi="Verdana" w:cs="Century Gothic"/>
          <w:b/>
          <w:bCs/>
          <w:lang w:val="es-ES" w:eastAsia="es-MX"/>
        </w:rPr>
      </w:pPr>
    </w:p>
    <w:p w14:paraId="205B1026" w14:textId="77777777" w:rsidR="0037514F" w:rsidRPr="0037514F" w:rsidRDefault="0037514F" w:rsidP="0037514F">
      <w:pPr>
        <w:tabs>
          <w:tab w:val="left" w:pos="142"/>
          <w:tab w:val="left" w:pos="284"/>
        </w:tabs>
        <w:spacing w:after="0" w:line="276" w:lineRule="auto"/>
        <w:jc w:val="both"/>
        <w:rPr>
          <w:rFonts w:ascii="Verdana" w:eastAsia="Century Gothic" w:hAnsi="Verdana" w:cs="Century Gothic"/>
          <w:b/>
          <w:bCs/>
          <w:lang w:val="es-ES" w:eastAsia="es-MX"/>
        </w:rPr>
      </w:pPr>
      <w:r w:rsidRPr="0037514F">
        <w:rPr>
          <w:rFonts w:ascii="Verdana" w:eastAsia="Century Gothic" w:hAnsi="Verdana" w:cs="Century Gothic"/>
          <w:b/>
          <w:bCs/>
          <w:lang w:val="es-ES" w:eastAsia="es-MX"/>
        </w:rPr>
        <w:t>3. Razones de la respuesta:</w:t>
      </w:r>
    </w:p>
    <w:p w14:paraId="60874025" w14:textId="77777777" w:rsidR="0037514F" w:rsidRPr="0037514F" w:rsidRDefault="0037514F" w:rsidP="0037514F">
      <w:pPr>
        <w:spacing w:after="0" w:line="276" w:lineRule="auto"/>
        <w:jc w:val="both"/>
        <w:rPr>
          <w:rFonts w:ascii="Verdana" w:eastAsia="Calibri" w:hAnsi="Verdana" w:cs="Arial"/>
          <w:lang w:val="es-ES" w:eastAsia="es-MX"/>
        </w:rPr>
      </w:pPr>
    </w:p>
    <w:p w14:paraId="3FB4B594" w14:textId="77777777" w:rsidR="0037514F" w:rsidRPr="0037514F" w:rsidRDefault="0037514F" w:rsidP="0037514F">
      <w:pPr>
        <w:spacing w:after="0" w:line="276" w:lineRule="auto"/>
        <w:jc w:val="both"/>
        <w:rPr>
          <w:rFonts w:ascii="Verdana" w:eastAsia="Calibri" w:hAnsi="Verdana" w:cs="Arial"/>
          <w:lang w:val="es-ES" w:eastAsia="es-MX"/>
        </w:rPr>
      </w:pPr>
      <w:r w:rsidRPr="0037514F">
        <w:rPr>
          <w:rFonts w:ascii="Verdana" w:eastAsia="Calibri" w:hAnsi="Verdana" w:cs="Arial"/>
          <w:lang w:val="es-ES" w:eastAsia="es-MX"/>
        </w:rPr>
        <w:t xml:space="preserve">Lo anterior se sustenta en las siguientes consideraciones: </w:t>
      </w:r>
    </w:p>
    <w:p w14:paraId="12A6C0BE" w14:textId="77777777" w:rsidR="0037514F" w:rsidRPr="0037514F" w:rsidRDefault="0037514F" w:rsidP="0037514F">
      <w:pPr>
        <w:spacing w:after="0" w:line="276" w:lineRule="auto"/>
        <w:jc w:val="both"/>
        <w:rPr>
          <w:rFonts w:ascii="Verdana" w:eastAsia="Calibri" w:hAnsi="Verdana" w:cs="Arial"/>
          <w:lang w:val="es-ES" w:eastAsia="es-MX"/>
        </w:rPr>
      </w:pPr>
    </w:p>
    <w:p w14:paraId="223CE190" w14:textId="77777777" w:rsidR="0037514F" w:rsidRPr="0037514F" w:rsidRDefault="0037514F" w:rsidP="0037514F">
      <w:pPr>
        <w:spacing w:after="120" w:line="276" w:lineRule="auto"/>
        <w:jc w:val="both"/>
        <w:rPr>
          <w:rFonts w:ascii="Verdana" w:eastAsia="Aptos" w:hAnsi="Verdana" w:cs="Arial"/>
          <w:lang w:eastAsia="es-MX"/>
        </w:rPr>
      </w:pPr>
      <w:r w:rsidRPr="0037514F">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4A60F0E" w14:textId="77777777" w:rsidR="0037514F" w:rsidRPr="0037514F" w:rsidRDefault="0037514F" w:rsidP="0037514F">
      <w:pPr>
        <w:spacing w:after="120" w:line="276" w:lineRule="auto"/>
        <w:ind w:firstLine="708"/>
        <w:jc w:val="both"/>
        <w:rPr>
          <w:rFonts w:ascii="Verdana" w:eastAsia="Aptos" w:hAnsi="Verdana" w:cs="Arial"/>
          <w:lang w:eastAsia="es-MX"/>
        </w:rPr>
      </w:pPr>
      <w:r w:rsidRPr="0037514F">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19C5956"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Aptos" w:hAnsi="Verdana" w:cs="Arial"/>
          <w:lang w:eastAsia="es-MX"/>
        </w:rPr>
        <w:t xml:space="preserve">En el sector social, </w:t>
      </w:r>
      <w:r w:rsidRPr="0037514F">
        <w:rPr>
          <w:rFonts w:ascii="Verdana" w:eastAsia="Calibri" w:hAnsi="Verdana" w:cs="Arial"/>
          <w:lang w:val="es-MX" w:eastAsia="es-MX"/>
        </w:rPr>
        <w:t xml:space="preserve">la Agencia Nacional de Contratación Pública – Colombia Compra </w:t>
      </w:r>
      <w:r w:rsidRPr="0037514F">
        <w:rPr>
          <w:rFonts w:ascii="Verdana" w:eastAsia="Calibri" w:hAnsi="Verdana" w:cs="Arial"/>
          <w:lang w:eastAsia="es-MX"/>
        </w:rPr>
        <w:t xml:space="preserve">Eficiente </w:t>
      </w:r>
      <w:r w:rsidRPr="0037514F">
        <w:rPr>
          <w:rFonts w:ascii="Verdana" w:eastAsia="Times New Roman" w:hAnsi="Verdana" w:cs="Times New Roman"/>
          <w:color w:val="000000"/>
          <w:lang w:eastAsia="es-CO"/>
        </w:rPr>
        <w:t>en el segundo semestre del año 2025 adoptó las siguientes Resoluciones para contratar obra pública y concurso de méritos:</w:t>
      </w:r>
    </w:p>
    <w:p w14:paraId="261C1C80"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i) Resolución 539 del 21 de agosto de 2015 "Por la cual se adopta la versión -2- de los documentos tipo para los procesos de selección de licitación </w:t>
      </w:r>
      <w:r w:rsidRPr="0037514F">
        <w:rPr>
          <w:rFonts w:ascii="Verdana" w:eastAsia="Times New Roman" w:hAnsi="Verdana" w:cs="Times New Roman"/>
          <w:color w:val="000000"/>
          <w:lang w:eastAsia="es-CO"/>
        </w:rPr>
        <w:lastRenderedPageBreak/>
        <w:t>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F7E0F54"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 </w:t>
      </w:r>
      <w:proofErr w:type="spellStart"/>
      <w:r w:rsidRPr="0037514F">
        <w:rPr>
          <w:rFonts w:ascii="Verdana" w:eastAsia="Times New Roman" w:hAnsi="Verdana" w:cs="Times New Roman"/>
          <w:color w:val="000000"/>
          <w:lang w:eastAsia="es-CO"/>
        </w:rPr>
        <w:t>ii</w:t>
      </w:r>
      <w:proofErr w:type="spellEnd"/>
      <w:r w:rsidRPr="0037514F">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421EBF2A"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proofErr w:type="spellStart"/>
      <w:r w:rsidRPr="0037514F">
        <w:rPr>
          <w:rFonts w:ascii="Verdana" w:eastAsia="Times New Roman" w:hAnsi="Verdana" w:cs="Times New Roman"/>
          <w:color w:val="000000"/>
          <w:lang w:eastAsia="es-CO"/>
        </w:rPr>
        <w:t>iii</w:t>
      </w:r>
      <w:proofErr w:type="spellEnd"/>
      <w:r w:rsidRPr="0037514F">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30988A32"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proofErr w:type="spellStart"/>
      <w:r w:rsidRPr="0037514F">
        <w:rPr>
          <w:rFonts w:ascii="Verdana" w:eastAsia="Times New Roman" w:hAnsi="Verdana" w:cs="Times New Roman"/>
          <w:color w:val="000000"/>
          <w:lang w:eastAsia="es-CO"/>
        </w:rPr>
        <w:t>iv</w:t>
      </w:r>
      <w:proofErr w:type="spellEnd"/>
      <w:r w:rsidRPr="0037514F">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6FA7521"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37514F">
        <w:rPr>
          <w:rFonts w:ascii="Verdana" w:eastAsia="Aptos" w:hAnsi="Verdana" w:cs="Times New Roman"/>
          <w:lang w:eastAsia="es-MX"/>
        </w:rPr>
        <w:t xml:space="preserve"> </w:t>
      </w:r>
    </w:p>
    <w:p w14:paraId="316C7271" w14:textId="77777777" w:rsidR="0037514F" w:rsidRPr="0037514F" w:rsidRDefault="0037514F" w:rsidP="0037514F">
      <w:pPr>
        <w:spacing w:after="120" w:line="276" w:lineRule="auto"/>
        <w:ind w:firstLine="708"/>
        <w:jc w:val="both"/>
        <w:textAlignment w:val="baseline"/>
        <w:rPr>
          <w:rFonts w:ascii="Verdana" w:eastAsia="Calibri" w:hAnsi="Verdana" w:cs="Arial"/>
          <w:lang w:eastAsia="es-MX"/>
        </w:rPr>
      </w:pPr>
      <w:r w:rsidRPr="0037514F">
        <w:rPr>
          <w:rFonts w:ascii="Verdana" w:eastAsia="Aptos" w:hAnsi="Verdana" w:cs="Times New Roman"/>
          <w:lang w:eastAsia="es-MX"/>
        </w:rPr>
        <w:t xml:space="preserve">Las Resoluciones 539, 540 y 541 del 21 de agosto de 2025, así como las Resoluciones 952 y 953 del 15 de diciembre de 2025, adoptadas en el sector de </w:t>
      </w:r>
      <w:r w:rsidRPr="0037514F">
        <w:rPr>
          <w:rFonts w:ascii="Verdana" w:eastAsia="Aptos" w:hAnsi="Verdana" w:cs="Times New Roman"/>
          <w:lang w:eastAsia="es-MX"/>
        </w:rPr>
        <w:lastRenderedPageBreak/>
        <w:t>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37514F">
        <w:rPr>
          <w:rFonts w:ascii="Verdana" w:eastAsia="Calibri" w:hAnsi="Verdana" w:cs="Arial"/>
          <w:vertAlign w:val="superscript"/>
          <w:lang w:eastAsia="es-MX"/>
        </w:rPr>
        <w:footnoteReference w:id="3"/>
      </w:r>
      <w:r w:rsidRPr="0037514F">
        <w:rPr>
          <w:rFonts w:ascii="Verdana" w:eastAsia="Calibri" w:hAnsi="Verdana" w:cs="Arial"/>
          <w:lang w:eastAsia="es-MX"/>
        </w:rPr>
        <w:t>.</w:t>
      </w:r>
    </w:p>
    <w:p w14:paraId="286F31C5" w14:textId="77777777" w:rsidR="0037514F" w:rsidRPr="0037514F" w:rsidRDefault="0037514F" w:rsidP="0037514F">
      <w:pPr>
        <w:widowControl w:val="0"/>
        <w:autoSpaceDE w:val="0"/>
        <w:autoSpaceDN w:val="0"/>
        <w:spacing w:after="120" w:line="276" w:lineRule="auto"/>
        <w:ind w:firstLine="708"/>
        <w:jc w:val="both"/>
        <w:rPr>
          <w:rFonts w:ascii="Verdana" w:eastAsia="Calibri" w:hAnsi="Verdana" w:cs="Times New Roman"/>
          <w:lang w:val="es-ES" w:eastAsia="es-MX"/>
        </w:rPr>
      </w:pPr>
      <w:r w:rsidRPr="0037514F">
        <w:rPr>
          <w:rFonts w:ascii="Verdana" w:eastAsia="Calibri" w:hAnsi="Verdana" w:cs="Times New Roman"/>
          <w:lang w:val="es-ES" w:eastAsia="es-MX"/>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37514F">
        <w:rPr>
          <w:rFonts w:ascii="Verdana" w:eastAsia="Calibri" w:hAnsi="Verdana" w:cs="Times New Roman"/>
          <w:shd w:val="clear" w:color="auto" w:fill="E8E8E8"/>
          <w:lang w:val="es-ES" w:eastAsia="es-MX"/>
        </w:rPr>
        <w:t>–[texto]–,</w:t>
      </w:r>
      <w:r w:rsidRPr="0037514F">
        <w:rPr>
          <w:rFonts w:ascii="Verdana" w:eastAsia="Calibri" w:hAnsi="Verdana" w:cs="Times New Roman"/>
          <w:lang w:val="es-ES" w:eastAsia="es-MX"/>
        </w:rPr>
        <w:t xml:space="preserve"> para lo cual deberán observarse las instrucciones contenidas en los mismos para su diligenciamiento.</w:t>
      </w:r>
    </w:p>
    <w:p w14:paraId="4CD50870" w14:textId="77777777" w:rsidR="0037514F" w:rsidRPr="0037514F" w:rsidRDefault="0037514F" w:rsidP="0037514F">
      <w:pPr>
        <w:widowControl w:val="0"/>
        <w:autoSpaceDE w:val="0"/>
        <w:autoSpaceDN w:val="0"/>
        <w:spacing w:after="120" w:line="276" w:lineRule="auto"/>
        <w:ind w:firstLine="708"/>
        <w:jc w:val="both"/>
        <w:rPr>
          <w:rFonts w:ascii="Verdana" w:eastAsia="Calibri" w:hAnsi="Verdana" w:cs="Times New Roman"/>
          <w:lang w:val="es-ES" w:eastAsia="es-MX"/>
        </w:rPr>
      </w:pPr>
      <w:r w:rsidRPr="0037514F">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w:t>
      </w:r>
      <w:r w:rsidRPr="0037514F">
        <w:rPr>
          <w:rFonts w:ascii="Verdana" w:eastAsia="Calibri" w:hAnsi="Verdana" w:cs="Times New Roman"/>
          <w:lang w:val="es-ES" w:eastAsia="es-MX"/>
        </w:rPr>
        <w:lastRenderedPageBreak/>
        <w:t xml:space="preserve">alteración. </w:t>
      </w:r>
    </w:p>
    <w:p w14:paraId="23B1A188" w14:textId="77777777" w:rsidR="0037514F" w:rsidRPr="0037514F" w:rsidRDefault="0037514F" w:rsidP="0037514F">
      <w:pPr>
        <w:widowControl w:val="0"/>
        <w:autoSpaceDE w:val="0"/>
        <w:autoSpaceDN w:val="0"/>
        <w:spacing w:after="120" w:line="276" w:lineRule="auto"/>
        <w:ind w:firstLine="708"/>
        <w:jc w:val="both"/>
        <w:rPr>
          <w:rFonts w:ascii="Verdana" w:eastAsia="Calibri" w:hAnsi="Verdana" w:cs="Times New Roman"/>
          <w:lang w:val="es-ES" w:eastAsia="es-MX"/>
        </w:rPr>
      </w:pPr>
      <w:r w:rsidRPr="0037514F">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08EA702" w14:textId="77777777" w:rsidR="0037514F" w:rsidRPr="0037514F" w:rsidRDefault="0037514F" w:rsidP="0037514F">
      <w:pPr>
        <w:widowControl w:val="0"/>
        <w:autoSpaceDE w:val="0"/>
        <w:autoSpaceDN w:val="0"/>
        <w:spacing w:after="120" w:line="276" w:lineRule="auto"/>
        <w:ind w:firstLine="708"/>
        <w:jc w:val="both"/>
        <w:rPr>
          <w:rFonts w:ascii="Verdana" w:eastAsia="Calibri" w:hAnsi="Verdana" w:cs="Times New Roman"/>
          <w:lang w:val="es-ES" w:eastAsia="es-MX"/>
        </w:rPr>
      </w:pPr>
      <w:r w:rsidRPr="0037514F">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BA9F84E" w14:textId="77777777" w:rsidR="0037514F" w:rsidRPr="0037514F" w:rsidRDefault="0037514F" w:rsidP="0037514F">
      <w:pPr>
        <w:widowControl w:val="0"/>
        <w:autoSpaceDE w:val="0"/>
        <w:autoSpaceDN w:val="0"/>
        <w:spacing w:after="120" w:line="276" w:lineRule="auto"/>
        <w:ind w:firstLine="708"/>
        <w:jc w:val="both"/>
        <w:rPr>
          <w:rFonts w:ascii="Verdana" w:eastAsia="Calibri" w:hAnsi="Verdana" w:cs="Times New Roman"/>
          <w:lang w:val="es-ES" w:eastAsia="es-MX"/>
        </w:rPr>
      </w:pPr>
      <w:r w:rsidRPr="0037514F">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2A7967D" w14:textId="77777777" w:rsidR="0037514F" w:rsidRPr="0037514F" w:rsidRDefault="0037514F" w:rsidP="0037514F">
      <w:pPr>
        <w:widowControl w:val="0"/>
        <w:autoSpaceDE w:val="0"/>
        <w:autoSpaceDN w:val="0"/>
        <w:spacing w:after="0" w:line="276" w:lineRule="auto"/>
        <w:ind w:firstLine="708"/>
        <w:jc w:val="both"/>
        <w:rPr>
          <w:rFonts w:ascii="Verdana" w:eastAsia="Calibri" w:hAnsi="Verdana" w:cs="Times New Roman"/>
          <w:lang w:val="es-ES" w:eastAsia="es-MX"/>
        </w:rPr>
      </w:pPr>
      <w:r w:rsidRPr="0037514F">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244FE31" w14:textId="77777777" w:rsidR="0037514F" w:rsidRPr="0037514F" w:rsidRDefault="0037514F" w:rsidP="0037514F">
      <w:pPr>
        <w:widowControl w:val="0"/>
        <w:autoSpaceDE w:val="0"/>
        <w:autoSpaceDN w:val="0"/>
        <w:spacing w:after="0" w:line="276" w:lineRule="auto"/>
        <w:ind w:firstLine="708"/>
        <w:jc w:val="both"/>
        <w:rPr>
          <w:rFonts w:ascii="Verdana" w:eastAsia="Calibri" w:hAnsi="Verdana" w:cs="Times New Roman"/>
          <w:lang w:val="es-ES" w:eastAsia="es-MX"/>
        </w:rPr>
      </w:pPr>
    </w:p>
    <w:p w14:paraId="0BD89444" w14:textId="77777777" w:rsidR="0037514F" w:rsidRPr="0037514F" w:rsidRDefault="0037514F" w:rsidP="0037514F">
      <w:pPr>
        <w:spacing w:after="120" w:line="276" w:lineRule="auto"/>
        <w:jc w:val="both"/>
        <w:rPr>
          <w:rFonts w:ascii="Verdana" w:eastAsia="Calibri" w:hAnsi="Verdana" w:cs="Times New Roman"/>
          <w:lang w:val="es-ES" w:eastAsia="es-MX"/>
        </w:rPr>
      </w:pPr>
      <w:proofErr w:type="spellStart"/>
      <w:r w:rsidRPr="0037514F">
        <w:rPr>
          <w:rFonts w:ascii="Verdana" w:eastAsia="Calibri" w:hAnsi="Verdana" w:cs="Times New Roman"/>
          <w:lang w:val="es-ES" w:eastAsia="es-MX"/>
        </w:rPr>
        <w:lastRenderedPageBreak/>
        <w:t>ii</w:t>
      </w:r>
      <w:proofErr w:type="spellEnd"/>
      <w:r w:rsidRPr="0037514F">
        <w:rPr>
          <w:rFonts w:ascii="Verdana" w:eastAsia="Calibri" w:hAnsi="Verdana" w:cs="Times New Roman"/>
          <w:lang w:val="es-ES" w:eastAsia="es-MX"/>
        </w:rPr>
        <w:t xml:space="preserve">. </w:t>
      </w:r>
      <w:r w:rsidRPr="0037514F">
        <w:rPr>
          <w:rFonts w:ascii="Verdana" w:eastAsia="Calibri" w:hAnsi="Verdana" w:cs="Times New Roman"/>
          <w:kern w:val="2"/>
          <w:lang w:val="es-ES" w:eastAsia="es-MX"/>
          <w14:ligatures w14:val="standardContextual"/>
        </w:rPr>
        <w:t>El artículo 17 de la Resolución 539 del 21 de agosto de 2025, y el artículo 16 de las Resoluciones 540 y 541 del 21 de agosto de 2025, adoptan los Documentos Tipo complementarios para los procesos de infraestructura social relacionados con el Sector Institucional –según la modalidad que aplique–. De acuerdo con el parágrafo segundo de los artículos 17 y 16 de las citadas resoluciones, estos documentos aplican a los procesos contractuales que correspondan a las actividades definidas en la Matriz 1 – Experiencia del Sector Institucional.</w:t>
      </w:r>
    </w:p>
    <w:p w14:paraId="0EBCAEDA" w14:textId="77777777" w:rsidR="0037514F" w:rsidRPr="0037514F" w:rsidRDefault="0037514F" w:rsidP="0037514F">
      <w:pPr>
        <w:spacing w:after="0" w:line="276" w:lineRule="auto"/>
        <w:ind w:firstLine="709"/>
        <w:jc w:val="both"/>
        <w:rPr>
          <w:rFonts w:ascii="Verdana" w:eastAsia="Calibri" w:hAnsi="Verdana" w:cs="Times New Roman"/>
          <w:lang w:eastAsia="es-MX"/>
        </w:rPr>
      </w:pPr>
      <w:r w:rsidRPr="0037514F">
        <w:rPr>
          <w:rFonts w:ascii="Verdana" w:eastAsia="Times New Roman" w:hAnsi="Verdana" w:cs="Times New Roman"/>
          <w:color w:val="000000"/>
          <w:lang w:eastAsia="es-CO"/>
        </w:rPr>
        <w:t>En los documentos tipo complementarios del sector Institucional, en la modalidad de licitación pública, selección abreviada de menor cuantía y mínima cuantía, en la Matriz 1 se encuentran los siguientes tipos de infraestructura:</w:t>
      </w:r>
      <w:r w:rsidRPr="0037514F">
        <w:rPr>
          <w:rFonts w:ascii="Verdana" w:eastAsia="Arial" w:hAnsi="Verdana" w:cs="Aptos"/>
          <w:lang w:eastAsia="es-ES"/>
        </w:rPr>
        <w:t xml:space="preserve"> “1)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37514F">
        <w:rPr>
          <w:rFonts w:ascii="Verdana" w:eastAsia="Times New Roman" w:hAnsi="Verdana" w:cs="Arial"/>
          <w:lang w:eastAsia="es-MX"/>
        </w:rPr>
        <w:t>.</w:t>
      </w:r>
      <w:r w:rsidRPr="0037514F">
        <w:rPr>
          <w:rFonts w:ascii="Verdana" w:eastAsia="Calibri" w:hAnsi="Verdana" w:cs="Times New Roman"/>
          <w:lang w:eastAsia="es-MX"/>
        </w:rPr>
        <w:t xml:space="preserve"> Particularmente, en relación con el primer problema jurídico planteado en este concepto, en el Capítulo dos (2) “</w:t>
      </w:r>
      <w:r w:rsidRPr="0037514F">
        <w:rPr>
          <w:rFonts w:ascii="Verdana" w:eastAsia="Arial" w:hAnsi="Verdana" w:cs="Aptos"/>
          <w:lang w:eastAsia="es-ES"/>
        </w:rPr>
        <w:t>Obras en proyectos de infraestructura institucional de servicio público”,</w:t>
      </w:r>
      <w:r w:rsidRPr="0037514F">
        <w:rPr>
          <w:rFonts w:ascii="Verdana" w:eastAsia="Calibri" w:hAnsi="Verdana" w:cs="Times New Roman"/>
          <w:lang w:eastAsia="es-MX"/>
        </w:rPr>
        <w:t xml:space="preserve"> se incluyen las siguientes actividades:  </w:t>
      </w:r>
    </w:p>
    <w:p w14:paraId="778C92DF" w14:textId="77777777" w:rsidR="0037514F" w:rsidRPr="0037514F" w:rsidRDefault="0037514F" w:rsidP="0037514F">
      <w:pPr>
        <w:spacing w:after="0" w:line="276" w:lineRule="auto"/>
        <w:ind w:firstLine="708"/>
        <w:jc w:val="both"/>
        <w:rPr>
          <w:rFonts w:ascii="Verdana" w:eastAsia="Calibri" w:hAnsi="Verdana" w:cs="Times New Roman"/>
          <w:lang w:eastAsia="es-MX"/>
        </w:rPr>
      </w:pPr>
    </w:p>
    <w:p w14:paraId="66EB5F42" w14:textId="77777777" w:rsidR="0037514F" w:rsidRPr="0037514F" w:rsidRDefault="0037514F" w:rsidP="0037514F">
      <w:pPr>
        <w:snapToGrid w:val="0"/>
        <w:spacing w:after="120" w:line="240" w:lineRule="auto"/>
        <w:ind w:left="709" w:right="709"/>
        <w:jc w:val="both"/>
        <w:rPr>
          <w:rFonts w:ascii="Verdana" w:eastAsia="Calibri" w:hAnsi="Verdana" w:cs="Times New Roman"/>
          <w:i/>
          <w:iCs/>
          <w:sz w:val="21"/>
          <w:szCs w:val="21"/>
          <w:lang w:eastAsia="es-MX"/>
        </w:rPr>
      </w:pPr>
      <w:r w:rsidRPr="0037514F">
        <w:rPr>
          <w:rFonts w:ascii="Verdana" w:eastAsia="Calibri" w:hAnsi="Verdana" w:cs="Times New Roman"/>
          <w:sz w:val="21"/>
          <w:szCs w:val="21"/>
          <w:lang w:eastAsia="es-MX"/>
        </w:rPr>
        <w:t>“</w:t>
      </w:r>
      <w:r w:rsidRPr="0037514F">
        <w:rPr>
          <w:rFonts w:ascii="Verdana" w:eastAsia="Calibri" w:hAnsi="Verdana" w:cs="Times New Roman"/>
          <w:i/>
          <w:iCs/>
          <w:sz w:val="21"/>
          <w:szCs w:val="21"/>
          <w:lang w:eastAsia="es-MX"/>
        </w:rPr>
        <w:t>2.1. PROYECTOS DE  CONSTRUCCIÓN Y/O AMPLIACIÓN Y/O RECONSTRUCCIÓN DE INFRAESTRUCTURA DE SERVICIO PUBLICO</w:t>
      </w:r>
    </w:p>
    <w:p w14:paraId="6EB2568B" w14:textId="77777777" w:rsidR="0037514F" w:rsidRPr="0037514F" w:rsidRDefault="0037514F" w:rsidP="0037514F">
      <w:pPr>
        <w:snapToGrid w:val="0"/>
        <w:spacing w:after="120" w:line="240" w:lineRule="auto"/>
        <w:ind w:left="709" w:right="709"/>
        <w:jc w:val="both"/>
        <w:rPr>
          <w:rFonts w:ascii="Verdana" w:eastAsia="Arial" w:hAnsi="Verdana" w:cs="Aptos"/>
          <w:i/>
          <w:iCs/>
          <w:sz w:val="21"/>
          <w:szCs w:val="21"/>
          <w:lang w:eastAsia="es-ES"/>
        </w:rPr>
      </w:pPr>
      <w:r w:rsidRPr="0037514F">
        <w:rPr>
          <w:rFonts w:ascii="Verdana" w:eastAsia="Arial" w:hAnsi="Verdana" w:cs="Aptos"/>
          <w:i/>
          <w:iCs/>
          <w:sz w:val="21"/>
          <w:szCs w:val="21"/>
          <w:lang w:eastAsia="es-ES"/>
        </w:rPr>
        <w:t>2.2.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PÚBLICO.</w:t>
      </w:r>
    </w:p>
    <w:p w14:paraId="4AAEFE18" w14:textId="77777777" w:rsidR="0037514F" w:rsidRPr="0037514F" w:rsidRDefault="0037514F" w:rsidP="0037514F">
      <w:pPr>
        <w:snapToGrid w:val="0"/>
        <w:spacing w:after="120" w:line="240" w:lineRule="auto"/>
        <w:ind w:left="709" w:right="709"/>
        <w:jc w:val="both"/>
        <w:rPr>
          <w:rFonts w:ascii="Verdana" w:eastAsia="Arial" w:hAnsi="Verdana" w:cs="Aptos"/>
          <w:i/>
          <w:iCs/>
          <w:sz w:val="21"/>
          <w:szCs w:val="21"/>
          <w:lang w:eastAsia="es-ES"/>
        </w:rPr>
      </w:pPr>
      <w:r w:rsidRPr="0037514F">
        <w:rPr>
          <w:rFonts w:ascii="Verdana" w:eastAsia="Arial" w:hAnsi="Verdana" w:cs="Aptos"/>
          <w:i/>
          <w:iCs/>
          <w:sz w:val="21"/>
          <w:szCs w:val="21"/>
          <w:lang w:eastAsia="es-ES"/>
        </w:rPr>
        <w:t xml:space="preserve">2.3.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w:t>
      </w:r>
      <w:r w:rsidRPr="0037514F">
        <w:rPr>
          <w:rFonts w:ascii="Verdana" w:eastAsia="Arial" w:hAnsi="Verdana" w:cs="Aptos"/>
          <w:i/>
          <w:iCs/>
          <w:sz w:val="21"/>
          <w:szCs w:val="21"/>
          <w:lang w:eastAsia="es-ES"/>
        </w:rPr>
        <w:lastRenderedPageBreak/>
        <w:t>RESTITUCIÓN Y/O TERMINACIÓN DE CERRAMIENTO PARA  INFRAESTRUCTURA DE SERVICIO PÚBLICO</w:t>
      </w:r>
    </w:p>
    <w:p w14:paraId="3656B244" w14:textId="77777777" w:rsidR="0037514F" w:rsidRPr="0037514F" w:rsidRDefault="0037514F" w:rsidP="0037514F">
      <w:pPr>
        <w:snapToGrid w:val="0"/>
        <w:spacing w:after="120" w:line="240" w:lineRule="auto"/>
        <w:ind w:left="709" w:right="709"/>
        <w:jc w:val="both"/>
        <w:rPr>
          <w:rFonts w:ascii="Verdana" w:eastAsia="Arial" w:hAnsi="Verdana" w:cs="Aptos"/>
          <w:i/>
          <w:iCs/>
          <w:sz w:val="21"/>
          <w:szCs w:val="21"/>
          <w:lang w:eastAsia="es-ES"/>
        </w:rPr>
      </w:pPr>
      <w:r w:rsidRPr="0037514F">
        <w:rPr>
          <w:rFonts w:ascii="Verdana" w:eastAsia="Arial" w:hAnsi="Verdana" w:cs="Aptos"/>
          <w:i/>
          <w:iCs/>
          <w:sz w:val="21"/>
          <w:szCs w:val="21"/>
          <w:lang w:eastAsia="es-ES"/>
        </w:rPr>
        <w:t>2.4. PROYECTOS DE REFORZAMIENTO ESTRUCTURAL Y/O ACTUALIZACIÓN SÍSMICA Y/O REPOTENCIACIÓN ESTRUCTURAL DE INFRAESTRUCTURA DE SERVICIO PUBLICO</w:t>
      </w:r>
    </w:p>
    <w:p w14:paraId="3701A27C" w14:textId="77777777" w:rsidR="0037514F" w:rsidRPr="0037514F" w:rsidRDefault="0037514F" w:rsidP="0037514F">
      <w:pPr>
        <w:snapToGrid w:val="0"/>
        <w:spacing w:after="120" w:line="240" w:lineRule="auto"/>
        <w:ind w:left="709" w:right="709"/>
        <w:jc w:val="both"/>
        <w:rPr>
          <w:rFonts w:ascii="Verdana" w:eastAsia="Arial" w:hAnsi="Verdana" w:cs="Aptos"/>
          <w:i/>
          <w:iCs/>
          <w:sz w:val="21"/>
          <w:szCs w:val="21"/>
          <w:lang w:eastAsia="es-ES"/>
        </w:rPr>
      </w:pPr>
      <w:r w:rsidRPr="0037514F">
        <w:rPr>
          <w:rFonts w:ascii="Verdana" w:eastAsia="Arial" w:hAnsi="Verdana" w:cs="Aptos"/>
          <w:i/>
          <w:iCs/>
          <w:sz w:val="21"/>
          <w:szCs w:val="21"/>
          <w:lang w:eastAsia="es-ES"/>
        </w:rPr>
        <w:t>2.5.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COMEDORES, ZONAS DE ALMACENAMIENTO Y/O ZONAS DE CONSERVACIÓN DE ALIMENTOS Y/O ZONAS DE ALIMENTACIÓN DE INFRAESTRUCTURA DE SERVICIO PUBLICO</w:t>
      </w:r>
    </w:p>
    <w:p w14:paraId="54C34956" w14:textId="77777777" w:rsidR="0037514F" w:rsidRPr="0037514F" w:rsidRDefault="0037514F" w:rsidP="0037514F">
      <w:pPr>
        <w:snapToGrid w:val="0"/>
        <w:spacing w:after="120" w:line="240" w:lineRule="auto"/>
        <w:ind w:left="709" w:right="709"/>
        <w:jc w:val="both"/>
        <w:rPr>
          <w:rFonts w:ascii="Verdana" w:eastAsia="Arial" w:hAnsi="Verdana" w:cs="Aptos"/>
          <w:i/>
          <w:iCs/>
          <w:sz w:val="21"/>
          <w:szCs w:val="21"/>
          <w:lang w:eastAsia="es-ES"/>
        </w:rPr>
      </w:pPr>
      <w:r w:rsidRPr="0037514F">
        <w:rPr>
          <w:rFonts w:ascii="Verdana" w:eastAsia="Arial" w:hAnsi="Verdana" w:cs="Aptos"/>
          <w:i/>
          <w:iCs/>
          <w:sz w:val="21"/>
          <w:szCs w:val="21"/>
          <w:lang w:eastAsia="es-ES"/>
        </w:rPr>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PÚBLICO.</w:t>
      </w:r>
    </w:p>
    <w:p w14:paraId="62E13D5C" w14:textId="77777777" w:rsidR="0037514F" w:rsidRPr="0037514F" w:rsidRDefault="0037514F" w:rsidP="0037514F">
      <w:pPr>
        <w:snapToGrid w:val="0"/>
        <w:spacing w:after="120" w:line="240" w:lineRule="auto"/>
        <w:ind w:left="709" w:right="709"/>
        <w:jc w:val="both"/>
        <w:rPr>
          <w:rFonts w:ascii="Verdana" w:eastAsia="Arial" w:hAnsi="Verdana" w:cs="Aptos"/>
          <w:i/>
          <w:iCs/>
          <w:sz w:val="21"/>
          <w:szCs w:val="21"/>
          <w:lang w:eastAsia="es-ES"/>
        </w:rPr>
      </w:pPr>
      <w:r w:rsidRPr="0037514F">
        <w:rPr>
          <w:rFonts w:ascii="Verdana" w:eastAsia="Arial" w:hAnsi="Verdana" w:cs="Aptos"/>
          <w:i/>
          <w:iCs/>
          <w:sz w:val="21"/>
          <w:szCs w:val="21"/>
          <w:lang w:eastAsia="es-ES"/>
        </w:rPr>
        <w:t>2.7.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DE SERVICIO PUBLICO</w:t>
      </w:r>
    </w:p>
    <w:p w14:paraId="75FBD972" w14:textId="77777777" w:rsidR="0037514F" w:rsidRPr="0037514F" w:rsidRDefault="0037514F" w:rsidP="0037514F">
      <w:pPr>
        <w:snapToGrid w:val="0"/>
        <w:spacing w:after="120" w:line="240" w:lineRule="auto"/>
        <w:ind w:left="709" w:right="709"/>
        <w:jc w:val="both"/>
        <w:rPr>
          <w:rFonts w:ascii="Verdana" w:eastAsia="Arial" w:hAnsi="Verdana" w:cs="Aptos"/>
          <w:i/>
          <w:iCs/>
          <w:sz w:val="21"/>
          <w:szCs w:val="21"/>
          <w:lang w:eastAsia="es-ES"/>
        </w:rPr>
      </w:pPr>
      <w:r w:rsidRPr="0037514F">
        <w:rPr>
          <w:rFonts w:ascii="Verdana" w:eastAsia="Arial" w:hAnsi="Verdana" w:cs="Aptos"/>
          <w:i/>
          <w:iCs/>
          <w:sz w:val="21"/>
          <w:szCs w:val="21"/>
          <w:lang w:eastAsia="es-ES"/>
        </w:rPr>
        <w:t xml:space="preserve">2.8.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w:t>
      </w:r>
      <w:r w:rsidRPr="0037514F">
        <w:rPr>
          <w:rFonts w:ascii="Verdana" w:eastAsia="Arial" w:hAnsi="Verdana" w:cs="Aptos"/>
          <w:i/>
          <w:iCs/>
          <w:sz w:val="21"/>
          <w:szCs w:val="21"/>
          <w:lang w:eastAsia="es-ES"/>
        </w:rPr>
        <w:lastRenderedPageBreak/>
        <w:t>TERMINACIÓN Y/O REFORZAMIENTO ESTRUCTURAL Y/O ACTUALIZACIÓN SÍSMICA Y/O REPOTENCIACIÓN ESTRUCTURAL EN BIENES DE INTERÉS CULTURAL Y/O PATRIMONIAL ASOCIADOS A INFRAESTRUCTURA DE SERVICIO PUBLICO</w:t>
      </w:r>
    </w:p>
    <w:p w14:paraId="59D1E140" w14:textId="77777777" w:rsidR="0037514F" w:rsidRPr="0037514F" w:rsidRDefault="0037514F" w:rsidP="0037514F">
      <w:pPr>
        <w:snapToGrid w:val="0"/>
        <w:spacing w:after="120" w:line="240" w:lineRule="auto"/>
        <w:ind w:left="709" w:right="709"/>
        <w:jc w:val="both"/>
        <w:rPr>
          <w:rFonts w:ascii="Verdana" w:eastAsia="Calibri" w:hAnsi="Verdana" w:cs="Times New Roman"/>
          <w:sz w:val="21"/>
          <w:szCs w:val="21"/>
          <w:lang w:eastAsia="es-MX"/>
        </w:rPr>
      </w:pPr>
      <w:r w:rsidRPr="0037514F">
        <w:rPr>
          <w:rFonts w:ascii="Verdana" w:eastAsia="Arial" w:hAnsi="Verdana" w:cs="Aptos"/>
          <w:i/>
          <w:iCs/>
          <w:sz w:val="21"/>
          <w:szCs w:val="21"/>
          <w:lang w:eastAsia="es-ES"/>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PÚBLICO</w:t>
      </w:r>
      <w:r w:rsidRPr="0037514F">
        <w:rPr>
          <w:rFonts w:ascii="Verdana" w:eastAsia="Calibri" w:hAnsi="Verdana" w:cs="Times New Roman"/>
          <w:sz w:val="21"/>
          <w:szCs w:val="21"/>
          <w:lang w:eastAsia="es-MX"/>
        </w:rPr>
        <w:t>.</w:t>
      </w:r>
    </w:p>
    <w:p w14:paraId="63BB313C" w14:textId="77777777" w:rsidR="0037514F" w:rsidRPr="0037514F" w:rsidRDefault="0037514F" w:rsidP="0037514F">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37514F">
        <w:rPr>
          <w:rFonts w:ascii="Verdana" w:eastAsia="Arial" w:hAnsi="Verdana" w:cs="Aptos"/>
          <w:kern w:val="2"/>
          <w:sz w:val="21"/>
          <w:szCs w:val="21"/>
          <w:lang w:eastAsia="es-ES"/>
          <w14:ligatures w14:val="standardContextual"/>
        </w:rPr>
        <w:t>2.10. PROYECTOS DE CONSTRUCCIÓN Y/O HABILITACIÓN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ZONAS VERDES, Y/O ACTIVIDADES DE URBANISMO Y/O DE PAISAJISMO ASOCIADA A INFRAESTRUCTURA DE SERVICIO PUBLICO</w:t>
      </w:r>
    </w:p>
    <w:p w14:paraId="1F5CB499" w14:textId="77777777" w:rsidR="0037514F" w:rsidRPr="0037514F" w:rsidRDefault="0037514F" w:rsidP="0037514F">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37514F">
        <w:rPr>
          <w:rFonts w:ascii="Verdana" w:eastAsia="Arial" w:hAnsi="Verdana" w:cs="Aptos"/>
          <w:kern w:val="2"/>
          <w:sz w:val="21"/>
          <w:szCs w:val="21"/>
          <w:lang w:eastAsia="es-ES"/>
          <w14:ligatures w14:val="standardContextual"/>
        </w:rPr>
        <w:t>2.11. PROYECTOS DE SUMINISTRO Y/O INSTALACIÓN DE DOTACIÓN Y/O DE MOBILIARIO INTERNO O EXTERNO PARA INFRAESTRUCTURA DE SERVICIO PUBLICO</w:t>
      </w:r>
    </w:p>
    <w:p w14:paraId="42891757" w14:textId="77777777" w:rsidR="0037514F" w:rsidRPr="0037514F" w:rsidRDefault="0037514F" w:rsidP="0037514F">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37514F">
        <w:rPr>
          <w:rFonts w:ascii="Verdana" w:eastAsia="Arial" w:hAnsi="Verdana" w:cs="Aptos"/>
          <w:kern w:val="2"/>
          <w:sz w:val="21"/>
          <w:szCs w:val="21"/>
          <w:lang w:eastAsia="es-ES"/>
          <w14:ligatures w14:val="standardContextual"/>
        </w:rPr>
        <w:t>2.12. PROYECTOS DE SUMINISTRO Y/O INSTALACION DE EQUIPOS ESPECIALES Y/O ELECTROMECÁNICOS Y/O ELECTRÓNICOS Y/O MAQUINARIA U OTROS TIPOS DE EQUIPOS PARA INFRAESTRUCTURA DE SERVICIO PUBLICO</w:t>
      </w:r>
    </w:p>
    <w:p w14:paraId="20514291" w14:textId="77777777" w:rsidR="0037514F" w:rsidRPr="0037514F" w:rsidRDefault="0037514F" w:rsidP="0037514F">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37514F">
        <w:rPr>
          <w:rFonts w:ascii="Verdana" w:eastAsia="Arial" w:hAnsi="Verdana" w:cs="Aptos"/>
          <w:kern w:val="2"/>
          <w:sz w:val="21"/>
          <w:szCs w:val="21"/>
          <w:lang w:eastAsia="es-ES"/>
          <w14:ligatures w14:val="standardContextual"/>
        </w:rPr>
        <w:t>2.13.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w:t>
      </w:r>
    </w:p>
    <w:p w14:paraId="687385F9" w14:textId="77777777" w:rsidR="0037514F" w:rsidRPr="0037514F" w:rsidRDefault="0037514F" w:rsidP="0037514F">
      <w:pPr>
        <w:snapToGrid w:val="0"/>
        <w:spacing w:after="0" w:line="240" w:lineRule="auto"/>
        <w:ind w:left="709" w:right="709"/>
        <w:jc w:val="both"/>
        <w:rPr>
          <w:rFonts w:ascii="Verdana" w:eastAsia="Arial" w:hAnsi="Verdana" w:cs="Aptos"/>
          <w:kern w:val="2"/>
          <w:sz w:val="21"/>
          <w:szCs w:val="21"/>
          <w:lang w:eastAsia="es-ES"/>
          <w14:ligatures w14:val="standardContextual"/>
        </w:rPr>
      </w:pPr>
      <w:r w:rsidRPr="0037514F">
        <w:rPr>
          <w:rFonts w:ascii="Verdana" w:eastAsia="Arial" w:hAnsi="Verdana" w:cs="Aptos"/>
          <w:kern w:val="2"/>
          <w:sz w:val="21"/>
          <w:szCs w:val="21"/>
          <w:lang w:eastAsia="es-ES"/>
          <w14:ligatures w14:val="standardContextual"/>
        </w:rPr>
        <w:lastRenderedPageBreak/>
        <w:t>2.14. PROYECTOS DE SUMINISTRO Y/O INSTALACIÓN DE SISTEMAS DE AIRES ACONDICIONADOS O SISTEMAS DE VENTILACIÓN O SIMILARES PARA INFRAESTRUCTURA DE SERVICIO PUBLICO”.</w:t>
      </w:r>
    </w:p>
    <w:p w14:paraId="32E77E5F" w14:textId="77777777" w:rsidR="0037514F" w:rsidRPr="0037514F" w:rsidRDefault="0037514F" w:rsidP="0037514F">
      <w:pPr>
        <w:spacing w:after="0" w:line="276" w:lineRule="auto"/>
        <w:ind w:firstLine="708"/>
        <w:jc w:val="both"/>
        <w:rPr>
          <w:rFonts w:ascii="Verdana" w:eastAsia="Calibri" w:hAnsi="Verdana" w:cs="Times New Roman"/>
          <w:lang w:eastAsia="es-MX"/>
        </w:rPr>
      </w:pPr>
    </w:p>
    <w:p w14:paraId="75E7BEFA" w14:textId="77777777" w:rsidR="0037514F" w:rsidRPr="0037514F" w:rsidRDefault="0037514F" w:rsidP="0037514F">
      <w:pPr>
        <w:spacing w:after="120" w:line="276" w:lineRule="auto"/>
        <w:ind w:firstLine="708"/>
        <w:jc w:val="both"/>
        <w:rPr>
          <w:rFonts w:ascii="Verdana" w:eastAsia="Times New Roman" w:hAnsi="Verdana" w:cs="Aptos"/>
          <w:kern w:val="2"/>
          <w:lang w:eastAsia="es-MX"/>
          <w14:ligatures w14:val="standardContextual"/>
        </w:rPr>
      </w:pPr>
      <w:r w:rsidRPr="0037514F">
        <w:rPr>
          <w:rFonts w:ascii="Verdana" w:eastAsia="Times New Roman" w:hAnsi="Verdana" w:cs="Aptos"/>
          <w:kern w:val="2"/>
          <w:lang w:eastAsia="es-MX"/>
          <w14:ligatures w14:val="standardContextual"/>
        </w:rPr>
        <w:t xml:space="preserve">Las actividades señaladas, contenidas en el capítulo 2 “Obras en proyectos de infraestructura institucional de servicio público” de los documentos tipo del sector institucional, corresponden de manera general, entre otras, a las siguientes: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edificaciones, cubiertas, comedores, zonas de almacenamiento y/o conservación de alimentos y/o zonas de alimentación, y de bienes de interés cultural y/o patrimonial; y/o demolición y/o construcción y/o intervención de cerramientos; y/o construcción, intervención o terminación de baterías sanitarias y/o redes hidrosanitarias y/o tanques de almacenamiento y/o sistemas de bombeo y/o redes contra incendios; de redes eléctricas y/o circuitos cerrados de televisión y/o sistemas de seguridad y/o circuitos de voz y datos y/o plantas eléctricas y/o subestaciones y/o redes de telemática, comunicación, sonido o telefonía y/o redes o sistemas de iluminación o luminarias interiores o exteriores; de redes de vapor y/o redes de gases y/o redes de gas natural y/o sistemas de cocción; y/o construcción y/o habilitación de zonas verdes y/o actividades de urbanismo y/o paisajismo; y/o suministro y/o instalación de dotación y/o mobiliario interno y externo; y/o suministro y/o instalación de equipos especiales y/o electromecánicos y/o electrónicos y/o maquinaria u otros tipos de equipos; y/o suministro y/o instalación de sistemas de aires acondicionados o sistemas de ventilación o similares. Todos estos proyectos sobre infraestructura de servicio público. </w:t>
      </w:r>
    </w:p>
    <w:p w14:paraId="56966D10" w14:textId="77777777" w:rsidR="0037514F" w:rsidRPr="0037514F" w:rsidRDefault="0037514F" w:rsidP="0037514F">
      <w:pPr>
        <w:spacing w:after="120" w:line="276" w:lineRule="auto"/>
        <w:ind w:firstLine="708"/>
        <w:jc w:val="both"/>
        <w:rPr>
          <w:rFonts w:ascii="Verdana" w:eastAsia="Times New Roman" w:hAnsi="Verdana" w:cs="Aptos"/>
          <w:kern w:val="2"/>
          <w:lang w:eastAsia="es-MX"/>
          <w14:ligatures w14:val="standardContextual"/>
        </w:rPr>
      </w:pPr>
      <w:r w:rsidRPr="0037514F">
        <w:rPr>
          <w:rFonts w:ascii="Verdana" w:eastAsia="Times New Roman" w:hAnsi="Verdana" w:cs="Aptos"/>
          <w:kern w:val="2"/>
          <w:lang w:eastAsia="es-MX"/>
          <w14:ligatures w14:val="standardContextual"/>
        </w:rPr>
        <w:t>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63E2DC65" w14:textId="77777777" w:rsidR="0037514F" w:rsidRPr="0037514F" w:rsidRDefault="0037514F" w:rsidP="0037514F">
      <w:pPr>
        <w:spacing w:after="120" w:line="276" w:lineRule="auto"/>
        <w:ind w:firstLine="708"/>
        <w:jc w:val="both"/>
        <w:rPr>
          <w:rFonts w:ascii="Verdana" w:eastAsia="Times New Roman" w:hAnsi="Verdana" w:cs="Aptos"/>
          <w:kern w:val="2"/>
          <w:lang w:eastAsia="es-MX"/>
          <w14:ligatures w14:val="standardContextual"/>
        </w:rPr>
      </w:pPr>
      <w:r w:rsidRPr="0037514F">
        <w:rPr>
          <w:rFonts w:ascii="Verdana" w:eastAsia="Times New Roman" w:hAnsi="Verdana" w:cs="Aptos"/>
          <w:kern w:val="2"/>
          <w:lang w:eastAsia="es-MX"/>
          <w14:ligatures w14:val="standardContextual"/>
        </w:rPr>
        <w:lastRenderedPageBreak/>
        <w:t>La nota general 1 contenida en la Matriz 1 – Experiencia de los Documentos Tipo indicados,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112E09E0" w14:textId="77777777" w:rsidR="0037514F" w:rsidRPr="0037514F" w:rsidRDefault="0037514F" w:rsidP="0037514F">
      <w:pPr>
        <w:spacing w:after="120" w:line="276" w:lineRule="auto"/>
        <w:ind w:firstLine="708"/>
        <w:jc w:val="both"/>
        <w:rPr>
          <w:rFonts w:ascii="Verdana" w:eastAsia="Calibri" w:hAnsi="Verdana" w:cs="Arial"/>
          <w:color w:val="0D0D0D"/>
          <w:lang w:eastAsia="es-MX"/>
        </w:rPr>
      </w:pPr>
      <w:r w:rsidRPr="0037514F">
        <w:rPr>
          <w:rFonts w:ascii="Verdana" w:eastAsia="Calibri" w:hAnsi="Verdana" w:cs="Arial"/>
          <w:lang w:val="es-ES_tradnl" w:eastAsia="es-MX"/>
        </w:rPr>
        <w:t xml:space="preserve">Ahora bien, como se precisó las actividades señaladas recaen sobre </w:t>
      </w:r>
      <w:r w:rsidRPr="0037514F">
        <w:rPr>
          <w:rFonts w:ascii="Verdana" w:eastAsia="Times New Roman" w:hAnsi="Verdana" w:cs="Calibri"/>
          <w:lang w:eastAsia="es-MX"/>
        </w:rPr>
        <w:t xml:space="preserve">obras en proyectos de infraestructura institucional de servicio público. De esta forma, para determinar qué abarca este tipo de infraestructura, debe indicarse que, de conformidad con la norma </w:t>
      </w:r>
      <w:r w:rsidRPr="0037514F">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37514F">
        <w:rPr>
          <w:rFonts w:ascii="Verdana" w:eastAsia="Calibri" w:hAnsi="Verdana" w:cs="Arial"/>
          <w:color w:val="0D0D0D"/>
          <w:vertAlign w:val="superscript"/>
          <w:lang w:eastAsia="es-MX"/>
        </w:rPr>
        <w:footnoteReference w:id="4"/>
      </w:r>
      <w:r w:rsidRPr="0037514F">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37514F">
        <w:rPr>
          <w:rFonts w:ascii="Verdana" w:eastAsia="Calibri" w:hAnsi="Verdana" w:cs="Arial"/>
          <w:color w:val="0D0D0D"/>
          <w:vertAlign w:val="superscript"/>
          <w:lang w:eastAsia="es-MX"/>
        </w:rPr>
        <w:footnoteReference w:id="5"/>
      </w:r>
      <w:r w:rsidRPr="0037514F">
        <w:rPr>
          <w:rFonts w:ascii="Verdana" w:eastAsia="Calibri" w:hAnsi="Verdana" w:cs="Arial"/>
          <w:color w:val="0D0D0D"/>
          <w:lang w:eastAsia="es-MX"/>
        </w:rPr>
        <w:t>.</w:t>
      </w:r>
    </w:p>
    <w:p w14:paraId="2E3DA188" w14:textId="77777777" w:rsidR="0037514F" w:rsidRPr="0037514F" w:rsidRDefault="0037514F" w:rsidP="0037514F">
      <w:pPr>
        <w:spacing w:after="120" w:line="276" w:lineRule="auto"/>
        <w:ind w:firstLine="708"/>
        <w:jc w:val="both"/>
        <w:rPr>
          <w:rFonts w:ascii="Verdana" w:eastAsia="Calibri" w:hAnsi="Verdana" w:cs="Arial"/>
          <w:color w:val="0D0D0D"/>
          <w:lang w:eastAsia="es-MX"/>
        </w:rPr>
      </w:pPr>
      <w:r w:rsidRPr="0037514F">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0D6A9901" w14:textId="77777777" w:rsidR="0037514F" w:rsidRPr="0037514F" w:rsidRDefault="0037514F" w:rsidP="0037514F">
      <w:pPr>
        <w:spacing w:after="120" w:line="276" w:lineRule="auto"/>
        <w:ind w:firstLine="708"/>
        <w:jc w:val="both"/>
        <w:rPr>
          <w:rFonts w:ascii="Verdana" w:eastAsia="Calibri" w:hAnsi="Verdana" w:cs="Arial"/>
          <w:color w:val="000000"/>
          <w:lang w:eastAsia="es-MX"/>
        </w:rPr>
      </w:pPr>
      <w:r w:rsidRPr="0037514F">
        <w:rPr>
          <w:rFonts w:ascii="Verdana" w:eastAsia="Calibri" w:hAnsi="Verdana" w:cs="Arial"/>
          <w:color w:val="000000"/>
          <w:lang w:eastAsia="es-MX"/>
        </w:rPr>
        <w:t xml:space="preserve">De acuerdo con la definición del Subgrupo de Ocupación Institucional y las edificaciones que este comprende, dentro de este se encuentran las edificaciones institucionales judiciales, entendidas estas como el lugar físico –edificio, sedes u oficinas– destinados al funcionamiento de los órganos que </w:t>
      </w:r>
      <w:r w:rsidRPr="0037514F">
        <w:rPr>
          <w:rFonts w:ascii="Verdana" w:eastAsia="Calibri" w:hAnsi="Verdana" w:cs="Arial"/>
          <w:color w:val="000000"/>
          <w:lang w:eastAsia="es-MX"/>
        </w:rPr>
        <w:lastRenderedPageBreak/>
        <w:t>integran la administración de justicia, tales como tribunales, juzgados, fiscalías y demás entidades que cumplen funciones relacionadas con la actividad judicial y de apoyo a esta</w:t>
      </w:r>
      <w:r w:rsidRPr="0037514F">
        <w:rPr>
          <w:rFonts w:ascii="Verdana" w:eastAsia="Calibri" w:hAnsi="Verdana" w:cs="Arial"/>
          <w:color w:val="000000"/>
          <w:vertAlign w:val="superscript"/>
          <w:lang w:eastAsia="es-MX"/>
        </w:rPr>
        <w:footnoteReference w:id="6"/>
      </w:r>
      <w:r w:rsidRPr="0037514F">
        <w:rPr>
          <w:rFonts w:ascii="Verdana" w:eastAsia="Calibri" w:hAnsi="Verdana" w:cs="Arial"/>
          <w:color w:val="000000"/>
          <w:lang w:eastAsia="es-MX"/>
        </w:rPr>
        <w:t xml:space="preserve">. </w:t>
      </w:r>
    </w:p>
    <w:p w14:paraId="4D7C707D" w14:textId="77777777" w:rsidR="0037514F" w:rsidRPr="0037514F" w:rsidRDefault="0037514F" w:rsidP="0037514F">
      <w:pPr>
        <w:spacing w:after="120" w:line="278" w:lineRule="auto"/>
        <w:ind w:firstLine="708"/>
        <w:jc w:val="both"/>
        <w:rPr>
          <w:rFonts w:ascii="Verdana" w:eastAsia="Calibri" w:hAnsi="Verdana" w:cs="Arial"/>
          <w:color w:val="000000"/>
          <w:lang w:eastAsia="es-MX"/>
        </w:rPr>
      </w:pPr>
      <w:r w:rsidRPr="0037514F">
        <w:rPr>
          <w:rFonts w:ascii="Verdana" w:eastAsia="Calibri" w:hAnsi="Verdana" w:cs="Arial"/>
          <w:color w:val="000000"/>
          <w:lang w:eastAsia="es-MX"/>
        </w:rPr>
        <w:t>Considerando que el Instituto Nacional de Medicina Legal y Ciencias Forenses pertenece a la Rama Judicial y se encuentra adscrito a la Fiscalía General de la Nación</w:t>
      </w:r>
      <w:r w:rsidRPr="0037514F">
        <w:rPr>
          <w:rFonts w:ascii="Verdana" w:eastAsia="Calibri" w:hAnsi="Verdana" w:cs="Arial"/>
          <w:color w:val="000000"/>
          <w:vertAlign w:val="superscript"/>
          <w:lang w:eastAsia="es-MX"/>
        </w:rPr>
        <w:footnoteReference w:id="7"/>
      </w:r>
      <w:r w:rsidRPr="0037514F">
        <w:rPr>
          <w:rFonts w:ascii="Verdana" w:eastAsia="Calibri" w:hAnsi="Verdana" w:cs="Arial"/>
          <w:color w:val="000000"/>
          <w:lang w:eastAsia="es-MX"/>
        </w:rPr>
        <w:t xml:space="preserve">, y que su </w:t>
      </w:r>
      <w:r w:rsidRPr="0037514F">
        <w:rPr>
          <w:rFonts w:ascii="Verdana" w:eastAsia="Calibri" w:hAnsi="Verdana" w:cs="Arial"/>
          <w:i/>
          <w:iCs/>
          <w:color w:val="000000"/>
          <w:lang w:eastAsia="es-MX"/>
        </w:rPr>
        <w:t>“(…) misión</w:t>
      </w:r>
      <w:r w:rsidRPr="0037514F">
        <w:rPr>
          <w:rFonts w:ascii="Verdana" w:eastAsia="Aptos" w:hAnsi="Verdana" w:cs="Times New Roman"/>
          <w:i/>
          <w:iCs/>
          <w:color w:val="000000"/>
          <w:kern w:val="2"/>
          <w:shd w:val="clear" w:color="auto" w:fill="FFFFFF"/>
          <w14:ligatures w14:val="standardContextual"/>
        </w:rPr>
        <w:t xml:space="preserve"> fundamental (…) es prestar auxilio y soporte científico y técnico a la administración de justicia en todo el territorio nacional, en lo concerniente a medicina legal y las ciencias forenses”</w:t>
      </w:r>
      <w:r w:rsidRPr="0037514F">
        <w:rPr>
          <w:rFonts w:ascii="Verdana" w:eastAsia="Calibri" w:hAnsi="Verdana" w:cs="Arial"/>
          <w:i/>
          <w:iCs/>
          <w:color w:val="000000"/>
          <w:vertAlign w:val="superscript"/>
          <w:lang w:eastAsia="es-MX"/>
        </w:rPr>
        <w:footnoteReference w:id="8"/>
      </w:r>
      <w:r w:rsidRPr="0037514F">
        <w:rPr>
          <w:rFonts w:ascii="Verdana" w:eastAsia="Calibri" w:hAnsi="Verdana" w:cs="Arial"/>
          <w:i/>
          <w:iCs/>
          <w:color w:val="000000"/>
          <w:lang w:eastAsia="es-MX"/>
        </w:rPr>
        <w:t>;</w:t>
      </w:r>
      <w:r w:rsidRPr="0037514F">
        <w:rPr>
          <w:rFonts w:ascii="Verdana" w:eastAsia="Calibri" w:hAnsi="Verdana" w:cs="Arial"/>
          <w:color w:val="000000"/>
          <w:lang w:eastAsia="es-MX"/>
        </w:rPr>
        <w:t xml:space="preserve"> bajo este contexto, las actividades desarrolladas por el Instituto revisten la naturaleza de un servicio asociado a la administración de justicia, en la medida en que realiza labores médico-legales, periciales, científicas, extra-periciales, entre otras, requeridas por los jueces, fiscales, policía judicial, defensoría pública y demás autoridades competentes en todo el territorio nacional</w:t>
      </w:r>
      <w:r w:rsidRPr="0037514F">
        <w:rPr>
          <w:rFonts w:ascii="Verdana" w:eastAsia="Aptos" w:hAnsi="Verdana" w:cs="Times New Roman"/>
          <w:kern w:val="2"/>
          <w:sz w:val="24"/>
          <w:szCs w:val="24"/>
          <w:vertAlign w:val="superscript"/>
          <w14:ligatures w14:val="standardContextual"/>
        </w:rPr>
        <w:footnoteReference w:id="9"/>
      </w:r>
      <w:r w:rsidRPr="0037514F">
        <w:rPr>
          <w:rFonts w:ascii="Verdana" w:eastAsia="Calibri" w:hAnsi="Verdana" w:cs="Arial"/>
          <w:color w:val="000000"/>
          <w:lang w:eastAsia="es-MX"/>
        </w:rPr>
        <w:t xml:space="preserve">. </w:t>
      </w:r>
    </w:p>
    <w:p w14:paraId="39F43CEF" w14:textId="77777777" w:rsidR="0037514F" w:rsidRPr="0037514F" w:rsidRDefault="0037514F" w:rsidP="0037514F">
      <w:pPr>
        <w:spacing w:after="120" w:line="276" w:lineRule="auto"/>
        <w:ind w:firstLine="708"/>
        <w:jc w:val="both"/>
        <w:rPr>
          <w:rFonts w:ascii="Verdana" w:eastAsia="Calibri" w:hAnsi="Verdana" w:cs="Arial"/>
          <w:color w:val="000000"/>
          <w:lang w:eastAsia="es-MX"/>
        </w:rPr>
      </w:pPr>
      <w:r w:rsidRPr="0037514F">
        <w:rPr>
          <w:rFonts w:ascii="Verdana" w:eastAsia="Calibri" w:hAnsi="Verdana" w:cs="Arial"/>
          <w:color w:val="000000"/>
          <w:lang w:eastAsia="es-MX"/>
        </w:rPr>
        <w:t xml:space="preserve">Considerando la naturaleza jurídica, funcional y misional del Instituto Nacional de Medicina Legal y Ciencias Forenses, así como el uso y la destinación de sus edificaciones, orientadas al ejercicio de funciones asociadas al auxilio y soporte científico y técnico a la administración de justicia, estas deben clasificarse dentro del Subgrupo de Ocupación Institucional de Servicio Público. </w:t>
      </w:r>
      <w:r w:rsidRPr="0037514F">
        <w:rPr>
          <w:rFonts w:ascii="Verdana" w:eastAsia="Aptos" w:hAnsi="Verdana" w:cs="Times New Roman"/>
          <w:kern w:val="2"/>
          <w14:ligatures w14:val="standardContextual"/>
        </w:rPr>
        <w:t>En consecuencia, les resultan aplicables los documentos tipo del sector institucional en las distintas modalidades de selección en las que esta Agencia los adoptó, en particular en lo que respecta a las actividades contenidas en el capítulo 2, “Obras en proyectos de infraestructura institucional de servicio público”.</w:t>
      </w:r>
    </w:p>
    <w:p w14:paraId="69D26846" w14:textId="77777777" w:rsidR="0037514F" w:rsidRPr="0037514F" w:rsidRDefault="0037514F" w:rsidP="0037514F">
      <w:pPr>
        <w:spacing w:after="120" w:line="276" w:lineRule="auto"/>
        <w:ind w:firstLine="708"/>
        <w:jc w:val="both"/>
        <w:rPr>
          <w:rFonts w:ascii="Verdana" w:eastAsia="Aptos" w:hAnsi="Verdana" w:cs="Aptos"/>
          <w:kern w:val="2"/>
          <w14:ligatures w14:val="standardContextual"/>
        </w:rPr>
      </w:pPr>
      <w:r w:rsidRPr="0037514F">
        <w:rPr>
          <w:rFonts w:ascii="Verdana" w:eastAsia="Calibri" w:hAnsi="Verdana" w:cs="Arial"/>
          <w:color w:val="000000"/>
          <w:lang w:eastAsia="es-MX"/>
        </w:rPr>
        <w:t>Ahora bien, aclarado que los documentos tipo del sector institucional,</w:t>
      </w:r>
      <w:r w:rsidRPr="0037514F">
        <w:rPr>
          <w:rFonts w:ascii="Verdana" w:eastAsia="Aptos" w:hAnsi="Verdana" w:cs="Aptos"/>
          <w:kern w:val="2"/>
          <w14:ligatures w14:val="standardContextual"/>
        </w:rPr>
        <w:t xml:space="preserve"> específicamente los del capítulo 2 “Obras en proyectos de infraestructura institucional de servicio público”, resultan aplicables a las actividades que </w:t>
      </w:r>
      <w:r w:rsidRPr="0037514F">
        <w:rPr>
          <w:rFonts w:ascii="Verdana" w:eastAsia="Aptos" w:hAnsi="Verdana" w:cs="Aptos"/>
          <w:kern w:val="2"/>
          <w14:ligatures w14:val="standardContextual"/>
        </w:rPr>
        <w:lastRenderedPageBreak/>
        <w:t>adelante el Instituto Nacional de Medicina Legal y Ciencias Forenses sobre sus sedes, conviene referirse puntualmente al segundo problema jurídico planteado en este concepto, en el cual se indaga si resulta obligatoria la aplicación de los pliegos tipo en procesos cuyo objeto corresponda al mantenimiento de aires acondicionados, plantas eléctricas entre otros equipos</w:t>
      </w:r>
      <w:r w:rsidRPr="0037514F">
        <w:rPr>
          <w:rFonts w:ascii="Verdana" w:eastAsia="Times New Roman" w:hAnsi="Verdana" w:cs="Times New Roman"/>
          <w:color w:val="000000"/>
          <w:lang w:eastAsia="es-CO"/>
        </w:rPr>
        <w:t xml:space="preserve">. Sobre el particular, resulta pertinente establecer qué actividades de los Documentos Tipo mencionados recaen sobre los elementos indicados y si estas resultan adecuadas para adelantar el proceso que requiere la entidad. </w:t>
      </w:r>
    </w:p>
    <w:p w14:paraId="47F74243" w14:textId="77777777" w:rsidR="0037514F" w:rsidRPr="0037514F" w:rsidRDefault="0037514F" w:rsidP="0037514F">
      <w:pPr>
        <w:spacing w:after="0" w:line="276" w:lineRule="auto"/>
        <w:ind w:firstLine="708"/>
        <w:jc w:val="both"/>
        <w:rPr>
          <w:rFonts w:ascii="Verdana" w:eastAsia="Aptos" w:hAnsi="Verdana" w:cs="Times New Roman"/>
          <w:kern w:val="2"/>
          <w14:ligatures w14:val="standardContextual"/>
        </w:rPr>
      </w:pPr>
      <w:r w:rsidRPr="0037514F">
        <w:rPr>
          <w:rFonts w:ascii="Verdana" w:eastAsia="Aptos" w:hAnsi="Verdana" w:cs="Times New Roman"/>
          <w:kern w:val="2"/>
          <w14:ligatures w14:val="standardContextual"/>
        </w:rPr>
        <w:t>En este sentido, le indicamos que, una vez revisadas las actividades contenidas en la Matriz 1 – Experiencia de los Documentos Tipo del Sector Institucional – Infraestructura de Servicio Público, las siguientes corresponden a los elementos señalados en el párrafo precedente, dentro del sector indicado:</w:t>
      </w:r>
    </w:p>
    <w:p w14:paraId="73B5CF57" w14:textId="77777777" w:rsidR="0037514F" w:rsidRPr="0037514F" w:rsidRDefault="0037514F" w:rsidP="0037514F">
      <w:pPr>
        <w:spacing w:after="0" w:line="240" w:lineRule="auto"/>
        <w:jc w:val="both"/>
        <w:rPr>
          <w:rFonts w:ascii="Verdana" w:eastAsia="Times New Roman" w:hAnsi="Verdana" w:cs="Times New Roman"/>
          <w:color w:val="000000"/>
          <w:lang w:eastAsia="es-CO"/>
        </w:rPr>
      </w:pPr>
    </w:p>
    <w:p w14:paraId="20E035FE" w14:textId="77777777" w:rsidR="0037514F" w:rsidRPr="0037514F" w:rsidRDefault="0037514F" w:rsidP="0037514F">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37514F">
        <w:rPr>
          <w:rFonts w:ascii="Verdana" w:eastAsia="Times New Roman" w:hAnsi="Verdana" w:cs="Arial"/>
          <w:color w:val="242424"/>
          <w:sz w:val="21"/>
          <w:szCs w:val="21"/>
          <w:lang w:eastAsia="es-MX"/>
        </w:rPr>
        <w:t xml:space="preserve">“2.6.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 </w:t>
      </w:r>
    </w:p>
    <w:p w14:paraId="54840EA4" w14:textId="77777777" w:rsidR="0037514F" w:rsidRPr="0037514F" w:rsidRDefault="0037514F" w:rsidP="0037514F">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37514F">
        <w:rPr>
          <w:rFonts w:ascii="Verdana" w:eastAsia="Times New Roman" w:hAnsi="Verdana" w:cs="Arial"/>
          <w:color w:val="242424"/>
          <w:sz w:val="21"/>
          <w:szCs w:val="21"/>
          <w:lang w:eastAsia="es-MX"/>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PUBLICO</w:t>
      </w:r>
    </w:p>
    <w:p w14:paraId="69327A59" w14:textId="77777777" w:rsidR="0037514F" w:rsidRPr="0037514F" w:rsidRDefault="0037514F" w:rsidP="0037514F">
      <w:pPr>
        <w:shd w:val="clear" w:color="auto" w:fill="FFFFFF"/>
        <w:spacing w:after="0" w:line="240" w:lineRule="auto"/>
        <w:ind w:left="709" w:right="709"/>
        <w:jc w:val="both"/>
        <w:rPr>
          <w:rFonts w:ascii="Verdana" w:eastAsia="Times New Roman" w:hAnsi="Verdana" w:cs="Arial"/>
          <w:color w:val="242424"/>
          <w:sz w:val="21"/>
          <w:szCs w:val="21"/>
          <w:lang w:eastAsia="es-MX"/>
        </w:rPr>
      </w:pPr>
      <w:r w:rsidRPr="0037514F">
        <w:rPr>
          <w:rFonts w:ascii="Verdana" w:eastAsia="Times New Roman" w:hAnsi="Verdana" w:cs="Arial"/>
          <w:color w:val="242424"/>
          <w:sz w:val="21"/>
          <w:szCs w:val="21"/>
          <w:lang w:eastAsia="es-MX"/>
        </w:rPr>
        <w:t>2.14. PROYECTOS DE SUMINISTRO Y/O INSTALACIÓN DE SISTEMAS DE AIRES ACONDICIONADOS O SISTEMAS DE VENTILACIÓN O SIMILARES PARA INFRAESTRUCTURA DE SERVICIO PUBLICO”.</w:t>
      </w:r>
    </w:p>
    <w:p w14:paraId="508CA131" w14:textId="77777777" w:rsidR="0037514F" w:rsidRPr="0037514F" w:rsidRDefault="0037514F" w:rsidP="0037514F">
      <w:pPr>
        <w:spacing w:after="0" w:line="276" w:lineRule="auto"/>
        <w:jc w:val="both"/>
        <w:rPr>
          <w:rFonts w:ascii="Verdana" w:eastAsia="Times New Roman" w:hAnsi="Verdana" w:cs="Times New Roman"/>
          <w:color w:val="000000"/>
          <w:lang w:eastAsia="es-CO"/>
        </w:rPr>
      </w:pPr>
    </w:p>
    <w:p w14:paraId="3E10AE1E"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lastRenderedPageBreak/>
        <w:t xml:space="preserve">Como se aprecia, las actividades indicadas aplican a los procesos que adelanten las entidades obligadas a utilizar los documentos tipo, cuando correspondan –para efectos de su solicitud– al mantenimiento de: i) tanques de almacenamiento y/o sistemas de bombeo y/o redes contra incendios (actividad 2.6); </w:t>
      </w:r>
      <w:proofErr w:type="spellStart"/>
      <w:r w:rsidRPr="0037514F">
        <w:rPr>
          <w:rFonts w:ascii="Verdana" w:eastAsia="Times New Roman" w:hAnsi="Verdana" w:cs="Times New Roman"/>
          <w:color w:val="000000"/>
          <w:lang w:eastAsia="es-CO"/>
        </w:rPr>
        <w:t>ii</w:t>
      </w:r>
      <w:proofErr w:type="spellEnd"/>
      <w:r w:rsidRPr="0037514F">
        <w:rPr>
          <w:rFonts w:ascii="Verdana" w:eastAsia="Times New Roman" w:hAnsi="Verdana" w:cs="Times New Roman"/>
          <w:color w:val="000000"/>
          <w:lang w:eastAsia="es-CO"/>
        </w:rPr>
        <w:t>) plantas eléctricas y/o subestaciones y/o redes de telefonía (actividad 2.9). Asimismo, dentro de las actividades señaladas se incluye el suministro e instalación de sistemas de aire acondicionado, sistemas de ventilación o similares sobre infraestructura de servicio público (actividad 2.14).</w:t>
      </w:r>
    </w:p>
    <w:p w14:paraId="20F47C28" w14:textId="77777777" w:rsidR="0037514F" w:rsidRPr="0037514F" w:rsidRDefault="0037514F" w:rsidP="0037514F">
      <w:pPr>
        <w:spacing w:after="120" w:line="276" w:lineRule="auto"/>
        <w:ind w:firstLine="708"/>
        <w:jc w:val="both"/>
        <w:rPr>
          <w:rFonts w:ascii="Verdana" w:eastAsia="Calibri" w:hAnsi="Verdana" w:cs="Times New Roman"/>
          <w:color w:val="000000"/>
          <w:kern w:val="2"/>
          <w:sz w:val="21"/>
          <w:szCs w:val="21"/>
          <w:lang w:val="es-ES_tradnl"/>
          <w14:ligatures w14:val="standardContextual"/>
        </w:rPr>
      </w:pPr>
      <w:r w:rsidRPr="0037514F">
        <w:rPr>
          <w:rFonts w:ascii="Verdana" w:eastAsia="Times New Roman" w:hAnsi="Verdana" w:cs="Times New Roman"/>
          <w:color w:val="000000"/>
          <w:lang w:eastAsia="es-CO"/>
        </w:rPr>
        <w:t>Desde una perspectiva técnica y jurídica, los elementos señalados pueden ser considerados bienes inmuebles por destinación o por adhesión, en la medida en que concurran los criterios establecidos en el Código Civil y desarrollados por la doctrina y la jurisprudencia, particularmente en relación con su incorporación física, destinación funcional y vocación de permanencia respecto del inmueble al cual sirven –criterios desarrollados en por esta Agencia en el concepto C-452 de 2026</w:t>
      </w:r>
      <w:r w:rsidRPr="0037514F">
        <w:rPr>
          <w:rFonts w:ascii="Verdana" w:eastAsia="Times New Roman" w:hAnsi="Verdana" w:cs="Times New Roman"/>
          <w:color w:val="000000"/>
          <w:vertAlign w:val="superscript"/>
          <w:lang w:eastAsia="es-CO"/>
        </w:rPr>
        <w:footnoteReference w:id="10"/>
      </w:r>
      <w:r w:rsidRPr="0037514F">
        <w:rPr>
          <w:rFonts w:ascii="Verdana" w:eastAsia="Times New Roman" w:hAnsi="Verdana" w:cs="Times New Roman"/>
          <w:color w:val="000000"/>
          <w:lang w:eastAsia="es-CO"/>
        </w:rPr>
        <w:t xml:space="preserve">–. </w:t>
      </w:r>
    </w:p>
    <w:p w14:paraId="5E4BDA67"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Bajo este marco, los tanques de almacenamiento, sistemas de bombeo y redes contra incendios, en la medida en que se encuentren anclados, empotrados o integrados a las redes hidráulicas de la infraestructura de servicio público, y cumplan una función esencial de seguridad o funcionamiento del inmueble, pueden ser calificados como inmuebles por adhesión o por destinación, según el grado de incorporación física. En particular, las redes contra incendios –por su integración estructural– tienden a configurarse como inmuebles por adhesión, mientras que equipos como bombas o tanques, aun siendo susceptibles de individualización, adquieren la calidad de inmuebles por destinación cuando su uso está permanentemente ligado al servicio del inmueble.</w:t>
      </w:r>
    </w:p>
    <w:p w14:paraId="1F069363"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En relación con las plantas eléctricas, subestaciones y redes de telefonía, cuando están instaladas de manera fija, conectadas a la infraestructura eléctrica o de comunicaciones y destinadas de forma permanente al funcionamiento del inmueble, participan de la misma naturaleza jurídica. Así, las redes de telecomunicaciones, por su carácter de integración física, suelen constituir inmuebles por adhesión, mientras que equipos como plantas eléctricas o </w:t>
      </w:r>
      <w:r w:rsidRPr="0037514F">
        <w:rPr>
          <w:rFonts w:ascii="Verdana" w:eastAsia="Times New Roman" w:hAnsi="Verdana" w:cs="Times New Roman"/>
          <w:color w:val="000000"/>
          <w:lang w:eastAsia="es-CO"/>
        </w:rPr>
        <w:lastRenderedPageBreak/>
        <w:t>transformadores pueden considerarse inmuebles por destinación, siempre que su remoción afecte la operatividad del bien principal o evidencie su vocación de permanencia.</w:t>
      </w:r>
    </w:p>
    <w:p w14:paraId="5A50FB01"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Por su parte, la instalación de sistemas de aire acondicionado</w:t>
      </w:r>
      <w:r w:rsidRPr="0037514F">
        <w:rPr>
          <w:rFonts w:ascii="Verdana" w:eastAsia="Times New Roman" w:hAnsi="Verdana" w:cs="Times New Roman"/>
          <w:color w:val="000000"/>
          <w:vertAlign w:val="superscript"/>
          <w:lang w:eastAsia="es-CO"/>
        </w:rPr>
        <w:footnoteReference w:id="11"/>
      </w:r>
      <w:r w:rsidRPr="0037514F">
        <w:rPr>
          <w:rFonts w:ascii="Verdana" w:eastAsia="Times New Roman" w:hAnsi="Verdana" w:cs="Times New Roman"/>
          <w:color w:val="000000"/>
          <w:lang w:eastAsia="es-CO"/>
        </w:rPr>
        <w:t>, ventilación o similares sobre infraestructura de servicio público refuerza este análisis, en la medida en que dichos sistemas, una vez instalados, se integran funcionalmente y, en muchos casos, físicamente a la edificación, a través de ductos, redes eléctricas y anclajes estructurales. En tales condiciones, los componentes fijos del sistema tienden a ser considerados inmuebles por adhesión, mientras que ciertos equipos individualizables pueden adquirir la calidad de inmuebles por destinación, en tanto estén permanentemente afectados al uso del inmueble. No obstante, debe precisarse que, la actividad 2.14. que recae sobre la instalación de aires acondiciones, no se hace referencia expresa a actividades de mantenimiento de sistemas</w:t>
      </w:r>
      <w:r w:rsidRPr="0037514F">
        <w:rPr>
          <w:rFonts w:ascii="Verdana" w:eastAsia="Aptos" w:hAnsi="Verdana" w:cs="Times New Roman"/>
          <w:kern w:val="2"/>
          <w:lang w:eastAsia="es-CO"/>
          <w14:ligatures w14:val="standardContextual"/>
        </w:rPr>
        <w:t xml:space="preserve"> de aire acondicionado.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w:t>
      </w:r>
    </w:p>
    <w:p w14:paraId="6FBA3E7C"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Teniendo en cuenta las consideraciones desarrolladas, y considerando el pronunciamiento de esta Agencia en el concepto C-452 de 2026, es posible concluir que, la inclusión en los documentos tipo del sector institucional – infraestructura institucional de servicio público de actividades relacionadas con el mantenimiento de sistemas y equipos tales como subestaciones eléctrica, motobombas, redes contra incendios, sistemas de almacenamiento, bombeo y líneas telefónicas y la actividad de instalación de aires acondicionados, resultan plenamente coherente con el marco normativo que regula el contrato de obra pública en Colombia. En efecto, conforme con lo dispuesto en el numeral 1 del artículo 32 de la Ley 80 de 1993, el contrato de obra comprende no solo la construcción, sino también el mantenimiento, la instalación y, en general, cualquier trabajo material realizado sobre inmuebles. En este sentido, las actividades –2.6,2.9 y 2.14– previstas en la Matriz 1 – Experiencia del Sector </w:t>
      </w:r>
      <w:r w:rsidRPr="0037514F">
        <w:rPr>
          <w:rFonts w:ascii="Verdana" w:eastAsia="Times New Roman" w:hAnsi="Verdana" w:cs="Times New Roman"/>
          <w:color w:val="000000"/>
          <w:lang w:eastAsia="es-CO"/>
        </w:rPr>
        <w:lastRenderedPageBreak/>
        <w:t xml:space="preserve">Institucional – Infraestructura de Servicio Público se ajustan a dicha definición, en tanto que recaen sobre infraestructura institucional y suponen intervenciones materiales dirigidas a garantizar su funcionalidad, conservación y adecuada operación. </w:t>
      </w:r>
    </w:p>
    <w:p w14:paraId="56FC152E"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 xml:space="preserve">La inclusión de las actividades señaladas, sobre los objetos indicados – subestaciones eléctricas, motobombas, redes contra incendios, sistemas de almacenamiento, bombeo, líneas telefónicas y aires acondicionados–, encuentra sustento en la noción de bienes inmuebles por adhesión y/o destinación prevista en los artículos 656 a 658 del Código Civil. Así, los sistemas y/o equipos mencionados, cuando se encuentran incorporados física o funcionalmente a la infraestructura de servicio público y destinados de manera permanente a su uso, adquieren la calidad de inmuebles, ya sea por su destinación material o por su afectación al servicio del bien principal –la infraestructura de servicio público–. </w:t>
      </w:r>
    </w:p>
    <w:p w14:paraId="1FC56266"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En este sentido, la naturaleza del contrato de obra pública se define por la intervención material sobre bienes inmuebles, independientemente de algunos de sus componentes hayan sido originalmente muebles. En consecuencia, actividades como el mantenimiento de sistemas y equipos tales como subestaciones eléctricas, motobombas, redes contra incendios, sistemas de almacenamiento, bombeo y líneas telefónicas y la actividad de instalación de aires acondicionados, en la medida en que impliquen una incorporación o afectación permanente al inmueble, se subsumen válidamente en la tipología del contrato de obra.</w:t>
      </w:r>
    </w:p>
    <w:p w14:paraId="725CB0FA" w14:textId="77777777" w:rsidR="0037514F" w:rsidRPr="0037514F" w:rsidRDefault="0037514F" w:rsidP="0037514F">
      <w:pPr>
        <w:spacing w:after="120" w:line="276" w:lineRule="auto"/>
        <w:ind w:firstLine="708"/>
        <w:jc w:val="both"/>
        <w:rPr>
          <w:rFonts w:ascii="Verdana" w:eastAsia="Times New Roman" w:hAnsi="Verdana" w:cs="Times New Roman"/>
          <w:color w:val="000000"/>
          <w:lang w:eastAsia="es-CO"/>
        </w:rPr>
      </w:pPr>
      <w:r w:rsidRPr="0037514F">
        <w:rPr>
          <w:rFonts w:ascii="Verdana" w:eastAsia="Times New Roman" w:hAnsi="Verdana" w:cs="Times New Roman"/>
          <w:color w:val="000000"/>
          <w:lang w:eastAsia="es-CO"/>
        </w:rPr>
        <w:t>Es así como, las actividades de mantenimiento constituyen contrato de obra cuando recaen sobre un bien inmueble, se incorporan a este y tienen como finalidad garantizar su adecuado funcionamiento, criterios que se reflejan en las actividades –2.6,2.9 y 2.14– previstas en la Matriz 1 – Experiencia del Sector Institucional – Infraestructura de Servicio Público. Por tanto, la decisión de la Agencia Nacional de Contratación Pública – Colombia Compra Eficiente de incorporar dichas actividades no solo responde a una lógica técnica de la infraestructura institucional, sino que se encuentra jurídicamente respaldada por la ley, la doctrina y la jurisprudencia, en cuanto reconoce que estos sistemas y equipos, al integrarse estructuralmente o funcionalmente al inmueble, hacen parte de este por lo que, las intervenciones sobre ellos pueden estructurarse válidamente como contratos de obra pública bajo los documentos tipo complementario del sector de infraestructura institucional.</w:t>
      </w:r>
    </w:p>
    <w:p w14:paraId="68FE636D" w14:textId="77777777" w:rsidR="0037514F" w:rsidRPr="0037514F" w:rsidRDefault="0037514F" w:rsidP="0037514F">
      <w:pPr>
        <w:spacing w:after="120" w:line="276" w:lineRule="auto"/>
        <w:ind w:firstLine="708"/>
        <w:jc w:val="both"/>
        <w:rPr>
          <w:rFonts w:ascii="Verdana" w:eastAsia="Times New Roman" w:hAnsi="Verdana" w:cs="Times New Roman"/>
          <w:i/>
          <w:iCs/>
          <w:color w:val="000000"/>
          <w:lang w:eastAsia="es-CO"/>
        </w:rPr>
      </w:pPr>
      <w:r w:rsidRPr="0037514F">
        <w:rPr>
          <w:rFonts w:ascii="Verdana" w:eastAsia="Times New Roman" w:hAnsi="Verdana" w:cs="Times New Roman"/>
          <w:color w:val="000000"/>
          <w:lang w:eastAsia="es-CO"/>
        </w:rPr>
        <w:lastRenderedPageBreak/>
        <w:t xml:space="preserve">Finalmente, debe indicarse que los argumentos expuestos con anterioridad, se alinean con la tesis expuesta por esta Agencia en el concepto C-440 del 2 de septiembre de 2021, en el que se indicó que </w:t>
      </w:r>
      <w:r w:rsidRPr="0037514F">
        <w:rPr>
          <w:rFonts w:ascii="Verdana" w:eastAsia="Times New Roman" w:hAnsi="Verdana" w:cs="Times New Roman"/>
          <w:i/>
          <w:iCs/>
          <w:color w:val="000000"/>
          <w:lang w:eastAsia="es-CO"/>
        </w:rPr>
        <w:t>“(…) entidad estatal contratante, después de analizar detalladamente el objeto contractual, y previa integración del régimen jurídico aplicable,  debe determinar si al desarrollo de la actividad de mantenimiento a contratar concurren los siguientes tres elementos: (i)  la ejecución de una prestación consistente en la realización de trabajos materiales sobre un  bien inmueble –bien sea por naturaleza, adhesión o destinación-, (</w:t>
      </w:r>
      <w:proofErr w:type="spellStart"/>
      <w:r w:rsidRPr="0037514F">
        <w:rPr>
          <w:rFonts w:ascii="Verdana" w:eastAsia="Times New Roman" w:hAnsi="Verdana" w:cs="Times New Roman"/>
          <w:i/>
          <w:iCs/>
          <w:color w:val="000000"/>
          <w:lang w:eastAsia="es-CO"/>
        </w:rPr>
        <w:t>ii</w:t>
      </w:r>
      <w:proofErr w:type="spellEnd"/>
      <w:r w:rsidRPr="0037514F">
        <w:rPr>
          <w:rFonts w:ascii="Verdana" w:eastAsia="Times New Roman" w:hAnsi="Verdana" w:cs="Times New Roman"/>
          <w:i/>
          <w:iCs/>
          <w:color w:val="000000"/>
          <w:lang w:eastAsia="es-CO"/>
        </w:rPr>
        <w:t>) que los trabajos materiales queden incorporados al inmueble y (</w:t>
      </w:r>
      <w:proofErr w:type="spellStart"/>
      <w:r w:rsidRPr="0037514F">
        <w:rPr>
          <w:rFonts w:ascii="Verdana" w:eastAsia="Times New Roman" w:hAnsi="Verdana" w:cs="Times New Roman"/>
          <w:i/>
          <w:iCs/>
          <w:color w:val="000000"/>
          <w:lang w:eastAsia="es-CO"/>
        </w:rPr>
        <w:t>iii</w:t>
      </w:r>
      <w:proofErr w:type="spellEnd"/>
      <w:r w:rsidRPr="0037514F">
        <w:rPr>
          <w:rFonts w:ascii="Verdana" w:eastAsia="Times New Roman" w:hAnsi="Verdana" w:cs="Times New Roman"/>
          <w:i/>
          <w:iCs/>
          <w:color w:val="000000"/>
          <w:lang w:eastAsia="es-CO"/>
        </w:rPr>
        <w:t>) que estos sean requeridos para el adecuado funcionamiento del inmueble, de concurrir estos elementos el contrato a celebrar corresponderá al tipo de obra pública”.</w:t>
      </w:r>
    </w:p>
    <w:p w14:paraId="02392923" w14:textId="77777777" w:rsidR="0037514F" w:rsidRPr="0037514F" w:rsidRDefault="0037514F" w:rsidP="0037514F">
      <w:pPr>
        <w:spacing w:after="0" w:line="276" w:lineRule="auto"/>
        <w:ind w:firstLine="708"/>
        <w:jc w:val="both"/>
        <w:rPr>
          <w:rFonts w:ascii="Verdana" w:eastAsia="Times New Roman" w:hAnsi="Verdana" w:cs="Arial"/>
          <w:kern w:val="2"/>
          <w:sz w:val="24"/>
          <w:szCs w:val="24"/>
          <w:shd w:val="clear" w:color="auto" w:fill="FFFFFF"/>
          <w:lang w:val="es-ES_tradnl" w:eastAsia="es-ES_tradnl"/>
          <w14:ligatures w14:val="standardContextual"/>
        </w:rPr>
      </w:pPr>
      <w:r w:rsidRPr="0037514F">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37514F">
        <w:rPr>
          <w:rFonts w:ascii="Verdana" w:eastAsia="Times New Roman" w:hAnsi="Verdana" w:cs="Arial"/>
          <w:kern w:val="2"/>
          <w:sz w:val="24"/>
          <w:szCs w:val="24"/>
          <w:shd w:val="clear" w:color="auto" w:fill="FFFFFF"/>
          <w:lang w:val="es-ES_tradnl" w:eastAsia="es-ES_tradnl"/>
          <w14:ligatures w14:val="standardContextual"/>
        </w:rPr>
        <w:t xml:space="preserve"> </w:t>
      </w:r>
    </w:p>
    <w:p w14:paraId="65EBE3B4" w14:textId="77777777" w:rsidR="0037514F" w:rsidRPr="0037514F" w:rsidRDefault="0037514F" w:rsidP="0037514F">
      <w:pPr>
        <w:spacing w:after="0" w:line="278" w:lineRule="auto"/>
        <w:jc w:val="both"/>
        <w:rPr>
          <w:rFonts w:ascii="Verdana" w:eastAsia="Calibri" w:hAnsi="Verdana" w:cs="Arial"/>
          <w:bCs/>
          <w:color w:val="000000"/>
          <w:kern w:val="2"/>
          <w:lang w:val="es-ES_tradnl"/>
          <w14:ligatures w14:val="standardContextual"/>
        </w:rPr>
      </w:pPr>
    </w:p>
    <w:p w14:paraId="258B4EE1" w14:textId="77777777" w:rsidR="0037514F" w:rsidRPr="0037514F" w:rsidRDefault="0037514F" w:rsidP="0037514F">
      <w:pPr>
        <w:spacing w:after="120" w:line="276" w:lineRule="auto"/>
        <w:jc w:val="both"/>
        <w:rPr>
          <w:rFonts w:ascii="Verdana" w:eastAsia="Times New Roman" w:hAnsi="Verdana" w:cs="Arial"/>
          <w:lang w:val="es-ES" w:eastAsia="es-ES"/>
          <w14:ligatures w14:val="standardContextual"/>
        </w:rPr>
      </w:pPr>
      <w:proofErr w:type="spellStart"/>
      <w:r w:rsidRPr="0037514F">
        <w:rPr>
          <w:rFonts w:ascii="Verdana" w:eastAsia="Calibri" w:hAnsi="Verdana" w:cs="Arial"/>
          <w:bCs/>
          <w:color w:val="000000"/>
          <w:kern w:val="2"/>
          <w:lang w:val="es-ES_tradnl"/>
          <w14:ligatures w14:val="standardContextual"/>
        </w:rPr>
        <w:t>iii</w:t>
      </w:r>
      <w:proofErr w:type="spellEnd"/>
      <w:r w:rsidRPr="0037514F">
        <w:rPr>
          <w:rFonts w:ascii="Verdana" w:eastAsia="Calibri" w:hAnsi="Verdana" w:cs="Arial"/>
          <w:bCs/>
          <w:color w:val="000000"/>
          <w:kern w:val="2"/>
          <w:lang w:val="es-ES_tradnl"/>
          <w14:ligatures w14:val="standardContextual"/>
        </w:rPr>
        <w:t xml:space="preserve">. </w:t>
      </w:r>
      <w:r w:rsidRPr="0037514F">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0037514F">
        <w:rPr>
          <w:rFonts w:ascii="Verdana" w:eastAsia="Times New Roman" w:hAnsi="Verdana" w:cs="Arial"/>
          <w:i/>
          <w:iCs/>
          <w:lang w:val="es-ES" w:eastAsia="es-ES"/>
          <w14:ligatures w14:val="standardContextual"/>
        </w:rPr>
        <w:t>publicidad</w:t>
      </w:r>
      <w:r w:rsidRPr="0037514F">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37514F">
        <w:rPr>
          <w:rFonts w:ascii="Verdana" w:eastAsia="Times New Roman" w:hAnsi="Verdana" w:cs="Arial"/>
          <w:vertAlign w:val="superscript"/>
          <w:lang w:val="es-ES" w:eastAsia="es-ES"/>
          <w14:ligatures w14:val="standardContextual"/>
        </w:rPr>
        <w:footnoteReference w:id="12"/>
      </w:r>
      <w:r w:rsidRPr="0037514F">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6C5DDA16" w14:textId="77777777" w:rsidR="0037514F" w:rsidRPr="0037514F" w:rsidRDefault="0037514F" w:rsidP="0037514F">
      <w:pPr>
        <w:spacing w:before="120" w:after="120" w:line="276" w:lineRule="auto"/>
        <w:ind w:firstLine="708"/>
        <w:jc w:val="both"/>
        <w:rPr>
          <w:rFonts w:ascii="Verdana" w:eastAsia="Times New Roman" w:hAnsi="Verdana" w:cs="Arial"/>
          <w:lang w:val="es-ES" w:eastAsia="es-ES"/>
          <w14:ligatures w14:val="standardContextual"/>
        </w:rPr>
      </w:pPr>
      <w:r w:rsidRPr="0037514F">
        <w:rPr>
          <w:rFonts w:ascii="Verdana" w:eastAsia="Times New Roman" w:hAnsi="Verdana" w:cs="Arial"/>
          <w:lang w:val="es-ES" w:eastAsia="es-ES"/>
          <w14:ligatures w14:val="standardContextual"/>
        </w:rPr>
        <w:lastRenderedPageBreak/>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678481B7" w14:textId="77777777" w:rsidR="0037514F" w:rsidRPr="0037514F" w:rsidRDefault="0037514F" w:rsidP="0037514F">
      <w:pPr>
        <w:spacing w:before="120" w:after="120" w:line="276" w:lineRule="auto"/>
        <w:ind w:firstLine="709"/>
        <w:jc w:val="both"/>
        <w:rPr>
          <w:rFonts w:ascii="Verdana" w:eastAsia="Times New Roman" w:hAnsi="Verdana" w:cs="Arial"/>
          <w:lang w:val="es-ES_tradnl" w:eastAsia="es-ES_tradnl"/>
          <w14:ligatures w14:val="standardContextual"/>
        </w:rPr>
      </w:pPr>
      <w:r w:rsidRPr="0037514F">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 eventualmente se controlen. En sintonía con este postulado,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37514F">
        <w:rPr>
          <w:rFonts w:ascii="Verdana" w:eastAsia="Times New Roman" w:hAnsi="Verdana" w:cs="Arial"/>
          <w:vertAlign w:val="superscript"/>
          <w:lang w:val="es-ES_tradnl" w:eastAsia="es-ES_tradnl"/>
          <w14:ligatures w14:val="standardContextual"/>
        </w:rPr>
        <w:footnoteReference w:id="13"/>
      </w:r>
      <w:r w:rsidRPr="0037514F">
        <w:rPr>
          <w:rFonts w:ascii="Verdana" w:eastAsia="Times New Roman" w:hAnsi="Verdana" w:cs="Arial"/>
          <w:lang w:val="es-ES_tradnl" w:eastAsia="es-ES_tradnl"/>
          <w14:ligatures w14:val="standardContextual"/>
        </w:rPr>
        <w:t>.</w:t>
      </w:r>
    </w:p>
    <w:p w14:paraId="61712FC2" w14:textId="77777777" w:rsidR="0037514F" w:rsidRPr="0037514F" w:rsidRDefault="0037514F" w:rsidP="0037514F">
      <w:pPr>
        <w:spacing w:before="120" w:after="120" w:line="276" w:lineRule="auto"/>
        <w:ind w:firstLine="709"/>
        <w:jc w:val="both"/>
        <w:rPr>
          <w:rFonts w:ascii="Verdana" w:eastAsia="Times New Roman" w:hAnsi="Verdana" w:cs="Arial"/>
          <w:lang w:val="es-ES" w:eastAsia="es-ES"/>
          <w14:ligatures w14:val="standardContextual"/>
        </w:rPr>
      </w:pPr>
      <w:r w:rsidRPr="55FA823D">
        <w:rPr>
          <w:rFonts w:ascii="Verdana" w:eastAsia="Times New Roman" w:hAnsi="Verdana" w:cs="Arial"/>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55FA823D">
        <w:rPr>
          <w:rFonts w:ascii="Verdana" w:eastAsia="Times New Roman" w:hAnsi="Verdana" w:cs="Arial"/>
          <w:vertAlign w:val="superscript"/>
          <w:lang w:val="es-ES" w:eastAsia="es-ES"/>
          <w14:ligatures w14:val="standardContextual"/>
        </w:rPr>
        <w:footnoteReference w:id="14"/>
      </w:r>
      <w:r w:rsidRPr="55FA823D">
        <w:rPr>
          <w:rFonts w:ascii="Verdana" w:eastAsia="Times New Roman" w:hAnsi="Verdana" w:cs="Arial"/>
          <w:lang w:val="es-ES" w:eastAsia="es-ES"/>
          <w14:ligatures w14:val="standardContextual"/>
        </w:rPr>
        <w:t xml:space="preserve">. El principio de transparencia en la información alude al deber de los sujetos de proporcionar y </w:t>
      </w:r>
      <w:r w:rsidRPr="55FA823D">
        <w:rPr>
          <w:rFonts w:ascii="Verdana" w:eastAsia="Times New Roman" w:hAnsi="Verdana" w:cs="Arial"/>
          <w:lang w:val="es-ES" w:eastAsia="es-ES"/>
          <w14:ligatures w14:val="standardContextual"/>
        </w:rPr>
        <w:lastRenderedPageBreak/>
        <w:t>facilitar el acceso a la misma en los términos más amplios posibles, y a través de los medios y procedimientos legales.</w:t>
      </w:r>
    </w:p>
    <w:p w14:paraId="4E41FCFE" w14:textId="77777777" w:rsidR="0037514F" w:rsidRPr="0037514F" w:rsidRDefault="0037514F" w:rsidP="0037514F">
      <w:pPr>
        <w:spacing w:before="120" w:after="120" w:line="276" w:lineRule="auto"/>
        <w:ind w:firstLine="709"/>
        <w:jc w:val="both"/>
        <w:rPr>
          <w:rFonts w:ascii="Verdana" w:eastAsia="Times New Roman" w:hAnsi="Verdana" w:cs="Arial"/>
          <w:lang w:val="es-ES_tradnl" w:eastAsia="es-ES_tradnl"/>
          <w14:ligatures w14:val="standardContextual"/>
        </w:rPr>
      </w:pPr>
      <w:r w:rsidRPr="0037514F">
        <w:rPr>
          <w:rFonts w:ascii="Verdana" w:eastAsia="Times New Roman" w:hAnsi="Verdana" w:cs="Arial"/>
          <w:lang w:val="es-ES_tradnl" w:eastAsia="es-ES_tradnl"/>
          <w14:ligatures w14:val="standardContextual"/>
        </w:rPr>
        <w:t>La Ley Estatutaria citada establece, en el literal e) del artículo 9, que los sujetos obligados, que son todas las entidades públicas</w:t>
      </w:r>
      <w:r w:rsidRPr="0037514F">
        <w:rPr>
          <w:rFonts w:ascii="Verdana" w:eastAsia="Times New Roman" w:hAnsi="Verdana" w:cs="Arial"/>
          <w:vertAlign w:val="superscript"/>
          <w:lang w:val="es-ES_tradnl" w:eastAsia="es-ES_tradnl"/>
          <w14:ligatures w14:val="standardContextual"/>
        </w:rPr>
        <w:footnoteReference w:id="15"/>
      </w:r>
      <w:r w:rsidRPr="0037514F">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37514F">
        <w:rPr>
          <w:rFonts w:ascii="Verdana" w:eastAsia="Times New Roman" w:hAnsi="Verdana" w:cs="Arial"/>
          <w:vertAlign w:val="superscript"/>
          <w:lang w:val="es-ES_tradnl" w:eastAsia="es-ES_tradnl"/>
          <w14:ligatures w14:val="standardContextual"/>
        </w:rPr>
        <w:footnoteReference w:id="16"/>
      </w:r>
      <w:r w:rsidRPr="0037514F">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54937C1B" w14:textId="77777777" w:rsidR="0037514F" w:rsidRPr="0037514F" w:rsidRDefault="0037514F" w:rsidP="0037514F">
      <w:pPr>
        <w:spacing w:before="120" w:after="120" w:line="276" w:lineRule="auto"/>
        <w:ind w:firstLine="709"/>
        <w:jc w:val="both"/>
        <w:rPr>
          <w:rFonts w:ascii="Verdana" w:eastAsia="Times New Roman" w:hAnsi="Verdana" w:cs="Arial"/>
          <w:lang w:val="es-ES_tradnl" w:eastAsia="es-ES_tradnl"/>
          <w14:ligatures w14:val="standardContextual"/>
        </w:rPr>
      </w:pPr>
      <w:r w:rsidRPr="0037514F">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390CFDDD" w14:textId="77777777" w:rsidR="0037514F" w:rsidRPr="0037514F" w:rsidRDefault="0037514F" w:rsidP="0037514F">
      <w:pPr>
        <w:spacing w:before="120" w:after="120" w:line="276" w:lineRule="auto"/>
        <w:ind w:firstLine="709"/>
        <w:jc w:val="both"/>
        <w:rPr>
          <w:rFonts w:ascii="Verdana" w:eastAsia="Times New Roman" w:hAnsi="Verdana" w:cs="Arial"/>
          <w:lang w:val="es-ES_tradnl" w:eastAsia="es-ES_tradnl"/>
          <w14:ligatures w14:val="standardContextual"/>
        </w:rPr>
      </w:pPr>
      <w:r w:rsidRPr="0037514F">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7514F">
        <w:rPr>
          <w:rFonts w:ascii="Verdana" w:eastAsia="Times New Roman" w:hAnsi="Verdana" w:cs="Arial"/>
          <w:vertAlign w:val="superscript"/>
          <w:lang w:val="es-ES_tradnl" w:eastAsia="es-ES_tradnl"/>
          <w14:ligatures w14:val="standardContextual"/>
        </w:rPr>
        <w:footnoteReference w:id="17"/>
      </w:r>
      <w:r w:rsidRPr="0037514F">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publicar en el SECOP “[…] los Documentos del Proceso y los actos administrativos del Proceso de Contratación, </w:t>
      </w:r>
      <w:r w:rsidRPr="0037514F">
        <w:rPr>
          <w:rFonts w:ascii="Verdana" w:eastAsia="Times New Roman" w:hAnsi="Verdana" w:cs="Arial"/>
          <w:i/>
          <w:iCs/>
          <w:lang w:val="es-ES_tradnl" w:eastAsia="es-ES_tradnl"/>
          <w14:ligatures w14:val="standardContextual"/>
        </w:rPr>
        <w:t>dentro de los tres (3) días siguientes a su expedición</w:t>
      </w:r>
      <w:r w:rsidRPr="0037514F">
        <w:rPr>
          <w:rFonts w:ascii="Verdana" w:eastAsia="Times New Roman" w:hAnsi="Verdana" w:cs="Arial"/>
          <w:lang w:val="es-ES_tradnl" w:eastAsia="es-ES_tradnl"/>
          <w14:ligatures w14:val="standardContextual"/>
        </w:rPr>
        <w:t xml:space="preserve"> […]” (Énfasis fuera del texto original).</w:t>
      </w:r>
    </w:p>
    <w:p w14:paraId="4273C9E6" w14:textId="77777777" w:rsidR="0037514F" w:rsidRPr="0037514F" w:rsidRDefault="0037514F" w:rsidP="0037514F">
      <w:pPr>
        <w:tabs>
          <w:tab w:val="left" w:pos="709"/>
        </w:tabs>
        <w:spacing w:before="120" w:after="0" w:line="276" w:lineRule="auto"/>
        <w:ind w:firstLine="709"/>
        <w:jc w:val="both"/>
        <w:rPr>
          <w:rFonts w:ascii="Verdana" w:eastAsia="Calibri" w:hAnsi="Verdana" w:cs="Arial"/>
          <w:shd w:val="clear" w:color="auto" w:fill="FFFFFF"/>
        </w:rPr>
      </w:pPr>
      <w:r w:rsidRPr="0037514F">
        <w:rPr>
          <w:rFonts w:ascii="Verdana" w:eastAsia="Calibri" w:hAnsi="Verdana" w:cs="Arial"/>
          <w:shd w:val="clear" w:color="auto" w:fill="FFFFFF"/>
        </w:rPr>
        <w:lastRenderedPageBreak/>
        <w:t xml:space="preserve">La expresión </w:t>
      </w:r>
      <w:r w:rsidRPr="0037514F">
        <w:rPr>
          <w:rFonts w:ascii="Verdana" w:eastAsia="Calibri" w:hAnsi="Verdana" w:cs="Arial"/>
          <w:i/>
          <w:iCs/>
          <w:shd w:val="clear" w:color="auto" w:fill="FFFFFF"/>
        </w:rPr>
        <w:t xml:space="preserve">Documentos del Proceso </w:t>
      </w:r>
      <w:r w:rsidRPr="0037514F">
        <w:rPr>
          <w:rFonts w:ascii="Verdana" w:eastAsia="Calibri"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37514F">
        <w:rPr>
          <w:rFonts w:ascii="Verdana" w:eastAsia="Calibri" w:hAnsi="Verdana" w:cs="Arial"/>
          <w:i/>
          <w:iCs/>
          <w:shd w:val="clear" w:color="auto" w:fill="FFFFFF"/>
        </w:rPr>
        <w:t>y cualquier otro documento expedido por la Entidad Estatal durante el Proceso de Contratación</w:t>
      </w:r>
      <w:r w:rsidRPr="0037514F">
        <w:rPr>
          <w:rFonts w:ascii="Verdana" w:eastAsia="Calibri" w:hAnsi="Verdana" w:cs="Arial"/>
          <w:shd w:val="clear" w:color="auto" w:fill="FFFFFF"/>
        </w:rPr>
        <w:t>”. (Énfasis fuera de texto).</w:t>
      </w:r>
    </w:p>
    <w:p w14:paraId="6F154263" w14:textId="77777777" w:rsidR="0037514F" w:rsidRPr="0037514F" w:rsidRDefault="0037514F" w:rsidP="0037514F">
      <w:pPr>
        <w:tabs>
          <w:tab w:val="left" w:pos="709"/>
        </w:tabs>
        <w:spacing w:before="120" w:after="0" w:line="276" w:lineRule="auto"/>
        <w:ind w:firstLine="709"/>
        <w:jc w:val="both"/>
        <w:rPr>
          <w:rFonts w:ascii="Verdana" w:eastAsia="Calibri" w:hAnsi="Verdana" w:cs="Arial"/>
          <w:shd w:val="clear" w:color="auto" w:fill="FFFFFF"/>
        </w:rPr>
      </w:pPr>
      <w:r w:rsidRPr="0037514F">
        <w:rPr>
          <w:rFonts w:ascii="Verdana" w:eastAsia="Calibri"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7514F">
        <w:rPr>
          <w:rFonts w:ascii="Verdana" w:eastAsia="Calibri" w:hAnsi="Verdana" w:cs="Arial"/>
          <w:i/>
          <w:iCs/>
          <w:shd w:val="clear" w:color="auto" w:fill="FFFFFF"/>
        </w:rPr>
        <w:t>Ibidem</w:t>
      </w:r>
      <w:r w:rsidRPr="0037514F">
        <w:rPr>
          <w:rFonts w:ascii="Verdana" w:eastAsia="Calibri" w:hAnsi="Verdana" w:cs="Arial"/>
          <w:shd w:val="clear" w:color="auto" w:fill="FFFFFF"/>
        </w:rPr>
        <w:t xml:space="preserve"> recoge en la noción de Documentos del Proceso “cualquier otro documento expedido por la Entidad Estatal durante el Proceso de Contratación”, esto es, aquellos documentos definitivos que se desarrollan dentro del proceso de contratación.  </w:t>
      </w:r>
    </w:p>
    <w:p w14:paraId="1DA0B4E5" w14:textId="77777777" w:rsidR="0037514F" w:rsidRPr="0037514F" w:rsidRDefault="0037514F" w:rsidP="0037514F">
      <w:pPr>
        <w:tabs>
          <w:tab w:val="left" w:pos="709"/>
        </w:tabs>
        <w:spacing w:before="120" w:after="0" w:line="276" w:lineRule="auto"/>
        <w:ind w:firstLine="709"/>
        <w:jc w:val="both"/>
        <w:rPr>
          <w:rFonts w:ascii="Verdana" w:eastAsia="Calibri" w:hAnsi="Verdana" w:cs="Arial"/>
          <w:shd w:val="clear" w:color="auto" w:fill="FFFFFF"/>
        </w:rPr>
      </w:pPr>
      <w:r w:rsidRPr="0037514F">
        <w:rPr>
          <w:rFonts w:ascii="Verdana" w:eastAsia="Calibri" w:hAnsi="Verdana" w:cs="Arial"/>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39488271" w14:textId="77777777" w:rsidR="0037514F" w:rsidRPr="0037514F" w:rsidRDefault="0037514F" w:rsidP="0037514F">
      <w:pPr>
        <w:tabs>
          <w:tab w:val="left" w:pos="709"/>
        </w:tabs>
        <w:spacing w:before="120" w:after="120" w:line="276" w:lineRule="auto"/>
        <w:ind w:firstLine="709"/>
        <w:jc w:val="both"/>
        <w:rPr>
          <w:rFonts w:ascii="Verdana" w:eastAsia="Calibri" w:hAnsi="Verdana" w:cs="Arial"/>
          <w:shd w:val="clear" w:color="auto" w:fill="FFFFFF"/>
        </w:rPr>
      </w:pPr>
      <w:r w:rsidRPr="0037514F">
        <w:rPr>
          <w:rFonts w:ascii="Verdana" w:eastAsia="Calibri" w:hAnsi="Verdana" w:cs="Arial"/>
          <w:shd w:val="clear" w:color="auto" w:fill="FFFFFF"/>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37514F">
        <w:rPr>
          <w:rFonts w:ascii="Verdana" w:eastAsia="Calibri" w:hAnsi="Verdana" w:cs="Arial"/>
          <w:shd w:val="clear" w:color="auto" w:fill="FFFFFF"/>
        </w:rPr>
        <w:t>postcontractual</w:t>
      </w:r>
      <w:proofErr w:type="spellEnd"/>
      <w:r w:rsidRPr="0037514F">
        <w:rPr>
          <w:rFonts w:ascii="Verdana" w:eastAsia="Calibri" w:hAnsi="Verdana" w:cs="Arial"/>
          <w:shd w:val="clear" w:color="auto" w:fill="FFFFFF"/>
        </w:rPr>
        <w:t xml:space="preserve"> deberán publicarse en SECOP dentro de los tres (3) días siguientes a su expedición, para cumplir el deber de publicidad regulado por el artículo 2.2.1.1.1.7.1. del Decreto 1082 de 2015.</w:t>
      </w:r>
    </w:p>
    <w:p w14:paraId="2DC10D4E" w14:textId="77777777" w:rsidR="0037514F" w:rsidRPr="0037514F" w:rsidRDefault="0037514F" w:rsidP="0037514F">
      <w:pPr>
        <w:tabs>
          <w:tab w:val="left" w:pos="709"/>
        </w:tabs>
        <w:spacing w:before="120" w:after="120" w:line="276" w:lineRule="auto"/>
        <w:ind w:firstLine="709"/>
        <w:jc w:val="both"/>
        <w:rPr>
          <w:rFonts w:ascii="Verdana" w:eastAsia="Calibri" w:hAnsi="Verdana" w:cs="Arial"/>
          <w:shd w:val="clear" w:color="auto" w:fill="FFFFFF"/>
        </w:rPr>
      </w:pPr>
      <w:r w:rsidRPr="0037514F">
        <w:rPr>
          <w:rFonts w:ascii="Verdana" w:eastAsia="Calibri" w:hAnsi="Verdana" w:cs="Arial"/>
          <w:shd w:val="clear" w:color="auto" w:fill="FFFFFF"/>
        </w:rPr>
        <w:t xml:space="preserve">Con respecto a lo expuesto, los documentos de ejecución hacen parte de los Documentos del Proceso de Contratación, los cuales son aquellos que permiten el seguimiento y control del cumplimiento del contrato, una vez se </w:t>
      </w:r>
      <w:r w:rsidRPr="0037514F">
        <w:rPr>
          <w:rFonts w:ascii="Verdana" w:eastAsia="Calibri" w:hAnsi="Verdana" w:cs="Arial"/>
          <w:shd w:val="clear" w:color="auto" w:fill="FFFFFF"/>
        </w:rPr>
        <w:lastRenderedPageBreak/>
        <w:t xml:space="preserve">hayan sido celebrado entre una entidad pública y el contratista. Es decir, son aquellos documentos que detallan y soportan la fase contractual y </w:t>
      </w:r>
      <w:proofErr w:type="spellStart"/>
      <w:r w:rsidRPr="0037514F">
        <w:rPr>
          <w:rFonts w:ascii="Verdana" w:eastAsia="Calibri" w:hAnsi="Verdana" w:cs="Arial"/>
          <w:shd w:val="clear" w:color="auto" w:fill="FFFFFF"/>
        </w:rPr>
        <w:t>poscontractual</w:t>
      </w:r>
      <w:proofErr w:type="spellEnd"/>
      <w:r w:rsidRPr="0037514F">
        <w:rPr>
          <w:rFonts w:ascii="Verdana" w:eastAsia="Calibri" w:hAnsi="Verdana" w:cs="Arial"/>
          <w:shd w:val="clear" w:color="auto" w:fill="FFFFFF"/>
        </w:rPr>
        <w:t xml:space="preserve"> que empieza desde la celebración del contrato hasta su liquidación. Al respecto, se destaca los informes de supervisión contractual, requerimientos de la supervisión, las garantías que amparan el contrato y que permiten el inicio de ejecución contractual, el registro presupuestal, las solicitud de ampliación de coberturas de pólizas para efectos de liquidación contractual, así como los soportes de pago, porque evidencian el cumplimiento de las obligaciones financieras pactadas en el contrato, entre otros documentos que estén en el marco de la ejecución de las obligaciones del contrato.  </w:t>
      </w:r>
    </w:p>
    <w:p w14:paraId="62284486" w14:textId="77777777" w:rsidR="0037514F" w:rsidRPr="0037514F" w:rsidRDefault="0037514F" w:rsidP="0037514F">
      <w:pPr>
        <w:tabs>
          <w:tab w:val="left" w:pos="709"/>
        </w:tabs>
        <w:spacing w:before="120" w:after="120" w:line="276" w:lineRule="auto"/>
        <w:ind w:firstLine="709"/>
        <w:jc w:val="both"/>
        <w:rPr>
          <w:rFonts w:ascii="Verdana" w:eastAsia="Calibri" w:hAnsi="Verdana" w:cs="Arial"/>
          <w:shd w:val="clear" w:color="auto" w:fill="FFFFFF"/>
        </w:rPr>
      </w:pPr>
      <w:r w:rsidRPr="0037514F">
        <w:rPr>
          <w:rFonts w:ascii="Verdana" w:eastAsia="Calibri"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37514F">
        <w:rPr>
          <w:rFonts w:ascii="Verdana" w:eastAsia="Calibri" w:hAnsi="Verdana" w:cs="Arial"/>
          <w:shd w:val="clear" w:color="auto" w:fill="FFFFFF"/>
          <w:vertAlign w:val="superscript"/>
        </w:rPr>
        <w:footnoteReference w:id="18"/>
      </w:r>
      <w:r w:rsidRPr="0037514F">
        <w:rPr>
          <w:rFonts w:ascii="Verdana" w:eastAsia="Calibri"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3DD9A4B1" w14:textId="77777777" w:rsidR="0037514F" w:rsidRPr="0037514F" w:rsidRDefault="0037514F" w:rsidP="0037514F">
      <w:pPr>
        <w:tabs>
          <w:tab w:val="left" w:pos="709"/>
        </w:tabs>
        <w:spacing w:before="120" w:after="120" w:line="276" w:lineRule="auto"/>
        <w:ind w:firstLine="709"/>
        <w:jc w:val="both"/>
        <w:rPr>
          <w:rFonts w:ascii="Verdana" w:eastAsia="Calibri" w:hAnsi="Verdana" w:cs="Arial"/>
          <w:shd w:val="clear" w:color="auto" w:fill="FFFFFF"/>
        </w:rPr>
      </w:pPr>
      <w:r w:rsidRPr="0037514F">
        <w:rPr>
          <w:rFonts w:ascii="Verdana" w:eastAsia="Calibri"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18FF63C" w14:textId="77777777" w:rsidR="0037514F" w:rsidRPr="0037514F" w:rsidRDefault="0037514F" w:rsidP="0037514F">
      <w:pPr>
        <w:spacing w:line="276" w:lineRule="auto"/>
        <w:ind w:firstLine="567"/>
        <w:jc w:val="both"/>
        <w:rPr>
          <w:rFonts w:ascii="Verdana" w:eastAsia="Calibri" w:hAnsi="Verdana" w:cs="Arial"/>
          <w:color w:val="000000"/>
        </w:rPr>
      </w:pPr>
      <w:r w:rsidRPr="0037514F">
        <w:rPr>
          <w:rFonts w:ascii="Verdana" w:eastAsia="Calibri" w:hAnsi="Verdana" w:cs="Arial"/>
          <w:lang w:val="es-ES"/>
        </w:rPr>
        <w:t xml:space="preserve">En este sentido, en el SECOP II el procedimiento contractual se desarrolla en línea y dentro de la plataforma, conformándose un expediente electrónico, lo cual denota una diferencia con el SECOP I, donde el procedimiento es físico, esto </w:t>
      </w:r>
      <w:r w:rsidRPr="0037514F">
        <w:rPr>
          <w:rFonts w:ascii="Verdana" w:eastAsia="Calibri" w:hAnsi="Verdana" w:cs="Arial"/>
          <w:lang w:val="es-ES"/>
        </w:rPr>
        <w:lastRenderedPageBreak/>
        <w:t>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r w:rsidRPr="0037514F">
        <w:rPr>
          <w:rFonts w:ascii="Verdana" w:eastAsia="Calibri" w:hAnsi="Verdana" w:cs="Arial"/>
          <w:color w:val="000000"/>
        </w:rPr>
        <w:t xml:space="preserve"> Es decir, el SECOP II se convierte en un instrumento para aplicar las etapas, formalidades que se presentan en el marco de las etapas del proceso de contratación. </w:t>
      </w:r>
    </w:p>
    <w:p w14:paraId="6AE65720" w14:textId="77777777" w:rsidR="0037514F" w:rsidRPr="0037514F" w:rsidRDefault="0037514F" w:rsidP="0037514F">
      <w:pPr>
        <w:spacing w:line="276" w:lineRule="auto"/>
        <w:ind w:firstLine="567"/>
        <w:jc w:val="both"/>
        <w:rPr>
          <w:rFonts w:ascii="Verdana" w:eastAsia="Calibri" w:hAnsi="Verdana" w:cs="Arial"/>
          <w:color w:val="000000"/>
        </w:rPr>
      </w:pPr>
      <w:r w:rsidRPr="0037514F">
        <w:rPr>
          <w:rFonts w:ascii="Verdana" w:eastAsia="Calibri" w:hAnsi="Verdana" w:cs="Arial"/>
          <w:color w:val="000000"/>
        </w:rPr>
        <w:t>En esta línea, el artículo 53 de la Ley 1437 de 2011 –en adelante CPACA- dispone que los procedimientos y trámites administrativos pueden realizarse por medios electrónicos, que se aplicarán de acuerdo a su compatibilidad con la Ley 527 de 1999. A partir de lo anterior, el CPACA establece reglas básicas para el uso de los medios electrónicos en los procedimientos administrativos, en las que se destaca: i) los documentos públicos en medios electrónicos que tienen la validez y fuerza probatoria que le confiere el Código General del Proceso –artículo 55–</w:t>
      </w:r>
      <w:r w:rsidRPr="0037514F">
        <w:rPr>
          <w:rFonts w:ascii="Verdana" w:eastAsia="Calibri" w:hAnsi="Verdana" w:cs="Arial"/>
          <w:color w:val="000000"/>
          <w:vertAlign w:val="superscript"/>
        </w:rPr>
        <w:footnoteReference w:id="19"/>
      </w:r>
      <w:r w:rsidRPr="0037514F">
        <w:rPr>
          <w:rFonts w:ascii="Verdana" w:eastAsia="Calibri" w:hAnsi="Verdana" w:cs="Arial"/>
          <w:color w:val="000000"/>
        </w:rPr>
        <w:t xml:space="preserve">; </w:t>
      </w:r>
      <w:proofErr w:type="spellStart"/>
      <w:r w:rsidRPr="0037514F">
        <w:rPr>
          <w:rFonts w:ascii="Verdana" w:eastAsia="Calibri" w:hAnsi="Verdana" w:cs="Arial"/>
          <w:color w:val="000000"/>
        </w:rPr>
        <w:t>ii</w:t>
      </w:r>
      <w:proofErr w:type="spellEnd"/>
      <w:r w:rsidRPr="0037514F">
        <w:rPr>
          <w:rFonts w:ascii="Verdana" w:eastAsia="Calibri" w:hAnsi="Verdana" w:cs="Arial"/>
          <w:color w:val="000000"/>
        </w:rPr>
        <w:t>) la expedición de actos administrativos electrónicos –artículo 57–</w:t>
      </w:r>
      <w:r w:rsidRPr="0037514F">
        <w:rPr>
          <w:rFonts w:ascii="Verdana" w:eastAsia="Calibri" w:hAnsi="Verdana" w:cs="Arial"/>
          <w:color w:val="000000"/>
          <w:vertAlign w:val="superscript"/>
        </w:rPr>
        <w:footnoteReference w:id="20"/>
      </w:r>
      <w:r w:rsidRPr="0037514F">
        <w:rPr>
          <w:rFonts w:ascii="Verdana" w:eastAsia="Calibri" w:hAnsi="Verdana" w:cs="Arial"/>
          <w:color w:val="000000"/>
        </w:rPr>
        <w:t xml:space="preserve">; </w:t>
      </w:r>
      <w:proofErr w:type="spellStart"/>
      <w:r w:rsidRPr="0037514F">
        <w:rPr>
          <w:rFonts w:ascii="Verdana" w:eastAsia="Calibri" w:hAnsi="Verdana" w:cs="Arial"/>
          <w:color w:val="000000"/>
        </w:rPr>
        <w:t>iii</w:t>
      </w:r>
      <w:proofErr w:type="spellEnd"/>
      <w:r w:rsidRPr="0037514F">
        <w:rPr>
          <w:rFonts w:ascii="Verdana" w:eastAsia="Calibri" w:hAnsi="Verdana" w:cs="Arial"/>
          <w:color w:val="000000"/>
        </w:rPr>
        <w:t>) el archivo electrónico de documentos –artículo 58–</w:t>
      </w:r>
      <w:r w:rsidRPr="0037514F">
        <w:rPr>
          <w:rFonts w:ascii="Verdana" w:eastAsia="Calibri" w:hAnsi="Verdana" w:cs="Arial"/>
          <w:color w:val="000000"/>
          <w:vertAlign w:val="superscript"/>
        </w:rPr>
        <w:footnoteReference w:id="21"/>
      </w:r>
      <w:r w:rsidRPr="0037514F">
        <w:rPr>
          <w:rFonts w:ascii="Verdana" w:eastAsia="Calibri" w:hAnsi="Verdana" w:cs="Arial"/>
          <w:color w:val="000000"/>
        </w:rPr>
        <w:t xml:space="preserve">; </w:t>
      </w:r>
      <w:proofErr w:type="spellStart"/>
      <w:r w:rsidRPr="0037514F">
        <w:rPr>
          <w:rFonts w:ascii="Verdana" w:eastAsia="Calibri" w:hAnsi="Verdana" w:cs="Arial"/>
          <w:color w:val="000000"/>
        </w:rPr>
        <w:t>iv</w:t>
      </w:r>
      <w:proofErr w:type="spellEnd"/>
      <w:r w:rsidRPr="0037514F">
        <w:rPr>
          <w:rFonts w:ascii="Verdana" w:eastAsia="Calibri" w:hAnsi="Verdana" w:cs="Arial"/>
          <w:color w:val="000000"/>
        </w:rPr>
        <w:t>) la recepción de documentos electrónicos por parte de las autoridades –artículo 61</w:t>
      </w:r>
      <w:r w:rsidRPr="0037514F">
        <w:rPr>
          <w:rFonts w:ascii="Verdana" w:eastAsia="Calibri" w:hAnsi="Verdana" w:cs="Arial"/>
          <w:color w:val="000000"/>
          <w:vertAlign w:val="superscript"/>
        </w:rPr>
        <w:footnoteReference w:id="22"/>
      </w:r>
      <w:r w:rsidRPr="0037514F">
        <w:rPr>
          <w:rFonts w:ascii="Verdana" w:eastAsia="Calibri" w:hAnsi="Verdana" w:cs="Arial"/>
          <w:color w:val="000000"/>
        </w:rPr>
        <w:t xml:space="preserve">, entre otros. </w:t>
      </w:r>
    </w:p>
    <w:p w14:paraId="21A96615" w14:textId="77777777" w:rsidR="0037514F" w:rsidRPr="0037514F" w:rsidRDefault="0037514F" w:rsidP="0037514F">
      <w:pPr>
        <w:spacing w:line="276" w:lineRule="auto"/>
        <w:ind w:firstLine="567"/>
        <w:jc w:val="both"/>
        <w:rPr>
          <w:rFonts w:ascii="Verdana" w:eastAsia="Calibri" w:hAnsi="Verdana" w:cs="Arial"/>
          <w:lang w:val="es-ES"/>
        </w:rPr>
      </w:pPr>
      <w:r w:rsidRPr="0037514F">
        <w:rPr>
          <w:rFonts w:ascii="Verdana" w:eastAsia="Calibri" w:hAnsi="Verdana" w:cs="Arial"/>
          <w:lang w:val="es-ES"/>
        </w:rPr>
        <w:t xml:space="preserve">Debido a que la plataforma es totalmente transaccional, el trámite se realiza en línea y la publicidad de las actuaciones es concomitante, según transcurran cada una de las etapas del procedimiento, lo que descarta la necesidad de cargar documentación alguna, salvo determinadas excepciones. </w:t>
      </w:r>
      <w:r w:rsidRPr="0037514F">
        <w:rPr>
          <w:rFonts w:ascii="Verdana" w:eastAsia="Calibri" w:hAnsi="Verdana" w:cs="Arial"/>
          <w:lang w:val="es-ES"/>
        </w:rPr>
        <w:lastRenderedPageBreak/>
        <w:t xml:space="preserve">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proofErr w:type="spellStart"/>
      <w:r w:rsidRPr="0037514F">
        <w:rPr>
          <w:rFonts w:ascii="Verdana" w:eastAsia="Calibri" w:hAnsi="Verdana" w:cs="Arial"/>
          <w:lang w:val="es-ES"/>
        </w:rPr>
        <w:t>ibídem</w:t>
      </w:r>
      <w:proofErr w:type="spellEnd"/>
      <w:r w:rsidRPr="0037514F">
        <w:rPr>
          <w:rFonts w:ascii="Verdana" w:eastAsia="Calibri" w:hAnsi="Verdana" w:cs="Arial"/>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 </w:t>
      </w:r>
    </w:p>
    <w:p w14:paraId="7ABDE60D" w14:textId="77777777" w:rsidR="0037514F" w:rsidRPr="0037514F" w:rsidRDefault="0037514F" w:rsidP="0037514F">
      <w:pPr>
        <w:spacing w:after="120" w:line="276" w:lineRule="auto"/>
        <w:ind w:firstLine="709"/>
        <w:jc w:val="both"/>
        <w:rPr>
          <w:rFonts w:ascii="Verdana" w:eastAsia="Calibri" w:hAnsi="Verdana" w:cs="Arial"/>
          <w:lang w:val="es-ES"/>
        </w:rPr>
      </w:pPr>
      <w:r w:rsidRPr="0037514F">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622F8A4A" w14:textId="77777777" w:rsidR="0037514F" w:rsidRPr="0037514F" w:rsidRDefault="0037514F" w:rsidP="0037514F">
      <w:pPr>
        <w:tabs>
          <w:tab w:val="left" w:pos="709"/>
        </w:tabs>
        <w:spacing w:before="120" w:after="0" w:line="276" w:lineRule="auto"/>
        <w:ind w:firstLine="709"/>
        <w:jc w:val="both"/>
        <w:rPr>
          <w:rFonts w:ascii="Verdana" w:eastAsia="Calibri" w:hAnsi="Verdana" w:cs="Arial"/>
          <w:shd w:val="clear" w:color="auto" w:fill="FFFFFF"/>
        </w:rPr>
      </w:pPr>
      <w:r w:rsidRPr="0037514F">
        <w:rPr>
          <w:rFonts w:ascii="Verdana" w:eastAsia="Calibri"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Esta obligación incluye todos los documentos generados durante las fases precontractual, contractual y </w:t>
      </w:r>
      <w:proofErr w:type="spellStart"/>
      <w:r w:rsidRPr="0037514F">
        <w:rPr>
          <w:rFonts w:ascii="Verdana" w:eastAsia="Calibri" w:hAnsi="Verdana" w:cs="Arial"/>
          <w:shd w:val="clear" w:color="auto" w:fill="FFFFFF"/>
        </w:rPr>
        <w:t>postcontractual</w:t>
      </w:r>
      <w:proofErr w:type="spellEnd"/>
      <w:r w:rsidRPr="0037514F">
        <w:rPr>
          <w:rFonts w:ascii="Verdana" w:eastAsia="Calibri" w:hAnsi="Verdana" w:cs="Arial"/>
          <w:shd w:val="clear" w:color="auto" w:fill="FFFFFF"/>
        </w:rPr>
        <w:t xml:space="preserve">,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 Por último, se precisa, que corresponderá a la Entidad Estatal, previo concepto de sus órganos asesores, cumplir con la publicación de los documentos que expiden dentro de un Proceso de Contratación en el SECOP, ya sea en SECOP I o en SECOP II en cumplimiento de las disposiciones legales y reglamentarias. </w:t>
      </w:r>
    </w:p>
    <w:p w14:paraId="54D9259A" w14:textId="77777777" w:rsidR="0037514F" w:rsidRPr="0037514F" w:rsidRDefault="0037514F" w:rsidP="0037514F">
      <w:pPr>
        <w:tabs>
          <w:tab w:val="left" w:pos="709"/>
        </w:tabs>
        <w:spacing w:after="0" w:line="276" w:lineRule="auto"/>
        <w:jc w:val="both"/>
        <w:rPr>
          <w:rFonts w:ascii="Verdana" w:eastAsia="Calibri" w:hAnsi="Verdana" w:cs="Arial"/>
          <w:shd w:val="clear" w:color="auto" w:fill="FFFFFF"/>
        </w:rPr>
      </w:pPr>
    </w:p>
    <w:p w14:paraId="2984744A" w14:textId="77777777" w:rsidR="0037514F" w:rsidRPr="0037514F" w:rsidRDefault="0037514F" w:rsidP="0037514F">
      <w:pPr>
        <w:spacing w:after="120" w:line="276" w:lineRule="auto"/>
        <w:jc w:val="both"/>
        <w:rPr>
          <w:rFonts w:ascii="Verdana" w:eastAsia="Calibri" w:hAnsi="Verdana" w:cs="Arial"/>
          <w:lang w:eastAsia="es-ES_tradnl"/>
        </w:rPr>
      </w:pPr>
      <w:proofErr w:type="spellStart"/>
      <w:r w:rsidRPr="0037514F">
        <w:rPr>
          <w:rFonts w:ascii="Verdana" w:eastAsia="Calibri" w:hAnsi="Verdana" w:cs="Arial"/>
          <w:lang w:val="es-ES"/>
        </w:rPr>
        <w:t>iv</w:t>
      </w:r>
      <w:proofErr w:type="spellEnd"/>
      <w:r w:rsidRPr="0037514F">
        <w:rPr>
          <w:rFonts w:ascii="Verdana" w:eastAsia="Calibri" w:hAnsi="Verdana" w:cs="Arial"/>
          <w:lang w:val="es-ES"/>
        </w:rPr>
        <w:t xml:space="preserve">. En el marco del principio de publicidad de las actuaciones del Estado, se han establecido estrategias mediante leyes y reglamentos que buscan fortalecer la transparencia y la lucha contra la corrupción. En esta línea, la </w:t>
      </w:r>
      <w:r w:rsidRPr="0037514F">
        <w:rPr>
          <w:rFonts w:ascii="Verdana" w:eastAsia="Calibri" w:hAnsi="Verdana" w:cs="Arial"/>
          <w:lang w:eastAsia="es-ES_tradnl"/>
        </w:rPr>
        <w:t>Ley 1474 de 2011, “Por</w:t>
      </w:r>
      <w:r w:rsidRPr="0037514F">
        <w:rPr>
          <w:rFonts w:ascii="Verdana" w:eastAsia="Calibri" w:hAnsi="Verdana" w:cs="Arial"/>
          <w:i/>
          <w:iCs/>
          <w:lang w:eastAsia="es-ES_tradnl"/>
        </w:rPr>
        <w:t xml:space="preserve"> la cual se dictan normas orientadas a fortalecer los mecanismos de prevención, investigación y sanción de actos de corrupción y la efectividad del control de la gestión pública”</w:t>
      </w:r>
      <w:r w:rsidRPr="0037514F">
        <w:rPr>
          <w:rFonts w:ascii="Verdana" w:eastAsia="Calibri" w:hAnsi="Verdana" w:cs="Arial"/>
          <w:lang w:eastAsia="es-ES_tradnl"/>
        </w:rPr>
        <w:t xml:space="preserve">, y otras normativas afines, tales como la Ley 1712 de 2014 y la Ley 2195 de 2022, tienen como fin instituir principios y reglas destinadas a asegurar la transparencia y facilitar el acceso a la información pública. </w:t>
      </w:r>
    </w:p>
    <w:p w14:paraId="596E1193" w14:textId="77777777" w:rsidR="0037514F" w:rsidRPr="0037514F" w:rsidRDefault="0037514F" w:rsidP="0037514F">
      <w:pPr>
        <w:spacing w:after="120" w:line="276" w:lineRule="auto"/>
        <w:ind w:firstLine="708"/>
        <w:jc w:val="both"/>
        <w:rPr>
          <w:rFonts w:ascii="Verdana" w:eastAsia="Calibri" w:hAnsi="Verdana" w:cs="Arial"/>
          <w:lang w:eastAsia="es-ES_tradnl"/>
        </w:rPr>
      </w:pPr>
      <w:r w:rsidRPr="0037514F">
        <w:rPr>
          <w:rFonts w:ascii="Verdana" w:eastAsia="Calibri" w:hAnsi="Verdana" w:cs="Arial"/>
          <w:lang w:eastAsia="es-ES_tradnl"/>
        </w:rPr>
        <w:t>En esa misma perspectiva, el Gobierno Nacional fundamentado en el artículo 200 de la Ley 2294 de 2023</w:t>
      </w:r>
      <w:r w:rsidRPr="0037514F">
        <w:rPr>
          <w:rFonts w:ascii="Verdana" w:eastAsia="Calibri" w:hAnsi="Verdana" w:cs="Arial"/>
          <w:vertAlign w:val="superscript"/>
          <w:lang w:eastAsia="es-ES_tradnl"/>
        </w:rPr>
        <w:footnoteReference w:id="23"/>
      </w:r>
      <w:r w:rsidRPr="0037514F">
        <w:rPr>
          <w:rFonts w:ascii="Verdana" w:eastAsia="Calibri" w:hAnsi="Verdana" w:cs="Arial"/>
          <w:lang w:eastAsia="es-ES_tradnl"/>
        </w:rPr>
        <w:t>, ”</w:t>
      </w:r>
      <w:r w:rsidRPr="0037514F">
        <w:rPr>
          <w:rFonts w:ascii="Verdana" w:eastAsia="Calibri" w:hAnsi="Verdana" w:cs="Arial"/>
          <w:i/>
          <w:iCs/>
          <w:lang w:eastAsia="es-ES_tradnl"/>
        </w:rPr>
        <w:t>Por la cual se expidió el Plan Nacional de Desarrollo ‘Colombia Potencia Mundial de la Vida’”</w:t>
      </w:r>
      <w:r w:rsidRPr="0037514F">
        <w:rPr>
          <w:rFonts w:ascii="Verdana" w:eastAsia="Calibri" w:hAnsi="Verdana" w:cs="Arial"/>
          <w:lang w:eastAsia="es-ES_tradnl"/>
        </w:rPr>
        <w:t>, estableció el deber de formular una Estrategia Nacional de Lucha contra la Corrupción</w:t>
      </w:r>
      <w:r w:rsidRPr="0037514F">
        <w:rPr>
          <w:rFonts w:ascii="Verdana" w:eastAsia="Calibri" w:hAnsi="Verdana" w:cs="Arial"/>
          <w:iCs/>
          <w:lang w:eastAsia="es-ES_tradnl"/>
        </w:rPr>
        <w:t xml:space="preserve">, con el fin de fortalecer las instituciones democráticas y el Estado Social de Derecho, la protección de los derechos humanos, los recursos públicos, así como generar </w:t>
      </w:r>
      <w:r w:rsidRPr="0037514F">
        <w:rPr>
          <w:rFonts w:ascii="Verdana" w:eastAsia="Calibri" w:hAnsi="Verdana" w:cs="Arial"/>
          <w:iCs/>
          <w:lang w:eastAsia="es-ES_tradnl"/>
        </w:rPr>
        <w:lastRenderedPageBreak/>
        <w:t>condiciones adecuadas para el desarrollo socioeconómico y el cuidado del medio ambiente</w:t>
      </w:r>
      <w:r w:rsidRPr="0037514F">
        <w:rPr>
          <w:rFonts w:ascii="Verdana" w:eastAsia="Calibri" w:hAnsi="Verdana" w:cs="Arial"/>
          <w:lang w:eastAsia="es-ES_tradnl"/>
        </w:rPr>
        <w:t xml:space="preserve">. </w:t>
      </w:r>
    </w:p>
    <w:p w14:paraId="6EA5144F" w14:textId="77777777" w:rsidR="0037514F" w:rsidRPr="0037514F" w:rsidRDefault="0037514F" w:rsidP="0037514F">
      <w:pPr>
        <w:spacing w:after="120" w:line="276" w:lineRule="auto"/>
        <w:ind w:firstLine="708"/>
        <w:jc w:val="both"/>
        <w:rPr>
          <w:rFonts w:ascii="Verdana" w:eastAsia="Calibri" w:hAnsi="Verdana" w:cs="Arial"/>
          <w:lang w:eastAsia="es-ES_tradnl"/>
        </w:rPr>
      </w:pPr>
      <w:r w:rsidRPr="0037514F">
        <w:rPr>
          <w:rFonts w:ascii="Verdana" w:eastAsia="Calibri" w:hAnsi="Verdana" w:cs="Arial"/>
          <w:lang w:eastAsia="es-ES_tradnl"/>
        </w:rPr>
        <w:t xml:space="preserve">De este modo, la estrategia de la lucha contra la corrupción incluye las dimensiones de la garantía de los derechos humanos, la protección al denunciante, </w:t>
      </w:r>
      <w:r w:rsidRPr="0037514F">
        <w:rPr>
          <w:rFonts w:ascii="Verdana" w:eastAsia="Calibri" w:hAnsi="Verdana" w:cs="Arial"/>
          <w:i/>
          <w:iCs/>
          <w:lang w:eastAsia="es-ES_tradnl"/>
        </w:rPr>
        <w:t>el derecho de acceso a la información pública</w:t>
      </w:r>
      <w:r w:rsidRPr="0037514F">
        <w:rPr>
          <w:rFonts w:ascii="Verdana" w:eastAsia="Calibri" w:hAnsi="Verdana" w:cs="Arial"/>
          <w:lang w:eastAsia="es-ES_tradnl"/>
        </w:rPr>
        <w:t xml:space="preserve">, el fortalecimiento de la veeduría ciudadana, la </w:t>
      </w:r>
      <w:r w:rsidRPr="0037514F">
        <w:rPr>
          <w:rFonts w:ascii="Verdana" w:eastAsia="Calibri" w:hAnsi="Verdana" w:cs="Arial"/>
          <w:i/>
          <w:iCs/>
          <w:lang w:eastAsia="es-ES_tradnl"/>
        </w:rPr>
        <w:t>transparencia en la contratación y gestión pública</w:t>
      </w:r>
      <w:r w:rsidRPr="0037514F">
        <w:rPr>
          <w:rFonts w:ascii="Verdana" w:eastAsia="Calibri" w:hAnsi="Verdana" w:cs="Arial"/>
          <w:lang w:eastAsia="es-ES_tradnl"/>
        </w:rPr>
        <w:t>, la innovación pública y la prevención, detección, gestión y sanción de riesgos y hechos de corrupción. </w:t>
      </w:r>
    </w:p>
    <w:p w14:paraId="4E0907B8" w14:textId="77777777" w:rsidR="0037514F" w:rsidRPr="0037514F" w:rsidRDefault="0037514F" w:rsidP="0037514F">
      <w:pPr>
        <w:spacing w:after="120" w:line="276" w:lineRule="auto"/>
        <w:ind w:firstLine="708"/>
        <w:jc w:val="both"/>
        <w:rPr>
          <w:rFonts w:ascii="Verdana" w:eastAsia="Calibri" w:hAnsi="Verdana" w:cs="Arial"/>
          <w:bCs/>
          <w:lang w:eastAsia="es-ES_tradnl"/>
        </w:rPr>
      </w:pPr>
      <w:r w:rsidRPr="0037514F">
        <w:rPr>
          <w:rFonts w:ascii="Verdana" w:eastAsia="Calibri" w:hAnsi="Verdana" w:cs="Arial"/>
          <w:bCs/>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Reglamentario Único del Sector Presidencia de la República, en lo relacionado con las Subcomisiones Técnicas de la Comisión Nacional de Moralización y la Estrategia Nacional de Lucha Contra la Corrupción”. </w:t>
      </w:r>
    </w:p>
    <w:p w14:paraId="4B7A02C6" w14:textId="77777777" w:rsidR="0037514F" w:rsidRPr="0037514F" w:rsidRDefault="0037514F" w:rsidP="0037514F">
      <w:pPr>
        <w:spacing w:after="120" w:line="276" w:lineRule="auto"/>
        <w:ind w:firstLine="708"/>
        <w:jc w:val="both"/>
        <w:rPr>
          <w:rFonts w:ascii="Verdana" w:eastAsia="Calibri" w:hAnsi="Verdana" w:cs="Arial"/>
          <w:bCs/>
          <w:iCs/>
          <w:lang w:eastAsia="es-ES_tradnl"/>
        </w:rPr>
      </w:pPr>
      <w:r w:rsidRPr="0037514F">
        <w:rPr>
          <w:rFonts w:ascii="Verdana" w:eastAsia="Calibri" w:hAnsi="Verdana" w:cs="Arial"/>
          <w:bCs/>
          <w:lang w:eastAsia="es-ES_tradnl"/>
        </w:rPr>
        <w:t xml:space="preserve">El Capítulo 3°, Sección 1°, Título 4°, Parte 1°, Libro 2° del Decreto 1081 de 2015, que fue modificado por el Decreto 1600 de 2024, tiene como objeto: “[…] </w:t>
      </w:r>
      <w:r w:rsidRPr="0037514F">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22C9331C" w14:textId="77777777" w:rsidR="0037514F" w:rsidRPr="0037514F" w:rsidRDefault="0037514F" w:rsidP="0037514F">
      <w:pPr>
        <w:spacing w:after="120" w:line="276" w:lineRule="auto"/>
        <w:ind w:firstLine="708"/>
        <w:jc w:val="both"/>
        <w:rPr>
          <w:rFonts w:ascii="Verdana" w:eastAsia="Calibri" w:hAnsi="Verdana" w:cs="Arial"/>
          <w:bCs/>
          <w:iCs/>
          <w:lang w:eastAsia="es-ES_tradnl"/>
        </w:rPr>
      </w:pPr>
      <w:r w:rsidRPr="0037514F">
        <w:rPr>
          <w:rFonts w:ascii="Verdana" w:eastAsia="Calibri" w:hAnsi="Verdana" w:cs="Arial"/>
          <w:bCs/>
          <w:iCs/>
          <w:lang w:eastAsia="es-ES_tradnl"/>
        </w:rPr>
        <w:t>Ahora bien, el ámbito o campo de aplicación de este capítulo está regulado en el artículo 2.1.4.3.1.2.</w:t>
      </w:r>
      <w:r w:rsidRPr="0037514F">
        <w:rPr>
          <w:rFonts w:ascii="Verdana" w:eastAsia="Calibri" w:hAnsi="Verdana" w:cs="Arial"/>
          <w:bCs/>
          <w:iCs/>
          <w:vertAlign w:val="superscript"/>
          <w:lang w:eastAsia="es-ES_tradnl"/>
        </w:rPr>
        <w:footnoteReference w:id="24"/>
      </w:r>
      <w:r w:rsidRPr="0037514F">
        <w:rPr>
          <w:rFonts w:ascii="Verdana" w:eastAsia="Calibri" w:hAnsi="Verdana" w:cs="Arial"/>
          <w:bCs/>
          <w:iCs/>
          <w:lang w:eastAsia="es-ES_tradnl"/>
        </w:rPr>
        <w:t xml:space="preserve"> que señala que sus reglas son para las entidades y </w:t>
      </w:r>
      <w:r w:rsidRPr="0037514F">
        <w:rPr>
          <w:rFonts w:ascii="Verdana" w:eastAsia="Calibri" w:hAnsi="Verdana" w:cs="Arial"/>
          <w:bCs/>
          <w:iCs/>
          <w:lang w:eastAsia="es-ES_tradnl"/>
        </w:rPr>
        <w:lastRenderedPageBreak/>
        <w:t xml:space="preserve">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1BBA7019" w14:textId="77777777" w:rsidR="0037514F" w:rsidRPr="0037514F" w:rsidRDefault="0037514F" w:rsidP="0037514F">
      <w:pPr>
        <w:spacing w:after="120" w:line="276" w:lineRule="auto"/>
        <w:ind w:firstLine="708"/>
        <w:jc w:val="both"/>
        <w:rPr>
          <w:rFonts w:ascii="Verdana" w:eastAsia="Calibri" w:hAnsi="Verdana" w:cs="Arial"/>
          <w:bCs/>
          <w:iCs/>
          <w:lang w:eastAsia="es-ES_tradnl"/>
        </w:rPr>
      </w:pPr>
      <w:r w:rsidRPr="0037514F">
        <w:rPr>
          <w:rFonts w:ascii="Verdana" w:eastAsia="Calibri" w:hAnsi="Verdana" w:cs="Arial"/>
          <w:bCs/>
          <w:iCs/>
          <w:lang w:eastAsia="es-ES_tradnl"/>
        </w:rPr>
        <w:t>En los temas no regulados por dicho régimen, no se aplica lo dispuesto en el artículo 2.1.4.3.2.1</w:t>
      </w:r>
      <w:r w:rsidRPr="0037514F">
        <w:rPr>
          <w:rFonts w:ascii="Verdana" w:eastAsia="Calibri" w:hAnsi="Verdana" w:cs="Arial"/>
          <w:bCs/>
          <w:iCs/>
          <w:vertAlign w:val="superscript"/>
          <w:lang w:eastAsia="es-ES_tradnl"/>
        </w:rPr>
        <w:footnoteReference w:id="25"/>
      </w:r>
      <w:r w:rsidRPr="0037514F">
        <w:rPr>
          <w:rFonts w:ascii="Verdana" w:eastAsia="Calibri" w:hAnsi="Verdana" w:cs="Arial"/>
          <w:bCs/>
          <w:iCs/>
          <w:lang w:eastAsia="es-ES_tradnl"/>
        </w:rPr>
        <w:t xml:space="preserve">, por lo que las demás disposiciones deberán aplicarse, </w:t>
      </w:r>
      <w:r w:rsidRPr="0037514F">
        <w:rPr>
          <w:rFonts w:ascii="Verdana" w:eastAsia="Calibri" w:hAnsi="Verdana" w:cs="Arial"/>
          <w:bCs/>
          <w:iCs/>
          <w:lang w:eastAsia="es-ES_tradnl"/>
        </w:rPr>
        <w:lastRenderedPageBreak/>
        <w:t>de acuerdo con su estructura orgánica y la normativa aplicable a su funcionamiento.</w:t>
      </w:r>
      <w:r w:rsidRPr="0037514F">
        <w:rPr>
          <w:rFonts w:ascii="Verdana" w:eastAsia="Calibri" w:hAnsi="Verdana" w:cs="Arial"/>
          <w:bCs/>
          <w:lang w:eastAsia="es-ES_tradnl"/>
        </w:rPr>
        <w:t xml:space="preserve"> </w:t>
      </w:r>
      <w:r w:rsidRPr="0037514F">
        <w:rPr>
          <w:rFonts w:ascii="Verdana" w:eastAsia="Calibri" w:hAnsi="Verdana" w:cs="Arial"/>
          <w:bCs/>
          <w:iCs/>
          <w:lang w:eastAsia="es-ES_tradnl"/>
        </w:rPr>
        <w:t xml:space="preserve">Con respecto a las entidades territoriales y sus entidades descentralizadas establece que en el marco de su autonomía y en cumplimiento de lo previsto en el artículo 32 de la Ley 152 de 1994, por la cual se establece la Ley Orgánica de Plan de Desarrollo, deben aplicar sus planes y políticas, las líneas de acción contenidas en el presente Capítulo, conforme a lo regulado en el artículo 200 de la Ley 2294 de 2023. </w:t>
      </w:r>
    </w:p>
    <w:p w14:paraId="5A6B2807" w14:textId="77777777" w:rsidR="0037514F" w:rsidRPr="0037514F" w:rsidRDefault="0037514F" w:rsidP="0037514F">
      <w:pPr>
        <w:spacing w:after="0" w:line="276" w:lineRule="auto"/>
        <w:ind w:firstLine="709"/>
        <w:jc w:val="both"/>
        <w:rPr>
          <w:rFonts w:ascii="Verdana" w:eastAsia="Calibri" w:hAnsi="Verdana" w:cs="Arial"/>
          <w:bCs/>
          <w:iCs/>
          <w:lang w:eastAsia="es-ES_tradnl"/>
        </w:rPr>
      </w:pPr>
      <w:r w:rsidRPr="0037514F">
        <w:rPr>
          <w:rFonts w:ascii="Verdana" w:eastAsia="Calibri" w:hAnsi="Verdana" w:cs="Arial"/>
          <w:bCs/>
          <w:iCs/>
          <w:lang w:eastAsia="es-ES_tradnl"/>
        </w:rPr>
        <w:t>En este capítulo contiene el deber de garantizar el derecho de acceso a la información en las entidades públicas como presupuesto para el ejercicio de los derechos fundamentales, regulado en el artículo 2.1.4.3.2.2. del Decreto 1081 de 2015, cuyo tenor literal prescribe:</w:t>
      </w:r>
    </w:p>
    <w:p w14:paraId="5BEB702E" w14:textId="77777777" w:rsidR="0037514F" w:rsidRPr="0037514F" w:rsidRDefault="0037514F" w:rsidP="0037514F">
      <w:pPr>
        <w:spacing w:after="0" w:line="276" w:lineRule="auto"/>
        <w:ind w:firstLine="709"/>
        <w:jc w:val="both"/>
        <w:rPr>
          <w:rFonts w:ascii="Verdana" w:eastAsia="Calibri" w:hAnsi="Verdana" w:cs="Arial"/>
          <w:bCs/>
          <w:iCs/>
          <w:lang w:eastAsia="es-ES_tradnl"/>
        </w:rPr>
      </w:pPr>
      <w:r w:rsidRPr="0037514F">
        <w:rPr>
          <w:rFonts w:ascii="Verdana" w:eastAsia="Calibri" w:hAnsi="Verdana" w:cs="Arial"/>
          <w:bCs/>
          <w:iCs/>
          <w:lang w:eastAsia="es-ES_tradnl"/>
        </w:rPr>
        <w:t xml:space="preserve"> </w:t>
      </w:r>
    </w:p>
    <w:p w14:paraId="723B742B" w14:textId="77777777" w:rsidR="0037514F" w:rsidRPr="0037514F" w:rsidRDefault="0037514F" w:rsidP="0037514F">
      <w:pPr>
        <w:spacing w:after="0" w:line="240" w:lineRule="auto"/>
        <w:ind w:left="709" w:right="709"/>
        <w:jc w:val="both"/>
        <w:rPr>
          <w:rFonts w:ascii="Verdana" w:eastAsia="Calibri" w:hAnsi="Verdana" w:cs="Arial"/>
          <w:bCs/>
          <w:sz w:val="20"/>
          <w:szCs w:val="20"/>
          <w:lang w:eastAsia="es-ES_tradnl"/>
        </w:rPr>
      </w:pPr>
      <w:r w:rsidRPr="0037514F">
        <w:rPr>
          <w:rFonts w:ascii="Verdana" w:eastAsia="Calibri" w:hAnsi="Verdana" w:cs="Arial"/>
          <w:bCs/>
          <w:iCs/>
          <w:sz w:val="20"/>
          <w:szCs w:val="20"/>
          <w:lang w:eastAsia="es-ES_tradnl"/>
        </w:rPr>
        <w:t>“Artículo 2.1.4.3.2.2. Garantía de acceso a la información en las entidades públicas, como presupuesto para el ejercicio de derechos fundamentales. Sin perjuicio de sus obligaciones en materia de garantías de acceso a la información pública, los sujetos obligados deberán publicar en la sede electrónica o página web: </w:t>
      </w:r>
      <w:r w:rsidRPr="0037514F">
        <w:rPr>
          <w:rFonts w:ascii="Verdana" w:eastAsia="Calibri" w:hAnsi="Verdana" w:cs="Arial"/>
          <w:bCs/>
          <w:sz w:val="20"/>
          <w:szCs w:val="20"/>
          <w:lang w:eastAsia="es-ES_tradnl"/>
        </w:rPr>
        <w:t> </w:t>
      </w:r>
    </w:p>
    <w:p w14:paraId="6DE47F31" w14:textId="77777777" w:rsidR="0037514F" w:rsidRPr="0037514F" w:rsidRDefault="0037514F" w:rsidP="0037514F">
      <w:pPr>
        <w:spacing w:after="0" w:line="240" w:lineRule="auto"/>
        <w:ind w:left="709" w:right="709"/>
        <w:jc w:val="both"/>
        <w:rPr>
          <w:rFonts w:ascii="Verdana" w:eastAsia="Calibri" w:hAnsi="Verdana" w:cs="Arial"/>
          <w:bCs/>
          <w:sz w:val="20"/>
          <w:szCs w:val="20"/>
          <w:lang w:eastAsia="es-ES_tradnl"/>
        </w:rPr>
      </w:pPr>
    </w:p>
    <w:p w14:paraId="71F07874" w14:textId="77777777" w:rsidR="0037514F" w:rsidRPr="0037514F" w:rsidRDefault="0037514F" w:rsidP="0037514F">
      <w:pPr>
        <w:spacing w:after="0" w:line="240" w:lineRule="auto"/>
        <w:ind w:left="709" w:right="709"/>
        <w:jc w:val="both"/>
        <w:rPr>
          <w:rFonts w:ascii="Verdana" w:eastAsia="Calibri" w:hAnsi="Verdana" w:cs="Arial"/>
          <w:bCs/>
          <w:sz w:val="20"/>
          <w:szCs w:val="20"/>
          <w:lang w:eastAsia="es-ES_tradnl"/>
        </w:rPr>
      </w:pPr>
      <w:r w:rsidRPr="0037514F">
        <w:rPr>
          <w:rFonts w:ascii="Verdana" w:eastAsia="Calibri" w:hAnsi="Verdana" w:cs="Arial"/>
          <w:bCs/>
          <w:iCs/>
          <w:sz w:val="20"/>
          <w:szCs w:val="20"/>
          <w:lang w:eastAsia="es-ES_tradnl"/>
        </w:rPr>
        <w:t>a) Información detallada de todas las auditorías que realicen, incluyendo los resultados, hallazgos y seguimiento a las acciones de mejora; </w:t>
      </w:r>
      <w:r w:rsidRPr="0037514F">
        <w:rPr>
          <w:rFonts w:ascii="Verdana" w:eastAsia="Calibri" w:hAnsi="Verdana" w:cs="Arial"/>
          <w:bCs/>
          <w:sz w:val="20"/>
          <w:szCs w:val="20"/>
          <w:lang w:eastAsia="es-ES_tradnl"/>
        </w:rPr>
        <w:t> </w:t>
      </w:r>
    </w:p>
    <w:p w14:paraId="3149EB82" w14:textId="77777777" w:rsidR="0037514F" w:rsidRPr="0037514F" w:rsidRDefault="0037514F" w:rsidP="0037514F">
      <w:pPr>
        <w:spacing w:after="0" w:line="240" w:lineRule="auto"/>
        <w:ind w:left="709" w:right="709"/>
        <w:jc w:val="both"/>
        <w:rPr>
          <w:rFonts w:ascii="Verdana" w:eastAsia="Calibri" w:hAnsi="Verdana" w:cs="Arial"/>
          <w:bCs/>
          <w:i/>
          <w:iCs/>
          <w:sz w:val="20"/>
          <w:szCs w:val="20"/>
          <w:lang w:eastAsia="es-ES_tradnl"/>
        </w:rPr>
      </w:pPr>
    </w:p>
    <w:p w14:paraId="7BDCAD52" w14:textId="77777777" w:rsidR="0037514F" w:rsidRPr="0037514F" w:rsidRDefault="0037514F" w:rsidP="0037514F">
      <w:pPr>
        <w:spacing w:after="0" w:line="240" w:lineRule="auto"/>
        <w:ind w:left="709" w:right="709"/>
        <w:jc w:val="both"/>
        <w:rPr>
          <w:rFonts w:ascii="Verdana" w:eastAsia="Calibri" w:hAnsi="Verdana" w:cs="Arial"/>
          <w:bCs/>
          <w:i/>
          <w:sz w:val="20"/>
          <w:szCs w:val="20"/>
          <w:lang w:eastAsia="es-ES_tradnl"/>
        </w:rPr>
      </w:pPr>
      <w:r w:rsidRPr="0037514F">
        <w:rPr>
          <w:rFonts w:ascii="Verdana" w:eastAsia="Calibri" w:hAnsi="Verdana" w:cs="Arial"/>
          <w:bCs/>
          <w:i/>
          <w:iCs/>
          <w:sz w:val="20"/>
          <w:szCs w:val="20"/>
          <w:lang w:eastAsia="es-ES_tradnl"/>
        </w:rPr>
        <w:t>b) Información detallada de los contratos que suscriban, incluyendo, como mínimo: valor del contrato, objeto contractual, identidad del contratista seleccionado; así como el enlace directo al proceso en el Sistema Electrónico de Contratación Pública (SECOP). 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p>
    <w:p w14:paraId="5BF20D7C" w14:textId="77777777" w:rsidR="0037514F" w:rsidRPr="0037514F" w:rsidRDefault="0037514F" w:rsidP="0037514F">
      <w:pPr>
        <w:spacing w:after="0" w:line="240" w:lineRule="auto"/>
        <w:ind w:left="709" w:right="709"/>
        <w:jc w:val="both"/>
        <w:rPr>
          <w:rFonts w:ascii="Verdana" w:eastAsia="Calibri" w:hAnsi="Verdana" w:cs="Arial"/>
          <w:bCs/>
          <w:iCs/>
          <w:sz w:val="20"/>
          <w:szCs w:val="20"/>
          <w:lang w:eastAsia="es-ES_tradnl"/>
        </w:rPr>
      </w:pPr>
    </w:p>
    <w:p w14:paraId="6FFC410F" w14:textId="77777777" w:rsidR="0037514F" w:rsidRPr="0037514F" w:rsidRDefault="0037514F" w:rsidP="0037514F">
      <w:pPr>
        <w:spacing w:after="0" w:line="240" w:lineRule="auto"/>
        <w:ind w:left="709" w:right="709"/>
        <w:jc w:val="both"/>
        <w:rPr>
          <w:rFonts w:ascii="Verdana" w:eastAsia="Calibri" w:hAnsi="Verdana" w:cs="Arial"/>
          <w:bCs/>
          <w:sz w:val="20"/>
          <w:szCs w:val="20"/>
          <w:lang w:eastAsia="es-ES_tradnl"/>
        </w:rPr>
      </w:pPr>
      <w:r w:rsidRPr="0037514F">
        <w:rPr>
          <w:rFonts w:ascii="Verdana" w:eastAsia="Calibri" w:hAnsi="Verdana" w:cs="Arial"/>
          <w:bCs/>
          <w:iCs/>
          <w:sz w:val="20"/>
          <w:szCs w:val="20"/>
          <w:lang w:eastAsia="es-ES_tradnl"/>
        </w:rPr>
        <w:t xml:space="preserve">La Secretaría de Transparencia de la Presidencia de la República realizará un seguimiento anual, con actualizaciones periódicas y un escalafón de </w:t>
      </w:r>
      <w:r w:rsidRPr="0037514F">
        <w:rPr>
          <w:rFonts w:ascii="Verdana" w:eastAsia="Calibri" w:hAnsi="Verdana" w:cs="Arial"/>
          <w:bCs/>
          <w:iCs/>
          <w:sz w:val="20"/>
          <w:szCs w:val="20"/>
          <w:lang w:eastAsia="es-ES_tradnl"/>
        </w:rPr>
        <w:lastRenderedPageBreak/>
        <w:t>entidades, para medir la garantía de acceso a la información, verificando: la existencia de la información; la publicación gratuita, y oportuna, teniendo en cuenta tiempos de rezago; que la información sea objetiva, veraz, que esté completa y sea reutilizable, procesable y accesible. </w:t>
      </w:r>
      <w:r w:rsidRPr="0037514F">
        <w:rPr>
          <w:rFonts w:ascii="Verdana" w:eastAsia="Calibri" w:hAnsi="Verdana" w:cs="Arial"/>
          <w:bCs/>
          <w:sz w:val="20"/>
          <w:szCs w:val="20"/>
          <w:lang w:eastAsia="es-ES_tradnl"/>
        </w:rPr>
        <w:t> </w:t>
      </w:r>
    </w:p>
    <w:p w14:paraId="3B58D5AF" w14:textId="77777777" w:rsidR="0037514F" w:rsidRPr="0037514F" w:rsidRDefault="0037514F" w:rsidP="0037514F">
      <w:pPr>
        <w:spacing w:after="0" w:line="240" w:lineRule="auto"/>
        <w:ind w:left="709" w:right="709"/>
        <w:jc w:val="both"/>
        <w:rPr>
          <w:rFonts w:ascii="Verdana" w:eastAsia="Calibri" w:hAnsi="Verdana" w:cs="Arial"/>
          <w:bCs/>
          <w:iCs/>
          <w:sz w:val="20"/>
          <w:szCs w:val="20"/>
          <w:lang w:eastAsia="es-ES_tradnl"/>
        </w:rPr>
      </w:pPr>
    </w:p>
    <w:p w14:paraId="5A0A705E" w14:textId="77777777" w:rsidR="0037514F" w:rsidRPr="0037514F" w:rsidRDefault="0037514F" w:rsidP="0037514F">
      <w:pPr>
        <w:spacing w:after="0" w:line="240" w:lineRule="auto"/>
        <w:ind w:left="709" w:right="709"/>
        <w:jc w:val="both"/>
        <w:rPr>
          <w:rFonts w:ascii="Verdana" w:eastAsia="Calibri" w:hAnsi="Verdana" w:cs="Arial"/>
          <w:bCs/>
          <w:sz w:val="20"/>
          <w:szCs w:val="20"/>
          <w:lang w:eastAsia="es-ES_tradnl"/>
        </w:rPr>
      </w:pPr>
      <w:r w:rsidRPr="0037514F">
        <w:rPr>
          <w:rFonts w:ascii="Verdana" w:eastAsia="Calibri" w:hAnsi="Verdana" w:cs="Arial"/>
          <w:bCs/>
          <w:iCs/>
          <w:sz w:val="20"/>
          <w:szCs w:val="20"/>
          <w:lang w:eastAsia="es-ES_tradnl"/>
        </w:rPr>
        <w:t xml:space="preserve">Parágrafo. Los sujetos obligados deberán incluir en el Índice de Información Reservada y Clasificada todos aquellos actos o contratos a los que asignen tales categorías, incluyendo su individualización, su denominación y el motivo por el cual consideran que se puede negar el acceso” (Énfasis fuera de texto). </w:t>
      </w:r>
    </w:p>
    <w:p w14:paraId="5D859F29" w14:textId="77777777" w:rsidR="0037514F" w:rsidRPr="0037514F" w:rsidRDefault="0037514F" w:rsidP="0037514F">
      <w:pPr>
        <w:spacing w:after="0" w:line="276" w:lineRule="auto"/>
        <w:jc w:val="both"/>
        <w:rPr>
          <w:rFonts w:ascii="Verdana" w:eastAsia="Calibri" w:hAnsi="Verdana" w:cs="Arial"/>
          <w:bCs/>
          <w:lang w:eastAsia="es-ES_tradnl"/>
        </w:rPr>
      </w:pPr>
    </w:p>
    <w:p w14:paraId="6A37E001" w14:textId="77777777" w:rsidR="0037514F" w:rsidRPr="0037514F" w:rsidRDefault="0037514F" w:rsidP="0037514F">
      <w:pPr>
        <w:spacing w:after="120" w:line="276" w:lineRule="auto"/>
        <w:ind w:firstLine="709"/>
        <w:jc w:val="both"/>
        <w:rPr>
          <w:rFonts w:ascii="Verdana" w:eastAsia="Calibri" w:hAnsi="Verdana" w:cs="Arial"/>
          <w:bCs/>
          <w:iCs/>
          <w:lang w:eastAsia="es-ES_tradnl"/>
        </w:rPr>
      </w:pPr>
      <w:r w:rsidRPr="0037514F">
        <w:rPr>
          <w:rFonts w:ascii="Verdana" w:eastAsia="Calibri" w:hAnsi="Verdana" w:cs="Arial"/>
          <w:bCs/>
          <w:lang w:eastAsia="es-ES_tradnl"/>
        </w:rPr>
        <w:t xml:space="preserve">A partir del artículo precitado se resalta que su primer inciso alude al deber de publicación en la página web de los sujetos obligados por dicho Decreto, el cual contiene dos literales: en el literal a) se establece el deber de publicar por parte de las entidades de </w:t>
      </w:r>
      <w:r w:rsidRPr="0037514F">
        <w:rPr>
          <w:rFonts w:ascii="Verdana" w:eastAsia="Calibri" w:hAnsi="Verdana" w:cs="Arial"/>
          <w:bCs/>
          <w:iCs/>
          <w:lang w:eastAsia="es-ES_tradnl"/>
        </w:rPr>
        <w:t>todas las auditorías que le realicen, en la que se incluyan los resultados, hallazgos y seguimiento a las acciones de mejora; en el literal b se establece dos subreglas. La primera está contenida en un primer aparte que dispone: “</w:t>
      </w:r>
      <w:r w:rsidRPr="0037514F">
        <w:rPr>
          <w:rFonts w:ascii="Verdana" w:eastAsia="Calibri" w:hAnsi="Verdana" w:cs="Arial"/>
          <w:bCs/>
          <w:i/>
          <w:iCs/>
          <w:lang w:eastAsia="es-ES_tradnl"/>
        </w:rPr>
        <w:t>Información detallada de los contratos que suscriban, incluyendo, como mínimo: valor del contrato, objeto contractual, identidad del contratista seleccionado; así como el enlace directo al proceso en el Sistema Electrónico de Contratación Pública (SECOP)”, lo cual implica el</w:t>
      </w:r>
      <w:r w:rsidRPr="0037514F">
        <w:rPr>
          <w:rFonts w:ascii="Verdana" w:eastAsia="Calibri" w:hAnsi="Verdana" w:cs="Arial"/>
          <w:bCs/>
          <w:iCs/>
          <w:lang w:eastAsia="es-ES_tradnl"/>
        </w:rPr>
        <w:t xml:space="preserve"> mandato de publicar en página web por parte de los sujetos obligados de la información detallada de los contratos celebrados, incluyendo su valor, objeto, identidad del contratista seleccionado, así como el enlace en el SECOP. </w:t>
      </w:r>
    </w:p>
    <w:p w14:paraId="7C9966B8" w14:textId="77777777" w:rsidR="0037514F" w:rsidRPr="0037514F" w:rsidRDefault="0037514F" w:rsidP="0037514F">
      <w:pPr>
        <w:spacing w:after="120" w:line="276" w:lineRule="auto"/>
        <w:ind w:firstLine="709"/>
        <w:jc w:val="both"/>
        <w:rPr>
          <w:rFonts w:ascii="Verdana" w:eastAsia="Calibri" w:hAnsi="Verdana" w:cs="Arial"/>
          <w:bCs/>
          <w:lang w:eastAsia="es-ES_tradnl"/>
        </w:rPr>
      </w:pPr>
      <w:r w:rsidRPr="0037514F">
        <w:rPr>
          <w:rFonts w:ascii="Verdana" w:eastAsia="Calibri" w:hAnsi="Verdana" w:cs="Arial"/>
          <w:bCs/>
          <w:iCs/>
          <w:lang w:eastAsia="es-ES_tradnl"/>
        </w:rPr>
        <w:t>Una segunda subregla que prescribe</w:t>
      </w:r>
      <w:r w:rsidRPr="0037514F">
        <w:rPr>
          <w:rFonts w:ascii="Verdana" w:eastAsia="Calibri" w:hAnsi="Verdana" w:cs="Arial"/>
          <w:bCs/>
          <w:lang w:eastAsia="es-ES_tradnl"/>
        </w:rPr>
        <w:t xml:space="preserve">: </w:t>
      </w:r>
      <w:r w:rsidRPr="0037514F">
        <w:rPr>
          <w:rFonts w:ascii="Verdana" w:eastAsia="Calibri" w:hAnsi="Verdana" w:cs="Arial"/>
          <w:bCs/>
          <w:i/>
          <w:lang w:eastAsia="es-ES_tradnl"/>
        </w:rPr>
        <w:t>“</w:t>
      </w:r>
      <w:r w:rsidRPr="0037514F">
        <w:rPr>
          <w:rFonts w:ascii="Verdana" w:eastAsia="Calibri" w:hAnsi="Verdana" w:cs="Arial"/>
          <w:bCs/>
          <w:i/>
          <w:iCs/>
          <w:lang w:eastAsia="es-ES_tradnl"/>
        </w:rPr>
        <w:t>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r w:rsidRPr="0037514F">
        <w:rPr>
          <w:rFonts w:ascii="Verdana" w:eastAsia="Calibri" w:hAnsi="Verdana" w:cs="Arial"/>
          <w:bCs/>
          <w:lang w:eastAsia="es-ES_tradnl"/>
        </w:rPr>
        <w:t xml:space="preserve"> Esta subregla </w:t>
      </w:r>
      <w:r w:rsidRPr="0037514F">
        <w:rPr>
          <w:rFonts w:ascii="Verdana" w:eastAsia="Calibri" w:hAnsi="Verdana" w:cs="Arial"/>
          <w:bCs/>
          <w:iCs/>
          <w:lang w:eastAsia="es-ES_tradnl"/>
        </w:rPr>
        <w:t xml:space="preserve">prescribe el deber de publicar la información de ejecución del contrato, es decir, los informes de supervisión e interventoría, actas de liquidación, requerimientos, entre otros. Ahora bien, dicho literal también establece que esta información debe publicarse dentro de los diez (10) días siguientes a la ocurrencia del hecho, esto es, desde la generación del documento definitivo, y en ningún caso puede haber retraso para el cumplimiento de este término, esto es, establece un límite máximo de publicación para los documentos de ejecución del contrato. </w:t>
      </w:r>
    </w:p>
    <w:p w14:paraId="24069150" w14:textId="77777777" w:rsidR="0037514F" w:rsidRPr="0037514F" w:rsidRDefault="0037514F" w:rsidP="0037514F">
      <w:pPr>
        <w:spacing w:after="120" w:line="276" w:lineRule="auto"/>
        <w:ind w:firstLine="708"/>
        <w:jc w:val="both"/>
        <w:rPr>
          <w:rFonts w:ascii="Verdana" w:eastAsia="Calibri" w:hAnsi="Verdana" w:cs="Arial"/>
          <w:bCs/>
          <w:iCs/>
          <w:lang w:val="es-ES_tradnl" w:eastAsia="es-ES_tradnl"/>
        </w:rPr>
      </w:pPr>
      <w:r w:rsidRPr="0037514F">
        <w:rPr>
          <w:rFonts w:ascii="Verdana" w:eastAsia="Calibri" w:hAnsi="Verdana" w:cs="Arial"/>
          <w:bCs/>
          <w:iCs/>
          <w:lang w:eastAsia="es-ES_tradnl"/>
        </w:rPr>
        <w:lastRenderedPageBreak/>
        <w:t xml:space="preserve">No obstante, este artículo parece contradecirse, en un principio, con lo dispuesto en el artículo 2.2.1.1.1.7.1. del Decreto 1082 de 2015 que establece que la Entidad Estatal está obligada a publicar en el SECOP los Documentos del Proceso y los actos administrativos del Proceso de Contratación, dentro de los tres (3) días siguientes a su expedición, además, dispone que la oferta que debe publicarse es la del adjudicatario del Proceso de Contratación, y que los documentos de las operaciones que se realicen en bolsa de productos no tienen que publicarse en el SECOP. En este escenario, parece en un principio, un </w:t>
      </w:r>
      <w:r w:rsidRPr="0037514F">
        <w:rPr>
          <w:rFonts w:ascii="Verdana" w:eastAsia="Calibri" w:hAnsi="Verdana" w:cs="Arial"/>
          <w:bCs/>
          <w:iCs/>
          <w:lang w:val="es-ES_tradnl" w:eastAsia="es-ES_tradnl"/>
        </w:rPr>
        <w:t xml:space="preserve">conflicto entre la </w:t>
      </w:r>
      <w:r w:rsidRPr="0037514F">
        <w:rPr>
          <w:rFonts w:ascii="Verdana" w:eastAsia="Calibri" w:hAnsi="Verdana" w:cs="Arial"/>
          <w:bCs/>
          <w:i/>
          <w:iCs/>
          <w:lang w:val="es-ES_tradnl" w:eastAsia="es-ES_tradnl"/>
        </w:rPr>
        <w:t>regla general dispuesta en el Decreto 1082 de 2015</w:t>
      </w:r>
      <w:r w:rsidRPr="0037514F">
        <w:rPr>
          <w:rFonts w:ascii="Verdana" w:eastAsia="Calibri" w:hAnsi="Verdana" w:cs="Arial"/>
          <w:bCs/>
          <w:iCs/>
          <w:lang w:val="es-ES_tradnl" w:eastAsia="es-ES_tradnl"/>
        </w:rPr>
        <w:t xml:space="preserve"> y la </w:t>
      </w:r>
      <w:r w:rsidRPr="0037514F">
        <w:rPr>
          <w:rFonts w:ascii="Verdana" w:eastAsia="Calibri" w:hAnsi="Verdana" w:cs="Arial"/>
          <w:bCs/>
          <w:i/>
          <w:iCs/>
          <w:lang w:val="es-ES_tradnl" w:eastAsia="es-ES_tradnl"/>
        </w:rPr>
        <w:t>regla especial que dispone un término máximo para publicar la información para entidades del orden nacional</w:t>
      </w:r>
      <w:r w:rsidRPr="0037514F">
        <w:rPr>
          <w:rFonts w:ascii="Verdana" w:eastAsia="Calibri" w:hAnsi="Verdana" w:cs="Arial"/>
          <w:bCs/>
          <w:iCs/>
          <w:lang w:val="es-ES_tradnl" w:eastAsia="es-ES_tradnl"/>
        </w:rPr>
        <w:t xml:space="preserve">, siendo necesario acudir al problema con fundamento en el artículo 5.1 de la Ley 57 de 1887. Según esta norma, “[…] Si en los Códigos que se adoptan se hallaren algunas disposiciones incompatibles entre sí […] </w:t>
      </w:r>
      <w:r w:rsidRPr="0037514F">
        <w:rPr>
          <w:rFonts w:ascii="Verdana" w:eastAsia="Calibri" w:hAnsi="Verdana" w:cs="Arial"/>
          <w:bCs/>
          <w:i/>
          <w:iCs/>
          <w:lang w:val="es-ES_tradnl" w:eastAsia="es-ES_tradnl"/>
        </w:rPr>
        <w:t>La disposición relativa a un asunto especial prefiere a la que tenga carácter general</w:t>
      </w:r>
      <w:r w:rsidRPr="0037514F">
        <w:rPr>
          <w:rFonts w:ascii="Verdana" w:eastAsia="Calibri" w:hAnsi="Verdana" w:cs="Arial"/>
          <w:bCs/>
          <w:iCs/>
          <w:lang w:val="es-ES_tradnl" w:eastAsia="es-ES_tradnl"/>
        </w:rPr>
        <w:t xml:space="preserve"> […]” (Énfasis fuera de texto). </w:t>
      </w:r>
    </w:p>
    <w:p w14:paraId="2B017644" w14:textId="77777777" w:rsidR="0037514F" w:rsidRPr="0037514F" w:rsidRDefault="0037514F" w:rsidP="0037514F">
      <w:pPr>
        <w:spacing w:after="120" w:line="276" w:lineRule="auto"/>
        <w:ind w:firstLine="709"/>
        <w:jc w:val="both"/>
        <w:rPr>
          <w:rFonts w:ascii="Verdana" w:eastAsia="Calibri" w:hAnsi="Verdana" w:cs="Arial"/>
          <w:bCs/>
          <w:iCs/>
          <w:lang w:eastAsia="es-ES_tradnl"/>
        </w:rPr>
      </w:pPr>
      <w:r w:rsidRPr="0037514F">
        <w:rPr>
          <w:rFonts w:ascii="Verdana" w:eastAsia="Calibri" w:hAnsi="Verdana" w:cs="Arial"/>
          <w:bCs/>
          <w:iCs/>
          <w:lang w:val="es-ES_tradnl" w:eastAsia="es-ES_tradnl"/>
        </w:rPr>
        <w:t xml:space="preserve">Por tanto, La regla dispuesta en el </w:t>
      </w:r>
      <w:r w:rsidRPr="0037514F">
        <w:rPr>
          <w:rFonts w:ascii="Verdana" w:eastAsia="Calibri" w:hAnsi="Verdana" w:cs="Arial"/>
          <w:bCs/>
          <w:iCs/>
          <w:lang w:eastAsia="es-ES_tradnl"/>
        </w:rPr>
        <w:t xml:space="preserve">artículo 2.1.4.3.2.2 del Decreto 1081 de 2015 </w:t>
      </w:r>
      <w:r w:rsidRPr="0037514F">
        <w:rPr>
          <w:rFonts w:ascii="Verdana" w:eastAsia="Calibri" w:hAnsi="Verdana" w:cs="Arial"/>
          <w:bCs/>
          <w:iCs/>
          <w:lang w:val="es-ES_tradnl" w:eastAsia="es-ES_tradnl"/>
        </w:rPr>
        <w:t>–</w:t>
      </w:r>
      <w:r w:rsidRPr="0037514F">
        <w:rPr>
          <w:rFonts w:ascii="Verdana" w:eastAsia="Calibri" w:hAnsi="Verdana" w:cs="Arial"/>
          <w:bCs/>
          <w:i/>
          <w:iCs/>
          <w:lang w:val="es-ES_tradnl" w:eastAsia="es-ES_tradnl"/>
        </w:rPr>
        <w:t>regla especial</w:t>
      </w:r>
      <w:r w:rsidRPr="0037514F">
        <w:rPr>
          <w:rFonts w:ascii="Verdana" w:eastAsia="Calibri" w:hAnsi="Verdana" w:cs="Arial"/>
          <w:bCs/>
          <w:iCs/>
          <w:lang w:val="es-ES_tradnl" w:eastAsia="es-ES_tradnl"/>
        </w:rPr>
        <w:t xml:space="preserve">– modificada por el Decreto 1600 de 2024 debe tenerse en cuenta sobre el entendimiento y aplicación del artículo </w:t>
      </w:r>
      <w:r w:rsidRPr="0037514F">
        <w:rPr>
          <w:rFonts w:ascii="Verdana" w:eastAsia="Calibri" w:hAnsi="Verdana" w:cs="Arial"/>
          <w:bCs/>
          <w:iCs/>
          <w:lang w:eastAsia="es-ES_tradnl"/>
        </w:rPr>
        <w:t>2.2.1.1.1.7.1. del Decreto 1082 de 2015</w:t>
      </w:r>
      <w:r w:rsidRPr="0037514F">
        <w:rPr>
          <w:rFonts w:ascii="Verdana" w:eastAsia="Calibri" w:hAnsi="Verdana" w:cs="Arial"/>
          <w:bCs/>
          <w:iCs/>
          <w:lang w:val="es-ES_tradnl" w:eastAsia="es-ES_tradnl"/>
        </w:rPr>
        <w:t xml:space="preserve"> –</w:t>
      </w:r>
      <w:r w:rsidRPr="0037514F">
        <w:rPr>
          <w:rFonts w:ascii="Verdana" w:eastAsia="Calibri" w:hAnsi="Verdana" w:cs="Arial"/>
          <w:bCs/>
          <w:i/>
          <w:iCs/>
          <w:lang w:val="es-ES_tradnl" w:eastAsia="es-ES_tradnl"/>
        </w:rPr>
        <w:t>regla general</w:t>
      </w:r>
      <w:r w:rsidRPr="0037514F">
        <w:rPr>
          <w:rFonts w:ascii="Verdana" w:eastAsia="Calibri" w:hAnsi="Verdana" w:cs="Arial"/>
          <w:bCs/>
          <w:iCs/>
          <w:lang w:val="es-ES_tradnl" w:eastAsia="es-ES_tradnl"/>
        </w:rPr>
        <w:t xml:space="preserve">–, esto es, deben interpretarse armónicamente. Esto no significa que la </w:t>
      </w:r>
      <w:r w:rsidRPr="0037514F">
        <w:rPr>
          <w:rFonts w:ascii="Verdana" w:eastAsia="Calibri" w:hAnsi="Verdana" w:cs="Arial"/>
          <w:bCs/>
          <w:i/>
          <w:iCs/>
          <w:lang w:val="es-ES_tradnl" w:eastAsia="es-ES_tradnl"/>
        </w:rPr>
        <w:t>regla general</w:t>
      </w:r>
      <w:r w:rsidRPr="0037514F">
        <w:rPr>
          <w:rFonts w:ascii="Verdana" w:eastAsia="Calibri" w:hAnsi="Verdana" w:cs="Arial"/>
          <w:bCs/>
          <w:iCs/>
          <w:lang w:val="es-ES_tradnl" w:eastAsia="es-ES_tradnl"/>
        </w:rPr>
        <w:t xml:space="preserve"> desaparezca del ordenamiento jurídico; todo lo contrario, esta aplica en todos los supuestos que regula, y se interpreta de forma integral con los supuestos previstos en la </w:t>
      </w:r>
      <w:r w:rsidRPr="0037514F">
        <w:rPr>
          <w:rFonts w:ascii="Verdana" w:eastAsia="Calibri" w:hAnsi="Verdana" w:cs="Arial"/>
          <w:bCs/>
          <w:i/>
          <w:iCs/>
          <w:lang w:val="es-ES_tradnl" w:eastAsia="es-ES_tradnl"/>
        </w:rPr>
        <w:t>regla especial</w:t>
      </w:r>
      <w:r w:rsidRPr="0037514F">
        <w:rPr>
          <w:rFonts w:ascii="Verdana" w:eastAsia="Calibri" w:hAnsi="Verdana" w:cs="Arial"/>
          <w:bCs/>
          <w:iCs/>
          <w:lang w:val="es-ES_tradnl" w:eastAsia="es-ES_tradnl"/>
        </w:rPr>
        <w:t xml:space="preserve">. De esta manera, el término de diez (10) días es un plazo máximo para las entidades y </w:t>
      </w:r>
      <w:r w:rsidRPr="0037514F">
        <w:rPr>
          <w:rFonts w:ascii="Verdana" w:eastAsia="Calibri" w:hAnsi="Verdana" w:cs="Arial"/>
          <w:bCs/>
          <w:i/>
          <w:iCs/>
          <w:lang w:eastAsia="es-ES_tradnl"/>
        </w:rPr>
        <w:t xml:space="preserve">empresas del Estado </w:t>
      </w:r>
      <w:r w:rsidRPr="0037514F">
        <w:rPr>
          <w:rFonts w:ascii="Verdana" w:eastAsia="Calibri" w:hAnsi="Verdana" w:cs="Arial"/>
          <w:bCs/>
          <w:iCs/>
          <w:lang w:eastAsia="es-ES_tradnl"/>
        </w:rPr>
        <w:t xml:space="preserve">del orden nacional y pertenecientes a la Rama Ejecutiva del Poder Público para publicar en SECOP, en todo caso los documentos de carácter definitivo, precisando la regla general sigue vigente, y que, en un principio, el término para publicar tres (3) días siguientes a la expedición, esto es, a partir desde que el documento se encuentra perfeccionado por la parte o las partes intervinientes, de conformidad a lo prescrito en el Decreto 1082 de 2015. </w:t>
      </w:r>
    </w:p>
    <w:p w14:paraId="7222DE20" w14:textId="77777777" w:rsidR="0037514F" w:rsidRPr="0037514F" w:rsidRDefault="0037514F" w:rsidP="0037514F">
      <w:pPr>
        <w:spacing w:after="120" w:line="276" w:lineRule="auto"/>
        <w:ind w:firstLine="709"/>
        <w:jc w:val="both"/>
        <w:rPr>
          <w:rFonts w:ascii="Verdana" w:eastAsia="Calibri" w:hAnsi="Verdana" w:cs="Arial"/>
          <w:bCs/>
          <w:iCs/>
          <w:lang w:eastAsia="es-ES_tradnl"/>
        </w:rPr>
      </w:pPr>
      <w:r w:rsidRPr="0037514F">
        <w:rPr>
          <w:rFonts w:ascii="Verdana" w:eastAsia="Calibri" w:hAnsi="Verdana" w:cs="Arial"/>
          <w:bCs/>
          <w:iCs/>
          <w:lang w:eastAsia="es-ES_tradnl"/>
        </w:rPr>
        <w:t xml:space="preserve">Ahora bien, las demás entidades que no están sujetas al Decreto 1600 de 2024 que modifica el Decreto 1081 de 2015 tienen el deber de aplicar el término de publicación de los tres (3) días siguientes a su expedición como regla general y no le es aplicable el término máximo de diez (10) días desde la ocurrencia del hecho, esto es, a partir de la generación del documento definitivo. En tal sentido, las entidades del orden territorial, así como sus descentralizadas deben seguir </w:t>
      </w:r>
      <w:r w:rsidRPr="0037514F">
        <w:rPr>
          <w:rFonts w:ascii="Verdana" w:eastAsia="Calibri" w:hAnsi="Verdana" w:cs="Arial"/>
          <w:bCs/>
          <w:iCs/>
          <w:lang w:eastAsia="es-ES_tradnl"/>
        </w:rPr>
        <w:lastRenderedPageBreak/>
        <w:t xml:space="preserve">aplicando el término general de tres (3) días, y no podrán hacer una interpretación extensiva ni analógica, puesto que se rigen bajo el principio de legalidad que implica una interpretación literal y estricta de las disposiciones normativas.  </w:t>
      </w:r>
    </w:p>
    <w:p w14:paraId="3EB06025" w14:textId="77777777" w:rsidR="0037514F" w:rsidRPr="0037514F" w:rsidRDefault="0037514F" w:rsidP="0037514F">
      <w:pPr>
        <w:spacing w:after="120" w:line="276" w:lineRule="auto"/>
        <w:ind w:firstLine="709"/>
        <w:jc w:val="both"/>
        <w:rPr>
          <w:rFonts w:ascii="Verdana" w:eastAsia="Calibri" w:hAnsi="Verdana" w:cs="Arial"/>
          <w:bCs/>
          <w:iCs/>
          <w:lang w:val="es-ES" w:eastAsia="es-ES_tradnl"/>
        </w:rPr>
      </w:pPr>
      <w:r w:rsidRPr="0037514F">
        <w:rPr>
          <w:rFonts w:ascii="Verdana" w:eastAsia="Calibri" w:hAnsi="Verdana" w:cs="Arial"/>
          <w:bCs/>
          <w:iCs/>
          <w:lang w:eastAsia="es-ES_tradnl"/>
        </w:rPr>
        <w:t>Sin embargo</w:t>
      </w:r>
      <w:r w:rsidRPr="0037514F">
        <w:rPr>
          <w:rFonts w:ascii="Verdana" w:eastAsia="Calibri" w:hAnsi="Verdana" w:cs="Arial"/>
          <w:bCs/>
          <w:iCs/>
          <w:lang w:val="es-ES" w:eastAsia="es-ES_tradnl"/>
        </w:rPr>
        <w:t xml:space="preserve">, es importante precisar, la naturaleza transaccional del SECOP II, lo cual implica que los procesos contractuales no sólo deban publicarse mediante esta plataforma, sino también gestionados a través de ella, al consistir la mayoría de los hitos contractuales en documentos y actuaciones electrónicas generadas en tiempo real, en el sentido de que el proceso contractual avanza en la medida en la que se generen y aprueben estos documentos que se constituirán en definitivos, cuando se cumplan las actuaciones electrónicas propias para su perfeccionamiento. En tal sentido, los documentos que tienen una función transaccional en SECOP II son cargados a dicha plataforma, que serán aceptados electrónicamente por las partes intervinientes. </w:t>
      </w:r>
    </w:p>
    <w:p w14:paraId="0F654249" w14:textId="77777777" w:rsidR="0037514F" w:rsidRPr="0037514F" w:rsidRDefault="0037514F" w:rsidP="0037514F">
      <w:pPr>
        <w:spacing w:after="120" w:line="276" w:lineRule="auto"/>
        <w:ind w:firstLine="709"/>
        <w:jc w:val="both"/>
        <w:rPr>
          <w:rFonts w:ascii="Verdana" w:eastAsia="Calibri" w:hAnsi="Verdana" w:cs="Arial"/>
          <w:bCs/>
          <w:iCs/>
          <w:lang w:val="es-ES" w:eastAsia="es-ES_tradnl"/>
        </w:rPr>
      </w:pPr>
      <w:r w:rsidRPr="0037514F">
        <w:rPr>
          <w:rFonts w:ascii="Verdana" w:eastAsia="Calibri" w:hAnsi="Verdana" w:cs="Arial"/>
          <w:bCs/>
          <w:iCs/>
          <w:lang w:val="es-ES" w:eastAsia="es-ES_tradnl"/>
        </w:rPr>
        <w:t>Es decir, 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definitivos, esto es, aquellos que están firmados por las partes y luego se publican en dicha plataforma, en los términos ya expuestos, dependiendo de la naturaleza de la entidad y de las reglas prescritas en los Decretos 1081 y 1082 de 2015.</w:t>
      </w:r>
    </w:p>
    <w:p w14:paraId="3AACB200" w14:textId="77777777" w:rsidR="0037514F" w:rsidRPr="0037514F" w:rsidRDefault="0037514F" w:rsidP="0037514F">
      <w:pPr>
        <w:spacing w:after="0" w:line="276" w:lineRule="auto"/>
        <w:ind w:firstLine="709"/>
        <w:jc w:val="both"/>
        <w:rPr>
          <w:rFonts w:ascii="Verdana" w:eastAsia="Calibri" w:hAnsi="Verdana" w:cs="Arial"/>
          <w:bCs/>
          <w:iCs/>
          <w:lang w:val="es-ES" w:eastAsia="es-ES_tradnl"/>
        </w:rPr>
      </w:pPr>
      <w:r w:rsidRPr="0037514F">
        <w:rPr>
          <w:rFonts w:ascii="Verdana" w:eastAsia="Calibri" w:hAnsi="Verdana" w:cs="Arial"/>
          <w:bCs/>
          <w:iCs/>
          <w:lang w:val="es-ES" w:eastAsia="es-ES_tradnl"/>
        </w:rPr>
        <w:t xml:space="preserve">En torno a los documentos de ejecución debe precisarse que algunos de estos no tienen un carácter transaccional en SECOP II, pues dentro de la numeral 7° del Proceso de Contratación “Ejecución del contrato” se encuentra la Sección “Documentos de Ejecución del contrato”, en el que </w:t>
      </w:r>
      <w:r w:rsidRPr="0037514F">
        <w:rPr>
          <w:rFonts w:ascii="Verdana" w:eastAsia="Calibri" w:hAnsi="Verdana" w:cs="Arial"/>
          <w:bCs/>
          <w:iCs/>
          <w:lang w:eastAsia="es-ES_tradnl"/>
        </w:rPr>
        <w:t>tanto la Entidad Estatal como el Proveedor podrán cargar cualquier documento adicional resultado de la ejecución del contrato por ejemplo, acta de inicio, actas de entrega, informes de avance, requerimientos de la supervisión, solicitud de ampliación de pólizas, entre otros. Dichos documentos deberán estar suscritos por la parte o partes que los generan y subirse en la plataforma en SECOP II dentro de los términos dispuestos por el Decreto 1082 de 2015, esto es, tres (3) días siguientes. Sin perjuicio, d</w:t>
      </w:r>
      <w:r w:rsidRPr="0037514F">
        <w:rPr>
          <w:rFonts w:ascii="Verdana" w:eastAsia="Calibri" w:hAnsi="Verdana" w:cs="Arial"/>
          <w:bCs/>
          <w:iCs/>
          <w:lang w:val="es-ES" w:eastAsia="es-ES_tradnl"/>
        </w:rPr>
        <w:t xml:space="preserve">el término de diez (10) días como un límite máximo para publicar por </w:t>
      </w:r>
      <w:r w:rsidRPr="0037514F">
        <w:rPr>
          <w:rFonts w:ascii="Verdana" w:eastAsia="Calibri" w:hAnsi="Verdana" w:cs="Arial"/>
          <w:bCs/>
          <w:iCs/>
          <w:lang w:val="es-ES" w:eastAsia="es-ES_tradnl"/>
        </w:rPr>
        <w:lastRenderedPageBreak/>
        <w:t>parte de las entidades del orden nacional sometidas a lo dispuesto en el Decreto 1600 de 2024 que modifica el Decreto 1081 de 2015.</w:t>
      </w:r>
    </w:p>
    <w:p w14:paraId="0E358EC8" w14:textId="77777777" w:rsidR="0037514F" w:rsidRPr="0037514F" w:rsidRDefault="0037514F" w:rsidP="0037514F">
      <w:pPr>
        <w:spacing w:after="0" w:line="278" w:lineRule="auto"/>
        <w:jc w:val="both"/>
        <w:rPr>
          <w:rFonts w:ascii="Verdana" w:eastAsia="Calibri" w:hAnsi="Verdana" w:cs="Arial"/>
          <w:bCs/>
          <w:color w:val="000000"/>
          <w:kern w:val="2"/>
          <w:lang w:val="es-ES"/>
          <w14:ligatures w14:val="standardContextual"/>
        </w:rPr>
      </w:pPr>
    </w:p>
    <w:p w14:paraId="37B34DE6" w14:textId="77777777" w:rsidR="0037514F" w:rsidRPr="0037514F" w:rsidRDefault="0037514F" w:rsidP="0037514F">
      <w:pPr>
        <w:spacing w:after="0" w:line="276" w:lineRule="auto"/>
        <w:jc w:val="both"/>
        <w:rPr>
          <w:rFonts w:ascii="Verdana" w:eastAsia="Times New Roman" w:hAnsi="Verdana" w:cs="Times New Roman"/>
          <w:lang w:eastAsia="es-MX"/>
        </w:rPr>
      </w:pPr>
      <w:r w:rsidRPr="0037514F">
        <w:rPr>
          <w:rFonts w:ascii="Verdana" w:eastAsia="Calibri" w:hAnsi="Verdana" w:cs="Arial"/>
          <w:lang w:eastAsia="es-MX"/>
        </w:rPr>
        <w:t xml:space="preserve">v. </w:t>
      </w:r>
      <w:r w:rsidRPr="0037514F">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4C02FB7" w14:textId="77777777" w:rsidR="0037514F" w:rsidRPr="0037514F" w:rsidRDefault="0037514F" w:rsidP="0037514F">
      <w:pPr>
        <w:spacing w:after="0" w:line="276" w:lineRule="auto"/>
        <w:ind w:firstLine="708"/>
        <w:jc w:val="both"/>
        <w:rPr>
          <w:rFonts w:ascii="Verdana" w:eastAsia="Calibri" w:hAnsi="Verdana" w:cs="Arial"/>
          <w:bCs/>
          <w:color w:val="000000"/>
          <w:lang w:eastAsia="es-MX"/>
        </w:rPr>
      </w:pPr>
      <w:r w:rsidRPr="0037514F">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BF38468" w14:textId="77777777" w:rsidR="0037514F" w:rsidRPr="0037514F" w:rsidRDefault="0037514F" w:rsidP="0037514F">
      <w:pPr>
        <w:spacing w:after="0" w:line="276" w:lineRule="auto"/>
        <w:jc w:val="both"/>
        <w:rPr>
          <w:rFonts w:ascii="Verdana" w:eastAsia="Calibri" w:hAnsi="Verdana" w:cs="Times New Roman"/>
          <w:lang w:eastAsia="es-MX"/>
        </w:rPr>
      </w:pPr>
    </w:p>
    <w:p w14:paraId="182B461A" w14:textId="77777777" w:rsidR="0037514F" w:rsidRPr="0037514F" w:rsidRDefault="0037514F" w:rsidP="0037514F">
      <w:pPr>
        <w:tabs>
          <w:tab w:val="left" w:pos="142"/>
          <w:tab w:val="left" w:pos="284"/>
        </w:tabs>
        <w:spacing w:after="0" w:line="276" w:lineRule="auto"/>
        <w:jc w:val="both"/>
        <w:rPr>
          <w:rFonts w:ascii="Verdana" w:eastAsia="Century Gothic" w:hAnsi="Verdana" w:cs="Century Gothic"/>
          <w:b/>
          <w:bCs/>
          <w:lang w:val="es-ES_tradnl" w:eastAsia="es-MX"/>
        </w:rPr>
      </w:pPr>
      <w:r w:rsidRPr="0037514F">
        <w:rPr>
          <w:rFonts w:ascii="Verdana" w:eastAsia="Century Gothic" w:hAnsi="Verdana" w:cs="Century Gothic"/>
          <w:b/>
          <w:bCs/>
          <w:lang w:val="es-ES_tradnl" w:eastAsia="es-MX"/>
        </w:rPr>
        <w:t>4. Referencias normativas, jurisprudenciales y otras fuentes:</w:t>
      </w:r>
    </w:p>
    <w:p w14:paraId="4F2D0F63" w14:textId="77777777" w:rsidR="0037514F" w:rsidRPr="0037514F" w:rsidRDefault="0037514F" w:rsidP="0037514F">
      <w:pPr>
        <w:spacing w:after="0"/>
        <w:ind w:left="-15840"/>
        <w:jc w:val="both"/>
        <w:rPr>
          <w:rFonts w:ascii="Verdana" w:eastAsia="Calibri" w:hAnsi="Verdana" w:cs="Arial"/>
          <w:b/>
          <w:bCs/>
          <w:lang w:eastAsia="es-MX"/>
        </w:rPr>
      </w:pPr>
      <w:r w:rsidRPr="0037514F">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7514F" w:rsidRPr="0037514F" w14:paraId="12E4D89A" w14:textId="77777777" w:rsidTr="00173079">
        <w:trPr>
          <w:trHeight w:val="870"/>
        </w:trPr>
        <w:tc>
          <w:tcPr>
            <w:tcW w:w="8647" w:type="dxa"/>
            <w:tcBorders>
              <w:top w:val="dotted" w:sz="4" w:space="0" w:color="auto"/>
              <w:left w:val="dotted" w:sz="4" w:space="0" w:color="auto"/>
              <w:bottom w:val="dotted" w:sz="4" w:space="0" w:color="auto"/>
              <w:right w:val="dotted" w:sz="4" w:space="0" w:color="auto"/>
            </w:tcBorders>
          </w:tcPr>
          <w:p w14:paraId="0EB42ECC" w14:textId="77777777" w:rsidR="0037514F" w:rsidRPr="0037514F" w:rsidRDefault="0037514F" w:rsidP="0037514F">
            <w:pPr>
              <w:contextualSpacing/>
              <w:jc w:val="both"/>
              <w:rPr>
                <w:rFonts w:ascii="Verdana" w:eastAsia="Calibri" w:hAnsi="Verdana" w:cs="Arial"/>
                <w:bCs/>
                <w:lang w:eastAsia="es-MX"/>
              </w:rPr>
            </w:pPr>
          </w:p>
          <w:p w14:paraId="3173F5D1" w14:textId="77777777" w:rsidR="0037514F" w:rsidRPr="0037514F" w:rsidRDefault="0037514F" w:rsidP="0037514F">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37514F">
              <w:rPr>
                <w:rFonts w:ascii="Verdana" w:eastAsia="Calibri" w:hAnsi="Verdana" w:cs="Arial"/>
                <w:lang w:val="es-ES_tradnl" w:eastAsia="es-MX"/>
              </w:rPr>
              <w:t xml:space="preserve">Ley 2022 de 2020, artículo 1. </w:t>
            </w:r>
          </w:p>
          <w:p w14:paraId="48AA251F" w14:textId="77777777" w:rsidR="0037514F" w:rsidRPr="0037514F" w:rsidRDefault="0037514F" w:rsidP="0037514F">
            <w:pPr>
              <w:widowControl w:val="0"/>
              <w:numPr>
                <w:ilvl w:val="0"/>
                <w:numId w:val="16"/>
              </w:numPr>
              <w:autoSpaceDE w:val="0"/>
              <w:autoSpaceDN w:val="0"/>
              <w:spacing w:line="276" w:lineRule="auto"/>
              <w:jc w:val="both"/>
              <w:rPr>
                <w:rFonts w:ascii="Verdana" w:eastAsia="Calibri" w:hAnsi="Verdana" w:cs="Arial"/>
                <w:lang w:eastAsia="es-MX"/>
              </w:rPr>
            </w:pPr>
            <w:r w:rsidRPr="0037514F">
              <w:rPr>
                <w:rFonts w:ascii="Verdana" w:eastAsia="Calibri" w:hAnsi="Verdana" w:cs="Arial"/>
                <w:lang w:eastAsia="es-MX"/>
              </w:rPr>
              <w:t>Ley 1150 de 2007, artículo 2, artículo 3.</w:t>
            </w:r>
          </w:p>
          <w:p w14:paraId="425EFA11" w14:textId="77777777" w:rsidR="0037514F" w:rsidRPr="0037514F" w:rsidRDefault="0037514F" w:rsidP="0037514F">
            <w:pPr>
              <w:widowControl w:val="0"/>
              <w:numPr>
                <w:ilvl w:val="0"/>
                <w:numId w:val="16"/>
              </w:numPr>
              <w:autoSpaceDE w:val="0"/>
              <w:autoSpaceDN w:val="0"/>
              <w:spacing w:line="276" w:lineRule="auto"/>
              <w:contextualSpacing/>
              <w:jc w:val="both"/>
              <w:rPr>
                <w:rFonts w:ascii="Verdana" w:eastAsia="Calibri" w:hAnsi="Verdana" w:cs="Arial"/>
                <w:lang w:eastAsia="es-MX"/>
              </w:rPr>
            </w:pPr>
            <w:r w:rsidRPr="0037514F">
              <w:rPr>
                <w:rFonts w:ascii="Verdana" w:eastAsia="Calibri" w:hAnsi="Verdana" w:cs="Arial"/>
                <w:lang w:val="es-ES_tradnl" w:eastAsia="es-MX"/>
              </w:rPr>
              <w:t xml:space="preserve">Documentos Tipo. Disponibles en: </w:t>
            </w:r>
            <w:hyperlink r:id="rId11" w:history="1">
              <w:r w:rsidRPr="0037514F">
                <w:rPr>
                  <w:rFonts w:ascii="Verdana" w:eastAsia="Calibri" w:hAnsi="Verdana" w:cs="Arial"/>
                  <w:color w:val="0000FF"/>
                  <w:u w:val="single"/>
                  <w:lang w:val="es-ES_tradnl" w:eastAsia="es-MX"/>
                </w:rPr>
                <w:t>https://www.colombiacompra.gov.co/documentos-tipo/documentos-tipo</w:t>
              </w:r>
            </w:hyperlink>
            <w:r w:rsidRPr="0037514F">
              <w:rPr>
                <w:rFonts w:ascii="Verdana" w:eastAsia="Calibri" w:hAnsi="Verdana" w:cs="Arial"/>
                <w:lang w:val="es-ES_tradnl" w:eastAsia="es-MX"/>
              </w:rPr>
              <w:t>.</w:t>
            </w:r>
          </w:p>
          <w:p w14:paraId="50AC35EB" w14:textId="77777777" w:rsidR="0037514F" w:rsidRPr="0037514F" w:rsidRDefault="0037514F" w:rsidP="0037514F">
            <w:pPr>
              <w:widowControl w:val="0"/>
              <w:numPr>
                <w:ilvl w:val="0"/>
                <w:numId w:val="16"/>
              </w:numPr>
              <w:autoSpaceDE w:val="0"/>
              <w:autoSpaceDN w:val="0"/>
              <w:spacing w:line="276" w:lineRule="auto"/>
              <w:contextualSpacing/>
              <w:jc w:val="both"/>
              <w:rPr>
                <w:rFonts w:ascii="Verdana" w:eastAsia="Calibri" w:hAnsi="Verdana" w:cs="Arial"/>
                <w:lang w:eastAsia="es-MX"/>
              </w:rPr>
            </w:pPr>
            <w:r w:rsidRPr="0037514F">
              <w:rPr>
                <w:rFonts w:ascii="Verdana" w:eastAsia="Calibri" w:hAnsi="Verdana" w:cs="Arial"/>
                <w:lang w:val="es-ES_tradnl" w:eastAsia="es-MX"/>
              </w:rPr>
              <w:t>Reglamento Colombiano de Construcción Sismo Resistente NSR-10</w:t>
            </w:r>
          </w:p>
          <w:p w14:paraId="799D46BE" w14:textId="77777777" w:rsidR="0037514F" w:rsidRPr="0037514F" w:rsidRDefault="0037514F" w:rsidP="0037514F">
            <w:pPr>
              <w:widowControl w:val="0"/>
              <w:numPr>
                <w:ilvl w:val="0"/>
                <w:numId w:val="16"/>
              </w:numPr>
              <w:autoSpaceDE w:val="0"/>
              <w:autoSpaceDN w:val="0"/>
              <w:spacing w:line="276" w:lineRule="auto"/>
              <w:contextualSpacing/>
              <w:jc w:val="both"/>
              <w:rPr>
                <w:rFonts w:ascii="Verdana" w:eastAsia="Calibri" w:hAnsi="Verdana" w:cs="Arial"/>
                <w:lang w:eastAsia="es-MX"/>
              </w:rPr>
            </w:pPr>
            <w:r w:rsidRPr="0037514F">
              <w:rPr>
                <w:rFonts w:ascii="Verdana" w:eastAsia="Aptos" w:hAnsi="Verdana" w:cs="Arial"/>
              </w:rPr>
              <w:t>PODETTI, Humberto. El contrato de construcción. Buenos Aires: Astrea, 2004. Pp. 254-255.</w:t>
            </w:r>
          </w:p>
          <w:p w14:paraId="21AFE714" w14:textId="77777777" w:rsidR="0037514F" w:rsidRPr="0037514F" w:rsidRDefault="0037514F" w:rsidP="0037514F">
            <w:pPr>
              <w:widowControl w:val="0"/>
              <w:numPr>
                <w:ilvl w:val="0"/>
                <w:numId w:val="16"/>
              </w:numPr>
              <w:autoSpaceDE w:val="0"/>
              <w:autoSpaceDN w:val="0"/>
              <w:spacing w:line="276" w:lineRule="auto"/>
              <w:contextualSpacing/>
              <w:jc w:val="both"/>
              <w:rPr>
                <w:rFonts w:ascii="Verdana" w:eastAsia="Calibri" w:hAnsi="Verdana" w:cs="Arial"/>
                <w:lang w:eastAsia="es-MX"/>
              </w:rPr>
            </w:pPr>
            <w:r w:rsidRPr="0037514F">
              <w:rPr>
                <w:rFonts w:ascii="Verdana" w:eastAsia="Aptos" w:hAnsi="Verdana" w:cs="Arial"/>
              </w:rPr>
              <w:t xml:space="preserve">PLANIOL, Marcel &amp; RIPERT, Jeorge. Tratado práctico de derecho civil francés. Tomo XI. La Habana: Cultural SA, 1940. p. 163. </w:t>
            </w:r>
          </w:p>
          <w:p w14:paraId="7440AE13" w14:textId="77777777" w:rsidR="0037514F" w:rsidRPr="0037514F" w:rsidRDefault="0037514F" w:rsidP="0037514F">
            <w:pPr>
              <w:widowControl w:val="0"/>
              <w:numPr>
                <w:ilvl w:val="0"/>
                <w:numId w:val="18"/>
              </w:numPr>
              <w:autoSpaceDE w:val="0"/>
              <w:autoSpaceDN w:val="0"/>
              <w:spacing w:line="276" w:lineRule="auto"/>
              <w:jc w:val="both"/>
              <w:rPr>
                <w:rFonts w:ascii="Verdana" w:eastAsia="Aptos" w:hAnsi="Verdana" w:cs="Arial"/>
                <w:lang w:val="es-ES_tradnl"/>
              </w:rPr>
            </w:pPr>
            <w:r w:rsidRPr="0037514F">
              <w:rPr>
                <w:rFonts w:ascii="Verdana" w:eastAsia="Aptos" w:hAnsi="Verdana" w:cs="Arial"/>
                <w:lang w:val="es-ES_tradnl"/>
              </w:rPr>
              <w:lastRenderedPageBreak/>
              <w:t>Constitución Política, artículos 74 y 209.</w:t>
            </w:r>
          </w:p>
          <w:p w14:paraId="7062F780" w14:textId="77777777" w:rsidR="0037514F" w:rsidRPr="0037514F" w:rsidRDefault="0037514F" w:rsidP="0037514F">
            <w:pPr>
              <w:widowControl w:val="0"/>
              <w:numPr>
                <w:ilvl w:val="0"/>
                <w:numId w:val="16"/>
              </w:numPr>
              <w:autoSpaceDE w:val="0"/>
              <w:autoSpaceDN w:val="0"/>
              <w:spacing w:line="276" w:lineRule="auto"/>
              <w:jc w:val="both"/>
              <w:rPr>
                <w:rFonts w:ascii="Verdana" w:eastAsia="Aptos" w:hAnsi="Verdana" w:cs="Arial"/>
                <w:lang w:val="es-ES_tradnl"/>
              </w:rPr>
            </w:pPr>
            <w:r w:rsidRPr="0037514F">
              <w:rPr>
                <w:rFonts w:ascii="Verdana" w:eastAsia="Aptos" w:hAnsi="Verdana" w:cs="Arial"/>
              </w:rPr>
              <w:t xml:space="preserve">Decreto Ley 4170 de 2011, artículo 3° numerales 2, 5 y 8. </w:t>
            </w:r>
            <w:r w:rsidRPr="0037514F">
              <w:rPr>
                <w:rFonts w:ascii="Verdana" w:eastAsia="Aptos" w:hAnsi="Verdana" w:cs="Arial"/>
                <w:lang w:val="es-ES_tradnl"/>
              </w:rPr>
              <w:t xml:space="preserve"> </w:t>
            </w:r>
          </w:p>
          <w:p w14:paraId="1FBDD938" w14:textId="77777777" w:rsidR="0037514F" w:rsidRPr="0037514F" w:rsidRDefault="0037514F" w:rsidP="0037514F">
            <w:pPr>
              <w:widowControl w:val="0"/>
              <w:numPr>
                <w:ilvl w:val="0"/>
                <w:numId w:val="16"/>
              </w:numPr>
              <w:autoSpaceDE w:val="0"/>
              <w:autoSpaceDN w:val="0"/>
              <w:spacing w:line="276" w:lineRule="auto"/>
              <w:jc w:val="both"/>
              <w:rPr>
                <w:rFonts w:ascii="Verdana" w:eastAsia="Aptos" w:hAnsi="Verdana" w:cs="Arial"/>
                <w:lang w:val="es-ES_tradnl"/>
              </w:rPr>
            </w:pPr>
            <w:r w:rsidRPr="0037514F">
              <w:rPr>
                <w:rFonts w:ascii="Verdana" w:eastAsia="Aptos" w:hAnsi="Verdana" w:cs="Arial"/>
                <w:lang w:val="es-ES_tradnl"/>
              </w:rPr>
              <w:t>Ley 1712 de 2014.</w:t>
            </w:r>
          </w:p>
          <w:p w14:paraId="51430C97" w14:textId="77777777" w:rsidR="0037514F" w:rsidRPr="0037514F" w:rsidRDefault="0037514F" w:rsidP="0037514F">
            <w:pPr>
              <w:widowControl w:val="0"/>
              <w:numPr>
                <w:ilvl w:val="0"/>
                <w:numId w:val="16"/>
              </w:numPr>
              <w:autoSpaceDE w:val="0"/>
              <w:autoSpaceDN w:val="0"/>
              <w:spacing w:line="276" w:lineRule="auto"/>
              <w:jc w:val="both"/>
              <w:rPr>
                <w:rFonts w:ascii="Verdana" w:eastAsia="Aptos" w:hAnsi="Verdana" w:cs="Arial"/>
                <w:lang w:val="es-ES_tradnl"/>
              </w:rPr>
            </w:pPr>
            <w:r w:rsidRPr="0037514F">
              <w:rPr>
                <w:rFonts w:ascii="Verdana" w:eastAsia="Aptos" w:hAnsi="Verdana" w:cs="Arial"/>
                <w:lang w:val="es-ES_tradnl"/>
              </w:rPr>
              <w:t xml:space="preserve">Ley 2294 de 2023, artículo 200. </w:t>
            </w:r>
          </w:p>
          <w:p w14:paraId="1446CF21" w14:textId="77777777" w:rsidR="0037514F" w:rsidRPr="0037514F" w:rsidRDefault="0037514F" w:rsidP="0037514F">
            <w:pPr>
              <w:widowControl w:val="0"/>
              <w:numPr>
                <w:ilvl w:val="0"/>
                <w:numId w:val="16"/>
              </w:numPr>
              <w:autoSpaceDE w:val="0"/>
              <w:autoSpaceDN w:val="0"/>
              <w:spacing w:line="276" w:lineRule="auto"/>
              <w:jc w:val="both"/>
              <w:rPr>
                <w:rFonts w:ascii="Verdana" w:eastAsia="Aptos" w:hAnsi="Verdana" w:cs="Arial"/>
                <w:lang w:val="es-ES_tradnl"/>
              </w:rPr>
            </w:pPr>
            <w:r w:rsidRPr="0037514F">
              <w:rPr>
                <w:rFonts w:ascii="Verdana" w:eastAsia="Aptos" w:hAnsi="Verdana" w:cs="Arial"/>
                <w:lang w:val="es-ES_tradnl"/>
              </w:rPr>
              <w:t>Decreto 1081 de 2015, artículos 2.1.1.2.1.7.,</w:t>
            </w:r>
            <w:r w:rsidRPr="0037514F">
              <w:rPr>
                <w:rFonts w:ascii="Verdana" w:eastAsia="Calibri" w:hAnsi="Verdana" w:cs="Arial"/>
                <w:bCs/>
                <w:iCs/>
                <w:lang w:eastAsia="es-ES_tradnl"/>
              </w:rPr>
              <w:t xml:space="preserve"> </w:t>
            </w:r>
            <w:r w:rsidRPr="0037514F">
              <w:rPr>
                <w:rFonts w:ascii="Verdana" w:eastAsia="Aptos" w:hAnsi="Verdana" w:cs="Arial"/>
                <w:bCs/>
                <w:iCs/>
              </w:rPr>
              <w:t>2.1.4.3.1.1.,</w:t>
            </w:r>
            <w:r w:rsidRPr="0037514F">
              <w:rPr>
                <w:rFonts w:ascii="Verdana" w:eastAsia="Aptos" w:hAnsi="Verdana" w:cs="Arial"/>
                <w:lang w:val="es-ES_tradnl"/>
              </w:rPr>
              <w:t xml:space="preserve"> </w:t>
            </w:r>
            <w:r w:rsidRPr="0037514F">
              <w:rPr>
                <w:rFonts w:ascii="Verdana" w:eastAsia="Aptos" w:hAnsi="Verdana" w:cs="Arial"/>
                <w:bCs/>
                <w:iCs/>
              </w:rPr>
              <w:t xml:space="preserve">2.1.4.3.1.2., 2.1.4.3.2.1, </w:t>
            </w:r>
            <w:r w:rsidRPr="0037514F">
              <w:rPr>
                <w:rFonts w:ascii="Verdana" w:eastAsia="Calibri" w:hAnsi="Verdana" w:cs="Arial"/>
                <w:bCs/>
                <w:iCs/>
                <w:lang w:eastAsia="es-ES_tradnl"/>
              </w:rPr>
              <w:t>2.1.4.3.2.2.</w:t>
            </w:r>
          </w:p>
          <w:p w14:paraId="7B84E965" w14:textId="77777777" w:rsidR="0037514F" w:rsidRPr="0037514F" w:rsidRDefault="0037514F" w:rsidP="0037514F">
            <w:pPr>
              <w:widowControl w:val="0"/>
              <w:numPr>
                <w:ilvl w:val="0"/>
                <w:numId w:val="16"/>
              </w:numPr>
              <w:autoSpaceDE w:val="0"/>
              <w:autoSpaceDN w:val="0"/>
              <w:spacing w:line="276" w:lineRule="auto"/>
              <w:jc w:val="both"/>
              <w:rPr>
                <w:rFonts w:ascii="Verdana" w:eastAsia="Aptos" w:hAnsi="Verdana" w:cs="Arial"/>
                <w:lang w:val="es-ES_tradnl"/>
              </w:rPr>
            </w:pPr>
            <w:r w:rsidRPr="0037514F">
              <w:rPr>
                <w:rFonts w:ascii="Verdana" w:eastAsia="Aptos" w:hAnsi="Verdana" w:cs="Arial"/>
                <w:lang w:val="es-ES_tradnl"/>
              </w:rPr>
              <w:t>Decreto 1082 de 2015, artículos 2.2.1.1.1.7.1, 2.2.1.1.1.3.1., 2.2.2.1.8.3., 2.2.2.1.5.11., 2.2.2.1.12.7.</w:t>
            </w:r>
          </w:p>
          <w:p w14:paraId="34FAC1AD" w14:textId="77777777" w:rsidR="0037514F" w:rsidRPr="0037514F" w:rsidRDefault="0037514F" w:rsidP="0037514F">
            <w:pPr>
              <w:widowControl w:val="0"/>
              <w:numPr>
                <w:ilvl w:val="0"/>
                <w:numId w:val="16"/>
              </w:numPr>
              <w:autoSpaceDE w:val="0"/>
              <w:autoSpaceDN w:val="0"/>
              <w:spacing w:line="276" w:lineRule="auto"/>
              <w:contextualSpacing/>
              <w:jc w:val="both"/>
              <w:rPr>
                <w:rFonts w:ascii="Verdana" w:eastAsia="Calibri" w:hAnsi="Verdana" w:cs="Arial"/>
                <w:lang w:eastAsia="es-MX"/>
              </w:rPr>
            </w:pPr>
            <w:r w:rsidRPr="0037514F">
              <w:rPr>
                <w:rFonts w:ascii="Verdana" w:eastAsia="Aptos" w:hAnsi="Verdana" w:cs="Arial"/>
                <w:lang w:val="es-ES_tradnl"/>
              </w:rPr>
              <w:t>Decreto 1600 de 2024.</w:t>
            </w:r>
          </w:p>
        </w:tc>
      </w:tr>
    </w:tbl>
    <w:p w14:paraId="70563BBF" w14:textId="77777777" w:rsidR="0037514F" w:rsidRPr="0037514F" w:rsidRDefault="0037514F" w:rsidP="0037514F">
      <w:pPr>
        <w:tabs>
          <w:tab w:val="left" w:pos="142"/>
          <w:tab w:val="left" w:pos="284"/>
        </w:tabs>
        <w:spacing w:after="0" w:line="276" w:lineRule="auto"/>
        <w:jc w:val="both"/>
        <w:rPr>
          <w:rFonts w:ascii="Verdana" w:eastAsia="Calibri" w:hAnsi="Verdana" w:cs="Arial"/>
          <w:lang w:eastAsia="es-MX"/>
        </w:rPr>
      </w:pPr>
    </w:p>
    <w:p w14:paraId="373F0A3E" w14:textId="77777777" w:rsidR="0037514F" w:rsidRPr="0037514F" w:rsidRDefault="0037514F" w:rsidP="0037514F">
      <w:pPr>
        <w:tabs>
          <w:tab w:val="left" w:pos="142"/>
          <w:tab w:val="left" w:pos="284"/>
        </w:tabs>
        <w:spacing w:after="0" w:line="276" w:lineRule="auto"/>
        <w:jc w:val="both"/>
        <w:rPr>
          <w:rFonts w:ascii="Verdana" w:eastAsia="Century Gothic" w:hAnsi="Verdana" w:cs="Century Gothic"/>
          <w:b/>
          <w:bCs/>
          <w:lang w:val="es-ES" w:eastAsia="es-MX"/>
        </w:rPr>
      </w:pPr>
      <w:r w:rsidRPr="0037514F">
        <w:rPr>
          <w:rFonts w:ascii="Verdana" w:eastAsia="Calibri" w:hAnsi="Verdana" w:cs="Arial"/>
          <w:b/>
          <w:bCs/>
          <w:lang w:eastAsia="es-MX"/>
        </w:rPr>
        <w:t>5</w:t>
      </w:r>
      <w:r w:rsidRPr="0037514F">
        <w:rPr>
          <w:rFonts w:ascii="Verdana" w:eastAsia="Calibri" w:hAnsi="Verdana" w:cs="Arial"/>
          <w:lang w:eastAsia="es-MX"/>
        </w:rPr>
        <w:t>.</w:t>
      </w:r>
      <w:r w:rsidRPr="0037514F">
        <w:rPr>
          <w:rFonts w:ascii="Verdana" w:eastAsia="Century Gothic" w:hAnsi="Verdana" w:cs="Century Gothic"/>
          <w:b/>
          <w:bCs/>
          <w:lang w:val="es-ES" w:eastAsia="es-MX"/>
        </w:rPr>
        <w:t>Doctrina de la Agencia Nacional de Contratación Pública:</w:t>
      </w:r>
    </w:p>
    <w:p w14:paraId="0878D01B" w14:textId="77777777" w:rsidR="0037514F" w:rsidRPr="0037514F" w:rsidRDefault="0037514F" w:rsidP="0037514F">
      <w:pPr>
        <w:widowControl w:val="0"/>
        <w:autoSpaceDE w:val="0"/>
        <w:autoSpaceDN w:val="0"/>
        <w:spacing w:after="0" w:line="276" w:lineRule="auto"/>
        <w:jc w:val="both"/>
        <w:rPr>
          <w:rFonts w:ascii="Verdana" w:eastAsia="Calibri" w:hAnsi="Verdana" w:cs="Arial"/>
          <w:lang w:eastAsia="es-MX"/>
        </w:rPr>
      </w:pPr>
    </w:p>
    <w:p w14:paraId="1DD45EA6" w14:textId="77777777" w:rsidR="0037514F" w:rsidRPr="0037514F" w:rsidRDefault="0037514F" w:rsidP="0037514F">
      <w:pPr>
        <w:spacing w:after="0" w:line="276" w:lineRule="auto"/>
        <w:jc w:val="both"/>
        <w:rPr>
          <w:rFonts w:ascii="Verdana" w:eastAsia="Calibri" w:hAnsi="Verdana" w:cs="Arial"/>
          <w:kern w:val="2"/>
          <w:shd w:val="clear" w:color="auto" w:fill="FFFFFF"/>
          <w:lang w:val="es-ES" w:eastAsia="es-MX"/>
          <w14:ligatures w14:val="standardContextual"/>
        </w:rPr>
      </w:pPr>
      <w:r w:rsidRPr="0037514F">
        <w:rPr>
          <w:rFonts w:ascii="Verdana" w:eastAsia="Calibri" w:hAnsi="Verdana" w:cs="Arial"/>
          <w:kern w:val="2"/>
          <w:shd w:val="clear" w:color="auto" w:fill="FFFFFF"/>
          <w:lang w:val="es-ES" w:eastAsia="es-MX"/>
          <w14:ligatures w14:val="standardContextual"/>
        </w:rPr>
        <w:t>La Agencia Nacional de Contratación Pública – Colombia Compra Eficiente se pronunció</w:t>
      </w:r>
      <w:r w:rsidRPr="0037514F">
        <w:rPr>
          <w:rFonts w:ascii="Verdana" w:eastAsia="Calibri" w:hAnsi="Verdana" w:cs="Times New Roman"/>
          <w:kern w:val="2"/>
          <w:lang w:eastAsia="es-MX"/>
          <w14:ligatures w14:val="standardContextual"/>
        </w:rPr>
        <w:t xml:space="preserve"> </w:t>
      </w:r>
      <w:r w:rsidRPr="0037514F">
        <w:rPr>
          <w:rFonts w:ascii="Verdana" w:eastAsia="Calibri" w:hAnsi="Verdana" w:cs="Arial"/>
          <w:kern w:val="2"/>
          <w:shd w:val="clear" w:color="auto" w:fill="FFFFFF"/>
          <w:lang w:val="es-ES" w:eastAsia="es-MX"/>
          <w14:ligatures w14:val="standardContextua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37514F">
        <w:rPr>
          <w:rFonts w:ascii="Verdana" w:eastAsia="Calibri" w:hAnsi="Verdana" w:cs="Arial"/>
          <w:kern w:val="2"/>
          <w:shd w:val="clear" w:color="auto" w:fill="FFFFFF"/>
          <w:lang w:val="es-ES" w:eastAsia="es-MX"/>
          <w14:ligatures w14:val="standardContextual"/>
        </w:rPr>
        <w:tab/>
        <w:t xml:space="preserve">C-636 del 1 de noviembre de 2024, C-777 del 9 de diciembre de 2024, C-971 del 21 de enero de 2025, C-1813 del 31 de diciembre de 2025, C-186 del 16 de marzo de 2026, C-258 del 19 de marzo de 2026, C-392 del 20 de abril de 2026, C-386 del 23 de abril de 2026, C-475 del 23 de abril de 2026, C-452 del 4 de mayo de 2026, C-583 del 8 de mayo de 2026, C-682 del 22 de mayo de 2026, C-754 del 17 de junio de 2026, C-1048 del 5 de agosto de 2026, C-1188 del 8 de septiembre de 2026 entre otros. </w:t>
      </w:r>
    </w:p>
    <w:p w14:paraId="773FBAAD" w14:textId="77777777" w:rsidR="0037514F" w:rsidRPr="0037514F" w:rsidRDefault="0037514F" w:rsidP="0037514F">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62E97DC6" w14:textId="77777777" w:rsidR="0037514F" w:rsidRPr="0037514F" w:rsidRDefault="0037514F" w:rsidP="0037514F">
      <w:pPr>
        <w:spacing w:after="0" w:line="276" w:lineRule="auto"/>
        <w:jc w:val="both"/>
        <w:rPr>
          <w:rFonts w:ascii="Verdana" w:eastAsia="Aptos" w:hAnsi="Verdana" w:cs="Times New Roman"/>
          <w:kern w:val="2"/>
          <w14:ligatures w14:val="standardContextual"/>
        </w:rPr>
      </w:pPr>
      <w:r w:rsidRPr="0037514F">
        <w:rPr>
          <w:rFonts w:ascii="Verdana" w:eastAsia="Aptos" w:hAnsi="Verdana" w:cs="Times New Roman"/>
          <w:kern w:val="2"/>
          <w14:ligatures w14:val="standardContextual"/>
        </w:rPr>
        <w:t>Particularmente, sobre la aplicación de los documentos tipo del sector institucional al mantenimiento de plantas eléctricas y otros equipos, y a actividades relacionadas con sistemas de aires acondicionados, esta Agencia se pronunció, entre otros, en los siguientes conceptos: C-304 del 8 de abril de 2026, C-323 del 8 de abril de 2023, C-452 del 4 de mayo de 2026 y C-1188 del 8 de septiembre de 2026.</w:t>
      </w:r>
    </w:p>
    <w:p w14:paraId="328B0998" w14:textId="77777777" w:rsidR="0037514F" w:rsidRPr="0037514F" w:rsidRDefault="0037514F" w:rsidP="0037514F">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1AFBDEF1" w14:textId="77777777" w:rsidR="0037514F" w:rsidRPr="0037514F" w:rsidRDefault="0037514F" w:rsidP="0037514F">
      <w:pPr>
        <w:spacing w:after="0" w:line="276" w:lineRule="auto"/>
        <w:jc w:val="both"/>
        <w:rPr>
          <w:rFonts w:ascii="Verdana" w:eastAsia="Calibri" w:hAnsi="Verdana" w:cs="Arial"/>
          <w:kern w:val="2"/>
          <w:shd w:val="clear" w:color="auto" w:fill="FFFFFF"/>
          <w:lang w:val="es-ES"/>
          <w14:ligatures w14:val="standardContextual"/>
        </w:rPr>
      </w:pPr>
      <w:r w:rsidRPr="0037514F">
        <w:rPr>
          <w:rFonts w:ascii="Verdana" w:eastAsia="Calibri" w:hAnsi="Verdana" w:cs="Arial"/>
          <w:kern w:val="2"/>
          <w:shd w:val="clear" w:color="auto" w:fill="FFFFFF"/>
          <w:lang w:val="es-ES"/>
          <w14:ligatures w14:val="standardContextual"/>
        </w:rPr>
        <w:lastRenderedPageBreak/>
        <w:t xml:space="preserve">Ahora bien, esta Subdirección se ha pronunciado sobre el objeto y las características del contrato de obra pública en los Conceptos 4201913000008014 del 24 de diciembre del año 2019, C-530 del 13 de agosto de 2020, C-038 del 5 de abril de 2021, C-110 del 7 de marzo de 2025 y C-915 del 15 de julio de 2025, entre otros. Igualmente, la Subdirección se ha referido a los contratos Mixtos y objetos sociales con prestaciones mixtas en los conceptos con radicados 2201913000009572 y 2201913000009588 del 24 de diciembre de 2019, C-694 del 29 de diciembre de 2021, C-440 del 2 de septiembre de 2021, C–933 de 2022, C–484 del 09 de octubre de 2024, C-864 del 11 de agosto de 2025, C-1580 del 24 de diciembre de 2025, C-365 del 8 de abril de 2026, C-386 del 23 de abril de 2026 y C-452 del 4 de mayo de 2026.  </w:t>
      </w:r>
    </w:p>
    <w:p w14:paraId="4BA48B68" w14:textId="77777777" w:rsidR="0037514F" w:rsidRPr="0037514F" w:rsidRDefault="0037514F" w:rsidP="0037514F">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0284F60B" w14:textId="77777777" w:rsidR="0037514F" w:rsidRPr="0037514F" w:rsidRDefault="0037514F" w:rsidP="0037514F">
      <w:pPr>
        <w:spacing w:after="0" w:line="240" w:lineRule="auto"/>
        <w:jc w:val="both"/>
        <w:rPr>
          <w:rFonts w:ascii="Verdana" w:eastAsia="Calibri" w:hAnsi="Verdana" w:cs="Arial"/>
          <w:kern w:val="2"/>
          <w:shd w:val="clear" w:color="auto" w:fill="FFFFFF"/>
          <w:lang w:val="es-ES"/>
          <w14:ligatures w14:val="standardContextual"/>
        </w:rPr>
      </w:pPr>
      <w:r w:rsidRPr="0037514F">
        <w:rPr>
          <w:rFonts w:ascii="Verdana" w:eastAsia="Calibri" w:hAnsi="Verdana" w:cs="Arial"/>
          <w:kern w:val="2"/>
          <w:shd w:val="clear" w:color="auto" w:fill="FFFFFF"/>
          <w:lang w:val="es-ES"/>
          <w14:ligatures w14:val="standardContextual"/>
        </w:rPr>
        <w:t xml:space="preserve">La Agencia Nacional de Contratación Pública – Colombia Compra Eficiente, en los conceptos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 C-185 del 24 de marzo de 2025, C-487 del 30 de mayo de 2025, entre otros. En torno al alcance del deber de publicidad del Decreto 1081 de 2015 modificado por el Decreto 1600 de 2024 se expidió el Concepto C-292 del 21 de abril de 2025 y el C-1177 del 1 de octubre de 2025, entre otros. </w:t>
      </w:r>
    </w:p>
    <w:p w14:paraId="41DFAEA1" w14:textId="77777777" w:rsidR="0037514F" w:rsidRPr="0037514F" w:rsidRDefault="0037514F" w:rsidP="0037514F">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3D3B3DE4" w14:textId="77777777" w:rsidR="0037514F" w:rsidRPr="0037514F" w:rsidRDefault="0037514F" w:rsidP="0037514F">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37514F">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37514F">
          <w:rPr>
            <w:rFonts w:ascii="Verdana" w:eastAsia="Calibri" w:hAnsi="Verdana" w:cs="Arial"/>
            <w:color w:val="0000FF"/>
            <w:kern w:val="2"/>
            <w:u w:val="single"/>
            <w:shd w:val="clear" w:color="auto" w:fill="FFFFFF"/>
            <w:lang w:eastAsia="es-MX"/>
            <w14:ligatures w14:val="standardContextual"/>
          </w:rPr>
          <w:t>https://relatoria.colombiacompra.gov.co/</w:t>
        </w:r>
      </w:hyperlink>
      <w:r w:rsidRPr="0037514F">
        <w:rPr>
          <w:rFonts w:ascii="Verdana" w:eastAsia="Calibri" w:hAnsi="Verdana" w:cs="Arial"/>
          <w:color w:val="0000FF"/>
          <w:kern w:val="2"/>
          <w:u w:val="single"/>
          <w:shd w:val="clear" w:color="auto" w:fill="FFFFFF"/>
          <w:lang w:eastAsia="es-MX"/>
          <w14:ligatures w14:val="standardContextual"/>
        </w:rPr>
        <w:t> .</w:t>
      </w:r>
    </w:p>
    <w:p w14:paraId="24C237C9" w14:textId="77777777" w:rsidR="0037514F" w:rsidRPr="0037514F" w:rsidRDefault="0037514F" w:rsidP="0037514F">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49E2D955" w14:textId="77777777" w:rsidR="0037514F" w:rsidRPr="0037514F" w:rsidRDefault="0037514F" w:rsidP="0037514F">
      <w:pPr>
        <w:spacing w:after="0" w:line="276" w:lineRule="auto"/>
        <w:jc w:val="both"/>
        <w:rPr>
          <w:rFonts w:ascii="Verdana" w:eastAsia="Aptos" w:hAnsi="Verdana" w:cs="Times New Roman"/>
          <w:kern w:val="2"/>
          <w14:ligatures w14:val="standardContextual"/>
        </w:rPr>
      </w:pPr>
      <w:r w:rsidRPr="0037514F">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7514F">
        <w:rPr>
          <w:rFonts w:ascii="Verdana" w:eastAsia="Aptos" w:hAnsi="Verdana" w:cs="Times New Roman"/>
          <w:b/>
          <w:bCs/>
          <w:color w:val="000000"/>
          <w:kern w:val="2"/>
          <w14:ligatures w14:val="standardContextual"/>
        </w:rPr>
        <w:t>Guía para la Exigencia y Constitución de Garantías en los Procesos de Contratación</w:t>
      </w:r>
      <w:r w:rsidRPr="0037514F">
        <w:rPr>
          <w:rFonts w:ascii="Verdana" w:eastAsia="Aptos" w:hAnsi="Verdana" w:cs="Times New Roman"/>
          <w:color w:val="000000"/>
          <w:kern w:val="2"/>
          <w14:ligatures w14:val="standardContextual"/>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w:t>
      </w:r>
      <w:r w:rsidRPr="0037514F">
        <w:rPr>
          <w:rFonts w:ascii="Verdana" w:eastAsia="Aptos" w:hAnsi="Verdana" w:cs="Times New Roman"/>
          <w:color w:val="000000"/>
          <w:kern w:val="2"/>
          <w14:ligatures w14:val="standardContextual"/>
        </w:rPr>
        <w:lastRenderedPageBreak/>
        <w:t>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37514F">
          <w:rPr>
            <w:rFonts w:ascii="Verdana" w:eastAsia="Aptos" w:hAnsi="Verdana" w:cs="Times New Roman"/>
            <w:color w:val="0078D7"/>
            <w:kern w:val="2"/>
            <w:u w:val="single"/>
            <w14:ligatures w14:val="standardContextual"/>
          </w:rPr>
          <w:t>https://www.colombiacompra.gov.co/archivos/manual/guia-de-garantias-en-procesos-de-contratacion</w:t>
        </w:r>
      </w:hyperlink>
    </w:p>
    <w:p w14:paraId="1EB87E61" w14:textId="77777777" w:rsidR="0037514F" w:rsidRPr="0037514F" w:rsidRDefault="0037514F" w:rsidP="0037514F">
      <w:pPr>
        <w:spacing w:after="0" w:line="276" w:lineRule="auto"/>
        <w:jc w:val="both"/>
        <w:rPr>
          <w:rFonts w:ascii="Verdana" w:eastAsia="Aptos" w:hAnsi="Verdana" w:cs="Times New Roman"/>
          <w:kern w:val="2"/>
          <w14:ligatures w14:val="standardContextual"/>
        </w:rPr>
      </w:pPr>
    </w:p>
    <w:p w14:paraId="26D50351" w14:textId="77777777" w:rsidR="0037514F" w:rsidRPr="0037514F" w:rsidRDefault="0037514F" w:rsidP="0037514F">
      <w:pPr>
        <w:spacing w:after="0" w:line="276" w:lineRule="auto"/>
        <w:jc w:val="both"/>
        <w:rPr>
          <w:rFonts w:ascii="Verdana" w:eastAsia="Aptos" w:hAnsi="Verdana" w:cs="Times New Roman"/>
          <w:kern w:val="2"/>
          <w14:ligatures w14:val="standardContextual"/>
        </w:rPr>
      </w:pPr>
      <w:r w:rsidRPr="0037514F">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37514F">
        <w:rPr>
          <w:rFonts w:ascii="Verdana" w:eastAsia="Aptos" w:hAnsi="Verdana" w:cs="Times New Roman"/>
          <w:b/>
          <w:bCs/>
          <w:color w:val="000000"/>
          <w:kern w:val="2"/>
          <w14:ligatures w14:val="standardContextual"/>
        </w:rPr>
        <w:t>Sistema Integral de Preferencias en favor de las personas con discapacidad</w:t>
      </w:r>
      <w:r w:rsidRPr="0037514F">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37514F">
        <w:rPr>
          <w:rFonts w:ascii="Verdana" w:eastAsia="Aptos" w:hAnsi="Verdana" w:cs="Times New Roman"/>
          <w:b/>
          <w:bCs/>
          <w:color w:val="000000"/>
          <w:kern w:val="2"/>
          <w14:ligatures w14:val="standardContextual"/>
        </w:rPr>
        <w:t>Circular Externa 003 del 12 de mayo de 2026, </w:t>
      </w:r>
      <w:r w:rsidRPr="0037514F">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37514F">
          <w:rPr>
            <w:rFonts w:ascii="Verdana" w:eastAsia="Aptos" w:hAnsi="Verdana" w:cs="Times New Roman"/>
            <w:color w:val="0078D7"/>
            <w:kern w:val="2"/>
            <w:u w:val="single"/>
            <w14:ligatures w14:val="standardContextual"/>
          </w:rPr>
          <w:t>https://www.colombiacompra.gov.co/archivos/circular/circular-externa-003-de-2026</w:t>
        </w:r>
      </w:hyperlink>
    </w:p>
    <w:p w14:paraId="54ECF71E" w14:textId="77777777" w:rsidR="0037514F" w:rsidRPr="0037514F" w:rsidRDefault="0037514F" w:rsidP="0037514F">
      <w:pPr>
        <w:spacing w:after="0" w:line="276" w:lineRule="auto"/>
        <w:jc w:val="both"/>
        <w:rPr>
          <w:rFonts w:ascii="Verdana" w:eastAsia="Aptos" w:hAnsi="Verdana" w:cs="Times New Roman"/>
          <w:color w:val="000000"/>
          <w:kern w:val="2"/>
          <w14:ligatures w14:val="standardContextual"/>
        </w:rPr>
      </w:pPr>
    </w:p>
    <w:p w14:paraId="21D118AF" w14:textId="77777777" w:rsidR="0037514F" w:rsidRPr="0037514F" w:rsidRDefault="0037514F" w:rsidP="0037514F">
      <w:pPr>
        <w:spacing w:after="0" w:line="276" w:lineRule="auto"/>
        <w:jc w:val="both"/>
        <w:rPr>
          <w:rFonts w:ascii="Verdana" w:eastAsia="Aptos" w:hAnsi="Verdana" w:cs="Times New Roman"/>
          <w:kern w:val="2"/>
          <w14:ligatures w14:val="standardContextual"/>
        </w:rPr>
      </w:pPr>
      <w:r w:rsidRPr="0037514F">
        <w:rPr>
          <w:rFonts w:ascii="Verdana" w:eastAsia="Aptos" w:hAnsi="Verdana" w:cs="Times New Roman"/>
          <w:color w:val="000000"/>
          <w:kern w:val="2"/>
          <w14:ligatures w14:val="standardContextual"/>
        </w:rPr>
        <w:t>Recuerda también que la</w:t>
      </w:r>
      <w:r w:rsidRPr="0037514F">
        <w:rPr>
          <w:rFonts w:ascii="Verdana" w:eastAsia="Aptos" w:hAnsi="Verdana" w:cs="Times New Roman"/>
          <w:b/>
          <w:bCs/>
          <w:color w:val="000000"/>
          <w:kern w:val="2"/>
          <w14:ligatures w14:val="standardContextual"/>
        </w:rPr>
        <w:t> información sobre sanciones e inhabilidades </w:t>
      </w:r>
      <w:r w:rsidRPr="0037514F">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37514F">
        <w:rPr>
          <w:rFonts w:ascii="Verdana" w:eastAsia="Aptos" w:hAnsi="Verdana" w:cs="Times New Roman"/>
          <w:b/>
          <w:bCs/>
          <w:color w:val="000000"/>
          <w:kern w:val="2"/>
          <w14:ligatures w14:val="standardContextual"/>
        </w:rPr>
        <w:t>Circular Externa 002 del 5 de mayo de 2026,</w:t>
      </w:r>
      <w:r w:rsidRPr="0037514F">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37514F">
          <w:rPr>
            <w:rFonts w:ascii="Verdana" w:eastAsia="Aptos" w:hAnsi="Verdana" w:cs="Times New Roman"/>
            <w:color w:val="0078D7"/>
            <w:kern w:val="2"/>
            <w:u w:val="single"/>
            <w14:ligatures w14:val="standardContextual"/>
          </w:rPr>
          <w:t>https://www.colombiacompra.gov.co/archivos/circular/circular-externa-002-de-2026</w:t>
        </w:r>
      </w:hyperlink>
    </w:p>
    <w:p w14:paraId="6DACC2CB" w14:textId="77777777" w:rsidR="0037514F" w:rsidRPr="0037514F" w:rsidRDefault="0037514F" w:rsidP="0037514F">
      <w:pPr>
        <w:spacing w:after="0" w:line="276" w:lineRule="auto"/>
        <w:jc w:val="both"/>
        <w:rPr>
          <w:rFonts w:ascii="Verdana" w:eastAsia="Aptos" w:hAnsi="Verdana" w:cs="Times New Roman"/>
          <w:color w:val="000000"/>
          <w:kern w:val="2"/>
          <w14:ligatures w14:val="standardContextual"/>
        </w:rPr>
      </w:pPr>
    </w:p>
    <w:p w14:paraId="17B9E20E" w14:textId="77777777" w:rsidR="0037514F" w:rsidRPr="0037514F" w:rsidRDefault="0037514F" w:rsidP="0037514F">
      <w:pPr>
        <w:spacing w:after="0" w:line="276" w:lineRule="auto"/>
        <w:jc w:val="both"/>
        <w:rPr>
          <w:rFonts w:ascii="Verdana" w:eastAsia="Aptos" w:hAnsi="Verdana" w:cs="Times New Roman"/>
          <w:color w:val="000000"/>
          <w:kern w:val="2"/>
          <w14:ligatures w14:val="standardContextual"/>
        </w:rPr>
      </w:pPr>
      <w:r w:rsidRPr="0037514F">
        <w:rPr>
          <w:rFonts w:ascii="Verdana" w:eastAsia="Aptos" w:hAnsi="Verdana" w:cs="Times New Roman"/>
          <w:color w:val="000000"/>
          <w:kern w:val="2"/>
          <w14:ligatures w14:val="standardContextual"/>
        </w:rPr>
        <w:t>Finalmente, si quieres seguir de cerca la actividad de la Agencia, la tercera edición de 2026 del</w:t>
      </w:r>
      <w:r w:rsidRPr="0037514F">
        <w:rPr>
          <w:rFonts w:ascii="Verdana" w:eastAsia="Aptos" w:hAnsi="Verdana" w:cs="Times New Roman"/>
          <w:b/>
          <w:bCs/>
          <w:color w:val="000000"/>
          <w:kern w:val="2"/>
          <w14:ligatures w14:val="standardContextual"/>
        </w:rPr>
        <w:t> Radar de la Compra Pública</w:t>
      </w:r>
      <w:r w:rsidRPr="0037514F">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37514F">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37514F">
        <w:rPr>
          <w:rFonts w:ascii="Verdana" w:eastAsia="Aptos" w:hAnsi="Verdana" w:cs="Times New Roman"/>
          <w:color w:val="000000"/>
          <w:kern w:val="2"/>
          <w14:ligatures w14:val="standardContextual"/>
        </w:rPr>
        <w:t>"</w:t>
      </w:r>
    </w:p>
    <w:p w14:paraId="5121F3C0" w14:textId="77777777" w:rsidR="0037514F" w:rsidRPr="0037514F" w:rsidRDefault="0037514F" w:rsidP="0037514F">
      <w:pPr>
        <w:spacing w:after="0" w:line="276" w:lineRule="auto"/>
        <w:jc w:val="both"/>
        <w:rPr>
          <w:rFonts w:ascii="Verdana" w:eastAsia="Aptos" w:hAnsi="Verdana" w:cs="Times New Roman"/>
          <w:color w:val="000000"/>
          <w:kern w:val="2"/>
          <w14:ligatures w14:val="standardContextual"/>
        </w:rPr>
      </w:pPr>
    </w:p>
    <w:p w14:paraId="1E90DD3A" w14:textId="77777777" w:rsidR="0037514F" w:rsidRPr="0037514F" w:rsidRDefault="0037514F" w:rsidP="0037514F">
      <w:pPr>
        <w:spacing w:after="0" w:line="276" w:lineRule="auto"/>
        <w:jc w:val="both"/>
        <w:rPr>
          <w:rFonts w:ascii="Verdana" w:eastAsia="Aptos" w:hAnsi="Verdana" w:cs="Times New Roman"/>
          <w:kern w:val="2"/>
          <w:lang w:eastAsia="es-MX"/>
          <w14:ligatures w14:val="standardContextual"/>
        </w:rPr>
      </w:pPr>
      <w:r w:rsidRPr="0037514F">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3683B0B2" w14:textId="77777777" w:rsidR="0037514F" w:rsidRPr="0037514F" w:rsidRDefault="0037514F" w:rsidP="0037514F">
      <w:pPr>
        <w:spacing w:after="0" w:line="276" w:lineRule="auto"/>
        <w:jc w:val="both"/>
        <w:rPr>
          <w:rFonts w:ascii="Verdana" w:eastAsia="Calibri" w:hAnsi="Verdana" w:cs="Times New Roman"/>
          <w:kern w:val="2"/>
          <w:lang w:eastAsia="es-MX"/>
          <w14:ligatures w14:val="standardContextual"/>
        </w:rPr>
      </w:pPr>
    </w:p>
    <w:p w14:paraId="751E6019" w14:textId="77777777" w:rsidR="0037514F" w:rsidRPr="0037514F" w:rsidRDefault="0037514F" w:rsidP="0037514F">
      <w:pPr>
        <w:spacing w:after="0" w:line="276" w:lineRule="auto"/>
        <w:jc w:val="both"/>
        <w:rPr>
          <w:rFonts w:ascii="Verdana" w:eastAsia="Aptos" w:hAnsi="Verdana" w:cs="Times New Roman"/>
          <w:kern w:val="2"/>
          <w:lang w:eastAsia="es-MX"/>
          <w14:ligatures w14:val="standardContextual"/>
        </w:rPr>
      </w:pPr>
      <w:r w:rsidRPr="0037514F">
        <w:rPr>
          <w:rFonts w:ascii="Verdana" w:eastAsia="Aptos" w:hAnsi="Verdana" w:cs="Times New Roman"/>
          <w:kern w:val="2"/>
          <w:lang w:eastAsia="es-MX"/>
          <w14:ligatures w14:val="standardContextual"/>
        </w:rPr>
        <w:t xml:space="preserve">Twitter: </w:t>
      </w:r>
      <w:r w:rsidRPr="0037514F">
        <w:rPr>
          <w:rFonts w:ascii="Verdana" w:eastAsia="Calibri" w:hAnsi="Verdana" w:cs="Times New Roman"/>
          <w:color w:val="156082"/>
          <w:kern w:val="2"/>
          <w:u w:val="single"/>
          <w:lang w:eastAsia="es-MX"/>
          <w14:ligatures w14:val="standardContextual"/>
        </w:rPr>
        <w:t>@colombiacompra</w:t>
      </w:r>
      <w:r w:rsidRPr="0037514F">
        <w:rPr>
          <w:rFonts w:ascii="Verdana" w:eastAsia="Calibri" w:hAnsi="Verdana" w:cs="Times New Roman"/>
          <w:color w:val="156082"/>
          <w:kern w:val="2"/>
          <w:lang w:eastAsia="es-MX"/>
          <w14:ligatures w14:val="standardContextual"/>
        </w:rPr>
        <w:t xml:space="preserve"> </w:t>
      </w:r>
    </w:p>
    <w:p w14:paraId="29598B35" w14:textId="77777777" w:rsidR="0037514F" w:rsidRPr="0037514F" w:rsidRDefault="0037514F" w:rsidP="0037514F">
      <w:pPr>
        <w:spacing w:after="0" w:line="276" w:lineRule="auto"/>
        <w:jc w:val="both"/>
        <w:rPr>
          <w:rFonts w:ascii="Verdana" w:eastAsia="Aptos" w:hAnsi="Verdana" w:cs="Times New Roman"/>
          <w:kern w:val="2"/>
          <w:lang w:eastAsia="es-MX"/>
          <w14:ligatures w14:val="standardContextual"/>
        </w:rPr>
      </w:pPr>
      <w:r w:rsidRPr="0037514F">
        <w:rPr>
          <w:rFonts w:ascii="Verdana" w:eastAsia="Aptos" w:hAnsi="Verdana" w:cs="Times New Roman"/>
          <w:kern w:val="2"/>
          <w:lang w:eastAsia="es-MX"/>
          <w14:ligatures w14:val="standardContextual"/>
        </w:rPr>
        <w:t xml:space="preserve">Facebook: </w:t>
      </w:r>
      <w:proofErr w:type="spellStart"/>
      <w:r w:rsidRPr="0037514F">
        <w:rPr>
          <w:rFonts w:ascii="Verdana" w:eastAsia="Calibri" w:hAnsi="Verdana" w:cs="Times New Roman"/>
          <w:color w:val="156082"/>
          <w:kern w:val="2"/>
          <w:u w:val="single"/>
          <w:lang w:eastAsia="es-MX"/>
          <w14:ligatures w14:val="standardContextual"/>
        </w:rPr>
        <w:t>ColombiaCompraEficiente</w:t>
      </w:r>
      <w:proofErr w:type="spellEnd"/>
    </w:p>
    <w:p w14:paraId="6B3E27EC" w14:textId="77777777" w:rsidR="0037514F" w:rsidRPr="0037514F" w:rsidRDefault="0037514F" w:rsidP="0037514F">
      <w:pPr>
        <w:spacing w:after="0" w:line="276" w:lineRule="auto"/>
        <w:jc w:val="both"/>
        <w:rPr>
          <w:rFonts w:ascii="Verdana" w:eastAsia="Aptos" w:hAnsi="Verdana" w:cs="Times New Roman"/>
          <w:kern w:val="2"/>
          <w:lang w:eastAsia="es-MX"/>
          <w14:ligatures w14:val="standardContextual"/>
        </w:rPr>
      </w:pPr>
      <w:r w:rsidRPr="0037514F">
        <w:rPr>
          <w:rFonts w:ascii="Verdana" w:eastAsia="Aptos" w:hAnsi="Verdana" w:cs="Times New Roman"/>
          <w:kern w:val="2"/>
          <w:lang w:eastAsia="es-MX"/>
          <w14:ligatures w14:val="standardContextual"/>
        </w:rPr>
        <w:t xml:space="preserve">LinkedIn: </w:t>
      </w:r>
      <w:r w:rsidRPr="0037514F">
        <w:rPr>
          <w:rFonts w:ascii="Verdana" w:eastAsia="Calibri" w:hAnsi="Verdana" w:cs="Times New Roman"/>
          <w:color w:val="156082"/>
          <w:kern w:val="2"/>
          <w:u w:val="single"/>
          <w:lang w:eastAsia="es-MX"/>
          <w14:ligatures w14:val="standardContextual"/>
        </w:rPr>
        <w:t>Agencia Nacional de Contratación Pública - Colombia Compra Eficiente</w:t>
      </w:r>
      <w:r w:rsidRPr="0037514F">
        <w:rPr>
          <w:rFonts w:ascii="Verdana" w:eastAsia="Calibri" w:hAnsi="Verdana" w:cs="Times New Roman"/>
          <w:color w:val="156082"/>
          <w:kern w:val="2"/>
          <w:lang w:eastAsia="es-MX"/>
          <w14:ligatures w14:val="standardContextual"/>
        </w:rPr>
        <w:t xml:space="preserve"> </w:t>
      </w:r>
      <w:r w:rsidRPr="0037514F">
        <w:rPr>
          <w:rFonts w:ascii="Verdana" w:eastAsia="Aptos" w:hAnsi="Verdana" w:cs="Times New Roman"/>
          <w:kern w:val="2"/>
          <w:lang w:eastAsia="es-MX"/>
          <w14:ligatures w14:val="standardContextual"/>
        </w:rPr>
        <w:t xml:space="preserve">Instagram: </w:t>
      </w:r>
      <w:r w:rsidRPr="0037514F">
        <w:rPr>
          <w:rFonts w:ascii="Verdana" w:eastAsia="Calibri" w:hAnsi="Verdana" w:cs="Times New Roman"/>
          <w:color w:val="156082"/>
          <w:kern w:val="2"/>
          <w:u w:val="single"/>
          <w:lang w:eastAsia="es-MX"/>
          <w14:ligatures w14:val="standardContextual"/>
        </w:rPr>
        <w:t>@colombiacompraeficiente_cce</w:t>
      </w:r>
    </w:p>
    <w:p w14:paraId="4A8E875D" w14:textId="77777777" w:rsidR="0037514F" w:rsidRPr="0037514F" w:rsidRDefault="0037514F" w:rsidP="0037514F">
      <w:pPr>
        <w:spacing w:after="0" w:line="276" w:lineRule="auto"/>
        <w:jc w:val="both"/>
        <w:rPr>
          <w:rFonts w:ascii="Verdana" w:eastAsia="Aptos" w:hAnsi="Verdana" w:cs="Times New Roman"/>
          <w:kern w:val="2"/>
          <w:lang w:eastAsia="es-MX"/>
          <w14:ligatures w14:val="standardContextual"/>
        </w:rPr>
      </w:pPr>
    </w:p>
    <w:p w14:paraId="58EBD393" w14:textId="77777777" w:rsidR="0037514F" w:rsidRPr="0037514F" w:rsidRDefault="0037514F" w:rsidP="0037514F">
      <w:pPr>
        <w:spacing w:after="0" w:line="276" w:lineRule="auto"/>
        <w:jc w:val="both"/>
        <w:rPr>
          <w:rFonts w:ascii="Verdana" w:eastAsia="Calibri" w:hAnsi="Verdana" w:cs="Times New Roman"/>
          <w:bCs/>
          <w:kern w:val="2"/>
          <w:lang w:val="es-ES_tradnl" w:eastAsia="es-MX"/>
          <w14:ligatures w14:val="standardContextual"/>
        </w:rPr>
      </w:pPr>
      <w:r w:rsidRPr="0037514F">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A20919B" w14:textId="77777777" w:rsidR="0037514F" w:rsidRPr="0037514F" w:rsidRDefault="0037514F" w:rsidP="0037514F">
      <w:pPr>
        <w:spacing w:after="0" w:line="276" w:lineRule="auto"/>
        <w:jc w:val="both"/>
        <w:rPr>
          <w:rFonts w:ascii="Verdana" w:eastAsia="Calibri" w:hAnsi="Verdana" w:cs="Times New Roman"/>
          <w:kern w:val="2"/>
          <w:lang w:eastAsia="es-MX"/>
          <w14:ligatures w14:val="standardContextual"/>
        </w:rPr>
      </w:pPr>
      <w:r w:rsidRPr="0037514F">
        <w:rPr>
          <w:rFonts w:ascii="Verdana" w:eastAsia="Calibri" w:hAnsi="Verdana" w:cs="Times New Roman"/>
          <w:kern w:val="2"/>
          <w:lang w:eastAsia="es-MX"/>
          <w14:ligatures w14:val="standardContextual"/>
        </w:rPr>
        <w:t>Atentamente,</w:t>
      </w:r>
    </w:p>
    <w:p w14:paraId="7E7ED407" w14:textId="77777777" w:rsidR="0037514F" w:rsidRPr="0037514F" w:rsidRDefault="0037514F" w:rsidP="0037514F">
      <w:pPr>
        <w:tabs>
          <w:tab w:val="left" w:pos="1320"/>
        </w:tabs>
        <w:spacing w:after="0" w:line="278" w:lineRule="auto"/>
        <w:rPr>
          <w:rFonts w:ascii="Verdana" w:eastAsia="Calibri" w:hAnsi="Verdana" w:cs="Times New Roman"/>
          <w:kern w:val="2"/>
          <w:lang w:eastAsia="es-MX"/>
          <w14:ligatures w14:val="standardContextual"/>
        </w:rPr>
      </w:pPr>
    </w:p>
    <w:p w14:paraId="6298FFE2" w14:textId="3C766BD7" w:rsidR="0037514F" w:rsidRPr="0037514F" w:rsidRDefault="003E099C" w:rsidP="0037514F">
      <w:pPr>
        <w:tabs>
          <w:tab w:val="left" w:pos="1320"/>
        </w:tabs>
        <w:spacing w:after="0" w:line="278" w:lineRule="auto"/>
        <w:rPr>
          <w:rFonts w:ascii="Verdana" w:eastAsia="Calibri" w:hAnsi="Verdana" w:cs="Times New Roman"/>
          <w:kern w:val="2"/>
          <w:sz w:val="24"/>
          <w:szCs w:val="24"/>
          <w:lang w:eastAsia="es-MX"/>
          <w14:ligatures w14:val="standardContextual"/>
        </w:rPr>
      </w:pPr>
      <w:r w:rsidRPr="004A2E53">
        <w:rPr>
          <w:noProof/>
        </w:rPr>
        <w:drawing>
          <wp:anchor distT="0" distB="0" distL="114300" distR="114300" simplePos="0" relativeHeight="251659264" behindDoc="1" locked="0" layoutInCell="1" allowOverlap="1" wp14:anchorId="355597B4" wp14:editId="11A9C909">
            <wp:simplePos x="0" y="0"/>
            <wp:positionH relativeFrom="column">
              <wp:posOffset>1811547</wp:posOffset>
            </wp:positionH>
            <wp:positionV relativeFrom="paragraph">
              <wp:posOffset>12748</wp:posOffset>
            </wp:positionV>
            <wp:extent cx="2107565" cy="793115"/>
            <wp:effectExtent l="0" t="0" r="635" b="0"/>
            <wp:wrapTight wrapText="bothSides">
              <wp:wrapPolygon edited="0">
                <wp:start x="0" y="0"/>
                <wp:lineTo x="0" y="21098"/>
                <wp:lineTo x="21476" y="21098"/>
                <wp:lineTo x="21476"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07565" cy="793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D7E29" w14:textId="3F29AA48" w:rsidR="0037514F" w:rsidRPr="0037514F" w:rsidRDefault="0037514F" w:rsidP="0037514F">
      <w:pPr>
        <w:spacing w:line="278" w:lineRule="auto"/>
        <w:rPr>
          <w:rFonts w:ascii="Verdana" w:eastAsia="Calibri" w:hAnsi="Verdana" w:cs="Arial"/>
          <w:b/>
          <w:bCs/>
          <w:kern w:val="2"/>
          <w:lang w:val="es-ES_tradnl" w:eastAsia="es-ES"/>
          <w14:ligatures w14:val="standardContextual"/>
        </w:rPr>
      </w:pPr>
    </w:p>
    <w:p w14:paraId="410A899C" w14:textId="77777777" w:rsidR="0037514F" w:rsidRDefault="0037514F" w:rsidP="0037514F">
      <w:pPr>
        <w:tabs>
          <w:tab w:val="left" w:pos="1320"/>
        </w:tabs>
        <w:spacing w:after="0" w:line="278" w:lineRule="auto"/>
        <w:rPr>
          <w:rFonts w:ascii="Verdana" w:eastAsia="Calibri" w:hAnsi="Verdana" w:cs="Times New Roman"/>
          <w:kern w:val="2"/>
          <w:sz w:val="24"/>
          <w:szCs w:val="24"/>
          <w:lang w:eastAsia="es-MX"/>
          <w14:ligatures w14:val="standardContextual"/>
        </w:rPr>
      </w:pPr>
    </w:p>
    <w:p w14:paraId="31053797" w14:textId="77777777" w:rsidR="003E099C" w:rsidRPr="0037514F" w:rsidRDefault="003E099C" w:rsidP="0037514F">
      <w:pPr>
        <w:tabs>
          <w:tab w:val="left" w:pos="1320"/>
        </w:tabs>
        <w:spacing w:after="0" w:line="278" w:lineRule="auto"/>
        <w:rPr>
          <w:rFonts w:ascii="Verdana" w:eastAsia="Calibri" w:hAnsi="Verdana" w:cs="Times New Roman"/>
          <w:kern w:val="2"/>
          <w:sz w:val="24"/>
          <w:szCs w:val="24"/>
          <w:lang w:eastAsia="es-MX"/>
          <w14:ligatures w14:val="standardContextual"/>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37514F" w:rsidRPr="0037514F" w14:paraId="7F1332F7" w14:textId="77777777" w:rsidTr="00173079">
        <w:trPr>
          <w:trHeight w:val="323"/>
        </w:trPr>
        <w:tc>
          <w:tcPr>
            <w:tcW w:w="1041" w:type="dxa"/>
            <w:vAlign w:val="center"/>
            <w:hideMark/>
          </w:tcPr>
          <w:p w14:paraId="4C4DEBE1" w14:textId="77777777" w:rsidR="0037514F" w:rsidRPr="0037514F" w:rsidRDefault="0037514F" w:rsidP="0037514F">
            <w:pPr>
              <w:spacing w:line="278" w:lineRule="auto"/>
              <w:rPr>
                <w:rFonts w:ascii="Verdana" w:eastAsia="Calibri" w:hAnsi="Verdana" w:cs="Arial"/>
                <w:kern w:val="2"/>
                <w:sz w:val="16"/>
                <w:szCs w:val="16"/>
                <w:lang w:val="es-ES_tradnl" w:eastAsia="es-ES"/>
                <w14:ligatures w14:val="standardContextual"/>
              </w:rPr>
            </w:pPr>
            <w:r w:rsidRPr="0037514F">
              <w:rPr>
                <w:rFonts w:ascii="Verdana" w:eastAsia="Calibri" w:hAnsi="Verdana" w:cs="Arial"/>
                <w:kern w:val="2"/>
                <w:sz w:val="16"/>
                <w:szCs w:val="16"/>
                <w:lang w:val="es-ES_tradnl" w:eastAsia="es-ES"/>
                <w14:ligatures w14:val="standardContextual"/>
              </w:rPr>
              <w:t>Elaboró:</w:t>
            </w:r>
          </w:p>
        </w:tc>
        <w:tc>
          <w:tcPr>
            <w:tcW w:w="6561" w:type="dxa"/>
            <w:tcBorders>
              <w:top w:val="nil"/>
              <w:left w:val="nil"/>
              <w:bottom w:val="dotted" w:sz="4" w:space="0" w:color="7F7F7F"/>
              <w:right w:val="nil"/>
            </w:tcBorders>
            <w:vAlign w:val="center"/>
            <w:hideMark/>
          </w:tcPr>
          <w:p w14:paraId="645EF825" w14:textId="77777777" w:rsidR="0037514F" w:rsidRPr="0037514F" w:rsidRDefault="0037514F" w:rsidP="0037514F">
            <w:pPr>
              <w:spacing w:line="278" w:lineRule="auto"/>
              <w:rPr>
                <w:rFonts w:ascii="Verdana" w:eastAsia="Arial" w:hAnsi="Verdana" w:cs="Arial"/>
                <w:kern w:val="2"/>
                <w:sz w:val="16"/>
                <w:szCs w:val="16"/>
                <w:lang w:val="es-ES" w:eastAsia="es-MX"/>
                <w14:ligatures w14:val="standardContextual"/>
              </w:rPr>
            </w:pPr>
            <w:r w:rsidRPr="0037514F">
              <w:rPr>
                <w:rFonts w:ascii="Verdana" w:eastAsia="Arial" w:hAnsi="Verdana" w:cs="Arial"/>
                <w:kern w:val="2"/>
                <w:sz w:val="16"/>
                <w:szCs w:val="16"/>
                <w:lang w:val="es-ES" w:eastAsia="es-MX"/>
                <w14:ligatures w14:val="standardContextual"/>
              </w:rPr>
              <w:t xml:space="preserve">Carlos Mario Castrillón Endo </w:t>
            </w:r>
          </w:p>
          <w:p w14:paraId="2A628261" w14:textId="77777777" w:rsidR="0037514F" w:rsidRPr="0037514F" w:rsidRDefault="0037514F" w:rsidP="0037514F">
            <w:pPr>
              <w:spacing w:line="278" w:lineRule="auto"/>
              <w:rPr>
                <w:rFonts w:ascii="Verdana" w:eastAsia="Arial" w:hAnsi="Verdana" w:cs="Arial"/>
                <w:kern w:val="2"/>
                <w:sz w:val="16"/>
                <w:szCs w:val="16"/>
                <w:lang w:val="es-ES_tradnl" w:eastAsia="es-MX"/>
                <w14:ligatures w14:val="standardContextual"/>
              </w:rPr>
            </w:pPr>
            <w:r w:rsidRPr="0037514F">
              <w:rPr>
                <w:rFonts w:ascii="Verdana" w:eastAsia="Arial" w:hAnsi="Verdana" w:cs="Arial"/>
                <w:kern w:val="2"/>
                <w:sz w:val="16"/>
                <w:szCs w:val="16"/>
                <w:lang w:val="es-ES_tradnl" w:eastAsia="es-MX"/>
                <w14:ligatures w14:val="standardContextual"/>
              </w:rPr>
              <w:t>Contratista de la Subdirección de Gestión Contractual</w:t>
            </w:r>
          </w:p>
          <w:p w14:paraId="20307C09" w14:textId="77777777" w:rsidR="0037514F" w:rsidRPr="0037514F" w:rsidRDefault="0037514F" w:rsidP="0037514F">
            <w:pPr>
              <w:spacing w:line="278" w:lineRule="auto"/>
              <w:rPr>
                <w:rFonts w:ascii="Verdana" w:eastAsia="Arial" w:hAnsi="Verdana" w:cs="Arial"/>
                <w:kern w:val="2"/>
                <w:sz w:val="16"/>
                <w:szCs w:val="16"/>
                <w:lang w:val="es-ES_tradnl" w:eastAsia="es-MX"/>
                <w14:ligatures w14:val="standardContextual"/>
              </w:rPr>
            </w:pPr>
          </w:p>
        </w:tc>
      </w:tr>
      <w:tr w:rsidR="0037514F" w:rsidRPr="0037514F" w14:paraId="7D26CEC7" w14:textId="77777777" w:rsidTr="00173079">
        <w:trPr>
          <w:trHeight w:val="338"/>
        </w:trPr>
        <w:tc>
          <w:tcPr>
            <w:tcW w:w="1041" w:type="dxa"/>
            <w:vAlign w:val="center"/>
            <w:hideMark/>
          </w:tcPr>
          <w:p w14:paraId="1E973BCC" w14:textId="77777777" w:rsidR="0037514F" w:rsidRPr="0037514F" w:rsidRDefault="0037514F" w:rsidP="0037514F">
            <w:pPr>
              <w:spacing w:line="278" w:lineRule="auto"/>
              <w:rPr>
                <w:rFonts w:ascii="Verdana" w:eastAsia="Calibri" w:hAnsi="Verdana" w:cs="Arial"/>
                <w:kern w:val="2"/>
                <w:sz w:val="16"/>
                <w:szCs w:val="16"/>
                <w:lang w:val="es-ES_tradnl" w:eastAsia="es-ES"/>
                <w14:ligatures w14:val="standardContextual"/>
              </w:rPr>
            </w:pPr>
            <w:r w:rsidRPr="0037514F">
              <w:rPr>
                <w:rFonts w:ascii="Verdana" w:eastAsia="Calibri" w:hAnsi="Verdana" w:cs="Arial"/>
                <w:kern w:val="2"/>
                <w:sz w:val="16"/>
                <w:szCs w:val="16"/>
                <w:lang w:val="es-ES_tradnl" w:eastAsia="es-ES"/>
                <w14:ligatures w14:val="standardContextual"/>
              </w:rPr>
              <w:t>Revisó:</w:t>
            </w:r>
          </w:p>
        </w:tc>
        <w:tc>
          <w:tcPr>
            <w:tcW w:w="6561" w:type="dxa"/>
            <w:tcBorders>
              <w:top w:val="dotted" w:sz="4" w:space="0" w:color="7F7F7F"/>
              <w:left w:val="nil"/>
              <w:bottom w:val="dotted" w:sz="4" w:space="0" w:color="7F7F7F"/>
              <w:right w:val="nil"/>
            </w:tcBorders>
            <w:vAlign w:val="center"/>
            <w:hideMark/>
          </w:tcPr>
          <w:p w14:paraId="2ADDC393" w14:textId="77777777" w:rsidR="0037514F" w:rsidRPr="0037514F" w:rsidRDefault="0037514F" w:rsidP="0037514F">
            <w:pPr>
              <w:spacing w:line="278" w:lineRule="auto"/>
              <w:rPr>
                <w:rFonts w:ascii="Verdana" w:eastAsia="Arial" w:hAnsi="Verdana" w:cs="Arial"/>
                <w:kern w:val="2"/>
                <w:sz w:val="16"/>
                <w:szCs w:val="16"/>
                <w:lang w:val="es-ES_tradnl" w:eastAsia="es-MX"/>
                <w14:ligatures w14:val="standardContextual"/>
              </w:rPr>
            </w:pPr>
            <w:r w:rsidRPr="0037514F">
              <w:rPr>
                <w:rFonts w:ascii="Verdana" w:eastAsia="Arial" w:hAnsi="Verdana" w:cs="Arial"/>
                <w:kern w:val="2"/>
                <w:sz w:val="16"/>
                <w:szCs w:val="16"/>
                <w:lang w:val="es-ES_tradnl" w:eastAsia="es-MX"/>
                <w14:ligatures w14:val="standardContextual"/>
              </w:rPr>
              <w:t xml:space="preserve">Juan David Cárdenas Cabezas </w:t>
            </w:r>
          </w:p>
          <w:p w14:paraId="18A4964D" w14:textId="77777777" w:rsidR="0037514F" w:rsidRPr="0037514F" w:rsidRDefault="0037514F" w:rsidP="0037514F">
            <w:pPr>
              <w:spacing w:line="278" w:lineRule="auto"/>
              <w:rPr>
                <w:rFonts w:ascii="Verdana" w:eastAsia="Arial" w:hAnsi="Verdana" w:cs="Arial"/>
                <w:kern w:val="2"/>
                <w:sz w:val="16"/>
                <w:szCs w:val="16"/>
                <w:lang w:val="es-ES" w:eastAsia="es-MX"/>
                <w14:ligatures w14:val="standardContextual"/>
              </w:rPr>
            </w:pPr>
            <w:r w:rsidRPr="0037514F">
              <w:rPr>
                <w:rFonts w:ascii="Verdana" w:eastAsia="Arial" w:hAnsi="Verdana" w:cs="Arial"/>
                <w:kern w:val="2"/>
                <w:sz w:val="16"/>
                <w:szCs w:val="16"/>
                <w:lang w:val="es-ES_tradnl" w:eastAsia="es-MX"/>
                <w14:ligatures w14:val="standardContextual"/>
              </w:rPr>
              <w:t>Contratista de la Subdirección de Gestión Contractual</w:t>
            </w:r>
          </w:p>
        </w:tc>
      </w:tr>
      <w:tr w:rsidR="0037514F" w:rsidRPr="0037514F" w14:paraId="0057A9CA" w14:textId="77777777" w:rsidTr="00173079">
        <w:trPr>
          <w:trHeight w:val="308"/>
        </w:trPr>
        <w:tc>
          <w:tcPr>
            <w:tcW w:w="1041" w:type="dxa"/>
            <w:vAlign w:val="center"/>
          </w:tcPr>
          <w:p w14:paraId="54D79B15" w14:textId="77777777" w:rsidR="0037514F" w:rsidRPr="0037514F" w:rsidRDefault="0037514F" w:rsidP="0037514F">
            <w:pPr>
              <w:spacing w:line="278" w:lineRule="auto"/>
              <w:rPr>
                <w:rFonts w:ascii="Verdana" w:eastAsia="Calibri" w:hAnsi="Verdana" w:cs="Arial"/>
                <w:kern w:val="2"/>
                <w:sz w:val="16"/>
                <w:szCs w:val="16"/>
                <w:lang w:val="es-ES_tradnl" w:eastAsia="es-ES"/>
                <w14:ligatures w14:val="standardContextual"/>
              </w:rPr>
            </w:pPr>
            <w:r w:rsidRPr="0037514F">
              <w:rPr>
                <w:rFonts w:ascii="Verdana" w:eastAsia="Calibri" w:hAnsi="Verdana" w:cs="Arial"/>
                <w:kern w:val="2"/>
                <w:sz w:val="16"/>
                <w:szCs w:val="16"/>
                <w:lang w:val="es-ES_tradnl" w:eastAsia="es-ES"/>
                <w14:ligatures w14:val="standardContextual"/>
              </w:rPr>
              <w:t>Aprobó:</w:t>
            </w:r>
          </w:p>
        </w:tc>
        <w:tc>
          <w:tcPr>
            <w:tcW w:w="6561" w:type="dxa"/>
            <w:tcBorders>
              <w:top w:val="dotted" w:sz="4" w:space="0" w:color="7F7F7F"/>
              <w:left w:val="nil"/>
              <w:bottom w:val="dotted" w:sz="4" w:space="0" w:color="7F7F7F"/>
              <w:right w:val="nil"/>
            </w:tcBorders>
            <w:vAlign w:val="center"/>
          </w:tcPr>
          <w:p w14:paraId="6E6558F5" w14:textId="77777777" w:rsidR="0037514F" w:rsidRPr="0037514F" w:rsidRDefault="0037514F" w:rsidP="0037514F">
            <w:pPr>
              <w:spacing w:line="278" w:lineRule="auto"/>
              <w:rPr>
                <w:rFonts w:ascii="Verdana" w:eastAsia="Calibri" w:hAnsi="Verdana" w:cs="Arial"/>
                <w:kern w:val="2"/>
                <w:sz w:val="16"/>
                <w:szCs w:val="16"/>
                <w:lang w:val="es-ES_tradnl" w:eastAsia="es-ES"/>
                <w14:ligatures w14:val="standardContextual"/>
              </w:rPr>
            </w:pPr>
            <w:r w:rsidRPr="0037514F">
              <w:rPr>
                <w:rFonts w:ascii="Verdana" w:eastAsia="Calibri" w:hAnsi="Verdana" w:cs="Arial"/>
                <w:kern w:val="2"/>
                <w:sz w:val="16"/>
                <w:szCs w:val="16"/>
                <w:lang w:val="es-ES_tradnl" w:eastAsia="es-ES"/>
                <w14:ligatures w14:val="standardContextual"/>
              </w:rPr>
              <w:t>William Javier Murcia Acevedo</w:t>
            </w:r>
          </w:p>
          <w:p w14:paraId="41129129" w14:textId="77777777" w:rsidR="0037514F" w:rsidRPr="0037514F" w:rsidRDefault="0037514F" w:rsidP="0037514F">
            <w:pPr>
              <w:spacing w:line="278" w:lineRule="auto"/>
              <w:rPr>
                <w:rFonts w:ascii="Verdana" w:eastAsia="Calibri" w:hAnsi="Verdana" w:cs="Arial"/>
                <w:kern w:val="2"/>
                <w:sz w:val="16"/>
                <w:szCs w:val="16"/>
                <w:lang w:val="es-ES_tradnl" w:eastAsia="es-ES"/>
                <w14:ligatures w14:val="standardContextual"/>
              </w:rPr>
            </w:pPr>
            <w:r w:rsidRPr="0037514F">
              <w:rPr>
                <w:rFonts w:ascii="Verdana" w:eastAsia="Calibri" w:hAnsi="Verdana" w:cs="Arial"/>
                <w:kern w:val="2"/>
                <w:sz w:val="16"/>
                <w:szCs w:val="16"/>
                <w:lang w:val="es-ES_tradnl" w:eastAsia="es-ES"/>
                <w14:ligatures w14:val="standardContextual"/>
              </w:rPr>
              <w:t>Subdirector de Gestión Contractual (E) ANCP-CCE</w:t>
            </w:r>
          </w:p>
        </w:tc>
      </w:tr>
      <w:tr w:rsidR="0037514F" w:rsidRPr="0037514F" w14:paraId="5C425F63" w14:textId="77777777" w:rsidTr="00173079">
        <w:trPr>
          <w:trHeight w:val="308"/>
        </w:trPr>
        <w:tc>
          <w:tcPr>
            <w:tcW w:w="1041" w:type="dxa"/>
            <w:vAlign w:val="center"/>
          </w:tcPr>
          <w:p w14:paraId="3E196055" w14:textId="77777777" w:rsidR="0037514F" w:rsidRPr="0037514F" w:rsidRDefault="0037514F" w:rsidP="0037514F">
            <w:pPr>
              <w:rPr>
                <w:rFonts w:ascii="Verdana" w:eastAsia="Calibri" w:hAnsi="Verdana" w:cs="Arial"/>
                <w:sz w:val="16"/>
                <w:szCs w:val="16"/>
                <w:lang w:val="es-ES_tradnl" w:eastAsia="es-ES"/>
              </w:rPr>
            </w:pPr>
            <w:r w:rsidRPr="0037514F">
              <w:rPr>
                <w:rFonts w:ascii="Verdana" w:eastAsia="Calibri" w:hAnsi="Verdana" w:cs="Arial"/>
                <w:sz w:val="16"/>
                <w:szCs w:val="16"/>
                <w:lang w:val="es-ES_tradnl" w:eastAsia="es-ES"/>
              </w:rPr>
              <w:t>Anexos:</w:t>
            </w:r>
          </w:p>
        </w:tc>
        <w:tc>
          <w:tcPr>
            <w:tcW w:w="6561" w:type="dxa"/>
            <w:tcBorders>
              <w:top w:val="dotted" w:sz="4" w:space="0" w:color="7F7F7F"/>
              <w:left w:val="nil"/>
              <w:bottom w:val="dotted" w:sz="4" w:space="0" w:color="7F7F7F"/>
              <w:right w:val="nil"/>
            </w:tcBorders>
            <w:vAlign w:val="center"/>
          </w:tcPr>
          <w:p w14:paraId="6E916E53" w14:textId="77777777" w:rsidR="0037514F" w:rsidRPr="0037514F" w:rsidRDefault="0037514F" w:rsidP="0037514F">
            <w:pPr>
              <w:spacing w:line="278" w:lineRule="auto"/>
              <w:rPr>
                <w:rFonts w:ascii="Verdana" w:eastAsia="Calibri" w:hAnsi="Verdana" w:cs="Arial"/>
                <w:sz w:val="16"/>
                <w:szCs w:val="16"/>
                <w:lang w:val="es-ES_tradnl" w:eastAsia="es-ES"/>
              </w:rPr>
            </w:pPr>
            <w:r w:rsidRPr="0037514F">
              <w:rPr>
                <w:rFonts w:ascii="Verdana" w:eastAsia="Calibri" w:hAnsi="Verdana" w:cs="Arial"/>
                <w:kern w:val="2"/>
                <w:sz w:val="16"/>
                <w:szCs w:val="16"/>
                <w:lang w:val="es-ES_tradnl" w:eastAsia="es-ES"/>
                <w14:ligatures w14:val="standardContextual"/>
              </w:rPr>
              <w:t>Respuesta a la petición con número de radicado 1_2026_09_15_012293”</w:t>
            </w:r>
          </w:p>
        </w:tc>
      </w:tr>
    </w:tbl>
    <w:p w14:paraId="79522EC1" w14:textId="77777777" w:rsidR="0037514F" w:rsidRPr="0037514F" w:rsidRDefault="0037514F" w:rsidP="0037514F">
      <w:pPr>
        <w:spacing w:after="0" w:line="278" w:lineRule="auto"/>
        <w:rPr>
          <w:rFonts w:ascii="Verdana" w:eastAsia="Calibri" w:hAnsi="Verdana" w:cs="Times New Roman"/>
          <w:kern w:val="2"/>
          <w:sz w:val="24"/>
          <w:szCs w:val="24"/>
          <w:lang w:eastAsia="es-MX"/>
          <w14:ligatures w14:val="standardContextual"/>
        </w:rPr>
      </w:pPr>
    </w:p>
    <w:p w14:paraId="60D8A17D" w14:textId="77777777" w:rsidR="0037514F" w:rsidRPr="0037514F" w:rsidRDefault="0037514F" w:rsidP="0037514F">
      <w:pPr>
        <w:spacing w:after="0" w:line="240" w:lineRule="auto"/>
        <w:jc w:val="both"/>
        <w:textAlignment w:val="baseline"/>
        <w:rPr>
          <w:rFonts w:ascii="Verdana" w:eastAsia="Verdana" w:hAnsi="Verdana" w:cs="Verdana"/>
          <w:kern w:val="2"/>
          <w:sz w:val="24"/>
          <w:szCs w:val="24"/>
          <w:lang w:eastAsia="es-CO"/>
          <w14:ligatures w14:val="standardContextual"/>
        </w:rPr>
      </w:pPr>
    </w:p>
    <w:p w14:paraId="69B33CF3" w14:textId="5407A2D7" w:rsidR="0037514F" w:rsidRPr="0037514F" w:rsidRDefault="0037514F" w:rsidP="00165D29">
      <w:pPr>
        <w:spacing w:after="0" w:line="240" w:lineRule="auto"/>
        <w:textAlignment w:val="baseline"/>
        <w:rPr>
          <w:rFonts w:ascii="Verdana" w:eastAsia="Verdana" w:hAnsi="Verdana" w:cs="Verdana"/>
          <w:b/>
          <w:bCs/>
        </w:rPr>
      </w:pPr>
      <w:r w:rsidRPr="0037514F">
        <w:rPr>
          <w:rFonts w:ascii="Verdana" w:eastAsia="Verdana" w:hAnsi="Verdana" w:cs="Verdana"/>
          <w:kern w:val="2"/>
          <w:sz w:val="24"/>
          <w:szCs w:val="24"/>
          <w:lang w:eastAsia="es-CO"/>
          <w14:ligatures w14:val="standardContextual"/>
        </w:rPr>
        <w:t> </w:t>
      </w:r>
    </w:p>
    <w:p w14:paraId="1C3628C5" w14:textId="77777777" w:rsidR="0037514F" w:rsidRPr="0037514F" w:rsidRDefault="0037514F" w:rsidP="0037514F">
      <w:pPr>
        <w:spacing w:after="0" w:line="240" w:lineRule="auto"/>
        <w:jc w:val="both"/>
        <w:textAlignment w:val="baseline"/>
        <w:rPr>
          <w:rFonts w:ascii="Verdana" w:eastAsia="Verdana" w:hAnsi="Verdana" w:cs="Verdana"/>
          <w:lang w:eastAsia="es-CO"/>
        </w:rPr>
      </w:pPr>
    </w:p>
    <w:p w14:paraId="64C6D605" w14:textId="77777777" w:rsidR="0037514F" w:rsidRPr="0037514F" w:rsidRDefault="0037514F" w:rsidP="0037514F">
      <w:pPr>
        <w:spacing w:after="0" w:line="240" w:lineRule="auto"/>
        <w:textAlignment w:val="baseline"/>
        <w:rPr>
          <w:rFonts w:ascii="Verdana" w:eastAsia="Verdana" w:hAnsi="Verdana" w:cs="Verdana"/>
          <w:lang w:eastAsia="es-CO"/>
        </w:rPr>
      </w:pPr>
      <w:r w:rsidRPr="0037514F">
        <w:rPr>
          <w:rFonts w:ascii="Verdana" w:eastAsia="Verdana" w:hAnsi="Verdana" w:cs="Verdana"/>
          <w:lang w:eastAsia="es-CO"/>
        </w:rPr>
        <w:t> </w:t>
      </w:r>
    </w:p>
    <w:bookmarkEnd w:id="0"/>
    <w:p w14:paraId="0F293BF4" w14:textId="0E4C7EE2" w:rsidR="00127233" w:rsidRPr="0037514F" w:rsidRDefault="00127233" w:rsidP="0037514F"/>
    <w:sectPr w:rsidR="00127233" w:rsidRPr="0037514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201E" w14:textId="77777777" w:rsidR="00D76808" w:rsidRDefault="00D76808" w:rsidP="004A1847">
      <w:pPr>
        <w:spacing w:after="0" w:line="240" w:lineRule="auto"/>
      </w:pPr>
      <w:r>
        <w:separator/>
      </w:r>
    </w:p>
  </w:endnote>
  <w:endnote w:type="continuationSeparator" w:id="0">
    <w:p w14:paraId="72FCC205" w14:textId="77777777" w:rsidR="00D76808" w:rsidRDefault="00D76808" w:rsidP="004A1847">
      <w:pPr>
        <w:spacing w:after="0" w:line="240" w:lineRule="auto"/>
      </w:pPr>
      <w:r>
        <w:continuationSeparator/>
      </w:r>
    </w:p>
  </w:endnote>
  <w:endnote w:type="continuationNotice" w:id="1">
    <w:p w14:paraId="199CB630" w14:textId="77777777" w:rsidR="00D76808" w:rsidRDefault="00D768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37514F">
      <w:rPr>
        <w:rFonts w:ascii="Verdana" w:eastAsia="Verdana" w:hAnsi="Verdana" w:cs="Verdana"/>
        <w:b/>
        <w:bCs/>
        <w:color w:val="000000"/>
        <w:sz w:val="18"/>
        <w:szCs w:val="18"/>
        <w:lang w:eastAsia="es-CO"/>
      </w:rPr>
      <w:t xml:space="preserve">Código: </w:t>
    </w:r>
    <w:r w:rsidRPr="0037514F">
      <w:rPr>
        <w:rFonts w:ascii="Verdana" w:eastAsia="Verdana" w:hAnsi="Verdana" w:cs="Verdana"/>
        <w:color w:val="000000"/>
        <w:sz w:val="18"/>
        <w:szCs w:val="18"/>
        <w:lang w:eastAsia="es-CO"/>
      </w:rPr>
      <w:t xml:space="preserve">CCE-REC-FM-17 </w:t>
    </w:r>
    <w:r w:rsidRPr="0037514F">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6941B" w14:textId="77777777" w:rsidR="00D76808" w:rsidRDefault="00D76808" w:rsidP="004A1847">
      <w:pPr>
        <w:spacing w:after="0" w:line="240" w:lineRule="auto"/>
      </w:pPr>
      <w:r>
        <w:separator/>
      </w:r>
    </w:p>
  </w:footnote>
  <w:footnote w:type="continuationSeparator" w:id="0">
    <w:p w14:paraId="60CA5A56" w14:textId="77777777" w:rsidR="00D76808" w:rsidRDefault="00D76808" w:rsidP="004A1847">
      <w:pPr>
        <w:spacing w:after="0" w:line="240" w:lineRule="auto"/>
      </w:pPr>
      <w:r>
        <w:continuationSeparator/>
      </w:r>
    </w:p>
  </w:footnote>
  <w:footnote w:type="continuationNotice" w:id="1">
    <w:p w14:paraId="53481692" w14:textId="77777777" w:rsidR="00D76808" w:rsidRDefault="00D76808">
      <w:pPr>
        <w:spacing w:after="0" w:line="240" w:lineRule="auto"/>
      </w:pPr>
    </w:p>
  </w:footnote>
  <w:footnote w:id="2">
    <w:p w14:paraId="4F73EDFE" w14:textId="77777777" w:rsidR="0037514F" w:rsidRPr="0047661B" w:rsidRDefault="0037514F" w:rsidP="0037514F">
      <w:pPr>
        <w:pStyle w:val="Textonotapie"/>
        <w:ind w:firstLine="708"/>
        <w:jc w:val="both"/>
        <w:rPr>
          <w:rFonts w:ascii="Verdana" w:hAnsi="Verdana"/>
          <w:sz w:val="18"/>
          <w:szCs w:val="18"/>
        </w:rPr>
      </w:pPr>
      <w:r w:rsidRPr="0047661B">
        <w:rPr>
          <w:rStyle w:val="Refdenotaalpie"/>
          <w:rFonts w:ascii="Verdana" w:hAnsi="Verdana"/>
          <w:sz w:val="18"/>
          <w:szCs w:val="18"/>
        </w:rPr>
        <w:footnoteRef/>
      </w:r>
      <w:r w:rsidRPr="0047661B">
        <w:rPr>
          <w:rFonts w:ascii="Verdana" w:hAnsi="Verdana"/>
          <w:sz w:val="18"/>
          <w:szCs w:val="18"/>
        </w:rPr>
        <w:t xml:space="preserve"> Este concepto se encuentra disponible en el siguiente enlace: </w:t>
      </w:r>
      <w:hyperlink r:id="rId1" w:history="1">
        <w:r w:rsidRPr="0047661B">
          <w:rPr>
            <w:rStyle w:val="Hipervnculo"/>
            <w:rFonts w:ascii="Verdana" w:hAnsi="Verdana"/>
            <w:sz w:val="18"/>
            <w:szCs w:val="18"/>
          </w:rPr>
          <w:t>https://relatoria.colombiacompra.gov.co/conceptos/c-452-de-2026/</w:t>
        </w:r>
      </w:hyperlink>
      <w:r w:rsidRPr="0047661B">
        <w:rPr>
          <w:rFonts w:ascii="Verdana" w:hAnsi="Verdana"/>
          <w:sz w:val="18"/>
          <w:szCs w:val="18"/>
        </w:rPr>
        <w:t xml:space="preserve"> </w:t>
      </w:r>
    </w:p>
    <w:p w14:paraId="2D7DFD92" w14:textId="77777777" w:rsidR="0037514F" w:rsidRPr="0047661B" w:rsidRDefault="0037514F" w:rsidP="0037514F">
      <w:pPr>
        <w:pStyle w:val="Textonotapie"/>
        <w:ind w:firstLine="708"/>
        <w:jc w:val="both"/>
        <w:rPr>
          <w:rFonts w:ascii="Verdana" w:hAnsi="Verdana"/>
          <w:sz w:val="18"/>
          <w:szCs w:val="18"/>
          <w:lang w:val="es-ES_tradnl"/>
        </w:rPr>
      </w:pPr>
    </w:p>
  </w:footnote>
  <w:footnote w:id="3">
    <w:p w14:paraId="55758AC7" w14:textId="77777777" w:rsidR="0037514F" w:rsidRPr="0047661B" w:rsidRDefault="0037514F" w:rsidP="0037514F">
      <w:pPr>
        <w:pStyle w:val="Textonotapie"/>
        <w:ind w:firstLine="708"/>
        <w:jc w:val="both"/>
        <w:rPr>
          <w:rFonts w:ascii="Verdana" w:hAnsi="Verdana"/>
          <w:sz w:val="18"/>
          <w:szCs w:val="18"/>
        </w:rPr>
      </w:pPr>
      <w:r w:rsidRPr="0047661B">
        <w:rPr>
          <w:rStyle w:val="Refdenotaalpie"/>
          <w:rFonts w:ascii="Verdana" w:hAnsi="Verdana"/>
          <w:sz w:val="18"/>
          <w:szCs w:val="18"/>
        </w:rPr>
        <w:footnoteRef/>
      </w:r>
      <w:r w:rsidRPr="0047661B">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1959CBBD" w14:textId="77777777" w:rsidR="0037514F" w:rsidRPr="0047661B" w:rsidRDefault="0037514F" w:rsidP="0037514F">
      <w:pPr>
        <w:pStyle w:val="Textonotapie"/>
        <w:ind w:firstLine="708"/>
        <w:jc w:val="both"/>
        <w:rPr>
          <w:rFonts w:ascii="Verdana" w:hAnsi="Verdana"/>
          <w:sz w:val="18"/>
          <w:szCs w:val="18"/>
        </w:rPr>
      </w:pPr>
    </w:p>
    <w:p w14:paraId="24E9C42A" w14:textId="77777777" w:rsidR="0037514F" w:rsidRPr="0047661B" w:rsidRDefault="0037514F" w:rsidP="0037514F">
      <w:pPr>
        <w:pStyle w:val="Textonotapie"/>
        <w:ind w:firstLine="708"/>
        <w:jc w:val="both"/>
        <w:rPr>
          <w:rFonts w:ascii="Verdana" w:hAnsi="Verdana"/>
          <w:sz w:val="18"/>
          <w:szCs w:val="18"/>
        </w:rPr>
      </w:pPr>
      <w:r w:rsidRPr="0047661B">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37174312" w14:textId="77777777" w:rsidR="0037514F" w:rsidRPr="0047661B" w:rsidRDefault="0037514F" w:rsidP="0037514F">
      <w:pPr>
        <w:pStyle w:val="Textonotapie"/>
        <w:ind w:firstLine="708"/>
        <w:jc w:val="both"/>
        <w:rPr>
          <w:rFonts w:ascii="Verdana" w:hAnsi="Verdana"/>
          <w:sz w:val="18"/>
          <w:szCs w:val="18"/>
        </w:rPr>
      </w:pPr>
    </w:p>
    <w:p w14:paraId="1274CBC7" w14:textId="77777777" w:rsidR="0037514F" w:rsidRPr="0047661B" w:rsidRDefault="0037514F" w:rsidP="0037514F">
      <w:pPr>
        <w:pStyle w:val="Textonotapie"/>
        <w:ind w:firstLine="708"/>
        <w:jc w:val="both"/>
        <w:rPr>
          <w:rFonts w:ascii="Verdana" w:hAnsi="Verdana"/>
          <w:sz w:val="18"/>
          <w:szCs w:val="18"/>
        </w:rPr>
      </w:pPr>
      <w:r w:rsidRPr="0047661B">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25BA5AA6" w14:textId="77777777" w:rsidR="0037514F" w:rsidRPr="0047661B" w:rsidRDefault="0037514F" w:rsidP="0037514F">
      <w:pPr>
        <w:pStyle w:val="Textonotapie"/>
        <w:ind w:firstLine="708"/>
        <w:jc w:val="both"/>
        <w:rPr>
          <w:rFonts w:ascii="Verdana" w:hAnsi="Verdana"/>
          <w:sz w:val="18"/>
          <w:szCs w:val="18"/>
        </w:rPr>
      </w:pPr>
    </w:p>
    <w:p w14:paraId="79346579" w14:textId="77777777" w:rsidR="0037514F" w:rsidRPr="0047661B" w:rsidRDefault="0037514F" w:rsidP="0037514F">
      <w:pPr>
        <w:pStyle w:val="Textonotapie"/>
        <w:ind w:firstLine="708"/>
        <w:jc w:val="both"/>
        <w:rPr>
          <w:rFonts w:ascii="Verdana" w:hAnsi="Verdana"/>
          <w:sz w:val="18"/>
          <w:szCs w:val="18"/>
        </w:rPr>
      </w:pPr>
      <w:r w:rsidRPr="0047661B">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6A25C49F" w14:textId="77777777" w:rsidR="0037514F" w:rsidRPr="0047661B" w:rsidRDefault="0037514F" w:rsidP="0037514F">
      <w:pPr>
        <w:pStyle w:val="Textonotapie"/>
        <w:ind w:firstLine="708"/>
        <w:jc w:val="both"/>
        <w:rPr>
          <w:rFonts w:ascii="Verdana" w:hAnsi="Verdana"/>
          <w:sz w:val="18"/>
          <w:szCs w:val="18"/>
        </w:rPr>
      </w:pPr>
    </w:p>
    <w:p w14:paraId="45F4F6BB" w14:textId="77777777" w:rsidR="0037514F" w:rsidRPr="0047661B" w:rsidRDefault="0037514F" w:rsidP="0037514F">
      <w:pPr>
        <w:pStyle w:val="Textonotapie"/>
        <w:ind w:firstLine="708"/>
        <w:jc w:val="both"/>
        <w:rPr>
          <w:rFonts w:ascii="Verdana" w:hAnsi="Verdana"/>
          <w:sz w:val="18"/>
          <w:szCs w:val="18"/>
        </w:rPr>
      </w:pPr>
      <w:r w:rsidRPr="0047661B">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4">
    <w:p w14:paraId="61AA3E25" w14:textId="77777777" w:rsidR="0037514F" w:rsidRPr="0047661B" w:rsidRDefault="0037514F" w:rsidP="0037514F">
      <w:pPr>
        <w:pStyle w:val="Textonotapie"/>
        <w:ind w:firstLine="708"/>
        <w:jc w:val="both"/>
        <w:rPr>
          <w:rFonts w:ascii="Verdana" w:hAnsi="Verdana"/>
          <w:sz w:val="18"/>
          <w:szCs w:val="18"/>
        </w:rPr>
      </w:pPr>
      <w:r w:rsidRPr="0047661B">
        <w:rPr>
          <w:rStyle w:val="Refdenotaalpie"/>
          <w:rFonts w:ascii="Verdana" w:hAnsi="Verdana"/>
          <w:sz w:val="18"/>
          <w:szCs w:val="18"/>
        </w:rPr>
        <w:footnoteRef/>
      </w:r>
      <w:r w:rsidRPr="0047661B">
        <w:rPr>
          <w:rFonts w:ascii="Verdana" w:hAnsi="Verdana"/>
          <w:sz w:val="18"/>
          <w:szCs w:val="18"/>
        </w:rPr>
        <w:t xml:space="preserve"> Reglamento Colombiano de Construcción Sismo Resistente NSR-10</w:t>
      </w:r>
    </w:p>
    <w:p w14:paraId="5B1F05F4" w14:textId="77777777" w:rsidR="0037514F" w:rsidRPr="0047661B" w:rsidRDefault="0037514F" w:rsidP="0037514F">
      <w:pPr>
        <w:pStyle w:val="Textonotapie"/>
        <w:ind w:firstLine="708"/>
        <w:jc w:val="both"/>
        <w:rPr>
          <w:rFonts w:ascii="Verdana" w:hAnsi="Verdana"/>
          <w:sz w:val="18"/>
          <w:szCs w:val="18"/>
          <w:lang w:val="es-ES_tradnl"/>
        </w:rPr>
      </w:pPr>
    </w:p>
  </w:footnote>
  <w:footnote w:id="5">
    <w:p w14:paraId="50344CCA" w14:textId="77777777" w:rsidR="0037514F" w:rsidRPr="0047661B" w:rsidRDefault="0037514F" w:rsidP="0037514F">
      <w:pPr>
        <w:pStyle w:val="Textonotapie"/>
        <w:ind w:firstLine="708"/>
        <w:jc w:val="both"/>
        <w:rPr>
          <w:rFonts w:ascii="Verdana" w:hAnsi="Verdana"/>
          <w:sz w:val="18"/>
          <w:szCs w:val="18"/>
          <w:lang w:val="es-ES_tradnl"/>
        </w:rPr>
      </w:pPr>
      <w:r w:rsidRPr="0047661B">
        <w:rPr>
          <w:rStyle w:val="Refdenotaalpie"/>
          <w:rFonts w:ascii="Verdana" w:hAnsi="Verdana"/>
          <w:sz w:val="18"/>
          <w:szCs w:val="18"/>
        </w:rPr>
        <w:footnoteRef/>
      </w:r>
      <w:r w:rsidRPr="0047661B">
        <w:rPr>
          <w:rFonts w:ascii="Verdana" w:hAnsi="Verdana"/>
          <w:sz w:val="18"/>
          <w:szCs w:val="18"/>
        </w:rPr>
        <w:t xml:space="preserve"> </w:t>
      </w:r>
      <w:r w:rsidRPr="0047661B">
        <w:rPr>
          <w:rFonts w:ascii="Verdana" w:hAnsi="Verdana"/>
          <w:sz w:val="18"/>
          <w:szCs w:val="18"/>
          <w:lang w:val="es-ES_tradnl"/>
        </w:rPr>
        <w:t xml:space="preserve">Ibidem </w:t>
      </w:r>
    </w:p>
    <w:p w14:paraId="0172B17C" w14:textId="77777777" w:rsidR="0037514F" w:rsidRPr="0047661B" w:rsidRDefault="0037514F" w:rsidP="0037514F">
      <w:pPr>
        <w:pStyle w:val="Textonotapie"/>
        <w:ind w:firstLine="708"/>
        <w:jc w:val="both"/>
        <w:rPr>
          <w:rFonts w:ascii="Verdana" w:hAnsi="Verdana"/>
          <w:sz w:val="18"/>
          <w:szCs w:val="18"/>
          <w:lang w:val="es-ES_tradnl"/>
        </w:rPr>
      </w:pPr>
    </w:p>
  </w:footnote>
  <w:footnote w:id="6">
    <w:p w14:paraId="280F9C31" w14:textId="77777777" w:rsidR="0037514F" w:rsidRPr="0047661B" w:rsidRDefault="0037514F" w:rsidP="0037514F">
      <w:pPr>
        <w:pStyle w:val="Textonotapie"/>
        <w:ind w:firstLine="708"/>
        <w:jc w:val="both"/>
        <w:rPr>
          <w:rFonts w:ascii="Verdana" w:hAnsi="Verdana"/>
          <w:sz w:val="18"/>
          <w:szCs w:val="18"/>
        </w:rPr>
      </w:pPr>
      <w:r w:rsidRPr="0047661B">
        <w:rPr>
          <w:rStyle w:val="Refdenotaalpie"/>
          <w:rFonts w:ascii="Verdana" w:hAnsi="Verdana"/>
          <w:sz w:val="18"/>
          <w:szCs w:val="18"/>
        </w:rPr>
        <w:footnoteRef/>
      </w:r>
      <w:r w:rsidRPr="0047661B">
        <w:rPr>
          <w:rFonts w:ascii="Verdana" w:hAnsi="Verdana"/>
          <w:sz w:val="18"/>
          <w:szCs w:val="18"/>
        </w:rPr>
        <w:t xml:space="preserve"> Definición construida con base, entre otros de los diccionarios: Lexvademecum y Poder Judicial de la República de Costa Rica. </w:t>
      </w:r>
    </w:p>
    <w:p w14:paraId="79E7DBD7" w14:textId="77777777" w:rsidR="0037514F" w:rsidRPr="0047661B" w:rsidRDefault="0037514F" w:rsidP="0037514F">
      <w:pPr>
        <w:pStyle w:val="Textonotapie"/>
        <w:ind w:firstLine="708"/>
        <w:jc w:val="both"/>
        <w:rPr>
          <w:rFonts w:ascii="Verdana" w:hAnsi="Verdana"/>
          <w:sz w:val="18"/>
          <w:szCs w:val="18"/>
          <w:lang w:val="es-ES_tradnl"/>
        </w:rPr>
      </w:pPr>
    </w:p>
  </w:footnote>
  <w:footnote w:id="7">
    <w:p w14:paraId="4EE9BCDB" w14:textId="77777777" w:rsidR="0037514F" w:rsidRPr="0047661B" w:rsidRDefault="0037514F" w:rsidP="0037514F">
      <w:pPr>
        <w:pStyle w:val="Textonotapie"/>
        <w:ind w:firstLine="708"/>
        <w:jc w:val="both"/>
        <w:rPr>
          <w:rFonts w:ascii="Verdana" w:hAnsi="Verdana"/>
          <w:sz w:val="18"/>
          <w:szCs w:val="18"/>
        </w:rPr>
      </w:pPr>
      <w:r w:rsidRPr="0047661B">
        <w:rPr>
          <w:rStyle w:val="Refdenotaalpie"/>
          <w:rFonts w:ascii="Verdana" w:hAnsi="Verdana"/>
          <w:sz w:val="18"/>
          <w:szCs w:val="18"/>
        </w:rPr>
        <w:footnoteRef/>
      </w:r>
      <w:r w:rsidRPr="0047661B">
        <w:rPr>
          <w:rFonts w:ascii="Verdana" w:hAnsi="Verdana"/>
          <w:sz w:val="18"/>
          <w:szCs w:val="18"/>
        </w:rPr>
        <w:t xml:space="preserve"> Ley 938 de 2004 “Por la cual se expide el Estatuto Orgánico de la Fiscalía General de la Nación, Artículo 33.</w:t>
      </w:r>
    </w:p>
    <w:p w14:paraId="77FEF572" w14:textId="77777777" w:rsidR="0037514F" w:rsidRPr="0047661B" w:rsidRDefault="0037514F" w:rsidP="0037514F">
      <w:pPr>
        <w:pStyle w:val="Textonotapie"/>
        <w:ind w:firstLine="708"/>
        <w:jc w:val="both"/>
        <w:rPr>
          <w:rFonts w:ascii="Verdana" w:hAnsi="Verdana"/>
          <w:sz w:val="18"/>
          <w:szCs w:val="18"/>
          <w:lang w:val="es-ES_tradnl"/>
        </w:rPr>
      </w:pPr>
    </w:p>
  </w:footnote>
  <w:footnote w:id="8">
    <w:p w14:paraId="0B1B1918" w14:textId="77777777" w:rsidR="0037514F" w:rsidRPr="0047661B" w:rsidRDefault="0037514F" w:rsidP="0037514F">
      <w:pPr>
        <w:pStyle w:val="Textonotapie"/>
        <w:ind w:firstLine="708"/>
        <w:jc w:val="both"/>
        <w:rPr>
          <w:rFonts w:ascii="Verdana" w:hAnsi="Verdana"/>
          <w:sz w:val="18"/>
          <w:szCs w:val="18"/>
        </w:rPr>
      </w:pPr>
      <w:r w:rsidRPr="0047661B">
        <w:rPr>
          <w:rStyle w:val="Refdenotaalpie"/>
          <w:rFonts w:ascii="Verdana" w:hAnsi="Verdana"/>
          <w:sz w:val="18"/>
          <w:szCs w:val="18"/>
        </w:rPr>
        <w:footnoteRef/>
      </w:r>
      <w:r w:rsidRPr="0047661B">
        <w:rPr>
          <w:rFonts w:ascii="Verdana" w:hAnsi="Verdana"/>
          <w:sz w:val="18"/>
          <w:szCs w:val="18"/>
        </w:rPr>
        <w:t xml:space="preserve"> Información tomada de la página web del Instituto Nacional de Medicina Legal y Ciencias Forenses disponible en el siguiente enlace: </w:t>
      </w:r>
      <w:hyperlink r:id="rId2" w:history="1">
        <w:r w:rsidRPr="0047661B">
          <w:rPr>
            <w:rStyle w:val="Hipervnculo"/>
            <w:rFonts w:ascii="Verdana" w:hAnsi="Verdana"/>
            <w:sz w:val="18"/>
            <w:szCs w:val="18"/>
          </w:rPr>
          <w:t>https://www.medicinalegal.gov.co/objetivos-y-funciones</w:t>
        </w:r>
      </w:hyperlink>
      <w:r w:rsidRPr="0047661B">
        <w:rPr>
          <w:rFonts w:ascii="Verdana" w:hAnsi="Verdana"/>
          <w:sz w:val="18"/>
          <w:szCs w:val="18"/>
        </w:rPr>
        <w:t xml:space="preserve"> </w:t>
      </w:r>
    </w:p>
    <w:p w14:paraId="299E58CE" w14:textId="77777777" w:rsidR="0037514F" w:rsidRPr="0047661B" w:rsidRDefault="0037514F" w:rsidP="0037514F">
      <w:pPr>
        <w:pStyle w:val="Textonotapie"/>
        <w:ind w:firstLine="708"/>
        <w:jc w:val="both"/>
        <w:rPr>
          <w:rFonts w:ascii="Verdana" w:hAnsi="Verdana"/>
          <w:sz w:val="18"/>
          <w:szCs w:val="18"/>
          <w:lang w:val="es-ES_tradnl"/>
        </w:rPr>
      </w:pPr>
    </w:p>
  </w:footnote>
  <w:footnote w:id="9">
    <w:p w14:paraId="3AC19B52" w14:textId="77777777" w:rsidR="0037514F" w:rsidRPr="0047661B" w:rsidRDefault="0037514F" w:rsidP="0037514F">
      <w:pPr>
        <w:pStyle w:val="Textonotapie"/>
        <w:ind w:firstLine="708"/>
        <w:rPr>
          <w:rFonts w:ascii="Verdana" w:hAnsi="Verdana"/>
          <w:sz w:val="18"/>
          <w:szCs w:val="18"/>
          <w:lang w:val="es-ES_tradnl"/>
        </w:rPr>
      </w:pPr>
      <w:r w:rsidRPr="0047661B">
        <w:rPr>
          <w:rStyle w:val="Refdenotaalpie"/>
          <w:rFonts w:ascii="Verdana" w:hAnsi="Verdana"/>
          <w:sz w:val="18"/>
          <w:szCs w:val="18"/>
        </w:rPr>
        <w:footnoteRef/>
      </w:r>
      <w:r w:rsidRPr="0047661B">
        <w:rPr>
          <w:rFonts w:ascii="Verdana" w:hAnsi="Verdana"/>
          <w:sz w:val="18"/>
          <w:szCs w:val="18"/>
        </w:rPr>
        <w:t xml:space="preserve"> Ibidem </w:t>
      </w:r>
    </w:p>
  </w:footnote>
  <w:footnote w:id="10">
    <w:p w14:paraId="30707361" w14:textId="77777777" w:rsidR="0037514F" w:rsidRPr="0047661B" w:rsidRDefault="0037514F" w:rsidP="0037514F">
      <w:pPr>
        <w:pStyle w:val="Textonotapie"/>
        <w:ind w:firstLine="708"/>
        <w:jc w:val="both"/>
        <w:rPr>
          <w:rFonts w:ascii="Verdana" w:hAnsi="Verdana"/>
          <w:sz w:val="18"/>
          <w:szCs w:val="18"/>
        </w:rPr>
      </w:pPr>
      <w:r w:rsidRPr="0047661B">
        <w:rPr>
          <w:rStyle w:val="Refdenotaalpie"/>
          <w:rFonts w:ascii="Verdana" w:hAnsi="Verdana"/>
          <w:sz w:val="18"/>
          <w:szCs w:val="18"/>
        </w:rPr>
        <w:footnoteRef/>
      </w:r>
      <w:r w:rsidRPr="0047661B">
        <w:rPr>
          <w:rFonts w:ascii="Verdana" w:hAnsi="Verdana"/>
          <w:sz w:val="18"/>
          <w:szCs w:val="18"/>
        </w:rPr>
        <w:t xml:space="preserve"> Este concepto se encuentra disponible en el siguiente enlace: </w:t>
      </w:r>
      <w:hyperlink r:id="rId3" w:history="1">
        <w:r w:rsidRPr="0047661B">
          <w:rPr>
            <w:rStyle w:val="Hipervnculo"/>
            <w:rFonts w:ascii="Verdana" w:hAnsi="Verdana"/>
            <w:sz w:val="18"/>
            <w:szCs w:val="18"/>
          </w:rPr>
          <w:t>https://relatoria.colombiacompra.gov.co/conceptos/c-452-de-2026/</w:t>
        </w:r>
      </w:hyperlink>
      <w:r w:rsidRPr="0047661B">
        <w:rPr>
          <w:rFonts w:ascii="Verdana" w:hAnsi="Verdana"/>
          <w:sz w:val="18"/>
          <w:szCs w:val="18"/>
        </w:rPr>
        <w:t xml:space="preserve"> </w:t>
      </w:r>
    </w:p>
    <w:p w14:paraId="65071ADD" w14:textId="77777777" w:rsidR="0037514F" w:rsidRPr="0047661B" w:rsidRDefault="0037514F" w:rsidP="0037514F">
      <w:pPr>
        <w:pStyle w:val="Textonotapie"/>
        <w:ind w:firstLine="708"/>
        <w:jc w:val="both"/>
        <w:rPr>
          <w:rFonts w:ascii="Verdana" w:hAnsi="Verdana"/>
          <w:sz w:val="18"/>
          <w:szCs w:val="18"/>
          <w:lang w:val="es-ES_tradnl"/>
        </w:rPr>
      </w:pPr>
    </w:p>
  </w:footnote>
  <w:footnote w:id="11">
    <w:p w14:paraId="5C9E8D30" w14:textId="77777777" w:rsidR="0037514F" w:rsidRPr="0047661B" w:rsidRDefault="0037514F" w:rsidP="0037514F">
      <w:pPr>
        <w:pStyle w:val="Textonotapie"/>
        <w:ind w:firstLine="708"/>
        <w:jc w:val="both"/>
        <w:rPr>
          <w:rFonts w:ascii="Verdana" w:hAnsi="Verdana"/>
          <w:sz w:val="18"/>
          <w:szCs w:val="18"/>
          <w:lang w:val="es-ES_tradnl"/>
        </w:rPr>
      </w:pPr>
      <w:r w:rsidRPr="0047661B">
        <w:rPr>
          <w:rStyle w:val="Refdenotaalpie"/>
          <w:rFonts w:ascii="Verdana" w:hAnsi="Verdana"/>
          <w:sz w:val="18"/>
          <w:szCs w:val="18"/>
        </w:rPr>
        <w:footnoteRef/>
      </w:r>
      <w:r w:rsidRPr="0047661B">
        <w:rPr>
          <w:rFonts w:ascii="Verdana" w:hAnsi="Verdana"/>
          <w:sz w:val="18"/>
          <w:szCs w:val="18"/>
        </w:rPr>
        <w:t xml:space="preserve"> La Agencia Nacional de Contratación Pública – Colombia Compra Eficiente se pronunció sobre la actividad de instalación de aires acondicionados entre otros en los conceptos C-304 del 8 de abril de 2026 y C-323 del 8 de abril de 2023, estos conceptos pueden consultarse en la relatoría de esta Agencia a través del siguiente enlace: </w:t>
      </w:r>
      <w:hyperlink r:id="rId4" w:tgtFrame="_blank" w:tooltip="Dirección URL original: https://relatoria.colombiacompra.gov.co/. Haga clic o pulse si confía en este vínculo." w:history="1">
        <w:r w:rsidRPr="0047661B">
          <w:rPr>
            <w:rFonts w:ascii="Verdana" w:eastAsia="Calibri" w:hAnsi="Verdana" w:cs="Arial"/>
            <w:color w:val="0000FF"/>
            <w:sz w:val="18"/>
            <w:szCs w:val="18"/>
            <w:u w:val="single"/>
            <w:shd w:val="clear" w:color="auto" w:fill="FFFFFF"/>
          </w:rPr>
          <w:t>https://relatoria.colombiacompra.gov.co/</w:t>
        </w:r>
      </w:hyperlink>
      <w:r w:rsidRPr="0047661B">
        <w:rPr>
          <w:rFonts w:ascii="Verdana" w:eastAsia="Calibri" w:hAnsi="Verdana" w:cs="Arial"/>
          <w:color w:val="0000FF"/>
          <w:sz w:val="18"/>
          <w:szCs w:val="18"/>
          <w:u w:val="single"/>
          <w:shd w:val="clear" w:color="auto" w:fill="FFFFFF"/>
        </w:rPr>
        <w:t> .</w:t>
      </w:r>
    </w:p>
  </w:footnote>
  <w:footnote w:id="12">
    <w:p w14:paraId="499B62C6" w14:textId="77777777" w:rsidR="0037514F" w:rsidRPr="00EB4645" w:rsidRDefault="0037514F" w:rsidP="0037514F">
      <w:pPr>
        <w:pStyle w:val="Textonotapie"/>
        <w:ind w:firstLine="709"/>
        <w:jc w:val="both"/>
        <w:rPr>
          <w:rFonts w:ascii="Verdana" w:hAnsi="Verdana" w:cs="Arial"/>
          <w:sz w:val="16"/>
          <w:szCs w:val="16"/>
          <w:lang w:val="es-ES"/>
        </w:rPr>
      </w:pPr>
      <w:r w:rsidRPr="00EB4645">
        <w:rPr>
          <w:rStyle w:val="Refdenotaalpie"/>
          <w:rFonts w:ascii="Verdana" w:hAnsi="Verdana" w:cs="Arial"/>
          <w:sz w:val="16"/>
          <w:szCs w:val="16"/>
        </w:rPr>
        <w:footnoteRef/>
      </w:r>
      <w:r w:rsidRPr="00EB4645">
        <w:rPr>
          <w:rFonts w:ascii="Verdana" w:hAnsi="Verdana" w:cs="Arial"/>
          <w:sz w:val="16"/>
          <w:szCs w:val="16"/>
        </w:rPr>
        <w:t xml:space="preserve"> </w:t>
      </w:r>
      <w:r w:rsidRPr="00EB4645">
        <w:rPr>
          <w:rFonts w:ascii="Verdana" w:hAnsi="Verdana" w:cs="Arial"/>
          <w:sz w:val="16"/>
          <w:szCs w:val="16"/>
          <w:lang w:val="es-ES"/>
        </w:rPr>
        <w:t>BOBBIO, Norberto. Democracia y secreto. México: Fondo de Cultura Económica, 2013. p. 27.</w:t>
      </w:r>
    </w:p>
  </w:footnote>
  <w:footnote w:id="13">
    <w:p w14:paraId="692914D4" w14:textId="77777777" w:rsidR="0037514F" w:rsidRPr="00BA7861" w:rsidRDefault="0037514F" w:rsidP="0037514F">
      <w:pPr>
        <w:pStyle w:val="Textonotapie"/>
        <w:ind w:firstLine="709"/>
        <w:jc w:val="both"/>
        <w:rPr>
          <w:rFonts w:ascii="Verdana" w:hAnsi="Verdana" w:cs="Arial"/>
          <w:color w:val="000000"/>
          <w:sz w:val="16"/>
          <w:szCs w:val="16"/>
        </w:rPr>
      </w:pPr>
      <w:r w:rsidRPr="00BA7861">
        <w:rPr>
          <w:rStyle w:val="Refdenotaalpie"/>
          <w:rFonts w:ascii="Verdana" w:hAnsi="Verdana" w:cs="Arial"/>
          <w:color w:val="000000"/>
          <w:sz w:val="16"/>
          <w:szCs w:val="16"/>
        </w:rPr>
        <w:footnoteRef/>
      </w:r>
      <w:r w:rsidRPr="00BA7861">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810ED1E" w14:textId="77777777" w:rsidR="0037514F" w:rsidRPr="00BA7861" w:rsidRDefault="0037514F" w:rsidP="0037514F">
      <w:pPr>
        <w:pStyle w:val="Textonotapie"/>
        <w:ind w:firstLine="709"/>
        <w:jc w:val="both"/>
        <w:rPr>
          <w:rFonts w:ascii="Verdana" w:hAnsi="Verdana" w:cs="Arial"/>
          <w:color w:val="000000"/>
          <w:sz w:val="16"/>
          <w:szCs w:val="16"/>
        </w:rPr>
      </w:pPr>
      <w:r w:rsidRPr="00BA7861">
        <w:rPr>
          <w:rFonts w:ascii="Verdana" w:hAnsi="Verdana" w:cs="Arial"/>
          <w:color w:val="000000"/>
          <w:sz w:val="16"/>
          <w:szCs w:val="16"/>
        </w:rPr>
        <w:t>Lo anterior, sin perjuicio de las publicaciones previstas en el numeral 3 del artículo 30 de la Ley 80 de 1993.</w:t>
      </w:r>
    </w:p>
    <w:p w14:paraId="6C658B83" w14:textId="77777777" w:rsidR="0037514F" w:rsidRPr="00BA7861" w:rsidRDefault="0037514F" w:rsidP="0037514F">
      <w:pPr>
        <w:pStyle w:val="Textonotapie"/>
        <w:ind w:firstLine="709"/>
        <w:jc w:val="both"/>
        <w:rPr>
          <w:rFonts w:ascii="Verdana" w:hAnsi="Verdana" w:cs="Arial"/>
          <w:color w:val="000000"/>
          <w:sz w:val="16"/>
          <w:szCs w:val="16"/>
        </w:rPr>
      </w:pPr>
      <w:r w:rsidRPr="00BA7861">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0EA604D9" w14:textId="77777777" w:rsidR="0037514F" w:rsidRPr="00BA7861" w:rsidRDefault="0037514F" w:rsidP="0037514F">
      <w:pPr>
        <w:pStyle w:val="Textonotapie"/>
        <w:ind w:firstLine="709"/>
        <w:jc w:val="both"/>
        <w:rPr>
          <w:rFonts w:ascii="Verdana" w:hAnsi="Verdana" w:cs="Arial"/>
          <w:color w:val="000000"/>
          <w:sz w:val="16"/>
          <w:szCs w:val="16"/>
        </w:rPr>
      </w:pPr>
      <w:r w:rsidRPr="00BA7861">
        <w:rPr>
          <w:rFonts w:ascii="Verdana" w:hAnsi="Verdana" w:cs="Arial"/>
          <w:color w:val="000000"/>
          <w:sz w:val="16"/>
          <w:szCs w:val="16"/>
        </w:rPr>
        <w:t>[…]</w:t>
      </w:r>
    </w:p>
    <w:p w14:paraId="1214ADA9" w14:textId="77777777" w:rsidR="0037514F" w:rsidRPr="00BA7861" w:rsidRDefault="0037514F" w:rsidP="0037514F">
      <w:pPr>
        <w:pStyle w:val="Textonotapie"/>
        <w:ind w:firstLine="709"/>
        <w:jc w:val="both"/>
        <w:rPr>
          <w:rFonts w:ascii="Verdana" w:hAnsi="Verdana" w:cs="Arial"/>
          <w:color w:val="000000"/>
          <w:sz w:val="16"/>
          <w:szCs w:val="16"/>
        </w:rPr>
      </w:pPr>
      <w:r w:rsidRPr="00BA7861">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3E56E20B" w14:textId="77777777" w:rsidR="0037514F" w:rsidRPr="00BA7861" w:rsidRDefault="0037514F" w:rsidP="0037514F">
      <w:pPr>
        <w:pStyle w:val="Textonotapie"/>
        <w:ind w:firstLine="709"/>
        <w:jc w:val="both"/>
        <w:rPr>
          <w:rFonts w:ascii="Verdana" w:hAnsi="Verdana" w:cs="Arial"/>
          <w:color w:val="000000"/>
          <w:sz w:val="16"/>
          <w:szCs w:val="16"/>
          <w:lang w:val="es-CO"/>
        </w:rPr>
      </w:pPr>
    </w:p>
  </w:footnote>
  <w:footnote w:id="14">
    <w:p w14:paraId="262A9BEF" w14:textId="77777777" w:rsidR="0037514F" w:rsidRPr="00BA7861" w:rsidRDefault="0037514F" w:rsidP="0037514F">
      <w:pPr>
        <w:pStyle w:val="Textonotapie"/>
        <w:ind w:firstLine="709"/>
        <w:jc w:val="both"/>
        <w:rPr>
          <w:rFonts w:ascii="Verdana" w:hAnsi="Verdana" w:cs="Arial"/>
          <w:color w:val="000000"/>
          <w:sz w:val="16"/>
          <w:szCs w:val="16"/>
        </w:rPr>
      </w:pPr>
      <w:r w:rsidRPr="00BA7861">
        <w:rPr>
          <w:rStyle w:val="Refdenotaalpie"/>
          <w:rFonts w:ascii="Verdana" w:hAnsi="Verdana" w:cs="Arial"/>
          <w:color w:val="000000"/>
          <w:sz w:val="16"/>
          <w:szCs w:val="16"/>
        </w:rPr>
        <w:footnoteRef/>
      </w:r>
      <w:r w:rsidRPr="00BA7861">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BACF4CB" w14:textId="77777777" w:rsidR="0037514F" w:rsidRPr="00BA7861" w:rsidRDefault="0037514F" w:rsidP="0037514F">
      <w:pPr>
        <w:pStyle w:val="Textonotapie"/>
        <w:ind w:firstLine="709"/>
        <w:jc w:val="both"/>
        <w:rPr>
          <w:rFonts w:ascii="Verdana" w:hAnsi="Verdana" w:cs="Arial"/>
          <w:color w:val="000000"/>
          <w:sz w:val="16"/>
          <w:szCs w:val="16"/>
          <w:lang w:val="es-CO"/>
        </w:rPr>
      </w:pPr>
    </w:p>
  </w:footnote>
  <w:footnote w:id="15">
    <w:p w14:paraId="4537E8D6" w14:textId="77777777" w:rsidR="0037514F" w:rsidRPr="00BA7861" w:rsidRDefault="0037514F" w:rsidP="0037514F">
      <w:pPr>
        <w:pStyle w:val="Textonotapie"/>
        <w:ind w:firstLine="709"/>
        <w:jc w:val="both"/>
        <w:rPr>
          <w:rFonts w:ascii="Verdana" w:hAnsi="Verdana" w:cs="Arial"/>
          <w:color w:val="000000"/>
          <w:sz w:val="16"/>
          <w:szCs w:val="16"/>
        </w:rPr>
      </w:pPr>
      <w:r w:rsidRPr="00BA7861">
        <w:rPr>
          <w:rStyle w:val="Refdenotaalpie"/>
          <w:rFonts w:ascii="Verdana" w:hAnsi="Verdana" w:cs="Arial"/>
          <w:color w:val="000000"/>
          <w:sz w:val="16"/>
          <w:szCs w:val="16"/>
        </w:rPr>
        <w:footnoteRef/>
      </w:r>
      <w:r w:rsidRPr="00BA7861">
        <w:rPr>
          <w:rFonts w:ascii="Verdana" w:hAnsi="Verdana" w:cs="Arial"/>
          <w:color w:val="000000"/>
          <w:sz w:val="16"/>
          <w:szCs w:val="16"/>
        </w:rPr>
        <w:t xml:space="preserve"> Ley 1712 de 2014: «Artículo 5. Ámbito de aplicación. Las disposiciones de esta ley serán aplicables a las siguientes personas en calidad de sujetos obligados: </w:t>
      </w:r>
    </w:p>
    <w:p w14:paraId="0CEC3276" w14:textId="77777777" w:rsidR="0037514F" w:rsidRPr="00BA7861" w:rsidRDefault="0037514F" w:rsidP="0037514F">
      <w:pPr>
        <w:pStyle w:val="Textonotapie"/>
        <w:ind w:firstLine="709"/>
        <w:jc w:val="both"/>
        <w:rPr>
          <w:rFonts w:ascii="Verdana" w:hAnsi="Verdana" w:cs="Arial"/>
          <w:color w:val="000000"/>
          <w:sz w:val="16"/>
          <w:szCs w:val="16"/>
        </w:rPr>
      </w:pPr>
      <w:r w:rsidRPr="00BA7861">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C588EBD" w14:textId="77777777" w:rsidR="0037514F" w:rsidRPr="00BA7861" w:rsidRDefault="0037514F" w:rsidP="0037514F">
      <w:pPr>
        <w:pStyle w:val="Textonotapie"/>
        <w:ind w:firstLine="709"/>
        <w:jc w:val="both"/>
        <w:rPr>
          <w:rFonts w:ascii="Verdana" w:hAnsi="Verdana" w:cs="Arial"/>
          <w:color w:val="000000"/>
          <w:sz w:val="16"/>
          <w:szCs w:val="16"/>
          <w:lang w:val="es-CO"/>
        </w:rPr>
      </w:pPr>
    </w:p>
  </w:footnote>
  <w:footnote w:id="16">
    <w:p w14:paraId="4C68D980" w14:textId="77777777" w:rsidR="0037514F" w:rsidRPr="00BA7861" w:rsidRDefault="0037514F" w:rsidP="0037514F">
      <w:pPr>
        <w:pStyle w:val="Textonotapie"/>
        <w:ind w:firstLine="709"/>
        <w:jc w:val="both"/>
        <w:rPr>
          <w:rFonts w:ascii="Verdana" w:hAnsi="Verdana" w:cs="Arial"/>
          <w:color w:val="000000"/>
          <w:sz w:val="16"/>
          <w:szCs w:val="16"/>
        </w:rPr>
      </w:pPr>
      <w:r w:rsidRPr="00BA7861">
        <w:rPr>
          <w:rFonts w:ascii="Verdana" w:eastAsia="Times New Roman" w:hAnsi="Verdana" w:cs="Arial"/>
          <w:color w:val="000000"/>
          <w:sz w:val="16"/>
          <w:szCs w:val="16"/>
          <w:vertAlign w:val="superscript"/>
          <w:lang w:val="es-ES" w:eastAsia="es-ES"/>
        </w:rPr>
        <w:footnoteRef/>
      </w:r>
      <w:r w:rsidRPr="00BA7861">
        <w:rPr>
          <w:rFonts w:ascii="Verdana" w:eastAsia="Times New Roman" w:hAnsi="Verdana" w:cs="Arial"/>
          <w:color w:val="000000"/>
          <w:sz w:val="16"/>
          <w:szCs w:val="16"/>
          <w:vertAlign w:val="superscript"/>
          <w:lang w:val="es-ES" w:eastAsia="es-ES"/>
        </w:rPr>
        <w:t xml:space="preserve"> </w:t>
      </w:r>
      <w:r w:rsidRPr="00BA7861">
        <w:rPr>
          <w:rFonts w:ascii="Verdana" w:eastAsia="Times New Roman" w:hAnsi="Verdana" w:cs="Arial"/>
          <w:color w:val="000000"/>
          <w:sz w:val="16"/>
          <w:szCs w:val="16"/>
          <w:lang w:val="es-ES" w:eastAsia="es-ES"/>
        </w:rPr>
        <w:t>«</w:t>
      </w:r>
      <w:r w:rsidRPr="00BA7861">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D6CF277" w14:textId="77777777" w:rsidR="0037514F" w:rsidRPr="00BA7861" w:rsidRDefault="0037514F" w:rsidP="0037514F">
      <w:pPr>
        <w:pStyle w:val="Textonotapie"/>
        <w:ind w:firstLine="709"/>
        <w:jc w:val="both"/>
        <w:rPr>
          <w:rFonts w:ascii="Verdana" w:eastAsia="Times New Roman" w:hAnsi="Verdana" w:cs="Arial"/>
          <w:color w:val="000000"/>
          <w:sz w:val="16"/>
          <w:szCs w:val="16"/>
          <w:lang w:val="es-ES" w:eastAsia="es-ES"/>
        </w:rPr>
      </w:pPr>
      <w:r w:rsidRPr="00BA7861">
        <w:rPr>
          <w:rFonts w:ascii="Verdana" w:hAnsi="Verdana" w:cs="Arial"/>
          <w:color w:val="000000"/>
          <w:sz w:val="16"/>
          <w:szCs w:val="16"/>
        </w:rPr>
        <w:t>[…].</w:t>
      </w:r>
    </w:p>
    <w:p w14:paraId="079EBFD0" w14:textId="77777777" w:rsidR="0037514F" w:rsidRPr="00BA7861" w:rsidRDefault="0037514F" w:rsidP="0037514F">
      <w:pPr>
        <w:pStyle w:val="Textonotapie"/>
        <w:ind w:firstLine="709"/>
        <w:jc w:val="both"/>
        <w:rPr>
          <w:rFonts w:ascii="Verdana" w:eastAsia="Times New Roman" w:hAnsi="Verdana" w:cs="Arial"/>
          <w:color w:val="000000"/>
          <w:sz w:val="16"/>
          <w:szCs w:val="16"/>
          <w:lang w:val="es-ES" w:eastAsia="es-ES"/>
        </w:rPr>
      </w:pPr>
      <w:r w:rsidRPr="00BA7861">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70313659" w14:textId="77777777" w:rsidR="0037514F" w:rsidRPr="00BA7861" w:rsidRDefault="0037514F" w:rsidP="0037514F">
      <w:pPr>
        <w:pStyle w:val="Textonotapie"/>
        <w:ind w:firstLine="709"/>
        <w:jc w:val="both"/>
        <w:rPr>
          <w:rFonts w:ascii="Verdana" w:eastAsia="Times New Roman" w:hAnsi="Verdana" w:cs="Arial"/>
          <w:color w:val="000000"/>
          <w:sz w:val="16"/>
          <w:szCs w:val="16"/>
          <w:lang w:val="es-ES" w:eastAsia="es-ES"/>
        </w:rPr>
      </w:pPr>
    </w:p>
  </w:footnote>
  <w:footnote w:id="17">
    <w:p w14:paraId="2AFEDF7B" w14:textId="77777777" w:rsidR="0037514F" w:rsidRPr="00EB4645" w:rsidRDefault="0037514F" w:rsidP="0037514F">
      <w:pPr>
        <w:pStyle w:val="Textonotapie"/>
        <w:ind w:firstLine="709"/>
        <w:jc w:val="both"/>
        <w:rPr>
          <w:rFonts w:ascii="Verdana" w:hAnsi="Verdana" w:cs="Arial"/>
          <w:color w:val="000000"/>
          <w:sz w:val="16"/>
          <w:szCs w:val="16"/>
        </w:rPr>
      </w:pPr>
      <w:r w:rsidRPr="00EB4645">
        <w:rPr>
          <w:rStyle w:val="Refdenotaalpie"/>
          <w:rFonts w:ascii="Verdana" w:hAnsi="Verdana" w:cs="Arial"/>
          <w:color w:val="000000"/>
          <w:sz w:val="16"/>
          <w:szCs w:val="16"/>
        </w:rPr>
        <w:footnoteRef/>
      </w:r>
      <w:r w:rsidRPr="00EB4645">
        <w:rPr>
          <w:rFonts w:ascii="Verdana" w:hAnsi="Verdana" w:cs="Arial"/>
          <w:color w:val="000000"/>
          <w:sz w:val="16"/>
          <w:szCs w:val="16"/>
        </w:rPr>
        <w:t xml:space="preserve"> C</w:t>
      </w:r>
      <w:r w:rsidRPr="00EB4645">
        <w:rPr>
          <w:rFonts w:ascii="Verdana" w:eastAsia="Times New Roman" w:hAnsi="Verdana" w:cs="Arial"/>
          <w:color w:val="000000"/>
          <w:sz w:val="16"/>
          <w:szCs w:val="16"/>
          <w:lang w:val="es-ES" w:eastAsia="es-ES"/>
        </w:rPr>
        <w:t>orte Constitucional. Sentencia C‒274 de 9 de mayo de 2013. M.P. Mar</w:t>
      </w:r>
      <w:r w:rsidRPr="00EB4645">
        <w:rPr>
          <w:rFonts w:ascii="Verdana" w:eastAsia="Times New Roman" w:hAnsi="Verdana" w:cs="Century Gothic"/>
          <w:color w:val="000000"/>
          <w:sz w:val="16"/>
          <w:szCs w:val="16"/>
          <w:lang w:val="es-ES" w:eastAsia="es-ES"/>
        </w:rPr>
        <w:t>í</w:t>
      </w:r>
      <w:r w:rsidRPr="00EB4645">
        <w:rPr>
          <w:rFonts w:ascii="Verdana" w:eastAsia="Times New Roman" w:hAnsi="Verdana" w:cs="Arial"/>
          <w:color w:val="000000"/>
          <w:sz w:val="16"/>
          <w:szCs w:val="16"/>
          <w:lang w:val="es-ES" w:eastAsia="es-ES"/>
        </w:rPr>
        <w:t xml:space="preserve">a Victoria Calle Correa. </w:t>
      </w:r>
    </w:p>
    <w:p w14:paraId="0ED041C9" w14:textId="77777777" w:rsidR="0037514F" w:rsidRPr="00EB4645" w:rsidRDefault="0037514F" w:rsidP="0037514F">
      <w:pPr>
        <w:pStyle w:val="Textonotapie"/>
        <w:ind w:firstLine="709"/>
        <w:jc w:val="both"/>
        <w:rPr>
          <w:rFonts w:ascii="Verdana" w:hAnsi="Verdana" w:cs="Arial"/>
          <w:color w:val="000000"/>
          <w:sz w:val="16"/>
          <w:szCs w:val="16"/>
          <w:lang w:val="es-CO"/>
        </w:rPr>
      </w:pPr>
    </w:p>
  </w:footnote>
  <w:footnote w:id="18">
    <w:p w14:paraId="66787629" w14:textId="77777777" w:rsidR="0037514F" w:rsidRPr="00EB4645" w:rsidRDefault="0037514F" w:rsidP="0037514F">
      <w:pPr>
        <w:pStyle w:val="Textonotapie"/>
        <w:ind w:firstLine="708"/>
        <w:jc w:val="both"/>
        <w:rPr>
          <w:rFonts w:ascii="Verdana" w:hAnsi="Verdana" w:cs="Arial"/>
          <w:color w:val="000000"/>
          <w:sz w:val="16"/>
          <w:szCs w:val="16"/>
        </w:rPr>
      </w:pPr>
      <w:r w:rsidRPr="00EB4645">
        <w:rPr>
          <w:rStyle w:val="Refdenotaalpie"/>
          <w:rFonts w:ascii="Verdana" w:hAnsi="Verdana" w:cs="Arial"/>
          <w:color w:val="000000"/>
          <w:sz w:val="16"/>
          <w:szCs w:val="16"/>
        </w:rPr>
        <w:footnoteRef/>
      </w:r>
      <w:r w:rsidRPr="00EB4645">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365A014D" w14:textId="77777777" w:rsidR="0037514F" w:rsidRPr="00EB4645" w:rsidRDefault="0037514F" w:rsidP="0037514F">
      <w:pPr>
        <w:pStyle w:val="Textonotapie"/>
        <w:ind w:firstLine="708"/>
        <w:jc w:val="both"/>
        <w:rPr>
          <w:rFonts w:ascii="Verdana" w:hAnsi="Verdana" w:cs="Arial"/>
          <w:color w:val="000000"/>
          <w:sz w:val="16"/>
          <w:szCs w:val="16"/>
        </w:rPr>
      </w:pPr>
      <w:r w:rsidRPr="00EB4645">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19">
    <w:p w14:paraId="35F0AADC" w14:textId="77777777" w:rsidR="0037514F" w:rsidRPr="005867CF" w:rsidRDefault="0037514F" w:rsidP="0037514F">
      <w:pPr>
        <w:pStyle w:val="NormalWeb"/>
        <w:spacing w:before="0" w:beforeAutospacing="0" w:after="0" w:afterAutospacing="0"/>
        <w:ind w:firstLine="709"/>
        <w:jc w:val="both"/>
        <w:rPr>
          <w:rFonts w:ascii="Verdana" w:hAnsi="Verdana" w:cs="Arial"/>
          <w:sz w:val="15"/>
          <w:szCs w:val="15"/>
        </w:rPr>
      </w:pPr>
      <w:r w:rsidRPr="005867CF">
        <w:rPr>
          <w:rStyle w:val="Refdenotaalpie"/>
          <w:rFonts w:ascii="Verdana" w:hAnsi="Verdana"/>
          <w:sz w:val="15"/>
          <w:szCs w:val="15"/>
        </w:rPr>
        <w:footnoteRef/>
      </w:r>
      <w:r w:rsidRPr="005867CF">
        <w:rPr>
          <w:rFonts w:ascii="Verdana" w:hAnsi="Verdana" w:cs="Arial"/>
          <w:sz w:val="15"/>
          <w:szCs w:val="15"/>
        </w:rPr>
        <w:t xml:space="preserve"> “Los documentos públicos autorizados o suscritos por medios electrónicos tienen la validez y fuerza probatoria que le confieren a los mismos las disposiciones del Código de Procedimiento Civil.</w:t>
      </w:r>
    </w:p>
    <w:p w14:paraId="6CD78320" w14:textId="77777777" w:rsidR="0037514F" w:rsidRPr="005867CF" w:rsidRDefault="0037514F" w:rsidP="0037514F">
      <w:pPr>
        <w:pStyle w:val="NormalWeb"/>
        <w:spacing w:before="0" w:beforeAutospacing="0" w:after="0" w:afterAutospacing="0"/>
        <w:ind w:firstLine="709"/>
        <w:jc w:val="both"/>
        <w:rPr>
          <w:rFonts w:ascii="Verdana" w:hAnsi="Verdana"/>
          <w:sz w:val="15"/>
          <w:szCs w:val="15"/>
        </w:rPr>
      </w:pPr>
      <w:r w:rsidRPr="005867CF">
        <w:rPr>
          <w:rFonts w:ascii="Verdana" w:hAnsi="Verdana" w:cs="Arial"/>
          <w:sz w:val="15"/>
          <w:szCs w:val="15"/>
        </w:rPr>
        <w:t>Las reproducciones efectuadas a partir de los respectivos archivos electrónicos se reputarán auténticas para todos los efectos legales”.</w:t>
      </w:r>
      <w:r w:rsidRPr="005867CF">
        <w:rPr>
          <w:rFonts w:ascii="Verdana" w:hAnsi="Verdana"/>
          <w:sz w:val="15"/>
          <w:szCs w:val="15"/>
        </w:rPr>
        <w:t xml:space="preserve"> </w:t>
      </w:r>
    </w:p>
  </w:footnote>
  <w:footnote w:id="20">
    <w:p w14:paraId="22CE4E39" w14:textId="77777777" w:rsidR="0037514F" w:rsidRPr="005867CF" w:rsidRDefault="0037514F" w:rsidP="0037514F">
      <w:pPr>
        <w:pStyle w:val="Textonotapie"/>
        <w:ind w:firstLine="709"/>
        <w:jc w:val="both"/>
        <w:rPr>
          <w:rFonts w:ascii="Verdana" w:hAnsi="Verdana" w:cs="Arial"/>
          <w:sz w:val="15"/>
          <w:szCs w:val="15"/>
        </w:rPr>
      </w:pPr>
      <w:r w:rsidRPr="005867CF">
        <w:rPr>
          <w:rStyle w:val="Refdenotaalpie"/>
          <w:rFonts w:ascii="Verdana" w:hAnsi="Verdana"/>
          <w:sz w:val="15"/>
          <w:szCs w:val="15"/>
        </w:rPr>
        <w:footnoteRef/>
      </w:r>
      <w:r w:rsidRPr="005867CF">
        <w:rPr>
          <w:rFonts w:ascii="Verdana" w:hAnsi="Verdana"/>
          <w:sz w:val="15"/>
          <w:szCs w:val="15"/>
        </w:rPr>
        <w:t xml:space="preserve"> “</w:t>
      </w:r>
      <w:r w:rsidRPr="005867CF">
        <w:rPr>
          <w:rFonts w:ascii="Verdana" w:hAnsi="Verdana" w:cs="Arial"/>
          <w:sz w:val="15"/>
          <w:szCs w:val="15"/>
        </w:rPr>
        <w:t>Las autoridades, en el ejercicio de sus funciones, podrán emitir válidamente actos administrativos por medios electrónicos siempre y cuando se asegure su autenticidad, integridad y disponibilidad de acuerdo con la ley”.</w:t>
      </w:r>
    </w:p>
  </w:footnote>
  <w:footnote w:id="21">
    <w:p w14:paraId="5F9BB440" w14:textId="77777777" w:rsidR="0037514F" w:rsidRPr="005867CF" w:rsidRDefault="0037514F" w:rsidP="0037514F">
      <w:pPr>
        <w:pStyle w:val="NormalWeb"/>
        <w:spacing w:before="0" w:beforeAutospacing="0" w:after="0" w:afterAutospacing="0"/>
        <w:ind w:firstLine="709"/>
        <w:jc w:val="both"/>
        <w:rPr>
          <w:rFonts w:ascii="Verdana" w:hAnsi="Verdana"/>
          <w:sz w:val="15"/>
          <w:szCs w:val="15"/>
        </w:rPr>
      </w:pPr>
      <w:r w:rsidRPr="005867CF">
        <w:rPr>
          <w:rStyle w:val="Refdenotaalpie"/>
          <w:rFonts w:ascii="Verdana" w:hAnsi="Verdana"/>
          <w:sz w:val="15"/>
          <w:szCs w:val="15"/>
        </w:rPr>
        <w:footnoteRef/>
      </w:r>
      <w:r w:rsidRPr="005867CF">
        <w:rPr>
          <w:rFonts w:ascii="Verdana" w:hAnsi="Verdana"/>
          <w:sz w:val="15"/>
          <w:szCs w:val="15"/>
        </w:rPr>
        <w:t xml:space="preserve"> “</w:t>
      </w:r>
      <w:r w:rsidRPr="005867CF">
        <w:rPr>
          <w:rFonts w:ascii="Verdana" w:hAnsi="Verdana"/>
          <w:bCs/>
          <w:sz w:val="15"/>
          <w:szCs w:val="15"/>
        </w:rPr>
        <w:t>Artículo 58.</w:t>
      </w:r>
      <w:r w:rsidRPr="005867CF">
        <w:rPr>
          <w:rFonts w:ascii="Verdana" w:hAnsi="Verdana"/>
          <w:b/>
          <w:bCs/>
          <w:sz w:val="15"/>
          <w:szCs w:val="15"/>
        </w:rPr>
        <w:t xml:space="preserve"> </w:t>
      </w:r>
      <w:r w:rsidRPr="005867CF">
        <w:rPr>
          <w:rFonts w:ascii="Verdana" w:hAnsi="Verdana"/>
          <w:i/>
          <w:iCs/>
          <w:sz w:val="15"/>
          <w:szCs w:val="15"/>
        </w:rPr>
        <w:t>Archivo electrónico de documentos.</w:t>
      </w:r>
      <w:r w:rsidRPr="005867CF">
        <w:rPr>
          <w:rFonts w:ascii="Verdana" w:hAnsi="Verdana"/>
          <w:sz w:val="15"/>
          <w:szCs w:val="15"/>
        </w:rPr>
        <w:t> Cuando el procedimiento administrativo se adelante utilizando medios electrónicos, los documentos deberán ser archivados en este mismo medio. Podrán almacenarse por medios electrónicos, todos los documentos utilizados en las actuaciones administrativas. </w:t>
      </w:r>
    </w:p>
    <w:p w14:paraId="735EE964" w14:textId="77777777" w:rsidR="0037514F" w:rsidRPr="005867CF" w:rsidRDefault="0037514F" w:rsidP="0037514F">
      <w:pPr>
        <w:pStyle w:val="NormalWeb"/>
        <w:spacing w:before="0" w:beforeAutospacing="0" w:after="0" w:afterAutospacing="0"/>
        <w:ind w:firstLine="709"/>
        <w:rPr>
          <w:rFonts w:ascii="Verdana" w:hAnsi="Verdana"/>
          <w:sz w:val="15"/>
          <w:szCs w:val="15"/>
        </w:rPr>
      </w:pPr>
      <w:r w:rsidRPr="005867CF">
        <w:rPr>
          <w:rFonts w:ascii="Verdana" w:hAnsi="Verdana"/>
          <w:sz w:val="15"/>
          <w:szCs w:val="15"/>
        </w:rPr>
        <w:t>La conservación de los documentos electrónicos que contengan actos administrativos de carácter individual, deberá asegurar la autenticidad e integridad de la información necesaria para reproducirlos, y registrar las fechas de expedición, notificación y archivo”.</w:t>
      </w:r>
    </w:p>
  </w:footnote>
  <w:footnote w:id="22">
    <w:p w14:paraId="1B2CA1FC" w14:textId="77777777" w:rsidR="0037514F" w:rsidRPr="005867CF" w:rsidRDefault="0037514F" w:rsidP="0037514F">
      <w:pPr>
        <w:pStyle w:val="NormalWeb"/>
        <w:spacing w:before="0" w:beforeAutospacing="0" w:after="0" w:afterAutospacing="0"/>
        <w:ind w:firstLine="708"/>
        <w:jc w:val="both"/>
        <w:rPr>
          <w:rFonts w:ascii="Verdana" w:hAnsi="Verdana"/>
          <w:sz w:val="15"/>
          <w:szCs w:val="15"/>
        </w:rPr>
      </w:pPr>
      <w:r w:rsidRPr="005867CF">
        <w:rPr>
          <w:rStyle w:val="Refdenotaalpie"/>
          <w:rFonts w:ascii="Verdana" w:hAnsi="Verdana"/>
          <w:sz w:val="15"/>
          <w:szCs w:val="15"/>
        </w:rPr>
        <w:footnoteRef/>
      </w:r>
      <w:r w:rsidRPr="005867CF">
        <w:rPr>
          <w:rFonts w:ascii="Verdana" w:hAnsi="Verdana"/>
          <w:sz w:val="15"/>
          <w:szCs w:val="15"/>
        </w:rPr>
        <w:t xml:space="preserve"> “</w:t>
      </w:r>
      <w:r w:rsidRPr="005867CF">
        <w:rPr>
          <w:rFonts w:ascii="Verdana" w:hAnsi="Verdana"/>
          <w:bCs/>
          <w:sz w:val="15"/>
          <w:szCs w:val="15"/>
        </w:rPr>
        <w:t>ARTÍCULO 61.</w:t>
      </w:r>
      <w:r w:rsidRPr="005867CF">
        <w:rPr>
          <w:rFonts w:ascii="Verdana" w:hAnsi="Verdana"/>
          <w:sz w:val="15"/>
          <w:szCs w:val="15"/>
        </w:rPr>
        <w:t> Recepción de documentos electrónicos por parte de las autoridades. Para la recepción de documentos electrónicos dentro de una actuación administrativa, las autoridades deberán contar con un registro electrónico de documentos, además de:</w:t>
      </w:r>
    </w:p>
    <w:p w14:paraId="1A4EEF61" w14:textId="77777777" w:rsidR="0037514F" w:rsidRPr="005867CF" w:rsidRDefault="0037514F" w:rsidP="0037514F">
      <w:pPr>
        <w:pStyle w:val="NormalWeb"/>
        <w:spacing w:before="0" w:beforeAutospacing="0" w:after="0" w:afterAutospacing="0"/>
        <w:ind w:firstLine="708"/>
        <w:jc w:val="both"/>
        <w:rPr>
          <w:rFonts w:ascii="Verdana" w:hAnsi="Verdana"/>
          <w:sz w:val="15"/>
          <w:szCs w:val="15"/>
        </w:rPr>
      </w:pPr>
      <w:r w:rsidRPr="005867CF">
        <w:rPr>
          <w:rFonts w:ascii="Verdana" w:hAnsi="Verdana"/>
          <w:sz w:val="15"/>
          <w:szCs w:val="15"/>
        </w:rPr>
        <w:t>1. Llevar un estricto control y relación de los documentos electrónicos enviados y recibidos en los sistemas de información, a través de los diversos canales, incluyendo la fecha y hora de recepción.</w:t>
      </w:r>
    </w:p>
    <w:p w14:paraId="614223DE" w14:textId="77777777" w:rsidR="0037514F" w:rsidRPr="005867CF" w:rsidRDefault="0037514F" w:rsidP="0037514F">
      <w:pPr>
        <w:pStyle w:val="NormalWeb"/>
        <w:spacing w:before="0" w:beforeAutospacing="0" w:after="0" w:afterAutospacing="0"/>
        <w:ind w:firstLine="708"/>
        <w:jc w:val="both"/>
        <w:rPr>
          <w:rFonts w:ascii="Verdana" w:hAnsi="Verdana"/>
          <w:sz w:val="15"/>
          <w:szCs w:val="15"/>
        </w:rPr>
      </w:pPr>
      <w:r w:rsidRPr="005867CF">
        <w:rPr>
          <w:rFonts w:ascii="Verdana" w:hAnsi="Verdana"/>
          <w:sz w:val="15"/>
          <w:szCs w:val="15"/>
        </w:rPr>
        <w:t>2. Mantener los sistemas de información con capacidad suficiente y contar con las medidas adecuadas de protección de la información, de los datos y en general de seguridad digital.</w:t>
      </w:r>
    </w:p>
    <w:p w14:paraId="4166EE5D" w14:textId="77777777" w:rsidR="0037514F" w:rsidRPr="005867CF" w:rsidRDefault="0037514F" w:rsidP="0037514F">
      <w:pPr>
        <w:pStyle w:val="NormalWeb"/>
        <w:spacing w:before="0" w:beforeAutospacing="0" w:after="0" w:afterAutospacing="0"/>
        <w:ind w:firstLine="708"/>
        <w:jc w:val="both"/>
        <w:rPr>
          <w:rFonts w:ascii="Verdana" w:hAnsi="Verdana" w:cs="Arial"/>
          <w:sz w:val="15"/>
          <w:szCs w:val="15"/>
        </w:rPr>
      </w:pPr>
      <w:r w:rsidRPr="005867CF">
        <w:rPr>
          <w:rFonts w:ascii="Verdana" w:hAnsi="Verdana"/>
          <w:sz w:val="15"/>
          <w:szCs w:val="15"/>
        </w:rPr>
        <w:t>3. Emitir y enviar un mensaje acusando el recibo o salida de las comunicaciones indicando la fecha de esta y el número de radicado asignado”</w:t>
      </w:r>
    </w:p>
  </w:footnote>
  <w:footnote w:id="23">
    <w:p w14:paraId="24D34326" w14:textId="77777777" w:rsidR="0037514F" w:rsidRPr="00EB4645" w:rsidRDefault="0037514F" w:rsidP="0037514F">
      <w:pPr>
        <w:pStyle w:val="NormalWeb"/>
        <w:spacing w:before="0" w:beforeAutospacing="0" w:after="0" w:afterAutospacing="0"/>
        <w:ind w:firstLine="708"/>
        <w:jc w:val="both"/>
        <w:rPr>
          <w:rFonts w:ascii="Verdana" w:hAnsi="Verdana" w:cs="Arial"/>
          <w:color w:val="000000"/>
          <w:sz w:val="16"/>
          <w:szCs w:val="16"/>
        </w:rPr>
      </w:pPr>
      <w:r>
        <w:rPr>
          <w:rStyle w:val="Refdenotaalpie"/>
        </w:rPr>
        <w:footnoteRef/>
      </w:r>
      <w:r>
        <w:t xml:space="preserve"> </w:t>
      </w:r>
      <w:r w:rsidRPr="0042686B">
        <w:rPr>
          <w:rStyle w:val="Fuerte"/>
          <w:rFonts w:ascii="Verdana" w:hAnsi="Verdana" w:cs="Arial"/>
          <w:color w:val="000000"/>
          <w:sz w:val="16"/>
          <w:szCs w:val="16"/>
        </w:rPr>
        <w:t>Artículo 200.</w:t>
      </w:r>
      <w:r>
        <w:rPr>
          <w:rStyle w:val="Fuerte"/>
          <w:rFonts w:ascii="Verdana" w:hAnsi="Verdana" w:cs="Arial"/>
          <w:color w:val="000000"/>
          <w:sz w:val="16"/>
          <w:szCs w:val="16"/>
        </w:rPr>
        <w:t xml:space="preserve"> </w:t>
      </w:r>
      <w:r w:rsidRPr="00EB4645">
        <w:rPr>
          <w:rStyle w:val="nfasis"/>
          <w:rFonts w:ascii="Verdana" w:hAnsi="Verdana" w:cs="Arial"/>
          <w:color w:val="000000"/>
          <w:sz w:val="16"/>
          <w:szCs w:val="16"/>
        </w:rPr>
        <w:t>Estrategia nacional de lucha contra la corrupción</w:t>
      </w:r>
      <w:r w:rsidRPr="00EB4645">
        <w:rPr>
          <w:rFonts w:ascii="Verdana" w:hAnsi="Verdana" w:cs="Arial"/>
          <w:color w:val="000000"/>
          <w:sz w:val="16"/>
          <w:szCs w:val="16"/>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57C3C8B8" w14:textId="77777777" w:rsidR="0037514F" w:rsidRPr="00EB4645" w:rsidRDefault="0037514F" w:rsidP="0037514F">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0CF8125D" w14:textId="77777777" w:rsidR="0037514F" w:rsidRPr="00EB4645" w:rsidRDefault="0037514F" w:rsidP="0037514F">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23E53342" w14:textId="77777777" w:rsidR="0037514F" w:rsidRPr="00EB4645" w:rsidRDefault="0037514F" w:rsidP="0037514F">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2AEC2AAB" w14:textId="77777777" w:rsidR="0037514F" w:rsidRPr="0042686B" w:rsidRDefault="0037514F" w:rsidP="0037514F">
      <w:pPr>
        <w:pStyle w:val="NormalWeb"/>
        <w:spacing w:before="0" w:beforeAutospacing="0" w:after="0" w:afterAutospacing="0"/>
        <w:ind w:firstLine="708"/>
        <w:jc w:val="both"/>
        <w:rPr>
          <w:rFonts w:ascii="Verdana" w:hAnsi="Verdana" w:cs="Arial"/>
          <w:color w:val="000000"/>
          <w:sz w:val="16"/>
          <w:szCs w:val="16"/>
        </w:rPr>
      </w:pPr>
      <w:r w:rsidRPr="0042686B">
        <w:rPr>
          <w:rStyle w:val="Fuerte"/>
          <w:rFonts w:ascii="Verdana" w:hAnsi="Verdana" w:cs="Arial"/>
          <w:color w:val="000000"/>
          <w:sz w:val="16"/>
          <w:szCs w:val="16"/>
        </w:rPr>
        <w:t>Parágrafo 1°.</w:t>
      </w:r>
      <w:r w:rsidRPr="0042686B">
        <w:rPr>
          <w:rFonts w:ascii="Verdana" w:hAnsi="Verdana" w:cs="Arial"/>
          <w:color w:val="000000"/>
          <w:sz w:val="16"/>
          <w:szCs w:val="16"/>
        </w:rPr>
        <w:t> En la estrategia se contemplarán los mecanismos para el seguimiento y control de los recursos públicos administrados mediante fondos o patrimonios autónomos. </w:t>
      </w:r>
    </w:p>
    <w:p w14:paraId="412DA4BC" w14:textId="77777777" w:rsidR="0037514F" w:rsidRPr="0042686B" w:rsidRDefault="0037514F" w:rsidP="0037514F">
      <w:pPr>
        <w:pStyle w:val="NormalWeb"/>
        <w:spacing w:before="0" w:beforeAutospacing="0" w:after="0" w:afterAutospacing="0"/>
        <w:ind w:firstLine="708"/>
        <w:jc w:val="both"/>
        <w:rPr>
          <w:rFonts w:ascii="Verdana" w:hAnsi="Verdana" w:cs="Arial"/>
          <w:color w:val="000000"/>
          <w:sz w:val="16"/>
          <w:szCs w:val="16"/>
        </w:rPr>
      </w:pPr>
      <w:r w:rsidRPr="0042686B">
        <w:rPr>
          <w:rStyle w:val="Fuerte"/>
          <w:rFonts w:ascii="Verdana" w:hAnsi="Verdana" w:cs="Arial"/>
          <w:color w:val="000000"/>
          <w:sz w:val="16"/>
          <w:szCs w:val="16"/>
        </w:rPr>
        <w:t>Parágrafo 2°.</w:t>
      </w:r>
      <w:r w:rsidRPr="0042686B">
        <w:rPr>
          <w:rFonts w:ascii="Verdana" w:hAnsi="Verdana" w:cs="Arial"/>
          <w:color w:val="000000"/>
          <w:sz w:val="16"/>
          <w:szCs w:val="16"/>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0F158622" w14:textId="77777777" w:rsidR="0037514F" w:rsidRPr="0042686B" w:rsidRDefault="0037514F" w:rsidP="0037514F">
      <w:pPr>
        <w:pStyle w:val="NormalWeb"/>
        <w:spacing w:before="0" w:beforeAutospacing="0" w:after="0" w:afterAutospacing="0"/>
        <w:ind w:firstLine="708"/>
        <w:jc w:val="both"/>
        <w:rPr>
          <w:rFonts w:ascii="Verdana" w:hAnsi="Verdana" w:cs="Arial"/>
          <w:color w:val="000000"/>
          <w:sz w:val="16"/>
          <w:szCs w:val="16"/>
        </w:rPr>
      </w:pPr>
      <w:r w:rsidRPr="0042686B">
        <w:rPr>
          <w:rStyle w:val="Fuerte"/>
          <w:rFonts w:ascii="Verdana" w:hAnsi="Verdana" w:cs="Arial"/>
          <w:color w:val="000000"/>
          <w:sz w:val="16"/>
          <w:szCs w:val="16"/>
        </w:rPr>
        <w:t>Parágrafo 3°.</w:t>
      </w:r>
      <w:r w:rsidRPr="0042686B">
        <w:rPr>
          <w:rFonts w:ascii="Verdana" w:hAnsi="Verdana" w:cs="Arial"/>
          <w:color w:val="000000"/>
          <w:sz w:val="16"/>
          <w:szCs w:val="16"/>
        </w:rPr>
        <w:t> Dentro del año siguiente a la entrada en vigor de la presente ley, el Gobierno nacional formulará y adoptará la Estrategia Nacional de Lucha Contra la Corrupción.</w:t>
      </w:r>
    </w:p>
    <w:p w14:paraId="47C784EB" w14:textId="77777777" w:rsidR="0037514F" w:rsidRPr="00EB4645" w:rsidRDefault="0037514F" w:rsidP="0037514F">
      <w:pPr>
        <w:pStyle w:val="Textonotapie"/>
        <w:rPr>
          <w:sz w:val="16"/>
          <w:szCs w:val="16"/>
          <w:lang w:val="es-CO"/>
        </w:rPr>
      </w:pPr>
    </w:p>
    <w:p w14:paraId="4C42F88C" w14:textId="77777777" w:rsidR="0037514F" w:rsidRPr="0042686B" w:rsidRDefault="0037514F" w:rsidP="0037514F">
      <w:pPr>
        <w:pStyle w:val="Textonotapie"/>
        <w:ind w:firstLine="708"/>
        <w:rPr>
          <w:lang w:val="es-CO"/>
        </w:rPr>
      </w:pPr>
    </w:p>
  </w:footnote>
  <w:footnote w:id="24">
    <w:p w14:paraId="4045F025" w14:textId="77777777" w:rsidR="0037514F" w:rsidRPr="00EB4645" w:rsidRDefault="0037514F" w:rsidP="0037514F">
      <w:pPr>
        <w:spacing w:after="0" w:line="240" w:lineRule="auto"/>
        <w:ind w:firstLine="709"/>
        <w:jc w:val="both"/>
        <w:rPr>
          <w:rFonts w:ascii="Verdana" w:eastAsia="Calibri" w:hAnsi="Verdana" w:cs="Arial"/>
          <w:bCs/>
          <w:sz w:val="16"/>
          <w:szCs w:val="16"/>
          <w:lang w:eastAsia="es-ES_tradnl"/>
        </w:rPr>
      </w:pPr>
      <w:r w:rsidRPr="00EB4645">
        <w:rPr>
          <w:rStyle w:val="Refdenotaalpie"/>
          <w:rFonts w:ascii="Verdana" w:hAnsi="Verdana"/>
          <w:sz w:val="16"/>
          <w:szCs w:val="16"/>
        </w:rPr>
        <w:footnoteRef/>
      </w:r>
      <w:r w:rsidRPr="00EB4645">
        <w:rPr>
          <w:rFonts w:ascii="Verdana" w:hAnsi="Verdana"/>
          <w:sz w:val="16"/>
          <w:szCs w:val="16"/>
        </w:rPr>
        <w:t xml:space="preserve"> </w:t>
      </w:r>
      <w:r w:rsidRPr="00EB4645">
        <w:rPr>
          <w:rFonts w:ascii="Verdana" w:eastAsia="Calibri" w:hAnsi="Verdana" w:cs="Arial"/>
          <w:bCs/>
          <w:iCs/>
          <w:sz w:val="16"/>
          <w:szCs w:val="16"/>
          <w:lang w:eastAsia="es-ES_tradnl"/>
        </w:rPr>
        <w:t>Artículo 2.1.4.3.1.2. Ámbito de aplicación.</w:t>
      </w:r>
      <w:r w:rsidRPr="00EB4645">
        <w:rPr>
          <w:rFonts w:ascii="Verdana" w:eastAsia="Calibri" w:hAnsi="Verdana" w:cs="Arial"/>
          <w:b/>
          <w:bCs/>
          <w:iCs/>
          <w:sz w:val="16"/>
          <w:szCs w:val="16"/>
          <w:lang w:eastAsia="es-ES_tradnl"/>
        </w:rPr>
        <w:t> </w:t>
      </w:r>
      <w:r w:rsidRPr="00EB4645">
        <w:rPr>
          <w:rFonts w:ascii="Verdana" w:eastAsia="Calibri" w:hAnsi="Verdana" w:cs="Arial"/>
          <w:bCs/>
          <w:iCs/>
          <w:sz w:val="16"/>
          <w:szCs w:val="16"/>
          <w:lang w:eastAsia="es-ES_tradnl"/>
        </w:rPr>
        <w:t>Las disposiciones de este Capítulo rigen en todo el territorio nacional y se aplicarán en todos los organismos, entidades y empresas del Estado del orden nacional y pertenecientes a la Rama Ejecutiva del Poder Público. </w:t>
      </w:r>
      <w:r w:rsidRPr="00EB4645">
        <w:rPr>
          <w:rFonts w:ascii="Verdana" w:eastAsia="Calibri" w:hAnsi="Verdana" w:cs="Arial"/>
          <w:bCs/>
          <w:sz w:val="16"/>
          <w:szCs w:val="16"/>
          <w:lang w:eastAsia="es-ES_tradnl"/>
        </w:rPr>
        <w:t> </w:t>
      </w:r>
    </w:p>
    <w:p w14:paraId="561A9AC0" w14:textId="77777777" w:rsidR="0037514F" w:rsidRPr="00EB4645" w:rsidRDefault="0037514F" w:rsidP="0037514F">
      <w:pPr>
        <w:spacing w:after="0" w:line="240" w:lineRule="auto"/>
        <w:ind w:firstLine="709"/>
        <w:jc w:val="both"/>
        <w:rPr>
          <w:rFonts w:ascii="Verdana" w:eastAsia="Calibri" w:hAnsi="Verdana" w:cs="Arial"/>
          <w:bCs/>
          <w:sz w:val="16"/>
          <w:szCs w:val="16"/>
          <w:lang w:eastAsia="es-ES_tradnl"/>
        </w:rPr>
      </w:pPr>
      <w:r w:rsidRPr="00EB4645">
        <w:rPr>
          <w:rFonts w:ascii="Verdana" w:eastAsia="Calibri" w:hAnsi="Verdana" w:cs="Arial"/>
          <w:bCs/>
          <w:iCs/>
          <w:sz w:val="16"/>
          <w:szCs w:val="16"/>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55AF9363" w14:textId="77777777" w:rsidR="0037514F" w:rsidRPr="00EB4645" w:rsidRDefault="0037514F" w:rsidP="0037514F">
      <w:pPr>
        <w:spacing w:after="0" w:line="240" w:lineRule="auto"/>
        <w:ind w:firstLine="709"/>
        <w:jc w:val="both"/>
        <w:rPr>
          <w:rFonts w:ascii="Verdana" w:eastAsia="Calibri" w:hAnsi="Verdana" w:cs="Arial"/>
          <w:bCs/>
          <w:sz w:val="16"/>
          <w:szCs w:val="16"/>
          <w:lang w:eastAsia="es-ES_tradnl"/>
        </w:rPr>
      </w:pPr>
      <w:r w:rsidRPr="00EB4645">
        <w:rPr>
          <w:rFonts w:ascii="Verdana" w:eastAsia="Calibri" w:hAnsi="Verdana" w:cs="Arial"/>
          <w:bCs/>
          <w:iCs/>
          <w:sz w:val="16"/>
          <w:szCs w:val="16"/>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p w14:paraId="4BB61C6C" w14:textId="77777777" w:rsidR="0037514F" w:rsidRPr="00EB4645" w:rsidRDefault="0037514F" w:rsidP="0037514F">
      <w:pPr>
        <w:pStyle w:val="Textonotapie"/>
        <w:rPr>
          <w:sz w:val="16"/>
          <w:szCs w:val="16"/>
          <w:lang w:val="es-CO"/>
        </w:rPr>
      </w:pPr>
    </w:p>
  </w:footnote>
  <w:footnote w:id="25">
    <w:p w14:paraId="246D44CF" w14:textId="77777777" w:rsidR="0037514F" w:rsidRPr="00EB4645" w:rsidRDefault="0037514F" w:rsidP="0037514F">
      <w:pPr>
        <w:pStyle w:val="Textonotapie"/>
        <w:ind w:firstLine="708"/>
        <w:jc w:val="both"/>
        <w:rPr>
          <w:rFonts w:ascii="Verdana" w:hAnsi="Verdana"/>
          <w:sz w:val="16"/>
          <w:szCs w:val="16"/>
          <w:lang w:val="es-CO"/>
        </w:rPr>
      </w:pPr>
      <w:r w:rsidRPr="00EB4645">
        <w:rPr>
          <w:rStyle w:val="Refdenotaalpie"/>
          <w:rFonts w:ascii="Verdana" w:hAnsi="Verdana"/>
          <w:sz w:val="16"/>
          <w:szCs w:val="16"/>
        </w:rPr>
        <w:footnoteRef/>
      </w:r>
      <w:r w:rsidRPr="00EB4645">
        <w:rPr>
          <w:rFonts w:ascii="Verdana" w:hAnsi="Verdana"/>
          <w:sz w:val="16"/>
          <w:szCs w:val="16"/>
        </w:rPr>
        <w:t xml:space="preserve"> </w:t>
      </w:r>
      <w:r w:rsidRPr="00EB4645">
        <w:rPr>
          <w:rFonts w:ascii="Verdana" w:hAnsi="Verdana"/>
          <w:bCs/>
          <w:sz w:val="16"/>
          <w:szCs w:val="16"/>
          <w:lang w:val="es-CO"/>
        </w:rPr>
        <w:t>Artículo 2.1.4.3.2.1. </w:t>
      </w:r>
      <w:r w:rsidRPr="00EB4645">
        <w:rPr>
          <w:rFonts w:ascii="Verdana" w:hAnsi="Verdana"/>
          <w:bCs/>
          <w:i/>
          <w:iCs/>
          <w:sz w:val="16"/>
          <w:szCs w:val="16"/>
          <w:lang w:val="es-CO"/>
        </w:rPr>
        <w:t>Prevención de corrupción en la contratación pública.</w:t>
      </w:r>
      <w:r w:rsidRPr="00EB4645">
        <w:rPr>
          <w:rFonts w:ascii="Verdana" w:hAnsi="Verdana"/>
          <w:sz w:val="16"/>
          <w:szCs w:val="16"/>
          <w:lang w:val="es-CO"/>
        </w:rPr>
        <w:t xml:space="preserve">Las entidades mencionadas en el artículo 2.1.4.3.1.2 del presente decreto, sin perjuicio de las demás obligaciones legales y reglamentarias, deberán garantizar las siguientes acciones en el desarrollo y la gestión contractual a su cargo: </w:t>
      </w:r>
    </w:p>
    <w:p w14:paraId="0EF5906B" w14:textId="77777777" w:rsidR="0037514F" w:rsidRPr="00EB4645" w:rsidRDefault="0037514F" w:rsidP="0037514F">
      <w:pPr>
        <w:pStyle w:val="Textonotapie"/>
        <w:ind w:firstLine="708"/>
        <w:jc w:val="both"/>
        <w:rPr>
          <w:rFonts w:ascii="Verdana" w:hAnsi="Verdana"/>
          <w:sz w:val="16"/>
          <w:szCs w:val="16"/>
          <w:lang w:val="es-CO"/>
        </w:rPr>
      </w:pPr>
      <w:r w:rsidRPr="00EB4645">
        <w:rPr>
          <w:rFonts w:ascii="Verdana" w:hAnsi="Verdana"/>
          <w:sz w:val="16"/>
          <w:szCs w:val="16"/>
          <w:lang w:val="es-CO"/>
        </w:rPr>
        <w:t>a) </w:t>
      </w:r>
      <w:r w:rsidRPr="00EB4645">
        <w:rPr>
          <w:rFonts w:ascii="Verdana" w:hAnsi="Verdana"/>
          <w:bCs/>
          <w:sz w:val="16"/>
          <w:szCs w:val="16"/>
          <w:lang w:val="es-CO"/>
        </w:rPr>
        <w:t>Verificar la existencia de situaciones de control. </w:t>
      </w:r>
      <w:r w:rsidRPr="00EB4645">
        <w:rPr>
          <w:rFonts w:ascii="Verdana" w:hAnsi="Verdana"/>
          <w:sz w:val="16"/>
          <w:szCs w:val="16"/>
          <w:lang w:val="es-CO"/>
        </w:rPr>
        <w:t>En los términos de los artículos 260 y 261 del Código de Comercio, de las personas jurídicas oferentes y/o de los proponentes plurales. Quienes se presenten como proponentes en procesos de selección adelantados por las entidades destinatarias del presente Capítulo,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Para el caso de los proponentes plurales, deberán indicar si las personas que los conforman se encuentran en alguna de las situaciones descritas anteriormente.  </w:t>
      </w:r>
    </w:p>
    <w:p w14:paraId="7DB21CD4" w14:textId="77777777" w:rsidR="0037514F" w:rsidRPr="00EB4645" w:rsidRDefault="0037514F" w:rsidP="0037514F">
      <w:pPr>
        <w:pStyle w:val="Textonotapie"/>
        <w:ind w:firstLine="708"/>
        <w:jc w:val="both"/>
        <w:rPr>
          <w:rFonts w:ascii="Verdana" w:hAnsi="Verdana"/>
          <w:sz w:val="16"/>
          <w:szCs w:val="16"/>
          <w:lang w:val="es-CO"/>
        </w:rPr>
      </w:pPr>
      <w:r w:rsidRPr="00EB4645">
        <w:rPr>
          <w:rFonts w:ascii="Verdana" w:hAnsi="Verdana"/>
          <w:sz w:val="16"/>
          <w:szCs w:val="16"/>
          <w:lang w:val="es-CO"/>
        </w:rPr>
        <w:t>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3508E78E" w14:textId="77777777" w:rsidR="0037514F" w:rsidRPr="00EB4645" w:rsidRDefault="0037514F" w:rsidP="0037514F">
      <w:pPr>
        <w:pStyle w:val="Textonotapie"/>
        <w:ind w:firstLine="708"/>
        <w:jc w:val="both"/>
        <w:rPr>
          <w:rFonts w:ascii="Verdana" w:hAnsi="Verdana"/>
          <w:sz w:val="16"/>
          <w:szCs w:val="16"/>
          <w:lang w:val="es-CO"/>
        </w:rPr>
      </w:pPr>
      <w:r w:rsidRPr="00EB4645">
        <w:rPr>
          <w:rFonts w:ascii="Verdana" w:hAnsi="Verdana"/>
          <w:sz w:val="16"/>
          <w:szCs w:val="16"/>
          <w:lang w:val="es-CO"/>
        </w:rPr>
        <w:t>Cuando, en desarrollo del análisis mencionado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La Presidencia de la República, a través de la Secretaría de Transparencia, se articulará con las entidades competentes con el fin de generar los mecanismos necesarios para mitigar los riesgos de corrupción que puedan advertirse como consecuencia del análisis dispuesto en este literal.  </w:t>
      </w:r>
    </w:p>
    <w:p w14:paraId="31A7F3B3" w14:textId="77777777" w:rsidR="0037514F" w:rsidRPr="00EB4645" w:rsidRDefault="0037514F" w:rsidP="0037514F">
      <w:pPr>
        <w:pStyle w:val="Textonotapie"/>
        <w:ind w:firstLine="708"/>
        <w:jc w:val="both"/>
        <w:rPr>
          <w:rFonts w:ascii="Verdana" w:hAnsi="Verdana"/>
          <w:sz w:val="16"/>
          <w:szCs w:val="16"/>
          <w:lang w:val="es-CO"/>
        </w:rPr>
      </w:pPr>
      <w:r w:rsidRPr="00EB4645">
        <w:rPr>
          <w:rFonts w:ascii="Verdana" w:hAnsi="Verdana"/>
          <w:sz w:val="16"/>
          <w:szCs w:val="16"/>
          <w:lang w:val="es-CO"/>
        </w:rPr>
        <w:t>b) </w:t>
      </w:r>
      <w:r w:rsidRPr="00EB4645">
        <w:rPr>
          <w:rFonts w:ascii="Verdana" w:hAnsi="Verdana"/>
          <w:bCs/>
          <w:sz w:val="16"/>
          <w:szCs w:val="16"/>
          <w:lang w:val="es-CO"/>
        </w:rPr>
        <w:t>Aplicar buenas prácticas para la contratación transparente. </w:t>
      </w:r>
      <w:r w:rsidRPr="00EB4645">
        <w:rPr>
          <w:rFonts w:ascii="Verdana" w:hAnsi="Verdana"/>
          <w:sz w:val="16"/>
          <w:szCs w:val="16"/>
          <w:lang w:val="es-CO"/>
        </w:rPr>
        <w:t>Las entidades deberán garantizar que las guías y manuales definidos por la Agencia Nacional de Contratación Pública - Colombia Compra Eficiente, para la definición de criterios que permitan garantizar la pluralidad de oferentes, se apliquen en la organización. En consecuencia, en los documentos del proceso deberá dejarse constancia que en la estructuración se tuvieron en cuenta las prácticas recomendadas por Colombia Compra Eficiente.  </w:t>
      </w:r>
    </w:p>
    <w:p w14:paraId="133CEDF3" w14:textId="77777777" w:rsidR="0037514F" w:rsidRPr="00EB4645" w:rsidRDefault="0037514F" w:rsidP="0037514F">
      <w:pPr>
        <w:pStyle w:val="Textonotapie"/>
        <w:ind w:firstLine="708"/>
        <w:jc w:val="both"/>
        <w:rPr>
          <w:rFonts w:ascii="Verdana" w:hAnsi="Verdana"/>
          <w:sz w:val="16"/>
          <w:szCs w:val="16"/>
          <w:lang w:val="es-CO"/>
        </w:rPr>
      </w:pPr>
      <w:r w:rsidRPr="00EB4645">
        <w:rPr>
          <w:rFonts w:ascii="Verdana" w:hAnsi="Verdana"/>
          <w:sz w:val="16"/>
          <w:szCs w:val="16"/>
          <w:lang w:val="es-CO"/>
        </w:rPr>
        <w:t>c) </w:t>
      </w:r>
      <w:r w:rsidRPr="00EB4645">
        <w:rPr>
          <w:rFonts w:ascii="Verdana" w:hAnsi="Verdana"/>
          <w:bCs/>
          <w:sz w:val="16"/>
          <w:szCs w:val="16"/>
          <w:lang w:val="es-CO"/>
        </w:rPr>
        <w:t>Fortalecer los análisis de mercado para la fijación objetiva de precios. </w:t>
      </w:r>
      <w:r w:rsidRPr="00EB4645">
        <w:rPr>
          <w:rFonts w:ascii="Verdana" w:hAnsi="Verdana"/>
          <w:sz w:val="16"/>
          <w:szCs w:val="16"/>
          <w:lang w:val="es-CO"/>
        </w:rPr>
        <w:t>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  </w:t>
      </w:r>
    </w:p>
    <w:p w14:paraId="2381478A" w14:textId="77777777" w:rsidR="0037514F" w:rsidRPr="00EB4645" w:rsidRDefault="0037514F" w:rsidP="0037514F">
      <w:pPr>
        <w:pStyle w:val="Textonotapie"/>
        <w:ind w:firstLine="708"/>
        <w:jc w:val="both"/>
        <w:rPr>
          <w:rFonts w:ascii="Verdana" w:hAnsi="Verdana"/>
          <w:sz w:val="16"/>
          <w:szCs w:val="16"/>
          <w:lang w:val="es-CO"/>
        </w:rPr>
      </w:pPr>
      <w:r w:rsidRPr="00EB4645">
        <w:rPr>
          <w:rFonts w:ascii="Verdana" w:hAnsi="Verdana"/>
          <w:bCs/>
          <w:sz w:val="16"/>
          <w:szCs w:val="16"/>
          <w:lang w:val="es-CO"/>
        </w:rPr>
        <w:t>Parágrafo 1°. </w:t>
      </w:r>
      <w:r w:rsidRPr="00EB4645">
        <w:rPr>
          <w:rFonts w:ascii="Verdana" w:hAnsi="Verdana"/>
          <w:sz w:val="16"/>
          <w:szCs w:val="16"/>
          <w:lang w:val="es-CO"/>
        </w:rPr>
        <w:t>Las anteriores directrices serán incorporadas por las entidades destinatarias a sus manuales de contratación, dentro de los seis (6) meses siguientes a la expedición del presente Capítulo.  </w:t>
      </w:r>
    </w:p>
    <w:p w14:paraId="31A23ED1" w14:textId="77777777" w:rsidR="0037514F" w:rsidRPr="00EB4645" w:rsidRDefault="0037514F" w:rsidP="0037514F">
      <w:pPr>
        <w:pStyle w:val="Textonotapie"/>
        <w:ind w:firstLine="708"/>
        <w:jc w:val="both"/>
        <w:rPr>
          <w:rFonts w:ascii="Verdana" w:hAnsi="Verdana"/>
          <w:sz w:val="16"/>
          <w:szCs w:val="16"/>
          <w:lang w:val="es-CO"/>
        </w:rPr>
      </w:pPr>
      <w:r w:rsidRPr="00EB4645">
        <w:rPr>
          <w:rFonts w:ascii="Verdana" w:hAnsi="Verdana"/>
          <w:bCs/>
          <w:sz w:val="16"/>
          <w:szCs w:val="16"/>
          <w:lang w:val="es-CO"/>
        </w:rPr>
        <w:t>Parágrafo 2°. </w:t>
      </w:r>
      <w:r w:rsidRPr="00EB4645">
        <w:rPr>
          <w:rFonts w:ascii="Verdana" w:hAnsi="Verdana"/>
          <w:sz w:val="16"/>
          <w:szCs w:val="16"/>
          <w:lang w:val="es-CO"/>
        </w:rPr>
        <w:t>Las entidades territoriales y sus descentralizadas, en el marco de su autonomía, incorporarán las directrices contenidas en el presente artículo, de conformidad con lo señalado en el inciso tercero del artículo 2.1.4.3.1.2 del presente decreto.  </w:t>
      </w:r>
    </w:p>
    <w:p w14:paraId="3850AEEB" w14:textId="77777777" w:rsidR="0037514F" w:rsidRPr="00EB4645" w:rsidRDefault="0037514F" w:rsidP="0037514F">
      <w:pPr>
        <w:pStyle w:val="Textonotapie"/>
        <w:ind w:firstLine="708"/>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827985604">
    <w:abstractNumId w:val="9"/>
  </w:num>
  <w:num w:numId="17" w16cid:durableId="341274352">
    <w:abstractNumId w:val="0"/>
  </w:num>
  <w:num w:numId="18" w16cid:durableId="13001134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BEA"/>
    <w:rsid w:val="00082362"/>
    <w:rsid w:val="000A683E"/>
    <w:rsid w:val="000B19B9"/>
    <w:rsid w:val="000D0334"/>
    <w:rsid w:val="000D5DA7"/>
    <w:rsid w:val="000F6486"/>
    <w:rsid w:val="00116940"/>
    <w:rsid w:val="00125105"/>
    <w:rsid w:val="00127233"/>
    <w:rsid w:val="0015699B"/>
    <w:rsid w:val="00165D29"/>
    <w:rsid w:val="001A33BF"/>
    <w:rsid w:val="001E4177"/>
    <w:rsid w:val="001F0B24"/>
    <w:rsid w:val="001F7DC6"/>
    <w:rsid w:val="0022400B"/>
    <w:rsid w:val="002421BB"/>
    <w:rsid w:val="0025796E"/>
    <w:rsid w:val="002707A2"/>
    <w:rsid w:val="00291460"/>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514F"/>
    <w:rsid w:val="00377E3E"/>
    <w:rsid w:val="003A779E"/>
    <w:rsid w:val="003D0F4D"/>
    <w:rsid w:val="003D5B0D"/>
    <w:rsid w:val="003E0499"/>
    <w:rsid w:val="003E099C"/>
    <w:rsid w:val="003E4F80"/>
    <w:rsid w:val="003E6439"/>
    <w:rsid w:val="003F3941"/>
    <w:rsid w:val="00406575"/>
    <w:rsid w:val="00414C74"/>
    <w:rsid w:val="0042722E"/>
    <w:rsid w:val="0044528D"/>
    <w:rsid w:val="00466E39"/>
    <w:rsid w:val="004A1847"/>
    <w:rsid w:val="004A305D"/>
    <w:rsid w:val="004C305F"/>
    <w:rsid w:val="004F21C4"/>
    <w:rsid w:val="004F685F"/>
    <w:rsid w:val="005566E8"/>
    <w:rsid w:val="00574867"/>
    <w:rsid w:val="00591460"/>
    <w:rsid w:val="005A65E0"/>
    <w:rsid w:val="005C3777"/>
    <w:rsid w:val="005C5CDC"/>
    <w:rsid w:val="005D476C"/>
    <w:rsid w:val="0060308C"/>
    <w:rsid w:val="00617FBF"/>
    <w:rsid w:val="006200BF"/>
    <w:rsid w:val="006219F8"/>
    <w:rsid w:val="006302F7"/>
    <w:rsid w:val="006469EA"/>
    <w:rsid w:val="00646B9F"/>
    <w:rsid w:val="00665D70"/>
    <w:rsid w:val="006900D9"/>
    <w:rsid w:val="006E41EB"/>
    <w:rsid w:val="00706C16"/>
    <w:rsid w:val="007340C3"/>
    <w:rsid w:val="00737B6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65C1"/>
    <w:rsid w:val="008843B6"/>
    <w:rsid w:val="00891928"/>
    <w:rsid w:val="008A446D"/>
    <w:rsid w:val="008B25F1"/>
    <w:rsid w:val="008D180B"/>
    <w:rsid w:val="008F0EA7"/>
    <w:rsid w:val="00906B7D"/>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A7000"/>
    <w:rsid w:val="00BC3D36"/>
    <w:rsid w:val="00BD54A6"/>
    <w:rsid w:val="00BD7F72"/>
    <w:rsid w:val="00BF7425"/>
    <w:rsid w:val="00C04FB3"/>
    <w:rsid w:val="00C11D8B"/>
    <w:rsid w:val="00C14017"/>
    <w:rsid w:val="00C15139"/>
    <w:rsid w:val="00C330EB"/>
    <w:rsid w:val="00C50D69"/>
    <w:rsid w:val="00C5365C"/>
    <w:rsid w:val="00C754BE"/>
    <w:rsid w:val="00C76B1C"/>
    <w:rsid w:val="00C925AC"/>
    <w:rsid w:val="00CB6357"/>
    <w:rsid w:val="00CC1B26"/>
    <w:rsid w:val="00CD2C19"/>
    <w:rsid w:val="00D361FD"/>
    <w:rsid w:val="00D408B9"/>
    <w:rsid w:val="00D423A2"/>
    <w:rsid w:val="00D44E26"/>
    <w:rsid w:val="00D520D8"/>
    <w:rsid w:val="00D63AC2"/>
    <w:rsid w:val="00D7383B"/>
    <w:rsid w:val="00D76808"/>
    <w:rsid w:val="00D7788A"/>
    <w:rsid w:val="00DA231B"/>
    <w:rsid w:val="00DC39FC"/>
    <w:rsid w:val="00DF5254"/>
    <w:rsid w:val="00E02524"/>
    <w:rsid w:val="00E16408"/>
    <w:rsid w:val="00E20894"/>
    <w:rsid w:val="00E245AB"/>
    <w:rsid w:val="00E2764C"/>
    <w:rsid w:val="00E27F2E"/>
    <w:rsid w:val="00E44860"/>
    <w:rsid w:val="00E50AFE"/>
    <w:rsid w:val="00E75C92"/>
    <w:rsid w:val="00E771DC"/>
    <w:rsid w:val="00E8772A"/>
    <w:rsid w:val="00E90F6B"/>
    <w:rsid w:val="00E92C27"/>
    <w:rsid w:val="00EA0E3D"/>
    <w:rsid w:val="00EA4D61"/>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5FA823D"/>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375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37514F"/>
    <w:pPr>
      <w:spacing w:after="0" w:line="240" w:lineRule="exact"/>
    </w:pPr>
    <w:rPr>
      <w:vertAlign w:val="superscript"/>
    </w:rPr>
  </w:style>
  <w:style w:type="character" w:styleId="Fuerte">
    <w:name w:val="Strong"/>
    <w:basedOn w:val="Fuentedeprrafopredeter"/>
    <w:uiPriority w:val="22"/>
    <w:qFormat/>
    <w:rsid w:val="0037514F"/>
    <w:rPr>
      <w:b/>
      <w:bCs/>
    </w:rPr>
  </w:style>
  <w:style w:type="character" w:styleId="nfasis">
    <w:name w:val="Emphasis"/>
    <w:basedOn w:val="Fuentedeprrafopredeter"/>
    <w:uiPriority w:val="20"/>
    <w:qFormat/>
    <w:rsid w:val="003751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conceptos/c-452-de-2026/" TargetMode="External"/><Relationship Id="rId2" Type="http://schemas.openxmlformats.org/officeDocument/2006/relationships/hyperlink" Target="https://www.medicinalegal.gov.co/objetivos-y-funciones" TargetMode="External"/><Relationship Id="rId1" Type="http://schemas.openxmlformats.org/officeDocument/2006/relationships/hyperlink" Target="https://relatoria.colombiacompra.gov.co/conceptos/c-452-de-2026/" TargetMode="External"/><Relationship Id="rId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2A55FBB-8AB1-42B7-8667-3AB0FC8A2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53</Pages>
  <Words>18631</Words>
  <Characters>102474</Characters>
  <Application>Microsoft Office Word</Application>
  <DocSecurity>0</DocSecurity>
  <Lines>853</Lines>
  <Paragraphs>241</Paragraphs>
  <ScaleCrop>false</ScaleCrop>
  <Company/>
  <LinksUpToDate>false</LinksUpToDate>
  <CharactersWithSpaces>120864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2026-10-21T22:51:00Z</dcterms:created>
  <dcterms:modified xsi:type="dcterms:W3CDTF">2026-10-22T21:37:00Z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